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96597"/>
      <w:bookmarkStart w:id="1" w:name="_Toc15377425"/>
      <w:bookmarkStart w:id="2" w:name="_Toc15377193"/>
      <w:bookmarkStart w:id="3" w:name="_Toc15396475"/>
      <w:bookmarkStart w:id="4" w:name="_Toc15378441"/>
      <w:bookmarkStart w:id="5"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2022年度</w:t>
      </w:r>
      <w:bookmarkEnd w:id="0"/>
      <w:bookmarkEnd w:id="1"/>
      <w:bookmarkEnd w:id="2"/>
      <w:bookmarkEnd w:id="3"/>
      <w:bookmarkEnd w:id="4"/>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77426"/>
      <w:bookmarkStart w:id="7" w:name="_Toc15377194"/>
      <w:bookmarkStart w:id="8" w:name="_Toc15396598"/>
      <w:bookmarkStart w:id="9" w:name="_Toc15378442"/>
      <w:bookmarkStart w:id="10" w:name="_Toc15396476"/>
      <w:r>
        <w:rPr>
          <w:rFonts w:hint="eastAsia" w:ascii="方正小标宋简体" w:hAnsi="方正小标宋简体" w:eastAsia="方正小标宋简体" w:cs="方正小标宋简体"/>
          <w:sz w:val="72"/>
          <w:szCs w:val="72"/>
        </w:rPr>
        <w:t>四川省</w:t>
      </w:r>
      <w:bookmarkEnd w:id="5"/>
      <w:bookmarkStart w:id="11" w:name="_Toc15306268"/>
      <w:r>
        <w:rPr>
          <w:rFonts w:hint="eastAsia" w:ascii="方正小标宋简体" w:hAnsi="方正小标宋简体" w:eastAsia="方正小标宋简体" w:cs="方正小标宋简体"/>
          <w:sz w:val="72"/>
          <w:szCs w:val="72"/>
        </w:rPr>
        <w:t>中共峨眉山市委</w:t>
      </w: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政法委员会部门决算</w:t>
      </w:r>
      <w:bookmarkEnd w:id="6"/>
      <w:bookmarkEnd w:id="7"/>
      <w:bookmarkEnd w:id="8"/>
      <w:bookmarkEnd w:id="9"/>
      <w:bookmarkEnd w:id="10"/>
      <w:bookmarkEnd w:id="11"/>
    </w:p>
    <w:p>
      <w:pPr>
        <w:widowControl/>
        <w:spacing w:line="600" w:lineRule="exact"/>
        <w:jc w:val="center"/>
        <w:rPr>
          <w:rFonts w:ascii="黑体" w:hAnsi="黑体" w:eastAsia="黑体"/>
          <w:sz w:val="48"/>
          <w:szCs w:val="48"/>
        </w:rPr>
      </w:pPr>
      <w:r>
        <w:rPr>
          <w:rFonts w:ascii="方正小标宋简体" w:hAnsi="宋体" w:eastAsia="方正小标宋简体"/>
          <w:sz w:val="36"/>
          <w:szCs w:val="36"/>
        </w:rPr>
        <w:br w:type="page"/>
      </w:r>
      <w:r>
        <w:rPr>
          <w:rFonts w:hint="eastAsia" w:ascii="方正小标宋_GBK" w:hAnsi="方正小标宋_GBK" w:eastAsia="方正小标宋_GBK" w:cs="方正小标宋_GBK"/>
          <w:b/>
          <w:bCs/>
          <w:sz w:val="44"/>
          <w:szCs w:val="44"/>
        </w:rPr>
        <w:t>目录</w:t>
      </w:r>
    </w:p>
    <w:p>
      <w:pPr>
        <w:pStyle w:val="10"/>
        <w:spacing w:line="600" w:lineRule="exact"/>
        <w:rPr>
          <w:rFonts w:ascii="楷体_GB2312" w:hAnsi="楷体_GB2312" w:eastAsia="楷体_GB2312" w:cs="楷体_GB2312"/>
          <w:sz w:val="32"/>
          <w:szCs w:val="32"/>
        </w:rPr>
      </w:pPr>
      <w:r>
        <w:rPr>
          <w:rFonts w:hint="eastAsia" w:ascii="楷体_GB2312" w:hAnsi="楷体_GB2312" w:eastAsia="楷体_GB2312" w:cs="楷体_GB2312"/>
          <w:sz w:val="32"/>
          <w:szCs w:val="32"/>
        </w:rPr>
        <w:t>公开时间：2023年11月30日</w:t>
      </w:r>
    </w:p>
    <w:p>
      <w:pPr>
        <w:spacing w:line="600" w:lineRule="exact"/>
      </w:pPr>
    </w:p>
    <w:p>
      <w:pPr>
        <w:pStyle w:val="10"/>
        <w:adjustRightInd w:val="0"/>
        <w:snapToGrid w:val="0"/>
        <w:spacing w:before="0" w:line="600" w:lineRule="exact"/>
        <w:jc w:val="left"/>
        <w:rPr>
          <w:rFonts w:ascii="黑体" w:hAnsi="黑体" w:eastAsia="黑体" w:cs="黑体"/>
          <w:sz w:val="32"/>
          <w:szCs w:val="32"/>
        </w:rPr>
      </w:pPr>
      <w:r>
        <w:rPr>
          <w:rFonts w:hint="eastAsia" w:ascii="黑体" w:hAnsi="黑体" w:eastAsia="黑体" w:cs="黑体"/>
          <w:sz w:val="32"/>
          <w:szCs w:val="32"/>
        </w:rPr>
        <w:t>第一部分 部门概况</w:t>
      </w:r>
    </w:p>
    <w:p>
      <w:pPr>
        <w:pStyle w:val="11"/>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一、基本职能及主要工作……………………………………4</w:t>
      </w:r>
    </w:p>
    <w:p>
      <w:pPr>
        <w:pStyle w:val="11"/>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二、机构设置…………………………………………………5</w:t>
      </w:r>
    </w:p>
    <w:p>
      <w:pPr>
        <w:pStyle w:val="10"/>
        <w:adjustRightInd w:val="0"/>
        <w:snapToGrid w:val="0"/>
        <w:spacing w:before="0" w:line="600" w:lineRule="exact"/>
        <w:jc w:val="left"/>
        <w:rPr>
          <w:rFonts w:ascii="黑体" w:hAnsi="黑体" w:eastAsia="黑体" w:cs="黑体"/>
          <w:sz w:val="32"/>
          <w:szCs w:val="32"/>
        </w:rPr>
      </w:pPr>
      <w:r>
        <w:rPr>
          <w:rFonts w:hint="eastAsia" w:ascii="黑体" w:hAnsi="黑体" w:eastAsia="黑体" w:cs="黑体"/>
          <w:sz w:val="32"/>
          <w:szCs w:val="32"/>
        </w:rPr>
        <w:t>第二部分 2022年度部门决算情况说明</w:t>
      </w:r>
    </w:p>
    <w:p>
      <w:pPr>
        <w:pStyle w:val="11"/>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一、收入支出决算总体情况说明……………………………5</w:t>
      </w:r>
    </w:p>
    <w:p>
      <w:pPr>
        <w:pStyle w:val="11"/>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二、收入决算情况说明………………………………………6</w:t>
      </w:r>
    </w:p>
    <w:p>
      <w:pPr>
        <w:pStyle w:val="11"/>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三、支出决算情况说明………………………………………6</w:t>
      </w:r>
    </w:p>
    <w:p>
      <w:pPr>
        <w:pStyle w:val="11"/>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四、财政拨款收入支出决算总体情况说明…………………7</w:t>
      </w:r>
    </w:p>
    <w:p>
      <w:pPr>
        <w:pStyle w:val="11"/>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五、一般公共预算财政拨款支出决算情况说明……………8</w:t>
      </w:r>
    </w:p>
    <w:p>
      <w:pPr>
        <w:pStyle w:val="11"/>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六、一般公共预算财政拨款基本支出决算情况说明………11</w:t>
      </w:r>
    </w:p>
    <w:p>
      <w:pPr>
        <w:pStyle w:val="11"/>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七、“三公”经费财政拨款支出决算情况说明……………12</w:t>
      </w:r>
    </w:p>
    <w:p>
      <w:pPr>
        <w:pStyle w:val="11"/>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八、政府性基金预算支出决算情况说明……………………14</w:t>
      </w:r>
    </w:p>
    <w:p>
      <w:pPr>
        <w:pStyle w:val="11"/>
        <w:adjustRightInd w:val="0"/>
        <w:snapToGrid w:val="0"/>
        <w:spacing w:line="600" w:lineRule="exact"/>
        <w:ind w:leftChars="0"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九、国有资本经营预算支出决算情况说明…………………14</w:t>
      </w:r>
    </w:p>
    <w:p>
      <w:pPr>
        <w:adjustRightInd w:val="0"/>
        <w:snapToGrid w:val="0"/>
        <w:spacing w:line="600" w:lineRule="exact"/>
        <w:ind w:left="420" w:leftChars="200"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十、其他重要事项的情况说明………………………………14</w:t>
      </w:r>
    </w:p>
    <w:p>
      <w:pPr>
        <w:pStyle w:val="10"/>
        <w:adjustRightInd w:val="0"/>
        <w:snapToGrid w:val="0"/>
        <w:spacing w:before="0" w:line="600" w:lineRule="exact"/>
        <w:jc w:val="left"/>
        <w:rPr>
          <w:rFonts w:ascii="黑体" w:hAnsi="黑体" w:eastAsia="黑体" w:cs="黑体"/>
          <w:sz w:val="32"/>
          <w:szCs w:val="32"/>
        </w:rPr>
      </w:pPr>
      <w:r>
        <w:rPr>
          <w:rFonts w:hint="eastAsia" w:ascii="黑体" w:hAnsi="黑体" w:eastAsia="黑体" w:cs="黑体"/>
          <w:sz w:val="32"/>
          <w:szCs w:val="32"/>
        </w:rPr>
        <w:t>第三部分 名词解释</w:t>
      </w:r>
    </w:p>
    <w:p>
      <w:pPr>
        <w:pStyle w:val="10"/>
        <w:adjustRightInd w:val="0"/>
        <w:snapToGrid w:val="0"/>
        <w:spacing w:before="0" w:line="600" w:lineRule="exact"/>
        <w:jc w:val="left"/>
        <w:rPr>
          <w:rFonts w:ascii="黑体" w:hAnsi="黑体" w:eastAsia="黑体" w:cs="黑体"/>
          <w:sz w:val="32"/>
          <w:szCs w:val="32"/>
        </w:rPr>
      </w:pPr>
      <w:r>
        <w:rPr>
          <w:rFonts w:hint="eastAsia" w:ascii="黑体" w:hAnsi="黑体" w:eastAsia="黑体" w:cs="黑体"/>
          <w:sz w:val="32"/>
          <w:szCs w:val="32"/>
        </w:rPr>
        <w:t>第四部分 附件</w:t>
      </w:r>
    </w:p>
    <w:p>
      <w:pPr>
        <w:pStyle w:val="10"/>
        <w:adjustRightInd w:val="0"/>
        <w:snapToGrid w:val="0"/>
        <w:spacing w:before="0" w:line="600" w:lineRule="exact"/>
        <w:jc w:val="left"/>
        <w:rPr>
          <w:rFonts w:ascii="黑体" w:hAnsi="黑体" w:eastAsia="黑体" w:cs="黑体"/>
          <w:sz w:val="32"/>
          <w:szCs w:val="32"/>
        </w:rPr>
      </w:pPr>
      <w:r>
        <w:rPr>
          <w:rFonts w:hint="eastAsia" w:ascii="黑体" w:hAnsi="黑体" w:eastAsia="黑体" w:cs="黑体"/>
          <w:sz w:val="32"/>
          <w:szCs w:val="32"/>
        </w:rPr>
        <w:t>第五部分 附表</w:t>
      </w:r>
    </w:p>
    <w:p>
      <w:pPr>
        <w:pStyle w:val="11"/>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p>
    <w:p>
      <w:pPr>
        <w:pStyle w:val="11"/>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二、收入决算表</w:t>
      </w:r>
    </w:p>
    <w:p>
      <w:pPr>
        <w:pStyle w:val="11"/>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三、支出决算表</w:t>
      </w:r>
    </w:p>
    <w:p>
      <w:pPr>
        <w:pStyle w:val="11"/>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四、财政拨款收入支出决算总表</w:t>
      </w:r>
    </w:p>
    <w:p>
      <w:pPr>
        <w:pStyle w:val="11"/>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五、财政拨款支出决算明细表</w:t>
      </w:r>
    </w:p>
    <w:p>
      <w:pPr>
        <w:pStyle w:val="11"/>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六、一般公共预算财政拨款支出决算表</w:t>
      </w:r>
    </w:p>
    <w:p>
      <w:pPr>
        <w:pStyle w:val="11"/>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七、一般公共预算财政拨款支出决算明细表</w:t>
      </w:r>
    </w:p>
    <w:p>
      <w:pPr>
        <w:pStyle w:val="11"/>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八、一般公共预算财政拨款基本支出决算表</w:t>
      </w:r>
    </w:p>
    <w:p>
      <w:pPr>
        <w:pStyle w:val="11"/>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九、一般公共预算财政拨款项目支出决算表</w:t>
      </w:r>
    </w:p>
    <w:p>
      <w:pPr>
        <w:pStyle w:val="11"/>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十、一般公共预算财政拨款“三公”经费支出决算表</w:t>
      </w:r>
    </w:p>
    <w:p>
      <w:pPr>
        <w:pStyle w:val="11"/>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十一、政府性基金预算财政拨款收入支出决算表</w:t>
      </w:r>
    </w:p>
    <w:p>
      <w:pPr>
        <w:pStyle w:val="11"/>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十二、政府性基金预算财政拨款“三公”经费支出决算表</w:t>
      </w:r>
    </w:p>
    <w:p>
      <w:pPr>
        <w:pStyle w:val="11"/>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十三、国有资本经营预算财政拨款收入支出决算表</w:t>
      </w:r>
    </w:p>
    <w:p>
      <w:pPr>
        <w:pStyle w:val="11"/>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十四、国有资本经营预算财政拨款支出决算表</w:t>
      </w:r>
    </w:p>
    <w:p>
      <w:pPr>
        <w:widowControl/>
        <w:spacing w:line="600" w:lineRule="exact"/>
        <w:jc w:val="left"/>
        <w:rPr>
          <w:rFonts w:ascii="仿宋_GB2312" w:hAnsi="仿宋_GB2312" w:eastAsia="仿宋_GB2312" w:cs="仿宋_GB2312"/>
          <w:bCs/>
          <w:kern w:val="44"/>
          <w:sz w:val="32"/>
          <w:szCs w:val="32"/>
        </w:rPr>
      </w:pPr>
      <w:bookmarkStart w:id="12" w:name="_Toc15377196"/>
      <w:bookmarkStart w:id="13" w:name="_Toc15396599"/>
      <w:r>
        <w:rPr>
          <w:rFonts w:hint="eastAsia" w:ascii="仿宋_GB2312" w:hAnsi="仿宋_GB2312" w:eastAsia="仿宋_GB2312" w:cs="仿宋_GB2312"/>
          <w:b/>
          <w:sz w:val="32"/>
          <w:szCs w:val="32"/>
        </w:rPr>
        <w:br w:type="page"/>
      </w:r>
    </w:p>
    <w:p>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第一部分 部门概况</w:t>
      </w:r>
      <w:bookmarkEnd w:id="12"/>
      <w:bookmarkEnd w:id="13"/>
    </w:p>
    <w:p>
      <w:pPr>
        <w:spacing w:line="600" w:lineRule="exact"/>
        <w:rPr>
          <w:rFonts w:ascii="仿宋_GB2312" w:hAnsi="仿宋_GB2312" w:eastAsia="仿宋_GB2312" w:cs="仿宋_GB2312"/>
          <w:sz w:val="32"/>
          <w:szCs w:val="32"/>
        </w:rPr>
      </w:pPr>
    </w:p>
    <w:p>
      <w:pPr>
        <w:spacing w:line="600" w:lineRule="exact"/>
        <w:ind w:firstLine="640" w:firstLineChars="200"/>
        <w:rPr>
          <w:rFonts w:ascii="黑体" w:hAnsi="黑体" w:eastAsia="黑体" w:cs="黑体"/>
          <w:sz w:val="32"/>
          <w:szCs w:val="32"/>
        </w:rPr>
      </w:pPr>
      <w:bookmarkStart w:id="14" w:name="_Toc15377197"/>
      <w:bookmarkStart w:id="15" w:name="_Toc15396600"/>
      <w:r>
        <w:rPr>
          <w:rFonts w:hint="eastAsia" w:ascii="黑体" w:hAnsi="黑体" w:eastAsia="黑体" w:cs="黑体"/>
          <w:sz w:val="32"/>
          <w:szCs w:val="32"/>
        </w:rPr>
        <w:t>一、</w:t>
      </w:r>
      <w:bookmarkEnd w:id="14"/>
      <w:bookmarkEnd w:id="15"/>
      <w:r>
        <w:rPr>
          <w:rFonts w:hint="eastAsia" w:ascii="黑体" w:hAnsi="黑体" w:eastAsia="黑体" w:cs="黑体"/>
          <w:sz w:val="32"/>
          <w:szCs w:val="32"/>
        </w:rPr>
        <w:t>部门职责</w:t>
      </w:r>
    </w:p>
    <w:p>
      <w:pPr>
        <w:snapToGrid w:val="0"/>
        <w:spacing w:line="600" w:lineRule="exact"/>
        <w:ind w:firstLine="640" w:firstLineChars="200"/>
        <w:rPr>
          <w:rFonts w:ascii="仿宋_GB2312" w:hAnsi="仿宋" w:eastAsia="仿宋_GB2312"/>
          <w:sz w:val="32"/>
          <w:szCs w:val="32"/>
        </w:rPr>
      </w:pPr>
      <w:bookmarkStart w:id="16" w:name="_Toc15377198"/>
      <w:bookmarkStart w:id="17" w:name="_Toc15378445"/>
      <w:r>
        <w:rPr>
          <w:rFonts w:hint="eastAsia" w:ascii="楷体_GB2312" w:hAnsi="楷体_GB2312" w:eastAsia="楷体_GB2312" w:cs="楷体_GB2312"/>
          <w:sz w:val="32"/>
          <w:szCs w:val="32"/>
        </w:rPr>
        <w:t>（一）主要职能</w:t>
      </w:r>
      <w:bookmarkEnd w:id="16"/>
      <w:bookmarkEnd w:id="17"/>
    </w:p>
    <w:p>
      <w:pPr>
        <w:snapToGrid w:val="0"/>
        <w:spacing w:line="600" w:lineRule="exact"/>
        <w:ind w:firstLine="640" w:firstLineChars="200"/>
        <w:rPr>
          <w:rFonts w:ascii="仿宋_GB2312" w:hAnsi="仿宋" w:eastAsia="仿宋_GB2312"/>
          <w:sz w:val="32"/>
          <w:szCs w:val="32"/>
          <w:highlight w:val="yellow"/>
        </w:rPr>
      </w:pPr>
      <w:r>
        <w:rPr>
          <w:rFonts w:hint="eastAsia" w:ascii="仿宋_GB2312" w:eastAsia="仿宋_GB2312"/>
          <w:color w:val="0C0C0C"/>
          <w:sz w:val="32"/>
          <w:szCs w:val="32"/>
        </w:rPr>
        <w:t>协调、指导全市政法工作；组织、协调全市维护社会稳定工作；健全完善社会稳定风险评估机制；加强涉稳信息收集报送；妥善化解涉稳风险；积极协助党委、政府及相关部门依法妥善处理各类群体性事件；加强社会治安综合治理，坚持和完善综合治理目标责任制，创新社会治理，提升基层社会治理能力；加强对全市矛盾纠纷大调解工作的指导和协调，进一步完善矛盾纠纷多元化解体系；深入开展对敌斗争，常态化开展扫黑除恶斗争，护航重要节点和敏感时段，确保全市社会大局稳定有序。</w:t>
      </w:r>
    </w:p>
    <w:p>
      <w:pPr>
        <w:spacing w:line="600" w:lineRule="exact"/>
        <w:ind w:firstLine="640" w:firstLineChars="200"/>
        <w:rPr>
          <w:rFonts w:ascii="楷体_GB2312" w:hAnsi="楷体_GB2312" w:eastAsia="楷体_GB2312" w:cs="楷体_GB2312"/>
          <w:sz w:val="32"/>
          <w:szCs w:val="32"/>
        </w:rPr>
      </w:pPr>
      <w:bookmarkStart w:id="18" w:name="_Toc15377199"/>
      <w:bookmarkStart w:id="19" w:name="_Toc15378446"/>
      <w:r>
        <w:rPr>
          <w:rFonts w:hint="eastAsia" w:ascii="楷体_GB2312" w:hAnsi="楷体_GB2312" w:eastAsia="楷体_GB2312" w:cs="楷体_GB2312"/>
          <w:sz w:val="32"/>
          <w:szCs w:val="32"/>
        </w:rPr>
        <w:t>（二）2022年重点工作完成情况</w:t>
      </w:r>
      <w:bookmarkEnd w:id="18"/>
      <w:bookmarkEnd w:id="19"/>
    </w:p>
    <w:p>
      <w:r>
        <w:rPr>
          <w:rFonts w:hint="eastAsia" w:ascii="仿宋_GB2312" w:hAnsi="仿宋_GB2312" w:eastAsia="仿宋_GB2312" w:cs="仿宋_GB2312"/>
          <w:sz w:val="32"/>
          <w:szCs w:val="32"/>
        </w:rPr>
        <w:t xml:space="preserve">    2022年，在市委的坚强领导下，全市政法系统深入贯彻习近平法治思想，全面学习宣传贯彻党的二十大精神，全面落实中央、省委、乐山市委及峨眉山市委决策部署，加快推进市域社会治理现代化和政法领域全面深化改革，进一步巩固政法队伍教育整顿成果，全力做好防风险、保安全、护稳定、促发展各项工作，为党的二十大胜利召开创造了安全稳定的政治社会环境，推动了政法工作高质量发展。</w:t>
      </w:r>
    </w:p>
    <w:p>
      <w:pPr>
        <w:spacing w:line="600" w:lineRule="exact"/>
        <w:ind w:firstLine="640" w:firstLineChars="200"/>
        <w:rPr>
          <w:rFonts w:ascii="黑体" w:hAnsi="黑体" w:eastAsia="黑体" w:cs="黑体"/>
          <w:sz w:val="32"/>
          <w:szCs w:val="32"/>
        </w:rPr>
      </w:pPr>
      <w:bookmarkStart w:id="20" w:name="_Toc15377200"/>
      <w:bookmarkStart w:id="21" w:name="_Toc15396601"/>
      <w:r>
        <w:rPr>
          <w:rFonts w:hint="eastAsia" w:ascii="黑体" w:hAnsi="黑体" w:eastAsia="黑体" w:cs="黑体"/>
          <w:sz w:val="32"/>
          <w:szCs w:val="32"/>
        </w:rPr>
        <w:t>二、机构设置</w:t>
      </w:r>
      <w:bookmarkEnd w:id="20"/>
      <w:bookmarkEnd w:id="21"/>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中共峨眉山市委政法委员会属一级单位，其中行政单位1个，参照公务员法管理的事业单位0个，其他事业单位1个。</w:t>
      </w:r>
    </w:p>
    <w:p>
      <w:pPr>
        <w:spacing w:line="600" w:lineRule="exact"/>
        <w:ind w:firstLine="640" w:firstLineChars="200"/>
        <w:rPr>
          <w:rFonts w:ascii="仿宋_GB2312" w:hAnsi="仿宋_GB2312" w:eastAsia="仿宋_GB2312" w:cs="仿宋_GB2312"/>
          <w:sz w:val="32"/>
          <w:szCs w:val="32"/>
        </w:rPr>
      </w:pPr>
      <w:bookmarkStart w:id="22" w:name="_Toc15377204"/>
      <w:bookmarkStart w:id="23" w:name="_Toc15396602"/>
      <w:r>
        <w:rPr>
          <w:rFonts w:hint="eastAsia" w:ascii="仿宋_GB2312" w:hAnsi="仿宋_GB2312" w:eastAsia="仿宋_GB2312" w:cs="仿宋_GB2312"/>
          <w:sz w:val="32"/>
          <w:szCs w:val="32"/>
        </w:rPr>
        <w:t>纳入中共峨眉山市委政法委员会2022年度部门决算编制范围的二级预算单位包括：峨眉山市综合治理服务中心</w:t>
      </w:r>
    </w:p>
    <w:p>
      <w:pPr>
        <w:spacing w:line="600" w:lineRule="exact"/>
        <w:jc w:val="center"/>
        <w:rPr>
          <w:rFonts w:ascii="仿宋_GB2312" w:hAnsi="仿宋_GB2312" w:eastAsia="仿宋_GB2312" w:cs="仿宋_GB2312"/>
          <w:sz w:val="32"/>
          <w:szCs w:val="32"/>
        </w:rPr>
      </w:pPr>
    </w:p>
    <w:p>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第二部分 2022年度部门决算情况说明</w:t>
      </w:r>
      <w:bookmarkEnd w:id="22"/>
      <w:bookmarkEnd w:id="23"/>
    </w:p>
    <w:p>
      <w:pPr>
        <w:spacing w:line="600" w:lineRule="exact"/>
      </w:pPr>
    </w:p>
    <w:p>
      <w:pPr>
        <w:pStyle w:val="23"/>
        <w:numPr>
          <w:ilvl w:val="0"/>
          <w:numId w:val="1"/>
        </w:numPr>
        <w:spacing w:line="600" w:lineRule="exact"/>
        <w:ind w:firstLineChars="0"/>
        <w:outlineLvl w:val="1"/>
        <w:rPr>
          <w:rStyle w:val="25"/>
          <w:rFonts w:ascii="黑体" w:hAnsi="黑体" w:eastAsia="黑体"/>
          <w:b w:val="0"/>
        </w:rPr>
      </w:pPr>
      <w:bookmarkStart w:id="24" w:name="_Toc15396603"/>
      <w:bookmarkStart w:id="25" w:name="_Toc15377205"/>
      <w:r>
        <w:rPr>
          <w:rFonts w:hint="eastAsia" w:ascii="黑体" w:hAnsi="黑体" w:eastAsia="黑体"/>
          <w:sz w:val="32"/>
          <w:szCs w:val="32"/>
        </w:rPr>
        <w:t>收</w:t>
      </w:r>
      <w:r>
        <w:rPr>
          <w:rStyle w:val="25"/>
          <w:rFonts w:hint="eastAsia" w:ascii="黑体" w:hAnsi="黑体" w:eastAsia="黑体"/>
          <w:b w:val="0"/>
        </w:rPr>
        <w:t>入支出决算总体情况说明</w:t>
      </w:r>
      <w:bookmarkEnd w:id="24"/>
      <w:bookmarkEnd w:id="25"/>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2022年度收、支总计1143.69万元。与2021年相比，收、支总计各增加537.89万元，上升88.79%。主要变动原因是项目资金有所增加。</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（图1：收、支决算总计变动情况图）（柱状图）</w:t>
      </w:r>
    </w:p>
    <w:p>
      <w:pPr>
        <w:pStyle w:val="2"/>
        <w:spacing w:before="93"/>
        <w:jc w:val="center"/>
      </w:pPr>
      <w:r>
        <w:drawing>
          <wp:inline distT="0" distB="0" distL="0" distR="0">
            <wp:extent cx="4914900" cy="2533650"/>
            <wp:effectExtent l="19050" t="0" r="1905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2"/>
        <w:spacing w:before="93"/>
        <w:jc w:val="center"/>
      </w:pPr>
    </w:p>
    <w:p>
      <w:pPr>
        <w:pStyle w:val="23"/>
        <w:numPr>
          <w:ilvl w:val="0"/>
          <w:numId w:val="1"/>
        </w:numPr>
        <w:spacing w:line="600" w:lineRule="exact"/>
        <w:ind w:firstLineChars="0"/>
        <w:outlineLvl w:val="1"/>
        <w:rPr>
          <w:rStyle w:val="25"/>
          <w:rFonts w:ascii="黑体" w:hAnsi="黑体" w:eastAsia="黑体"/>
          <w:b w:val="0"/>
        </w:rPr>
      </w:pPr>
      <w:bookmarkStart w:id="26" w:name="_Toc15396604"/>
      <w:bookmarkStart w:id="27" w:name="_Toc15377206"/>
      <w:r>
        <w:rPr>
          <w:rFonts w:hint="eastAsia" w:ascii="黑体" w:hAnsi="黑体" w:eastAsia="黑体"/>
          <w:sz w:val="32"/>
          <w:szCs w:val="32"/>
        </w:rPr>
        <w:t>收</w:t>
      </w:r>
      <w:r>
        <w:rPr>
          <w:rStyle w:val="25"/>
          <w:rFonts w:hint="eastAsia" w:ascii="黑体" w:hAnsi="黑体" w:eastAsia="黑体"/>
          <w:b w:val="0"/>
        </w:rPr>
        <w:t>入决算情况说明</w:t>
      </w:r>
      <w:bookmarkEnd w:id="26"/>
      <w:bookmarkEnd w:id="27"/>
    </w:p>
    <w:p>
      <w:pPr>
        <w:spacing w:line="60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2022年本年收入合计1141.75万元，其中：一般公共预算财政拨款收入706.72万元，占61.9%；政府性基金预算财政拨款收入435.04万元，占38.1%；国有资本经营预算财政拨款收入0万元，占0%；上级补助收入0万元，占0%；事业收入0万元，占0%；经营收入0万元，占0%；附属单位上缴收入0万元，占0%；其他收入0万元，占0%。</w:t>
      </w:r>
    </w:p>
    <w:p>
      <w:pPr>
        <w:spacing w:line="60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（注：数据来源于财决01表，仅罗列本部门涉及的收入。）</w:t>
      </w:r>
    </w:p>
    <w:p>
      <w:pPr>
        <w:spacing w:line="600" w:lineRule="exact"/>
        <w:ind w:firstLine="640" w:firstLineChars="200"/>
      </w:pPr>
      <w:r>
        <w:rPr>
          <w:rFonts w:hint="eastAsia" w:ascii="仿宋_GB2312" w:hAnsi="仿宋_GB2312" w:eastAsia="仿宋_GB2312" w:cs="仿宋_GB2312"/>
          <w:sz w:val="32"/>
          <w:szCs w:val="32"/>
        </w:rPr>
        <w:t>（图2：收入决算结构图）（饼状图）</w:t>
      </w:r>
    </w:p>
    <w:p>
      <w:pPr>
        <w:pStyle w:val="2"/>
        <w:spacing w:before="93"/>
      </w:pPr>
      <w:r>
        <w:rPr>
          <w:rFonts w:hint="eastAsia"/>
        </w:rPr>
        <w:drawing>
          <wp:inline distT="0" distB="0" distL="0" distR="0">
            <wp:extent cx="5362575" cy="2409825"/>
            <wp:effectExtent l="19050" t="0" r="9525" b="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rPr>
          <w:rFonts w:ascii="仿宋_GB2312" w:eastAsia="仿宋_GB2312"/>
          <w:sz w:val="32"/>
          <w:szCs w:val="32"/>
        </w:rPr>
      </w:pPr>
    </w:p>
    <w:p>
      <w:pPr>
        <w:pStyle w:val="23"/>
        <w:numPr>
          <w:ilvl w:val="0"/>
          <w:numId w:val="1"/>
        </w:numPr>
        <w:spacing w:line="600" w:lineRule="exact"/>
        <w:ind w:firstLineChars="0"/>
        <w:outlineLvl w:val="1"/>
        <w:rPr>
          <w:rStyle w:val="25"/>
          <w:rFonts w:ascii="黑体" w:hAnsi="黑体" w:eastAsia="黑体"/>
          <w:b w:val="0"/>
        </w:rPr>
      </w:pPr>
      <w:bookmarkStart w:id="28" w:name="_Toc15396605"/>
      <w:bookmarkStart w:id="29" w:name="_Toc15377207"/>
      <w:r>
        <w:rPr>
          <w:rFonts w:hint="eastAsia" w:ascii="黑体" w:hAnsi="黑体" w:eastAsia="黑体"/>
          <w:sz w:val="32"/>
          <w:szCs w:val="32"/>
        </w:rPr>
        <w:t>支</w:t>
      </w:r>
      <w:r>
        <w:rPr>
          <w:rStyle w:val="25"/>
          <w:rFonts w:hint="eastAsia" w:ascii="黑体" w:hAnsi="黑体" w:eastAsia="黑体"/>
          <w:b w:val="0"/>
        </w:rPr>
        <w:t>出决算情况说明</w:t>
      </w:r>
      <w:bookmarkEnd w:id="28"/>
      <w:bookmarkEnd w:id="29"/>
    </w:p>
    <w:p>
      <w:pPr>
        <w:spacing w:line="60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2022年本年支出合计1141.75万元，其中：基本支出434.01万元，占38.01%；项目支出707.74万元，占61.99%；上缴上级支出0万元，占0%；经营支出0万元，占0%；对附属单位补助支出0万元，占0%。</w:t>
      </w:r>
    </w:p>
    <w:p>
      <w:pPr>
        <w:spacing w:line="600" w:lineRule="exact"/>
        <w:ind w:firstLine="640" w:firstLineChars="200"/>
        <w:outlineLvl w:val="1"/>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（注：数据来源于财决04表，仅罗列本部门涉及的支出。）</w:t>
      </w:r>
    </w:p>
    <w:p>
      <w:pPr>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（图3：支出决算结构图）（饼状图）</w:t>
      </w:r>
    </w:p>
    <w:p>
      <w:pPr>
        <w:pStyle w:val="2"/>
        <w:spacing w:before="93"/>
      </w:pPr>
      <w:r>
        <w:drawing>
          <wp:inline distT="0" distB="0" distL="0" distR="0">
            <wp:extent cx="4676775" cy="2667000"/>
            <wp:effectExtent l="19050" t="0" r="9525" b="0"/>
            <wp:docPr id="7"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580" w:lineRule="exact"/>
        <w:ind w:firstLine="800" w:firstLineChars="250"/>
        <w:outlineLvl w:val="1"/>
        <w:rPr>
          <w:rStyle w:val="25"/>
          <w:rFonts w:ascii="黑体" w:hAnsi="黑体" w:eastAsia="黑体"/>
          <w:b w:val="0"/>
        </w:rPr>
      </w:pPr>
      <w:bookmarkStart w:id="30" w:name="_Toc15377208"/>
      <w:bookmarkStart w:id="31" w:name="_Toc15396606"/>
      <w:r>
        <w:rPr>
          <w:rFonts w:hint="eastAsia" w:ascii="黑体" w:hAnsi="黑体" w:eastAsia="黑体"/>
          <w:sz w:val="32"/>
          <w:szCs w:val="32"/>
        </w:rPr>
        <w:t>四、财</w:t>
      </w:r>
      <w:r>
        <w:rPr>
          <w:rStyle w:val="25"/>
          <w:rFonts w:hint="eastAsia" w:ascii="黑体" w:hAnsi="黑体" w:eastAsia="黑体"/>
          <w:b w:val="0"/>
        </w:rPr>
        <w:t>政拨款收入支出决算总体情况说明</w:t>
      </w:r>
      <w:bookmarkEnd w:id="30"/>
      <w:bookmarkEnd w:id="31"/>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2022年财政拨款收、支总计1143.69万元。与2021年相比，财政拨款收、支总计各增加537.89万元，上升88.79%。主要变动原因是项目资金增加。</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（注：数据来源于财决01-1表）</w:t>
      </w:r>
    </w:p>
    <w:p>
      <w:pPr>
        <w:ind w:firstLine="640" w:firstLineChars="200"/>
      </w:pPr>
      <w:r>
        <w:rPr>
          <w:rFonts w:hint="eastAsia" w:ascii="仿宋_GB2312" w:hAnsi="仿宋_GB2312" w:eastAsia="仿宋_GB2312" w:cs="仿宋_GB2312"/>
          <w:sz w:val="32"/>
          <w:szCs w:val="32"/>
        </w:rPr>
        <w:t>（图4：财政拨款收、支决算总计变动情况）（柱状图）</w:t>
      </w:r>
    </w:p>
    <w:p>
      <w:pPr>
        <w:pStyle w:val="2"/>
        <w:spacing w:before="93"/>
      </w:pPr>
      <w:r>
        <w:rPr>
          <w:rFonts w:hint="eastAsia"/>
        </w:rPr>
        <w:drawing>
          <wp:inline distT="0" distB="0" distL="0" distR="0">
            <wp:extent cx="5325110" cy="2811145"/>
            <wp:effectExtent l="4445" t="4445" r="23495" b="2286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outlineLvl w:val="1"/>
        <w:rPr>
          <w:rStyle w:val="25"/>
          <w:rFonts w:ascii="黑体" w:hAnsi="黑体" w:eastAsia="黑体"/>
          <w:b w:val="0"/>
        </w:rPr>
      </w:pPr>
      <w:bookmarkStart w:id="32" w:name="_Toc15396607"/>
      <w:bookmarkStart w:id="33" w:name="_Toc15377209"/>
      <w:r>
        <w:rPr>
          <w:rFonts w:hint="eastAsia" w:ascii="黑体" w:hAnsi="黑体" w:eastAsia="黑体"/>
          <w:sz w:val="32"/>
          <w:szCs w:val="32"/>
        </w:rPr>
        <w:t>五、</w:t>
      </w:r>
      <w:r>
        <w:rPr>
          <w:rFonts w:hint="eastAsia" w:ascii="黑体" w:hAnsi="黑体" w:eastAsia="黑体"/>
          <w:b/>
          <w:sz w:val="32"/>
          <w:szCs w:val="32"/>
        </w:rPr>
        <w:t>一</w:t>
      </w:r>
      <w:r>
        <w:rPr>
          <w:rStyle w:val="25"/>
          <w:rFonts w:hint="eastAsia" w:ascii="黑体" w:hAnsi="黑体" w:eastAsia="黑体"/>
          <w:b w:val="0"/>
        </w:rPr>
        <w:t>般公共预算财政拨款支出决算情况说明</w:t>
      </w:r>
      <w:bookmarkEnd w:id="32"/>
      <w:bookmarkEnd w:id="33"/>
    </w:p>
    <w:p>
      <w:pPr>
        <w:spacing w:line="600" w:lineRule="exact"/>
        <w:ind w:firstLine="640" w:firstLineChars="200"/>
        <w:outlineLvl w:val="2"/>
        <w:rPr>
          <w:rFonts w:ascii="楷体_GB2312" w:hAnsi="楷体_GB2312" w:eastAsia="楷体_GB2312" w:cs="楷体_GB2312"/>
          <w:bCs/>
          <w:sz w:val="32"/>
          <w:szCs w:val="32"/>
        </w:rPr>
      </w:pPr>
      <w:bookmarkStart w:id="34" w:name="_Toc15377210"/>
      <w:r>
        <w:rPr>
          <w:rFonts w:hint="eastAsia" w:ascii="楷体_GB2312" w:hAnsi="楷体_GB2312" w:eastAsia="楷体_GB2312" w:cs="楷体_GB2312"/>
          <w:bCs/>
          <w:sz w:val="32"/>
          <w:szCs w:val="32"/>
        </w:rPr>
        <w:t>（一）一般公共预算财政拨款支出决算总体情况</w:t>
      </w:r>
      <w:bookmarkEnd w:id="34"/>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22年一般公共预算财政拨款支出706.72万元，占本年支出合计的61.89</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21年相比，一般公共预算财政拨款支出增加244.6万元，上升52.93</w:t>
      </w:r>
      <w:r>
        <w:rPr>
          <w:rFonts w:ascii="仿宋" w:hAnsi="仿宋" w:eastAsia="仿宋"/>
          <w:sz w:val="32"/>
          <w:szCs w:val="32"/>
        </w:rPr>
        <w:t>%</w:t>
      </w:r>
      <w:r>
        <w:rPr>
          <w:rFonts w:hint="eastAsia" w:ascii="仿宋" w:hAnsi="仿宋" w:eastAsia="仿宋"/>
          <w:sz w:val="32"/>
          <w:szCs w:val="32"/>
        </w:rPr>
        <w:t>。主要变动原因是项目资金有所增加。</w:t>
      </w:r>
    </w:p>
    <w:p>
      <w:pPr>
        <w:spacing w:line="600" w:lineRule="exact"/>
        <w:ind w:firstLine="640" w:firstLineChars="200"/>
      </w:pPr>
      <w:r>
        <w:rPr>
          <w:rFonts w:hint="eastAsia" w:ascii="仿宋" w:hAnsi="仿宋" w:eastAsia="仿宋"/>
          <w:sz w:val="32"/>
          <w:szCs w:val="32"/>
        </w:rPr>
        <w:t>（图5：一般公共预算财政拨款支出决算变动情况）（柱状图）</w:t>
      </w:r>
    </w:p>
    <w:p>
      <w:pPr>
        <w:pStyle w:val="2"/>
        <w:spacing w:before="93"/>
      </w:pPr>
      <w:r>
        <w:rPr>
          <w:rFonts w:hint="eastAsia"/>
        </w:rPr>
        <w:drawing>
          <wp:inline distT="0" distB="0" distL="0" distR="0">
            <wp:extent cx="5486400" cy="3200400"/>
            <wp:effectExtent l="19050" t="0" r="19050"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480" w:firstLineChars="150"/>
        <w:outlineLvl w:val="2"/>
        <w:rPr>
          <w:rFonts w:ascii="楷体_GB2312" w:hAnsi="楷体_GB2312" w:eastAsia="楷体_GB2312" w:cs="楷体_GB2312"/>
          <w:bCs/>
          <w:sz w:val="32"/>
          <w:szCs w:val="32"/>
        </w:rPr>
      </w:pPr>
      <w:bookmarkStart w:id="35" w:name="_Toc15377211"/>
      <w:r>
        <w:rPr>
          <w:rFonts w:hint="eastAsia" w:ascii="楷体_GB2312" w:hAnsi="楷体_GB2312" w:eastAsia="楷体_GB2312" w:cs="楷体_GB2312"/>
          <w:bCs/>
          <w:sz w:val="32"/>
          <w:szCs w:val="32"/>
        </w:rPr>
        <w:t>（二）一般公共预算财政拨款支出决算结构情况</w:t>
      </w:r>
      <w:bookmarkEnd w:id="35"/>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2022年一般公共预算财政拨款支出</w:t>
      </w:r>
      <w:r>
        <w:rPr>
          <w:rFonts w:hint="eastAsia" w:ascii="仿宋" w:hAnsi="仿宋" w:eastAsia="仿宋"/>
          <w:sz w:val="32"/>
          <w:szCs w:val="32"/>
        </w:rPr>
        <w:t>706.72</w:t>
      </w:r>
      <w:r>
        <w:rPr>
          <w:rFonts w:hint="eastAsia" w:ascii="仿宋_GB2312" w:hAnsi="仿宋_GB2312" w:eastAsia="仿宋_GB2312" w:cs="仿宋_GB2312"/>
          <w:sz w:val="32"/>
          <w:szCs w:val="32"/>
        </w:rPr>
        <w:t>万元，主要用于以下方面:一般公共服务（类）支出626.41万元，占88.64%；教育支出（类）0万元，占0%；科学技术（类）支出0万元，占0%；文化旅游体育与传媒（类）支出0万元，占0%；社会保障和就业（类）支出37.13万元，占5.25%；卫生健康支出10.33万元，占1.46%；住房保障支出32.85万元，占4.65%；公共安全（类）支出0万元，占0%。</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（注：数据来源于财决01-1表，仅罗列本部门涉及的全部功能分类科目，至类级。）</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（图6：一般公共预算财政拨款支出决算结构）（饼状图）</w:t>
      </w:r>
    </w:p>
    <w:p>
      <w:pPr>
        <w:pStyle w:val="2"/>
        <w:spacing w:before="93"/>
      </w:pPr>
      <w:r>
        <w:rPr>
          <w:rFonts w:hint="eastAsia"/>
        </w:rPr>
        <w:drawing>
          <wp:inline distT="0" distB="0" distL="0" distR="0">
            <wp:extent cx="5486400" cy="3200400"/>
            <wp:effectExtent l="19050" t="0" r="19050" b="0"/>
            <wp:docPr id="9"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firstLineChars="200"/>
        <w:outlineLvl w:val="2"/>
        <w:rPr>
          <w:rFonts w:ascii="楷体_GB2312" w:hAnsi="楷体_GB2312" w:eastAsia="楷体_GB2312" w:cs="楷体_GB2312"/>
          <w:bCs/>
          <w:sz w:val="32"/>
          <w:szCs w:val="32"/>
        </w:rPr>
      </w:pPr>
      <w:bookmarkStart w:id="36" w:name="_Toc15377212"/>
      <w:r>
        <w:rPr>
          <w:rFonts w:hint="eastAsia" w:ascii="楷体_GB2312" w:hAnsi="楷体_GB2312" w:eastAsia="楷体_GB2312" w:cs="楷体_GB2312"/>
          <w:bCs/>
          <w:sz w:val="32"/>
          <w:szCs w:val="32"/>
        </w:rPr>
        <w:t>（三）一般公共预算财政拨款支出决算具体情况</w:t>
      </w:r>
      <w:bookmarkEnd w:id="36"/>
    </w:p>
    <w:p>
      <w:pPr>
        <w:spacing w:line="600" w:lineRule="exact"/>
        <w:ind w:firstLine="640" w:firstLineChars="200"/>
        <w:outlineLvl w:val="2"/>
        <w:rPr>
          <w:rFonts w:ascii="仿宋_GB2312" w:hAnsi="仿宋_GB2312" w:eastAsia="仿宋_GB2312" w:cs="仿宋_GB2312"/>
          <w:bCs/>
          <w:sz w:val="32"/>
          <w:szCs w:val="32"/>
        </w:rPr>
      </w:pPr>
      <w:bookmarkStart w:id="37" w:name="_Toc15378460"/>
      <w:bookmarkStart w:id="38" w:name="_Toc15377213"/>
      <w:bookmarkStart w:id="39" w:name="_Toc15377444"/>
      <w:r>
        <w:rPr>
          <w:rFonts w:hint="eastAsia" w:ascii="仿宋_GB2312" w:hAnsi="仿宋_GB2312" w:eastAsia="仿宋_GB2312" w:cs="仿宋_GB2312"/>
          <w:bCs/>
          <w:sz w:val="32"/>
          <w:szCs w:val="32"/>
        </w:rPr>
        <w:t>2022年一般公共预算支出决算数为</w:t>
      </w:r>
      <w:r>
        <w:rPr>
          <w:rFonts w:hint="eastAsia" w:ascii="仿宋" w:hAnsi="仿宋" w:eastAsia="仿宋"/>
          <w:sz w:val="32"/>
          <w:szCs w:val="32"/>
        </w:rPr>
        <w:t>706.72</w:t>
      </w:r>
      <w:r>
        <w:rPr>
          <w:rFonts w:hint="eastAsia" w:ascii="仿宋_GB2312" w:hAnsi="仿宋_GB2312" w:eastAsia="仿宋_GB2312" w:cs="仿宋_GB2312"/>
          <w:bCs/>
          <w:sz w:val="32"/>
          <w:szCs w:val="32"/>
        </w:rPr>
        <w:t>万元，</w:t>
      </w:r>
      <w:r>
        <w:rPr>
          <w:rStyle w:val="14"/>
          <w:rFonts w:hint="eastAsia" w:ascii="仿宋_GB2312" w:hAnsi="仿宋_GB2312" w:eastAsia="仿宋_GB2312" w:cs="仿宋_GB2312"/>
          <w:b w:val="0"/>
          <w:bCs/>
          <w:sz w:val="32"/>
          <w:szCs w:val="32"/>
        </w:rPr>
        <w:t>完成预算100%。其中：</w:t>
      </w:r>
      <w:bookmarkEnd w:id="37"/>
      <w:bookmarkEnd w:id="38"/>
      <w:bookmarkEnd w:id="39"/>
    </w:p>
    <w:p>
      <w:pPr>
        <w:spacing w:line="600" w:lineRule="exact"/>
        <w:ind w:firstLine="640" w:firstLineChars="200"/>
        <w:rPr>
          <w:rFonts w:ascii="仿宋_GB2312" w:hAnsi="仿宋_GB2312" w:eastAsia="仿宋_GB2312" w:cs="仿宋_GB2312"/>
          <w:bCs/>
          <w:sz w:val="32"/>
          <w:szCs w:val="32"/>
        </w:rPr>
      </w:pPr>
      <w:r>
        <w:rPr>
          <w:rStyle w:val="14"/>
          <w:rFonts w:hint="eastAsia" w:ascii="仿宋_GB2312" w:hAnsi="仿宋_GB2312" w:eastAsia="仿宋_GB2312" w:cs="仿宋_GB2312"/>
          <w:b w:val="0"/>
          <w:bCs/>
          <w:sz w:val="32"/>
          <w:szCs w:val="32"/>
        </w:rPr>
        <w:t>1.一般公共服务201（类）其他共产党事务支出36（款）行政运行01（项）: 支出决算为296.22万元，完成预算100%，决算数与预算数持平；一般公共服务201（类）其他共产党事务支出36（款）一般行政管理事务02（项）: 支出决算为272.7万元，完成预算100%，决算数与预算数持平；一般公共服务201（类）其他共产党事务支出36（款）事业运行50（项）:支出决算为57.49万元，完成预算100%，决算数与预算数持平。</w:t>
      </w:r>
    </w:p>
    <w:p>
      <w:pPr>
        <w:spacing w:line="600" w:lineRule="exact"/>
        <w:ind w:firstLine="640" w:firstLineChars="200"/>
        <w:rPr>
          <w:rFonts w:ascii="仿宋_GB2312" w:hAnsi="仿宋_GB2312" w:eastAsia="仿宋_GB2312" w:cs="仿宋_GB2312"/>
          <w:bCs/>
          <w:sz w:val="32"/>
          <w:szCs w:val="32"/>
        </w:rPr>
      </w:pPr>
      <w:r>
        <w:rPr>
          <w:rStyle w:val="14"/>
          <w:rFonts w:hint="eastAsia" w:ascii="仿宋_GB2312" w:hAnsi="仿宋_GB2312" w:eastAsia="仿宋_GB2312" w:cs="仿宋_GB2312"/>
          <w:b w:val="0"/>
          <w:bCs/>
          <w:sz w:val="32"/>
          <w:szCs w:val="32"/>
        </w:rPr>
        <w:t>2.教育（类）（款）（项）: 支出决算为0万元，完成预算0%。</w:t>
      </w:r>
    </w:p>
    <w:p>
      <w:pPr>
        <w:spacing w:line="600" w:lineRule="exact"/>
        <w:ind w:firstLine="640" w:firstLineChars="200"/>
        <w:rPr>
          <w:rFonts w:ascii="仿宋_GB2312" w:hAnsi="仿宋_GB2312" w:eastAsia="仿宋_GB2312" w:cs="仿宋_GB2312"/>
          <w:bCs/>
          <w:sz w:val="32"/>
          <w:szCs w:val="32"/>
        </w:rPr>
      </w:pPr>
      <w:r>
        <w:rPr>
          <w:rStyle w:val="14"/>
          <w:rFonts w:hint="eastAsia" w:ascii="仿宋_GB2312" w:hAnsi="仿宋_GB2312" w:eastAsia="仿宋_GB2312" w:cs="仿宋_GB2312"/>
          <w:b w:val="0"/>
          <w:bCs/>
          <w:sz w:val="32"/>
          <w:szCs w:val="32"/>
        </w:rPr>
        <w:t>3.科学技术（类）（款）（项）: 支出决算为0万元，完成预算0%。</w:t>
      </w:r>
    </w:p>
    <w:p>
      <w:pPr>
        <w:spacing w:line="600" w:lineRule="exact"/>
        <w:ind w:firstLine="640" w:firstLineChars="200"/>
        <w:rPr>
          <w:rFonts w:ascii="仿宋_GB2312" w:hAnsi="仿宋_GB2312" w:eastAsia="仿宋_GB2312" w:cs="仿宋_GB2312"/>
          <w:bCs/>
          <w:sz w:val="32"/>
          <w:szCs w:val="32"/>
        </w:rPr>
      </w:pPr>
      <w:r>
        <w:rPr>
          <w:rStyle w:val="14"/>
          <w:rFonts w:hint="eastAsia" w:ascii="仿宋_GB2312" w:hAnsi="仿宋_GB2312" w:eastAsia="仿宋_GB2312" w:cs="仿宋_GB2312"/>
          <w:b w:val="0"/>
          <w:bCs/>
          <w:sz w:val="32"/>
          <w:szCs w:val="32"/>
        </w:rPr>
        <w:t>4.文化旅游体育与传媒（类）（款）（项）: 支出决算为0万元，完成预算0%。</w:t>
      </w:r>
    </w:p>
    <w:p>
      <w:pPr>
        <w:spacing w:line="600" w:lineRule="exact"/>
        <w:ind w:firstLine="640" w:firstLineChars="200"/>
        <w:rPr>
          <w:rFonts w:ascii="仿宋_GB2312" w:hAnsi="仿宋_GB2312" w:eastAsia="仿宋_GB2312" w:cs="仿宋_GB2312"/>
          <w:bCs/>
          <w:sz w:val="32"/>
          <w:szCs w:val="32"/>
        </w:rPr>
      </w:pPr>
      <w:r>
        <w:rPr>
          <w:rStyle w:val="14"/>
          <w:rFonts w:hint="eastAsia" w:ascii="仿宋_GB2312" w:hAnsi="仿宋_GB2312" w:eastAsia="仿宋_GB2312" w:cs="仿宋_GB2312"/>
          <w:b w:val="0"/>
          <w:bCs/>
          <w:sz w:val="32"/>
          <w:szCs w:val="32"/>
        </w:rPr>
        <w:t>5.社会保障和就业208（类）行政事业单位养老支出05（款）机关事业单位基本养老保险缴费支出05（项）: 支出决算为23.9万元，完成预算100%，决算数与预算数持平; 社会保障和就业208（类）行政事业单位养老支出05（款）机关事业单位职业年金缴费支出06（项）: 支出决算为11.95万元，完成预算100%，决算数与预算数持平; 社会保障和就业208（类）其他社会保障和就业支出99（款）其他社会保障和就业支出99（项）: 支出决算为1.29万元，完成预算100%，决算数与预算数持平。</w:t>
      </w:r>
    </w:p>
    <w:p>
      <w:pPr>
        <w:spacing w:line="600" w:lineRule="exact"/>
        <w:ind w:firstLine="640" w:firstLineChars="200"/>
        <w:rPr>
          <w:rStyle w:val="14"/>
          <w:rFonts w:ascii="仿宋_GB2312" w:hAnsi="仿宋_GB2312" w:eastAsia="仿宋_GB2312" w:cs="仿宋_GB2312"/>
          <w:b w:val="0"/>
          <w:bCs/>
          <w:sz w:val="32"/>
          <w:szCs w:val="32"/>
        </w:rPr>
      </w:pPr>
      <w:r>
        <w:rPr>
          <w:rStyle w:val="14"/>
          <w:rFonts w:hint="eastAsia" w:ascii="仿宋_GB2312" w:hAnsi="仿宋_GB2312" w:eastAsia="仿宋_GB2312" w:cs="仿宋_GB2312"/>
          <w:b w:val="0"/>
          <w:bCs/>
          <w:sz w:val="32"/>
          <w:szCs w:val="32"/>
        </w:rPr>
        <w:t>6.</w:t>
      </w:r>
      <w:r>
        <w:rPr>
          <w:rFonts w:hint="eastAsia" w:ascii="仿宋_GB2312" w:hAnsi="仿宋_GB2312" w:eastAsia="仿宋_GB2312" w:cs="仿宋_GB2312"/>
          <w:bCs/>
          <w:sz w:val="32"/>
          <w:szCs w:val="32"/>
        </w:rPr>
        <w:t>卫生健康210</w:t>
      </w:r>
      <w:r>
        <w:rPr>
          <w:rStyle w:val="14"/>
          <w:rFonts w:hint="eastAsia" w:ascii="仿宋_GB2312" w:hAnsi="仿宋_GB2312" w:eastAsia="仿宋_GB2312" w:cs="仿宋_GB2312"/>
          <w:b w:val="0"/>
          <w:bCs/>
          <w:sz w:val="32"/>
          <w:szCs w:val="32"/>
        </w:rPr>
        <w:t>（类）行政事业单位医疗11（款）行政单位医疗01（项）:支出决算为8.56万元，完成预算100%，决算数与预算数持平；</w:t>
      </w:r>
      <w:r>
        <w:rPr>
          <w:rFonts w:hint="eastAsia" w:ascii="仿宋_GB2312" w:hAnsi="仿宋_GB2312" w:eastAsia="仿宋_GB2312" w:cs="仿宋_GB2312"/>
          <w:bCs/>
          <w:sz w:val="32"/>
          <w:szCs w:val="32"/>
        </w:rPr>
        <w:t>卫生健康210</w:t>
      </w:r>
      <w:r>
        <w:rPr>
          <w:rStyle w:val="14"/>
          <w:rFonts w:hint="eastAsia" w:ascii="仿宋_GB2312" w:hAnsi="仿宋_GB2312" w:eastAsia="仿宋_GB2312" w:cs="仿宋_GB2312"/>
          <w:b w:val="0"/>
          <w:bCs/>
          <w:sz w:val="32"/>
          <w:szCs w:val="32"/>
        </w:rPr>
        <w:t>（类）行政事业单位医疗11（款）事业单位医疗02（项）:支出决算为1.77万元，完成预算100%，决算数与预算数持平。</w:t>
      </w:r>
    </w:p>
    <w:p>
      <w:pPr>
        <w:spacing w:line="600" w:lineRule="exact"/>
        <w:ind w:firstLine="640" w:firstLineChars="200"/>
        <w:rPr>
          <w:rStyle w:val="14"/>
          <w:rFonts w:ascii="仿宋_GB2312" w:hAnsi="仿宋_GB2312" w:eastAsia="仿宋_GB2312" w:cs="仿宋_GB2312"/>
          <w:b w:val="0"/>
          <w:bCs/>
          <w:sz w:val="32"/>
          <w:szCs w:val="32"/>
        </w:rPr>
      </w:pPr>
      <w:r>
        <w:rPr>
          <w:rStyle w:val="14"/>
          <w:rFonts w:hint="eastAsia" w:ascii="仿宋_GB2312" w:hAnsi="仿宋_GB2312" w:eastAsia="仿宋_GB2312" w:cs="仿宋_GB2312"/>
          <w:b w:val="0"/>
          <w:bCs/>
          <w:sz w:val="32"/>
          <w:szCs w:val="32"/>
        </w:rPr>
        <w:t>7. 住房保障支出221(类)住房改革支出02（款）住房公积金01（项）:支出决算为32.85万元,完成预算100%，决算数与预算数持平。</w:t>
      </w:r>
    </w:p>
    <w:p>
      <w:pPr>
        <w:spacing w:line="600" w:lineRule="exact"/>
        <w:ind w:firstLine="640" w:firstLineChars="200"/>
        <w:rPr>
          <w:rStyle w:val="14"/>
          <w:rFonts w:ascii="仿宋_GB2312" w:hAnsi="仿宋_GB2312" w:eastAsia="仿宋_GB2312" w:cs="仿宋_GB2312"/>
          <w:b w:val="0"/>
          <w:bCs/>
          <w:sz w:val="32"/>
          <w:szCs w:val="32"/>
        </w:rPr>
      </w:pPr>
      <w:r>
        <w:rPr>
          <w:rStyle w:val="14"/>
          <w:rFonts w:hint="eastAsia" w:ascii="仿宋_GB2312" w:hAnsi="仿宋_GB2312" w:eastAsia="仿宋_GB2312" w:cs="仿宋_GB2312"/>
          <w:b w:val="0"/>
          <w:bCs/>
          <w:sz w:val="32"/>
          <w:szCs w:val="32"/>
        </w:rPr>
        <w:t>8. 公共安全支出(类)（款）（项）:支出决算为0万元,完成预算0%。</w:t>
      </w:r>
    </w:p>
    <w:p>
      <w:pPr>
        <w:spacing w:line="60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（注：数据来源于财决01-1表和财决08表，仅罗列本部门涉及的全部功能分类科目，至项级。上述“预算”口径为调整预算数。增减变动原因为决算数&lt;项级&gt;和调整预算数&lt;项级&gt;比较。）</w:t>
      </w:r>
    </w:p>
    <w:p>
      <w:pPr>
        <w:spacing w:line="600" w:lineRule="exact"/>
        <w:ind w:firstLine="640"/>
        <w:rPr>
          <w:rFonts w:ascii="仿宋_GB2312" w:hAnsi="仿宋_GB2312" w:eastAsia="仿宋_GB2312" w:cs="仿宋_GB2312"/>
          <w:bCs/>
          <w:sz w:val="32"/>
          <w:szCs w:val="32"/>
        </w:rPr>
      </w:pPr>
    </w:p>
    <w:p>
      <w:pPr>
        <w:tabs>
          <w:tab w:val="right" w:pos="8306"/>
        </w:tabs>
        <w:spacing w:line="600" w:lineRule="exact"/>
        <w:ind w:firstLine="640"/>
        <w:outlineLvl w:val="1"/>
        <w:rPr>
          <w:rStyle w:val="25"/>
        </w:rPr>
      </w:pPr>
      <w:bookmarkStart w:id="40" w:name="_Toc15377214"/>
      <w:bookmarkStart w:id="41"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5"/>
          <w:rFonts w:hint="eastAsia" w:ascii="黑体" w:hAnsi="黑体" w:eastAsia="黑体"/>
          <w:b w:val="0"/>
        </w:rPr>
        <w:t>般公共预算财政拨款基本支出决算情况说明</w:t>
      </w:r>
      <w:bookmarkEnd w:id="40"/>
      <w:bookmarkEnd w:id="41"/>
      <w:r>
        <w:rPr>
          <w:rStyle w:val="25"/>
          <w:rFonts w:ascii="黑体" w:hAnsi="黑体" w:eastAsia="黑体"/>
          <w:b w:val="0"/>
        </w:rPr>
        <w:tab/>
      </w:r>
    </w:p>
    <w:p>
      <w:pPr>
        <w:spacing w:line="60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2022年一般公共预算财政拨款基本支出434.01万元，其中：</w:t>
      </w:r>
    </w:p>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人员经费368.27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公用经费65.74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（注：数据来源于财决07表和财决08-1表，仅罗列本部门实际支出涉及的经济分类科目。）</w:t>
      </w:r>
    </w:p>
    <w:p>
      <w:pPr>
        <w:spacing w:line="600" w:lineRule="exact"/>
        <w:ind w:firstLine="800" w:firstLineChars="250"/>
        <w:outlineLvl w:val="1"/>
        <w:rPr>
          <w:rFonts w:ascii="黑体" w:eastAsia="黑体"/>
          <w:sz w:val="32"/>
          <w:szCs w:val="32"/>
        </w:rPr>
      </w:pPr>
      <w:bookmarkStart w:id="42" w:name="_Toc15377215"/>
      <w:bookmarkStart w:id="43" w:name="_Toc15396609"/>
    </w:p>
    <w:p>
      <w:pPr>
        <w:spacing w:line="600" w:lineRule="exact"/>
        <w:ind w:firstLine="800" w:firstLineChars="250"/>
        <w:outlineLvl w:val="1"/>
        <w:rPr>
          <w:rStyle w:val="25"/>
          <w:rFonts w:ascii="黑体" w:hAnsi="黑体" w:eastAsia="黑体"/>
          <w:b w:val="0"/>
        </w:rPr>
      </w:pPr>
      <w:r>
        <w:rPr>
          <w:rFonts w:hint="eastAsia" w:ascii="黑体" w:eastAsia="黑体"/>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42"/>
      <w:bookmarkEnd w:id="43"/>
    </w:p>
    <w:p>
      <w:pPr>
        <w:spacing w:line="600" w:lineRule="exact"/>
        <w:ind w:firstLine="640"/>
        <w:outlineLvl w:val="2"/>
        <w:rPr>
          <w:rFonts w:ascii="楷体_GB2312" w:hAnsi="楷体_GB2312" w:eastAsia="楷体_GB2312" w:cs="楷体_GB2312"/>
          <w:bCs/>
          <w:sz w:val="32"/>
          <w:szCs w:val="32"/>
        </w:rPr>
      </w:pPr>
      <w:bookmarkStart w:id="44" w:name="_Toc15377216"/>
      <w:r>
        <w:rPr>
          <w:rFonts w:hint="eastAsia" w:ascii="楷体_GB2312" w:hAnsi="楷体_GB2312" w:eastAsia="楷体_GB2312" w:cs="楷体_GB2312"/>
          <w:bCs/>
          <w:sz w:val="32"/>
          <w:szCs w:val="32"/>
        </w:rPr>
        <w:t>（一）“三公”经费财政拨款支出决算总体情况说明</w:t>
      </w:r>
      <w:bookmarkEnd w:id="44"/>
    </w:p>
    <w:p>
      <w:pPr>
        <w:spacing w:line="600" w:lineRule="exact"/>
        <w:ind w:firstLine="640" w:firstLineChars="200"/>
        <w:rPr>
          <w:rStyle w:val="14"/>
          <w:rFonts w:ascii="仿宋_GB2312" w:hAnsi="仿宋_GB2312" w:eastAsia="仿宋_GB2312" w:cs="仿宋_GB2312"/>
          <w:b w:val="0"/>
          <w:bCs/>
          <w:sz w:val="32"/>
          <w:szCs w:val="32"/>
        </w:rPr>
      </w:pPr>
      <w:r>
        <w:rPr>
          <w:rFonts w:hint="eastAsia" w:ascii="仿宋_GB2312" w:hAnsi="仿宋_GB2312" w:eastAsia="仿宋_GB2312" w:cs="仿宋_GB2312"/>
          <w:sz w:val="32"/>
          <w:szCs w:val="32"/>
        </w:rPr>
        <w:t>2022年“三公”经费财政拨款支出决算为13万元，完成预算100%，</w:t>
      </w:r>
      <w:r>
        <w:rPr>
          <w:rStyle w:val="14"/>
          <w:rFonts w:hint="eastAsia" w:ascii="仿宋_GB2312" w:hAnsi="仿宋_GB2312" w:eastAsia="仿宋_GB2312" w:cs="仿宋_GB2312"/>
          <w:b w:val="0"/>
          <w:bCs/>
          <w:sz w:val="32"/>
          <w:szCs w:val="32"/>
        </w:rPr>
        <w:t>决算数与预算数持平。</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（注：上述“预算”口径为调整预算数。）</w:t>
      </w:r>
    </w:p>
    <w:p>
      <w:pPr>
        <w:spacing w:line="600" w:lineRule="exact"/>
        <w:ind w:firstLine="640"/>
        <w:outlineLvl w:val="2"/>
        <w:rPr>
          <w:rFonts w:ascii="楷体_GB2312" w:hAnsi="楷体_GB2312" w:eastAsia="楷体_GB2312" w:cs="楷体_GB2312"/>
          <w:bCs/>
          <w:sz w:val="32"/>
          <w:szCs w:val="32"/>
        </w:rPr>
      </w:pPr>
      <w:bookmarkStart w:id="45" w:name="_Toc15377217"/>
      <w:r>
        <w:rPr>
          <w:rFonts w:hint="eastAsia" w:ascii="楷体_GB2312" w:hAnsi="楷体_GB2312" w:eastAsia="楷体_GB2312" w:cs="楷体_GB2312"/>
          <w:bCs/>
          <w:sz w:val="32"/>
          <w:szCs w:val="32"/>
        </w:rPr>
        <w:t>（二）“三公”经费财政拨款支出决算具体情况说明</w:t>
      </w:r>
      <w:bookmarkEnd w:id="45"/>
    </w:p>
    <w:p>
      <w:pPr>
        <w:spacing w:line="600" w:lineRule="exact"/>
        <w:ind w:firstLine="640"/>
        <w:rPr>
          <w:rFonts w:ascii="仿宋_GB2312" w:hAnsi="仿宋_GB2312" w:eastAsia="仿宋_GB2312" w:cs="仿宋_GB2312"/>
          <w:b/>
          <w:sz w:val="32"/>
          <w:szCs w:val="32"/>
        </w:rPr>
      </w:pPr>
      <w:r>
        <w:rPr>
          <w:rFonts w:hint="eastAsia" w:ascii="仿宋_GB2312" w:hAnsi="仿宋_GB2312" w:eastAsia="仿宋_GB2312" w:cs="仿宋_GB2312"/>
          <w:sz w:val="32"/>
          <w:szCs w:val="32"/>
        </w:rPr>
        <w:t>2022年“三公”经费财政拨款支出决算中，因公出国（境）费支出决算0万元，占0%；公务用车购置及运行维护费支出决算11.33万元，占87.15%；公务接待费支出决算1.67万元，占12.85%。具体情况如下：</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b/>
          <w:sz w:val="32"/>
          <w:szCs w:val="32"/>
        </w:rPr>
        <w:t>（图7：“三公”经费财政拨款支出结构）</w:t>
      </w:r>
      <w:r>
        <w:rPr>
          <w:rFonts w:hint="eastAsia" w:ascii="仿宋_GB2312" w:hAnsi="仿宋_GB2312" w:eastAsia="仿宋_GB2312" w:cs="仿宋_GB2312"/>
          <w:sz w:val="32"/>
          <w:szCs w:val="32"/>
        </w:rPr>
        <w:t>（饼状图）</w:t>
      </w:r>
    </w:p>
    <w:p>
      <w:pPr>
        <w:pStyle w:val="2"/>
        <w:spacing w:before="93"/>
      </w:pPr>
      <w:r>
        <w:rPr>
          <w:rFonts w:hint="eastAsia"/>
        </w:rPr>
        <w:drawing>
          <wp:inline distT="0" distB="0" distL="0" distR="0">
            <wp:extent cx="4810125" cy="2638425"/>
            <wp:effectExtent l="19050" t="0" r="9525" b="0"/>
            <wp:docPr id="10"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pStyle w:val="2"/>
        <w:spacing w:before="93"/>
      </w:pPr>
    </w:p>
    <w:p>
      <w:pPr>
        <w:spacing w:line="60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1．因公出国（境）经费支出0万元，</w:t>
      </w:r>
      <w:r>
        <w:rPr>
          <w:rStyle w:val="14"/>
          <w:rFonts w:hint="eastAsia" w:ascii="仿宋_GB2312" w:hAnsi="仿宋_GB2312" w:eastAsia="仿宋_GB2312" w:cs="仿宋_GB2312"/>
          <w:b w:val="0"/>
          <w:sz w:val="32"/>
          <w:szCs w:val="32"/>
        </w:rPr>
        <w:t>完成预算0%。</w:t>
      </w:r>
      <w:r>
        <w:rPr>
          <w:rFonts w:hint="eastAsia" w:ascii="仿宋_GB2312" w:hAnsi="仿宋_GB2312" w:eastAsia="仿宋_GB2312" w:cs="仿宋_GB2312"/>
          <w:sz w:val="32"/>
          <w:szCs w:val="32"/>
        </w:rPr>
        <w:t>全年安排因公出国（境）团组0次，出国（境）0人。因公出国（境）支出决算与2021年持平。</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2．公务用车购置及运行维护费支出11.33万元,</w:t>
      </w:r>
      <w:r>
        <w:rPr>
          <w:rStyle w:val="14"/>
          <w:rFonts w:hint="eastAsia" w:ascii="仿宋_GB2312" w:hAnsi="仿宋_GB2312" w:eastAsia="仿宋_GB2312" w:cs="仿宋_GB2312"/>
          <w:b w:val="0"/>
          <w:sz w:val="32"/>
          <w:szCs w:val="32"/>
        </w:rPr>
        <w:t>完成预算100%。</w:t>
      </w:r>
      <w:r>
        <w:rPr>
          <w:rFonts w:hint="eastAsia" w:ascii="仿宋_GB2312" w:hAnsi="仿宋_GB2312" w:eastAsia="仿宋_GB2312" w:cs="仿宋_GB2312"/>
          <w:sz w:val="32"/>
          <w:szCs w:val="32"/>
        </w:rPr>
        <w:t>公务用车购置及运行维护费支出决算比2021年增加7.54万元，上升198.94%。主要原因是2021年财政资金尚未到位，存在支付2021年公务用车运行维护费近5万元。</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其中：公务用车购置支出0万元。全年按规定更新购置公务用车0辆，其中：轿车0辆、金额0万元，越野车0辆、金额0万元，载客汽车0辆、金额0元，</w:t>
      </w:r>
      <w:r>
        <w:rPr>
          <w:rFonts w:hint="eastAsia" w:ascii="仿宋_GB2312" w:hAnsi="仿宋_GB2312" w:eastAsia="仿宋_GB2312" w:cs="仿宋_GB2312"/>
          <w:color w:val="000000"/>
          <w:sz w:val="32"/>
          <w:szCs w:val="32"/>
        </w:rPr>
        <w:t>截至2022年12月底，单位共有公务用车2辆，其中：轿车2辆、越野车0辆、载客汽车0辆。</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公务用车运行维护费支出11.33万元。主要用于</w:t>
      </w:r>
      <w:r>
        <w:rPr>
          <w:rFonts w:hint="eastAsia" w:ascii="仿宋_GB2312" w:hAnsi="仿宋_GB2312" w:eastAsia="仿宋_GB2312" w:cs="仿宋_GB2312"/>
          <w:color w:val="000000"/>
          <w:sz w:val="32"/>
          <w:szCs w:val="32"/>
        </w:rPr>
        <w:t>综治、维稳、大调解、扫黑除恶、防邪及日常公务</w:t>
      </w:r>
      <w:r>
        <w:rPr>
          <w:rFonts w:hint="eastAsia" w:ascii="仿宋_GB2312" w:hAnsi="仿宋_GB2312" w:eastAsia="仿宋_GB2312" w:cs="仿宋_GB2312"/>
          <w:sz w:val="32"/>
          <w:szCs w:val="32"/>
        </w:rPr>
        <w:t>等所需的公务用车燃料费、维修费、过路过桥费、保险费等支出。</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3．公务接待费支出1.67万元，</w:t>
      </w:r>
      <w:r>
        <w:rPr>
          <w:rStyle w:val="14"/>
          <w:rFonts w:hint="eastAsia" w:ascii="仿宋_GB2312" w:hAnsi="仿宋_GB2312" w:eastAsia="仿宋_GB2312" w:cs="仿宋_GB2312"/>
          <w:b w:val="0"/>
          <w:sz w:val="32"/>
          <w:szCs w:val="32"/>
        </w:rPr>
        <w:t>完成预算100%。</w:t>
      </w:r>
      <w:r>
        <w:rPr>
          <w:rFonts w:hint="eastAsia" w:ascii="仿宋_GB2312" w:hAnsi="仿宋_GB2312" w:eastAsia="仿宋_GB2312" w:cs="仿宋_GB2312"/>
          <w:sz w:val="32"/>
          <w:szCs w:val="32"/>
        </w:rPr>
        <w:t>公务接待费支出决算比2021年资金0.03万元，上升1.83 %。主要原因是公务接待任务有所增加。其中：</w:t>
      </w:r>
    </w:p>
    <w:p>
      <w:pPr>
        <w:spacing w:line="60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国内公务接待支出1.67万元，</w:t>
      </w:r>
      <w:r>
        <w:rPr>
          <w:rFonts w:hint="eastAsia" w:ascii="仿宋_GB2312" w:hAnsi="仿宋_GB2312" w:eastAsia="仿宋_GB2312" w:cs="仿宋_GB2312"/>
          <w:color w:val="000000"/>
          <w:sz w:val="32"/>
          <w:szCs w:val="32"/>
        </w:rPr>
        <w:t>主要用于执行公务、开展业务活动开支的交通费、住宿费、用餐费等</w:t>
      </w:r>
      <w:r>
        <w:rPr>
          <w:rFonts w:hint="eastAsia" w:ascii="仿宋_GB2312" w:hAnsi="仿宋_GB2312" w:eastAsia="仿宋_GB2312" w:cs="仿宋_GB2312"/>
          <w:sz w:val="32"/>
          <w:szCs w:val="32"/>
        </w:rPr>
        <w:t>。国内公务接待15批次，210人次（不包括陪同人员），共计支出1.67万元，</w:t>
      </w:r>
      <w:r>
        <w:rPr>
          <w:rFonts w:hint="eastAsia" w:ascii="仿宋_GB2312" w:hAnsi="仿宋_GB2312" w:eastAsia="仿宋_GB2312" w:cs="仿宋_GB2312"/>
          <w:color w:val="000000"/>
          <w:sz w:val="32"/>
          <w:szCs w:val="32"/>
        </w:rPr>
        <w:t>具体内容包括：上级部门督导、检查、调研维稳工作0.49万元、综治工作0.273万元、扫黑除恶工作0.2万元、防邪工作0.71万元。</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外事接待支出0万元，外事接待0批次，0人，共计支出0万元。</w:t>
      </w:r>
    </w:p>
    <w:p>
      <w:pPr>
        <w:spacing w:line="600" w:lineRule="exact"/>
        <w:ind w:firstLine="640"/>
        <w:outlineLvl w:val="1"/>
        <w:rPr>
          <w:rFonts w:ascii="仿宋_GB2312" w:hAnsi="仿宋_GB2312" w:eastAsia="仿宋_GB2312" w:cs="仿宋_GB2312"/>
          <w:sz w:val="32"/>
          <w:szCs w:val="32"/>
        </w:rPr>
      </w:pPr>
      <w:bookmarkStart w:id="46" w:name="_Toc15377218"/>
      <w:bookmarkStart w:id="47" w:name="_Toc15396610"/>
    </w:p>
    <w:p>
      <w:pPr>
        <w:spacing w:line="600" w:lineRule="exact"/>
        <w:ind w:firstLine="640"/>
        <w:outlineLvl w:val="1"/>
        <w:rPr>
          <w:rStyle w:val="25"/>
          <w:rFonts w:ascii="黑体" w:hAnsi="黑体" w:eastAsia="黑体"/>
        </w:rPr>
      </w:pPr>
      <w:r>
        <w:rPr>
          <w:rFonts w:hint="eastAsia" w:ascii="黑体" w:eastAsia="黑体"/>
          <w:sz w:val="32"/>
          <w:szCs w:val="32"/>
        </w:rPr>
        <w:t>八、</w:t>
      </w:r>
      <w:r>
        <w:rPr>
          <w:rStyle w:val="25"/>
          <w:rFonts w:hint="eastAsia" w:ascii="黑体" w:hAnsi="黑体" w:eastAsia="黑体"/>
          <w:b w:val="0"/>
        </w:rPr>
        <w:t>政府性基金预算支出决算情况说明</w:t>
      </w:r>
      <w:bookmarkEnd w:id="46"/>
      <w:bookmarkEnd w:id="47"/>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22年政府性基金预算财政拨款支出435万元。</w:t>
      </w:r>
    </w:p>
    <w:p>
      <w:pPr>
        <w:spacing w:line="600" w:lineRule="exact"/>
        <w:ind w:firstLine="640"/>
        <w:rPr>
          <w:rFonts w:ascii="仿宋_GB2312" w:eastAsia="仿宋_GB2312"/>
          <w:sz w:val="32"/>
          <w:szCs w:val="32"/>
        </w:rPr>
      </w:pPr>
    </w:p>
    <w:p>
      <w:pPr>
        <w:numPr>
          <w:ilvl w:val="0"/>
          <w:numId w:val="2"/>
        </w:numPr>
        <w:spacing w:line="600" w:lineRule="exact"/>
        <w:ind w:firstLine="640"/>
        <w:outlineLvl w:val="1"/>
        <w:rPr>
          <w:rStyle w:val="25"/>
          <w:rFonts w:ascii="黑体" w:hAnsi="黑体" w:eastAsia="黑体"/>
          <w:b w:val="0"/>
        </w:rPr>
      </w:pPr>
      <w:bookmarkStart w:id="48" w:name="_Toc15396611"/>
      <w:bookmarkStart w:id="49" w:name="_Toc15377219"/>
      <w:r>
        <w:rPr>
          <w:rStyle w:val="25"/>
          <w:rFonts w:hint="eastAsia" w:ascii="黑体" w:hAnsi="黑体" w:eastAsia="黑体"/>
          <w:b w:val="0"/>
        </w:rPr>
        <w:t>国有资本经营预算支出决算情况说明</w:t>
      </w:r>
      <w:bookmarkEnd w:id="48"/>
      <w:bookmarkEnd w:id="49"/>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22年国有资本经营预算财政拨款支出0万元。</w:t>
      </w:r>
    </w:p>
    <w:p>
      <w:pPr>
        <w:spacing w:line="600" w:lineRule="exact"/>
        <w:jc w:val="center"/>
        <w:rPr>
          <w:rFonts w:ascii="方正小标宋简体" w:hAnsi="方正小标宋简体" w:eastAsia="方正小标宋简体" w:cs="方正小标宋简体"/>
          <w:sz w:val="44"/>
          <w:szCs w:val="44"/>
        </w:rPr>
      </w:pPr>
    </w:p>
    <w:p>
      <w:pPr>
        <w:numPr>
          <w:ilvl w:val="0"/>
          <w:numId w:val="2"/>
        </w:numPr>
        <w:spacing w:line="600" w:lineRule="exact"/>
        <w:ind w:firstLine="640"/>
        <w:outlineLvl w:val="1"/>
        <w:rPr>
          <w:rStyle w:val="25"/>
          <w:rFonts w:ascii="黑体" w:hAnsi="黑体" w:eastAsia="黑体"/>
          <w:b w:val="0"/>
        </w:rPr>
      </w:pPr>
      <w:bookmarkStart w:id="50" w:name="_Toc15396612"/>
      <w:bookmarkStart w:id="51" w:name="_Toc15377221"/>
      <w:r>
        <w:rPr>
          <w:rStyle w:val="25"/>
          <w:rFonts w:hint="eastAsia" w:ascii="黑体" w:hAnsi="黑体" w:eastAsia="黑体"/>
          <w:b w:val="0"/>
        </w:rPr>
        <w:t>其他重要事项的情况说明</w:t>
      </w:r>
      <w:bookmarkEnd w:id="50"/>
      <w:bookmarkEnd w:id="51"/>
    </w:p>
    <w:p>
      <w:pPr>
        <w:spacing w:line="600" w:lineRule="exact"/>
        <w:ind w:firstLine="640" w:firstLineChars="200"/>
        <w:outlineLvl w:val="2"/>
        <w:rPr>
          <w:rFonts w:ascii="楷体_GB2312" w:hAnsi="楷体_GB2312" w:eastAsia="楷体_GB2312" w:cs="楷体_GB2312"/>
          <w:bCs/>
          <w:sz w:val="32"/>
          <w:szCs w:val="32"/>
        </w:rPr>
      </w:pPr>
      <w:bookmarkStart w:id="52" w:name="_Toc15377222"/>
      <w:r>
        <w:rPr>
          <w:rFonts w:hint="eastAsia" w:ascii="楷体_GB2312" w:hAnsi="楷体_GB2312" w:eastAsia="楷体_GB2312" w:cs="楷体_GB2312"/>
          <w:bCs/>
          <w:sz w:val="32"/>
          <w:szCs w:val="32"/>
        </w:rPr>
        <w:t>（一）机关运行经费支出情况</w:t>
      </w:r>
      <w:bookmarkEnd w:id="52"/>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2022年，</w:t>
      </w:r>
      <w:r>
        <w:rPr>
          <w:rFonts w:hint="eastAsia" w:ascii="仿宋_GB2312" w:hAnsi="仿宋_GB2312" w:eastAsia="仿宋_GB2312" w:cs="仿宋_GB2312"/>
          <w:color w:val="000000"/>
          <w:sz w:val="32"/>
          <w:szCs w:val="32"/>
        </w:rPr>
        <w:t>中共峨眉山市委政法委员会</w:t>
      </w:r>
      <w:r>
        <w:rPr>
          <w:rFonts w:hint="eastAsia" w:ascii="仿宋_GB2312" w:hAnsi="仿宋_GB2312" w:eastAsia="仿宋_GB2312" w:cs="仿宋_GB2312"/>
          <w:sz w:val="32"/>
          <w:szCs w:val="32"/>
        </w:rPr>
        <w:t>机关运行经费支出65.74万元，比2021年增加31.99万元，上升94.79%。主要原因是人员的增加及支付了2021年应付费用</w:t>
      </w:r>
      <w:r>
        <w:rPr>
          <w:rFonts w:hint="eastAsia" w:ascii="仿宋_GB2312" w:hAnsi="仿宋_GB2312" w:eastAsia="仿宋_GB2312" w:cs="仿宋_GB2312"/>
          <w:color w:val="000000"/>
          <w:sz w:val="32"/>
          <w:szCs w:val="32"/>
        </w:rPr>
        <w:t>。</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（注：数据来源于财决附03表）</w:t>
      </w:r>
    </w:p>
    <w:p>
      <w:pPr>
        <w:autoSpaceDE w:val="0"/>
        <w:autoSpaceDN w:val="0"/>
        <w:adjustRightInd w:val="0"/>
        <w:spacing w:line="600" w:lineRule="exact"/>
        <w:ind w:firstLine="640" w:firstLineChars="200"/>
        <w:jc w:val="left"/>
        <w:outlineLvl w:val="2"/>
        <w:rPr>
          <w:rFonts w:ascii="楷体_GB2312" w:hAnsi="楷体_GB2312" w:eastAsia="楷体_GB2312" w:cs="楷体_GB2312"/>
          <w:bCs/>
          <w:sz w:val="32"/>
          <w:szCs w:val="32"/>
        </w:rPr>
      </w:pPr>
      <w:bookmarkStart w:id="53" w:name="_Toc15377223"/>
      <w:r>
        <w:rPr>
          <w:rFonts w:hint="eastAsia" w:ascii="楷体_GB2312" w:hAnsi="楷体_GB2312" w:eastAsia="楷体_GB2312" w:cs="楷体_GB2312"/>
          <w:bCs/>
          <w:sz w:val="32"/>
          <w:szCs w:val="32"/>
        </w:rPr>
        <w:t>（二）政府采购支出情况</w:t>
      </w:r>
      <w:bookmarkEnd w:id="53"/>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2022年，</w:t>
      </w:r>
      <w:r>
        <w:rPr>
          <w:rFonts w:hint="eastAsia" w:ascii="仿宋_GB2312" w:hAnsi="仿宋_GB2312" w:eastAsia="仿宋_GB2312" w:cs="仿宋_GB2312"/>
          <w:color w:val="000000"/>
          <w:sz w:val="32"/>
          <w:szCs w:val="32"/>
        </w:rPr>
        <w:t>中共峨眉山市委政法委员会</w:t>
      </w:r>
      <w:r>
        <w:rPr>
          <w:rFonts w:hint="eastAsia" w:ascii="仿宋_GB2312" w:hAnsi="仿宋_GB2312" w:eastAsia="仿宋_GB2312" w:cs="仿宋_GB2312"/>
          <w:sz w:val="32"/>
          <w:szCs w:val="32"/>
        </w:rPr>
        <w:t>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（注：数据来源于财决附03表）</w:t>
      </w:r>
    </w:p>
    <w:p>
      <w:pPr>
        <w:autoSpaceDE w:val="0"/>
        <w:autoSpaceDN w:val="0"/>
        <w:adjustRightInd w:val="0"/>
        <w:spacing w:line="600" w:lineRule="exact"/>
        <w:ind w:firstLine="640" w:firstLineChars="200"/>
        <w:jc w:val="left"/>
        <w:outlineLvl w:val="2"/>
        <w:rPr>
          <w:rFonts w:ascii="楷体_GB2312" w:hAnsi="楷体_GB2312" w:eastAsia="楷体_GB2312" w:cs="楷体_GB2312"/>
          <w:bCs/>
          <w:sz w:val="32"/>
          <w:szCs w:val="32"/>
        </w:rPr>
      </w:pPr>
      <w:bookmarkStart w:id="54" w:name="_Toc15377224"/>
      <w:r>
        <w:rPr>
          <w:rFonts w:hint="eastAsia" w:ascii="楷体_GB2312" w:hAnsi="楷体_GB2312" w:eastAsia="楷体_GB2312" w:cs="楷体_GB2312"/>
          <w:bCs/>
          <w:sz w:val="32"/>
          <w:szCs w:val="32"/>
        </w:rPr>
        <w:t>（三）国有资产占有使用情况</w:t>
      </w:r>
      <w:bookmarkEnd w:id="54"/>
    </w:p>
    <w:p>
      <w:pPr>
        <w:autoSpaceDE w:val="0"/>
        <w:autoSpaceDN w:val="0"/>
        <w:adjustRightInd w:val="0"/>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截至2022年12月31日，</w:t>
      </w:r>
      <w:r>
        <w:rPr>
          <w:rFonts w:hint="eastAsia" w:ascii="仿宋_GB2312" w:hAnsi="仿宋_GB2312" w:eastAsia="仿宋_GB2312" w:cs="仿宋_GB2312"/>
          <w:color w:val="000000"/>
          <w:sz w:val="32"/>
          <w:szCs w:val="32"/>
        </w:rPr>
        <w:t>中共峨眉山市委政法委员</w:t>
      </w:r>
      <w:r>
        <w:rPr>
          <w:rFonts w:hint="eastAsia" w:ascii="仿宋_GB2312" w:hAnsi="仿宋_GB2312" w:eastAsia="仿宋_GB2312" w:cs="仿宋_GB2312"/>
          <w:sz w:val="32"/>
          <w:szCs w:val="32"/>
        </w:rPr>
        <w:t>共有车辆2辆，其中：主要领导干部用车0辆、机要通信用车0辆、应急保障用车0辆、</w:t>
      </w:r>
      <w:r>
        <w:rPr>
          <w:rFonts w:hint="eastAsia" w:ascii="仿宋_GB2312" w:hAnsi="仿宋_GB2312" w:eastAsia="仿宋_GB2312" w:cs="仿宋_GB2312"/>
          <w:color w:val="000000"/>
          <w:sz w:val="32"/>
          <w:szCs w:val="32"/>
        </w:rPr>
        <w:t>特种专业技术用车1辆，</w:t>
      </w:r>
      <w:r>
        <w:rPr>
          <w:rFonts w:hint="eastAsia" w:ascii="仿宋_GB2312" w:hAnsi="仿宋_GB2312" w:eastAsia="仿宋_GB2312" w:cs="仿宋_GB2312"/>
          <w:sz w:val="32"/>
          <w:szCs w:val="32"/>
        </w:rPr>
        <w:t>其他用车1辆。其他用车主要是用于</w:t>
      </w:r>
      <w:r>
        <w:rPr>
          <w:rFonts w:hint="eastAsia" w:ascii="仿宋_GB2312" w:hAnsi="仿宋_GB2312" w:eastAsia="仿宋_GB2312" w:cs="仿宋_GB2312"/>
          <w:color w:val="000000"/>
          <w:sz w:val="32"/>
          <w:szCs w:val="32"/>
        </w:rPr>
        <w:t>公务日常运转。</w:t>
      </w:r>
      <w:r>
        <w:rPr>
          <w:rFonts w:hint="eastAsia" w:ascii="仿宋_GB2312" w:hAnsi="仿宋_GB2312" w:eastAsia="仿宋_GB2312" w:cs="仿宋_GB2312"/>
          <w:sz w:val="32"/>
          <w:szCs w:val="32"/>
        </w:rPr>
        <w:t>单价50万元以上通用设备0台（套），单价100万元以上专用设备0台（套）。</w:t>
      </w:r>
    </w:p>
    <w:p>
      <w:pPr>
        <w:autoSpaceDE w:val="0"/>
        <w:autoSpaceDN w:val="0"/>
        <w:adjustRightInd w:val="0"/>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（注：数据来源于财决附03表，按部门决算报表填报数据罗列车辆情况。）</w:t>
      </w:r>
    </w:p>
    <w:p>
      <w:pPr>
        <w:autoSpaceDE w:val="0"/>
        <w:autoSpaceDN w:val="0"/>
        <w:adjustRightInd w:val="0"/>
        <w:spacing w:line="600" w:lineRule="exact"/>
        <w:ind w:firstLine="640" w:firstLineChars="200"/>
        <w:jc w:val="left"/>
        <w:outlineLvl w:val="2"/>
        <w:rPr>
          <w:rFonts w:ascii="楷体_GB2312" w:hAnsi="楷体_GB2312" w:eastAsia="楷体_GB2312" w:cs="楷体_GB2312"/>
          <w:bCs/>
          <w:sz w:val="32"/>
          <w:szCs w:val="32"/>
        </w:rPr>
      </w:pPr>
      <w:r>
        <w:rPr>
          <w:rFonts w:hint="eastAsia" w:ascii="楷体_GB2312" w:hAnsi="楷体_GB2312" w:eastAsia="楷体_GB2312" w:cs="楷体_GB2312"/>
          <w:bCs/>
          <w:sz w:val="32"/>
          <w:szCs w:val="32"/>
        </w:rPr>
        <w:t>（四）预算绩效管理情况</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2022年度预算编制阶段，组织对10个项目(全市治安防控经费、政法专网服务费、一站式服务中心业务经费（综治中心）经费、见义勇为经费、严重精神障碍患者监护以奖代补经费、全市雪亮工程建设等)编制了绩效目标，预算执行过程中，对10个项目开展绩效监控，年终执行完毕后，对10个项目开展了绩效自评。同时，本部门对2022年部门整体开展绩效自评，《2022年中共峨眉山市委政法委员会部门整体绩效评价报告》见附件（第四部分）。</w:t>
      </w:r>
    </w:p>
    <w:p>
      <w:pPr>
        <w:widowControl/>
        <w:spacing w:line="600" w:lineRule="exact"/>
        <w:jc w:val="left"/>
        <w:rPr>
          <w:rFonts w:ascii="仿宋_GB2312" w:eastAsia="仿宋_GB2312"/>
          <w:b/>
          <w:sz w:val="32"/>
          <w:szCs w:val="32"/>
        </w:rPr>
      </w:pPr>
      <w:r>
        <w:rPr>
          <w:rFonts w:ascii="仿宋_GB2312" w:eastAsia="仿宋_GB2312"/>
          <w:b/>
          <w:sz w:val="32"/>
          <w:szCs w:val="32"/>
        </w:rPr>
        <w:br w:type="page"/>
      </w:r>
    </w:p>
    <w:p>
      <w:pPr>
        <w:spacing w:line="600" w:lineRule="exact"/>
        <w:jc w:val="center"/>
        <w:outlineLvl w:val="0"/>
        <w:rPr>
          <w:rStyle w:val="24"/>
          <w:rFonts w:ascii="方正小标宋_GBK" w:hAnsi="方正小标宋_GBK" w:eastAsia="方正小标宋_GBK" w:cs="方正小标宋_GBK"/>
          <w:b w:val="0"/>
        </w:rPr>
      </w:pPr>
      <w:bookmarkStart w:id="55" w:name="_Toc15377225"/>
      <w:bookmarkStart w:id="56" w:name="_Toc15396613"/>
      <w:r>
        <w:rPr>
          <w:rFonts w:hint="eastAsia" w:ascii="方正小标宋_GBK" w:hAnsi="方正小标宋_GBK" w:eastAsia="方正小标宋_GBK" w:cs="方正小标宋_GBK"/>
          <w:sz w:val="44"/>
          <w:szCs w:val="44"/>
        </w:rPr>
        <w:t>第三部分名</w:t>
      </w:r>
      <w:r>
        <w:rPr>
          <w:rStyle w:val="24"/>
          <w:rFonts w:hint="eastAsia" w:ascii="方正小标宋_GBK" w:hAnsi="方正小标宋_GBK" w:eastAsia="方正小标宋_GBK" w:cs="方正小标宋_GBK"/>
          <w:b w:val="0"/>
        </w:rPr>
        <w:t>词解释</w:t>
      </w:r>
      <w:bookmarkEnd w:id="55"/>
      <w:bookmarkEnd w:id="56"/>
    </w:p>
    <w:p>
      <w:pPr>
        <w:spacing w:line="600" w:lineRule="exact"/>
        <w:jc w:val="left"/>
        <w:rPr>
          <w:rFonts w:ascii="宋体"/>
          <w:b/>
          <w:sz w:val="44"/>
          <w:szCs w:val="44"/>
        </w:rPr>
      </w:pPr>
    </w:p>
    <w:p>
      <w:pPr>
        <w:pStyle w:val="22"/>
        <w:spacing w:line="600" w:lineRule="exact"/>
        <w:ind w:firstLine="640" w:firstLineChars="200"/>
        <w:jc w:val="both"/>
        <w:rPr>
          <w:rFonts w:ascii="仿宋_GB2312" w:eastAsia="仿宋_GB2312"/>
          <w:sz w:val="32"/>
          <w:szCs w:val="32"/>
        </w:rPr>
      </w:pPr>
      <w:r>
        <w:rPr>
          <w:rFonts w:hint="eastAsia" w:ascii="仿宋_GB2312" w:eastAsia="仿宋_GB2312"/>
          <w:sz w:val="32"/>
          <w:szCs w:val="32"/>
        </w:rPr>
        <w:t>一、财政拨款收入：指单位从同级财政部门取得的财政预算资金。</w:t>
      </w:r>
    </w:p>
    <w:p>
      <w:pPr>
        <w:pStyle w:val="22"/>
        <w:spacing w:line="600" w:lineRule="exact"/>
        <w:ind w:firstLine="640" w:firstLineChars="200"/>
        <w:jc w:val="both"/>
        <w:rPr>
          <w:rFonts w:ascii="仿宋_GB2312" w:eastAsia="仿宋_GB2312"/>
          <w:sz w:val="32"/>
          <w:szCs w:val="32"/>
        </w:rPr>
      </w:pPr>
      <w:r>
        <w:rPr>
          <w:rFonts w:hint="eastAsia" w:ascii="仿宋_GB2312" w:eastAsia="仿宋_GB2312"/>
          <w:sz w:val="32"/>
          <w:szCs w:val="32"/>
        </w:rPr>
        <w:t>二、年初结转和结余：指以前年度尚未完成、结转到本年按有关规定继续使用的资金。</w:t>
      </w:r>
    </w:p>
    <w:p>
      <w:pPr>
        <w:pStyle w:val="22"/>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三、年末结转和结余：指单位按有关规定结转到下年或以后年度继续使用的资金。</w:t>
      </w:r>
    </w:p>
    <w:p>
      <w:pPr>
        <w:pStyle w:val="22"/>
        <w:spacing w:line="560" w:lineRule="exact"/>
        <w:ind w:firstLine="640" w:firstLineChars="200"/>
        <w:jc w:val="both"/>
        <w:rPr>
          <w:rFonts w:ascii="仿宋_GB2312" w:eastAsia="仿宋_GB2312"/>
          <w:sz w:val="32"/>
          <w:szCs w:val="32"/>
        </w:rPr>
      </w:pPr>
      <w:r>
        <w:rPr>
          <w:rFonts w:hint="eastAsia" w:ascii="仿宋_GB2312" w:eastAsia="仿宋_GB2312"/>
          <w:sz w:val="32"/>
          <w:szCs w:val="32"/>
        </w:rPr>
        <w:t>四、一般公共服务（类）其他共产党事务支出（款）行政运行（项）：指反映行政单位（包括实行公务员管理的事业单位）的基本支出。</w:t>
      </w:r>
    </w:p>
    <w:p>
      <w:pPr>
        <w:pStyle w:val="22"/>
        <w:spacing w:line="560" w:lineRule="exact"/>
        <w:ind w:firstLine="640" w:firstLineChars="200"/>
        <w:jc w:val="both"/>
        <w:rPr>
          <w:rFonts w:ascii="仿宋_GB2312" w:eastAsia="仿宋_GB2312"/>
          <w:sz w:val="32"/>
          <w:szCs w:val="32"/>
        </w:rPr>
      </w:pPr>
      <w:r>
        <w:rPr>
          <w:rFonts w:hint="eastAsia" w:ascii="仿宋_GB2312" w:eastAsia="仿宋_GB2312"/>
          <w:sz w:val="32"/>
          <w:szCs w:val="32"/>
        </w:rPr>
        <w:t>五、一般公共服务（类）其他共产党事务支出（款）一般行政管理事务（项）：指反映行政单位（包括实行公务员管理的事业单位）未单独设置项级科目的其他项目支出。</w:t>
      </w:r>
    </w:p>
    <w:p>
      <w:pPr>
        <w:pStyle w:val="22"/>
        <w:spacing w:line="560" w:lineRule="exact"/>
        <w:ind w:firstLine="640" w:firstLineChars="200"/>
        <w:jc w:val="both"/>
        <w:rPr>
          <w:rFonts w:ascii="仿宋_GB2312" w:eastAsia="仿宋_GB2312"/>
          <w:sz w:val="32"/>
          <w:szCs w:val="32"/>
        </w:rPr>
      </w:pPr>
      <w:r>
        <w:rPr>
          <w:rFonts w:hint="eastAsia" w:ascii="仿宋_GB2312" w:eastAsia="仿宋_GB2312"/>
          <w:sz w:val="32"/>
          <w:szCs w:val="32"/>
        </w:rPr>
        <w:t>六、一般公共服务（类）其他共产党事务支出（款）事业运行（项）：反映事业单位的基本支出，不包括行政单位（包括实行公务员管理的事业单位）后勤服务中心、医务室等附属事业单位。</w:t>
      </w:r>
    </w:p>
    <w:p>
      <w:pPr>
        <w:pStyle w:val="22"/>
        <w:spacing w:line="600" w:lineRule="exact"/>
        <w:ind w:firstLine="640" w:firstLineChars="200"/>
        <w:jc w:val="both"/>
        <w:rPr>
          <w:rFonts w:ascii="仿宋_GB2312" w:eastAsia="仿宋_GB2312"/>
          <w:sz w:val="32"/>
          <w:szCs w:val="32"/>
        </w:rPr>
      </w:pPr>
      <w:r>
        <w:rPr>
          <w:rFonts w:hint="eastAsia" w:ascii="仿宋_GB2312" w:eastAsia="仿宋_GB2312"/>
          <w:sz w:val="32"/>
          <w:szCs w:val="32"/>
        </w:rPr>
        <w:t>七、社会保障和就业（类）行政事业单位养老支出（款）机关事业单位基本养老保险缴费支出（项）：是指反映机关事业单位实施养老保险制度由单位缴纳的基本养老保险费支出。</w:t>
      </w:r>
    </w:p>
    <w:p>
      <w:pPr>
        <w:pStyle w:val="22"/>
        <w:spacing w:line="600" w:lineRule="exact"/>
        <w:ind w:firstLine="640" w:firstLineChars="200"/>
        <w:jc w:val="both"/>
        <w:rPr>
          <w:rFonts w:ascii="仿宋_GB2312" w:eastAsia="仿宋_GB2312"/>
          <w:sz w:val="32"/>
          <w:szCs w:val="32"/>
        </w:rPr>
      </w:pPr>
      <w:r>
        <w:rPr>
          <w:rFonts w:hint="eastAsia" w:ascii="仿宋_GB2312" w:eastAsia="仿宋_GB2312"/>
          <w:sz w:val="32"/>
          <w:szCs w:val="32"/>
        </w:rPr>
        <w:t>八、社会保障和就业（类）行政事业单位养老支出（款）机关事业单位职业年金缴费支出（项）:是指反映机关事业单位实施养老保险制度由单位实际缴纳的职业年金支出。</w:t>
      </w:r>
    </w:p>
    <w:p>
      <w:pPr>
        <w:pStyle w:val="22"/>
        <w:spacing w:line="600" w:lineRule="exact"/>
        <w:ind w:firstLine="640" w:firstLineChars="200"/>
        <w:jc w:val="both"/>
        <w:rPr>
          <w:rFonts w:ascii="仿宋_GB2312" w:eastAsia="仿宋_GB2312"/>
          <w:sz w:val="32"/>
          <w:szCs w:val="32"/>
        </w:rPr>
      </w:pPr>
      <w:r>
        <w:rPr>
          <w:rFonts w:hint="eastAsia" w:ascii="仿宋_GB2312" w:eastAsia="仿宋_GB2312"/>
          <w:sz w:val="32"/>
          <w:szCs w:val="32"/>
        </w:rPr>
        <w:t>九、社会保障和就业（类）其他社会保障和就业支出（款）其他社会保障和就业支出（项）：反映除上述项目以外其他用于社会保障和就业方面的支出。</w:t>
      </w:r>
    </w:p>
    <w:p>
      <w:pPr>
        <w:pStyle w:val="22"/>
        <w:spacing w:line="560" w:lineRule="exact"/>
        <w:ind w:firstLine="640" w:firstLineChars="200"/>
        <w:jc w:val="both"/>
        <w:rPr>
          <w:rFonts w:ascii="仿宋_GB2312" w:eastAsia="仿宋_GB2312"/>
          <w:sz w:val="32"/>
          <w:szCs w:val="32"/>
        </w:rPr>
      </w:pPr>
      <w:r>
        <w:rPr>
          <w:rFonts w:hint="eastAsia" w:ascii="仿宋_GB2312" w:eastAsia="仿宋_GB2312"/>
          <w:sz w:val="32"/>
          <w:szCs w:val="32"/>
        </w:rPr>
        <w:t>十、卫生健康（类）医疗保障（款）行政单位医疗（项）:反映财政部门安排的行政单位（包括实行公务员管理的事业单位）基本医疗保险缴费经费，未参加医疗保险的行政单位的公费医疗经费，按国家规定享受离退休人员、红军老战士待遇人员的医疗经费。</w:t>
      </w:r>
    </w:p>
    <w:p>
      <w:pPr>
        <w:pStyle w:val="22"/>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十一、城乡社区支出（类）国有土地使用权出让收入安排的支出（款）土地开发支出（项）：反映政府城乡社区事务支出。       </w:t>
      </w:r>
    </w:p>
    <w:p>
      <w:pPr>
        <w:pStyle w:val="22"/>
        <w:spacing w:line="560" w:lineRule="exact"/>
        <w:ind w:firstLine="640" w:firstLineChars="200"/>
        <w:jc w:val="both"/>
        <w:rPr>
          <w:rFonts w:ascii="仿宋_GB2312" w:eastAsia="仿宋_GB2312"/>
          <w:sz w:val="32"/>
          <w:szCs w:val="32"/>
        </w:rPr>
      </w:pPr>
      <w:r>
        <w:rPr>
          <w:rFonts w:hint="eastAsia" w:ascii="仿宋_GB2312" w:eastAsia="仿宋_GB2312"/>
          <w:sz w:val="32"/>
          <w:szCs w:val="32"/>
        </w:rPr>
        <w:t>十二、住房保障（类）住房改革支出（款）住房公积金（项）:是指反映行政事业单位按人力资源和社会保障部、财政部规定的基本工资和津贴补贴以及规定比例为职工缴纳的住房公积金。</w:t>
      </w:r>
    </w:p>
    <w:p>
      <w:pPr>
        <w:spacing w:line="600" w:lineRule="exact"/>
        <w:ind w:firstLine="640" w:firstLineChars="200"/>
        <w:rPr>
          <w:rFonts w:ascii="仿宋_GB2312" w:hAnsi="仿宋_GB2312" w:eastAsia="仿宋_GB2312" w:cs="仿宋_GB2312"/>
          <w:bCs/>
          <w:color w:val="000000"/>
          <w:sz w:val="32"/>
          <w:szCs w:val="32"/>
        </w:rPr>
      </w:pPr>
      <w:r>
        <w:rPr>
          <w:rFonts w:hint="eastAsia" w:ascii="仿宋_GB2312" w:eastAsia="仿宋_GB2312"/>
          <w:sz w:val="32"/>
          <w:szCs w:val="32"/>
        </w:rPr>
        <w:t>十三、</w:t>
      </w:r>
      <w:r>
        <w:rPr>
          <w:rFonts w:hint="eastAsia" w:ascii="仿宋_GB2312" w:hAnsi="仿宋_GB2312" w:eastAsia="仿宋_GB2312" w:cs="仿宋_GB2312"/>
          <w:bCs/>
          <w:color w:val="000000"/>
          <w:sz w:val="32"/>
          <w:szCs w:val="32"/>
        </w:rPr>
        <w:t>基本支出：指为保障机构正常运转、完成日常工作任务而发生的人员支出和公用支出。</w:t>
      </w:r>
    </w:p>
    <w:p>
      <w:pPr>
        <w:spacing w:line="60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 xml:space="preserve"> </w:t>
      </w:r>
      <w:r>
        <w:rPr>
          <w:rFonts w:hint="eastAsia" w:ascii="仿宋_GB2312" w:eastAsia="仿宋_GB2312"/>
          <w:sz w:val="32"/>
          <w:szCs w:val="32"/>
        </w:rPr>
        <w:t>十四、</w:t>
      </w:r>
      <w:r>
        <w:rPr>
          <w:rFonts w:hint="eastAsia" w:ascii="仿宋_GB2312" w:hAnsi="仿宋_GB2312" w:eastAsia="仿宋_GB2312" w:cs="仿宋_GB2312"/>
          <w:bCs/>
          <w:color w:val="000000"/>
          <w:sz w:val="32"/>
          <w:szCs w:val="32"/>
        </w:rPr>
        <w:t xml:space="preserve">项目支出：指在基本支出之外为完成特定行政任务和事业发展目标所发生的支出。 </w:t>
      </w:r>
    </w:p>
    <w:p>
      <w:pPr>
        <w:pStyle w:val="22"/>
        <w:spacing w:line="600" w:lineRule="exact"/>
        <w:ind w:firstLine="800" w:firstLineChars="250"/>
        <w:jc w:val="both"/>
        <w:rPr>
          <w:rFonts w:ascii="仿宋_GB2312" w:hAnsi="仿宋_GB2312" w:eastAsia="仿宋_GB2312" w:cs="仿宋_GB2312"/>
          <w:bCs/>
          <w:sz w:val="32"/>
          <w:szCs w:val="32"/>
        </w:rPr>
      </w:pPr>
      <w:r>
        <w:rPr>
          <w:rFonts w:hint="eastAsia" w:ascii="仿宋_GB2312" w:eastAsia="仿宋_GB2312"/>
          <w:sz w:val="32"/>
          <w:szCs w:val="32"/>
        </w:rPr>
        <w:t>十五、</w:t>
      </w:r>
      <w:r>
        <w:rPr>
          <w:rFonts w:hint="eastAsia" w:ascii="仿宋_GB2312" w:hAnsi="仿宋_GB2312" w:eastAsia="仿宋_GB2312" w:cs="仿宋_GB2312"/>
          <w:bCs/>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2"/>
        <w:spacing w:line="600" w:lineRule="exact"/>
        <w:ind w:firstLine="640" w:firstLineChars="200"/>
        <w:jc w:val="both"/>
        <w:rPr>
          <w:rFonts w:ascii="仿宋_GB2312" w:hAnsi="仿宋_GB2312" w:eastAsia="仿宋_GB2312" w:cs="仿宋_GB2312"/>
          <w:bCs/>
          <w:sz w:val="32"/>
          <w:szCs w:val="32"/>
        </w:rPr>
      </w:pPr>
      <w:r>
        <w:rPr>
          <w:rFonts w:hint="eastAsia" w:ascii="仿宋_GB2312" w:eastAsia="仿宋_GB2312"/>
          <w:sz w:val="32"/>
          <w:szCs w:val="32"/>
        </w:rPr>
        <w:t>十六、</w:t>
      </w:r>
      <w:r>
        <w:rPr>
          <w:rFonts w:hint="eastAsia" w:ascii="仿宋_GB2312" w:hAnsi="仿宋_GB2312" w:eastAsia="仿宋_GB2312" w:cs="仿宋_GB2312"/>
          <w:bCs/>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2"/>
        <w:spacing w:line="560" w:lineRule="exact"/>
        <w:ind w:firstLine="640" w:firstLineChars="200"/>
        <w:jc w:val="both"/>
        <w:rPr>
          <w:rFonts w:ascii="仿宋_GB2312" w:eastAsia="仿宋_GB2312"/>
          <w:sz w:val="32"/>
          <w:szCs w:val="32"/>
        </w:rPr>
      </w:pPr>
    </w:p>
    <w:p>
      <w:pPr>
        <w:spacing w:line="600" w:lineRule="exact"/>
        <w:jc w:val="center"/>
        <w:outlineLvl w:val="0"/>
        <w:rPr>
          <w:rFonts w:ascii="仿宋_GB2312" w:hAnsi="仿宋_GB2312" w:eastAsia="仿宋_GB2312" w:cs="仿宋_GB2312"/>
          <w:bCs/>
          <w:color w:val="000000"/>
          <w:sz w:val="32"/>
          <w:szCs w:val="32"/>
        </w:rPr>
      </w:pPr>
      <w:bookmarkStart w:id="57" w:name="_Toc15396614"/>
      <w:bookmarkStart w:id="58" w:name="_Toc15377226"/>
    </w:p>
    <w:p>
      <w:pPr>
        <w:spacing w:line="600" w:lineRule="exact"/>
        <w:jc w:val="center"/>
        <w:outlineLvl w:val="0"/>
        <w:rPr>
          <w:rFonts w:ascii="仿宋_GB2312" w:hAnsi="仿宋_GB2312" w:eastAsia="仿宋_GB2312" w:cs="仿宋_GB2312"/>
          <w:bCs/>
          <w:color w:val="000000"/>
          <w:sz w:val="32"/>
          <w:szCs w:val="32"/>
        </w:rPr>
      </w:pPr>
    </w:p>
    <w:p>
      <w:pPr>
        <w:spacing w:line="600" w:lineRule="exact"/>
        <w:jc w:val="center"/>
        <w:outlineLvl w:val="0"/>
        <w:rPr>
          <w:rFonts w:ascii="仿宋_GB2312" w:hAnsi="仿宋_GB2312" w:eastAsia="仿宋_GB2312" w:cs="仿宋_GB2312"/>
          <w:bCs/>
          <w:color w:val="000000"/>
          <w:sz w:val="32"/>
          <w:szCs w:val="32"/>
        </w:rPr>
      </w:pPr>
    </w:p>
    <w:p>
      <w:pPr>
        <w:spacing w:line="600" w:lineRule="exact"/>
        <w:jc w:val="center"/>
        <w:outlineLvl w:val="0"/>
        <w:rPr>
          <w:rFonts w:ascii="仿宋_GB2312" w:hAnsi="仿宋_GB2312" w:eastAsia="仿宋_GB2312" w:cs="仿宋_GB2312"/>
          <w:bCs/>
          <w:color w:val="000000"/>
          <w:sz w:val="32"/>
          <w:szCs w:val="32"/>
        </w:rPr>
      </w:pPr>
    </w:p>
    <w:p>
      <w:pPr>
        <w:spacing w:line="600" w:lineRule="exact"/>
        <w:jc w:val="center"/>
        <w:outlineLvl w:val="0"/>
        <w:rPr>
          <w:rFonts w:ascii="仿宋_GB2312" w:hAnsi="仿宋_GB2312" w:eastAsia="仿宋_GB2312" w:cs="仿宋_GB2312"/>
          <w:bCs/>
          <w:color w:val="000000"/>
          <w:sz w:val="32"/>
          <w:szCs w:val="32"/>
        </w:rPr>
      </w:pPr>
    </w:p>
    <w:p>
      <w:pPr>
        <w:spacing w:line="600" w:lineRule="exact"/>
        <w:jc w:val="center"/>
        <w:outlineLvl w:val="0"/>
        <w:rPr>
          <w:rFonts w:ascii="仿宋_GB2312" w:hAnsi="仿宋_GB2312" w:eastAsia="仿宋_GB2312" w:cs="仿宋_GB2312"/>
          <w:bCs/>
          <w:color w:val="000000"/>
          <w:sz w:val="32"/>
          <w:szCs w:val="32"/>
        </w:rPr>
      </w:pPr>
    </w:p>
    <w:p>
      <w:pPr>
        <w:spacing w:line="600" w:lineRule="exact"/>
        <w:jc w:val="center"/>
        <w:outlineLvl w:val="0"/>
        <w:rPr>
          <w:rFonts w:ascii="仿宋_GB2312" w:hAnsi="仿宋_GB2312" w:eastAsia="仿宋_GB2312" w:cs="仿宋_GB2312"/>
          <w:bCs/>
          <w:color w:val="000000"/>
          <w:sz w:val="32"/>
          <w:szCs w:val="32"/>
        </w:rPr>
      </w:pPr>
    </w:p>
    <w:p>
      <w:pPr>
        <w:spacing w:line="600" w:lineRule="exact"/>
        <w:jc w:val="center"/>
        <w:outlineLvl w:val="0"/>
        <w:rPr>
          <w:rFonts w:ascii="仿宋_GB2312" w:hAnsi="仿宋_GB2312" w:eastAsia="仿宋_GB2312" w:cs="仿宋_GB2312"/>
          <w:bCs/>
          <w:color w:val="000000"/>
          <w:sz w:val="32"/>
          <w:szCs w:val="32"/>
        </w:rPr>
      </w:pPr>
    </w:p>
    <w:p>
      <w:pPr>
        <w:spacing w:line="600" w:lineRule="exact"/>
        <w:jc w:val="center"/>
        <w:outlineLvl w:val="0"/>
        <w:rPr>
          <w:rFonts w:ascii="仿宋_GB2312" w:hAnsi="仿宋_GB2312" w:eastAsia="仿宋_GB2312" w:cs="仿宋_GB2312"/>
          <w:bCs/>
          <w:color w:val="000000"/>
          <w:sz w:val="32"/>
          <w:szCs w:val="32"/>
        </w:rPr>
      </w:pPr>
    </w:p>
    <w:p>
      <w:pPr>
        <w:spacing w:line="600" w:lineRule="exact"/>
        <w:jc w:val="center"/>
        <w:outlineLvl w:val="0"/>
        <w:rPr>
          <w:rFonts w:ascii="仿宋_GB2312" w:hAnsi="仿宋_GB2312" w:eastAsia="仿宋_GB2312" w:cs="仿宋_GB2312"/>
          <w:bCs/>
          <w:color w:val="000000"/>
          <w:sz w:val="32"/>
          <w:szCs w:val="32"/>
        </w:rPr>
      </w:pPr>
    </w:p>
    <w:p>
      <w:pPr>
        <w:spacing w:line="600" w:lineRule="exact"/>
        <w:jc w:val="center"/>
        <w:outlineLvl w:val="0"/>
        <w:rPr>
          <w:rFonts w:ascii="仿宋_GB2312" w:hAnsi="仿宋_GB2312" w:eastAsia="仿宋_GB2312" w:cs="仿宋_GB2312"/>
          <w:bCs/>
          <w:color w:val="000000"/>
          <w:sz w:val="32"/>
          <w:szCs w:val="32"/>
        </w:rPr>
      </w:pPr>
    </w:p>
    <w:p>
      <w:pPr>
        <w:spacing w:line="600" w:lineRule="exact"/>
        <w:jc w:val="center"/>
        <w:outlineLvl w:val="0"/>
        <w:rPr>
          <w:rFonts w:ascii="仿宋_GB2312" w:hAnsi="仿宋_GB2312" w:eastAsia="仿宋_GB2312" w:cs="仿宋_GB2312"/>
          <w:bCs/>
          <w:color w:val="000000"/>
          <w:sz w:val="32"/>
          <w:szCs w:val="32"/>
        </w:rPr>
      </w:pPr>
    </w:p>
    <w:p>
      <w:pPr>
        <w:spacing w:line="600" w:lineRule="exact"/>
        <w:jc w:val="center"/>
        <w:outlineLvl w:val="0"/>
        <w:rPr>
          <w:rFonts w:ascii="仿宋_GB2312" w:hAnsi="仿宋_GB2312" w:eastAsia="仿宋_GB2312" w:cs="仿宋_GB2312"/>
          <w:bCs/>
          <w:color w:val="000000"/>
          <w:sz w:val="32"/>
          <w:szCs w:val="32"/>
        </w:rPr>
      </w:pPr>
    </w:p>
    <w:p>
      <w:pPr>
        <w:spacing w:line="600" w:lineRule="exact"/>
        <w:jc w:val="center"/>
        <w:outlineLvl w:val="0"/>
        <w:rPr>
          <w:rStyle w:val="24"/>
          <w:rFonts w:ascii="方正小标宋_GBK" w:hAnsi="方正小标宋_GBK" w:eastAsia="方正小标宋_GBK" w:cs="方正小标宋_GBK"/>
          <w:b w:val="0"/>
          <w:bCs w:val="0"/>
        </w:rPr>
      </w:pPr>
      <w:r>
        <w:rPr>
          <w:rFonts w:hint="eastAsia" w:ascii="方正小标宋_GBK" w:hAnsi="方正小标宋_GBK" w:eastAsia="方正小标宋_GBK" w:cs="方正小标宋_GBK"/>
          <w:sz w:val="44"/>
          <w:szCs w:val="44"/>
        </w:rPr>
        <w:t>第</w:t>
      </w:r>
      <w:r>
        <w:rPr>
          <w:rStyle w:val="24"/>
          <w:rFonts w:hint="eastAsia" w:ascii="方正小标宋_GBK" w:hAnsi="方正小标宋_GBK" w:eastAsia="方正小标宋_GBK" w:cs="方正小标宋_GBK"/>
          <w:b w:val="0"/>
          <w:bCs w:val="0"/>
        </w:rPr>
        <w:t>四部分 附件</w:t>
      </w:r>
      <w:bookmarkEnd w:id="57"/>
    </w:p>
    <w:p>
      <w:pPr>
        <w:spacing w:line="600" w:lineRule="exact"/>
        <w:jc w:val="left"/>
        <w:outlineLvl w:val="0"/>
        <w:rPr>
          <w:rFonts w:ascii="黑体" w:hAnsi="黑体" w:eastAsia="黑体" w:cs="黑体"/>
          <w:sz w:val="32"/>
          <w:szCs w:val="32"/>
        </w:rPr>
      </w:pPr>
      <w:r>
        <w:rPr>
          <w:rFonts w:hint="eastAsia" w:ascii="黑体" w:hAnsi="黑体" w:eastAsia="黑体" w:cs="黑体"/>
          <w:sz w:val="32"/>
          <w:szCs w:val="32"/>
        </w:rPr>
        <w:t>附件</w:t>
      </w:r>
    </w:p>
    <w:p>
      <w:pPr>
        <w:spacing w:line="620" w:lineRule="exact"/>
        <w:ind w:firstLine="2640" w:firstLineChars="600"/>
        <w:rPr>
          <w:rFonts w:ascii="方正小标宋简体" w:hAnsi="方正小标宋简体" w:eastAsia="方正小标宋简体"/>
          <w:sz w:val="44"/>
        </w:rPr>
      </w:pPr>
      <w:r>
        <w:rPr>
          <w:rFonts w:hint="eastAsia" w:ascii="方正小标宋简体" w:hAnsi="方正小标宋简体" w:eastAsia="方正小标宋简体"/>
          <w:sz w:val="44"/>
        </w:rPr>
        <w:t>中共峨眉山市委政法委员会</w:t>
      </w:r>
    </w:p>
    <w:p>
      <w:pPr>
        <w:spacing w:line="620" w:lineRule="exact"/>
        <w:jc w:val="center"/>
        <w:rPr>
          <w:rFonts w:ascii="方正小标宋简体" w:hAnsi="方正小标宋简体" w:eastAsia="方正小标宋简体"/>
          <w:sz w:val="44"/>
        </w:rPr>
      </w:pPr>
      <w:r>
        <w:rPr>
          <w:rFonts w:hint="eastAsia" w:ascii="方正小标宋简体" w:hAnsi="方正小标宋简体" w:eastAsia="方正小标宋简体"/>
          <w:sz w:val="44"/>
        </w:rPr>
        <w:t xml:space="preserve">      2022年部门预算支出绩效报告</w:t>
      </w:r>
    </w:p>
    <w:p>
      <w:pPr>
        <w:widowControl/>
        <w:adjustRightInd w:val="0"/>
        <w:snapToGrid w:val="0"/>
        <w:spacing w:line="620" w:lineRule="exact"/>
        <w:ind w:firstLine="720"/>
        <w:jc w:val="left"/>
        <w:rPr>
          <w:rFonts w:ascii="黑体" w:hAnsi="宋体" w:eastAsia="黑体" w:cs="宋体"/>
          <w:kern w:val="0"/>
          <w:sz w:val="24"/>
          <w:szCs w:val="32"/>
          <w:shd w:val="clear" w:color="auto" w:fill="FFFFFF"/>
        </w:rPr>
      </w:pPr>
    </w:p>
    <w:p>
      <w:pPr>
        <w:widowControl/>
        <w:adjustRightInd w:val="0"/>
        <w:snapToGrid w:val="0"/>
        <w:spacing w:line="620" w:lineRule="exact"/>
        <w:ind w:firstLine="640" w:firstLineChars="200"/>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一、单位基本情况</w:t>
      </w:r>
    </w:p>
    <w:p>
      <w:pPr>
        <w:spacing w:line="620" w:lineRule="exact"/>
        <w:ind w:firstLine="640" w:firstLineChars="200"/>
        <w:rPr>
          <w:rFonts w:ascii="仿宋_GB2312" w:eastAsia="仿宋_GB2312"/>
          <w:sz w:val="32"/>
          <w:szCs w:val="32"/>
        </w:rPr>
      </w:pPr>
      <w:r>
        <w:rPr>
          <w:rFonts w:hint="eastAsia" w:ascii="仿宋_GB2312" w:eastAsia="仿宋_GB2312"/>
          <w:sz w:val="32"/>
          <w:szCs w:val="32"/>
        </w:rPr>
        <w:t>1、我单位是市委主管政法工作的职能部门，是市委在政法工作方面的参谋和助手，属全额拨款行政单位。</w:t>
      </w:r>
    </w:p>
    <w:p>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2、主要职能：协调、指导全市政法工作；组织、协调全市维护社会稳定工作；健全完善社会稳定风险评估机制；加强涉稳信息收集报送；妥善化解涉稳风险；积极协助党委、政府及相关部门依法妥善处理各类群体性事件；加强社会治安综合治理，坚持和完善综合治理目标责任制，创新社会治理，提升基层社会治理能力加强对全市矛盾纠纷大调解工作的指导和协调，进一步完善矛盾纠纷多元化解体系，深入开展对敌斗争，常态化开展扫黑除恶斗争，护航重要节点和敏感时段，确保全市社会大局稳定有序。</w:t>
      </w:r>
    </w:p>
    <w:p>
      <w:pPr>
        <w:spacing w:line="620" w:lineRule="exact"/>
        <w:ind w:firstLine="640" w:firstLineChars="200"/>
        <w:rPr>
          <w:rFonts w:ascii="仿宋_GB2312" w:hAnsi="仿宋" w:eastAsia="仿宋_GB2312"/>
          <w:sz w:val="32"/>
          <w:szCs w:val="32"/>
        </w:rPr>
      </w:pPr>
      <w:r>
        <w:rPr>
          <w:rFonts w:hint="eastAsia" w:ascii="仿宋_GB2312" w:eastAsia="仿宋_GB2312"/>
          <w:sz w:val="32"/>
          <w:szCs w:val="32"/>
        </w:rPr>
        <w:t>3、</w:t>
      </w:r>
      <w:r>
        <w:rPr>
          <w:rFonts w:hint="eastAsia" w:ascii="仿宋_GB2312" w:hAnsi="仿宋" w:eastAsia="仿宋_GB2312"/>
          <w:sz w:val="32"/>
          <w:szCs w:val="32"/>
        </w:rPr>
        <w:t>机构及编制情况：行政单位1个，公益一类事业单位1个。行政编制16名，事业编制10名，退休人员5名。年末在职人员21人，其中，行政15名，事业6名。</w:t>
      </w:r>
    </w:p>
    <w:p>
      <w:pPr>
        <w:widowControl/>
        <w:adjustRightInd w:val="0"/>
        <w:snapToGrid w:val="0"/>
        <w:spacing w:line="620" w:lineRule="exact"/>
        <w:ind w:firstLine="640" w:firstLineChars="200"/>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二、部门财政资金收支情况</w:t>
      </w:r>
    </w:p>
    <w:p>
      <w:pPr>
        <w:spacing w:line="600" w:lineRule="exact"/>
        <w:ind w:firstLine="726" w:firstLineChars="227"/>
        <w:rPr>
          <w:rFonts w:ascii="仿宋_GB2312" w:hAnsi="仿宋" w:eastAsia="仿宋_GB2312"/>
          <w:sz w:val="32"/>
          <w:szCs w:val="32"/>
        </w:rPr>
      </w:pPr>
      <w:r>
        <w:rPr>
          <w:rFonts w:hint="eastAsia" w:ascii="仿宋_GB2312" w:eastAsia="仿宋_GB2312"/>
          <w:sz w:val="32"/>
          <w:szCs w:val="32"/>
        </w:rPr>
        <w:t>1、收入情况：</w:t>
      </w:r>
      <w:r>
        <w:rPr>
          <w:rFonts w:hint="eastAsia" w:ascii="仿宋_GB2312" w:hAnsi="仿宋" w:eastAsia="仿宋_GB2312"/>
          <w:sz w:val="32"/>
          <w:szCs w:val="32"/>
        </w:rPr>
        <w:t xml:space="preserve">2022年度收入决算总额为1143.68万元，其中：上年结转结余1.93万元、本年拨款收入1141.75万元。    </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2、支出情况：</w:t>
      </w:r>
      <w:r>
        <w:rPr>
          <w:rFonts w:hint="eastAsia" w:ascii="仿宋_GB2312" w:hAnsi="仿宋" w:eastAsia="仿宋_GB2312"/>
          <w:sz w:val="32"/>
          <w:szCs w:val="32"/>
        </w:rPr>
        <w:t>2022年支出决算总额为1143.68万元，其中：年末结转结余1.93万元,基本支出434.01万元（人员支出368.27万元，日常公用支出65.74万元）,项目支出707.74万元，主要</w:t>
      </w:r>
      <w:r>
        <w:rPr>
          <w:rFonts w:hint="eastAsia" w:ascii="仿宋_GB2312" w:eastAsia="仿宋_GB2312"/>
          <w:sz w:val="32"/>
          <w:szCs w:val="32"/>
        </w:rPr>
        <w:t>用于保障协调、指导全市政法、综治、维稳安全、反邪教、扫黑除恶等工作及围绕市上中心工作，根据职能做好服务和保障。</w:t>
      </w:r>
    </w:p>
    <w:p>
      <w:pPr>
        <w:spacing w:line="600" w:lineRule="exact"/>
        <w:ind w:left="57" w:leftChars="27" w:firstLine="640" w:firstLineChars="200"/>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三、部门整体预算绩效管理情况</w:t>
      </w:r>
    </w:p>
    <w:p>
      <w:pPr>
        <w:widowControl/>
        <w:adjustRightInd w:val="0"/>
        <w:snapToGrid w:val="0"/>
        <w:spacing w:line="620" w:lineRule="exact"/>
        <w:ind w:firstLine="640" w:firstLineChars="200"/>
        <w:jc w:val="left"/>
        <w:rPr>
          <w:rFonts w:ascii="楷体" w:hAnsi="楷体" w:eastAsia="楷体" w:cs="宋体"/>
          <w:kern w:val="0"/>
          <w:sz w:val="32"/>
          <w:szCs w:val="32"/>
          <w:shd w:val="clear" w:color="auto" w:fill="FFFFFF"/>
        </w:rPr>
      </w:pPr>
      <w:r>
        <w:rPr>
          <w:rFonts w:hint="eastAsia" w:ascii="楷体" w:hAnsi="楷体" w:eastAsia="楷体" w:cs="宋体"/>
          <w:kern w:val="0"/>
          <w:sz w:val="32"/>
          <w:szCs w:val="32"/>
          <w:shd w:val="clear" w:color="auto" w:fill="FFFFFF"/>
        </w:rPr>
        <w:t>（一）部门预算管理</w:t>
      </w:r>
    </w:p>
    <w:p>
      <w:pPr>
        <w:spacing w:line="620" w:lineRule="exact"/>
        <w:ind w:firstLine="640" w:firstLineChars="200"/>
        <w:rPr>
          <w:rFonts w:ascii="仿宋_GB2312" w:eastAsia="仿宋_GB2312"/>
          <w:sz w:val="32"/>
          <w:szCs w:val="32"/>
        </w:rPr>
      </w:pPr>
      <w:r>
        <w:rPr>
          <w:rFonts w:hint="eastAsia" w:ascii="仿宋_GB2312" w:eastAsia="仿宋_GB2312"/>
          <w:sz w:val="32"/>
          <w:szCs w:val="32"/>
        </w:rPr>
        <w:t>1、预决算编制。按照《预算法》、《预算法实施条例》的规定和财政预算管理改革有关要求进行预算编制工作。本单位预算资金主要为公共财政资金预算，本着“量入为出、收支平衡、先急后缓、结合实际、细化预算”的原则进行编制。决算工作是预算执行情况的全面反映，严格做到实事求是，数据真实准确，账表相符。</w:t>
      </w:r>
    </w:p>
    <w:p>
      <w:pPr>
        <w:spacing w:line="620" w:lineRule="exact"/>
        <w:ind w:firstLine="800" w:firstLineChars="250"/>
        <w:rPr>
          <w:rFonts w:ascii="仿宋_GB2312" w:eastAsia="仿宋_GB2312"/>
          <w:sz w:val="32"/>
          <w:szCs w:val="32"/>
        </w:rPr>
      </w:pPr>
      <w:r>
        <w:rPr>
          <w:rFonts w:hint="eastAsia" w:ascii="仿宋_GB2312" w:eastAsia="仿宋_GB2312"/>
          <w:sz w:val="32"/>
          <w:szCs w:val="32"/>
        </w:rPr>
        <w:t>2、执行管理及支出绩效情况。</w:t>
      </w:r>
    </w:p>
    <w:p>
      <w:pPr>
        <w:widowControl/>
        <w:adjustRightInd w:val="0"/>
        <w:snapToGrid w:val="0"/>
        <w:spacing w:line="600" w:lineRule="exact"/>
        <w:ind w:left="420"/>
        <w:contextualSpacing/>
        <w:jc w:val="left"/>
        <w:rPr>
          <w:rFonts w:ascii="仿宋_GB2312" w:hAnsi="仿宋" w:eastAsia="仿宋_GB2312" w:cs="仿宋"/>
          <w:sz w:val="32"/>
          <w:szCs w:val="32"/>
        </w:rPr>
      </w:pPr>
      <w:r>
        <w:rPr>
          <w:rFonts w:hint="eastAsia" w:ascii="仿宋_GB2312" w:eastAsia="仿宋_GB2312"/>
          <w:sz w:val="32"/>
          <w:szCs w:val="32"/>
        </w:rPr>
        <w:t>（1）人员经费按照在职在编人员支出，公用经费财政按照均衡计划下达使用，确保机关的正常运行。</w:t>
      </w:r>
      <w:r>
        <w:rPr>
          <w:rFonts w:hint="eastAsia" w:ascii="仿宋_GB2312" w:hAnsi="仿宋" w:eastAsia="仿宋_GB2312" w:cs="仿宋"/>
          <w:sz w:val="32"/>
          <w:szCs w:val="32"/>
        </w:rPr>
        <w:t>6、9、11月均按预算执行进度执行，预算项目年终执行进度为100%，预算完成情况良好，无资金结余和违规记录。</w:t>
      </w:r>
    </w:p>
    <w:p>
      <w:pPr>
        <w:spacing w:line="620" w:lineRule="exact"/>
        <w:ind w:firstLine="640" w:firstLineChars="200"/>
        <w:rPr>
          <w:rFonts w:ascii="仿宋_GB2312" w:eastAsia="仿宋_GB2312"/>
          <w:sz w:val="32"/>
          <w:szCs w:val="32"/>
        </w:rPr>
      </w:pPr>
      <w:r>
        <w:rPr>
          <w:rFonts w:hint="eastAsia" w:ascii="仿宋_GB2312" w:hAnsi="仿宋" w:eastAsia="仿宋_GB2312" w:cs="仿宋"/>
          <w:sz w:val="32"/>
          <w:szCs w:val="32"/>
        </w:rPr>
        <w:t>（2）项目类设产出、效益、满意度一级指标，细化到三级指标量化考核。</w:t>
      </w:r>
      <w:r>
        <w:rPr>
          <w:rFonts w:hint="eastAsia" w:ascii="仿宋_GB2312" w:eastAsia="仿宋_GB2312"/>
          <w:sz w:val="32"/>
          <w:szCs w:val="32"/>
        </w:rPr>
        <w:t>项目经费根据财政资金情况进行安排，由于2022年财政资金压力大，</w:t>
      </w:r>
      <w:r>
        <w:rPr>
          <w:rFonts w:hint="eastAsia" w:ascii="仿宋_GB2312" w:hAnsi="仿宋" w:eastAsia="仿宋_GB2312" w:cs="仿宋"/>
          <w:sz w:val="32"/>
          <w:szCs w:val="32"/>
        </w:rPr>
        <w:t>预算均衡执行度较弱，6、9、11月预算执行进度执行力度不够，</w:t>
      </w:r>
      <w:r>
        <w:rPr>
          <w:rFonts w:hint="eastAsia" w:ascii="仿宋_GB2312" w:eastAsia="仿宋_GB2312"/>
          <w:sz w:val="32"/>
          <w:szCs w:val="32"/>
        </w:rPr>
        <w:t>大部分项目资金未到位。</w:t>
      </w:r>
      <w:r>
        <w:rPr>
          <w:rFonts w:hint="eastAsia" w:ascii="仿宋_GB2312" w:hAnsi="仿宋" w:eastAsia="仿宋_GB2312" w:cs="仿宋"/>
          <w:sz w:val="32"/>
          <w:szCs w:val="32"/>
        </w:rPr>
        <w:t>无资金结余和违规记录。</w:t>
      </w:r>
    </w:p>
    <w:p>
      <w:pPr>
        <w:widowControl/>
        <w:adjustRightInd w:val="0"/>
        <w:snapToGrid w:val="0"/>
        <w:spacing w:line="620" w:lineRule="exact"/>
        <w:ind w:firstLine="640" w:firstLineChars="200"/>
        <w:jc w:val="left"/>
        <w:rPr>
          <w:rFonts w:ascii="楷体" w:hAnsi="楷体" w:eastAsia="楷体" w:cs="宋体"/>
          <w:kern w:val="0"/>
          <w:sz w:val="32"/>
          <w:szCs w:val="32"/>
          <w:shd w:val="clear" w:color="auto" w:fill="FFFFFF"/>
        </w:rPr>
      </w:pPr>
      <w:r>
        <w:rPr>
          <w:rFonts w:hint="eastAsia" w:ascii="楷体" w:hAnsi="楷体" w:eastAsia="楷体" w:cs="宋体"/>
          <w:kern w:val="0"/>
          <w:sz w:val="32"/>
          <w:szCs w:val="32"/>
          <w:shd w:val="clear" w:color="auto" w:fill="FFFFFF"/>
        </w:rPr>
        <w:t>（二）结果应用情况。</w:t>
      </w:r>
    </w:p>
    <w:p>
      <w:pPr>
        <w:widowControl/>
        <w:adjustRightInd w:val="0"/>
        <w:snapToGrid w:val="0"/>
        <w:spacing w:line="620" w:lineRule="exact"/>
        <w:ind w:firstLine="640" w:firstLineChars="200"/>
        <w:jc w:val="left"/>
        <w:rPr>
          <w:rFonts w:ascii="仿宋_GB2312" w:eastAsia="仿宋_GB2312"/>
          <w:sz w:val="32"/>
          <w:szCs w:val="32"/>
        </w:rPr>
      </w:pPr>
      <w:r>
        <w:rPr>
          <w:rFonts w:hint="eastAsia" w:ascii="仿宋_GB2312" w:eastAsia="仿宋_GB2312"/>
          <w:sz w:val="32"/>
          <w:szCs w:val="32"/>
        </w:rPr>
        <w:t>根据“总量控制、计划管理”的要求从严控制行政经费，压缩公务开支，严格控制“三公”经费，支出总额控制在预算总额以内。资产配置严格政府采购，按照预算科目规定使用财政资金，保障资金支出的规范化、制度化，并按要求及时将部门预、决算在政府网站进行公开。</w:t>
      </w:r>
    </w:p>
    <w:p>
      <w:pPr>
        <w:widowControl/>
        <w:adjustRightInd w:val="0"/>
        <w:snapToGrid w:val="0"/>
        <w:spacing w:line="620" w:lineRule="exact"/>
        <w:ind w:firstLine="640" w:firstLineChars="200"/>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四、评价结论和建议</w:t>
      </w:r>
    </w:p>
    <w:p>
      <w:pPr>
        <w:spacing w:line="620" w:lineRule="exact"/>
        <w:rPr>
          <w:rFonts w:ascii="仿宋_GB2312" w:eastAsia="仿宋_GB2312"/>
          <w:sz w:val="32"/>
          <w:szCs w:val="32"/>
        </w:rPr>
      </w:pPr>
      <w:r>
        <w:rPr>
          <w:rFonts w:hint="eastAsia"/>
          <w:szCs w:val="32"/>
        </w:rPr>
        <w:t xml:space="preserve">  </w:t>
      </w:r>
      <w:r>
        <w:rPr>
          <w:rFonts w:hint="eastAsia" w:ascii="仿宋_GB2312" w:eastAsia="仿宋_GB2312"/>
          <w:sz w:val="32"/>
          <w:szCs w:val="32"/>
        </w:rPr>
        <w:t xml:space="preserve">  1、评价结论：综合2022年部门预算支出绩效评价情况认为，本单位资金预算绩效方面是管理使用到位的，自评得分90分。全年根据预算资金合理组织、协调、安排全市政法、维稳、综治、矛盾调解、扫黑除恶、防邪等工作，切实从源头解决问题，维护了社会的和谐稳定。</w:t>
      </w:r>
    </w:p>
    <w:p>
      <w:pPr>
        <w:spacing w:line="620" w:lineRule="exact"/>
        <w:ind w:firstLine="660"/>
        <w:rPr>
          <w:rFonts w:ascii="仿宋_GB2312" w:hAnsi="仿宋" w:eastAsia="仿宋_GB2312"/>
          <w:sz w:val="32"/>
          <w:szCs w:val="32"/>
        </w:rPr>
      </w:pPr>
      <w:r>
        <w:rPr>
          <w:rFonts w:hint="eastAsia" w:ascii="仿宋_GB2312" w:eastAsia="仿宋_GB2312"/>
          <w:sz w:val="32"/>
          <w:szCs w:val="32"/>
        </w:rPr>
        <w:t>2、建议：在编制预算时要结合年度工作计划、上年预算执行、以前年度结余合理预算，实现项目资金利用效率最大化。进一步健全单位内部控制制度，提高干部职工对内控制度重要性的认识，应充分认识到内部控制是一个系统工程，它涵盖单位工作的全流程、全方位，是全员参与的过程。进一步加强固定资产的使用和处置管理，定期进行盘点，对报废资产按照资产处置规定办理报批手续</w:t>
      </w:r>
      <w:r>
        <w:rPr>
          <w:rFonts w:hint="eastAsia" w:ascii="仿宋_GB2312" w:hAnsi="仿宋" w:eastAsia="仿宋_GB2312"/>
          <w:sz w:val="32"/>
          <w:szCs w:val="32"/>
        </w:rPr>
        <w:t>。</w:t>
      </w:r>
    </w:p>
    <w:p>
      <w:pPr>
        <w:spacing w:line="620" w:lineRule="exact"/>
        <w:ind w:firstLine="660"/>
        <w:rPr>
          <w:rFonts w:ascii="仿宋" w:hAnsi="仿宋" w:eastAsia="仿宋"/>
        </w:rPr>
      </w:pPr>
    </w:p>
    <w:p>
      <w:pPr>
        <w:spacing w:line="620" w:lineRule="exact"/>
        <w:ind w:firstLine="660"/>
        <w:jc w:val="right"/>
        <w:rPr>
          <w:rFonts w:ascii="仿宋_GB2312" w:eastAsia="仿宋_GB2312"/>
          <w:sz w:val="32"/>
          <w:szCs w:val="32"/>
        </w:rPr>
      </w:pPr>
      <w:r>
        <w:rPr>
          <w:rFonts w:hint="eastAsia" w:ascii="仿宋_GB2312" w:eastAsia="仿宋_GB2312"/>
          <w:sz w:val="32"/>
          <w:szCs w:val="32"/>
        </w:rPr>
        <w:t>中共峨眉山市委政法委员会</w:t>
      </w:r>
    </w:p>
    <w:p>
      <w:pPr>
        <w:spacing w:line="620" w:lineRule="exact"/>
        <w:ind w:right="320" w:firstLine="660"/>
        <w:jc w:val="right"/>
        <w:rPr>
          <w:rFonts w:ascii="仿宋_GB2312" w:eastAsia="仿宋_GB2312"/>
          <w:color w:val="FF0000"/>
          <w:sz w:val="32"/>
          <w:szCs w:val="32"/>
        </w:rPr>
      </w:pPr>
      <w:r>
        <w:rPr>
          <w:rFonts w:hint="eastAsia" w:ascii="仿宋_GB2312" w:eastAsia="仿宋_GB2312"/>
          <w:sz w:val="32"/>
          <w:szCs w:val="32"/>
        </w:rPr>
        <w:t>2023年4月20日</w:t>
      </w:r>
    </w:p>
    <w:p>
      <w:pPr>
        <w:pStyle w:val="2"/>
        <w:spacing w:before="93" w:line="600" w:lineRule="exact"/>
        <w:rPr>
          <w:rFonts w:hAnsi="宋体" w:cs="宋体"/>
          <w:sz w:val="32"/>
          <w:szCs w:val="32"/>
          <w:shd w:val="clear" w:color="auto" w:fill="FFFFFF"/>
          <w:lang w:val="zh-CN"/>
        </w:rPr>
      </w:pPr>
    </w:p>
    <w:p>
      <w:pPr>
        <w:pStyle w:val="2"/>
        <w:spacing w:before="93" w:line="600" w:lineRule="exact"/>
        <w:rPr>
          <w:rFonts w:hAnsi="宋体" w:cs="宋体"/>
          <w:sz w:val="32"/>
          <w:szCs w:val="32"/>
          <w:shd w:val="clear" w:color="auto" w:fill="FFFFFF"/>
          <w:lang w:val="zh-CN"/>
        </w:rPr>
      </w:pPr>
    </w:p>
    <w:p>
      <w:pPr>
        <w:pStyle w:val="2"/>
        <w:spacing w:before="93" w:line="600" w:lineRule="exact"/>
        <w:rPr>
          <w:rFonts w:hAnsi="宋体" w:cs="宋体"/>
          <w:sz w:val="32"/>
          <w:szCs w:val="32"/>
          <w:shd w:val="clear" w:color="auto" w:fill="FFFFFF"/>
          <w:lang w:val="zh-CN"/>
        </w:rPr>
      </w:pPr>
    </w:p>
    <w:p>
      <w:pPr>
        <w:pStyle w:val="2"/>
        <w:spacing w:before="93" w:line="600" w:lineRule="exact"/>
        <w:rPr>
          <w:rFonts w:hAnsi="宋体" w:cs="宋体"/>
          <w:sz w:val="32"/>
          <w:szCs w:val="32"/>
          <w:shd w:val="clear" w:color="auto" w:fill="FFFFFF"/>
          <w:lang w:val="zh-CN"/>
        </w:rPr>
      </w:pPr>
    </w:p>
    <w:p>
      <w:pPr>
        <w:pStyle w:val="2"/>
        <w:spacing w:before="93" w:line="600" w:lineRule="exact"/>
        <w:rPr>
          <w:rFonts w:hAnsi="宋体" w:cs="宋体"/>
          <w:sz w:val="32"/>
          <w:szCs w:val="32"/>
          <w:shd w:val="clear" w:color="auto" w:fill="FFFFFF"/>
          <w:lang w:val="zh-CN"/>
        </w:rPr>
      </w:pPr>
    </w:p>
    <w:p>
      <w:pPr>
        <w:pStyle w:val="2"/>
        <w:spacing w:before="93" w:line="600" w:lineRule="exact"/>
        <w:rPr>
          <w:rFonts w:hAnsi="宋体" w:cs="宋体"/>
          <w:sz w:val="32"/>
          <w:szCs w:val="32"/>
          <w:shd w:val="clear" w:color="auto" w:fill="FFFFFF"/>
          <w:lang w:val="zh-CN"/>
        </w:rPr>
      </w:pPr>
    </w:p>
    <w:p>
      <w:pPr>
        <w:pStyle w:val="2"/>
        <w:spacing w:before="93" w:line="600" w:lineRule="exact"/>
        <w:rPr>
          <w:rFonts w:hAnsi="宋体" w:cs="宋体"/>
          <w:sz w:val="32"/>
          <w:szCs w:val="32"/>
          <w:shd w:val="clear" w:color="auto" w:fill="FFFFFF"/>
          <w:lang w:val="zh-CN"/>
        </w:rPr>
      </w:pPr>
    </w:p>
    <w:p>
      <w:pPr>
        <w:pStyle w:val="2"/>
        <w:spacing w:before="93" w:line="600" w:lineRule="exact"/>
        <w:rPr>
          <w:rFonts w:hAnsi="宋体" w:cs="宋体"/>
          <w:sz w:val="32"/>
          <w:szCs w:val="32"/>
          <w:shd w:val="clear" w:color="auto" w:fill="FFFFFF"/>
          <w:lang w:val="zh-CN"/>
        </w:rPr>
      </w:pPr>
    </w:p>
    <w:p>
      <w:pPr>
        <w:pStyle w:val="2"/>
        <w:spacing w:before="93" w:line="600" w:lineRule="exact"/>
        <w:rPr>
          <w:rFonts w:hAnsi="宋体" w:cs="宋体"/>
          <w:sz w:val="32"/>
          <w:szCs w:val="32"/>
          <w:shd w:val="clear" w:color="auto" w:fill="FFFFFF"/>
          <w:lang w:val="zh-CN"/>
        </w:rPr>
      </w:pPr>
    </w:p>
    <w:p>
      <w:pPr>
        <w:pStyle w:val="2"/>
        <w:spacing w:before="93" w:line="600" w:lineRule="exact"/>
        <w:rPr>
          <w:rFonts w:hAnsi="宋体" w:cs="宋体"/>
          <w:sz w:val="32"/>
          <w:szCs w:val="32"/>
          <w:shd w:val="clear" w:color="auto" w:fill="FFFFFF"/>
          <w:lang w:val="zh-CN"/>
        </w:rPr>
      </w:pPr>
    </w:p>
    <w:p>
      <w:pPr>
        <w:pStyle w:val="2"/>
        <w:spacing w:before="93" w:line="600" w:lineRule="exact"/>
        <w:rPr>
          <w:rFonts w:ascii="黑体" w:hAnsi="黑体" w:eastAsia="黑体" w:cs="黑体"/>
          <w:sz w:val="32"/>
          <w:szCs w:val="32"/>
          <w:shd w:val="clear" w:color="auto" w:fill="FFFFFF"/>
          <w:lang w:val="zh-CN"/>
        </w:rPr>
      </w:pPr>
    </w:p>
    <w:p>
      <w:pPr>
        <w:pStyle w:val="2"/>
        <w:spacing w:before="93" w:line="600" w:lineRule="exact"/>
        <w:rPr>
          <w:rFonts w:ascii="黑体" w:hAnsi="黑体" w:eastAsia="黑体" w:cs="黑体"/>
          <w:sz w:val="32"/>
          <w:szCs w:val="32"/>
          <w:shd w:val="clear" w:color="auto" w:fill="FFFFFF"/>
          <w:lang w:val="zh-CN"/>
        </w:rPr>
      </w:pPr>
    </w:p>
    <w:p>
      <w:pPr>
        <w:spacing w:line="620" w:lineRule="exact"/>
        <w:ind w:firstLine="2860" w:firstLineChars="650"/>
        <w:rPr>
          <w:rFonts w:hint="eastAsia" w:ascii="方正小标宋简体" w:hAnsi="方正小标宋简体" w:eastAsia="方正小标宋简体"/>
          <w:sz w:val="44"/>
        </w:rPr>
      </w:pPr>
    </w:p>
    <w:p>
      <w:pPr>
        <w:spacing w:line="620" w:lineRule="exact"/>
        <w:ind w:firstLine="2860" w:firstLineChars="650"/>
        <w:rPr>
          <w:rFonts w:ascii="方正小标宋简体" w:hAnsi="方正小标宋简体" w:eastAsia="方正小标宋简体"/>
          <w:sz w:val="44"/>
        </w:rPr>
      </w:pPr>
      <w:r>
        <w:rPr>
          <w:rFonts w:hint="eastAsia" w:ascii="方正小标宋简体" w:hAnsi="方正小标宋简体" w:eastAsia="方正小标宋简体"/>
          <w:sz w:val="44"/>
        </w:rPr>
        <w:t>中共峨眉山市委政法委</w:t>
      </w:r>
    </w:p>
    <w:p>
      <w:pPr>
        <w:spacing w:line="620" w:lineRule="exact"/>
        <w:jc w:val="center"/>
        <w:rPr>
          <w:rFonts w:ascii="方正小标宋简体" w:hAnsi="方正小标宋简体" w:eastAsia="方正小标宋简体"/>
          <w:sz w:val="44"/>
        </w:rPr>
      </w:pPr>
      <w:r>
        <w:rPr>
          <w:rFonts w:hint="eastAsia" w:ascii="方正小标宋简体" w:hAnsi="方正小标宋简体" w:eastAsia="方正小标宋简体"/>
          <w:sz w:val="44"/>
          <w:lang w:val="en-US" w:eastAsia="zh-CN"/>
        </w:rPr>
        <w:t xml:space="preserve">    </w:t>
      </w:r>
      <w:r>
        <w:rPr>
          <w:rFonts w:hint="eastAsia" w:ascii="方正小标宋简体" w:hAnsi="方正小标宋简体" w:eastAsia="方正小标宋简体"/>
          <w:sz w:val="44"/>
        </w:rPr>
        <w:t>2022年项目预算支出绩效报告</w:t>
      </w:r>
    </w:p>
    <w:p>
      <w:pPr>
        <w:widowControl/>
        <w:adjustRightInd w:val="0"/>
        <w:snapToGrid w:val="0"/>
        <w:spacing w:line="620" w:lineRule="exact"/>
        <w:ind w:firstLine="720"/>
        <w:jc w:val="left"/>
        <w:rPr>
          <w:rFonts w:ascii="黑体" w:hAnsi="宋体" w:eastAsia="黑体" w:cs="宋体"/>
          <w:color w:val="000000"/>
          <w:kern w:val="0"/>
          <w:sz w:val="24"/>
          <w:szCs w:val="32"/>
          <w:shd w:val="clear" w:color="auto" w:fill="FFFFFF"/>
        </w:rPr>
      </w:pPr>
    </w:p>
    <w:p>
      <w:pPr>
        <w:spacing w:line="620" w:lineRule="exact"/>
        <w:ind w:firstLine="640" w:firstLineChars="200"/>
        <w:rPr>
          <w:rFonts w:ascii="黑体" w:hAnsi="黑体" w:eastAsia="黑体" w:cs="黑体"/>
          <w:sz w:val="32"/>
          <w:szCs w:val="32"/>
        </w:rPr>
      </w:pPr>
      <w:r>
        <w:rPr>
          <w:rFonts w:hint="eastAsia" w:ascii="黑体" w:hAnsi="黑体" w:eastAsia="黑体" w:cs="黑体"/>
          <w:sz w:val="32"/>
          <w:szCs w:val="32"/>
        </w:rPr>
        <w:t>一、项目概况</w:t>
      </w:r>
    </w:p>
    <w:p>
      <w:pPr>
        <w:widowControl/>
        <w:tabs>
          <w:tab w:val="left" w:pos="2158"/>
        </w:tabs>
        <w:spacing w:line="576" w:lineRule="exact"/>
        <w:ind w:firstLine="640" w:firstLineChars="200"/>
        <w:rPr>
          <w:szCs w:val="32"/>
        </w:rPr>
      </w:pPr>
      <w:r>
        <w:rPr>
          <w:rFonts w:hint="eastAsia" w:ascii="仿宋_GB2312" w:eastAsia="仿宋_GB2312"/>
          <w:sz w:val="32"/>
          <w:szCs w:val="32"/>
        </w:rPr>
        <w:t>根据四川省社会治安综合治理委员会和乐山市治安综合治理委员会相关文件通知和要求，市综治办于2016年7月4日向市政府提交《关于实施“雪亮”工程建设的请示》经市政府2016年12月13日第3次常务会审议并通过请示，同意实施“雪亮”工程建设，一次性实施18个乡镇141个村433个点位（行政区划调整前）。2017年10月由峨眉山市公共资源交易中心进行公开招标采购，经专家委员会现场评审，中国电信股份有限公司乐山分公司为该项目中标单位。</w:t>
      </w:r>
      <w:r>
        <w:rPr>
          <w:rFonts w:hint="eastAsia" w:ascii="仿宋_GB2312" w:hAnsi="宋体" w:eastAsia="仿宋_GB2312" w:cs="宋体"/>
          <w:kern w:val="0"/>
          <w:sz w:val="32"/>
          <w:szCs w:val="32"/>
        </w:rPr>
        <w:t>峨眉山市“雪亮”工程二期是在一期“雪亮”工程基础上进行扩容</w:t>
      </w:r>
      <w:r>
        <w:rPr>
          <w:rFonts w:hint="eastAsia" w:ascii="仿宋_GB2312" w:hAnsi="宋体" w:cs="宋体"/>
          <w:kern w:val="0"/>
          <w:sz w:val="33"/>
          <w:szCs w:val="33"/>
        </w:rPr>
        <w:t>。</w:t>
      </w:r>
    </w:p>
    <w:p>
      <w:pPr>
        <w:numPr>
          <w:ilvl w:val="0"/>
          <w:numId w:val="3"/>
        </w:numPr>
        <w:spacing w:line="620" w:lineRule="exact"/>
        <w:ind w:firstLine="643" w:firstLineChars="200"/>
        <w:rPr>
          <w:rFonts w:ascii="楷体" w:hAnsi="楷体" w:eastAsia="楷体"/>
          <w:b/>
          <w:bCs/>
          <w:sz w:val="32"/>
          <w:szCs w:val="32"/>
          <w:lang w:val="zh-CN"/>
        </w:rPr>
      </w:pPr>
      <w:r>
        <w:rPr>
          <w:rFonts w:hint="eastAsia" w:ascii="楷体" w:hAnsi="楷体" w:eastAsia="楷体"/>
          <w:b/>
          <w:bCs/>
          <w:sz w:val="32"/>
          <w:szCs w:val="32"/>
          <w:lang w:val="zh-CN"/>
        </w:rPr>
        <w:t>项目资金申报及批复情况</w:t>
      </w:r>
    </w:p>
    <w:p>
      <w:pPr>
        <w:spacing w:line="620" w:lineRule="exact"/>
        <w:ind w:firstLine="640" w:firstLineChars="200"/>
        <w:rPr>
          <w:rFonts w:ascii="仿宋_GB2312" w:eastAsia="仿宋_GB2312"/>
          <w:b/>
          <w:bCs/>
          <w:sz w:val="32"/>
          <w:szCs w:val="32"/>
        </w:rPr>
      </w:pPr>
      <w:r>
        <w:rPr>
          <w:rFonts w:hint="eastAsia" w:ascii="仿宋_GB2312" w:eastAsia="仿宋_GB2312"/>
          <w:sz w:val="32"/>
          <w:szCs w:val="32"/>
        </w:rPr>
        <w:t>根据运营商每月、每季度运行报告及乡镇（街道）每季度签字盖章认可的峨眉山市雪亮工程季度考核表，由我委相关部门按季起报费用，经领导审批后向财政申请项目资金。“雪亮”一期总投资1380.79万元，已支付629.25万元，“雪亮”二期总投资1358.47万元，已支付301.88万元。</w:t>
      </w:r>
    </w:p>
    <w:p>
      <w:pPr>
        <w:numPr>
          <w:ilvl w:val="0"/>
          <w:numId w:val="3"/>
        </w:numPr>
        <w:spacing w:line="620" w:lineRule="exact"/>
        <w:ind w:firstLine="643" w:firstLineChars="200"/>
        <w:rPr>
          <w:rFonts w:ascii="楷体" w:hAnsi="楷体" w:eastAsia="楷体"/>
          <w:b/>
          <w:bCs/>
          <w:sz w:val="32"/>
          <w:szCs w:val="32"/>
          <w:lang w:val="zh-CN"/>
        </w:rPr>
      </w:pPr>
      <w:r>
        <w:rPr>
          <w:rFonts w:hint="eastAsia" w:ascii="楷体" w:hAnsi="楷体" w:eastAsia="楷体"/>
          <w:b/>
          <w:bCs/>
          <w:sz w:val="32"/>
          <w:szCs w:val="32"/>
          <w:lang w:val="zh-CN"/>
        </w:rPr>
        <w:t>项目绩效目标。</w:t>
      </w:r>
    </w:p>
    <w:p>
      <w:pPr>
        <w:spacing w:line="620" w:lineRule="exact"/>
        <w:ind w:firstLine="640" w:firstLineChars="200"/>
        <w:rPr>
          <w:rFonts w:ascii="仿宋_GB2312" w:eastAsia="仿宋_GB2312"/>
          <w:sz w:val="32"/>
          <w:szCs w:val="32"/>
        </w:rPr>
      </w:pPr>
      <w:r>
        <w:rPr>
          <w:rFonts w:hint="eastAsia" w:ascii="仿宋_GB2312" w:eastAsia="仿宋_GB2312"/>
          <w:sz w:val="32"/>
          <w:szCs w:val="32"/>
        </w:rPr>
        <w:t>1、前端在线率要求：服务期间，保障视频监控在线率每月不得低于95%。</w:t>
      </w:r>
    </w:p>
    <w:p>
      <w:pPr>
        <w:spacing w:line="620" w:lineRule="exact"/>
        <w:ind w:firstLine="640" w:firstLineChars="200"/>
        <w:rPr>
          <w:rFonts w:ascii="仿宋_GB2312" w:eastAsia="仿宋_GB2312"/>
          <w:sz w:val="32"/>
          <w:szCs w:val="32"/>
        </w:rPr>
      </w:pPr>
      <w:r>
        <w:rPr>
          <w:rFonts w:hint="eastAsia" w:ascii="仿宋_GB2312" w:eastAsia="仿宋_GB2312"/>
          <w:sz w:val="32"/>
          <w:szCs w:val="32"/>
        </w:rPr>
        <w:t>2、前端监控点位故障处理：（1）一般情况和非重点监控图像故障，须在36小时以内排除故障。（2）紧急情况和重点监控点故障，须在12小时排除故障。（3）某个前端监控点位故障一个月内累计不超过5天。</w:t>
      </w:r>
    </w:p>
    <w:p>
      <w:pPr>
        <w:spacing w:line="620" w:lineRule="exact"/>
        <w:ind w:firstLine="640" w:firstLineChars="200"/>
        <w:rPr>
          <w:rFonts w:ascii="仿宋_GB2312" w:eastAsia="仿宋_GB2312"/>
          <w:sz w:val="32"/>
          <w:szCs w:val="32"/>
        </w:rPr>
      </w:pPr>
      <w:r>
        <w:rPr>
          <w:rFonts w:hint="eastAsia" w:ascii="仿宋_GB2312" w:eastAsia="仿宋_GB2312"/>
          <w:sz w:val="32"/>
          <w:szCs w:val="32"/>
        </w:rPr>
        <w:t>3、维护响应要求：发现的故障，将直接与运营商提供的总负责人联系，一般性故障必须在6小时内恢复。</w:t>
      </w:r>
    </w:p>
    <w:p>
      <w:pPr>
        <w:spacing w:line="620" w:lineRule="exact"/>
        <w:ind w:firstLine="640" w:firstLineChars="200"/>
        <w:rPr>
          <w:rFonts w:ascii="仿宋_GB2312" w:eastAsia="仿宋_GB2312"/>
          <w:sz w:val="32"/>
          <w:szCs w:val="32"/>
        </w:rPr>
      </w:pPr>
      <w:r>
        <w:rPr>
          <w:rFonts w:hint="eastAsia" w:ascii="仿宋_GB2312" w:eastAsia="仿宋_GB2312"/>
          <w:sz w:val="32"/>
          <w:szCs w:val="32"/>
        </w:rPr>
        <w:t xml:space="preserve"> 4、视频质量保证：服务期间，要求每季度至少进行一次对所有前端监控点位和的除尘、树枝和树叶清理或前端参数修改等常规维护。</w:t>
      </w:r>
    </w:p>
    <w:p>
      <w:pPr>
        <w:spacing w:line="620" w:lineRule="exact"/>
        <w:ind w:firstLine="640" w:firstLineChars="200"/>
        <w:rPr>
          <w:rFonts w:ascii="仿宋_GB2312" w:eastAsia="仿宋_GB2312"/>
          <w:sz w:val="32"/>
          <w:szCs w:val="32"/>
        </w:rPr>
      </w:pPr>
      <w:r>
        <w:rPr>
          <w:rFonts w:hint="eastAsia" w:ascii="仿宋_GB2312" w:eastAsia="仿宋_GB2312"/>
          <w:sz w:val="32"/>
          <w:szCs w:val="32"/>
        </w:rPr>
        <w:t>5、中心平台运维要求：服务期间，运营商须配合综治中心保障中心平台（市级平台和乡镇级平台以及村级平台）的上下实时对接在线和畅通运行。</w:t>
      </w:r>
    </w:p>
    <w:p>
      <w:pPr>
        <w:adjustRightInd w:val="0"/>
        <w:snapToGrid w:val="0"/>
        <w:spacing w:line="600" w:lineRule="exact"/>
        <w:ind w:firstLine="720"/>
        <w:rPr>
          <w:rFonts w:ascii="楷体" w:hAnsi="楷体" w:eastAsia="楷体"/>
          <w:b/>
          <w:bCs/>
          <w:sz w:val="32"/>
          <w:szCs w:val="32"/>
        </w:rPr>
      </w:pPr>
      <w:r>
        <w:rPr>
          <w:rFonts w:hint="eastAsia" w:ascii="楷体" w:hAnsi="楷体" w:eastAsia="楷体"/>
          <w:b/>
          <w:bCs/>
          <w:sz w:val="32"/>
          <w:szCs w:val="32"/>
        </w:rPr>
        <w:t>（三）项目资金申报相符性</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乡镇（街道）及综治中心随时监督系统运行情况，该项目申报内容与具体实施内容相符。</w:t>
      </w:r>
    </w:p>
    <w:p>
      <w:pPr>
        <w:adjustRightInd w:val="0"/>
        <w:snapToGrid w:val="0"/>
        <w:spacing w:line="600" w:lineRule="exact"/>
        <w:ind w:firstLine="720"/>
        <w:rPr>
          <w:rFonts w:ascii="黑体" w:hAnsi="黑体" w:eastAsia="黑体" w:cs="黑体"/>
          <w:sz w:val="32"/>
          <w:szCs w:val="32"/>
        </w:rPr>
      </w:pPr>
      <w:r>
        <w:rPr>
          <w:rFonts w:hint="eastAsia" w:ascii="黑体" w:hAnsi="黑体" w:eastAsia="黑体" w:cs="黑体"/>
          <w:sz w:val="32"/>
          <w:szCs w:val="32"/>
        </w:rPr>
        <w:t>二、项目实施及管理情况</w:t>
      </w:r>
    </w:p>
    <w:p>
      <w:pPr>
        <w:spacing w:line="620" w:lineRule="exact"/>
        <w:ind w:firstLine="643" w:firstLineChars="200"/>
        <w:rPr>
          <w:rFonts w:ascii="楷体" w:hAnsi="楷体" w:eastAsia="楷体"/>
          <w:b/>
          <w:bCs/>
          <w:sz w:val="32"/>
          <w:szCs w:val="32"/>
        </w:rPr>
      </w:pPr>
      <w:r>
        <w:rPr>
          <w:rFonts w:hint="eastAsia" w:ascii="楷体" w:hAnsi="楷体" w:eastAsia="楷体"/>
          <w:b/>
          <w:bCs/>
          <w:sz w:val="32"/>
          <w:szCs w:val="32"/>
        </w:rPr>
        <w:t>（一）资金计划、到位及使用情况</w:t>
      </w:r>
    </w:p>
    <w:p>
      <w:pPr>
        <w:spacing w:line="620" w:lineRule="exact"/>
        <w:ind w:firstLine="640" w:firstLineChars="200"/>
        <w:rPr>
          <w:rFonts w:ascii="仿宋_GB2312" w:eastAsia="仿宋_GB2312"/>
          <w:sz w:val="32"/>
          <w:szCs w:val="32"/>
        </w:rPr>
      </w:pPr>
      <w:r>
        <w:rPr>
          <w:rFonts w:hint="eastAsia" w:ascii="仿宋_GB2312" w:eastAsia="仿宋_GB2312"/>
          <w:sz w:val="32"/>
          <w:szCs w:val="32"/>
        </w:rPr>
        <w:t>1、资金计划及到位。2022年财政预算我委全市雪亮工程建设费740万元，实际到位435.03万元，实际支出435.03万元。</w:t>
      </w:r>
    </w:p>
    <w:p>
      <w:pPr>
        <w:spacing w:line="620" w:lineRule="exact"/>
        <w:ind w:firstLine="640" w:firstLineChars="200"/>
        <w:rPr>
          <w:rFonts w:ascii="仿宋_GB2312" w:eastAsia="仿宋_GB2312"/>
          <w:sz w:val="32"/>
          <w:szCs w:val="32"/>
        </w:rPr>
      </w:pPr>
      <w:r>
        <w:rPr>
          <w:rFonts w:hint="eastAsia" w:ascii="仿宋_GB2312" w:eastAsia="仿宋_GB2312"/>
          <w:sz w:val="32"/>
          <w:szCs w:val="32"/>
        </w:rPr>
        <w:t>2、资金使用。该项目资金严格按照财政下达预算专款专用，无挪用及挤占现象。</w:t>
      </w:r>
    </w:p>
    <w:p>
      <w:pPr>
        <w:spacing w:line="620" w:lineRule="exact"/>
        <w:ind w:firstLine="643" w:firstLineChars="200"/>
        <w:rPr>
          <w:rFonts w:ascii="楷体" w:hAnsi="楷体" w:eastAsia="楷体"/>
          <w:b/>
          <w:bCs/>
          <w:sz w:val="32"/>
          <w:szCs w:val="32"/>
        </w:rPr>
      </w:pPr>
      <w:r>
        <w:rPr>
          <w:rFonts w:hint="eastAsia" w:ascii="楷体" w:hAnsi="楷体" w:eastAsia="楷体"/>
          <w:b/>
          <w:bCs/>
          <w:sz w:val="32"/>
          <w:szCs w:val="32"/>
        </w:rPr>
        <w:t>（二）项目财务管理情况</w:t>
      </w:r>
    </w:p>
    <w:p>
      <w:pPr>
        <w:spacing w:line="620" w:lineRule="exact"/>
        <w:ind w:firstLine="640" w:firstLineChars="200"/>
        <w:rPr>
          <w:rFonts w:ascii="仿宋_GB2312" w:eastAsia="仿宋_GB2312"/>
          <w:sz w:val="32"/>
          <w:szCs w:val="32"/>
        </w:rPr>
      </w:pPr>
      <w:r>
        <w:rPr>
          <w:rFonts w:hint="eastAsia" w:ascii="仿宋_GB2312" w:eastAsia="仿宋_GB2312"/>
          <w:sz w:val="32"/>
          <w:szCs w:val="32"/>
        </w:rPr>
        <w:t>严格支付审批程序。根据运营商每月、每季度运行报告及乡镇（街道）每季度填报签字盖章认可的峨眉山市雪亮工程季度考核表由我委相关部门审核起报，经分管领导及主要领导审批后向财政申请资金，采取直接支付方式付给运营商。</w:t>
      </w:r>
    </w:p>
    <w:p>
      <w:pPr>
        <w:spacing w:line="620" w:lineRule="exact"/>
        <w:ind w:firstLine="643" w:firstLineChars="200"/>
        <w:rPr>
          <w:rFonts w:ascii="楷体" w:hAnsi="楷体" w:eastAsia="楷体"/>
          <w:b/>
          <w:bCs/>
          <w:sz w:val="32"/>
          <w:szCs w:val="32"/>
        </w:rPr>
      </w:pPr>
      <w:r>
        <w:rPr>
          <w:rFonts w:hint="eastAsia" w:ascii="楷体" w:hAnsi="楷体" w:eastAsia="楷体"/>
          <w:b/>
          <w:bCs/>
          <w:sz w:val="32"/>
          <w:szCs w:val="32"/>
        </w:rPr>
        <w:t>（三）项目组织实施情况</w:t>
      </w:r>
    </w:p>
    <w:p>
      <w:pPr>
        <w:spacing w:line="620" w:lineRule="exact"/>
        <w:ind w:firstLine="640" w:firstLineChars="200"/>
        <w:rPr>
          <w:rFonts w:ascii="仿宋_GB2312" w:eastAsia="仿宋_GB2312"/>
          <w:sz w:val="32"/>
          <w:szCs w:val="32"/>
        </w:rPr>
      </w:pPr>
      <w:r>
        <w:rPr>
          <w:rFonts w:hint="eastAsia" w:ascii="仿宋_GB2312" w:eastAsia="仿宋_GB2312"/>
          <w:sz w:val="32"/>
          <w:szCs w:val="32"/>
        </w:rPr>
        <w:t>一期项目2016年12月13日市政府第3次常务会审议通过。经过项目设计、论证、点位勘察、公开招投标等程序于2017年12月1日开工实施，新建1个市级、18个乡镇、141个村监控平台，在141个村新建450个前端视频摄像头（项目实施过程中增加17个）。2018年5月30日竣工，经过3个月试运行，于2018年12月通过验收正式投入使用。</w:t>
      </w:r>
    </w:p>
    <w:p>
      <w:pPr>
        <w:spacing w:line="620" w:lineRule="exact"/>
        <w:ind w:firstLine="640" w:firstLineChars="200"/>
        <w:rPr>
          <w:rFonts w:ascii="仿宋_GB2312" w:eastAsia="仿宋_GB2312"/>
          <w:sz w:val="32"/>
          <w:szCs w:val="32"/>
        </w:rPr>
      </w:pPr>
      <w:r>
        <w:rPr>
          <w:rFonts w:hint="eastAsia" w:ascii="仿宋_GB2312" w:hAnsi="宋体" w:eastAsia="仿宋_GB2312" w:cs="宋体"/>
          <w:kern w:val="0"/>
          <w:sz w:val="32"/>
          <w:szCs w:val="32"/>
        </w:rPr>
        <w:t>二期项目</w:t>
      </w:r>
      <w:r>
        <w:rPr>
          <w:rFonts w:hint="eastAsia" w:ascii="仿宋_GB2312" w:hAnsi="仿宋" w:eastAsia="仿宋_GB2312"/>
          <w:sz w:val="32"/>
          <w:szCs w:val="32"/>
        </w:rPr>
        <w:t>2019年9月3日市政府第62次常务会审议通过市委政法委《关于实施“雪亮”工程二期建设的请示》，</w:t>
      </w:r>
      <w:r>
        <w:rPr>
          <w:rFonts w:hint="eastAsia" w:ascii="仿宋_GB2312" w:hAnsi="宋体" w:eastAsia="仿宋_GB2312" w:cs="宋体"/>
          <w:kern w:val="0"/>
          <w:sz w:val="32"/>
          <w:szCs w:val="32"/>
        </w:rPr>
        <w:t>实施12个乡镇（街道）,新增91个村, 547台星光级枪型网络摄像机91台高清网络球机共计324个高清视频前端点位，638个高清网络摄像机，实现对峨眉山市辖区范围内的所有乡村主要道路、以及居民日常活动较多场所的视频监控覆盖，大幅减少对辖区内存在治安风险区域的监控死角。</w:t>
      </w:r>
    </w:p>
    <w:p>
      <w:pPr>
        <w:spacing w:line="620" w:lineRule="exact"/>
        <w:ind w:firstLine="640" w:firstLineChars="200"/>
        <w:rPr>
          <w:rFonts w:ascii="黑体" w:hAnsi="黑体" w:eastAsia="黑体" w:cs="黑体"/>
          <w:sz w:val="32"/>
          <w:szCs w:val="32"/>
        </w:rPr>
      </w:pPr>
      <w:r>
        <w:rPr>
          <w:rFonts w:hint="eastAsia" w:ascii="黑体" w:hAnsi="黑体" w:eastAsia="黑体" w:cs="黑体"/>
          <w:sz w:val="32"/>
          <w:szCs w:val="32"/>
        </w:rPr>
        <w:t>三、项目绩效情况</w:t>
      </w:r>
    </w:p>
    <w:p>
      <w:pPr>
        <w:spacing w:line="620" w:lineRule="exact"/>
        <w:ind w:firstLine="643" w:firstLineChars="200"/>
        <w:rPr>
          <w:rFonts w:ascii="楷体" w:hAnsi="楷体" w:eastAsia="楷体"/>
          <w:b/>
          <w:bCs/>
          <w:sz w:val="32"/>
          <w:szCs w:val="32"/>
        </w:rPr>
      </w:pPr>
      <w:r>
        <w:rPr>
          <w:rFonts w:hint="eastAsia" w:ascii="楷体" w:hAnsi="楷体" w:eastAsia="楷体"/>
          <w:b/>
          <w:bCs/>
          <w:sz w:val="32"/>
          <w:szCs w:val="32"/>
        </w:rPr>
        <w:t>（一）项目完成情况</w:t>
      </w:r>
    </w:p>
    <w:p>
      <w:pPr>
        <w:spacing w:line="620" w:lineRule="exact"/>
        <w:ind w:firstLine="640" w:firstLineChars="200"/>
        <w:rPr>
          <w:rFonts w:ascii="仿宋_GB2312" w:eastAsia="仿宋_GB2312"/>
          <w:sz w:val="32"/>
          <w:szCs w:val="32"/>
        </w:rPr>
      </w:pPr>
      <w:r>
        <w:rPr>
          <w:rFonts w:hint="eastAsia" w:ascii="仿宋_GB2312" w:eastAsia="仿宋_GB2312"/>
          <w:sz w:val="32"/>
          <w:szCs w:val="32"/>
        </w:rPr>
        <w:t>2021年10月，我市“雪亮工程”全面完成竣工验收并投入使用。目前所有平台及点位均正常运行。</w:t>
      </w:r>
    </w:p>
    <w:p>
      <w:pPr>
        <w:spacing w:line="620" w:lineRule="exact"/>
        <w:ind w:firstLine="643" w:firstLineChars="200"/>
        <w:rPr>
          <w:rFonts w:ascii="楷体" w:hAnsi="楷体" w:eastAsia="楷体"/>
          <w:b/>
          <w:bCs/>
          <w:sz w:val="32"/>
          <w:szCs w:val="32"/>
        </w:rPr>
      </w:pPr>
      <w:r>
        <w:rPr>
          <w:rFonts w:hint="eastAsia" w:ascii="楷体" w:hAnsi="楷体" w:eastAsia="楷体"/>
          <w:b/>
          <w:bCs/>
          <w:sz w:val="32"/>
          <w:szCs w:val="32"/>
        </w:rPr>
        <w:t>（二）项目效益情况</w:t>
      </w:r>
    </w:p>
    <w:p>
      <w:pPr>
        <w:spacing w:line="62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实施“雪亮”工程的地区可防性案件明显下降，有的村实现了“零发案”，影响群众安全的案（事）件得到有效控制，治安复杂地段秩序明显好转，群众安全感、满意度明显提升。</w:t>
      </w:r>
    </w:p>
    <w:p>
      <w:pPr>
        <w:spacing w:line="620" w:lineRule="exact"/>
        <w:ind w:firstLine="640" w:firstLineChars="200"/>
        <w:rPr>
          <w:rFonts w:ascii="仿宋_GB2312" w:hAnsi="宋体" w:cs="宋体"/>
          <w:kern w:val="0"/>
          <w:sz w:val="33"/>
          <w:szCs w:val="33"/>
        </w:rPr>
      </w:pPr>
      <w:r>
        <w:rPr>
          <w:rFonts w:hint="eastAsia" w:ascii="仿宋_GB2312" w:hAnsi="宋体" w:eastAsia="仿宋_GB2312" w:cs="宋体"/>
          <w:kern w:val="0"/>
          <w:sz w:val="32"/>
          <w:szCs w:val="32"/>
        </w:rPr>
        <w:t>项目绩效自评得分：96分</w:t>
      </w:r>
      <w:r>
        <w:rPr>
          <w:rFonts w:hint="eastAsia" w:ascii="仿宋_GB2312" w:hAnsi="宋体" w:cs="宋体"/>
          <w:kern w:val="0"/>
          <w:sz w:val="33"/>
          <w:szCs w:val="33"/>
        </w:rPr>
        <w:t>。</w:t>
      </w:r>
    </w:p>
    <w:p>
      <w:pPr>
        <w:spacing w:line="620" w:lineRule="exact"/>
        <w:ind w:firstLine="640" w:firstLineChars="200"/>
        <w:rPr>
          <w:rFonts w:ascii="黑体" w:hAnsi="黑体" w:eastAsia="黑体" w:cs="黑体"/>
          <w:sz w:val="32"/>
          <w:szCs w:val="32"/>
        </w:rPr>
      </w:pPr>
      <w:r>
        <w:rPr>
          <w:rFonts w:hint="eastAsia" w:ascii="黑体" w:hAnsi="黑体" w:eastAsia="黑体" w:cs="黑体"/>
          <w:sz w:val="32"/>
          <w:szCs w:val="32"/>
        </w:rPr>
        <w:t>四、问题及建议</w:t>
      </w:r>
    </w:p>
    <w:p>
      <w:pPr>
        <w:widowControl/>
        <w:tabs>
          <w:tab w:val="left" w:pos="2158"/>
        </w:tabs>
        <w:spacing w:line="576"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为弥补农村地区个别村（社区）治安防控薄弱地区，建议加快实施“雪亮工程”二期建设，构建村（社区）、乡镇、市三级全覆盖的农村社会治安防控网，实现公共全视频监控建设联网应用“全域覆盖、全网共享、全时可用、全程可控”的目标。</w:t>
      </w:r>
    </w:p>
    <w:p>
      <w:pPr>
        <w:spacing w:line="620" w:lineRule="exact"/>
        <w:ind w:firstLine="5120" w:firstLineChars="1600"/>
        <w:rPr>
          <w:rFonts w:ascii="仿宋_GB2312" w:eastAsia="仿宋_GB2312"/>
          <w:sz w:val="32"/>
          <w:szCs w:val="32"/>
        </w:rPr>
      </w:pPr>
    </w:p>
    <w:p>
      <w:pPr>
        <w:spacing w:line="620" w:lineRule="exact"/>
        <w:ind w:firstLine="3360" w:firstLineChars="1600"/>
        <w:rPr>
          <w:szCs w:val="32"/>
        </w:rPr>
      </w:pPr>
    </w:p>
    <w:p>
      <w:pPr>
        <w:spacing w:line="620" w:lineRule="exact"/>
        <w:ind w:firstLine="5120" w:firstLineChars="1600"/>
        <w:rPr>
          <w:rFonts w:ascii="仿宋_GB2312" w:eastAsia="仿宋_GB2312"/>
          <w:sz w:val="32"/>
          <w:szCs w:val="32"/>
        </w:rPr>
      </w:pPr>
      <w:r>
        <w:rPr>
          <w:rFonts w:hint="eastAsia" w:ascii="仿宋_GB2312" w:eastAsia="仿宋_GB2312"/>
          <w:sz w:val="32"/>
          <w:szCs w:val="32"/>
        </w:rPr>
        <w:t>中共峨眉山市委政法委</w:t>
      </w:r>
    </w:p>
    <w:p>
      <w:pPr>
        <w:spacing w:line="620" w:lineRule="exact"/>
        <w:ind w:right="320" w:firstLine="660"/>
        <w:jc w:val="center"/>
        <w:rPr>
          <w:rFonts w:ascii="仿宋_GB2312" w:eastAsia="仿宋_GB2312"/>
          <w:sz w:val="32"/>
          <w:szCs w:val="32"/>
        </w:rPr>
      </w:pPr>
      <w:r>
        <w:rPr>
          <w:rFonts w:hint="eastAsia" w:ascii="仿宋_GB2312" w:eastAsia="仿宋_GB2312"/>
          <w:sz w:val="32"/>
          <w:szCs w:val="32"/>
        </w:rPr>
        <w:t xml:space="preserve">                           2023年4月27日</w:t>
      </w:r>
    </w:p>
    <w:p>
      <w:pPr>
        <w:pStyle w:val="2"/>
        <w:spacing w:before="93"/>
        <w:rPr>
          <w:rFonts w:hint="eastAsia"/>
          <w:lang w:val="zh-CN"/>
        </w:rPr>
      </w:pPr>
    </w:p>
    <w:p>
      <w:pPr>
        <w:pStyle w:val="2"/>
        <w:spacing w:before="93"/>
        <w:rPr>
          <w:rFonts w:hint="eastAsia"/>
          <w:lang w:val="zh-CN"/>
        </w:rPr>
      </w:pPr>
    </w:p>
    <w:p>
      <w:pPr>
        <w:pStyle w:val="2"/>
        <w:spacing w:before="93"/>
        <w:rPr>
          <w:lang w:val="zh-CN"/>
        </w:rPr>
      </w:pPr>
    </w:p>
    <w:p>
      <w:pPr>
        <w:pStyle w:val="2"/>
        <w:spacing w:before="93"/>
        <w:rPr>
          <w:lang w:val="zh-CN"/>
        </w:rPr>
      </w:pPr>
    </w:p>
    <w:p>
      <w:pPr>
        <w:numPr>
          <w:ilvl w:val="0"/>
          <w:numId w:val="4"/>
        </w:numPr>
        <w:spacing w:line="600" w:lineRule="exact"/>
        <w:jc w:val="center"/>
        <w:outlineLvl w:val="0"/>
        <w:rPr>
          <w:rStyle w:val="24"/>
          <w:rFonts w:ascii="方正小标宋_GBK" w:hAnsi="方正小标宋_GBK" w:eastAsia="方正小标宋_GBK" w:cs="方正小标宋_GBK"/>
          <w:b w:val="0"/>
        </w:rPr>
      </w:pPr>
      <w:bookmarkStart w:id="59" w:name="_Toc15396618"/>
      <w:r>
        <w:rPr>
          <w:rStyle w:val="24"/>
          <w:rFonts w:hint="eastAsia" w:ascii="方正小标宋_GBK" w:hAnsi="方正小标宋_GBK" w:eastAsia="方正小标宋_GBK" w:cs="方正小标宋_GBK"/>
          <w:b w:val="0"/>
        </w:rPr>
        <w:t>附表</w:t>
      </w:r>
      <w:bookmarkEnd w:id="58"/>
      <w:bookmarkEnd w:id="59"/>
      <w:bookmarkStart w:id="60" w:name="_Toc15396619"/>
    </w:p>
    <w:p>
      <w:pPr>
        <w:pStyle w:val="2"/>
        <w:spacing w:before="93" w:line="600" w:lineRule="exact"/>
      </w:pP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bookmarkEnd w:id="60"/>
    </w:p>
    <w:p>
      <w:pPr>
        <w:spacing w:line="600" w:lineRule="exact"/>
        <w:ind w:firstLine="640" w:firstLineChars="200"/>
        <w:rPr>
          <w:rFonts w:ascii="仿宋_GB2312" w:hAnsi="仿宋_GB2312" w:eastAsia="仿宋_GB2312" w:cs="仿宋_GB2312"/>
          <w:sz w:val="32"/>
          <w:szCs w:val="32"/>
        </w:rPr>
      </w:pPr>
      <w:bookmarkStart w:id="61" w:name="_Toc15396620"/>
      <w:r>
        <w:rPr>
          <w:rFonts w:hint="eastAsia" w:ascii="仿宋_GB2312" w:hAnsi="仿宋_GB2312" w:eastAsia="仿宋_GB2312" w:cs="仿宋_GB2312"/>
          <w:sz w:val="32"/>
          <w:szCs w:val="32"/>
        </w:rPr>
        <w:t>二、收入决算表</w:t>
      </w:r>
      <w:bookmarkEnd w:id="61"/>
    </w:p>
    <w:p>
      <w:pPr>
        <w:spacing w:line="600" w:lineRule="exact"/>
        <w:ind w:firstLine="640" w:firstLineChars="200"/>
        <w:rPr>
          <w:rFonts w:ascii="仿宋_GB2312" w:hAnsi="仿宋_GB2312" w:eastAsia="仿宋_GB2312" w:cs="仿宋_GB2312"/>
          <w:sz w:val="32"/>
          <w:szCs w:val="32"/>
        </w:rPr>
      </w:pPr>
      <w:bookmarkStart w:id="62" w:name="_Toc15396621"/>
      <w:r>
        <w:rPr>
          <w:rFonts w:hint="eastAsia" w:ascii="仿宋_GB2312" w:hAnsi="仿宋_GB2312" w:eastAsia="仿宋_GB2312" w:cs="仿宋_GB2312"/>
          <w:sz w:val="32"/>
          <w:szCs w:val="32"/>
        </w:rPr>
        <w:t>三、支出决算表</w:t>
      </w:r>
      <w:bookmarkEnd w:id="62"/>
    </w:p>
    <w:p>
      <w:pPr>
        <w:spacing w:line="600" w:lineRule="exact"/>
        <w:ind w:firstLine="640" w:firstLineChars="200"/>
        <w:rPr>
          <w:rFonts w:ascii="仿宋_GB2312" w:hAnsi="仿宋_GB2312" w:eastAsia="仿宋_GB2312" w:cs="仿宋_GB2312"/>
          <w:sz w:val="32"/>
          <w:szCs w:val="32"/>
        </w:rPr>
      </w:pPr>
      <w:bookmarkStart w:id="63" w:name="_Toc15396622"/>
      <w:r>
        <w:rPr>
          <w:rFonts w:hint="eastAsia" w:ascii="仿宋_GB2312" w:hAnsi="仿宋_GB2312" w:eastAsia="仿宋_GB2312" w:cs="仿宋_GB2312"/>
          <w:sz w:val="32"/>
          <w:szCs w:val="32"/>
        </w:rPr>
        <w:t>四、财政拨款收入支出决算总表</w:t>
      </w:r>
      <w:bookmarkEnd w:id="63"/>
    </w:p>
    <w:p>
      <w:pPr>
        <w:spacing w:line="600" w:lineRule="exact"/>
        <w:ind w:firstLine="640" w:firstLineChars="200"/>
        <w:rPr>
          <w:rFonts w:ascii="仿宋_GB2312" w:hAnsi="仿宋_GB2312" w:eastAsia="仿宋_GB2312" w:cs="仿宋_GB2312"/>
          <w:sz w:val="32"/>
          <w:szCs w:val="32"/>
        </w:rPr>
      </w:pPr>
      <w:bookmarkStart w:id="64" w:name="_Toc15396623"/>
      <w:r>
        <w:rPr>
          <w:rFonts w:hint="eastAsia" w:ascii="仿宋_GB2312" w:hAnsi="仿宋_GB2312" w:eastAsia="仿宋_GB2312" w:cs="仿宋_GB2312"/>
          <w:sz w:val="32"/>
          <w:szCs w:val="32"/>
        </w:rPr>
        <w:t>五、财政拨款支出决算明细表</w:t>
      </w:r>
      <w:bookmarkEnd w:id="64"/>
      <w:bookmarkStart w:id="65" w:name="_Toc15396624"/>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六、一般公共预算财政拨款支出决算表</w:t>
      </w:r>
      <w:bookmarkEnd w:id="65"/>
    </w:p>
    <w:p>
      <w:pPr>
        <w:spacing w:line="600" w:lineRule="exact"/>
        <w:ind w:firstLine="640" w:firstLineChars="200"/>
        <w:rPr>
          <w:rFonts w:ascii="仿宋_GB2312" w:hAnsi="仿宋_GB2312" w:eastAsia="仿宋_GB2312" w:cs="仿宋_GB2312"/>
          <w:sz w:val="32"/>
          <w:szCs w:val="32"/>
        </w:rPr>
      </w:pPr>
      <w:bookmarkStart w:id="66" w:name="_Toc15396625"/>
      <w:r>
        <w:rPr>
          <w:rFonts w:hint="eastAsia" w:ascii="仿宋_GB2312" w:hAnsi="仿宋_GB2312" w:eastAsia="仿宋_GB2312" w:cs="仿宋_GB2312"/>
          <w:sz w:val="32"/>
          <w:szCs w:val="32"/>
        </w:rPr>
        <w:t>七、一般公共预算财政拨款支出决算明细表</w:t>
      </w:r>
      <w:bookmarkEnd w:id="66"/>
    </w:p>
    <w:p>
      <w:pPr>
        <w:spacing w:line="600" w:lineRule="exact"/>
        <w:ind w:firstLine="640" w:firstLineChars="200"/>
        <w:rPr>
          <w:rFonts w:ascii="仿宋_GB2312" w:hAnsi="仿宋_GB2312" w:eastAsia="仿宋_GB2312" w:cs="仿宋_GB2312"/>
          <w:sz w:val="32"/>
          <w:szCs w:val="32"/>
        </w:rPr>
      </w:pPr>
      <w:bookmarkStart w:id="67" w:name="_Toc15396626"/>
      <w:r>
        <w:rPr>
          <w:rFonts w:hint="eastAsia" w:ascii="仿宋_GB2312" w:hAnsi="仿宋_GB2312" w:eastAsia="仿宋_GB2312" w:cs="仿宋_GB2312"/>
          <w:sz w:val="32"/>
          <w:szCs w:val="32"/>
        </w:rPr>
        <w:t>八、一般公共预算财政拨款基本支出决算表</w:t>
      </w:r>
      <w:bookmarkEnd w:id="67"/>
      <w:bookmarkStart w:id="73" w:name="_GoBack"/>
      <w:bookmarkEnd w:id="73"/>
    </w:p>
    <w:p>
      <w:pPr>
        <w:spacing w:line="600" w:lineRule="exact"/>
        <w:ind w:firstLine="640" w:firstLineChars="200"/>
        <w:rPr>
          <w:rFonts w:ascii="仿宋_GB2312" w:hAnsi="仿宋_GB2312" w:eastAsia="仿宋_GB2312" w:cs="仿宋_GB2312"/>
          <w:sz w:val="32"/>
          <w:szCs w:val="32"/>
        </w:rPr>
      </w:pPr>
      <w:bookmarkStart w:id="68" w:name="_Toc15396627"/>
      <w:r>
        <w:rPr>
          <w:rFonts w:hint="eastAsia" w:ascii="仿宋_GB2312" w:hAnsi="仿宋_GB2312" w:eastAsia="仿宋_GB2312" w:cs="仿宋_GB2312"/>
          <w:sz w:val="32"/>
          <w:szCs w:val="32"/>
        </w:rPr>
        <w:t>九、一般公共预算财政拨款项目支出决算表</w:t>
      </w:r>
      <w:bookmarkEnd w:id="68"/>
    </w:p>
    <w:p>
      <w:pPr>
        <w:spacing w:line="600" w:lineRule="exact"/>
        <w:ind w:firstLine="640" w:firstLineChars="200"/>
        <w:rPr>
          <w:rFonts w:ascii="仿宋_GB2312" w:hAnsi="仿宋_GB2312" w:eastAsia="仿宋_GB2312" w:cs="仿宋_GB2312"/>
          <w:sz w:val="32"/>
          <w:szCs w:val="32"/>
        </w:rPr>
      </w:pPr>
      <w:bookmarkStart w:id="69" w:name="_Toc15396628"/>
      <w:r>
        <w:rPr>
          <w:rFonts w:hint="eastAsia" w:ascii="仿宋_GB2312" w:hAnsi="仿宋_GB2312" w:eastAsia="仿宋_GB2312" w:cs="仿宋_GB2312"/>
          <w:sz w:val="32"/>
          <w:szCs w:val="32"/>
        </w:rPr>
        <w:t>十、一般公共预算财政拨款“三公”经费支出决算表</w:t>
      </w:r>
      <w:bookmarkEnd w:id="69"/>
    </w:p>
    <w:p>
      <w:pPr>
        <w:spacing w:line="600" w:lineRule="exact"/>
        <w:ind w:firstLine="640" w:firstLineChars="200"/>
        <w:rPr>
          <w:rFonts w:ascii="仿宋_GB2312" w:hAnsi="仿宋_GB2312" w:eastAsia="仿宋_GB2312" w:cs="仿宋_GB2312"/>
          <w:sz w:val="32"/>
          <w:szCs w:val="32"/>
        </w:rPr>
      </w:pPr>
      <w:bookmarkStart w:id="70" w:name="_Toc15396629"/>
      <w:r>
        <w:rPr>
          <w:rFonts w:hint="eastAsia" w:ascii="仿宋_GB2312" w:hAnsi="仿宋_GB2312" w:eastAsia="仿宋_GB2312" w:cs="仿宋_GB2312"/>
          <w:sz w:val="32"/>
          <w:szCs w:val="32"/>
        </w:rPr>
        <w:t>十一、政府性基金预算财政拨款收入支出决算表</w:t>
      </w:r>
      <w:bookmarkEnd w:id="70"/>
    </w:p>
    <w:p>
      <w:pPr>
        <w:spacing w:line="600" w:lineRule="exact"/>
        <w:ind w:firstLine="640" w:firstLineChars="200"/>
        <w:rPr>
          <w:rFonts w:ascii="仿宋_GB2312" w:hAnsi="仿宋_GB2312" w:eastAsia="仿宋_GB2312" w:cs="仿宋_GB2312"/>
          <w:sz w:val="32"/>
          <w:szCs w:val="32"/>
        </w:rPr>
      </w:pPr>
      <w:bookmarkStart w:id="71" w:name="_Toc15396630"/>
      <w:r>
        <w:rPr>
          <w:rFonts w:hint="eastAsia" w:ascii="仿宋_GB2312" w:hAnsi="仿宋_GB2312" w:eastAsia="仿宋_GB2312" w:cs="仿宋_GB2312"/>
          <w:sz w:val="32"/>
          <w:szCs w:val="32"/>
        </w:rPr>
        <w:t>十二、政府性基金预算财政拨款“三公”经费支出决算表</w:t>
      </w:r>
      <w:bookmarkEnd w:id="71"/>
    </w:p>
    <w:p>
      <w:pPr>
        <w:spacing w:line="600" w:lineRule="exact"/>
        <w:ind w:firstLine="640" w:firstLineChars="200"/>
        <w:rPr>
          <w:rFonts w:ascii="仿宋_GB2312" w:hAnsi="仿宋_GB2312" w:eastAsia="仿宋_GB2312" w:cs="仿宋_GB2312"/>
          <w:sz w:val="32"/>
          <w:szCs w:val="32"/>
        </w:rPr>
      </w:pPr>
      <w:bookmarkStart w:id="72" w:name="_Toc15396631"/>
      <w:r>
        <w:rPr>
          <w:rFonts w:hint="eastAsia" w:ascii="仿宋_GB2312" w:hAnsi="仿宋_GB2312" w:eastAsia="仿宋_GB2312" w:cs="仿宋_GB2312"/>
          <w:sz w:val="32"/>
          <w:szCs w:val="32"/>
        </w:rPr>
        <w:t>十三、国有资本经营预算财政拨款收入支出决算表</w:t>
      </w:r>
      <w:bookmarkEnd w:id="72"/>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十四、国有资本经营预算财政拨款支出决算表</w:t>
      </w:r>
    </w:p>
    <w:sectPr>
      <w:footerReference r:id="rId5" w:type="first"/>
      <w:headerReference r:id="rId3" w:type="default"/>
      <w:footerReference r:id="rId4" w:type="default"/>
      <w:pgSz w:w="11906" w:h="16838"/>
      <w:pgMar w:top="2041" w:right="1474" w:bottom="1587" w:left="1474" w:header="851" w:footer="1134"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_x0000_s1027" o:spid="_x0000_s1027" o:spt="202" type="#_x0000_t202" style="position:absolute;left:0pt;margin-top:-8.95pt;height:20.45pt;width:87.6pt;mso-position-horizontal:outside;mso-position-horizontal-relative:margin;z-index:251659264;mso-width-relative:page;mso-height-relative:page;" filled="f" stroked="f" coordsize="21600,21600" o:gfxdata="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">
          <v:path/>
          <v:fill on="f" focussize="0,0"/>
          <v:stroke on="f" weight="0.5pt" joinstyle="miter"/>
          <v:imagedata o:title=""/>
          <o:lock v:ext="edit"/>
          <v:textbox inset="0mm,0mm,0mm,0mm">
            <w:txbxContent>
              <w:p>
                <w:pPr>
                  <w:pStyle w:val="8"/>
                  <w:ind w:firstLine="280" w:firstLineChars="1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14</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_x0000_s1026" o:spid="_x0000_s1026" o:spt="202" type="#_x0000_t202" style="position:absolute;left:0pt;margin-top:-8.95pt;height:144pt;width:144pt;mso-position-horizontal:outside;mso-position-horizontal-relative:margin;mso-wrap-style:none;z-index:251660288;mso-width-relative:page;mso-height-relative:page;" filled="f" stroked="f" coordsize="21600,21600" o:gfxdata="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">
          <v:path/>
          <v:fill on="f" focussize="0,0"/>
          <v:stroke on="f" weight="0.5pt" joinstyle="miter"/>
          <v:imagedata o:title=""/>
          <o:lock v:ext="edit"/>
          <v:textbox inset="0mm,0mm,0mm,0mm" style="mso-fit-shape-to-text:t;">
            <w:txbxContent>
              <w:p>
                <w:pPr>
                  <w:pStyle w:val="8"/>
                </w:pPr>
                <w:r>
                  <w:t xml:space="preserve">— </w:t>
                </w:r>
                <w:r>
                  <w:fldChar w:fldCharType="begin"/>
                </w:r>
                <w:r>
                  <w:instrText xml:space="preserve"> PAGE  \* MERGEFORMAT </w:instrText>
                </w:r>
                <w:r>
                  <w:fldChar w:fldCharType="separate"/>
                </w:r>
                <w:r>
                  <w:t>1</w:t>
                </w:r>
                <w:r>
                  <w:fldChar w:fldCharType="end"/>
                </w:r>
                <w: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438C2A"/>
    <w:multiLevelType w:val="singleLevel"/>
    <w:tmpl w:val="CF438C2A"/>
    <w:lvl w:ilvl="0" w:tentative="0">
      <w:start w:val="5"/>
      <w:numFmt w:val="chineseCounting"/>
      <w:suff w:val="space"/>
      <w:lvlText w:val="第%1部分"/>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405EFFC2"/>
    <w:multiLevelType w:val="singleLevel"/>
    <w:tmpl w:val="405EFFC2"/>
    <w:lvl w:ilvl="0" w:tentative="0">
      <w:start w:val="1"/>
      <w:numFmt w:val="chineseCounting"/>
      <w:suff w:val="nothing"/>
      <w:lvlText w:val="（%1）"/>
      <w:lvlJc w:val="left"/>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djYjczMjUwNjcxMzNhMDc2OGJjMThiZWQxMTkxZGYifQ=="/>
  </w:docVars>
  <w:rsids>
    <w:rsidRoot w:val="00F1361C"/>
    <w:rsid w:val="00002231"/>
    <w:rsid w:val="000222C6"/>
    <w:rsid w:val="0002549F"/>
    <w:rsid w:val="00025E01"/>
    <w:rsid w:val="00026D4F"/>
    <w:rsid w:val="00032737"/>
    <w:rsid w:val="00044CDA"/>
    <w:rsid w:val="000468DB"/>
    <w:rsid w:val="000538F0"/>
    <w:rsid w:val="0006487A"/>
    <w:rsid w:val="00065910"/>
    <w:rsid w:val="00065F8F"/>
    <w:rsid w:val="00070A43"/>
    <w:rsid w:val="000768F2"/>
    <w:rsid w:val="00087AE1"/>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D5C01"/>
    <w:rsid w:val="000D6D5C"/>
    <w:rsid w:val="000E41D5"/>
    <w:rsid w:val="000E6525"/>
    <w:rsid w:val="000E6613"/>
    <w:rsid w:val="000E7119"/>
    <w:rsid w:val="000F272B"/>
    <w:rsid w:val="00105B5C"/>
    <w:rsid w:val="00113BD6"/>
    <w:rsid w:val="00114E9B"/>
    <w:rsid w:val="00121F78"/>
    <w:rsid w:val="001349AA"/>
    <w:rsid w:val="00142216"/>
    <w:rsid w:val="00144D6A"/>
    <w:rsid w:val="00146ED7"/>
    <w:rsid w:val="0014729F"/>
    <w:rsid w:val="001510EB"/>
    <w:rsid w:val="00157BAB"/>
    <w:rsid w:val="001654D1"/>
    <w:rsid w:val="00166F77"/>
    <w:rsid w:val="0017067C"/>
    <w:rsid w:val="00174518"/>
    <w:rsid w:val="0018106D"/>
    <w:rsid w:val="00183641"/>
    <w:rsid w:val="001877A7"/>
    <w:rsid w:val="00191536"/>
    <w:rsid w:val="00192542"/>
    <w:rsid w:val="00195D38"/>
    <w:rsid w:val="00196687"/>
    <w:rsid w:val="001C0962"/>
    <w:rsid w:val="001C69D7"/>
    <w:rsid w:val="001D7531"/>
    <w:rsid w:val="001E737D"/>
    <w:rsid w:val="001F0592"/>
    <w:rsid w:val="001F7506"/>
    <w:rsid w:val="002006CD"/>
    <w:rsid w:val="00202B36"/>
    <w:rsid w:val="00204B7A"/>
    <w:rsid w:val="00204BAB"/>
    <w:rsid w:val="00204CDE"/>
    <w:rsid w:val="0021101A"/>
    <w:rsid w:val="00220536"/>
    <w:rsid w:val="00221381"/>
    <w:rsid w:val="00230B18"/>
    <w:rsid w:val="0023122F"/>
    <w:rsid w:val="00231529"/>
    <w:rsid w:val="00235629"/>
    <w:rsid w:val="00242EF2"/>
    <w:rsid w:val="00243C35"/>
    <w:rsid w:val="00260C38"/>
    <w:rsid w:val="00260DD3"/>
    <w:rsid w:val="002616C0"/>
    <w:rsid w:val="00265372"/>
    <w:rsid w:val="002662AA"/>
    <w:rsid w:val="00267F9F"/>
    <w:rsid w:val="00273726"/>
    <w:rsid w:val="00280496"/>
    <w:rsid w:val="002862EE"/>
    <w:rsid w:val="0029499D"/>
    <w:rsid w:val="00294DC9"/>
    <w:rsid w:val="00295495"/>
    <w:rsid w:val="00296454"/>
    <w:rsid w:val="002A31DE"/>
    <w:rsid w:val="002B2613"/>
    <w:rsid w:val="002C3E1E"/>
    <w:rsid w:val="002D6D05"/>
    <w:rsid w:val="002E12A9"/>
    <w:rsid w:val="002F1818"/>
    <w:rsid w:val="002F567B"/>
    <w:rsid w:val="0030700A"/>
    <w:rsid w:val="003216A9"/>
    <w:rsid w:val="0032607C"/>
    <w:rsid w:val="00330098"/>
    <w:rsid w:val="00335A74"/>
    <w:rsid w:val="00342353"/>
    <w:rsid w:val="0036561B"/>
    <w:rsid w:val="0037013F"/>
    <w:rsid w:val="00380C92"/>
    <w:rsid w:val="00383231"/>
    <w:rsid w:val="003838F6"/>
    <w:rsid w:val="0039187E"/>
    <w:rsid w:val="0039341A"/>
    <w:rsid w:val="003A484F"/>
    <w:rsid w:val="003A4883"/>
    <w:rsid w:val="003B0BE0"/>
    <w:rsid w:val="003B0C1B"/>
    <w:rsid w:val="003B688C"/>
    <w:rsid w:val="003C0291"/>
    <w:rsid w:val="003C39AE"/>
    <w:rsid w:val="003C7B60"/>
    <w:rsid w:val="003D0C0F"/>
    <w:rsid w:val="003D1FB2"/>
    <w:rsid w:val="003D66DA"/>
    <w:rsid w:val="003E036A"/>
    <w:rsid w:val="003E1310"/>
    <w:rsid w:val="003E6F55"/>
    <w:rsid w:val="004014CE"/>
    <w:rsid w:val="004017D5"/>
    <w:rsid w:val="00405167"/>
    <w:rsid w:val="00406254"/>
    <w:rsid w:val="004223DE"/>
    <w:rsid w:val="00430D83"/>
    <w:rsid w:val="00431A14"/>
    <w:rsid w:val="00434489"/>
    <w:rsid w:val="00437085"/>
    <w:rsid w:val="00443880"/>
    <w:rsid w:val="00445A35"/>
    <w:rsid w:val="004464F4"/>
    <w:rsid w:val="00446623"/>
    <w:rsid w:val="00471401"/>
    <w:rsid w:val="00473F31"/>
    <w:rsid w:val="0048263A"/>
    <w:rsid w:val="00483DD7"/>
    <w:rsid w:val="00487E5D"/>
    <w:rsid w:val="004A711F"/>
    <w:rsid w:val="004B199D"/>
    <w:rsid w:val="004B4690"/>
    <w:rsid w:val="004C0328"/>
    <w:rsid w:val="004E0A2D"/>
    <w:rsid w:val="004E0E35"/>
    <w:rsid w:val="004E206B"/>
    <w:rsid w:val="004E6DF7"/>
    <w:rsid w:val="004F0FBD"/>
    <w:rsid w:val="004F4623"/>
    <w:rsid w:val="00505A47"/>
    <w:rsid w:val="005060CA"/>
    <w:rsid w:val="00512FDA"/>
    <w:rsid w:val="00520DA0"/>
    <w:rsid w:val="0052197D"/>
    <w:rsid w:val="00526C26"/>
    <w:rsid w:val="005640D0"/>
    <w:rsid w:val="005664BB"/>
    <w:rsid w:val="00566FFA"/>
    <w:rsid w:val="0057106D"/>
    <w:rsid w:val="0057481D"/>
    <w:rsid w:val="00575BA0"/>
    <w:rsid w:val="0058486E"/>
    <w:rsid w:val="00585B33"/>
    <w:rsid w:val="0059014D"/>
    <w:rsid w:val="005A481F"/>
    <w:rsid w:val="005B5C64"/>
    <w:rsid w:val="005C5337"/>
    <w:rsid w:val="005C6BD0"/>
    <w:rsid w:val="005D1C8B"/>
    <w:rsid w:val="005D468D"/>
    <w:rsid w:val="005D5CED"/>
    <w:rsid w:val="005F1A4C"/>
    <w:rsid w:val="00605688"/>
    <w:rsid w:val="006057E3"/>
    <w:rsid w:val="006070AF"/>
    <w:rsid w:val="00607E6C"/>
    <w:rsid w:val="006101B1"/>
    <w:rsid w:val="00614E44"/>
    <w:rsid w:val="0062270A"/>
    <w:rsid w:val="00622830"/>
    <w:rsid w:val="00623CBC"/>
    <w:rsid w:val="00623DA0"/>
    <w:rsid w:val="00627924"/>
    <w:rsid w:val="00630AEF"/>
    <w:rsid w:val="006325F8"/>
    <w:rsid w:val="00633463"/>
    <w:rsid w:val="00634C9A"/>
    <w:rsid w:val="006440E4"/>
    <w:rsid w:val="00647B2F"/>
    <w:rsid w:val="00656C95"/>
    <w:rsid w:val="006621FC"/>
    <w:rsid w:val="0066343B"/>
    <w:rsid w:val="00664777"/>
    <w:rsid w:val="006748A4"/>
    <w:rsid w:val="00681A31"/>
    <w:rsid w:val="00683E73"/>
    <w:rsid w:val="006840F0"/>
    <w:rsid w:val="006A11EC"/>
    <w:rsid w:val="006A25AB"/>
    <w:rsid w:val="006A3141"/>
    <w:rsid w:val="006A5E34"/>
    <w:rsid w:val="006B0C2C"/>
    <w:rsid w:val="006B2422"/>
    <w:rsid w:val="006B2B9A"/>
    <w:rsid w:val="006B499B"/>
    <w:rsid w:val="006C1937"/>
    <w:rsid w:val="006C4B1C"/>
    <w:rsid w:val="006F020C"/>
    <w:rsid w:val="00701C3B"/>
    <w:rsid w:val="007127B7"/>
    <w:rsid w:val="0071798E"/>
    <w:rsid w:val="007416B6"/>
    <w:rsid w:val="00746F48"/>
    <w:rsid w:val="0075404D"/>
    <w:rsid w:val="0076182A"/>
    <w:rsid w:val="00762472"/>
    <w:rsid w:val="00767B7E"/>
    <w:rsid w:val="007770C3"/>
    <w:rsid w:val="00784D24"/>
    <w:rsid w:val="00785FBA"/>
    <w:rsid w:val="00786E4A"/>
    <w:rsid w:val="007875EB"/>
    <w:rsid w:val="0079426B"/>
    <w:rsid w:val="00795E82"/>
    <w:rsid w:val="007A4488"/>
    <w:rsid w:val="007A6328"/>
    <w:rsid w:val="007D1682"/>
    <w:rsid w:val="007D312A"/>
    <w:rsid w:val="007D3F19"/>
    <w:rsid w:val="007E23B0"/>
    <w:rsid w:val="007E23E5"/>
    <w:rsid w:val="007E29D7"/>
    <w:rsid w:val="007F0289"/>
    <w:rsid w:val="007F12CE"/>
    <w:rsid w:val="007F1991"/>
    <w:rsid w:val="007F2C2F"/>
    <w:rsid w:val="007F55FC"/>
    <w:rsid w:val="007F5665"/>
    <w:rsid w:val="00800112"/>
    <w:rsid w:val="00805FF8"/>
    <w:rsid w:val="00807211"/>
    <w:rsid w:val="00813348"/>
    <w:rsid w:val="008253BB"/>
    <w:rsid w:val="00825745"/>
    <w:rsid w:val="0083706E"/>
    <w:rsid w:val="008408F6"/>
    <w:rsid w:val="008423A5"/>
    <w:rsid w:val="008439A2"/>
    <w:rsid w:val="00850625"/>
    <w:rsid w:val="00853718"/>
    <w:rsid w:val="00855221"/>
    <w:rsid w:val="00860645"/>
    <w:rsid w:val="00871F71"/>
    <w:rsid w:val="00872FD8"/>
    <w:rsid w:val="00877F1C"/>
    <w:rsid w:val="00885AF4"/>
    <w:rsid w:val="008939CD"/>
    <w:rsid w:val="008B6E37"/>
    <w:rsid w:val="008B768C"/>
    <w:rsid w:val="008C4DB1"/>
    <w:rsid w:val="008C4EAF"/>
    <w:rsid w:val="008C5176"/>
    <w:rsid w:val="008C7FD0"/>
    <w:rsid w:val="008D689C"/>
    <w:rsid w:val="008E1DE7"/>
    <w:rsid w:val="008E707C"/>
    <w:rsid w:val="008F7920"/>
    <w:rsid w:val="00900B08"/>
    <w:rsid w:val="00902155"/>
    <w:rsid w:val="00902FA3"/>
    <w:rsid w:val="009149A8"/>
    <w:rsid w:val="00923564"/>
    <w:rsid w:val="0092392E"/>
    <w:rsid w:val="009315F9"/>
    <w:rsid w:val="00933499"/>
    <w:rsid w:val="00935C98"/>
    <w:rsid w:val="00946945"/>
    <w:rsid w:val="00951248"/>
    <w:rsid w:val="0095152F"/>
    <w:rsid w:val="0095267A"/>
    <w:rsid w:val="00954C49"/>
    <w:rsid w:val="00955E37"/>
    <w:rsid w:val="009606B4"/>
    <w:rsid w:val="0097099F"/>
    <w:rsid w:val="00971997"/>
    <w:rsid w:val="00971FFC"/>
    <w:rsid w:val="00972363"/>
    <w:rsid w:val="0097349E"/>
    <w:rsid w:val="00974BEC"/>
    <w:rsid w:val="009819CA"/>
    <w:rsid w:val="0098660A"/>
    <w:rsid w:val="009931C3"/>
    <w:rsid w:val="00997BA8"/>
    <w:rsid w:val="009A23DF"/>
    <w:rsid w:val="009A38E7"/>
    <w:rsid w:val="009B0A47"/>
    <w:rsid w:val="009B21C4"/>
    <w:rsid w:val="009B2C43"/>
    <w:rsid w:val="009B4EAE"/>
    <w:rsid w:val="009B7573"/>
    <w:rsid w:val="009C22F4"/>
    <w:rsid w:val="009C2A4B"/>
    <w:rsid w:val="009C2E98"/>
    <w:rsid w:val="009C3A1B"/>
    <w:rsid w:val="009D3447"/>
    <w:rsid w:val="009D4711"/>
    <w:rsid w:val="009D61E1"/>
    <w:rsid w:val="009E24B2"/>
    <w:rsid w:val="009E63BD"/>
    <w:rsid w:val="009F1185"/>
    <w:rsid w:val="009F18CD"/>
    <w:rsid w:val="009F20A0"/>
    <w:rsid w:val="009F2A13"/>
    <w:rsid w:val="009F7527"/>
    <w:rsid w:val="00A04EB0"/>
    <w:rsid w:val="00A13CC1"/>
    <w:rsid w:val="00A16847"/>
    <w:rsid w:val="00A237D8"/>
    <w:rsid w:val="00A268C4"/>
    <w:rsid w:val="00A307CD"/>
    <w:rsid w:val="00A331C8"/>
    <w:rsid w:val="00A33389"/>
    <w:rsid w:val="00A3526A"/>
    <w:rsid w:val="00A40A00"/>
    <w:rsid w:val="00A4142F"/>
    <w:rsid w:val="00A422EB"/>
    <w:rsid w:val="00A45BB7"/>
    <w:rsid w:val="00A555C0"/>
    <w:rsid w:val="00A56DF2"/>
    <w:rsid w:val="00A56E6E"/>
    <w:rsid w:val="00A61AE7"/>
    <w:rsid w:val="00A66175"/>
    <w:rsid w:val="00A67AB5"/>
    <w:rsid w:val="00A704B1"/>
    <w:rsid w:val="00A71024"/>
    <w:rsid w:val="00A733B2"/>
    <w:rsid w:val="00A741C2"/>
    <w:rsid w:val="00A77087"/>
    <w:rsid w:val="00A772A5"/>
    <w:rsid w:val="00A833AA"/>
    <w:rsid w:val="00A91760"/>
    <w:rsid w:val="00A93B00"/>
    <w:rsid w:val="00A93C21"/>
    <w:rsid w:val="00A9471D"/>
    <w:rsid w:val="00AB4C1A"/>
    <w:rsid w:val="00AB64C9"/>
    <w:rsid w:val="00AC3C6A"/>
    <w:rsid w:val="00AC3C77"/>
    <w:rsid w:val="00AC6706"/>
    <w:rsid w:val="00AD5620"/>
    <w:rsid w:val="00AD656B"/>
    <w:rsid w:val="00AD7C1B"/>
    <w:rsid w:val="00AE16BA"/>
    <w:rsid w:val="00AE1EBE"/>
    <w:rsid w:val="00AF3B80"/>
    <w:rsid w:val="00B03C9D"/>
    <w:rsid w:val="00B060AE"/>
    <w:rsid w:val="00B076F8"/>
    <w:rsid w:val="00B10517"/>
    <w:rsid w:val="00B14E76"/>
    <w:rsid w:val="00B161B8"/>
    <w:rsid w:val="00B2048C"/>
    <w:rsid w:val="00B310B9"/>
    <w:rsid w:val="00B322D4"/>
    <w:rsid w:val="00B35F3F"/>
    <w:rsid w:val="00B36CBB"/>
    <w:rsid w:val="00B425E0"/>
    <w:rsid w:val="00B440AA"/>
    <w:rsid w:val="00B44B70"/>
    <w:rsid w:val="00B45A6E"/>
    <w:rsid w:val="00B46471"/>
    <w:rsid w:val="00B53C56"/>
    <w:rsid w:val="00B54343"/>
    <w:rsid w:val="00B57DAF"/>
    <w:rsid w:val="00B77EA6"/>
    <w:rsid w:val="00B81598"/>
    <w:rsid w:val="00B841F1"/>
    <w:rsid w:val="00B92F9D"/>
    <w:rsid w:val="00B944D6"/>
    <w:rsid w:val="00BB2765"/>
    <w:rsid w:val="00BB2A39"/>
    <w:rsid w:val="00BB4DF0"/>
    <w:rsid w:val="00BB798D"/>
    <w:rsid w:val="00BC289F"/>
    <w:rsid w:val="00BC2D50"/>
    <w:rsid w:val="00BC5361"/>
    <w:rsid w:val="00BC5460"/>
    <w:rsid w:val="00BC6B50"/>
    <w:rsid w:val="00BD0E25"/>
    <w:rsid w:val="00BD4CC6"/>
    <w:rsid w:val="00BF5BD6"/>
    <w:rsid w:val="00BF6404"/>
    <w:rsid w:val="00C03E31"/>
    <w:rsid w:val="00C043D8"/>
    <w:rsid w:val="00C15566"/>
    <w:rsid w:val="00C17AA4"/>
    <w:rsid w:val="00C2261D"/>
    <w:rsid w:val="00C26D6D"/>
    <w:rsid w:val="00C33E72"/>
    <w:rsid w:val="00C354B2"/>
    <w:rsid w:val="00C35554"/>
    <w:rsid w:val="00C42709"/>
    <w:rsid w:val="00C533CC"/>
    <w:rsid w:val="00C5751C"/>
    <w:rsid w:val="00C61BFC"/>
    <w:rsid w:val="00C62B85"/>
    <w:rsid w:val="00C65438"/>
    <w:rsid w:val="00C71384"/>
    <w:rsid w:val="00C87FD8"/>
    <w:rsid w:val="00C91381"/>
    <w:rsid w:val="00C91CBB"/>
    <w:rsid w:val="00CB2D13"/>
    <w:rsid w:val="00CB4E70"/>
    <w:rsid w:val="00CC09B6"/>
    <w:rsid w:val="00CC4E8C"/>
    <w:rsid w:val="00CC666F"/>
    <w:rsid w:val="00CD1E3F"/>
    <w:rsid w:val="00CE02D9"/>
    <w:rsid w:val="00CE0BF8"/>
    <w:rsid w:val="00CE1A15"/>
    <w:rsid w:val="00CE44F6"/>
    <w:rsid w:val="00CE49DA"/>
    <w:rsid w:val="00CE7B61"/>
    <w:rsid w:val="00CF6654"/>
    <w:rsid w:val="00D00095"/>
    <w:rsid w:val="00D114F0"/>
    <w:rsid w:val="00D20620"/>
    <w:rsid w:val="00D254F7"/>
    <w:rsid w:val="00D25A4A"/>
    <w:rsid w:val="00D26091"/>
    <w:rsid w:val="00D2685C"/>
    <w:rsid w:val="00D27DA2"/>
    <w:rsid w:val="00D30E70"/>
    <w:rsid w:val="00D34E7C"/>
    <w:rsid w:val="00D35489"/>
    <w:rsid w:val="00D36AFE"/>
    <w:rsid w:val="00D51276"/>
    <w:rsid w:val="00D52214"/>
    <w:rsid w:val="00D63583"/>
    <w:rsid w:val="00D7035F"/>
    <w:rsid w:val="00D70F66"/>
    <w:rsid w:val="00D944FB"/>
    <w:rsid w:val="00DA0737"/>
    <w:rsid w:val="00DA634F"/>
    <w:rsid w:val="00DA65AC"/>
    <w:rsid w:val="00DB1913"/>
    <w:rsid w:val="00DB5698"/>
    <w:rsid w:val="00DC410D"/>
    <w:rsid w:val="00DC5A81"/>
    <w:rsid w:val="00DC68CA"/>
    <w:rsid w:val="00DC7CBA"/>
    <w:rsid w:val="00DD1589"/>
    <w:rsid w:val="00DD73B7"/>
    <w:rsid w:val="00DE071F"/>
    <w:rsid w:val="00DF28BC"/>
    <w:rsid w:val="00DF34B9"/>
    <w:rsid w:val="00E01053"/>
    <w:rsid w:val="00E07ACF"/>
    <w:rsid w:val="00E331A1"/>
    <w:rsid w:val="00E33202"/>
    <w:rsid w:val="00E336A9"/>
    <w:rsid w:val="00E472B1"/>
    <w:rsid w:val="00E50624"/>
    <w:rsid w:val="00E5428A"/>
    <w:rsid w:val="00E568DF"/>
    <w:rsid w:val="00E607D7"/>
    <w:rsid w:val="00E64269"/>
    <w:rsid w:val="00E82267"/>
    <w:rsid w:val="00E853CE"/>
    <w:rsid w:val="00E85C2C"/>
    <w:rsid w:val="00E867B6"/>
    <w:rsid w:val="00EA010F"/>
    <w:rsid w:val="00EB094B"/>
    <w:rsid w:val="00EB5877"/>
    <w:rsid w:val="00EB694D"/>
    <w:rsid w:val="00ED1B63"/>
    <w:rsid w:val="00ED3C1F"/>
    <w:rsid w:val="00ED4085"/>
    <w:rsid w:val="00ED420E"/>
    <w:rsid w:val="00ED6FBE"/>
    <w:rsid w:val="00EE2F57"/>
    <w:rsid w:val="00EF4C34"/>
    <w:rsid w:val="00EF6D96"/>
    <w:rsid w:val="00EF77C6"/>
    <w:rsid w:val="00F05438"/>
    <w:rsid w:val="00F11029"/>
    <w:rsid w:val="00F1361C"/>
    <w:rsid w:val="00F156F0"/>
    <w:rsid w:val="00F160C7"/>
    <w:rsid w:val="00F2126E"/>
    <w:rsid w:val="00F2408F"/>
    <w:rsid w:val="00F240E9"/>
    <w:rsid w:val="00F36D8F"/>
    <w:rsid w:val="00F417B1"/>
    <w:rsid w:val="00F45853"/>
    <w:rsid w:val="00F602DF"/>
    <w:rsid w:val="00F754A1"/>
    <w:rsid w:val="00F81FD9"/>
    <w:rsid w:val="00F841AA"/>
    <w:rsid w:val="00F84A94"/>
    <w:rsid w:val="00F87E96"/>
    <w:rsid w:val="00FA23E8"/>
    <w:rsid w:val="00FA2EEC"/>
    <w:rsid w:val="00FA4583"/>
    <w:rsid w:val="00FB548F"/>
    <w:rsid w:val="00FB6BA8"/>
    <w:rsid w:val="00FC75D4"/>
    <w:rsid w:val="00FD3CC1"/>
    <w:rsid w:val="00FD4AD6"/>
    <w:rsid w:val="00FD5EDD"/>
    <w:rsid w:val="00FE2619"/>
    <w:rsid w:val="00FF1E02"/>
    <w:rsid w:val="00FF30B4"/>
    <w:rsid w:val="01E07299"/>
    <w:rsid w:val="04247218"/>
    <w:rsid w:val="061E3EFB"/>
    <w:rsid w:val="066E0107"/>
    <w:rsid w:val="07996F6E"/>
    <w:rsid w:val="0A2032A3"/>
    <w:rsid w:val="101860EC"/>
    <w:rsid w:val="10C055FF"/>
    <w:rsid w:val="118107EC"/>
    <w:rsid w:val="13D50BC4"/>
    <w:rsid w:val="14AF70AD"/>
    <w:rsid w:val="14D11B77"/>
    <w:rsid w:val="16BB723D"/>
    <w:rsid w:val="19082049"/>
    <w:rsid w:val="19883B9C"/>
    <w:rsid w:val="19C50978"/>
    <w:rsid w:val="1A116EA2"/>
    <w:rsid w:val="1A287682"/>
    <w:rsid w:val="1BE8440E"/>
    <w:rsid w:val="1C82606A"/>
    <w:rsid w:val="1D155CEE"/>
    <w:rsid w:val="1EA41923"/>
    <w:rsid w:val="23860B96"/>
    <w:rsid w:val="240371BF"/>
    <w:rsid w:val="270D3D1C"/>
    <w:rsid w:val="278C055A"/>
    <w:rsid w:val="29FD04D3"/>
    <w:rsid w:val="2A7D06D5"/>
    <w:rsid w:val="2B272E01"/>
    <w:rsid w:val="2C8A61B5"/>
    <w:rsid w:val="2D276C29"/>
    <w:rsid w:val="2DF04E50"/>
    <w:rsid w:val="319F7F4E"/>
    <w:rsid w:val="35332248"/>
    <w:rsid w:val="354F53C2"/>
    <w:rsid w:val="36840A98"/>
    <w:rsid w:val="36AA5135"/>
    <w:rsid w:val="36BC5048"/>
    <w:rsid w:val="37E16F03"/>
    <w:rsid w:val="39875F47"/>
    <w:rsid w:val="3D98207C"/>
    <w:rsid w:val="408E7AEA"/>
    <w:rsid w:val="42B5083A"/>
    <w:rsid w:val="44E268DA"/>
    <w:rsid w:val="46C85294"/>
    <w:rsid w:val="4A627F82"/>
    <w:rsid w:val="4B4F25DA"/>
    <w:rsid w:val="4BE068DB"/>
    <w:rsid w:val="4D577224"/>
    <w:rsid w:val="4EAB630A"/>
    <w:rsid w:val="4EAB6843"/>
    <w:rsid w:val="4ECE2238"/>
    <w:rsid w:val="57930653"/>
    <w:rsid w:val="58315248"/>
    <w:rsid w:val="58B55AF8"/>
    <w:rsid w:val="598D40DE"/>
    <w:rsid w:val="5AF92295"/>
    <w:rsid w:val="5CD71FC4"/>
    <w:rsid w:val="608911E1"/>
    <w:rsid w:val="6C4A05C8"/>
    <w:rsid w:val="6E7E3605"/>
    <w:rsid w:val="6F2A1201"/>
    <w:rsid w:val="6FF5CC65"/>
    <w:rsid w:val="715C0E4B"/>
    <w:rsid w:val="72734D90"/>
    <w:rsid w:val="73AD73D5"/>
    <w:rsid w:val="73B6EB34"/>
    <w:rsid w:val="74E9122F"/>
    <w:rsid w:val="79EE5BA4"/>
    <w:rsid w:val="7A894339"/>
    <w:rsid w:val="7DFD54DE"/>
    <w:rsid w:val="7E1F672F"/>
    <w:rsid w:val="7EEF11D3"/>
    <w:rsid w:val="7FA30C79"/>
    <w:rsid w:val="7FC96657"/>
    <w:rsid w:val="D8D6DB89"/>
    <w:rsid w:val="DB6F4CAB"/>
    <w:rsid w:val="DF6F978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2"/>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3"/>
    <w:qFormat/>
    <w:uiPriority w:val="9"/>
    <w:rPr>
      <w:rFonts w:ascii="Times New Roman" w:hAnsi="Times New Roman"/>
      <w:b/>
      <w:bCs/>
      <w:kern w:val="44"/>
      <w:sz w:val="44"/>
      <w:szCs w:val="44"/>
    </w:rPr>
  </w:style>
  <w:style w:type="character" w:customStyle="1" w:styleId="25">
    <w:name w:val="标题 2 Char"/>
    <w:basedOn w:val="13"/>
    <w:link w:val="4"/>
    <w:qFormat/>
    <w:uiPriority w:val="9"/>
    <w:rPr>
      <w:rFonts w:asciiTheme="majorHAnsi" w:hAnsiTheme="majorHAnsi" w:eastAsiaTheme="majorEastAsia" w:cstheme="majorBidi"/>
      <w:b/>
      <w:bCs/>
      <w:kern w:val="2"/>
      <w:sz w:val="32"/>
      <w:szCs w:val="32"/>
    </w:rPr>
  </w:style>
  <w:style w:type="paragraph" w:customStyle="1" w:styleId="2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5"/>
    <w:qFormat/>
    <w:uiPriority w:val="9"/>
    <w:rPr>
      <w:rFonts w:ascii="Times New Roman" w:hAnsi="Times New Roman"/>
      <w:b/>
      <w:bCs/>
      <w:kern w:val="2"/>
      <w:sz w:val="32"/>
      <w:szCs w:val="32"/>
    </w:rPr>
  </w:style>
  <w:style w:type="paragraph" w:customStyle="1" w:styleId="29">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baseline="0">
                <a:solidFill>
                  <a:schemeClr val="tx1"/>
                </a:solidFill>
                <a:latin typeface="+mn-lt"/>
                <a:ea typeface="+mn-ea"/>
                <a:cs typeface="+mn-cs"/>
              </a:defRPr>
            </a:pPr>
            <a:r>
              <a:rPr lang="zh-CN" altLang="en-US" sz="1400"/>
              <a:t>收、支决算总计变动情况图（单位：万元）</a:t>
            </a:r>
            <a:endParaRPr lang="zh-CN" altLang="en-US" sz="1400"/>
          </a:p>
        </c:rich>
      </c:tx>
      <c:layout/>
      <c:overlay val="0"/>
    </c:title>
    <c:autoTitleDeleted val="0"/>
    <c:plotArea>
      <c:layout/>
      <c:barChart>
        <c:barDir val="col"/>
        <c:grouping val="clustered"/>
        <c:varyColors val="0"/>
        <c:ser>
          <c:idx val="0"/>
          <c:order val="0"/>
          <c:tx>
            <c:strRef>
              <c:f>Sheet1!$B$1</c:f>
              <c:strCache>
                <c:ptCount val="1"/>
                <c:pt idx="0">
                  <c:v>2021年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收入总计</c:v>
                </c:pt>
                <c:pt idx="1">
                  <c:v>支出总计</c:v>
                </c:pt>
              </c:strCache>
            </c:strRef>
          </c:cat>
          <c:val>
            <c:numRef>
              <c:f>Sheet1!$B$2:$B$3</c:f>
              <c:numCache>
                <c:formatCode>General</c:formatCode>
                <c:ptCount val="2"/>
                <c:pt idx="0">
                  <c:v>605.8</c:v>
                </c:pt>
                <c:pt idx="1">
                  <c:v>605.8</c:v>
                </c:pt>
              </c:numCache>
            </c:numRef>
          </c:val>
        </c:ser>
        <c:ser>
          <c:idx val="1"/>
          <c:order val="1"/>
          <c:tx>
            <c:strRef>
              <c:f>Sheet1!$C$1</c:f>
              <c:strCache>
                <c:ptCount val="1"/>
                <c:pt idx="0">
                  <c:v>2022年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收入总计</c:v>
                </c:pt>
                <c:pt idx="1">
                  <c:v>支出总计</c:v>
                </c:pt>
              </c:strCache>
            </c:strRef>
          </c:cat>
          <c:val>
            <c:numRef>
              <c:f>Sheet1!$C$2:$C$3</c:f>
              <c:numCache>
                <c:formatCode>General</c:formatCode>
                <c:ptCount val="2"/>
                <c:pt idx="0">
                  <c:v>1143.69</c:v>
                </c:pt>
                <c:pt idx="1">
                  <c:v>1143.69</c:v>
                </c:pt>
              </c:numCache>
            </c:numRef>
          </c:val>
        </c:ser>
        <c:dLbls>
          <c:showLegendKey val="0"/>
          <c:showVal val="1"/>
          <c:showCatName val="0"/>
          <c:showSerName val="0"/>
          <c:showPercent val="0"/>
          <c:showBubbleSize val="0"/>
        </c:dLbls>
        <c:gapWidth val="150"/>
        <c:axId val="123955456"/>
        <c:axId val="123973632"/>
      </c:barChart>
      <c:catAx>
        <c:axId val="123955456"/>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23973632"/>
        <c:crosses val="autoZero"/>
        <c:auto val="1"/>
        <c:lblAlgn val="ctr"/>
        <c:lblOffset val="100"/>
        <c:noMultiLvlLbl val="0"/>
      </c:catAx>
      <c:valAx>
        <c:axId val="123973632"/>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23955456"/>
        <c:crosses val="autoZero"/>
        <c:crossBetween val="between"/>
      </c:valAx>
      <c:spPr>
        <a:solidFill>
          <a:schemeClr val="bg1"/>
        </a:solid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view3D>
      <c:rotX val="30"/>
      <c:rotY val="0"/>
      <c:depthPercent val="100"/>
      <c:rAngAx val="0"/>
      <c:perspective val="30"/>
    </c:view3D>
    <c:floor>
      <c:thickness val="0"/>
    </c:floor>
    <c:sideWall>
      <c:thickness val="0"/>
    </c:sideWall>
    <c:backWall>
      <c:thickness val="0"/>
    </c:backWall>
    <c:plotArea>
      <c:layout/>
      <c:pie3DChart>
        <c:varyColors val="1"/>
        <c:ser>
          <c:idx val="0"/>
          <c:order val="0"/>
          <c:tx>
            <c:strRef>
              <c:f>Sheet1!$B$1</c:f>
              <c:strCache>
                <c:ptCount val="1"/>
                <c:pt idx="0">
                  <c:v>收入决算结构图</c:v>
                </c:pt>
              </c:strCache>
            </c:strRef>
          </c:tx>
          <c:explosion val="0"/>
          <c:dPt>
            <c:idx val="0"/>
            <c:bubble3D val="0"/>
          </c:dPt>
          <c:dPt>
            <c:idx val="1"/>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Sheet1!$A$2:$A$3</c:f>
              <c:strCache>
                <c:ptCount val="2"/>
                <c:pt idx="0">
                  <c:v>一般公共预算财政拨款收入</c:v>
                </c:pt>
                <c:pt idx="1">
                  <c:v>政府性基金预算财政拨款收入</c:v>
                </c:pt>
              </c:strCache>
            </c:strRef>
          </c:cat>
          <c:val>
            <c:numRef>
              <c:f>Sheet1!$B$2:$B$3</c:f>
              <c:numCache>
                <c:formatCode>0.00%</c:formatCode>
                <c:ptCount val="2"/>
                <c:pt idx="0">
                  <c:v>0.619000000000001</c:v>
                </c:pt>
                <c:pt idx="1">
                  <c:v>0.381000000000001</c:v>
                </c:pt>
              </c:numCache>
            </c:numRef>
          </c:val>
        </c:ser>
        <c:dLbls>
          <c:showLegendKey val="0"/>
          <c:showVal val="1"/>
          <c:showCatName val="0"/>
          <c:showSerName val="0"/>
          <c:showPercent val="0"/>
          <c:showBubbleSize val="0"/>
        </c:dLbls>
      </c:pie3D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支出决算结构图</a:t>
            </a:r>
            <a:endParaRPr lang="zh-CN" altLang="en-US"/>
          </a:p>
        </c:rich>
      </c:tx>
      <c:layout/>
      <c:overlay val="0"/>
    </c:title>
    <c:autoTitleDeleted val="0"/>
    <c:view3D>
      <c:rotX val="30"/>
      <c:rotY val="0"/>
      <c:depthPercent val="100"/>
      <c:rAngAx val="0"/>
      <c:perspective val="30"/>
    </c:view3D>
    <c:floor>
      <c:thickness val="0"/>
    </c:floor>
    <c:sideWall>
      <c:thickness val="0"/>
    </c:sideWall>
    <c:backWall>
      <c:thickness val="0"/>
    </c:backWall>
    <c:plotArea>
      <c:layout>
        <c:manualLayout>
          <c:layoutTarget val="inner"/>
          <c:xMode val="edge"/>
          <c:yMode val="edge"/>
          <c:x val="0.1415403200123"/>
          <c:y val="0.154952706383401"/>
          <c:w val="0.718397083209791"/>
          <c:h val="0.666949933145158"/>
        </c:manualLayout>
      </c:layout>
      <c:pie3DChart>
        <c:varyColors val="1"/>
        <c:ser>
          <c:idx val="0"/>
          <c:order val="0"/>
          <c:tx>
            <c:strRef>
              <c:f>Sheet1!$B$1</c:f>
              <c:strCache>
                <c:ptCount val="1"/>
                <c:pt idx="0">
                  <c:v>支出决算结构图       </c:v>
                </c:pt>
              </c:strCache>
            </c:strRef>
          </c:tx>
          <c:explosion val="0"/>
          <c:dPt>
            <c:idx val="0"/>
            <c:bubble3D val="0"/>
          </c:dPt>
          <c:dPt>
            <c:idx val="1"/>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ext>
            </c:extLst>
          </c:dLbls>
          <c:cat>
            <c:strRef>
              <c:f>Sheet1!$A$2:$A$3</c:f>
              <c:strCache>
                <c:ptCount val="2"/>
                <c:pt idx="0">
                  <c:v>基本支出</c:v>
                </c:pt>
                <c:pt idx="1">
                  <c:v>项目支出</c:v>
                </c:pt>
              </c:strCache>
            </c:strRef>
          </c:cat>
          <c:val>
            <c:numRef>
              <c:f>Sheet1!$B$2:$B$3</c:f>
              <c:numCache>
                <c:formatCode>0.00%</c:formatCode>
                <c:ptCount val="2"/>
                <c:pt idx="0">
                  <c:v>0.3801</c:v>
                </c:pt>
                <c:pt idx="1">
                  <c:v>0.619900000000001</c:v>
                </c:pt>
              </c:numCache>
            </c:numRef>
          </c:val>
        </c:ser>
        <c:dLbls>
          <c:showLegendKey val="0"/>
          <c:showVal val="1"/>
          <c:showCatName val="1"/>
          <c:showSerName val="0"/>
          <c:showPercent val="0"/>
          <c:showBubbleSize val="0"/>
        </c:dLbls>
      </c:pie3D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sz="1400"/>
              <a:t>财政拨款收、支决算总计变动情况（单位：万元）</a:t>
            </a:r>
            <a:endParaRPr lang="zh-CN" altLang="en-US" sz="1400"/>
          </a:p>
        </c:rich>
      </c:tx>
      <c:layout/>
      <c:overlay val="0"/>
    </c:title>
    <c:autoTitleDeleted val="0"/>
    <c:plotArea>
      <c:layout/>
      <c:barChart>
        <c:barDir val="col"/>
        <c:grouping val="clustered"/>
        <c:varyColors val="0"/>
        <c:ser>
          <c:idx val="0"/>
          <c:order val="0"/>
          <c:tx>
            <c:strRef>
              <c:f>Sheet1!$B$1</c:f>
              <c:strCache>
                <c:ptCount val="1"/>
                <c:pt idx="0">
                  <c:v>2021年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财政拨款收入总计</c:v>
                </c:pt>
                <c:pt idx="1">
                  <c:v>财政拨款支出总计</c:v>
                </c:pt>
              </c:strCache>
            </c:strRef>
          </c:cat>
          <c:val>
            <c:numRef>
              <c:f>Sheet1!$B$2:$B$3</c:f>
              <c:numCache>
                <c:formatCode>General</c:formatCode>
                <c:ptCount val="2"/>
                <c:pt idx="0">
                  <c:v>605.8</c:v>
                </c:pt>
                <c:pt idx="1">
                  <c:v>605.8</c:v>
                </c:pt>
              </c:numCache>
            </c:numRef>
          </c:val>
        </c:ser>
        <c:ser>
          <c:idx val="1"/>
          <c:order val="1"/>
          <c:tx>
            <c:strRef>
              <c:f>Sheet1!$C$1</c:f>
              <c:strCache>
                <c:ptCount val="1"/>
                <c:pt idx="0">
                  <c:v>2022年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财政拨款收入总计</c:v>
                </c:pt>
                <c:pt idx="1">
                  <c:v>财政拨款支出总计</c:v>
                </c:pt>
              </c:strCache>
            </c:strRef>
          </c:cat>
          <c:val>
            <c:numRef>
              <c:f>Sheet1!$C$2:$C$3</c:f>
              <c:numCache>
                <c:formatCode>General</c:formatCode>
                <c:ptCount val="2"/>
                <c:pt idx="0">
                  <c:v>1143.69</c:v>
                </c:pt>
                <c:pt idx="1">
                  <c:v>1143.69</c:v>
                </c:pt>
              </c:numCache>
            </c:numRef>
          </c:val>
        </c:ser>
        <c:dLbls>
          <c:showLegendKey val="0"/>
          <c:showVal val="1"/>
          <c:showCatName val="0"/>
          <c:showSerName val="0"/>
          <c:showPercent val="0"/>
          <c:showBubbleSize val="0"/>
        </c:dLbls>
        <c:gapWidth val="150"/>
        <c:axId val="129051264"/>
        <c:axId val="129061248"/>
      </c:barChart>
      <c:catAx>
        <c:axId val="129051264"/>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29061248"/>
        <c:crosses val="autoZero"/>
        <c:auto val="1"/>
        <c:lblAlgn val="ctr"/>
        <c:lblOffset val="100"/>
        <c:noMultiLvlLbl val="0"/>
      </c:catAx>
      <c:valAx>
        <c:axId val="129061248"/>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29051264"/>
        <c:crosses val="autoZero"/>
        <c:crossBetween val="between"/>
      </c:valAx>
      <c:spPr>
        <a:solidFill>
          <a:schemeClr val="bg1"/>
        </a:solid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一般公共预算财政拨款支出</a:t>
            </a:r>
            <a:r>
              <a:rPr lang="zh-CN" altLang="en-US" baseline="0"/>
              <a:t>（</a:t>
            </a:r>
            <a:r>
              <a:rPr lang="zh-CN" altLang="en-US" sz="1600" baseline="0"/>
              <a:t>单位：万元）</a:t>
            </a:r>
            <a:endParaRPr lang="zh-CN" altLang="en-US"/>
          </a:p>
        </c:rich>
      </c:tx>
      <c:layout/>
      <c:overlay val="0"/>
    </c:title>
    <c:autoTitleDeleted val="0"/>
    <c:plotArea>
      <c:layout>
        <c:manualLayout>
          <c:layoutTarget val="inner"/>
          <c:xMode val="edge"/>
          <c:yMode val="edge"/>
          <c:x val="0.112235710119568"/>
          <c:y val="0.14881952255968"/>
          <c:w val="0.561411307961505"/>
          <c:h val="0.695324021997246"/>
        </c:manualLayout>
      </c:layout>
      <c:barChart>
        <c:barDir val="col"/>
        <c:grouping val="stacked"/>
        <c:varyColors val="0"/>
        <c:ser>
          <c:idx val="0"/>
          <c:order val="0"/>
          <c:tx>
            <c:strRef>
              <c:f>Sheet1!$B$1</c:f>
              <c:strCache>
                <c:ptCount val="1"/>
                <c:pt idx="0">
                  <c:v>一般公共预算财政拨款支出</c:v>
                </c:pt>
              </c:strCache>
            </c:strRef>
          </c:tx>
          <c:invertIfNegative val="0"/>
          <c:dLbls>
            <c:dLbl>
              <c:idx val="0"/>
              <c:layout>
                <c:manualLayout>
                  <c:x val="0"/>
                  <c:y val="-0.23015873015873"/>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462962962962964"/>
                  <c:y val="-0.333333333333333"/>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2"/>
                <c:pt idx="0">
                  <c:v>2021年</c:v>
                </c:pt>
                <c:pt idx="1">
                  <c:v>2022年</c:v>
                </c:pt>
              </c:strCache>
            </c:strRef>
          </c:cat>
          <c:val>
            <c:numRef>
              <c:f>Sheet1!$B$2:$B$5</c:f>
              <c:numCache>
                <c:formatCode>General</c:formatCode>
                <c:ptCount val="4"/>
                <c:pt idx="0">
                  <c:v>462.12</c:v>
                </c:pt>
                <c:pt idx="1">
                  <c:v>706.72</c:v>
                </c:pt>
              </c:numCache>
            </c:numRef>
          </c:val>
        </c:ser>
        <c:dLbls>
          <c:showLegendKey val="0"/>
          <c:showVal val="1"/>
          <c:showCatName val="0"/>
          <c:showSerName val="0"/>
          <c:showPercent val="0"/>
          <c:showBubbleSize val="0"/>
        </c:dLbls>
        <c:gapWidth val="150"/>
        <c:overlap val="100"/>
        <c:axId val="132338432"/>
        <c:axId val="132339968"/>
      </c:barChart>
      <c:catAx>
        <c:axId val="132338432"/>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2339968"/>
        <c:crosses val="autoZero"/>
        <c:auto val="1"/>
        <c:lblAlgn val="ctr"/>
        <c:lblOffset val="100"/>
        <c:noMultiLvlLbl val="0"/>
      </c:catAx>
      <c:valAx>
        <c:axId val="13233996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2338432"/>
        <c:crosses val="autoZero"/>
        <c:crossBetween val="between"/>
      </c:valAx>
      <c:spPr>
        <a:solidFill>
          <a:schemeClr val="bg1"/>
        </a:solid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view3D>
      <c:rotX val="30"/>
      <c:rotY val="0"/>
      <c:depthPercent val="100"/>
      <c:rAngAx val="0"/>
      <c:perspective val="30"/>
    </c:view3D>
    <c:floor>
      <c:thickness val="0"/>
    </c:floor>
    <c:sideWall>
      <c:thickness val="0"/>
    </c:sideWall>
    <c:backWall>
      <c:thickness val="0"/>
    </c:backWall>
    <c:plotArea>
      <c:layout/>
      <c:pie3DChart>
        <c:varyColors val="1"/>
        <c:ser>
          <c:idx val="0"/>
          <c:order val="0"/>
          <c:tx>
            <c:strRef>
              <c:f>Sheet1!$B$1</c:f>
              <c:strCache>
                <c:ptCount val="1"/>
                <c:pt idx="0">
                  <c:v>一般公共预算财政拨款支出决算结构图</c:v>
                </c:pt>
              </c:strCache>
            </c:strRef>
          </c:tx>
          <c:explosion val="25"/>
          <c:dPt>
            <c:idx val="0"/>
            <c:bubble3D val="0"/>
          </c:dPt>
          <c:dPt>
            <c:idx val="1"/>
            <c:bubble3D val="0"/>
          </c:dPt>
          <c:dPt>
            <c:idx val="2"/>
            <c:bubble3D val="0"/>
          </c:dPt>
          <c:dPt>
            <c:idx val="3"/>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Sheet1!$A$2:$A$5</c:f>
              <c:strCache>
                <c:ptCount val="4"/>
                <c:pt idx="0">
                  <c:v>一般公共服务支出</c:v>
                </c:pt>
                <c:pt idx="1">
                  <c:v>社会保障和就业支出</c:v>
                </c:pt>
                <c:pt idx="2">
                  <c:v>卫生健康支出</c:v>
                </c:pt>
                <c:pt idx="3">
                  <c:v>住房保障支出</c:v>
                </c:pt>
              </c:strCache>
            </c:strRef>
          </c:cat>
          <c:val>
            <c:numRef>
              <c:f>Sheet1!$B$2:$B$5</c:f>
              <c:numCache>
                <c:formatCode>0.00%</c:formatCode>
                <c:ptCount val="4"/>
                <c:pt idx="0">
                  <c:v>0.8864</c:v>
                </c:pt>
                <c:pt idx="1">
                  <c:v>0.0525</c:v>
                </c:pt>
                <c:pt idx="2">
                  <c:v>0.0146</c:v>
                </c:pt>
                <c:pt idx="3">
                  <c:v>0.0465</c:v>
                </c:pt>
              </c:numCache>
            </c:numRef>
          </c:val>
        </c:ser>
        <c:dLbls>
          <c:showLegendKey val="0"/>
          <c:showVal val="1"/>
          <c:showCatName val="0"/>
          <c:showSerName val="0"/>
          <c:showPercent val="0"/>
          <c:showBubbleSize val="0"/>
        </c:dLbls>
      </c:pie3D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altLang="en-US"/>
              <a:t>三公经费财政拨款支出</a:t>
            </a:r>
            <a:r>
              <a:rPr lang="zh-CN" altLang="en-US"/>
              <a:t>结构</a:t>
            </a:r>
            <a:endParaRPr altLang="en-US"/>
          </a:p>
        </c:rich>
      </c:tx>
      <c:layout/>
      <c:overlay val="0"/>
    </c:title>
    <c:autoTitleDeleted val="0"/>
    <c:view3D>
      <c:rotX val="30"/>
      <c:rotY val="0"/>
      <c:depthPercent val="100"/>
      <c:rAngAx val="0"/>
      <c:perspective val="30"/>
    </c:view3D>
    <c:floor>
      <c:thickness val="0"/>
    </c:floor>
    <c:sideWall>
      <c:thickness val="0"/>
    </c:sideWall>
    <c:backWall>
      <c:thickness val="0"/>
    </c:backWall>
    <c:plotArea>
      <c:layout/>
      <c:pie3DChart>
        <c:varyColors val="1"/>
        <c:ser>
          <c:idx val="0"/>
          <c:order val="0"/>
          <c:tx>
            <c:strRef>
              <c:f>Sheet1!$B$1</c:f>
              <c:strCache>
                <c:ptCount val="1"/>
                <c:pt idx="0">
                  <c:v>三公经费财政拨款支出情况</c:v>
                </c:pt>
              </c:strCache>
            </c:strRef>
          </c:tx>
          <c:explosion val="25"/>
          <c:dPt>
            <c:idx val="0"/>
            <c:bubble3D val="0"/>
          </c:dPt>
          <c:dPt>
            <c:idx val="1"/>
            <c:bubble3D val="0"/>
          </c:dPt>
          <c:dPt>
            <c:idx val="2"/>
            <c:bubble3D val="0"/>
          </c:dPt>
          <c:dLbls>
            <c:dLbl>
              <c:idx val="1"/>
              <c:layout>
                <c:manualLayout>
                  <c:x val="-0.0842485382396507"/>
                  <c:y val="0.0684745634232544"/>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2"/>
              <c:layout>
                <c:manualLayout>
                  <c:x val="0.0700198019801981"/>
                  <c:y val="0.0195745567905095"/>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ext>
            </c:extLst>
          </c:dLbls>
          <c:cat>
            <c:strRef>
              <c:f>Sheet1!$A$2:$A$4</c:f>
              <c:strCache>
                <c:ptCount val="3"/>
                <c:pt idx="0">
                  <c:v>因公出国（境）费用</c:v>
                </c:pt>
                <c:pt idx="1">
                  <c:v>公务车购置及运行维护费</c:v>
                </c:pt>
                <c:pt idx="2">
                  <c:v>公务接待费</c:v>
                </c:pt>
              </c:strCache>
            </c:strRef>
          </c:cat>
          <c:val>
            <c:numRef>
              <c:f>Sheet1!$B$2:$B$4</c:f>
              <c:numCache>
                <c:formatCode>General</c:formatCode>
                <c:ptCount val="3"/>
                <c:pt idx="0">
                  <c:v>0</c:v>
                </c:pt>
                <c:pt idx="1" c:formatCode="0.00%">
                  <c:v>0.8715</c:v>
                </c:pt>
                <c:pt idx="2" c:formatCode="0.00%">
                  <c:v>0.1285</c:v>
                </c:pt>
              </c:numCache>
            </c:numRef>
          </c:val>
        </c:ser>
        <c:dLbls>
          <c:showLegendKey val="0"/>
          <c:showVal val="1"/>
          <c:showCatName val="1"/>
          <c:showSerName val="0"/>
          <c:showPercent val="0"/>
          <c:showBubbleSize val="0"/>
        </c:dLbls>
      </c:pie3D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28B8CC-66A6-46C6-83F4-B12C06D2714B}">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27</Pages>
  <Words>9193</Words>
  <Characters>1033</Characters>
  <Lines>8</Lines>
  <Paragraphs>20</Paragraphs>
  <TotalTime>77</TotalTime>
  <ScaleCrop>false</ScaleCrop>
  <LinksUpToDate>false</LinksUpToDate>
  <CharactersWithSpaces>10206</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2023-11-23T08:44:00Z</dcterms:created>
  <dc:creator>曹颖</dc:creator>
  <cp:lastModifiedBy>Administrator</cp:lastModifiedBy>
  <cp:lastPrinted>2023-12-13T04:16:19Z</cp:lastPrinted>
  <dcterms:modified xsi:type="dcterms:W3CDTF">2023-12-13T04:17:51Z</dcterms:modified>
  <dc:title>四川省***</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58C6CEFB611E4E1682EE8A0E93A96B2B</vt:lpwstr>
  </property>
</Properties>
</file>