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15396597"/>
      <w:bookmarkStart w:id="4" w:name="_Toc1537742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598"/>
      <w:bookmarkStart w:id="8" w:name="_Toc15377194"/>
      <w:bookmarkStart w:id="9" w:name="_Toc15377426"/>
      <w:bookmarkStart w:id="10" w:name="_Toc1539647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峨眉山市防震减灾服务中心单位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widowControl/>
        <w:jc w:val="center"/>
        <w:rPr>
          <w:rFonts w:ascii="黑体" w:hAnsi="黑体" w:eastAsia="黑体" w:cstheme="minorBidi"/>
          <w:sz w:val="28"/>
          <w:szCs w:val="28"/>
        </w:rPr>
      </w:pPr>
      <w:bookmarkStart w:id="12" w:name="_Toc15377196"/>
      <w:bookmarkStart w:id="13" w:name="_Toc15396599"/>
    </w:p>
    <w:p>
      <w:pPr>
        <w:pStyle w:val="10"/>
        <w:rPr>
          <w:sz w:val="32"/>
          <w:szCs w:val="32"/>
        </w:rPr>
      </w:pPr>
      <w:r>
        <w:rPr>
          <w:rFonts w:hint="eastAsia"/>
          <w:sz w:val="32"/>
          <w:szCs w:val="32"/>
        </w:rPr>
        <w:t xml:space="preserve">公开时间：2023年 </w:t>
      </w:r>
      <w:r>
        <w:rPr>
          <w:sz w:val="32"/>
          <w:szCs w:val="32"/>
        </w:rPr>
        <w:t>1</w:t>
      </w:r>
      <w:r>
        <w:rPr>
          <w:rFonts w:hint="eastAsia"/>
          <w:sz w:val="32"/>
          <w:szCs w:val="32"/>
          <w:lang w:val="en-US" w:eastAsia="zh-CN"/>
        </w:rPr>
        <w:t>2</w:t>
      </w:r>
      <w:r>
        <w:rPr>
          <w:rFonts w:hint="eastAsia"/>
          <w:sz w:val="32"/>
          <w:szCs w:val="32"/>
        </w:rPr>
        <w:t>月</w:t>
      </w:r>
      <w:r>
        <w:rPr>
          <w:rFonts w:hint="eastAsia"/>
          <w:sz w:val="32"/>
          <w:szCs w:val="32"/>
          <w:lang w:val="en-US" w:eastAsia="zh-CN"/>
        </w:rPr>
        <w:t>1</w:t>
      </w:r>
      <w:r>
        <w:rPr>
          <w:rFonts w:hint="eastAsia"/>
          <w:sz w:val="32"/>
          <w:szCs w:val="32"/>
        </w:rPr>
        <w:t xml:space="preserve"> 日</w:t>
      </w:r>
    </w:p>
    <w:p>
      <w:pPr>
        <w:rPr>
          <w:rFonts w:ascii="仿宋" w:hAnsi="仿宋" w:eastAsia="仿宋"/>
          <w:sz w:val="32"/>
          <w:szCs w:val="32"/>
        </w:rPr>
      </w:pPr>
    </w:p>
    <w:p>
      <w:pPr>
        <w:pStyle w:val="10"/>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单位概况</w:t>
      </w:r>
      <w:r>
        <w:rPr>
          <w:sz w:val="32"/>
          <w:szCs w:val="32"/>
        </w:rPr>
        <w:tab/>
      </w:r>
      <w:r>
        <w:rPr>
          <w:sz w:val="32"/>
          <w:szCs w:val="32"/>
        </w:rPr>
        <w:t>1</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一、主要职责</w:t>
      </w:r>
      <w:r>
        <w:rPr>
          <w:rFonts w:ascii="仿宋" w:hAnsi="仿宋" w:eastAsia="仿宋"/>
          <w:sz w:val="32"/>
          <w:szCs w:val="32"/>
        </w:rPr>
        <w:tab/>
      </w:r>
      <w:r>
        <w:rPr>
          <w:rFonts w:ascii="仿宋" w:hAnsi="仿宋" w:eastAsia="仿宋"/>
          <w:sz w:val="32"/>
          <w:szCs w:val="32"/>
        </w:rPr>
        <w:t>1</w:t>
      </w:r>
    </w:p>
    <w:p>
      <w:pPr>
        <w:pStyle w:val="11"/>
        <w:adjustRightInd w:val="0"/>
        <w:snapToGrid w:val="0"/>
        <w:spacing w:line="440" w:lineRule="exact"/>
        <w:jc w:val="left"/>
        <w:rPr>
          <w:rFonts w:ascii="仿宋" w:hAnsi="仿宋" w:eastAsia="仿宋"/>
          <w:sz w:val="32"/>
          <w:szCs w:val="32"/>
        </w:rPr>
      </w:pPr>
      <w:r>
        <w:rPr>
          <w:rFonts w:hint="eastAsia" w:ascii="仿宋" w:hAnsi="仿宋" w:eastAsia="仿宋"/>
          <w:sz w:val="32"/>
          <w:szCs w:val="32"/>
        </w:rPr>
        <w:t>二、机构设置</w:t>
      </w:r>
      <w:r>
        <w:rPr>
          <w:rFonts w:ascii="仿宋" w:hAnsi="仿宋" w:eastAsia="仿宋"/>
          <w:sz w:val="32"/>
          <w:szCs w:val="32"/>
        </w:rPr>
        <w:tab/>
      </w:r>
      <w:r>
        <w:rPr>
          <w:rFonts w:ascii="仿宋" w:hAnsi="仿宋" w:eastAsia="仿宋"/>
          <w:sz w:val="32"/>
          <w:szCs w:val="32"/>
        </w:rPr>
        <w:t>1</w:t>
      </w:r>
    </w:p>
    <w:p>
      <w:pPr>
        <w:pStyle w:val="10"/>
        <w:adjustRightInd w:val="0"/>
        <w:snapToGrid w:val="0"/>
        <w:spacing w:before="0" w:line="440" w:lineRule="exact"/>
        <w:jc w:val="left"/>
        <w:rPr>
          <w:sz w:val="32"/>
          <w:szCs w:val="32"/>
        </w:rPr>
      </w:pPr>
      <w:r>
        <w:rPr>
          <w:rFonts w:hint="eastAsia"/>
          <w:sz w:val="32"/>
          <w:szCs w:val="32"/>
        </w:rPr>
        <w:t>第二部分 2022年度单位决算情况说明</w:t>
      </w:r>
      <w:r>
        <w:rPr>
          <w:sz w:val="32"/>
          <w:szCs w:val="32"/>
        </w:rPr>
        <w:tab/>
      </w:r>
      <w:r>
        <w:rPr>
          <w:sz w:val="32"/>
          <w:szCs w:val="32"/>
        </w:rPr>
        <w:t>3</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r>
        <w:rPr>
          <w:rFonts w:ascii="仿宋" w:hAnsi="仿宋" w:eastAsia="仿宋"/>
          <w:sz w:val="32"/>
          <w:szCs w:val="32"/>
        </w:rPr>
        <w:tab/>
      </w:r>
      <w:r>
        <w:rPr>
          <w:rFonts w:ascii="仿宋" w:hAnsi="仿宋" w:eastAsia="仿宋"/>
          <w:sz w:val="32"/>
          <w:szCs w:val="32"/>
        </w:rPr>
        <w:t>3</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二、收入决算情况说明</w:t>
      </w:r>
      <w:r>
        <w:rPr>
          <w:rFonts w:ascii="仿宋" w:hAnsi="仿宋" w:eastAsia="仿宋"/>
          <w:sz w:val="32"/>
          <w:szCs w:val="32"/>
        </w:rPr>
        <w:tab/>
      </w:r>
      <w:r>
        <w:rPr>
          <w:rFonts w:ascii="仿宋" w:hAnsi="仿宋" w:eastAsia="仿宋"/>
          <w:sz w:val="32"/>
          <w:szCs w:val="32"/>
        </w:rPr>
        <w:t>3</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三、支出决算情况说明</w:t>
      </w:r>
      <w:r>
        <w:rPr>
          <w:rFonts w:ascii="仿宋" w:hAnsi="仿宋" w:eastAsia="仿宋"/>
          <w:sz w:val="32"/>
          <w:szCs w:val="32"/>
        </w:rPr>
        <w:tab/>
      </w:r>
      <w:r>
        <w:rPr>
          <w:rFonts w:ascii="仿宋" w:hAnsi="仿宋" w:eastAsia="仿宋"/>
          <w:sz w:val="32"/>
          <w:szCs w:val="32"/>
        </w:rPr>
        <w:t>4</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四、财政拨款收入支出决算总体情况说明</w:t>
      </w:r>
      <w:r>
        <w:rPr>
          <w:rFonts w:ascii="仿宋" w:hAnsi="仿宋" w:eastAsia="仿宋"/>
          <w:sz w:val="32"/>
          <w:szCs w:val="32"/>
        </w:rPr>
        <w:tab/>
      </w:r>
      <w:r>
        <w:rPr>
          <w:rFonts w:ascii="仿宋" w:hAnsi="仿宋" w:eastAsia="仿宋"/>
          <w:sz w:val="32"/>
          <w:szCs w:val="32"/>
        </w:rPr>
        <w:t>5</w:t>
      </w:r>
    </w:p>
    <w:p>
      <w:pPr>
        <w:pStyle w:val="11"/>
        <w:adjustRightInd w:val="0"/>
        <w:snapToGrid w:val="0"/>
        <w:spacing w:line="440"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r>
        <w:rPr>
          <w:rFonts w:ascii="仿宋" w:hAnsi="仿宋" w:eastAsia="仿宋"/>
          <w:sz w:val="32"/>
          <w:szCs w:val="32"/>
        </w:rPr>
        <w:tab/>
      </w:r>
      <w:r>
        <w:rPr>
          <w:rFonts w:ascii="仿宋" w:hAnsi="仿宋" w:eastAsia="仿宋"/>
          <w:sz w:val="32"/>
          <w:szCs w:val="32"/>
        </w:rPr>
        <w:t>6</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六、一般公共预算财政拨款基本支出决算情况说明</w:t>
      </w:r>
      <w:r>
        <w:rPr>
          <w:rFonts w:ascii="仿宋" w:hAnsi="仿宋" w:eastAsia="仿宋"/>
          <w:sz w:val="32"/>
          <w:szCs w:val="32"/>
        </w:rPr>
        <w:tab/>
      </w:r>
      <w:r>
        <w:rPr>
          <w:rFonts w:hint="eastAsia" w:ascii="仿宋" w:hAnsi="仿宋" w:eastAsia="仿宋"/>
          <w:sz w:val="32"/>
          <w:szCs w:val="32"/>
          <w:lang w:val="en-US" w:eastAsia="zh-CN"/>
        </w:rPr>
        <w:t>9</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七、财政拨款“三公”经费支出决算情况说明</w:t>
      </w:r>
      <w:r>
        <w:rPr>
          <w:rFonts w:ascii="仿宋" w:hAnsi="仿宋" w:eastAsia="仿宋"/>
          <w:sz w:val="32"/>
          <w:szCs w:val="32"/>
        </w:rPr>
        <w:tab/>
      </w:r>
      <w:r>
        <w:rPr>
          <w:rFonts w:hint="eastAsia" w:ascii="仿宋" w:hAnsi="仿宋" w:eastAsia="仿宋"/>
          <w:sz w:val="32"/>
          <w:szCs w:val="32"/>
          <w:lang w:val="en-US" w:eastAsia="zh-CN"/>
        </w:rPr>
        <w:t>9</w:t>
      </w:r>
    </w:p>
    <w:p>
      <w:pPr>
        <w:pStyle w:val="11"/>
        <w:adjustRightInd w:val="0"/>
        <w:snapToGrid w:val="0"/>
        <w:spacing w:line="440" w:lineRule="exact"/>
        <w:jc w:val="left"/>
        <w:rPr>
          <w:rFonts w:hint="eastAsia" w:ascii="仿宋" w:hAnsi="仿宋" w:eastAsia="仿宋" w:cstheme="minorBidi"/>
          <w:sz w:val="32"/>
          <w:szCs w:val="32"/>
          <w:lang w:eastAsia="zh-CN"/>
        </w:rPr>
      </w:pPr>
      <w:r>
        <w:rPr>
          <w:rFonts w:hint="eastAsia" w:ascii="仿宋" w:hAnsi="仿宋" w:eastAsia="仿宋"/>
          <w:sz w:val="32"/>
          <w:szCs w:val="32"/>
        </w:rPr>
        <w:t>八、政府性基金预算支出决算情况说明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1</w:t>
      </w:r>
    </w:p>
    <w:p>
      <w:pPr>
        <w:pStyle w:val="11"/>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九、国有资本经营预算支出决算情况说明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1</w:t>
      </w:r>
    </w:p>
    <w:p>
      <w:pPr>
        <w:pStyle w:val="11"/>
        <w:adjustRightInd w:val="0"/>
        <w:snapToGrid w:val="0"/>
        <w:spacing w:line="440" w:lineRule="exact"/>
        <w:jc w:val="left"/>
        <w:rPr>
          <w:rFonts w:hint="eastAsia" w:ascii="仿宋" w:hAnsi="仿宋" w:eastAsia="仿宋"/>
          <w:sz w:val="32"/>
          <w:szCs w:val="32"/>
          <w:lang w:eastAsia="zh-CN"/>
        </w:rPr>
      </w:pPr>
      <w:r>
        <w:rPr>
          <w:rFonts w:hint="eastAsia" w:ascii="仿宋" w:hAnsi="仿宋" w:eastAsia="仿宋"/>
          <w:sz w:val="32"/>
          <w:szCs w:val="32"/>
        </w:rPr>
        <w:t>十、其他重要事项的情况说明</w:t>
      </w:r>
      <w:r>
        <w:rPr>
          <w:rFonts w:ascii="仿宋" w:hAnsi="仿宋" w:eastAsia="仿宋"/>
          <w:sz w:val="32"/>
          <w:szCs w:val="32"/>
        </w:rPr>
        <w:tab/>
      </w:r>
      <w:r>
        <w:rPr>
          <w:rFonts w:ascii="仿宋" w:hAnsi="仿宋" w:eastAsia="仿宋"/>
          <w:sz w:val="32"/>
          <w:szCs w:val="32"/>
        </w:rPr>
        <w:t>1</w:t>
      </w:r>
      <w:r>
        <w:rPr>
          <w:rFonts w:hint="eastAsia" w:ascii="仿宋" w:hAnsi="仿宋" w:eastAsia="仿宋"/>
          <w:sz w:val="32"/>
          <w:szCs w:val="32"/>
          <w:lang w:val="en-US" w:eastAsia="zh-CN"/>
        </w:rPr>
        <w:t>1</w:t>
      </w:r>
    </w:p>
    <w:p>
      <w:pPr>
        <w:pStyle w:val="10"/>
        <w:adjustRightInd w:val="0"/>
        <w:snapToGrid w:val="0"/>
        <w:spacing w:before="0" w:line="440" w:lineRule="exact"/>
        <w:jc w:val="left"/>
        <w:rPr>
          <w:rFonts w:hint="eastAsia" w:eastAsia="仿宋" w:cstheme="minorBidi"/>
          <w:sz w:val="32"/>
          <w:szCs w:val="32"/>
          <w:lang w:eastAsia="zh-CN"/>
        </w:rPr>
      </w:pPr>
      <w:r>
        <w:rPr>
          <w:rFonts w:hint="eastAsia"/>
          <w:sz w:val="32"/>
          <w:szCs w:val="32"/>
        </w:rPr>
        <w:t>第三部分</w:t>
      </w:r>
      <w:r>
        <w:rPr>
          <w:sz w:val="32"/>
          <w:szCs w:val="32"/>
        </w:rPr>
        <w:t xml:space="preserve"> </w:t>
      </w:r>
      <w:r>
        <w:rPr>
          <w:rFonts w:hint="eastAsia"/>
          <w:sz w:val="32"/>
          <w:szCs w:val="32"/>
        </w:rPr>
        <w:t>名词解释</w:t>
      </w:r>
      <w:r>
        <w:rPr>
          <w:sz w:val="32"/>
          <w:szCs w:val="32"/>
        </w:rPr>
        <w:tab/>
      </w:r>
      <w:r>
        <w:rPr>
          <w:sz w:val="32"/>
          <w:szCs w:val="32"/>
        </w:rPr>
        <w:t>1</w:t>
      </w:r>
      <w:r>
        <w:rPr>
          <w:rFonts w:hint="eastAsia"/>
          <w:sz w:val="32"/>
          <w:szCs w:val="32"/>
          <w:lang w:val="en-US" w:eastAsia="zh-CN"/>
        </w:rPr>
        <w:t>3</w:t>
      </w:r>
    </w:p>
    <w:p>
      <w:pPr>
        <w:pStyle w:val="10"/>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第四部分</w:t>
      </w:r>
      <w:r>
        <w:rPr>
          <w:sz w:val="32"/>
          <w:szCs w:val="32"/>
        </w:rPr>
        <w:t xml:space="preserve"> </w:t>
      </w:r>
      <w:r>
        <w:rPr>
          <w:rFonts w:hint="eastAsia"/>
          <w:sz w:val="32"/>
          <w:szCs w:val="32"/>
        </w:rPr>
        <w:t>附件</w:t>
      </w:r>
      <w:r>
        <w:rPr>
          <w:sz w:val="32"/>
          <w:szCs w:val="32"/>
        </w:rPr>
        <w:tab/>
      </w:r>
      <w:r>
        <w:rPr>
          <w:rFonts w:hint="eastAsia"/>
          <w:sz w:val="32"/>
          <w:szCs w:val="32"/>
          <w:lang w:val="en-US" w:eastAsia="zh-CN"/>
        </w:rPr>
        <w:t>18</w:t>
      </w:r>
    </w:p>
    <w:p>
      <w:pPr>
        <w:pStyle w:val="10"/>
        <w:adjustRightInd w:val="0"/>
        <w:snapToGrid w:val="0"/>
        <w:spacing w:before="0" w:line="440" w:lineRule="exact"/>
        <w:jc w:val="left"/>
        <w:rPr>
          <w:rFonts w:hint="default" w:eastAsia="仿宋" w:cstheme="minorBidi"/>
          <w:sz w:val="32"/>
          <w:szCs w:val="32"/>
          <w:lang w:val="en-US" w:eastAsia="zh-CN"/>
        </w:rPr>
      </w:pPr>
      <w:r>
        <w:rPr>
          <w:rFonts w:hint="eastAsia"/>
          <w:sz w:val="32"/>
          <w:szCs w:val="32"/>
        </w:rPr>
        <w:t>第五部分</w:t>
      </w:r>
      <w:r>
        <w:rPr>
          <w:sz w:val="32"/>
          <w:szCs w:val="32"/>
        </w:rPr>
        <w:t xml:space="preserve"> </w:t>
      </w:r>
      <w:r>
        <w:rPr>
          <w:rFonts w:hint="eastAsia"/>
          <w:sz w:val="32"/>
          <w:szCs w:val="32"/>
        </w:rPr>
        <w:t>附表</w:t>
      </w:r>
      <w:r>
        <w:rPr>
          <w:sz w:val="32"/>
          <w:szCs w:val="32"/>
        </w:rPr>
        <w:tab/>
      </w:r>
      <w:r>
        <w:rPr>
          <w:rFonts w:hint="eastAsia"/>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一、收入支出决算总表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二、收入决算表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三、支出决算表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四、财政拨款收入支出决算总表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五、财政拨款支出决算明细表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六、一般公共预算财政拨款支出决算表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七、一般公共预算财政拨款支出决算明细表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八、一般公共预算财政拨款基本支出决算明细表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九、一般公共预算财政拨款项目支出决算表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十、政府性基金预算财政拨款收入支出决算表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十一、国有资本经营预算财政拨款收入支出决算表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十二、国有资本经营预算财政拨款支出决算表</w:t>
      </w:r>
      <w:r>
        <w:rPr>
          <w:rFonts w:ascii="仿宋" w:hAnsi="仿宋" w:eastAsia="仿宋"/>
          <w:sz w:val="32"/>
          <w:szCs w:val="32"/>
        </w:rPr>
        <w:tab/>
      </w:r>
      <w:r>
        <w:rPr>
          <w:rFonts w:hint="eastAsia" w:ascii="仿宋" w:hAnsi="仿宋" w:eastAsia="仿宋"/>
          <w:sz w:val="32"/>
          <w:szCs w:val="32"/>
          <w:lang w:val="en-US" w:eastAsia="zh-CN"/>
        </w:rPr>
        <w:t>20</w:t>
      </w:r>
    </w:p>
    <w:p>
      <w:pPr>
        <w:pStyle w:val="11"/>
        <w:adjustRightInd w:val="0"/>
        <w:snapToGrid w:val="0"/>
        <w:spacing w:line="440" w:lineRule="exact"/>
        <w:jc w:val="left"/>
        <w:rPr>
          <w:rFonts w:hint="default" w:ascii="仿宋" w:hAnsi="仿宋" w:eastAsia="仿宋"/>
          <w:sz w:val="32"/>
          <w:szCs w:val="32"/>
          <w:lang w:val="en-US" w:eastAsia="zh-CN"/>
        </w:rPr>
      </w:pPr>
      <w:r>
        <w:rPr>
          <w:rFonts w:hint="eastAsia" w:ascii="仿宋" w:hAnsi="仿宋" w:eastAsia="仿宋"/>
          <w:sz w:val="32"/>
          <w:szCs w:val="32"/>
        </w:rPr>
        <w:t>十三、财政拨款“三公”经费支出决算表</w:t>
      </w:r>
      <w:r>
        <w:rPr>
          <w:rFonts w:ascii="仿宋" w:hAnsi="仿宋" w:eastAsia="仿宋"/>
          <w:sz w:val="32"/>
          <w:szCs w:val="32"/>
        </w:rPr>
        <w:tab/>
      </w:r>
      <w:r>
        <w:rPr>
          <w:rFonts w:hint="eastAsia" w:ascii="仿宋" w:hAnsi="仿宋" w:eastAsia="仿宋"/>
          <w:sz w:val="32"/>
          <w:szCs w:val="32"/>
          <w:lang w:val="en-US" w:eastAsia="zh-CN"/>
        </w:rPr>
        <w:t>20</w:t>
      </w:r>
    </w:p>
    <w:p>
      <w:pPr>
        <w:widowControl/>
        <w:adjustRightInd w:val="0"/>
        <w:snapToGrid w:val="0"/>
        <w:spacing w:line="440" w:lineRule="exact"/>
        <w:ind w:firstLine="1760" w:firstLineChars="550"/>
        <w:jc w:val="left"/>
        <w:rPr>
          <w:rFonts w:hint="eastAsia" w:ascii="仿宋" w:hAnsi="仿宋" w:eastAsia="仿宋"/>
          <w:sz w:val="32"/>
          <w:szCs w:val="32"/>
          <w:lang w:eastAsia="zh-CN"/>
        </w:rPr>
        <w:sectPr>
          <w:footerReference r:id="rId4" w:type="first"/>
          <w:headerReference r:id="rId3" w:type="default"/>
          <w:pgSz w:w="11906" w:h="16838"/>
          <w:pgMar w:top="1440" w:right="1800" w:bottom="1440" w:left="1800" w:header="851" w:footer="992" w:gutter="0"/>
          <w:pgNumType w:start="1"/>
          <w:cols w:space="425" w:num="1"/>
          <w:titlePg/>
          <w:docGrid w:type="lines" w:linePitch="312" w:charSpace="0"/>
        </w:sectPr>
      </w:pPr>
      <w:bookmarkStart w:id="68" w:name="_GoBack"/>
      <w:bookmarkEnd w:id="68"/>
    </w:p>
    <w:p>
      <w:pPr>
        <w:pStyle w:val="3"/>
        <w:jc w:val="center"/>
        <w:rPr>
          <w:rStyle w:val="24"/>
          <w:rFonts w:ascii="黑体" w:hAnsi="黑体" w:eastAsia="黑体"/>
          <w:b/>
          <w:bCs w:val="0"/>
        </w:rPr>
      </w:pPr>
      <w:bookmarkStart w:id="14" w:name="_Hlk146544157"/>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5" w:name="_Toc15377197"/>
      <w:bookmarkStart w:id="16" w:name="_Toc15396600"/>
      <w:r>
        <w:rPr>
          <w:rStyle w:val="25"/>
          <w:rFonts w:hint="eastAsia" w:ascii="黑体" w:hAnsi="黑体" w:eastAsia="黑体"/>
          <w:b w:val="0"/>
          <w:bCs w:val="0"/>
        </w:rPr>
        <w:t>主要职责</w:t>
      </w:r>
    </w:p>
    <w:p>
      <w:pPr>
        <w:ind w:firstLine="640" w:firstLineChars="200"/>
      </w:pPr>
      <w:r>
        <w:rPr>
          <w:rFonts w:hint="eastAsia" w:ascii="仿宋_GB2312" w:hAnsi="仿宋_GB2312" w:eastAsia="仿宋_GB2312" w:cs="仿宋_GB2312"/>
          <w:kern w:val="2"/>
          <w:sz w:val="32"/>
          <w:szCs w:val="32"/>
          <w:lang w:val="en-US" w:eastAsia="zh-CN" w:bidi="ar-SA"/>
        </w:rPr>
        <w:t>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w:t>
      </w:r>
    </w:p>
    <w:p>
      <w:pPr>
        <w:pStyle w:val="4"/>
        <w:rPr>
          <w:rFonts w:ascii="黑体" w:hAnsi="黑体" w:eastAsia="黑体"/>
          <w:b w:val="0"/>
        </w:rPr>
      </w:pPr>
      <w:r>
        <w:rPr>
          <w:rFonts w:hint="eastAsia" w:ascii="黑体" w:hAnsi="黑体" w:eastAsia="黑体"/>
          <w:b w:val="0"/>
        </w:rPr>
        <w:t>二、机构设置</w:t>
      </w:r>
    </w:p>
    <w:p>
      <w:pPr>
        <w:ind w:firstLine="707" w:firstLineChars="221"/>
        <w:rPr>
          <w:rFonts w:hint="eastAsia" w:ascii="仿宋" w:hAnsi="仿宋" w:eastAsia="仿宋"/>
          <w:sz w:val="32"/>
          <w:szCs w:val="32"/>
          <w:lang w:val="en-US" w:eastAsia="zh-CN"/>
        </w:rPr>
      </w:pPr>
      <w:r>
        <w:rPr>
          <w:rFonts w:hint="eastAsia" w:ascii="仿宋" w:hAnsi="仿宋" w:eastAsia="仿宋" w:cs="Times New Roman"/>
          <w:sz w:val="32"/>
          <w:szCs w:val="32"/>
          <w:highlight w:val="none"/>
          <w:lang w:val="en-US" w:eastAsia="zh-CN"/>
        </w:rPr>
        <w:t>峨眉山市防震减灾服务中心</w:t>
      </w:r>
      <w:r>
        <w:rPr>
          <w:rFonts w:hint="eastAsia" w:ascii="仿宋" w:hAnsi="仿宋" w:eastAsia="仿宋" w:cs="Times New Roman"/>
          <w:sz w:val="32"/>
          <w:szCs w:val="32"/>
          <w:highlight w:val="none"/>
        </w:rPr>
        <w:t>属于峨眉山市应急管理局</w:t>
      </w:r>
      <w:r>
        <w:rPr>
          <w:rFonts w:hint="eastAsia" w:ascii="仿宋" w:hAnsi="仿宋" w:eastAsia="仿宋"/>
          <w:sz w:val="32"/>
          <w:szCs w:val="32"/>
          <w:highlight w:val="none"/>
        </w:rPr>
        <w:t>部门下属的二级预算单位</w:t>
      </w:r>
      <w:r>
        <w:rPr>
          <w:rFonts w:hint="eastAsia" w:ascii="仿宋" w:hAnsi="仿宋" w:eastAsia="仿宋"/>
          <w:sz w:val="32"/>
          <w:szCs w:val="32"/>
        </w:rPr>
        <w:t>，下设独立编制机构</w:t>
      </w:r>
      <w:r>
        <w:rPr>
          <w:rFonts w:hint="eastAsia" w:ascii="仿宋" w:hAnsi="仿宋" w:eastAsia="仿宋"/>
          <w:sz w:val="32"/>
          <w:szCs w:val="32"/>
          <w:lang w:val="en-US" w:eastAsia="zh-CN"/>
        </w:rPr>
        <w:t>0</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单位编制</w:t>
      </w:r>
      <w:r>
        <w:rPr>
          <w:rFonts w:hint="eastAsia" w:ascii="仿宋" w:hAnsi="仿宋" w:eastAsia="仿宋"/>
          <w:sz w:val="32"/>
          <w:szCs w:val="32"/>
          <w:lang w:val="en-US" w:eastAsia="zh-CN"/>
        </w:rPr>
        <w:t>6人，下设1个综合股。</w:t>
      </w:r>
    </w:p>
    <w:p>
      <w:pPr>
        <w:ind w:firstLine="707" w:firstLineChars="221"/>
        <w:rPr>
          <w:rFonts w:ascii="仿宋" w:hAnsi="仿宋" w:eastAsia="仿宋"/>
          <w:kern w:val="2"/>
          <w:sz w:val="32"/>
          <w:szCs w:val="32"/>
        </w:rPr>
      </w:pPr>
      <w:r>
        <w:rPr>
          <w:rFonts w:hint="eastAsia" w:ascii="仿宋" w:hAnsi="仿宋" w:eastAsia="仿宋"/>
          <w:kern w:val="2"/>
          <w:sz w:val="32"/>
          <w:szCs w:val="32"/>
        </w:rPr>
        <w:t>纳入2</w:t>
      </w:r>
      <w:r>
        <w:rPr>
          <w:rFonts w:ascii="仿宋" w:hAnsi="仿宋" w:eastAsia="仿宋"/>
          <w:kern w:val="2"/>
          <w:sz w:val="32"/>
          <w:szCs w:val="32"/>
        </w:rPr>
        <w:t>022</w:t>
      </w:r>
      <w:r>
        <w:rPr>
          <w:rFonts w:hint="eastAsia" w:ascii="仿宋" w:hAnsi="仿宋" w:eastAsia="仿宋"/>
          <w:kern w:val="2"/>
          <w:sz w:val="32"/>
          <w:szCs w:val="32"/>
        </w:rPr>
        <w:t>年度单位决算编制范围的独立编制机构包括：</w:t>
      </w:r>
    </w:p>
    <w:p>
      <w:pPr>
        <w:pStyle w:val="2"/>
        <w:spacing w:before="93"/>
        <w:ind w:firstLine="707" w:firstLineChars="221"/>
        <w:rPr>
          <w:rFonts w:ascii="仿宋" w:hAnsi="仿宋" w:eastAsia="仿宋"/>
          <w:kern w:val="2"/>
          <w:sz w:val="32"/>
          <w:szCs w:val="32"/>
        </w:rPr>
      </w:pPr>
      <w:r>
        <w:rPr>
          <w:rFonts w:hint="eastAsia" w:ascii="仿宋" w:hAnsi="仿宋" w:eastAsia="仿宋"/>
          <w:kern w:val="2"/>
          <w:sz w:val="32"/>
          <w:szCs w:val="32"/>
        </w:rPr>
        <w:t>1</w:t>
      </w:r>
      <w:r>
        <w:rPr>
          <w:rFonts w:ascii="仿宋" w:hAnsi="仿宋" w:eastAsia="仿宋"/>
          <w:kern w:val="2"/>
          <w:sz w:val="32"/>
          <w:szCs w:val="32"/>
        </w:rPr>
        <w:t>.</w:t>
      </w:r>
      <w:r>
        <w:rPr>
          <w:rFonts w:hint="eastAsia" w:ascii="仿宋" w:hAnsi="仿宋" w:eastAsia="仿宋"/>
          <w:kern w:val="2"/>
          <w:sz w:val="32"/>
          <w:szCs w:val="32"/>
          <w:highlight w:val="none"/>
        </w:rPr>
        <w:t>峨眉山市防震减灾服务中心</w:t>
      </w:r>
    </w:p>
    <w:bookmarkEnd w:id="14"/>
    <w:bookmarkEnd w:id="15"/>
    <w:bookmarkEnd w:id="16"/>
    <w:p>
      <w:pPr>
        <w:pStyle w:val="3"/>
        <w:ind w:right="440"/>
        <w:jc w:val="center"/>
        <w:rPr>
          <w:rFonts w:hint="eastAsia" w:ascii="黑体" w:hAnsi="黑体" w:eastAsia="黑体"/>
          <w:b w:val="0"/>
        </w:rPr>
      </w:pPr>
      <w:bookmarkStart w:id="17" w:name="_Toc15396602"/>
      <w:bookmarkStart w:id="18" w:name="_Toc15377204"/>
    </w:p>
    <w:p>
      <w:pPr>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2"/>
        <w:rPr>
          <w:rFonts w:hint="eastAsia" w:ascii="黑体" w:hAnsi="黑体" w:eastAsia="黑体"/>
          <w:b w:val="0"/>
        </w:rPr>
      </w:pPr>
    </w:p>
    <w:p>
      <w:pPr>
        <w:pStyle w:val="3"/>
        <w:ind w:right="440"/>
        <w:jc w:val="center"/>
        <w:rPr>
          <w:rStyle w:val="24"/>
          <w:rFonts w:ascii="黑体" w:hAnsi="黑体" w:eastAsia="黑体"/>
          <w:b w:val="0"/>
          <w:bCs/>
        </w:rPr>
      </w:pPr>
      <w:r>
        <w:rPr>
          <w:rFonts w:hint="eastAsia" w:ascii="黑体" w:hAnsi="黑体" w:eastAsia="黑体"/>
          <w:b w:val="0"/>
        </w:rPr>
        <w:t>第二部分 2022年度</w:t>
      </w:r>
      <w:r>
        <w:rPr>
          <w:rStyle w:val="24"/>
          <w:rFonts w:hint="eastAsia" w:ascii="黑体" w:hAnsi="黑体" w:eastAsia="黑体"/>
          <w:b w:val="0"/>
          <w:bCs/>
        </w:rPr>
        <w:t>单位决算情况说明</w:t>
      </w:r>
      <w:bookmarkEnd w:id="17"/>
      <w:bookmarkEnd w:id="18"/>
    </w:p>
    <w:p/>
    <w:p>
      <w:pPr>
        <w:pStyle w:val="23"/>
        <w:numPr>
          <w:ilvl w:val="0"/>
          <w:numId w:val="2"/>
        </w:numPr>
        <w:spacing w:line="600" w:lineRule="exact"/>
        <w:ind w:firstLineChars="0"/>
        <w:outlineLvl w:val="1"/>
        <w:rPr>
          <w:rStyle w:val="25"/>
          <w:rFonts w:ascii="黑体" w:hAnsi="黑体" w:eastAsia="黑体"/>
          <w:b w:val="0"/>
        </w:rPr>
      </w:pPr>
      <w:bookmarkStart w:id="19" w:name="_Toc15396603"/>
      <w:bookmarkStart w:id="20"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val="en-US" w:eastAsia="zh-CN"/>
        </w:rPr>
        <w:t>入总计141.56万元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142.27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年相比，收、支总计各增加</w:t>
      </w:r>
      <w:r>
        <w:rPr>
          <w:rFonts w:hint="eastAsia" w:ascii="仿宋_GB2312" w:hAnsi="仿宋" w:eastAsia="仿宋_GB2312"/>
          <w:sz w:val="32"/>
          <w:szCs w:val="32"/>
          <w:lang w:val="en-US" w:eastAsia="zh-CN"/>
        </w:rPr>
        <w:t>42.3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及43.08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。主要变动原因是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r>
        <w:rPr>
          <w:rFonts w:hint="eastAsia" w:ascii="仿宋" w:hAnsi="仿宋" w:eastAsia="仿宋"/>
          <w:sz w:val="32"/>
          <w:szCs w:val="32"/>
        </w:rPr>
        <w:t>。</w:t>
      </w:r>
    </w:p>
    <w:p>
      <w:pPr>
        <w:pStyle w:val="2"/>
        <w:jc w:val="center"/>
        <w:rPr>
          <w:rFonts w:hint="eastAsia" w:eastAsia="仿宋_GB2312"/>
          <w:lang w:eastAsia="zh-CN"/>
        </w:rPr>
      </w:pPr>
      <w:r>
        <w:rPr>
          <w:rFonts w:hint="eastAsia" w:eastAsia="仿宋_GB2312"/>
          <w:lang w:eastAsia="zh-CN"/>
        </w:rPr>
        <w:drawing>
          <wp:inline distT="0" distB="0" distL="114300" distR="114300">
            <wp:extent cx="4472305" cy="3642995"/>
            <wp:effectExtent l="0" t="0" r="4445" b="14605"/>
            <wp:docPr id="1" name="图片 1" descr="170141115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1411150394"/>
                    <pic:cNvPicPr>
                      <a:picLocks noChangeAspect="1"/>
                    </pic:cNvPicPr>
                  </pic:nvPicPr>
                  <pic:blipFill>
                    <a:blip r:embed="rId10"/>
                    <a:stretch>
                      <a:fillRect/>
                    </a:stretch>
                  </pic:blipFill>
                  <pic:spPr>
                    <a:xfrm>
                      <a:off x="0" y="0"/>
                      <a:ext cx="4472305" cy="3642995"/>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22年本年收入合计141.56万元，其中：一般公共预算财政拨款收入136.56万元，占</w:t>
      </w:r>
      <w:r>
        <w:rPr>
          <w:rFonts w:hint="eastAsia" w:ascii="仿宋" w:hAnsi="仿宋" w:eastAsia="仿宋"/>
          <w:sz w:val="32"/>
          <w:szCs w:val="32"/>
          <w:lang w:val="en-US" w:eastAsia="zh-CN"/>
        </w:rPr>
        <w:t>96.5</w:t>
      </w:r>
      <w:r>
        <w:rPr>
          <w:rFonts w:ascii="仿宋" w:hAnsi="仿宋" w:eastAsia="仿宋"/>
          <w:sz w:val="32"/>
          <w:szCs w:val="32"/>
        </w:rPr>
        <w:t>%</w:t>
      </w:r>
      <w:r>
        <w:rPr>
          <w:rFonts w:hint="eastAsia" w:ascii="仿宋" w:hAnsi="仿宋" w:eastAsia="仿宋"/>
          <w:sz w:val="32"/>
          <w:szCs w:val="32"/>
        </w:rPr>
        <w:t>；政府性基金预算财政拨款收入5万元，占</w:t>
      </w:r>
      <w:r>
        <w:rPr>
          <w:rFonts w:hint="eastAsia" w:ascii="仿宋" w:hAnsi="仿宋" w:eastAsia="仿宋"/>
          <w:sz w:val="32"/>
          <w:szCs w:val="32"/>
          <w:lang w:val="en-US" w:eastAsia="zh-CN"/>
        </w:rPr>
        <w:t>3.5</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pPr>
      <w:r>
        <w:rPr>
          <w:rFonts w:hint="eastAsia" w:ascii="仿宋" w:hAnsi="仿宋" w:eastAsia="仿宋"/>
          <w:sz w:val="32"/>
          <w:szCs w:val="32"/>
          <w:lang w:eastAsia="zh-CN"/>
        </w:rPr>
        <w:drawing>
          <wp:inline distT="0" distB="0" distL="114300" distR="114300">
            <wp:extent cx="4933950" cy="3601720"/>
            <wp:effectExtent l="0" t="0" r="0" b="17780"/>
            <wp:docPr id="2" name="图片 2" descr="170141126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1411261422"/>
                    <pic:cNvPicPr>
                      <a:picLocks noChangeAspect="1"/>
                    </pic:cNvPicPr>
                  </pic:nvPicPr>
                  <pic:blipFill>
                    <a:blip r:embed="rId11"/>
                    <a:stretch>
                      <a:fillRect/>
                    </a:stretch>
                  </pic:blipFill>
                  <pic:spPr>
                    <a:xfrm>
                      <a:off x="0" y="0"/>
                      <a:ext cx="4933950" cy="3601720"/>
                    </a:xfrm>
                    <a:prstGeom prst="rect">
                      <a:avLst/>
                    </a:prstGeom>
                  </pic:spPr>
                </pic:pic>
              </a:graphicData>
            </a:graphic>
          </wp:inline>
        </w:drawing>
      </w:r>
    </w:p>
    <w:p>
      <w:pPr>
        <w:spacing w:line="600" w:lineRule="exact"/>
        <w:ind w:firstLine="1920" w:firstLineChars="6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3" w:name="_Toc15396605"/>
      <w:bookmarkStart w:id="24" w:name="_Toc15377207"/>
      <w:r>
        <w:rPr>
          <w:rFonts w:hint="eastAsia" w:ascii="黑体" w:hAnsi="黑体" w:eastAsia="黑体"/>
          <w:sz w:val="32"/>
          <w:szCs w:val="32"/>
        </w:rPr>
        <w:t>支</w:t>
      </w:r>
      <w:r>
        <w:rPr>
          <w:rStyle w:val="25"/>
          <w:rFonts w:hint="eastAsia" w:ascii="黑体" w:hAnsi="黑体" w:eastAsia="黑体"/>
          <w:b w:val="0"/>
        </w:rPr>
        <w:t>出决算情况说明</w:t>
      </w:r>
      <w:bookmarkEnd w:id="23"/>
      <w:bookmarkEnd w:id="24"/>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22年本年支出合计142.27万元，其中：基本支出136.97万元，占</w:t>
      </w:r>
      <w:r>
        <w:rPr>
          <w:rFonts w:hint="eastAsia" w:ascii="仿宋" w:hAnsi="仿宋" w:eastAsia="仿宋"/>
          <w:sz w:val="32"/>
          <w:szCs w:val="32"/>
          <w:lang w:val="en-US" w:eastAsia="zh-CN"/>
        </w:rPr>
        <w:t>96.3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5.3</w:t>
      </w:r>
      <w:r>
        <w:rPr>
          <w:rFonts w:hint="eastAsia" w:ascii="仿宋" w:hAnsi="仿宋" w:eastAsia="仿宋"/>
          <w:sz w:val="32"/>
          <w:szCs w:val="32"/>
        </w:rPr>
        <w:t>万元，占</w:t>
      </w:r>
      <w:r>
        <w:rPr>
          <w:rFonts w:hint="eastAsia" w:ascii="仿宋" w:hAnsi="仿宋" w:eastAsia="仿宋"/>
          <w:sz w:val="32"/>
          <w:szCs w:val="32"/>
          <w:lang w:val="en-US" w:eastAsia="zh-CN"/>
        </w:rPr>
        <w:t>3.7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jc w:val="center"/>
      </w:pPr>
      <w:r>
        <w:rPr>
          <w:rFonts w:hint="eastAsia" w:eastAsia="仿宋"/>
          <w:lang w:eastAsia="zh-CN"/>
        </w:rPr>
        <w:drawing>
          <wp:inline distT="0" distB="0" distL="114300" distR="114300">
            <wp:extent cx="4695825" cy="2972435"/>
            <wp:effectExtent l="0" t="0" r="9525" b="18415"/>
            <wp:docPr id="3" name="图片 3" descr="170141145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1411452950"/>
                    <pic:cNvPicPr>
                      <a:picLocks noChangeAspect="1"/>
                    </pic:cNvPicPr>
                  </pic:nvPicPr>
                  <pic:blipFill>
                    <a:blip r:embed="rId12"/>
                    <a:stretch>
                      <a:fillRect/>
                    </a:stretch>
                  </pic:blipFill>
                  <pic:spPr>
                    <a:xfrm>
                      <a:off x="0" y="0"/>
                      <a:ext cx="4695825" cy="2972435"/>
                    </a:xfrm>
                    <a:prstGeom prst="rect">
                      <a:avLst/>
                    </a:prstGeom>
                  </pic:spPr>
                </pic:pic>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5"/>
      <w:bookmarkEnd w:id="26"/>
    </w:p>
    <w:p>
      <w:pPr>
        <w:spacing w:line="600" w:lineRule="exact"/>
        <w:ind w:firstLine="640"/>
        <w:rPr>
          <w:rFonts w:hint="eastAsia" w:ascii="仿宋" w:hAnsi="仿宋" w:eastAsia="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val="en-US" w:eastAsia="zh-CN"/>
        </w:rPr>
        <w:t>入总计141.56万元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val="en-US" w:eastAsia="zh-CN"/>
        </w:rPr>
        <w:t>出</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142.27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年相比，收、支总计各增加</w:t>
      </w:r>
      <w:r>
        <w:rPr>
          <w:rFonts w:hint="eastAsia" w:ascii="仿宋_GB2312" w:hAnsi="仿宋" w:eastAsia="仿宋_GB2312"/>
          <w:sz w:val="32"/>
          <w:szCs w:val="32"/>
          <w:lang w:val="en-US" w:eastAsia="zh-CN"/>
        </w:rPr>
        <w:t>42.3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及43.08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43.4%</w:t>
      </w:r>
      <w:r>
        <w:rPr>
          <w:rFonts w:hint="eastAsia" w:ascii="仿宋_GB2312" w:hAnsi="仿宋_GB2312" w:eastAsia="仿宋_GB2312" w:cs="仿宋_GB2312"/>
          <w:sz w:val="32"/>
          <w:szCs w:val="32"/>
        </w:rPr>
        <w:t>。主要变动原因是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仿宋" w:hAnsi="仿宋" w:eastAsia="仿宋"/>
          <w:sz w:val="32"/>
          <w:szCs w:val="32"/>
          <w:lang w:eastAsia="zh-CN"/>
        </w:rPr>
        <w:drawing>
          <wp:inline distT="0" distB="0" distL="114300" distR="114300">
            <wp:extent cx="5272405" cy="2553970"/>
            <wp:effectExtent l="0" t="0" r="4445" b="17780"/>
            <wp:docPr id="4" name="图片 4" descr="1701411567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1411567476"/>
                    <pic:cNvPicPr>
                      <a:picLocks noChangeAspect="1"/>
                    </pic:cNvPicPr>
                  </pic:nvPicPr>
                  <pic:blipFill>
                    <a:blip r:embed="rId13"/>
                    <a:stretch>
                      <a:fillRect/>
                    </a:stretch>
                  </pic:blipFill>
                  <pic:spPr>
                    <a:xfrm>
                      <a:off x="0" y="0"/>
                      <a:ext cx="5272405" cy="2553970"/>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22年一般公共预算财政拨款支出137.27万元，占本年支出合计的</w:t>
      </w:r>
      <w:r>
        <w:rPr>
          <w:rFonts w:hint="eastAsia" w:ascii="仿宋" w:hAnsi="仿宋" w:eastAsia="仿宋"/>
          <w:sz w:val="32"/>
          <w:szCs w:val="32"/>
          <w:lang w:val="en-US" w:eastAsia="zh-CN"/>
        </w:rPr>
        <w:t>96.5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38.11</w:t>
      </w:r>
      <w:r>
        <w:rPr>
          <w:rFonts w:hint="eastAsia" w:ascii="仿宋" w:hAnsi="仿宋" w:eastAsia="仿宋"/>
          <w:sz w:val="32"/>
          <w:szCs w:val="32"/>
        </w:rPr>
        <w:t>万元，增长</w:t>
      </w:r>
      <w:r>
        <w:rPr>
          <w:rFonts w:hint="eastAsia" w:ascii="仿宋" w:hAnsi="仿宋" w:eastAsia="仿宋"/>
          <w:sz w:val="32"/>
          <w:szCs w:val="32"/>
          <w:lang w:val="en-US" w:eastAsia="zh-CN"/>
        </w:rPr>
        <w:t>38.4</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sz w:val="32"/>
          <w:szCs w:val="32"/>
        </w:rPr>
        <w:t>主要变动原因是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lang w:eastAsia="zh-CN"/>
        </w:rPr>
        <w:drawing>
          <wp:inline distT="0" distB="0" distL="114300" distR="114300">
            <wp:extent cx="5181600" cy="3001010"/>
            <wp:effectExtent l="0" t="0" r="0" b="8890"/>
            <wp:docPr id="5" name="图片 5" descr="1701411807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1411807890"/>
                    <pic:cNvPicPr>
                      <a:picLocks noChangeAspect="1"/>
                    </pic:cNvPicPr>
                  </pic:nvPicPr>
                  <pic:blipFill>
                    <a:blip r:embed="rId14"/>
                    <a:stretch>
                      <a:fillRect/>
                    </a:stretch>
                  </pic:blipFill>
                  <pic:spPr>
                    <a:xfrm>
                      <a:off x="0" y="0"/>
                      <a:ext cx="5181600" cy="3001010"/>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22年一般公共预算财政拨款支出137.27元，主要用于以下方面</w:t>
      </w:r>
      <w:r>
        <w:rPr>
          <w:rFonts w:ascii="仿宋" w:hAnsi="仿宋" w:eastAsia="仿宋"/>
          <w:sz w:val="32"/>
          <w:szCs w:val="32"/>
        </w:rPr>
        <w:t>:</w:t>
      </w:r>
      <w:r>
        <w:rPr>
          <w:rFonts w:hint="eastAsia" w:ascii="仿宋" w:hAnsi="仿宋" w:eastAsia="仿宋"/>
          <w:b/>
          <w:sz w:val="32"/>
          <w:szCs w:val="32"/>
        </w:rPr>
        <w:t>灾害防治及应急管理支出</w:t>
      </w:r>
      <w:r>
        <w:rPr>
          <w:rFonts w:hint="eastAsia" w:ascii="仿宋" w:hAnsi="仿宋" w:eastAsia="仿宋"/>
          <w:sz w:val="32"/>
          <w:szCs w:val="32"/>
        </w:rPr>
        <w:t>110.33万元，占</w:t>
      </w:r>
      <w:r>
        <w:rPr>
          <w:rFonts w:hint="eastAsia" w:ascii="仿宋" w:hAnsi="仿宋" w:eastAsia="仿宋"/>
          <w:sz w:val="32"/>
          <w:szCs w:val="32"/>
          <w:lang w:val="en-US" w:eastAsia="zh-CN"/>
        </w:rPr>
        <w:t>80.4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12.5</w:t>
      </w:r>
      <w:r>
        <w:rPr>
          <w:rFonts w:hint="eastAsia" w:ascii="仿宋" w:hAnsi="仿宋" w:eastAsia="仿宋"/>
          <w:sz w:val="32"/>
          <w:szCs w:val="32"/>
        </w:rPr>
        <w:t>万元，占</w:t>
      </w:r>
      <w:r>
        <w:rPr>
          <w:rFonts w:hint="eastAsia" w:ascii="仿宋" w:hAnsi="仿宋" w:eastAsia="仿宋"/>
          <w:sz w:val="32"/>
          <w:szCs w:val="32"/>
          <w:lang w:val="en-US" w:eastAsia="zh-CN"/>
        </w:rPr>
        <w:t>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3.17</w:t>
      </w:r>
      <w:r>
        <w:rPr>
          <w:rFonts w:hint="eastAsia" w:ascii="仿宋" w:hAnsi="仿宋" w:eastAsia="仿宋"/>
          <w:sz w:val="32"/>
          <w:szCs w:val="32"/>
        </w:rPr>
        <w:t>万元，占</w:t>
      </w:r>
      <w:r>
        <w:rPr>
          <w:rFonts w:hint="eastAsia" w:ascii="仿宋" w:hAnsi="仿宋" w:eastAsia="仿宋"/>
          <w:sz w:val="32"/>
          <w:szCs w:val="32"/>
          <w:lang w:val="en-US" w:eastAsia="zh-CN"/>
        </w:rPr>
        <w:t>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11.27</w:t>
      </w:r>
      <w:r>
        <w:rPr>
          <w:rFonts w:hint="eastAsia" w:ascii="仿宋" w:hAnsi="仿宋" w:eastAsia="仿宋"/>
          <w:sz w:val="32"/>
          <w:szCs w:val="32"/>
        </w:rPr>
        <w:t>万元，占</w:t>
      </w:r>
      <w:r>
        <w:rPr>
          <w:rFonts w:hint="eastAsia" w:ascii="仿宋" w:hAnsi="仿宋" w:eastAsia="仿宋"/>
          <w:sz w:val="32"/>
          <w:szCs w:val="32"/>
          <w:lang w:val="en-US" w:eastAsia="zh-CN"/>
        </w:rPr>
        <w:t>8.2</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b/>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 w:hAnsi="仿宋" w:eastAsia="仿宋"/>
          <w:sz w:val="32"/>
          <w:szCs w:val="32"/>
        </w:rPr>
      </w:pPr>
      <w:r>
        <w:rPr>
          <w:rFonts w:hint="eastAsia" w:ascii="仿宋" w:hAnsi="仿宋" w:eastAsia="仿宋"/>
          <w:b/>
          <w:sz w:val="32"/>
          <w:szCs w:val="32"/>
          <w:lang w:eastAsia="zh-CN"/>
        </w:rPr>
        <w:drawing>
          <wp:inline distT="0" distB="0" distL="114300" distR="114300">
            <wp:extent cx="5273040" cy="3700145"/>
            <wp:effectExtent l="0" t="0" r="3810" b="14605"/>
            <wp:docPr id="6" name="图片 6" descr="170141201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1412019989"/>
                    <pic:cNvPicPr>
                      <a:picLocks noChangeAspect="1"/>
                    </pic:cNvPicPr>
                  </pic:nvPicPr>
                  <pic:blipFill>
                    <a:blip r:embed="rId15"/>
                    <a:stretch>
                      <a:fillRect/>
                    </a:stretch>
                  </pic:blipFill>
                  <pic:spPr>
                    <a:xfrm>
                      <a:off x="0" y="0"/>
                      <a:ext cx="5273040" cy="3700145"/>
                    </a:xfrm>
                    <a:prstGeom prst="rect">
                      <a:avLst/>
                    </a:prstGeom>
                  </pic:spPr>
                </pic:pic>
              </a:graphicData>
            </a:graphic>
          </wp:inline>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3" w:firstLineChars="200"/>
        <w:outlineLvl w:val="2"/>
        <w:rPr>
          <w:rFonts w:ascii="仿宋" w:hAnsi="仿宋" w:eastAsia="仿宋"/>
          <w:sz w:val="32"/>
          <w:szCs w:val="32"/>
        </w:rPr>
      </w:pPr>
      <w:bookmarkStart w:id="32" w:name="_Toc15377213"/>
      <w:bookmarkStart w:id="33" w:name="_Toc15378460"/>
      <w:bookmarkStart w:id="34"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136.97</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140.0</w:t>
      </w:r>
      <w:r>
        <w:rPr>
          <w:rStyle w:val="14"/>
          <w:rFonts w:ascii="仿宋" w:hAnsi="仿宋" w:eastAsia="仿宋"/>
          <w:bCs/>
          <w:sz w:val="32"/>
          <w:szCs w:val="32"/>
        </w:rPr>
        <w:t>%</w:t>
      </w:r>
      <w:r>
        <w:rPr>
          <w:rStyle w:val="14"/>
          <w:rFonts w:hint="eastAsia" w:ascii="仿宋" w:hAnsi="仿宋" w:eastAsia="仿宋"/>
          <w:bCs/>
          <w:sz w:val="32"/>
          <w:szCs w:val="32"/>
        </w:rPr>
        <w:t>。其中：</w:t>
      </w:r>
      <w:bookmarkEnd w:id="32"/>
      <w:bookmarkEnd w:id="33"/>
      <w:bookmarkEnd w:id="34"/>
    </w:p>
    <w:p>
      <w:pPr>
        <w:numPr>
          <w:ilvl w:val="0"/>
          <w:numId w:val="0"/>
        </w:num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eastAsia="zh-CN"/>
        </w:rPr>
        <w:t>行政事业单位养老</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机关事业单位基本养老保险缴费</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8.08</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105</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大于</w:t>
      </w:r>
      <w:r>
        <w:rPr>
          <w:rStyle w:val="14"/>
          <w:rFonts w:hint="eastAsia" w:ascii="仿宋_GB2312" w:hAnsi="仿宋_GB2312" w:eastAsia="仿宋_GB2312" w:cs="仿宋_GB2312"/>
          <w:b w:val="0"/>
          <w:bCs/>
          <w:sz w:val="32"/>
          <w:szCs w:val="32"/>
        </w:rPr>
        <w:t>预算数的主要原因是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r>
        <w:rPr>
          <w:rStyle w:val="14"/>
          <w:rFonts w:hint="eastAsia" w:ascii="仿宋" w:hAnsi="仿宋" w:eastAsia="仿宋"/>
          <w:b w:val="0"/>
          <w:bCs/>
          <w:sz w:val="32"/>
          <w:szCs w:val="32"/>
        </w:rPr>
        <w:t>。</w:t>
      </w:r>
    </w:p>
    <w:p>
      <w:pPr>
        <w:pStyle w:val="2"/>
        <w:numPr>
          <w:ilvl w:val="0"/>
          <w:numId w:val="0"/>
        </w:numPr>
        <w:rPr>
          <w:rFonts w:hint="default" w:eastAsia="仿宋_GB2312"/>
          <w:lang w:val="en-US" w:eastAsia="zh-CN"/>
        </w:rPr>
      </w:pPr>
      <w:r>
        <w:rPr>
          <w:rFonts w:hint="eastAsia"/>
          <w:lang w:val="en-US" w:eastAsia="zh-CN"/>
        </w:rPr>
        <w:t xml:space="preserve">  </w:t>
      </w:r>
      <w:r>
        <w:rPr>
          <w:rStyle w:val="14"/>
          <w:rFonts w:hint="eastAsia" w:ascii="仿宋" w:hAnsi="仿宋" w:eastAsia="仿宋" w:cs="Times New Roman"/>
          <w:bCs/>
          <w:kern w:val="2"/>
          <w:sz w:val="32"/>
          <w:szCs w:val="32"/>
          <w:lang w:val="en-US" w:eastAsia="zh-CN" w:bidi="ar-SA"/>
        </w:rPr>
        <w:t xml:space="preserve">  2、社会保障和就业（类）行政事业单位养老（款）机关事业单位职业年金缴费（项）：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4.04</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w:t>
      </w:r>
      <w:r>
        <w:rPr>
          <w:rStyle w:val="14"/>
          <w:rFonts w:hint="eastAsia" w:hAnsi="仿宋_GB2312" w:cs="仿宋_GB2312"/>
          <w:b w:val="0"/>
          <w:bCs/>
          <w:sz w:val="32"/>
          <w:szCs w:val="32"/>
          <w:lang w:val="en-US" w:eastAsia="zh-CN"/>
        </w:rPr>
        <w:t>05</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大于</w:t>
      </w:r>
      <w:r>
        <w:rPr>
          <w:rStyle w:val="14"/>
          <w:rFonts w:hint="eastAsia" w:ascii="仿宋_GB2312" w:hAnsi="仿宋_GB2312" w:eastAsia="仿宋_GB2312" w:cs="仿宋_GB2312"/>
          <w:b w:val="0"/>
          <w:bCs/>
          <w:sz w:val="32"/>
          <w:szCs w:val="32"/>
        </w:rPr>
        <w:t>预算数的主要原因是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r>
        <w:rPr>
          <w:rFonts w:hint="eastAsia" w:hAnsi="仿宋_GB2312" w:cs="仿宋_GB2312"/>
          <w:sz w:val="32"/>
          <w:szCs w:val="32"/>
          <w:lang w:val="en-US" w:eastAsia="zh-CN"/>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cs="Times New Roman"/>
          <w:bCs/>
          <w:kern w:val="2"/>
          <w:sz w:val="32"/>
          <w:szCs w:val="32"/>
          <w:lang w:val="en-US" w:eastAsia="zh-CN" w:bidi="ar-SA"/>
        </w:rPr>
        <w:t>社会保障和就业（类）其他社会保障和就业（款）其他社会保障和就业（项）</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0.38</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与</w:t>
      </w:r>
      <w:r>
        <w:rPr>
          <w:rStyle w:val="14"/>
          <w:rFonts w:hint="eastAsia" w:ascii="仿宋_GB2312" w:hAnsi="仿宋_GB2312" w:eastAsia="仿宋_GB2312" w:cs="仿宋_GB2312"/>
          <w:b w:val="0"/>
          <w:bCs/>
          <w:sz w:val="32"/>
          <w:szCs w:val="32"/>
        </w:rPr>
        <w:t>预算数</w:t>
      </w:r>
      <w:r>
        <w:rPr>
          <w:rStyle w:val="14"/>
          <w:rFonts w:hint="eastAsia" w:ascii="仿宋_GB2312" w:hAnsi="仿宋_GB2312" w:eastAsia="仿宋_GB2312" w:cs="仿宋_GB2312"/>
          <w:b w:val="0"/>
          <w:bCs/>
          <w:sz w:val="32"/>
          <w:szCs w:val="32"/>
          <w:lang w:val="en-US" w:eastAsia="zh-CN"/>
        </w:rPr>
        <w:t>持平</w:t>
      </w:r>
      <w:r>
        <w:rPr>
          <w:rStyle w:val="14"/>
          <w:rFonts w:hint="eastAsia" w:ascii="仿宋" w:hAnsi="仿宋" w:eastAsia="仿宋"/>
          <w:b w:val="0"/>
          <w:bCs/>
          <w:sz w:val="32"/>
          <w:szCs w:val="32"/>
        </w:rPr>
        <w:t>。</w:t>
      </w:r>
    </w:p>
    <w:p>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Fonts w:hint="eastAsia" w:ascii="仿宋_GB2312" w:eastAsia="仿宋_GB2312"/>
          <w:b/>
          <w:bCs/>
          <w:color w:val="000000" w:themeColor="text1"/>
          <w:sz w:val="32"/>
          <w:szCs w:val="32"/>
          <w:lang w:eastAsia="zh-CN"/>
          <w14:textFill>
            <w14:solidFill>
              <w14:schemeClr w14:val="tx1"/>
            </w14:solidFill>
          </w14:textFill>
        </w:rPr>
        <w:t>卫生健康</w:t>
      </w:r>
      <w:r>
        <w:rPr>
          <w:rFonts w:hint="eastAsia" w:ascii="仿宋_GB2312" w:eastAsia="仿宋_GB2312"/>
          <w:b/>
          <w:bCs/>
          <w:color w:val="000000" w:themeColor="text1"/>
          <w:sz w:val="32"/>
          <w:szCs w:val="32"/>
          <w14:textFill>
            <w14:solidFill>
              <w14:schemeClr w14:val="tx1"/>
            </w14:solidFill>
          </w14:textFill>
        </w:rPr>
        <w:t>（</w:t>
      </w:r>
      <w:r>
        <w:rPr>
          <w:rFonts w:hint="eastAsia" w:eastAsia="仿宋_GB2312" w:asciiTheme="minorHAnsi" w:hAnsiTheme="minorHAnsi"/>
          <w:b/>
          <w:bCs/>
          <w:color w:val="000000" w:themeColor="text1"/>
          <w:sz w:val="32"/>
          <w:szCs w:val="32"/>
          <w14:textFill>
            <w14:solidFill>
              <w14:schemeClr w14:val="tx1"/>
            </w14:solidFill>
          </w14:textFill>
        </w:rPr>
        <w:t>类</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lang w:eastAsia="zh-CN"/>
          <w14:textFill>
            <w14:solidFill>
              <w14:schemeClr w14:val="tx1"/>
            </w14:solidFill>
          </w14:textFill>
        </w:rPr>
        <w:t>行政事业单位医疗</w:t>
      </w:r>
      <w:r>
        <w:rPr>
          <w:rFonts w:hint="eastAsia" w:ascii="仿宋_GB2312" w:eastAsia="仿宋_GB2312"/>
          <w:b/>
          <w:bCs/>
          <w:color w:val="000000" w:themeColor="text1"/>
          <w:sz w:val="32"/>
          <w:szCs w:val="32"/>
          <w14:textFill>
            <w14:solidFill>
              <w14:schemeClr w14:val="tx1"/>
            </w14:solidFill>
          </w14:textFill>
        </w:rPr>
        <w:t>（款）</w:t>
      </w:r>
      <w:r>
        <w:rPr>
          <w:rFonts w:hint="eastAsia" w:ascii="仿宋_GB2312" w:eastAsia="仿宋_GB2312"/>
          <w:b/>
          <w:bCs/>
          <w:color w:val="000000" w:themeColor="text1"/>
          <w:sz w:val="32"/>
          <w:szCs w:val="32"/>
          <w:lang w:eastAsia="zh-CN"/>
          <w14:textFill>
            <w14:solidFill>
              <w14:schemeClr w14:val="tx1"/>
            </w14:solidFill>
          </w14:textFill>
        </w:rPr>
        <w:t>行政单位医疗</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3.17</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101</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大于</w:t>
      </w:r>
      <w:r>
        <w:rPr>
          <w:rStyle w:val="14"/>
          <w:rFonts w:hint="eastAsia" w:ascii="仿宋_GB2312" w:hAnsi="仿宋_GB2312" w:eastAsia="仿宋_GB2312" w:cs="仿宋_GB2312"/>
          <w:b w:val="0"/>
          <w:bCs/>
          <w:sz w:val="32"/>
          <w:szCs w:val="32"/>
        </w:rPr>
        <w:t>预算数的主要原因是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r>
        <w:rPr>
          <w:rStyle w:val="14"/>
          <w:rFonts w:hint="eastAsia" w:ascii="仿宋" w:hAnsi="仿宋" w:eastAsia="仿宋"/>
          <w:b w:val="0"/>
          <w:bCs/>
          <w:sz w:val="32"/>
          <w:szCs w:val="32"/>
        </w:rPr>
        <w:t>。</w:t>
      </w:r>
    </w:p>
    <w:p>
      <w:pPr>
        <w:pStyle w:val="2"/>
        <w:ind w:firstLine="643" w:firstLineChars="200"/>
        <w:rPr>
          <w:rFonts w:hint="eastAsia" w:hAnsi="仿宋_GB2312" w:cs="仿宋_GB2312"/>
          <w:sz w:val="32"/>
          <w:szCs w:val="32"/>
          <w:lang w:val="en-US" w:eastAsia="zh-CN"/>
        </w:rPr>
      </w:pPr>
      <w:r>
        <w:rPr>
          <w:rFonts w:hint="eastAsia"/>
          <w:b/>
          <w:bCs/>
          <w:color w:val="000000" w:themeColor="text1"/>
          <w:sz w:val="32"/>
          <w:szCs w:val="32"/>
          <w:lang w:val="en-US" w:eastAsia="zh-CN"/>
          <w14:textFill>
            <w14:solidFill>
              <w14:schemeClr w14:val="tx1"/>
            </w14:solidFill>
          </w14:textFill>
        </w:rPr>
        <w:t>5、</w:t>
      </w:r>
      <w:r>
        <w:rPr>
          <w:rFonts w:hint="eastAsia" w:ascii="仿宋_GB2312" w:eastAsia="仿宋_GB2312"/>
          <w:b/>
          <w:bCs/>
          <w:color w:val="000000" w:themeColor="text1"/>
          <w:sz w:val="32"/>
          <w:szCs w:val="32"/>
          <w14:textFill>
            <w14:solidFill>
              <w14:schemeClr w14:val="tx1"/>
            </w14:solidFill>
          </w14:textFill>
        </w:rPr>
        <w:t>住房保障（类）住房改革支出（款）住房公积金（项）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rPr>
        <w:t>支出决算为</w:t>
      </w:r>
      <w:r>
        <w:rPr>
          <w:rStyle w:val="14"/>
          <w:rFonts w:hint="eastAsia" w:hAnsi="仿宋_GB2312" w:cs="仿宋_GB2312"/>
          <w:b w:val="0"/>
          <w:bCs/>
          <w:sz w:val="32"/>
          <w:szCs w:val="32"/>
          <w:lang w:val="en-US" w:eastAsia="zh-CN"/>
        </w:rPr>
        <w:t>11.27</w:t>
      </w:r>
      <w:r>
        <w:rPr>
          <w:rStyle w:val="14"/>
          <w:rFonts w:hint="eastAsia" w:ascii="仿宋_GB2312" w:hAnsi="仿宋_GB2312" w:eastAsia="仿宋_GB2312" w:cs="仿宋_GB2312"/>
          <w:b w:val="0"/>
          <w:bCs/>
          <w:sz w:val="32"/>
          <w:szCs w:val="32"/>
        </w:rPr>
        <w:t>万元，完成预算</w:t>
      </w:r>
      <w:r>
        <w:rPr>
          <w:rStyle w:val="14"/>
          <w:rFonts w:hint="eastAsia" w:ascii="仿宋_GB2312" w:hAnsi="仿宋_GB2312" w:eastAsia="仿宋_GB2312" w:cs="仿宋_GB2312"/>
          <w:b w:val="0"/>
          <w:bCs/>
          <w:sz w:val="32"/>
          <w:szCs w:val="32"/>
          <w:lang w:val="en-US" w:eastAsia="zh-CN"/>
        </w:rPr>
        <w:t>10</w:t>
      </w:r>
      <w:r>
        <w:rPr>
          <w:rStyle w:val="14"/>
          <w:rFonts w:hint="eastAsia" w:hAnsi="仿宋_GB2312" w:cs="仿宋_GB2312"/>
          <w:b w:val="0"/>
          <w:bCs/>
          <w:sz w:val="32"/>
          <w:szCs w:val="32"/>
          <w:lang w:val="en-US" w:eastAsia="zh-CN"/>
        </w:rPr>
        <w:t>1</w:t>
      </w:r>
      <w:r>
        <w:rPr>
          <w:rStyle w:val="14"/>
          <w:rFonts w:hint="eastAsia" w:ascii="仿宋_GB2312" w:hAnsi="仿宋_GB2312" w:eastAsia="仿宋_GB2312" w:cs="仿宋_GB2312"/>
          <w:b w:val="0"/>
          <w:bCs/>
          <w:sz w:val="32"/>
          <w:szCs w:val="32"/>
        </w:rPr>
        <w:t>%，决算数</w:t>
      </w:r>
      <w:r>
        <w:rPr>
          <w:rStyle w:val="14"/>
          <w:rFonts w:hint="eastAsia" w:ascii="仿宋_GB2312" w:hAnsi="仿宋_GB2312" w:eastAsia="仿宋_GB2312" w:cs="仿宋_GB2312"/>
          <w:b w:val="0"/>
          <w:bCs/>
          <w:sz w:val="32"/>
          <w:szCs w:val="32"/>
          <w:lang w:val="en-US" w:eastAsia="zh-CN"/>
        </w:rPr>
        <w:t>大于</w:t>
      </w:r>
      <w:r>
        <w:rPr>
          <w:rStyle w:val="14"/>
          <w:rFonts w:hint="eastAsia" w:ascii="仿宋_GB2312" w:hAnsi="仿宋_GB2312" w:eastAsia="仿宋_GB2312" w:cs="仿宋_GB2312"/>
          <w:b w:val="0"/>
          <w:bCs/>
          <w:sz w:val="32"/>
          <w:szCs w:val="32"/>
        </w:rPr>
        <w:t>预算数的主要原因是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r>
        <w:rPr>
          <w:rFonts w:hint="eastAsia" w:hAnsi="仿宋_GB2312" w:cs="仿宋_GB2312"/>
          <w:sz w:val="32"/>
          <w:szCs w:val="32"/>
          <w:lang w:val="en-US" w:eastAsia="zh-CN"/>
        </w:rPr>
        <w:t>。</w:t>
      </w:r>
    </w:p>
    <w:p>
      <w:pPr>
        <w:pStyle w:val="2"/>
        <w:ind w:firstLine="643" w:firstLineChars="200"/>
        <w:rPr>
          <w:rStyle w:val="14"/>
          <w:rFonts w:hint="eastAsia" w:ascii="仿宋_GB2312" w:hAnsi="仿宋_GB2312" w:eastAsia="仿宋_GB2312" w:cs="仿宋_GB2312"/>
          <w:b w:val="0"/>
          <w:bCs/>
          <w:sz w:val="32"/>
          <w:szCs w:val="32"/>
          <w:highlight w:val="none"/>
        </w:rPr>
      </w:pPr>
      <w:r>
        <w:rPr>
          <w:rFonts w:hint="eastAsia" w:ascii="仿宋_GB2312" w:eastAsia="仿宋_GB2312"/>
          <w:b/>
          <w:bCs/>
          <w:color w:val="000000" w:themeColor="text1"/>
          <w:sz w:val="32"/>
          <w:szCs w:val="32"/>
          <w:highlight w:val="none"/>
          <w:lang w:val="en-US" w:eastAsia="zh-CN"/>
          <w14:textFill>
            <w14:solidFill>
              <w14:schemeClr w14:val="tx1"/>
            </w14:solidFill>
          </w14:textFill>
        </w:rPr>
        <w:t>6.</w:t>
      </w:r>
      <w:r>
        <w:rPr>
          <w:rFonts w:hint="eastAsia" w:ascii="仿宋_GB2312" w:eastAsia="仿宋_GB2312"/>
          <w:b/>
          <w:bCs/>
          <w:color w:val="000000" w:themeColor="text1"/>
          <w:sz w:val="32"/>
          <w:szCs w:val="32"/>
          <w:highlight w:val="none"/>
          <w:lang w:eastAsia="zh-CN"/>
          <w14:textFill>
            <w14:solidFill>
              <w14:schemeClr w14:val="tx1"/>
            </w14:solidFill>
          </w14:textFill>
        </w:rPr>
        <w:t>灾害防治及应急管理</w:t>
      </w:r>
      <w:r>
        <w:rPr>
          <w:rFonts w:hint="eastAsia" w:ascii="仿宋_GB2312" w:eastAsia="仿宋_GB2312"/>
          <w:b/>
          <w:bCs/>
          <w:color w:val="000000" w:themeColor="text1"/>
          <w:sz w:val="32"/>
          <w:szCs w:val="32"/>
          <w:highlight w:val="none"/>
          <w14:textFill>
            <w14:solidFill>
              <w14:schemeClr w14:val="tx1"/>
            </w14:solidFill>
          </w14:textFill>
        </w:rPr>
        <w:t>（类）</w:t>
      </w:r>
      <w:r>
        <w:rPr>
          <w:rFonts w:hint="eastAsia" w:ascii="仿宋_GB2312" w:eastAsia="仿宋_GB2312"/>
          <w:b/>
          <w:bCs/>
          <w:color w:val="000000" w:themeColor="text1"/>
          <w:sz w:val="32"/>
          <w:szCs w:val="32"/>
          <w:highlight w:val="none"/>
          <w:lang w:eastAsia="zh-CN"/>
          <w14:textFill>
            <w14:solidFill>
              <w14:schemeClr w14:val="tx1"/>
            </w14:solidFill>
          </w14:textFill>
        </w:rPr>
        <w:t>地震事务</w:t>
      </w:r>
      <w:r>
        <w:rPr>
          <w:rFonts w:hint="eastAsia" w:ascii="仿宋_GB2312" w:eastAsia="仿宋_GB2312"/>
          <w:b/>
          <w:bCs/>
          <w:color w:val="000000" w:themeColor="text1"/>
          <w:sz w:val="32"/>
          <w:szCs w:val="32"/>
          <w:highlight w:val="none"/>
          <w14:textFill>
            <w14:solidFill>
              <w14:schemeClr w14:val="tx1"/>
            </w14:solidFill>
          </w14:textFill>
        </w:rPr>
        <w:t>（款）</w:t>
      </w:r>
      <w:r>
        <w:rPr>
          <w:rFonts w:hint="eastAsia" w:ascii="仿宋_GB2312" w:eastAsia="仿宋_GB2312"/>
          <w:b/>
          <w:bCs/>
          <w:color w:val="000000" w:themeColor="text1"/>
          <w:sz w:val="32"/>
          <w:szCs w:val="32"/>
          <w:highlight w:val="none"/>
          <w:lang w:eastAsia="zh-CN"/>
          <w14:textFill>
            <w14:solidFill>
              <w14:schemeClr w14:val="tx1"/>
            </w14:solidFill>
          </w14:textFill>
        </w:rPr>
        <w:t>行政运行</w:t>
      </w:r>
      <w:r>
        <w:rPr>
          <w:rFonts w:hint="eastAsia" w:ascii="仿宋_GB2312" w:eastAsia="仿宋_GB2312"/>
          <w:b/>
          <w:bCs/>
          <w:color w:val="000000" w:themeColor="text1"/>
          <w:sz w:val="32"/>
          <w:szCs w:val="32"/>
          <w:highlight w:val="none"/>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highlight w:val="none"/>
        </w:rPr>
        <w:t>支出决算为</w:t>
      </w:r>
      <w:r>
        <w:rPr>
          <w:rStyle w:val="14"/>
          <w:rFonts w:hint="eastAsia" w:hAnsi="仿宋_GB2312" w:cs="仿宋_GB2312"/>
          <w:b w:val="0"/>
          <w:bCs/>
          <w:sz w:val="32"/>
          <w:szCs w:val="32"/>
          <w:highlight w:val="none"/>
          <w:lang w:val="en-US" w:eastAsia="zh-CN"/>
        </w:rPr>
        <w:t>109.98</w:t>
      </w:r>
      <w:r>
        <w:rPr>
          <w:rStyle w:val="14"/>
          <w:rFonts w:hint="eastAsia" w:ascii="仿宋_GB2312" w:hAnsi="仿宋_GB2312" w:eastAsia="仿宋_GB2312" w:cs="仿宋_GB2312"/>
          <w:b w:val="0"/>
          <w:bCs/>
          <w:sz w:val="32"/>
          <w:szCs w:val="32"/>
          <w:highlight w:val="none"/>
        </w:rPr>
        <w:t>万元，完成预算</w:t>
      </w:r>
      <w:r>
        <w:rPr>
          <w:rStyle w:val="14"/>
          <w:rFonts w:hint="eastAsia" w:ascii="仿宋_GB2312" w:hAnsi="仿宋_GB2312" w:eastAsia="仿宋_GB2312" w:cs="仿宋_GB2312"/>
          <w:b w:val="0"/>
          <w:bCs/>
          <w:sz w:val="32"/>
          <w:szCs w:val="32"/>
          <w:highlight w:val="none"/>
          <w:lang w:val="en-US" w:eastAsia="zh-CN"/>
        </w:rPr>
        <w:t>1</w:t>
      </w:r>
      <w:r>
        <w:rPr>
          <w:rStyle w:val="14"/>
          <w:rFonts w:hint="eastAsia" w:hAnsi="仿宋_GB2312" w:cs="仿宋_GB2312"/>
          <w:b w:val="0"/>
          <w:bCs/>
          <w:sz w:val="32"/>
          <w:szCs w:val="32"/>
          <w:highlight w:val="none"/>
          <w:lang w:val="en-US" w:eastAsia="zh-CN"/>
        </w:rPr>
        <w:t>55</w:t>
      </w:r>
      <w:r>
        <w:rPr>
          <w:rStyle w:val="14"/>
          <w:rFonts w:hint="eastAsia" w:ascii="仿宋_GB2312" w:hAnsi="仿宋_GB2312" w:eastAsia="仿宋_GB2312" w:cs="仿宋_GB2312"/>
          <w:b w:val="0"/>
          <w:bCs/>
          <w:sz w:val="32"/>
          <w:szCs w:val="32"/>
          <w:highlight w:val="none"/>
        </w:rPr>
        <w:t>%，决算数</w:t>
      </w:r>
      <w:r>
        <w:rPr>
          <w:rStyle w:val="14"/>
          <w:rFonts w:hint="eastAsia" w:ascii="仿宋_GB2312" w:hAnsi="仿宋_GB2312" w:eastAsia="仿宋_GB2312" w:cs="仿宋_GB2312"/>
          <w:b w:val="0"/>
          <w:bCs/>
          <w:sz w:val="32"/>
          <w:szCs w:val="32"/>
          <w:highlight w:val="none"/>
          <w:lang w:val="en-US" w:eastAsia="zh-CN"/>
        </w:rPr>
        <w:t>大于</w:t>
      </w:r>
      <w:r>
        <w:rPr>
          <w:rStyle w:val="14"/>
          <w:rFonts w:hint="eastAsia" w:ascii="仿宋_GB2312" w:hAnsi="仿宋_GB2312" w:eastAsia="仿宋_GB2312" w:cs="仿宋_GB2312"/>
          <w:b w:val="0"/>
          <w:bCs/>
          <w:sz w:val="32"/>
          <w:szCs w:val="32"/>
          <w:highlight w:val="none"/>
        </w:rPr>
        <w:t>预算数的主要原因是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r>
        <w:rPr>
          <w:rStyle w:val="14"/>
          <w:rFonts w:hint="eastAsia" w:ascii="仿宋_GB2312" w:hAnsi="仿宋_GB2312" w:eastAsia="仿宋_GB2312" w:cs="仿宋_GB2312"/>
          <w:b w:val="0"/>
          <w:bCs/>
          <w:sz w:val="32"/>
          <w:szCs w:val="32"/>
          <w:highlight w:val="none"/>
        </w:rPr>
        <w:t>。</w:t>
      </w:r>
    </w:p>
    <w:p>
      <w:pPr>
        <w:pStyle w:val="2"/>
        <w:ind w:firstLine="643" w:firstLineChars="200"/>
        <w:rPr>
          <w:rFonts w:hint="eastAsia" w:hAnsi="仿宋_GB2312" w:cs="仿宋_GB2312"/>
          <w:sz w:val="32"/>
          <w:szCs w:val="32"/>
          <w:lang w:val="en-US" w:eastAsia="zh-CN"/>
        </w:rPr>
      </w:pPr>
      <w:r>
        <w:rPr>
          <w:rFonts w:hint="eastAsia" w:ascii="仿宋_GB2312" w:eastAsia="仿宋_GB2312"/>
          <w:b/>
          <w:bCs/>
          <w:color w:val="000000" w:themeColor="text1"/>
          <w:sz w:val="32"/>
          <w:szCs w:val="32"/>
          <w:lang w:val="en-US" w:eastAsia="zh-CN"/>
          <w14:textFill>
            <w14:solidFill>
              <w14:schemeClr w14:val="tx1"/>
            </w14:solidFill>
          </w14:textFill>
        </w:rPr>
        <w:t>7.</w:t>
      </w:r>
      <w:r>
        <w:rPr>
          <w:rFonts w:hint="eastAsia" w:ascii="仿宋_GB2312" w:eastAsia="仿宋_GB2312"/>
          <w:b/>
          <w:bCs/>
          <w:color w:val="000000" w:themeColor="text1"/>
          <w:sz w:val="32"/>
          <w:szCs w:val="32"/>
          <w:lang w:eastAsia="zh-CN"/>
          <w14:textFill>
            <w14:solidFill>
              <w14:schemeClr w14:val="tx1"/>
            </w14:solidFill>
          </w14:textFill>
        </w:rPr>
        <w:t>灾害防治及应急管理</w:t>
      </w:r>
      <w:r>
        <w:rPr>
          <w:rFonts w:hint="eastAsia" w:ascii="仿宋_GB2312" w:eastAsia="仿宋_GB2312"/>
          <w:b/>
          <w:bCs/>
          <w:color w:val="000000" w:themeColor="text1"/>
          <w:sz w:val="32"/>
          <w:szCs w:val="32"/>
          <w14:textFill>
            <w14:solidFill>
              <w14:schemeClr w14:val="tx1"/>
            </w14:solidFill>
          </w14:textFill>
        </w:rPr>
        <w:t>（类）</w:t>
      </w:r>
      <w:r>
        <w:rPr>
          <w:rFonts w:hint="eastAsia" w:ascii="仿宋_GB2312" w:eastAsia="仿宋_GB2312"/>
          <w:b/>
          <w:bCs/>
          <w:color w:val="000000" w:themeColor="text1"/>
          <w:sz w:val="32"/>
          <w:szCs w:val="32"/>
          <w:lang w:eastAsia="zh-CN"/>
          <w14:textFill>
            <w14:solidFill>
              <w14:schemeClr w14:val="tx1"/>
            </w14:solidFill>
          </w14:textFill>
        </w:rPr>
        <w:t>地震事务</w:t>
      </w:r>
      <w:r>
        <w:rPr>
          <w:rFonts w:hint="eastAsia" w:ascii="仿宋_GB2312" w:eastAsia="仿宋_GB2312"/>
          <w:b/>
          <w:bCs/>
          <w:color w:val="000000" w:themeColor="text1"/>
          <w:sz w:val="32"/>
          <w:szCs w:val="32"/>
          <w14:textFill>
            <w14:solidFill>
              <w14:schemeClr w14:val="tx1"/>
            </w14:solidFill>
          </w14:textFill>
        </w:rPr>
        <w:t>（款）</w:t>
      </w:r>
      <w:r>
        <w:rPr>
          <w:rFonts w:hint="eastAsia" w:ascii="仿宋_GB2312" w:eastAsia="仿宋_GB2312"/>
          <w:b/>
          <w:bCs/>
          <w:color w:val="000000" w:themeColor="text1"/>
          <w:sz w:val="32"/>
          <w:szCs w:val="32"/>
          <w:lang w:eastAsia="zh-CN"/>
          <w14:textFill>
            <w14:solidFill>
              <w14:schemeClr w14:val="tx1"/>
            </w14:solidFill>
          </w14:textFill>
        </w:rPr>
        <w:t>其他地震事务</w:t>
      </w:r>
      <w:r>
        <w:rPr>
          <w:rFonts w:hint="eastAsia" w:ascii="仿宋_GB2312" w:eastAsia="仿宋_GB2312"/>
          <w:b/>
          <w:bCs/>
          <w:color w:val="000000" w:themeColor="text1"/>
          <w:sz w:val="32"/>
          <w:szCs w:val="32"/>
          <w14:textFill>
            <w14:solidFill>
              <w14:schemeClr w14:val="tx1"/>
            </w14:solidFill>
          </w14:textFill>
        </w:rPr>
        <w:t>（项）</w:t>
      </w:r>
      <w:r>
        <w:rPr>
          <w:rFonts w:hint="eastAsia" w:ascii="仿宋_GB2312" w:hAnsi="Times New Roman" w:eastAsia="仿宋_GB2312" w:cs="Times New Roman"/>
          <w:b/>
          <w:bCs/>
          <w:color w:val="000000" w:themeColor="text1"/>
          <w:kern w:val="2"/>
          <w:sz w:val="32"/>
          <w:szCs w:val="32"/>
          <w:lang w:val="en-US" w:eastAsia="zh-CN" w:bidi="ar-SA"/>
          <w14:textFill>
            <w14:solidFill>
              <w14:schemeClr w14:val="tx1"/>
            </w14:solidFill>
          </w14:textFill>
        </w:rPr>
        <w:t>：</w:t>
      </w:r>
      <w:r>
        <w:rPr>
          <w:rStyle w:val="14"/>
          <w:rFonts w:hint="eastAsia" w:ascii="仿宋_GB2312" w:hAnsi="仿宋_GB2312" w:eastAsia="仿宋_GB2312" w:cs="仿宋_GB2312"/>
          <w:b w:val="0"/>
          <w:bCs/>
          <w:sz w:val="32"/>
          <w:szCs w:val="32"/>
        </w:rPr>
        <w:t>支出决算为</w:t>
      </w:r>
      <w:r>
        <w:rPr>
          <w:rStyle w:val="14"/>
          <w:rFonts w:hint="eastAsia" w:hAnsi="仿宋_GB2312" w:cs="仿宋_GB2312"/>
          <w:b w:val="0"/>
          <w:bCs/>
          <w:sz w:val="32"/>
          <w:szCs w:val="32"/>
          <w:lang w:val="en-US" w:eastAsia="zh-CN"/>
        </w:rPr>
        <w:t>0.35</w:t>
      </w:r>
      <w:r>
        <w:rPr>
          <w:rStyle w:val="14"/>
          <w:rFonts w:hint="eastAsia" w:ascii="仿宋_GB2312" w:hAnsi="仿宋_GB2312" w:eastAsia="仿宋_GB2312" w:cs="仿宋_GB2312"/>
          <w:b w:val="0"/>
          <w:bCs/>
          <w:sz w:val="32"/>
          <w:szCs w:val="32"/>
        </w:rPr>
        <w:t>万元，完成预算</w:t>
      </w:r>
      <w:r>
        <w:rPr>
          <w:rStyle w:val="14"/>
          <w:rFonts w:hint="eastAsia" w:hAnsi="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w:t>
      </w:r>
      <w:r>
        <w:rPr>
          <w:rStyle w:val="14"/>
          <w:rFonts w:hint="eastAsia" w:hAnsi="仿宋_GB2312" w:cs="仿宋_GB2312"/>
          <w:b w:val="0"/>
          <w:bCs/>
          <w:sz w:val="32"/>
          <w:szCs w:val="32"/>
          <w:lang w:val="en-US" w:eastAsia="zh-CN"/>
        </w:rPr>
        <w:t>。</w:t>
      </w:r>
    </w:p>
    <w:p>
      <w:pPr>
        <w:spacing w:line="600" w:lineRule="exact"/>
        <w:ind w:firstLine="640"/>
        <w:rPr>
          <w:rFonts w:ascii="仿宋" w:hAnsi="仿宋" w:eastAsia="仿宋"/>
          <w:b/>
          <w:sz w:val="32"/>
          <w:szCs w:val="32"/>
        </w:rPr>
      </w:pPr>
    </w:p>
    <w:p>
      <w:pPr>
        <w:pStyle w:val="2"/>
        <w:rPr>
          <w:rFonts w:ascii="仿宋" w:hAnsi="仿宋" w:eastAsia="仿宋"/>
          <w:b/>
          <w:sz w:val="32"/>
          <w:szCs w:val="32"/>
        </w:rPr>
      </w:pPr>
    </w:p>
    <w:p>
      <w:pPr>
        <w:tabs>
          <w:tab w:val="right" w:pos="8306"/>
        </w:tabs>
        <w:spacing w:line="600" w:lineRule="exact"/>
        <w:ind w:firstLine="640"/>
        <w:outlineLvl w:val="1"/>
        <w:rPr>
          <w:rStyle w:val="25"/>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5"/>
      <w:bookmarkEnd w:id="36"/>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22年一般公共预算财政拨款基本支出136.97万元，其中：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114.14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23.13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37" w:name="_Toc15396609"/>
      <w:bookmarkStart w:id="38"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2.99</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_GB2312" w:eastAsia="仿宋_GB2312"/>
          <w:sz w:val="32"/>
          <w:szCs w:val="32"/>
          <w:lang w:val="en-US" w:eastAsia="zh-CN"/>
        </w:rPr>
        <w:t>1.76</w:t>
      </w:r>
      <w:r>
        <w:rPr>
          <w:rFonts w:hint="eastAsia" w:ascii="仿宋" w:hAnsi="仿宋" w:eastAsia="仿宋"/>
          <w:sz w:val="32"/>
          <w:szCs w:val="32"/>
        </w:rPr>
        <w:t>万元，增长</w:t>
      </w:r>
      <w:r>
        <w:rPr>
          <w:rFonts w:hint="eastAsia" w:ascii="仿宋" w:hAnsi="仿宋" w:eastAsia="仿宋"/>
          <w:sz w:val="32"/>
          <w:szCs w:val="32"/>
          <w:lang w:val="en-US" w:eastAsia="zh-CN"/>
        </w:rPr>
        <w:t>143.1</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2.99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hint="eastAsia" w:ascii="仿宋" w:hAnsi="仿宋" w:eastAsia="仿宋"/>
          <w:sz w:val="32"/>
          <w:szCs w:val="32"/>
        </w:rPr>
      </w:pP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71770" cy="3568700"/>
            <wp:effectExtent l="0" t="0" r="5080" b="12700"/>
            <wp:docPr id="7" name="图片 7" descr="170141210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1412106669"/>
                    <pic:cNvPicPr>
                      <a:picLocks noChangeAspect="1"/>
                    </pic:cNvPicPr>
                  </pic:nvPicPr>
                  <pic:blipFill>
                    <a:blip r:embed="rId16"/>
                    <a:stretch>
                      <a:fillRect/>
                    </a:stretch>
                  </pic:blipFill>
                  <pic:spPr>
                    <a:xfrm>
                      <a:off x="0" y="0"/>
                      <a:ext cx="5271770" cy="3568700"/>
                    </a:xfrm>
                    <a:prstGeom prst="rect">
                      <a:avLst/>
                    </a:prstGeom>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2.99</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1.75</w:t>
      </w:r>
      <w:r>
        <w:rPr>
          <w:rFonts w:hint="eastAsia" w:ascii="仿宋_GB2312" w:eastAsia="仿宋_GB2312"/>
          <w:sz w:val="32"/>
          <w:szCs w:val="32"/>
        </w:rPr>
        <w:t>万元，增长</w:t>
      </w:r>
      <w:r>
        <w:rPr>
          <w:rFonts w:hint="eastAsia" w:ascii="仿宋_GB2312" w:eastAsia="仿宋_GB2312"/>
          <w:sz w:val="32"/>
          <w:szCs w:val="32"/>
          <w:lang w:val="en-US" w:eastAsia="zh-CN"/>
        </w:rPr>
        <w:t>141.1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车辆维修</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2.99</w:t>
      </w:r>
      <w:r>
        <w:rPr>
          <w:rFonts w:hint="eastAsia" w:ascii="仿宋_GB2312" w:eastAsia="仿宋_GB2312"/>
          <w:sz w:val="32"/>
          <w:szCs w:val="32"/>
        </w:rPr>
        <w:t>万元。主要用于组织对</w:t>
      </w:r>
      <w:r>
        <w:rPr>
          <w:rFonts w:hint="eastAsia" w:ascii="仿宋_GB2312" w:eastAsia="仿宋_GB2312"/>
          <w:sz w:val="32"/>
          <w:szCs w:val="32"/>
          <w:lang w:val="en-US" w:eastAsia="zh-CN"/>
        </w:rPr>
        <w:t>地震监测台网运行</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1" w:name="_Toc15377218"/>
      <w:bookmarkStart w:id="42"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5</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3" w:name="_Toc15377219"/>
      <w:bookmarkStart w:id="44" w:name="_Toc15396611"/>
      <w:r>
        <w:rPr>
          <w:rStyle w:val="25"/>
          <w:rFonts w:hint="eastAsia" w:ascii="黑体" w:hAnsi="黑体" w:eastAsia="黑体"/>
          <w:b w:val="0"/>
        </w:rPr>
        <w:t>国有资本经营预算支出决算情况说明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5" w:name="_Toc15377221"/>
      <w:bookmarkStart w:id="46" w:name="_Toc15396612"/>
      <w:r>
        <w:rPr>
          <w:rStyle w:val="25"/>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峨眉山市防震减灾服务中心</w:t>
      </w:r>
      <w:r>
        <w:rPr>
          <w:rFonts w:hint="eastAsia" w:ascii="仿宋_GB2312" w:eastAsia="仿宋_GB2312"/>
          <w:sz w:val="32"/>
          <w:szCs w:val="32"/>
        </w:rPr>
        <w:t>机关运行经费支出109.98万元，比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41.69</w:t>
      </w:r>
      <w:r>
        <w:rPr>
          <w:rFonts w:hint="eastAsia" w:ascii="仿宋_GB2312" w:eastAsia="仿宋_GB2312"/>
          <w:sz w:val="32"/>
          <w:szCs w:val="32"/>
        </w:rPr>
        <w:t>万元，增长</w:t>
      </w:r>
      <w:r>
        <w:rPr>
          <w:rFonts w:hint="eastAsia" w:ascii="仿宋_GB2312" w:eastAsia="仿宋_GB2312"/>
          <w:sz w:val="32"/>
          <w:szCs w:val="32"/>
          <w:lang w:val="en-US" w:eastAsia="zh-CN"/>
        </w:rPr>
        <w:t>61.0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员工职级调整和</w:t>
      </w:r>
      <w:r>
        <w:rPr>
          <w:rStyle w:val="14"/>
          <w:rFonts w:hint="eastAsia" w:ascii="仿宋_GB2312" w:hAnsi="仿宋_GB2312" w:eastAsia="仿宋_GB2312" w:cs="仿宋_GB2312"/>
          <w:b w:val="0"/>
          <w:bCs/>
          <w:sz w:val="32"/>
          <w:szCs w:val="32"/>
          <w:highlight w:val="none"/>
          <w:lang w:val="en-US" w:eastAsia="zh-CN"/>
        </w:rPr>
        <w:t>2022年新</w:t>
      </w:r>
      <w:r>
        <w:rPr>
          <w:rFonts w:hint="eastAsia" w:ascii="仿宋_GB2312" w:hAnsi="仿宋_GB2312" w:eastAsia="仿宋_GB2312" w:cs="仿宋_GB2312"/>
          <w:sz w:val="32"/>
          <w:szCs w:val="32"/>
          <w:highlight w:val="none"/>
          <w:lang w:val="en-US" w:eastAsia="zh-CN"/>
        </w:rPr>
        <w:t>进1名工作人员。</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年12月31日，共有车辆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车辆</w:t>
      </w:r>
      <w:r>
        <w:rPr>
          <w:rFonts w:hint="eastAsia" w:ascii="仿宋_GB2312" w:hAnsi="仿宋_GB2312" w:eastAsia="仿宋_GB2312" w:cs="仿宋_GB2312"/>
          <w:sz w:val="32"/>
          <w:szCs w:val="32"/>
        </w:rPr>
        <w:t>主要是用于</w:t>
      </w:r>
      <w:r>
        <w:rPr>
          <w:rFonts w:hint="eastAsia" w:ascii="仿宋_GB2312" w:hAnsi="仿宋_GB2312" w:eastAsia="仿宋_GB2312" w:cs="仿宋_GB2312"/>
          <w:sz w:val="32"/>
          <w:szCs w:val="32"/>
          <w:lang w:val="en-US" w:eastAsia="zh-CN"/>
        </w:rPr>
        <w:t>地震监测台站及宏观观测点巡查、科普宣传、地震演练等</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地震监测台网运行及防震减灾教育宣传经费</w:t>
      </w:r>
      <w:r>
        <w:rPr>
          <w:rFonts w:hint="eastAsia" w:hAnsi="仿宋_GB2312" w:cs="仿宋_GB2312"/>
          <w:sz w:val="32"/>
          <w:szCs w:val="32"/>
        </w:rPr>
        <w:t>等</w:t>
      </w:r>
      <w:r>
        <w:rPr>
          <w:rFonts w:hint="eastAsia" w:hAnsi="仿宋_GB2312" w:cs="仿宋_GB2312"/>
          <w:sz w:val="32"/>
          <w:szCs w:val="32"/>
          <w:lang w:val="en-US" w:eastAsia="zh-CN"/>
        </w:rPr>
        <w:t>1</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w:t>
      </w:r>
      <w:r>
        <w:rPr>
          <w:rFonts w:hint="eastAsia" w:hAnsi="仿宋_GB2312" w:cs="仿宋_GB2312"/>
          <w:sz w:val="32"/>
          <w:szCs w:val="32"/>
        </w:rPr>
        <w:t>个项目开展绩效监控，组织对</w:t>
      </w:r>
      <w:r>
        <w:rPr>
          <w:rFonts w:hint="eastAsia" w:hAnsi="仿宋_GB2312" w:cs="仿宋_GB2312"/>
          <w:sz w:val="32"/>
          <w:szCs w:val="32"/>
          <w:lang w:val="en-US" w:eastAsia="zh-CN"/>
        </w:rPr>
        <w:t>1</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0" w:name="_Toc15377225"/>
      <w:bookmarkStart w:id="51" w:name="_Toc15396613"/>
      <w:r>
        <w:rPr>
          <w:rFonts w:hint="eastAsia" w:ascii="黑体" w:hAnsi="黑体" w:eastAsia="黑体"/>
          <w:sz w:val="44"/>
          <w:szCs w:val="44"/>
        </w:rPr>
        <w:t>名</w:t>
      </w:r>
      <w:r>
        <w:rPr>
          <w:rStyle w:val="24"/>
          <w:rFonts w:hint="eastAsia" w:ascii="黑体" w:hAnsi="黑体" w:eastAsia="黑体"/>
          <w:b w:val="0"/>
        </w:rPr>
        <w:t>词解释</w:t>
      </w:r>
      <w:bookmarkEnd w:id="50"/>
      <w:bookmarkEnd w:id="51"/>
    </w:p>
    <w:p>
      <w:pPr>
        <w:spacing w:line="600" w:lineRule="exact"/>
        <w:jc w:val="left"/>
        <w:rPr>
          <w:rFonts w:ascii="宋体"/>
          <w:b/>
          <w:sz w:val="44"/>
          <w:szCs w:val="44"/>
        </w:rPr>
      </w:pPr>
    </w:p>
    <w:p>
      <w:pPr>
        <w:pStyle w:val="22"/>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2"/>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2"/>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 xml:space="preserve"> </w:t>
      </w:r>
    </w:p>
    <w:p>
      <w:pPr>
        <w:pStyle w:val="22"/>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使用非财政拨款结余：指事业单位使用以前年度积累的非财政拨款结余弥补当年收支差额的金额。</w:t>
      </w:r>
      <w:r>
        <w:rPr>
          <w:rFonts w:hAnsi="仿宋"/>
          <w:color w:val="auto"/>
          <w:sz w:val="32"/>
          <w:szCs w:val="32"/>
        </w:rPr>
        <w:t xml:space="preserve"> </w:t>
      </w:r>
    </w:p>
    <w:p>
      <w:pPr>
        <w:pStyle w:val="22"/>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pPr>
        <w:pStyle w:val="22"/>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.年末结转和结余：指单位按有关规定结转到下年或以后年度继续使用的资金。</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_GB2312" w:hAnsi="Calibri" w:eastAsia="仿宋_GB2312" w:cs="仿宋"/>
          <w:color w:val="000000"/>
          <w:kern w:val="0"/>
          <w:sz w:val="32"/>
          <w:szCs w:val="32"/>
        </w:rPr>
        <w:t xml:space="preserve"> </w:t>
      </w:r>
      <w:r>
        <w:rPr>
          <w:rFonts w:hint="eastAsia" w:ascii="仿宋" w:hAnsi="仿宋" w:eastAsia="仿宋"/>
          <w:sz w:val="32"/>
          <w:szCs w:val="32"/>
        </w:rPr>
        <w:t>社会保障和就业（类）行政事业单位养老支出（款）机关事业单位基本养老保险缴费支出（项）：是指反映机关事业单位实施养老保险制度由单位缴纳的基本养老保险支出。</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.社会保障和就业（类）行政事业单位养老支出（款）机关事业单位职业年金缴费支出（项）：是指反映机关事业单位实施养老保险制度由单位缴纳的职业年金支出。</w:t>
      </w:r>
    </w:p>
    <w:p>
      <w:pPr>
        <w:pStyle w:val="2"/>
        <w:spacing w:before="93"/>
        <w:ind w:firstLine="640" w:firstLineChars="200"/>
      </w:pPr>
      <w:r>
        <w:rPr>
          <w:rFonts w:ascii="仿宋" w:hAnsi="仿宋" w:eastAsia="仿宋"/>
          <w:sz w:val="32"/>
          <w:szCs w:val="32"/>
        </w:rPr>
        <w:t>10.</w:t>
      </w:r>
      <w:r>
        <w:rPr>
          <w:rFonts w:hint="eastAsia" w:ascii="仿宋" w:hAnsi="仿宋" w:eastAsia="仿宋"/>
          <w:sz w:val="32"/>
          <w:szCs w:val="32"/>
        </w:rPr>
        <w:t>社会保障和就业（类）抚恤（款）死亡抚恤（项）:反映按规定用于烈士和牺牲、病故人员家属的一次性和定期抚恤金、丧葬补助费以及烈士褒扬金。</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.社会保障和就业（类）抚恤（款）其他优抚支出（项）:反映除上述项目以外其他用于优抚方面的支出，包括向优抚对象发放的价格临时补贴等支出。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w:t>
      </w:r>
      <w:r>
        <w:rPr>
          <w:rFonts w:hint="eastAsia" w:ascii="仿宋" w:hAnsi="仿宋" w:eastAsia="仿宋"/>
          <w:sz w:val="32"/>
          <w:szCs w:val="32"/>
        </w:rPr>
        <w:t>社会保障和就业（类）其他社会保障和就业支出（款）其他社会保障和就业支出（项）:是指反映除上述项目以外其他用于社会保障和就业方面的支出。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3.</w:t>
      </w:r>
      <w:r>
        <w:rPr>
          <w:rFonts w:hint="eastAsia" w:ascii="仿宋" w:hAnsi="仿宋" w:eastAsia="仿宋"/>
          <w:sz w:val="32"/>
          <w:szCs w:val="32"/>
        </w:rPr>
        <w:t>卫生健康（类）行政事业单位医疗（款）行政单位医疗（项）:是指反映财政部门集中安排的行政单位基本医疗保险缴费经费，未参加医疗保险的行政单位的公费医疗经费，按国家规定享受离退休人员、红军老战士待遇人员的医疗经费。</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4.</w:t>
      </w:r>
      <w:r>
        <w:rPr>
          <w:rFonts w:hint="eastAsia" w:ascii="仿宋" w:hAnsi="仿宋" w:eastAsia="仿宋"/>
          <w:sz w:val="32"/>
          <w:szCs w:val="32"/>
        </w:rPr>
        <w:t>卫生健康（类）行政事业单位医疗（款）事业单位医疗（项）:</w:t>
      </w:r>
      <w:r>
        <w:rPr>
          <w:rFonts w:ascii="仿宋" w:hAnsi="仿宋" w:eastAsia="仿宋"/>
          <w:sz w:val="32"/>
          <w:szCs w:val="32"/>
        </w:rPr>
        <w:t xml:space="preserve"> 反映财政部门安排的事业单位基本医疗保险缴费经费，未参加医疗保险的事业单位的公费医疗经费，按国家规定享受离休人员待遇的医疗经费</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城乡社区（类）国有土地使用权出让收入安排的支出（款）土地开发支出（项）:</w:t>
      </w:r>
      <w:r>
        <w:rPr>
          <w:rFonts w:ascii="仿宋" w:hAnsi="仿宋" w:eastAsia="仿宋"/>
          <w:sz w:val="32"/>
          <w:szCs w:val="32"/>
        </w:rPr>
        <w:t xml:space="preserve"> 反映</w:t>
      </w:r>
      <w:r>
        <w:rPr>
          <w:rFonts w:hint="eastAsia" w:ascii="仿宋" w:hAnsi="仿宋" w:eastAsia="仿宋"/>
          <w:sz w:val="32"/>
          <w:szCs w:val="32"/>
        </w:rPr>
        <w:t>新疆生产建设兵团和地方政府用于前期土地开发性支出以及与前期土地开发相关的费用等支出。</w:t>
      </w:r>
    </w:p>
    <w:p>
      <w:pPr>
        <w:ind w:firstLine="640" w:firstLineChars="200"/>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城乡社区（类）国有土地使用权出让收入安排的支出（款）其他国有土地使用权出让收入安排的支出（项）:</w:t>
      </w:r>
      <w:r>
        <w:rPr>
          <w:rFonts w:ascii="仿宋" w:hAnsi="仿宋" w:eastAsia="仿宋"/>
          <w:sz w:val="32"/>
          <w:szCs w:val="32"/>
        </w:rPr>
        <w:t xml:space="preserve"> 反映</w:t>
      </w:r>
      <w:r>
        <w:rPr>
          <w:rFonts w:hint="eastAsia" w:ascii="仿宋" w:hAnsi="仿宋" w:eastAsia="仿宋"/>
          <w:sz w:val="32"/>
          <w:szCs w:val="32"/>
        </w:rPr>
        <w:t>土地出让收入用于其他方面的支出。不包括市县级政府当年按规定用土地收入向中央和省级政府缴纳的新增建设用地土地有偿使用费的支出。</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7.</w:t>
      </w:r>
      <w:r>
        <w:rPr>
          <w:rFonts w:hint="eastAsia" w:ascii="仿宋" w:hAnsi="仿宋" w:eastAsia="仿宋"/>
          <w:sz w:val="32"/>
          <w:szCs w:val="32"/>
        </w:rPr>
        <w:t>住房保障支出（类）住房改革支出（款）住房公积金（项）:是指反映行政事业单位按人力资源和社会保障部、财政部规定的基本工资和津贴补贴以及规定比例为职工缴纳的住房公积金。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8.</w:t>
      </w:r>
      <w:r>
        <w:rPr>
          <w:rFonts w:hint="eastAsia" w:ascii="仿宋" w:hAnsi="仿宋" w:eastAsia="仿宋"/>
          <w:sz w:val="32"/>
          <w:szCs w:val="32"/>
        </w:rPr>
        <w:t>灾害防治及应急管理（类）应急管理事务（款）行政运行（项）:</w:t>
      </w:r>
      <w:r>
        <w:rPr>
          <w:rFonts w:ascii="仿宋" w:hAnsi="仿宋" w:eastAsia="仿宋"/>
          <w:sz w:val="32"/>
          <w:szCs w:val="32"/>
        </w:rPr>
        <w:t xml:space="preserve"> 反映</w:t>
      </w:r>
      <w:r>
        <w:rPr>
          <w:rFonts w:hint="eastAsia" w:ascii="仿宋" w:hAnsi="仿宋" w:eastAsia="仿宋"/>
          <w:sz w:val="32"/>
          <w:szCs w:val="32"/>
        </w:rPr>
        <w:t>应急管理</w:t>
      </w:r>
      <w:r>
        <w:rPr>
          <w:rFonts w:ascii="仿宋" w:hAnsi="仿宋" w:eastAsia="仿宋"/>
          <w:sz w:val="32"/>
          <w:szCs w:val="32"/>
        </w:rPr>
        <w:t>行政单位（包括实行公务员管理的事业单位）的基本支出。</w:t>
      </w:r>
    </w:p>
    <w:p>
      <w:pPr>
        <w:ind w:firstLine="640" w:firstLineChars="200"/>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灾害防治及应急管理（类）应急管理事务（款）应急救援（项）:</w:t>
      </w:r>
      <w:r>
        <w:rPr>
          <w:rFonts w:ascii="仿宋" w:hAnsi="仿宋" w:eastAsia="仿宋"/>
          <w:sz w:val="32"/>
          <w:szCs w:val="32"/>
        </w:rPr>
        <w:t xml:space="preserve"> 反映</w:t>
      </w:r>
      <w:r>
        <w:rPr>
          <w:rFonts w:hint="eastAsia" w:ascii="仿宋" w:hAnsi="仿宋" w:eastAsia="仿宋"/>
          <w:sz w:val="32"/>
          <w:szCs w:val="32"/>
        </w:rPr>
        <w:t>安全生产、自然灾害应急救援方面的支出</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灾害防治及应急管理（类）应急管理事务（款）应急管理（项）:</w:t>
      </w:r>
      <w:r>
        <w:rPr>
          <w:rFonts w:ascii="仿宋" w:hAnsi="仿宋" w:eastAsia="仿宋"/>
          <w:sz w:val="32"/>
          <w:szCs w:val="32"/>
        </w:rPr>
        <w:t xml:space="preserve"> 反映</w:t>
      </w:r>
      <w:r>
        <w:rPr>
          <w:rFonts w:hint="eastAsia" w:ascii="仿宋" w:hAnsi="仿宋" w:eastAsia="仿宋"/>
          <w:sz w:val="32"/>
          <w:szCs w:val="32"/>
        </w:rPr>
        <w:t>用于应急管理的法律法规制定修订，应急预案演练、协调保障等方面的支出</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.灾害防治及应急管理（类）应急管理事务（款）事业运行（项）:</w:t>
      </w:r>
      <w:r>
        <w:rPr>
          <w:rFonts w:ascii="仿宋" w:hAnsi="仿宋" w:eastAsia="仿宋"/>
          <w:sz w:val="32"/>
          <w:szCs w:val="32"/>
        </w:rPr>
        <w:t xml:space="preserve"> 反映事业单位的基本支出，不包括行政单位（包括实行公务员管理的事业单位）后勤服务中心、医务室等附属事业单位。</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2</w:t>
      </w:r>
      <w:r>
        <w:rPr>
          <w:rFonts w:hint="eastAsia" w:ascii="仿宋" w:hAnsi="仿宋" w:eastAsia="仿宋"/>
          <w:sz w:val="32"/>
          <w:szCs w:val="32"/>
        </w:rPr>
        <w:t>.灾害防治及应急管理（类）应急管理事务（款）其他应急管理支出（项）:</w:t>
      </w:r>
      <w:r>
        <w:rPr>
          <w:rFonts w:ascii="仿宋" w:hAnsi="仿宋" w:eastAsia="仿宋"/>
          <w:sz w:val="32"/>
          <w:szCs w:val="32"/>
        </w:rPr>
        <w:t xml:space="preserve"> 反映除上述项目外的其他应急管理方面的支出。</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3</w:t>
      </w:r>
      <w:r>
        <w:rPr>
          <w:rFonts w:hint="eastAsia" w:ascii="仿宋" w:hAnsi="仿宋" w:eastAsia="仿宋"/>
          <w:sz w:val="32"/>
          <w:szCs w:val="32"/>
        </w:rPr>
        <w:t>.灾害防治及应急管理（类）自然灾害救灾及恢复重建支出（款）自然灾害救灾补助（项）:</w:t>
      </w:r>
      <w:r>
        <w:rPr>
          <w:rFonts w:ascii="仿宋" w:hAnsi="仿宋" w:eastAsia="仿宋"/>
          <w:sz w:val="32"/>
          <w:szCs w:val="32"/>
        </w:rPr>
        <w:t xml:space="preserve"> 反映</w:t>
      </w:r>
      <w:r>
        <w:rPr>
          <w:rFonts w:hint="eastAsia" w:ascii="仿宋" w:hAnsi="仿宋" w:eastAsia="仿宋"/>
          <w:sz w:val="32"/>
          <w:szCs w:val="32"/>
        </w:rPr>
        <w:t>用于应对重大自然灾害应急救援和受灾群众救助</w:t>
      </w:r>
      <w:r>
        <w:rPr>
          <w:rFonts w:ascii="仿宋" w:hAnsi="仿宋" w:eastAsia="仿宋"/>
          <w:sz w:val="32"/>
          <w:szCs w:val="32"/>
        </w:rPr>
        <w:t>的支出。</w:t>
      </w:r>
    </w:p>
    <w:p>
      <w:pPr>
        <w:ind w:firstLine="640" w:firstLineChars="200"/>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ascii="仿宋" w:hAnsi="仿宋" w:eastAsia="仿宋"/>
          <w:sz w:val="32"/>
          <w:szCs w:val="32"/>
        </w:rPr>
        <w:t>25.</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26.</w:t>
      </w:r>
      <w:r>
        <w:rPr>
          <w:rFonts w:hint="eastAsia" w:ascii="仿宋" w:hAnsi="仿宋" w:eastAsia="仿宋"/>
          <w:sz w:val="32"/>
          <w:szCs w:val="32"/>
        </w:rPr>
        <w:t>经营支出：指事业单位在专业业务活动及其辅助活动之外开展非独立核算经营活动发生的支出。</w:t>
      </w:r>
    </w:p>
    <w:p>
      <w:pPr>
        <w:pStyle w:val="22"/>
        <w:spacing w:line="560" w:lineRule="exact"/>
        <w:ind w:firstLine="640" w:firstLineChars="200"/>
        <w:rPr>
          <w:rFonts w:hAnsi="仿宋"/>
          <w:color w:val="auto"/>
          <w:sz w:val="32"/>
          <w:szCs w:val="32"/>
        </w:rPr>
      </w:pPr>
      <w:r>
        <w:rPr>
          <w:rFonts w:hAnsi="仿宋"/>
          <w:color w:val="auto"/>
          <w:sz w:val="32"/>
          <w:szCs w:val="32"/>
        </w:rPr>
        <w:t>27.</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Ansi="仿宋"/>
          <w:color w:val="auto"/>
          <w:sz w:val="32"/>
          <w:szCs w:val="32"/>
        </w:rPr>
      </w:pPr>
      <w:r>
        <w:rPr>
          <w:rFonts w:hAnsi="仿宋"/>
          <w:color w:val="auto"/>
          <w:sz w:val="32"/>
          <w:szCs w:val="32"/>
        </w:rPr>
        <w:t>28.</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p>
    <w:p>
      <w:pPr>
        <w:spacing w:line="600" w:lineRule="exact"/>
        <w:jc w:val="center"/>
        <w:outlineLvl w:val="0"/>
        <w:rPr>
          <w:rFonts w:ascii="宋体"/>
          <w:b/>
          <w:sz w:val="44"/>
          <w:szCs w:val="44"/>
        </w:rPr>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pPr>
      <w:bookmarkStart w:id="52" w:name="_Toc15377226"/>
      <w:r>
        <w:rPr>
          <w:rFonts w:ascii="宋体"/>
          <w:b/>
          <w:sz w:val="44"/>
          <w:szCs w:val="44"/>
        </w:rPr>
        <w:br w:type="page"/>
      </w:r>
      <w:bookmarkStart w:id="53" w:name="_Toc15396614"/>
    </w:p>
    <w:p>
      <w:pPr>
        <w:spacing w:line="600" w:lineRule="exact"/>
        <w:jc w:val="center"/>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bookmarkEnd w:id="53"/>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Ansi="Calibri" w:cs="仿宋"/>
          <w:sz w:val="32"/>
          <w:szCs w:val="32"/>
        </w:rPr>
      </w:pPr>
      <w:bookmarkStart w:id="54" w:name="_Toc15396618"/>
      <w:r>
        <w:rPr>
          <w:rFonts w:hint="eastAsia" w:ascii="宋体" w:hAnsi="宋体" w:cs="宋体"/>
          <w:kern w:val="0"/>
          <w:sz w:val="32"/>
          <w:szCs w:val="32"/>
        </w:rPr>
        <w:t>部门预算项目支出绩效自评表（2022年度）</w:t>
      </w:r>
    </w:p>
    <w:tbl>
      <w:tblPr>
        <w:tblStyle w:val="12"/>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6"/>
        <w:gridCol w:w="1770"/>
        <w:gridCol w:w="2257"/>
        <w:gridCol w:w="521"/>
        <w:gridCol w:w="1672"/>
        <w:gridCol w:w="521"/>
        <w:gridCol w:w="1090"/>
        <w:gridCol w:w="505"/>
        <w:gridCol w:w="486"/>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51118122T000006379170-地震监测台网运行及防震减灾教育宣传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应急管理局</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峨眉山市防震减灾服务中心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保障地震监测预警台站（点）正常运行，</w:t>
            </w:r>
            <w:r>
              <w:rPr>
                <w:rFonts w:hint="eastAsia" w:ascii="宋体" w:hAnsi="宋体" w:cs="宋体"/>
                <w:i w:val="0"/>
                <w:iCs w:val="0"/>
                <w:color w:val="000000"/>
                <w:sz w:val="18"/>
                <w:szCs w:val="18"/>
                <w:u w:val="none"/>
                <w:lang w:val="en-US" w:eastAsia="zh-CN"/>
              </w:rPr>
              <w:t>完成</w:t>
            </w:r>
            <w:r>
              <w:rPr>
                <w:rFonts w:hint="eastAsia" w:ascii="宋体" w:hAnsi="宋体" w:eastAsia="宋体" w:cs="宋体"/>
                <w:i w:val="0"/>
                <w:iCs w:val="0"/>
                <w:color w:val="000000"/>
                <w:sz w:val="18"/>
                <w:szCs w:val="18"/>
                <w:u w:val="none"/>
              </w:rPr>
              <w:t>防震减灾各项宣传</w:t>
            </w:r>
            <w:r>
              <w:rPr>
                <w:rFonts w:hint="eastAsia" w:ascii="宋体" w:hAnsi="宋体" w:cs="宋体"/>
                <w:i w:val="0"/>
                <w:iCs w:val="0"/>
                <w:color w:val="000000"/>
                <w:sz w:val="18"/>
                <w:szCs w:val="18"/>
                <w:u w:val="none"/>
                <w:lang w:eastAsia="zh-CN"/>
              </w:rPr>
              <w:t>。</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自评分100分，完成目标任务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保障地震监测预警台站（点）正常运行，做好防震减灾各项宣传</w:t>
            </w:r>
            <w:r>
              <w:rPr>
                <w:rFonts w:hint="eastAsia" w:ascii="宋体" w:hAnsi="宋体" w:cs="宋体"/>
                <w:i w:val="0"/>
                <w:iCs w:val="0"/>
                <w:color w:val="000000"/>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自评分100分，完成目标任务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项目负责人：王坤武</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财务负责人：田静</w:t>
            </w:r>
          </w:p>
        </w:tc>
      </w:tr>
    </w:tbl>
    <w:p>
      <w:pPr>
        <w:pStyle w:val="2"/>
        <w:spacing w:before="93"/>
        <w:rPr>
          <w:rFonts w:hAnsi="Calibri" w:cs="仿宋"/>
          <w:sz w:val="32"/>
          <w:szCs w:val="32"/>
        </w:rPr>
        <w:sectPr>
          <w:footerReference r:id="rId8" w:type="first"/>
          <w:footerReference r:id="rId7" w:type="default"/>
          <w:pgSz w:w="16838" w:h="11906" w:orient="landscape"/>
          <w:pgMar w:top="1803" w:right="1440" w:bottom="1803" w:left="1440" w:header="851" w:footer="992" w:gutter="0"/>
          <w:pgNumType w:fmt="decimal"/>
          <w:cols w:space="0" w:num="1"/>
          <w:titlePg/>
          <w:rtlGutter w:val="0"/>
          <w:docGrid w:type="lines" w:linePitch="319" w:charSpace="0"/>
        </w:sect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4"/>
      <w:bookmarkStart w:id="55"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5"/>
    </w:p>
    <w:p>
      <w:pPr>
        <w:pStyle w:val="4"/>
        <w:rPr>
          <w:rFonts w:ascii="仿宋" w:hAnsi="仿宋" w:eastAsia="仿宋"/>
        </w:rPr>
      </w:pPr>
      <w:bookmarkStart w:id="56" w:name="_Toc15396620"/>
      <w:r>
        <w:rPr>
          <w:rFonts w:hint="eastAsia" w:ascii="仿宋" w:hAnsi="仿宋" w:eastAsia="仿宋"/>
          <w:b w:val="0"/>
        </w:rPr>
        <w:t>二、收</w:t>
      </w:r>
      <w:r>
        <w:rPr>
          <w:rStyle w:val="25"/>
          <w:rFonts w:hint="eastAsia" w:ascii="仿宋" w:hAnsi="仿宋" w:eastAsia="仿宋"/>
          <w:b w:val="0"/>
          <w:bCs w:val="0"/>
        </w:rPr>
        <w:t>入决算表</w:t>
      </w:r>
      <w:bookmarkEnd w:id="56"/>
    </w:p>
    <w:p>
      <w:pPr>
        <w:pStyle w:val="4"/>
        <w:rPr>
          <w:rFonts w:ascii="仿宋" w:hAnsi="仿宋" w:eastAsia="仿宋"/>
        </w:rPr>
      </w:pPr>
      <w:bookmarkStart w:id="57"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7"/>
    </w:p>
    <w:p>
      <w:pPr>
        <w:pStyle w:val="4"/>
        <w:rPr>
          <w:rFonts w:ascii="仿宋" w:hAnsi="仿宋" w:eastAsia="仿宋"/>
          <w:b w:val="0"/>
        </w:rPr>
      </w:pPr>
      <w:bookmarkStart w:id="5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8"/>
    </w:p>
    <w:p>
      <w:pPr>
        <w:pStyle w:val="4"/>
        <w:rPr>
          <w:rStyle w:val="25"/>
          <w:rFonts w:ascii="仿宋" w:hAnsi="仿宋" w:eastAsia="仿宋"/>
          <w:b w:val="0"/>
          <w:bCs w:val="0"/>
        </w:rPr>
      </w:pPr>
      <w:bookmarkStart w:id="59"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9"/>
      <w:bookmarkStart w:id="60"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0"/>
    </w:p>
    <w:p>
      <w:pPr>
        <w:pStyle w:val="4"/>
        <w:rPr>
          <w:rFonts w:ascii="仿宋" w:hAnsi="仿宋" w:eastAsia="仿宋"/>
        </w:rPr>
      </w:pPr>
      <w:bookmarkStart w:id="61"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1"/>
    </w:p>
    <w:p>
      <w:pPr>
        <w:pStyle w:val="4"/>
        <w:rPr>
          <w:rFonts w:ascii="仿宋" w:hAnsi="仿宋" w:eastAsia="仿宋"/>
        </w:rPr>
      </w:pPr>
      <w:bookmarkStart w:id="62"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2"/>
    </w:p>
    <w:p>
      <w:pPr>
        <w:pStyle w:val="4"/>
        <w:rPr>
          <w:rFonts w:ascii="仿宋" w:hAnsi="仿宋" w:eastAsia="仿宋"/>
        </w:rPr>
      </w:pPr>
      <w:bookmarkStart w:id="63"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3"/>
    </w:p>
    <w:p>
      <w:pPr>
        <w:pStyle w:val="4"/>
        <w:rPr>
          <w:rFonts w:ascii="仿宋" w:hAnsi="仿宋" w:eastAsia="仿宋"/>
        </w:rPr>
      </w:pPr>
      <w:bookmarkStart w:id="64" w:name="_Toc15396628"/>
      <w:r>
        <w:rPr>
          <w:rStyle w:val="25"/>
          <w:rFonts w:hint="eastAsia" w:ascii="仿宋" w:hAnsi="仿宋" w:eastAsia="仿宋"/>
          <w:b w:val="0"/>
          <w:bCs w:val="0"/>
        </w:rPr>
        <w:t>十、</w:t>
      </w:r>
      <w:bookmarkEnd w:id="64"/>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5" w:name="_Toc15396629"/>
      <w:r>
        <w:rPr>
          <w:rStyle w:val="25"/>
          <w:rFonts w:hint="eastAsia" w:ascii="仿宋" w:hAnsi="仿宋" w:eastAsia="仿宋"/>
          <w:b w:val="0"/>
          <w:bCs w:val="0"/>
        </w:rPr>
        <w:t>十一、</w:t>
      </w:r>
      <w:bookmarkEnd w:id="65"/>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6" w:name="_Toc15396630"/>
      <w:r>
        <w:rPr>
          <w:rStyle w:val="25"/>
          <w:rFonts w:hint="eastAsia" w:ascii="仿宋" w:hAnsi="仿宋" w:eastAsia="仿宋"/>
          <w:b w:val="0"/>
          <w:bCs w:val="0"/>
        </w:rPr>
        <w:t>十二、</w:t>
      </w:r>
      <w:bookmarkEnd w:id="66"/>
      <w:r>
        <w:rPr>
          <w:rStyle w:val="25"/>
          <w:rFonts w:hint="eastAsia" w:ascii="仿宋" w:hAnsi="仿宋" w:eastAsia="仿宋"/>
          <w:b w:val="0"/>
          <w:bCs w:val="0"/>
        </w:rPr>
        <w:t>国有资本经营预算财政拨款支出决算表</w:t>
      </w:r>
    </w:p>
    <w:p>
      <w:pPr>
        <w:pStyle w:val="4"/>
        <w:rPr>
          <w:rFonts w:eastAsia="仿宋"/>
        </w:rPr>
      </w:pPr>
      <w:bookmarkStart w:id="67" w:name="_Toc15396631"/>
      <w:r>
        <w:rPr>
          <w:rStyle w:val="25"/>
          <w:rFonts w:hint="eastAsia" w:ascii="仿宋" w:hAnsi="仿宋" w:eastAsia="仿宋"/>
          <w:b w:val="0"/>
          <w:bCs w:val="0"/>
        </w:rPr>
        <w:t>十三、</w:t>
      </w:r>
      <w:bookmarkEnd w:id="67"/>
      <w:r>
        <w:rPr>
          <w:rStyle w:val="25"/>
          <w:rFonts w:hint="eastAsia" w:ascii="仿宋" w:hAnsi="仿宋" w:eastAsia="仿宋"/>
          <w:b w:val="0"/>
          <w:bCs w:val="0"/>
        </w:rPr>
        <w:t>财政拨款“三公”经费支出决算表</w:t>
      </w:r>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eastAsia="宋体"/>
        <w:lang w:val="en-US" w:eastAsia="zh-CN"/>
      </w:rPr>
    </w:pP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OTk2YmYxYzdjNmJhNmJhZmJkZDQ1NDZhODExMWE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42746A4"/>
    <w:rsid w:val="053A62B5"/>
    <w:rsid w:val="061271F3"/>
    <w:rsid w:val="06B156A8"/>
    <w:rsid w:val="0A2032A3"/>
    <w:rsid w:val="0B8A37D8"/>
    <w:rsid w:val="0BB83141"/>
    <w:rsid w:val="0F421FF8"/>
    <w:rsid w:val="10C055FF"/>
    <w:rsid w:val="118107EC"/>
    <w:rsid w:val="11DD6519"/>
    <w:rsid w:val="16BB723D"/>
    <w:rsid w:val="18015F3F"/>
    <w:rsid w:val="1BE8440E"/>
    <w:rsid w:val="1D155CEE"/>
    <w:rsid w:val="1D92044B"/>
    <w:rsid w:val="20F57F95"/>
    <w:rsid w:val="240371BF"/>
    <w:rsid w:val="25711CC6"/>
    <w:rsid w:val="25C741E6"/>
    <w:rsid w:val="27842671"/>
    <w:rsid w:val="29FD04D3"/>
    <w:rsid w:val="2ABE7A3E"/>
    <w:rsid w:val="2CA234A8"/>
    <w:rsid w:val="2CBA0CD0"/>
    <w:rsid w:val="2EFA178C"/>
    <w:rsid w:val="30B46D73"/>
    <w:rsid w:val="319F7F4E"/>
    <w:rsid w:val="351E132B"/>
    <w:rsid w:val="35F4559A"/>
    <w:rsid w:val="37F81459"/>
    <w:rsid w:val="383D272C"/>
    <w:rsid w:val="39AE70AB"/>
    <w:rsid w:val="3C0C0783"/>
    <w:rsid w:val="3F9F3A96"/>
    <w:rsid w:val="413B6432"/>
    <w:rsid w:val="452A2846"/>
    <w:rsid w:val="48BF60AB"/>
    <w:rsid w:val="493C27E9"/>
    <w:rsid w:val="496D4B61"/>
    <w:rsid w:val="496F39ED"/>
    <w:rsid w:val="49FF41D3"/>
    <w:rsid w:val="4B8F0369"/>
    <w:rsid w:val="4BE068DB"/>
    <w:rsid w:val="4BF6002B"/>
    <w:rsid w:val="4CD034F5"/>
    <w:rsid w:val="4ECE2238"/>
    <w:rsid w:val="51DB4B86"/>
    <w:rsid w:val="55333C3E"/>
    <w:rsid w:val="5E525ACC"/>
    <w:rsid w:val="5FD04E88"/>
    <w:rsid w:val="64CA39A1"/>
    <w:rsid w:val="66C43904"/>
    <w:rsid w:val="69630ADE"/>
    <w:rsid w:val="6C4A05C8"/>
    <w:rsid w:val="6D3B1A89"/>
    <w:rsid w:val="71BF4EC2"/>
    <w:rsid w:val="72734D90"/>
    <w:rsid w:val="7412278C"/>
    <w:rsid w:val="76C13171"/>
    <w:rsid w:val="798854DD"/>
    <w:rsid w:val="79E7B28D"/>
    <w:rsid w:val="7A3834B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6129</Words>
  <Characters>6692</Characters>
  <Lines>71</Lines>
  <Paragraphs>20</Paragraphs>
  <TotalTime>0</TotalTime>
  <ScaleCrop>false</ScaleCrop>
  <LinksUpToDate>false</LinksUpToDate>
  <CharactersWithSpaces>6755</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鲤鱼仔</cp:lastModifiedBy>
  <cp:lastPrinted>2023-12-12T03:49:00Z</cp:lastPrinted>
  <dcterms:modified xsi:type="dcterms:W3CDTF">2023-12-14T02:24:47Z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316EC42EDDDA459BA74B9AC176F82E51_13</vt:lpwstr>
  </property>
</Properties>
</file>