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hint="eastAsia" w:ascii="方正小标宋简体" w:hAnsi="宋体" w:eastAsia="方正小标宋简体"/>
          <w:szCs w:val="21"/>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96597"/>
      <w:bookmarkStart w:id="2" w:name="_Toc15378441"/>
      <w:bookmarkStart w:id="3" w:name="_Toc15377193"/>
      <w:bookmarkStart w:id="4" w:name="_Toc15396475"/>
      <w:bookmarkStart w:id="5" w:name="_Toc15377425"/>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77194"/>
      <w:bookmarkStart w:id="7" w:name="_Toc15377426"/>
      <w:bookmarkStart w:id="8" w:name="_Toc15396598"/>
      <w:bookmarkStart w:id="9" w:name="_Toc15378442"/>
      <w:bookmarkStart w:id="10" w:name="_Toc15396476"/>
      <w:r>
        <w:rPr>
          <w:rFonts w:hint="eastAsia" w:ascii="方正小标宋简体" w:hAnsi="方正小标宋简体" w:eastAsia="方正小标宋简体" w:cs="方正小标宋简体"/>
          <w:sz w:val="72"/>
          <w:szCs w:val="72"/>
        </w:rPr>
        <w:t>四川省</w:t>
      </w:r>
      <w:bookmarkEnd w:id="0"/>
      <w:bookmarkStart w:id="11" w:name="_Toc15306268"/>
      <w:r>
        <w:rPr>
          <w:rFonts w:hint="eastAsia" w:ascii="方正小标宋简体" w:hAnsi="方正小标宋简体" w:eastAsia="方正小标宋简体" w:cs="方正小标宋简体"/>
          <w:sz w:val="72"/>
          <w:szCs w:val="72"/>
          <w:lang w:val="en-US" w:eastAsia="zh-CN"/>
        </w:rPr>
        <w:t>峨眉山市交通建设和运输中心</w:t>
      </w:r>
      <w:r>
        <w:rPr>
          <w:rFonts w:hint="eastAsia" w:ascii="方正小标宋简体" w:hAnsi="方正小标宋简体" w:eastAsia="方正小标宋简体" w:cs="方正小标宋简体"/>
          <w:sz w:val="72"/>
          <w:szCs w:val="72"/>
        </w:rPr>
        <w:t>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0"/>
        <w:rPr>
          <w:sz w:val="32"/>
          <w:szCs w:val="32"/>
        </w:rPr>
      </w:pPr>
      <w:r>
        <w:rPr>
          <w:rFonts w:hint="eastAsia"/>
          <w:sz w:val="32"/>
          <w:szCs w:val="32"/>
        </w:rPr>
        <w:t>公开时间：2023年1</w:t>
      </w:r>
      <w:r>
        <w:rPr>
          <w:rFonts w:hint="eastAsia"/>
          <w:sz w:val="32"/>
          <w:szCs w:val="32"/>
          <w:lang w:val="en-US" w:eastAsia="zh-CN"/>
        </w:rPr>
        <w:t>2</w:t>
      </w:r>
      <w:r>
        <w:rPr>
          <w:rFonts w:hint="eastAsia"/>
          <w:sz w:val="32"/>
          <w:szCs w:val="32"/>
        </w:rPr>
        <w:t>月</w:t>
      </w:r>
      <w:r>
        <w:rPr>
          <w:rFonts w:hint="eastAsia"/>
          <w:sz w:val="32"/>
          <w:szCs w:val="32"/>
          <w:lang w:val="en-US" w:eastAsia="zh-CN"/>
        </w:rPr>
        <w:t>12</w:t>
      </w:r>
      <w:r>
        <w:rPr>
          <w:rFonts w:hint="eastAsia"/>
          <w:sz w:val="32"/>
          <w:szCs w:val="32"/>
        </w:rPr>
        <w:t>日</w:t>
      </w:r>
    </w:p>
    <w:p>
      <w:pPr>
        <w:rPr>
          <w:rFonts w:ascii="仿宋" w:hAnsi="仿宋" w:eastAsia="仿宋"/>
          <w:sz w:val="32"/>
          <w:szCs w:val="32"/>
        </w:rPr>
      </w:pPr>
    </w:p>
    <w:p>
      <w:pPr>
        <w:pStyle w:val="10"/>
        <w:adjustRightInd w:val="0"/>
        <w:snapToGrid w:val="0"/>
        <w:spacing w:before="0" w:line="440" w:lineRule="exact"/>
        <w:jc w:val="left"/>
        <w:rPr>
          <w:rFonts w:cstheme="minorBidi"/>
          <w:b/>
          <w:sz w:val="32"/>
          <w:szCs w:val="32"/>
        </w:rPr>
      </w:pPr>
      <w:r>
        <w:rPr>
          <w:rFonts w:hint="eastAsia"/>
          <w:b/>
          <w:sz w:val="32"/>
          <w:szCs w:val="32"/>
        </w:rPr>
        <w:t>第一部分</w:t>
      </w:r>
      <w:r>
        <w:rPr>
          <w:b/>
          <w:sz w:val="32"/>
          <w:szCs w:val="32"/>
        </w:rPr>
        <w:t xml:space="preserve"> </w:t>
      </w:r>
      <w:r>
        <w:rPr>
          <w:rFonts w:hint="eastAsia"/>
          <w:b/>
          <w:sz w:val="32"/>
          <w:szCs w:val="32"/>
        </w:rPr>
        <w:t>单位概况</w:t>
      </w:r>
      <w:r>
        <w:rPr>
          <w:b/>
          <w:sz w:val="32"/>
          <w:szCs w:val="32"/>
        </w:rPr>
        <w:tab/>
      </w:r>
      <w:r>
        <w:rPr>
          <w:b/>
          <w:sz w:val="32"/>
          <w:szCs w:val="32"/>
        </w:rPr>
        <w:t>1</w:t>
      </w:r>
    </w:p>
    <w:p>
      <w:pPr>
        <w:pStyle w:val="11"/>
        <w:adjustRightInd w:val="0"/>
        <w:snapToGrid w:val="0"/>
        <w:spacing w:line="440" w:lineRule="exact"/>
        <w:jc w:val="left"/>
        <w:rPr>
          <w:rFonts w:ascii="仿宋" w:hAnsi="仿宋" w:eastAsia="仿宋"/>
          <w:sz w:val="32"/>
          <w:szCs w:val="32"/>
        </w:rPr>
      </w:pPr>
      <w:r>
        <w:rPr>
          <w:rFonts w:hint="eastAsia" w:ascii="仿宋" w:hAnsi="仿宋" w:eastAsia="仿宋"/>
          <w:sz w:val="32"/>
          <w:szCs w:val="32"/>
        </w:rPr>
        <w:t>一、主要职责</w:t>
      </w:r>
      <w:r>
        <w:rPr>
          <w:rFonts w:ascii="仿宋" w:hAnsi="仿宋" w:eastAsia="仿宋"/>
          <w:sz w:val="32"/>
          <w:szCs w:val="32"/>
        </w:rPr>
        <w:tab/>
      </w:r>
      <w:r>
        <w:rPr>
          <w:rFonts w:ascii="仿宋" w:hAnsi="仿宋" w:eastAsia="仿宋"/>
          <w:sz w:val="32"/>
          <w:szCs w:val="32"/>
        </w:rPr>
        <w:t>1</w:t>
      </w:r>
    </w:p>
    <w:p>
      <w:pPr>
        <w:pStyle w:val="11"/>
        <w:adjustRightInd w:val="0"/>
        <w:snapToGrid w:val="0"/>
        <w:spacing w:line="440" w:lineRule="exact"/>
        <w:jc w:val="left"/>
        <w:rPr>
          <w:rFonts w:ascii="仿宋" w:hAnsi="仿宋" w:eastAsia="仿宋"/>
          <w:sz w:val="32"/>
          <w:szCs w:val="32"/>
        </w:rPr>
      </w:pPr>
      <w:r>
        <w:rPr>
          <w:rFonts w:hint="eastAsia" w:ascii="仿宋" w:hAnsi="仿宋" w:eastAsia="仿宋"/>
          <w:sz w:val="32"/>
          <w:szCs w:val="32"/>
        </w:rPr>
        <w:t>二、机构设置</w:t>
      </w:r>
      <w:r>
        <w:rPr>
          <w:rFonts w:ascii="仿宋" w:hAnsi="仿宋" w:eastAsia="仿宋"/>
          <w:sz w:val="32"/>
          <w:szCs w:val="32"/>
        </w:rPr>
        <w:tab/>
      </w:r>
      <w:r>
        <w:rPr>
          <w:rFonts w:ascii="仿宋" w:hAnsi="仿宋" w:eastAsia="仿宋"/>
          <w:sz w:val="32"/>
          <w:szCs w:val="32"/>
        </w:rPr>
        <w:t>1</w:t>
      </w:r>
    </w:p>
    <w:p>
      <w:pPr>
        <w:pStyle w:val="10"/>
        <w:adjustRightInd w:val="0"/>
        <w:snapToGrid w:val="0"/>
        <w:spacing w:before="0" w:line="440" w:lineRule="exact"/>
        <w:jc w:val="left"/>
        <w:rPr>
          <w:b/>
          <w:sz w:val="32"/>
          <w:szCs w:val="32"/>
        </w:rPr>
      </w:pPr>
      <w:r>
        <w:rPr>
          <w:rFonts w:hint="eastAsia"/>
          <w:b/>
          <w:sz w:val="32"/>
          <w:szCs w:val="32"/>
        </w:rPr>
        <w:t>第二部分 2022年度单位决算情况说明</w:t>
      </w:r>
      <w:r>
        <w:rPr>
          <w:b/>
          <w:sz w:val="32"/>
          <w:szCs w:val="32"/>
        </w:rPr>
        <w:tab/>
      </w:r>
      <w:r>
        <w:rPr>
          <w:b/>
          <w:sz w:val="32"/>
          <w:szCs w:val="32"/>
        </w:rPr>
        <w:t>2</w:t>
      </w:r>
    </w:p>
    <w:p>
      <w:pPr>
        <w:pStyle w:val="11"/>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一、收入支出决算总体情况说明</w:t>
      </w:r>
      <w:r>
        <w:rPr>
          <w:rFonts w:ascii="仿宋" w:hAnsi="仿宋" w:eastAsia="仿宋"/>
          <w:sz w:val="32"/>
          <w:szCs w:val="32"/>
        </w:rPr>
        <w:tab/>
      </w:r>
      <w:r>
        <w:rPr>
          <w:rFonts w:ascii="仿宋" w:hAnsi="仿宋" w:eastAsia="仿宋"/>
          <w:sz w:val="32"/>
          <w:szCs w:val="32"/>
        </w:rPr>
        <w:t>2</w:t>
      </w:r>
    </w:p>
    <w:p>
      <w:pPr>
        <w:pStyle w:val="11"/>
        <w:adjustRightInd w:val="0"/>
        <w:snapToGrid w:val="0"/>
        <w:spacing w:line="440" w:lineRule="exact"/>
        <w:jc w:val="left"/>
        <w:rPr>
          <w:rFonts w:hint="eastAsia" w:ascii="仿宋" w:hAnsi="仿宋" w:eastAsia="仿宋" w:cstheme="minorBidi"/>
          <w:sz w:val="32"/>
          <w:szCs w:val="32"/>
          <w:lang w:eastAsia="zh-CN"/>
        </w:rPr>
      </w:pPr>
      <w:r>
        <w:rPr>
          <w:rFonts w:hint="eastAsia" w:ascii="仿宋" w:hAnsi="仿宋" w:eastAsia="仿宋"/>
          <w:sz w:val="32"/>
          <w:szCs w:val="32"/>
        </w:rPr>
        <w:t>二、收入决算情况说明</w:t>
      </w:r>
      <w:r>
        <w:rPr>
          <w:rFonts w:ascii="仿宋" w:hAnsi="仿宋" w:eastAsia="仿宋"/>
          <w:sz w:val="32"/>
          <w:szCs w:val="32"/>
        </w:rPr>
        <w:tab/>
      </w:r>
      <w:r>
        <w:rPr>
          <w:rFonts w:hint="eastAsia" w:ascii="仿宋" w:hAnsi="仿宋" w:eastAsia="仿宋"/>
          <w:sz w:val="32"/>
          <w:szCs w:val="32"/>
          <w:lang w:val="en-US" w:eastAsia="zh-CN"/>
        </w:rPr>
        <w:t>2</w:t>
      </w:r>
    </w:p>
    <w:p>
      <w:pPr>
        <w:pStyle w:val="11"/>
        <w:adjustRightInd w:val="0"/>
        <w:snapToGrid w:val="0"/>
        <w:spacing w:line="440" w:lineRule="exact"/>
        <w:jc w:val="left"/>
        <w:rPr>
          <w:rFonts w:hint="eastAsia" w:ascii="仿宋" w:hAnsi="仿宋" w:eastAsia="仿宋" w:cstheme="minorBidi"/>
          <w:sz w:val="32"/>
          <w:szCs w:val="32"/>
          <w:lang w:eastAsia="zh-CN"/>
        </w:rPr>
      </w:pPr>
      <w:r>
        <w:rPr>
          <w:rFonts w:hint="eastAsia" w:ascii="仿宋" w:hAnsi="仿宋" w:eastAsia="仿宋"/>
          <w:sz w:val="32"/>
          <w:szCs w:val="32"/>
        </w:rPr>
        <w:t>三、支出决算情况说明</w:t>
      </w:r>
      <w:r>
        <w:rPr>
          <w:rFonts w:ascii="仿宋" w:hAnsi="仿宋" w:eastAsia="仿宋"/>
          <w:sz w:val="32"/>
          <w:szCs w:val="32"/>
        </w:rPr>
        <w:tab/>
      </w:r>
      <w:r>
        <w:rPr>
          <w:rFonts w:hint="eastAsia" w:ascii="仿宋" w:hAnsi="仿宋" w:eastAsia="仿宋"/>
          <w:sz w:val="32"/>
          <w:szCs w:val="32"/>
          <w:lang w:val="en-US" w:eastAsia="zh-CN"/>
        </w:rPr>
        <w:t>3</w:t>
      </w:r>
    </w:p>
    <w:p>
      <w:pPr>
        <w:pStyle w:val="11"/>
        <w:adjustRightInd w:val="0"/>
        <w:snapToGrid w:val="0"/>
        <w:spacing w:line="440" w:lineRule="exact"/>
        <w:jc w:val="left"/>
        <w:rPr>
          <w:rFonts w:hint="eastAsia" w:ascii="仿宋" w:hAnsi="仿宋" w:eastAsia="仿宋" w:cstheme="minorBidi"/>
          <w:sz w:val="32"/>
          <w:szCs w:val="32"/>
          <w:lang w:eastAsia="zh-CN"/>
        </w:rPr>
      </w:pPr>
      <w:r>
        <w:rPr>
          <w:rFonts w:hint="eastAsia" w:ascii="仿宋" w:hAnsi="仿宋" w:eastAsia="仿宋"/>
          <w:sz w:val="32"/>
          <w:szCs w:val="32"/>
        </w:rPr>
        <w:t>四、财政拨款收入支出决算总体情况说明</w:t>
      </w:r>
      <w:r>
        <w:rPr>
          <w:rFonts w:ascii="仿宋" w:hAnsi="仿宋" w:eastAsia="仿宋"/>
          <w:sz w:val="32"/>
          <w:szCs w:val="32"/>
        </w:rPr>
        <w:tab/>
      </w:r>
      <w:r>
        <w:rPr>
          <w:rFonts w:hint="eastAsia" w:ascii="仿宋" w:hAnsi="仿宋" w:eastAsia="仿宋"/>
          <w:sz w:val="32"/>
          <w:szCs w:val="32"/>
          <w:lang w:val="en-US" w:eastAsia="zh-CN"/>
        </w:rPr>
        <w:t>4</w:t>
      </w:r>
    </w:p>
    <w:p>
      <w:pPr>
        <w:pStyle w:val="11"/>
        <w:adjustRightInd w:val="0"/>
        <w:snapToGrid w:val="0"/>
        <w:spacing w:line="440" w:lineRule="exact"/>
        <w:jc w:val="left"/>
        <w:rPr>
          <w:rFonts w:hint="eastAsia" w:ascii="仿宋" w:hAnsi="仿宋" w:eastAsia="仿宋" w:cstheme="minorBidi"/>
          <w:sz w:val="32"/>
          <w:szCs w:val="32"/>
          <w:lang w:eastAsia="zh-CN"/>
        </w:rPr>
      </w:pPr>
      <w:r>
        <w:rPr>
          <w:rFonts w:hint="eastAsia" w:ascii="仿宋" w:hAnsi="仿宋" w:eastAsia="仿宋"/>
          <w:sz w:val="32"/>
          <w:szCs w:val="32"/>
        </w:rPr>
        <w:t>五、一般公共预算财政拨款支出决算情况说明</w:t>
      </w:r>
      <w:r>
        <w:rPr>
          <w:rFonts w:ascii="仿宋" w:hAnsi="仿宋" w:eastAsia="仿宋"/>
          <w:sz w:val="32"/>
          <w:szCs w:val="32"/>
        </w:rPr>
        <w:tab/>
      </w:r>
      <w:r>
        <w:rPr>
          <w:rFonts w:hint="eastAsia" w:ascii="仿宋" w:hAnsi="仿宋" w:eastAsia="仿宋"/>
          <w:sz w:val="32"/>
          <w:szCs w:val="32"/>
          <w:lang w:val="en-US" w:eastAsia="zh-CN"/>
        </w:rPr>
        <w:t>5</w:t>
      </w:r>
    </w:p>
    <w:p>
      <w:pPr>
        <w:pStyle w:val="11"/>
        <w:adjustRightInd w:val="0"/>
        <w:snapToGrid w:val="0"/>
        <w:spacing w:line="440" w:lineRule="exact"/>
        <w:jc w:val="left"/>
        <w:rPr>
          <w:rFonts w:hint="eastAsia" w:ascii="仿宋" w:hAnsi="仿宋" w:eastAsia="仿宋" w:cstheme="minorBidi"/>
          <w:sz w:val="32"/>
          <w:szCs w:val="32"/>
          <w:lang w:eastAsia="zh-CN"/>
        </w:rPr>
      </w:pPr>
      <w:r>
        <w:rPr>
          <w:rFonts w:hint="eastAsia" w:ascii="仿宋" w:hAnsi="仿宋" w:eastAsia="仿宋"/>
          <w:sz w:val="32"/>
          <w:szCs w:val="32"/>
        </w:rPr>
        <w:t>六、一般公共预算财政拨款基本支出决算情况说明</w:t>
      </w:r>
      <w:r>
        <w:rPr>
          <w:rFonts w:ascii="仿宋" w:hAnsi="仿宋" w:eastAsia="仿宋"/>
          <w:sz w:val="32"/>
          <w:szCs w:val="32"/>
        </w:rPr>
        <w:tab/>
      </w:r>
      <w:r>
        <w:rPr>
          <w:rFonts w:hint="eastAsia" w:ascii="仿宋" w:hAnsi="仿宋" w:eastAsia="仿宋"/>
          <w:sz w:val="32"/>
          <w:szCs w:val="32"/>
          <w:lang w:val="en-US" w:eastAsia="zh-CN"/>
        </w:rPr>
        <w:t>9</w:t>
      </w:r>
    </w:p>
    <w:p>
      <w:pPr>
        <w:pStyle w:val="11"/>
        <w:adjustRightInd w:val="0"/>
        <w:snapToGrid w:val="0"/>
        <w:spacing w:line="440" w:lineRule="exact"/>
        <w:jc w:val="left"/>
        <w:rPr>
          <w:rFonts w:hint="eastAsia" w:ascii="仿宋" w:hAnsi="仿宋" w:eastAsia="仿宋" w:cstheme="minorBidi"/>
          <w:sz w:val="32"/>
          <w:szCs w:val="32"/>
          <w:lang w:eastAsia="zh-CN"/>
        </w:rPr>
      </w:pPr>
      <w:r>
        <w:rPr>
          <w:rFonts w:hint="eastAsia" w:ascii="仿宋" w:hAnsi="仿宋" w:eastAsia="仿宋"/>
          <w:sz w:val="32"/>
          <w:szCs w:val="32"/>
        </w:rPr>
        <w:t>七、财政拨款“三公”经费支出决算情况说明</w:t>
      </w:r>
      <w:r>
        <w:rPr>
          <w:rFonts w:ascii="仿宋" w:hAnsi="仿宋" w:eastAsia="仿宋"/>
          <w:sz w:val="32"/>
          <w:szCs w:val="32"/>
        </w:rPr>
        <w:tab/>
      </w:r>
      <w:r>
        <w:rPr>
          <w:rFonts w:hint="eastAsia" w:ascii="仿宋" w:hAnsi="仿宋" w:eastAsia="仿宋"/>
          <w:sz w:val="32"/>
          <w:szCs w:val="32"/>
          <w:lang w:val="en-US" w:eastAsia="zh-CN"/>
        </w:rPr>
        <w:t>9</w:t>
      </w:r>
    </w:p>
    <w:p>
      <w:pPr>
        <w:pStyle w:val="11"/>
        <w:adjustRightInd w:val="0"/>
        <w:snapToGrid w:val="0"/>
        <w:spacing w:line="440" w:lineRule="exact"/>
        <w:jc w:val="left"/>
        <w:rPr>
          <w:rFonts w:hint="eastAsia" w:ascii="仿宋" w:hAnsi="仿宋" w:eastAsia="仿宋" w:cstheme="minorBidi"/>
          <w:sz w:val="32"/>
          <w:szCs w:val="32"/>
          <w:lang w:eastAsia="zh-CN"/>
        </w:rPr>
      </w:pPr>
      <w:r>
        <w:rPr>
          <w:rFonts w:hint="eastAsia" w:ascii="仿宋" w:hAnsi="仿宋" w:eastAsia="仿宋"/>
          <w:sz w:val="32"/>
          <w:szCs w:val="32"/>
        </w:rPr>
        <w:t>八、政府性基金预算支出决算情况说明</w:t>
      </w:r>
      <w:r>
        <w:rPr>
          <w:rFonts w:ascii="仿宋" w:hAnsi="仿宋" w:eastAsia="仿宋"/>
          <w:sz w:val="32"/>
          <w:szCs w:val="32"/>
        </w:rPr>
        <w:tab/>
      </w:r>
      <w:r>
        <w:rPr>
          <w:rFonts w:ascii="仿宋" w:hAnsi="仿宋" w:eastAsia="仿宋"/>
          <w:sz w:val="32"/>
          <w:szCs w:val="32"/>
        </w:rPr>
        <w:t>1</w:t>
      </w:r>
      <w:r>
        <w:rPr>
          <w:rFonts w:hint="eastAsia" w:ascii="仿宋" w:hAnsi="仿宋" w:eastAsia="仿宋"/>
          <w:sz w:val="32"/>
          <w:szCs w:val="32"/>
          <w:lang w:val="en-US" w:eastAsia="zh-CN"/>
        </w:rPr>
        <w:t>1</w:t>
      </w:r>
    </w:p>
    <w:p>
      <w:pPr>
        <w:pStyle w:val="11"/>
        <w:adjustRightInd w:val="0"/>
        <w:snapToGrid w:val="0"/>
        <w:spacing w:line="440" w:lineRule="exact"/>
        <w:jc w:val="left"/>
        <w:rPr>
          <w:rFonts w:hint="eastAsia" w:ascii="仿宋" w:hAnsi="仿宋" w:eastAsia="仿宋"/>
          <w:sz w:val="32"/>
          <w:szCs w:val="32"/>
          <w:lang w:eastAsia="zh-CN"/>
        </w:rPr>
      </w:pPr>
      <w:r>
        <w:rPr>
          <w:rFonts w:hint="eastAsia" w:ascii="仿宋" w:hAnsi="仿宋" w:eastAsia="仿宋"/>
          <w:sz w:val="32"/>
          <w:szCs w:val="32"/>
        </w:rPr>
        <w:t>九、国有资本经营预算支出决算情况说明</w:t>
      </w:r>
      <w:r>
        <w:rPr>
          <w:rFonts w:ascii="仿宋" w:hAnsi="仿宋" w:eastAsia="仿宋"/>
          <w:sz w:val="32"/>
          <w:szCs w:val="32"/>
        </w:rPr>
        <w:tab/>
      </w:r>
      <w:r>
        <w:rPr>
          <w:rFonts w:ascii="仿宋" w:hAnsi="仿宋" w:eastAsia="仿宋"/>
          <w:sz w:val="32"/>
          <w:szCs w:val="32"/>
        </w:rPr>
        <w:t>1</w:t>
      </w:r>
      <w:r>
        <w:rPr>
          <w:rFonts w:hint="eastAsia" w:ascii="仿宋" w:hAnsi="仿宋" w:eastAsia="仿宋"/>
          <w:sz w:val="32"/>
          <w:szCs w:val="32"/>
          <w:lang w:val="en-US" w:eastAsia="zh-CN"/>
        </w:rPr>
        <w:t>2</w:t>
      </w:r>
    </w:p>
    <w:p>
      <w:pPr>
        <w:pStyle w:val="11"/>
        <w:adjustRightInd w:val="0"/>
        <w:snapToGrid w:val="0"/>
        <w:spacing w:line="440" w:lineRule="exact"/>
        <w:jc w:val="left"/>
        <w:rPr>
          <w:rFonts w:hint="eastAsia" w:ascii="仿宋" w:hAnsi="仿宋" w:eastAsia="仿宋"/>
          <w:sz w:val="32"/>
          <w:szCs w:val="32"/>
          <w:lang w:eastAsia="zh-CN"/>
        </w:rPr>
      </w:pPr>
      <w:r>
        <w:rPr>
          <w:rFonts w:hint="eastAsia" w:ascii="仿宋" w:hAnsi="仿宋" w:eastAsia="仿宋"/>
          <w:sz w:val="32"/>
          <w:szCs w:val="32"/>
        </w:rPr>
        <w:t>十、其他重要事项的情况说明</w:t>
      </w:r>
      <w:r>
        <w:rPr>
          <w:rFonts w:ascii="仿宋" w:hAnsi="仿宋" w:eastAsia="仿宋"/>
          <w:sz w:val="32"/>
          <w:szCs w:val="32"/>
        </w:rPr>
        <w:tab/>
      </w:r>
      <w:r>
        <w:rPr>
          <w:rFonts w:ascii="仿宋" w:hAnsi="仿宋" w:eastAsia="仿宋"/>
          <w:sz w:val="32"/>
          <w:szCs w:val="32"/>
        </w:rPr>
        <w:t>1</w:t>
      </w:r>
      <w:r>
        <w:rPr>
          <w:rFonts w:hint="eastAsia" w:ascii="仿宋" w:hAnsi="仿宋" w:eastAsia="仿宋"/>
          <w:sz w:val="32"/>
          <w:szCs w:val="32"/>
          <w:lang w:val="en-US" w:eastAsia="zh-CN"/>
        </w:rPr>
        <w:t>2</w:t>
      </w:r>
    </w:p>
    <w:p>
      <w:pPr>
        <w:pStyle w:val="10"/>
        <w:adjustRightInd w:val="0"/>
        <w:snapToGrid w:val="0"/>
        <w:spacing w:before="0" w:line="440" w:lineRule="exact"/>
        <w:jc w:val="left"/>
        <w:rPr>
          <w:rFonts w:hint="eastAsia" w:eastAsia="仿宋" w:cstheme="minorBidi"/>
          <w:b/>
          <w:sz w:val="32"/>
          <w:szCs w:val="32"/>
          <w:lang w:eastAsia="zh-CN"/>
        </w:rPr>
      </w:pPr>
      <w:r>
        <w:rPr>
          <w:rFonts w:hint="eastAsia"/>
          <w:b/>
          <w:sz w:val="32"/>
          <w:szCs w:val="32"/>
        </w:rPr>
        <w:t>第三部分</w:t>
      </w:r>
      <w:r>
        <w:rPr>
          <w:b/>
          <w:sz w:val="32"/>
          <w:szCs w:val="32"/>
        </w:rPr>
        <w:t xml:space="preserve"> </w:t>
      </w:r>
      <w:r>
        <w:rPr>
          <w:rFonts w:hint="eastAsia"/>
          <w:b/>
          <w:sz w:val="32"/>
          <w:szCs w:val="32"/>
        </w:rPr>
        <w:t>名词解释</w:t>
      </w:r>
      <w:r>
        <w:rPr>
          <w:b/>
          <w:sz w:val="32"/>
          <w:szCs w:val="32"/>
        </w:rPr>
        <w:tab/>
      </w:r>
      <w:r>
        <w:rPr>
          <w:b/>
          <w:sz w:val="32"/>
          <w:szCs w:val="32"/>
        </w:rPr>
        <w:t>1</w:t>
      </w:r>
      <w:r>
        <w:rPr>
          <w:rFonts w:hint="eastAsia"/>
          <w:b/>
          <w:sz w:val="32"/>
          <w:szCs w:val="32"/>
          <w:lang w:val="en-US" w:eastAsia="zh-CN"/>
        </w:rPr>
        <w:t>4</w:t>
      </w:r>
    </w:p>
    <w:p>
      <w:pPr>
        <w:pStyle w:val="10"/>
        <w:adjustRightInd w:val="0"/>
        <w:snapToGrid w:val="0"/>
        <w:spacing w:before="0" w:line="440" w:lineRule="exact"/>
        <w:jc w:val="left"/>
        <w:rPr>
          <w:rFonts w:hint="default" w:eastAsia="仿宋" w:cstheme="minorBidi"/>
          <w:b/>
          <w:sz w:val="32"/>
          <w:szCs w:val="32"/>
          <w:lang w:val="en-US" w:eastAsia="zh-CN"/>
        </w:rPr>
      </w:pPr>
      <w:r>
        <w:rPr>
          <w:rFonts w:hint="eastAsia"/>
          <w:b/>
          <w:sz w:val="32"/>
          <w:szCs w:val="32"/>
        </w:rPr>
        <w:t>第四部分</w:t>
      </w:r>
      <w:r>
        <w:rPr>
          <w:b/>
          <w:sz w:val="32"/>
          <w:szCs w:val="32"/>
        </w:rPr>
        <w:t xml:space="preserve"> </w:t>
      </w:r>
      <w:r>
        <w:rPr>
          <w:rFonts w:hint="eastAsia"/>
          <w:b/>
          <w:sz w:val="32"/>
          <w:szCs w:val="32"/>
        </w:rPr>
        <w:t>附件</w:t>
      </w:r>
      <w:r>
        <w:rPr>
          <w:b/>
          <w:sz w:val="32"/>
          <w:szCs w:val="32"/>
        </w:rPr>
        <w:tab/>
      </w:r>
      <w:r>
        <w:rPr>
          <w:rFonts w:hint="eastAsia"/>
          <w:b/>
          <w:sz w:val="32"/>
          <w:szCs w:val="32"/>
          <w:lang w:val="en-US" w:eastAsia="zh-CN"/>
        </w:rPr>
        <w:t>17</w:t>
      </w:r>
    </w:p>
    <w:p>
      <w:pPr>
        <w:pStyle w:val="10"/>
        <w:adjustRightInd w:val="0"/>
        <w:snapToGrid w:val="0"/>
        <w:spacing w:before="0" w:line="440" w:lineRule="exact"/>
        <w:jc w:val="left"/>
        <w:rPr>
          <w:rFonts w:hint="default" w:eastAsia="仿宋" w:cstheme="minorBidi"/>
          <w:b/>
          <w:sz w:val="32"/>
          <w:szCs w:val="32"/>
          <w:lang w:val="en-US" w:eastAsia="zh-CN"/>
        </w:rPr>
      </w:pPr>
      <w:r>
        <w:rPr>
          <w:rFonts w:hint="eastAsia"/>
          <w:b/>
          <w:sz w:val="32"/>
          <w:szCs w:val="32"/>
        </w:rPr>
        <w:t>第五部分</w:t>
      </w:r>
      <w:r>
        <w:rPr>
          <w:b/>
          <w:sz w:val="32"/>
          <w:szCs w:val="32"/>
        </w:rPr>
        <w:t xml:space="preserve"> </w:t>
      </w:r>
      <w:r>
        <w:rPr>
          <w:rFonts w:hint="eastAsia"/>
          <w:b/>
          <w:sz w:val="32"/>
          <w:szCs w:val="32"/>
        </w:rPr>
        <w:t>附表</w:t>
      </w:r>
      <w:r>
        <w:rPr>
          <w:b/>
          <w:sz w:val="32"/>
          <w:szCs w:val="32"/>
        </w:rPr>
        <w:tab/>
      </w:r>
      <w:r>
        <w:rPr>
          <w:rFonts w:hint="eastAsia"/>
          <w:b/>
          <w:sz w:val="32"/>
          <w:szCs w:val="32"/>
          <w:lang w:val="en-US" w:eastAsia="zh-CN"/>
        </w:rPr>
        <w:t>48</w:t>
      </w:r>
      <w:bookmarkStart w:id="68" w:name="_GoBack"/>
      <w:bookmarkEnd w:id="68"/>
    </w:p>
    <w:p>
      <w:pPr>
        <w:pStyle w:val="11"/>
        <w:adjustRightInd w:val="0"/>
        <w:snapToGrid w:val="0"/>
        <w:spacing w:line="440" w:lineRule="exact"/>
        <w:jc w:val="left"/>
        <w:rPr>
          <w:rFonts w:ascii="仿宋" w:hAnsi="仿宋" w:eastAsia="仿宋"/>
          <w:sz w:val="32"/>
          <w:szCs w:val="32"/>
        </w:rPr>
      </w:pPr>
      <w:r>
        <w:rPr>
          <w:rFonts w:hint="eastAsia" w:ascii="仿宋" w:hAnsi="仿宋" w:eastAsia="仿宋"/>
          <w:sz w:val="32"/>
          <w:szCs w:val="32"/>
        </w:rPr>
        <w:t>一、收入支出决算总表</w:t>
      </w:r>
    </w:p>
    <w:p>
      <w:pPr>
        <w:pStyle w:val="11"/>
        <w:adjustRightInd w:val="0"/>
        <w:snapToGrid w:val="0"/>
        <w:spacing w:line="440" w:lineRule="exact"/>
        <w:jc w:val="left"/>
        <w:rPr>
          <w:rFonts w:ascii="仿宋" w:hAnsi="仿宋" w:eastAsia="仿宋"/>
          <w:sz w:val="32"/>
          <w:szCs w:val="32"/>
        </w:rPr>
      </w:pPr>
      <w:r>
        <w:rPr>
          <w:rFonts w:hint="eastAsia" w:ascii="仿宋" w:hAnsi="仿宋" w:eastAsia="仿宋"/>
          <w:sz w:val="32"/>
          <w:szCs w:val="32"/>
        </w:rPr>
        <w:t>二、收入决算表</w:t>
      </w:r>
    </w:p>
    <w:p>
      <w:pPr>
        <w:pStyle w:val="11"/>
        <w:adjustRightInd w:val="0"/>
        <w:snapToGrid w:val="0"/>
        <w:spacing w:line="440" w:lineRule="exact"/>
        <w:jc w:val="left"/>
        <w:rPr>
          <w:rFonts w:ascii="仿宋" w:hAnsi="仿宋" w:eastAsia="仿宋"/>
          <w:sz w:val="32"/>
          <w:szCs w:val="32"/>
        </w:rPr>
      </w:pPr>
      <w:r>
        <w:rPr>
          <w:rFonts w:hint="eastAsia" w:ascii="仿宋" w:hAnsi="仿宋" w:eastAsia="仿宋"/>
          <w:sz w:val="32"/>
          <w:szCs w:val="32"/>
        </w:rPr>
        <w:t>三、支出决算表</w:t>
      </w:r>
    </w:p>
    <w:p>
      <w:pPr>
        <w:pStyle w:val="11"/>
        <w:adjustRightInd w:val="0"/>
        <w:snapToGrid w:val="0"/>
        <w:spacing w:line="440" w:lineRule="exact"/>
        <w:jc w:val="left"/>
        <w:rPr>
          <w:rFonts w:ascii="仿宋" w:hAnsi="仿宋" w:eastAsia="仿宋"/>
          <w:sz w:val="32"/>
          <w:szCs w:val="32"/>
        </w:rPr>
      </w:pPr>
      <w:r>
        <w:rPr>
          <w:rFonts w:hint="eastAsia" w:ascii="仿宋" w:hAnsi="仿宋" w:eastAsia="仿宋"/>
          <w:sz w:val="32"/>
          <w:szCs w:val="32"/>
        </w:rPr>
        <w:t>四、财政拨款收入支出决算总表</w:t>
      </w:r>
    </w:p>
    <w:p>
      <w:pPr>
        <w:pStyle w:val="11"/>
        <w:adjustRightInd w:val="0"/>
        <w:snapToGrid w:val="0"/>
        <w:spacing w:line="440" w:lineRule="exact"/>
        <w:jc w:val="left"/>
        <w:rPr>
          <w:rFonts w:ascii="仿宋" w:hAnsi="仿宋" w:eastAsia="仿宋"/>
          <w:sz w:val="32"/>
          <w:szCs w:val="32"/>
        </w:rPr>
      </w:pPr>
      <w:r>
        <w:rPr>
          <w:rFonts w:hint="eastAsia" w:ascii="仿宋" w:hAnsi="仿宋" w:eastAsia="仿宋"/>
          <w:sz w:val="32"/>
          <w:szCs w:val="32"/>
        </w:rPr>
        <w:t>五、财政拨款支出决算明细表</w:t>
      </w:r>
    </w:p>
    <w:p>
      <w:pPr>
        <w:pStyle w:val="11"/>
        <w:adjustRightInd w:val="0"/>
        <w:snapToGrid w:val="0"/>
        <w:spacing w:line="440" w:lineRule="exact"/>
        <w:jc w:val="left"/>
        <w:rPr>
          <w:rFonts w:ascii="仿宋" w:hAnsi="仿宋" w:eastAsia="仿宋"/>
          <w:sz w:val="32"/>
          <w:szCs w:val="32"/>
        </w:rPr>
      </w:pPr>
      <w:r>
        <w:rPr>
          <w:rFonts w:hint="eastAsia" w:ascii="仿宋" w:hAnsi="仿宋" w:eastAsia="仿宋"/>
          <w:sz w:val="32"/>
          <w:szCs w:val="32"/>
        </w:rPr>
        <w:t>六、一般公共预算财政拨款支出决算表</w:t>
      </w:r>
    </w:p>
    <w:p>
      <w:pPr>
        <w:pStyle w:val="11"/>
        <w:adjustRightInd w:val="0"/>
        <w:snapToGrid w:val="0"/>
        <w:spacing w:line="440" w:lineRule="exact"/>
        <w:jc w:val="left"/>
        <w:rPr>
          <w:rFonts w:ascii="仿宋" w:hAnsi="仿宋" w:eastAsia="仿宋"/>
          <w:sz w:val="32"/>
          <w:szCs w:val="32"/>
        </w:rPr>
      </w:pPr>
      <w:r>
        <w:rPr>
          <w:rFonts w:hint="eastAsia" w:ascii="仿宋" w:hAnsi="仿宋" w:eastAsia="仿宋"/>
          <w:sz w:val="32"/>
          <w:szCs w:val="32"/>
        </w:rPr>
        <w:t>七、一般公共预算财政拨款支出决算明细表</w:t>
      </w:r>
    </w:p>
    <w:p>
      <w:pPr>
        <w:pStyle w:val="11"/>
        <w:adjustRightInd w:val="0"/>
        <w:snapToGrid w:val="0"/>
        <w:spacing w:line="440" w:lineRule="exact"/>
        <w:jc w:val="left"/>
        <w:rPr>
          <w:rFonts w:ascii="仿宋" w:hAnsi="仿宋" w:eastAsia="仿宋"/>
          <w:sz w:val="32"/>
          <w:szCs w:val="32"/>
        </w:rPr>
      </w:pPr>
      <w:r>
        <w:rPr>
          <w:rFonts w:hint="eastAsia" w:ascii="仿宋" w:hAnsi="仿宋" w:eastAsia="仿宋"/>
          <w:sz w:val="32"/>
          <w:szCs w:val="32"/>
        </w:rPr>
        <w:t>八、一般公共预算财政拨款基本支出决算明细表</w:t>
      </w:r>
    </w:p>
    <w:p>
      <w:pPr>
        <w:pStyle w:val="11"/>
        <w:adjustRightInd w:val="0"/>
        <w:snapToGrid w:val="0"/>
        <w:spacing w:line="440" w:lineRule="exact"/>
        <w:jc w:val="left"/>
        <w:rPr>
          <w:rFonts w:ascii="仿宋" w:hAnsi="仿宋" w:eastAsia="仿宋"/>
          <w:sz w:val="32"/>
          <w:szCs w:val="32"/>
        </w:rPr>
      </w:pPr>
      <w:r>
        <w:rPr>
          <w:rFonts w:hint="eastAsia" w:ascii="仿宋" w:hAnsi="仿宋" w:eastAsia="仿宋"/>
          <w:sz w:val="32"/>
          <w:szCs w:val="32"/>
        </w:rPr>
        <w:t>九、一般公共预算财政拨款项目支出决算表</w:t>
      </w:r>
    </w:p>
    <w:p>
      <w:pPr>
        <w:pStyle w:val="11"/>
        <w:adjustRightInd w:val="0"/>
        <w:snapToGrid w:val="0"/>
        <w:spacing w:line="440" w:lineRule="exact"/>
        <w:jc w:val="left"/>
        <w:rPr>
          <w:rFonts w:ascii="仿宋" w:hAnsi="仿宋" w:eastAsia="仿宋"/>
          <w:sz w:val="32"/>
          <w:szCs w:val="32"/>
        </w:rPr>
      </w:pPr>
      <w:r>
        <w:rPr>
          <w:rFonts w:hint="eastAsia" w:ascii="仿宋" w:hAnsi="仿宋" w:eastAsia="仿宋"/>
          <w:sz w:val="32"/>
          <w:szCs w:val="32"/>
        </w:rPr>
        <w:t>十、政府性基金预算财政拨款收入支出决算表</w:t>
      </w:r>
    </w:p>
    <w:p>
      <w:pPr>
        <w:pStyle w:val="11"/>
        <w:adjustRightInd w:val="0"/>
        <w:snapToGrid w:val="0"/>
        <w:spacing w:line="440" w:lineRule="exact"/>
        <w:jc w:val="left"/>
        <w:rPr>
          <w:rFonts w:ascii="仿宋" w:hAnsi="仿宋" w:eastAsia="仿宋"/>
          <w:sz w:val="32"/>
          <w:szCs w:val="32"/>
        </w:rPr>
      </w:pPr>
      <w:r>
        <w:rPr>
          <w:rFonts w:hint="eastAsia" w:ascii="仿宋" w:hAnsi="仿宋" w:eastAsia="仿宋"/>
          <w:sz w:val="32"/>
          <w:szCs w:val="32"/>
        </w:rPr>
        <w:t>十一、国有资本经营预算财政拨款收入支出决算表</w:t>
      </w:r>
    </w:p>
    <w:p>
      <w:pPr>
        <w:pStyle w:val="11"/>
        <w:adjustRightInd w:val="0"/>
        <w:snapToGrid w:val="0"/>
        <w:spacing w:line="440" w:lineRule="exact"/>
        <w:jc w:val="left"/>
        <w:rPr>
          <w:rFonts w:ascii="仿宋" w:hAnsi="仿宋" w:eastAsia="仿宋"/>
          <w:sz w:val="32"/>
          <w:szCs w:val="32"/>
        </w:rPr>
      </w:pPr>
      <w:r>
        <w:rPr>
          <w:rFonts w:hint="eastAsia" w:ascii="仿宋" w:hAnsi="仿宋" w:eastAsia="仿宋"/>
          <w:sz w:val="32"/>
          <w:szCs w:val="32"/>
        </w:rPr>
        <w:t>十二、国有资本经营预算财政拨款支出决算表</w:t>
      </w:r>
    </w:p>
    <w:p>
      <w:pPr>
        <w:ind w:firstLine="320" w:firstLineChars="100"/>
        <w:rPr>
          <w:rFonts w:ascii="仿宋" w:hAnsi="仿宋" w:eastAsia="仿宋"/>
          <w:sz w:val="32"/>
          <w:szCs w:val="32"/>
        </w:rPr>
        <w:sectPr>
          <w:pgSz w:w="11906" w:h="16838"/>
          <w:pgMar w:top="1440" w:right="1800" w:bottom="1440" w:left="1800" w:header="851" w:footer="992" w:gutter="0"/>
          <w:pgNumType w:start="1"/>
          <w:cols w:space="425" w:num="1"/>
          <w:docGrid w:type="lines" w:linePitch="312" w:charSpace="0"/>
        </w:sectPr>
      </w:pPr>
      <w:r>
        <w:rPr>
          <w:rFonts w:hint="eastAsia" w:ascii="仿宋" w:hAnsi="仿宋" w:eastAsia="仿宋"/>
          <w:sz w:val="32"/>
          <w:szCs w:val="32"/>
        </w:rPr>
        <w:t>十三、财政拨款“三公”经费支出决算表</w:t>
      </w:r>
    </w:p>
    <w:p>
      <w:pPr>
        <w:pStyle w:val="3"/>
        <w:jc w:val="center"/>
        <w:rPr>
          <w:rStyle w:val="25"/>
          <w:rFonts w:ascii="黑体" w:hAnsi="黑体" w:eastAsia="黑体"/>
          <w:b/>
          <w:bCs w:val="0"/>
        </w:rPr>
      </w:pPr>
      <w:bookmarkStart w:id="12" w:name="_Toc15377196"/>
      <w:bookmarkStart w:id="13" w:name="_Toc15396599"/>
      <w:bookmarkStart w:id="14" w:name="_Hlk146544157"/>
      <w:r>
        <w:rPr>
          <w:rFonts w:hint="eastAsia" w:ascii="黑体" w:hAnsi="黑体" w:eastAsia="黑体"/>
          <w:b w:val="0"/>
        </w:rPr>
        <w:t>第一部分 单位</w:t>
      </w:r>
      <w:r>
        <w:rPr>
          <w:rStyle w:val="25"/>
          <w:rFonts w:hint="eastAsia" w:ascii="黑体" w:hAnsi="黑体" w:eastAsia="黑体"/>
          <w:b w:val="0"/>
          <w:bCs w:val="0"/>
        </w:rPr>
        <w:t>概况</w:t>
      </w:r>
      <w:bookmarkEnd w:id="12"/>
      <w:bookmarkEnd w:id="13"/>
    </w:p>
    <w:p>
      <w:pPr>
        <w:widowControl/>
        <w:jc w:val="left"/>
        <w:rPr>
          <w:rFonts w:ascii="黑体" w:eastAsia="黑体"/>
          <w:sz w:val="32"/>
          <w:szCs w:val="32"/>
        </w:rPr>
      </w:pPr>
    </w:p>
    <w:p>
      <w:pPr>
        <w:pStyle w:val="4"/>
        <w:numPr>
          <w:ilvl w:val="0"/>
          <w:numId w:val="1"/>
        </w:numPr>
        <w:rPr>
          <w:rStyle w:val="26"/>
          <w:rFonts w:ascii="黑体" w:hAnsi="黑体" w:eastAsia="黑体"/>
          <w:b w:val="0"/>
          <w:bCs w:val="0"/>
        </w:rPr>
      </w:pPr>
      <w:bookmarkStart w:id="15" w:name="_Toc15377197"/>
      <w:bookmarkStart w:id="16" w:name="_Toc15396600"/>
      <w:r>
        <w:rPr>
          <w:rStyle w:val="26"/>
          <w:rFonts w:hint="eastAsia" w:ascii="黑体" w:hAnsi="黑体" w:eastAsia="黑体"/>
          <w:b w:val="0"/>
          <w:bCs w:val="0"/>
        </w:rPr>
        <w:t>主要职责</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峨眉山市</w:t>
      </w:r>
      <w:r>
        <w:rPr>
          <w:rFonts w:hint="eastAsia" w:ascii="仿宋" w:hAnsi="仿宋" w:eastAsia="仿宋" w:cs="Times New Roman"/>
          <w:sz w:val="32"/>
          <w:szCs w:val="32"/>
          <w:lang w:val="en-US" w:eastAsia="zh-CN"/>
        </w:rPr>
        <w:t>交通建设和运输中心</w:t>
      </w:r>
      <w:r>
        <w:rPr>
          <w:rFonts w:hint="eastAsia" w:ascii="仿宋" w:hAnsi="仿宋" w:eastAsia="仿宋" w:cs="Times New Roman"/>
          <w:sz w:val="32"/>
          <w:szCs w:val="32"/>
        </w:rPr>
        <w:t>为市交通运输局领导的副科级公益一类事业单位。主要工作职责是</w:t>
      </w:r>
      <w:r>
        <w:rPr>
          <w:rFonts w:hint="eastAsia" w:ascii="仿宋" w:hAnsi="仿宋" w:eastAsia="仿宋" w:cs="Times New Roman"/>
          <w:sz w:val="32"/>
          <w:szCs w:val="32"/>
          <w:lang w:val="en-US" w:eastAsia="zh-CN"/>
        </w:rPr>
        <w:t>承担交通系统项目建设相关事务性工作；承担国省县道公路及桥梁的维修、养护、保洁和绿化工作；承担道路客货运输、运输站场、机动车驾驶员培训、机动车维修、城市客运、出租汽车、汽车租赁及水上运输服务工作；承担船舶检验技术保障工作；完成上级交办的其他任务</w:t>
      </w:r>
      <w:r>
        <w:rPr>
          <w:rFonts w:hint="eastAsia" w:ascii="仿宋" w:hAnsi="仿宋" w:eastAsia="仿宋" w:cs="Times New Roman"/>
          <w:sz w:val="32"/>
          <w:szCs w:val="32"/>
        </w:rPr>
        <w:t>。</w:t>
      </w:r>
    </w:p>
    <w:p>
      <w:pPr>
        <w:pStyle w:val="4"/>
        <w:rPr>
          <w:rFonts w:ascii="黑体" w:hAnsi="黑体" w:eastAsia="黑体"/>
          <w:b w:val="0"/>
        </w:rPr>
      </w:pPr>
      <w:r>
        <w:rPr>
          <w:rFonts w:hint="eastAsia" w:ascii="黑体" w:hAnsi="黑体" w:eastAsia="黑体"/>
          <w:b w:val="0"/>
        </w:rPr>
        <w:t>二、机构设置</w:t>
      </w:r>
    </w:p>
    <w:p>
      <w:pPr>
        <w:spacing w:line="600" w:lineRule="exact"/>
        <w:ind w:firstLine="640" w:firstLineChars="200"/>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峨眉山市交通建设和运输中心属于峨眉山市交通运输局下属的二级预算单位，下设独立编制机构0个，其中行政机构0个，参照公务员法管理的事业机构0个，其他事业机构0个。单位设有4个内设机构，分别是：综合股、安全与信息技术股、公路建设养护股、运输服务股。核定事业编制93人。现有干部职工194人（其中在编88人，劳务派遣106人），退休职工209人，遗属人员22人。</w:t>
      </w:r>
    </w:p>
    <w:bookmarkEnd w:id="14"/>
    <w:bookmarkEnd w:id="15"/>
    <w:bookmarkEnd w:id="16"/>
    <w:p>
      <w:pPr>
        <w:widowControl/>
        <w:jc w:val="left"/>
        <w:rPr>
          <w:rFonts w:ascii="仿宋" w:hAnsi="仿宋" w:eastAsia="仿宋"/>
          <w:sz w:val="32"/>
          <w:szCs w:val="32"/>
        </w:rPr>
      </w:pPr>
      <w:r>
        <w:rPr>
          <w:rFonts w:ascii="仿宋" w:hAnsi="仿宋" w:eastAsia="仿宋"/>
          <w:sz w:val="32"/>
          <w:szCs w:val="32"/>
        </w:rPr>
        <w:br w:type="page"/>
      </w:r>
    </w:p>
    <w:p>
      <w:pPr>
        <w:pStyle w:val="3"/>
        <w:ind w:right="440"/>
        <w:jc w:val="center"/>
        <w:rPr>
          <w:rStyle w:val="25"/>
          <w:rFonts w:ascii="黑体" w:hAnsi="黑体" w:eastAsia="黑体"/>
          <w:b w:val="0"/>
          <w:bCs/>
        </w:rPr>
      </w:pPr>
      <w:bookmarkStart w:id="17" w:name="_Toc15377204"/>
      <w:bookmarkStart w:id="18" w:name="_Toc15396602"/>
      <w:r>
        <w:rPr>
          <w:rFonts w:hint="eastAsia" w:ascii="黑体" w:hAnsi="黑体" w:eastAsia="黑体"/>
          <w:b w:val="0"/>
        </w:rPr>
        <w:t>第二部分 2022年度</w:t>
      </w:r>
      <w:r>
        <w:rPr>
          <w:rStyle w:val="25"/>
          <w:rFonts w:hint="eastAsia" w:ascii="黑体" w:hAnsi="黑体" w:eastAsia="黑体"/>
          <w:b w:val="0"/>
          <w:bCs/>
        </w:rPr>
        <w:t>单位决算情况说明</w:t>
      </w:r>
      <w:bookmarkEnd w:id="17"/>
      <w:bookmarkEnd w:id="18"/>
    </w:p>
    <w:p/>
    <w:p>
      <w:pPr>
        <w:pStyle w:val="24"/>
        <w:numPr>
          <w:ilvl w:val="0"/>
          <w:numId w:val="2"/>
        </w:numPr>
        <w:spacing w:line="600" w:lineRule="exact"/>
        <w:ind w:firstLineChars="0"/>
        <w:outlineLvl w:val="1"/>
        <w:rPr>
          <w:rStyle w:val="26"/>
          <w:rFonts w:ascii="黑体" w:hAnsi="黑体" w:eastAsia="黑体"/>
          <w:b w:val="0"/>
        </w:rPr>
      </w:pPr>
      <w:bookmarkStart w:id="19" w:name="_Toc15396603"/>
      <w:bookmarkStart w:id="20" w:name="_Toc15377205"/>
      <w:r>
        <w:rPr>
          <w:rFonts w:hint="eastAsia" w:ascii="黑体" w:hAnsi="黑体" w:eastAsia="黑体"/>
          <w:sz w:val="32"/>
          <w:szCs w:val="32"/>
        </w:rPr>
        <w:t>收</w:t>
      </w:r>
      <w:r>
        <w:rPr>
          <w:rStyle w:val="26"/>
          <w:rFonts w:hint="eastAsia" w:ascii="黑体" w:hAnsi="黑体" w:eastAsia="黑体"/>
          <w:b w:val="0"/>
        </w:rPr>
        <w:t>入支出决算总体情况说明</w:t>
      </w:r>
      <w:bookmarkEnd w:id="19"/>
      <w:bookmarkEnd w:id="20"/>
    </w:p>
    <w:p>
      <w:pPr>
        <w:spacing w:line="600" w:lineRule="exact"/>
        <w:ind w:firstLine="640" w:firstLineChars="200"/>
        <w:rPr>
          <w:rFonts w:ascii="仿宋" w:hAnsi="仿宋" w:eastAsia="仿宋"/>
          <w:sz w:val="32"/>
          <w:szCs w:val="32"/>
        </w:rPr>
      </w:pPr>
      <w:r>
        <w:rPr>
          <w:rFonts w:hint="eastAsia" w:ascii="仿宋" w:hAnsi="仿宋" w:eastAsia="仿宋"/>
          <w:sz w:val="32"/>
          <w:szCs w:val="32"/>
        </w:rPr>
        <w:t>2022年度收、支总计</w:t>
      </w:r>
      <w:r>
        <w:rPr>
          <w:rFonts w:hint="eastAsia" w:ascii="仿宋" w:hAnsi="仿宋" w:eastAsia="仿宋"/>
          <w:sz w:val="32"/>
          <w:szCs w:val="32"/>
          <w:lang w:val="en-US" w:eastAsia="zh-CN"/>
        </w:rPr>
        <w:t>分别为</w:t>
      </w:r>
      <w:r>
        <w:rPr>
          <w:rFonts w:hint="eastAsia" w:ascii="仿宋" w:hAnsi="仿宋" w:eastAsia="仿宋"/>
          <w:sz w:val="32"/>
          <w:szCs w:val="32"/>
        </w:rPr>
        <w:t>4567.01万元</w:t>
      </w:r>
      <w:r>
        <w:rPr>
          <w:rFonts w:hint="eastAsia" w:ascii="仿宋" w:hAnsi="仿宋" w:eastAsia="仿宋"/>
          <w:sz w:val="32"/>
          <w:szCs w:val="32"/>
          <w:lang w:eastAsia="zh-CN"/>
        </w:rPr>
        <w:t>、4620.44</w:t>
      </w:r>
      <w:r>
        <w:rPr>
          <w:rFonts w:hint="eastAsia" w:ascii="仿宋" w:hAnsi="仿宋" w:eastAsia="仿宋"/>
          <w:sz w:val="32"/>
          <w:szCs w:val="32"/>
          <w:lang w:val="en-US" w:eastAsia="zh-CN"/>
        </w:rPr>
        <w:t>万元</w:t>
      </w:r>
      <w:r>
        <w:rPr>
          <w:rFonts w:hint="eastAsia" w:ascii="仿宋" w:hAnsi="仿宋" w:eastAsia="仿宋"/>
          <w:sz w:val="32"/>
          <w:szCs w:val="32"/>
        </w:rPr>
        <w:t>。与2021年相比，收、支总计</w:t>
      </w:r>
      <w:r>
        <w:rPr>
          <w:rFonts w:hint="eastAsia" w:ascii="仿宋" w:hAnsi="仿宋" w:eastAsia="仿宋"/>
          <w:sz w:val="32"/>
          <w:szCs w:val="32"/>
          <w:lang w:val="en-US" w:eastAsia="zh-CN"/>
        </w:rPr>
        <w:t>分别</w:t>
      </w:r>
      <w:r>
        <w:rPr>
          <w:rFonts w:hint="eastAsia" w:ascii="仿宋" w:hAnsi="仿宋" w:eastAsia="仿宋"/>
          <w:sz w:val="32"/>
          <w:szCs w:val="32"/>
        </w:rPr>
        <w:t>减少</w:t>
      </w:r>
      <w:r>
        <w:rPr>
          <w:rFonts w:hint="eastAsia" w:ascii="仿宋" w:hAnsi="仿宋" w:eastAsia="仿宋"/>
          <w:sz w:val="32"/>
          <w:szCs w:val="32"/>
          <w:lang w:val="en-US" w:eastAsia="zh-CN"/>
        </w:rPr>
        <w:t>1589.68</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lang w:val="en-US" w:eastAsia="zh-CN"/>
        </w:rPr>
        <w:t>增加1518.34万元</w:t>
      </w:r>
      <w:r>
        <w:rPr>
          <w:rFonts w:hint="eastAsia" w:ascii="仿宋" w:hAnsi="仿宋" w:eastAsia="仿宋"/>
          <w:sz w:val="32"/>
          <w:szCs w:val="32"/>
        </w:rPr>
        <w:t>，下降</w:t>
      </w:r>
      <w:r>
        <w:rPr>
          <w:rFonts w:hint="eastAsia" w:ascii="仿宋" w:hAnsi="仿宋" w:eastAsia="仿宋"/>
          <w:sz w:val="32"/>
          <w:szCs w:val="32"/>
          <w:lang w:val="en-US" w:eastAsia="zh-CN"/>
        </w:rPr>
        <w:t>25.82</w:t>
      </w:r>
      <w:r>
        <w:rPr>
          <w:rFonts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lang w:val="en-US" w:eastAsia="zh-CN"/>
        </w:rPr>
        <w:t>增加48.95%</w:t>
      </w:r>
      <w:r>
        <w:rPr>
          <w:rFonts w:hint="eastAsia" w:ascii="仿宋" w:hAnsi="仿宋" w:eastAsia="仿宋"/>
          <w:sz w:val="32"/>
          <w:szCs w:val="32"/>
        </w:rPr>
        <w:t>。主要变动原因是</w:t>
      </w:r>
      <w:r>
        <w:rPr>
          <w:rFonts w:hint="eastAsia" w:ascii="仿宋" w:hAnsi="仿宋" w:eastAsia="仿宋"/>
          <w:sz w:val="32"/>
          <w:szCs w:val="32"/>
          <w:lang w:val="en-US" w:eastAsia="zh-CN"/>
        </w:rPr>
        <w:t>本年度支付上年度部分未支付工程款，另外</w:t>
      </w:r>
      <w:r>
        <w:rPr>
          <w:rFonts w:hint="eastAsia" w:ascii="仿宋" w:hAnsi="仿宋" w:eastAsia="仿宋"/>
          <w:sz w:val="32"/>
          <w:szCs w:val="32"/>
          <w:lang w:eastAsia="zh-CN"/>
        </w:rPr>
        <w:t>机构改革、</w:t>
      </w:r>
      <w:r>
        <w:rPr>
          <w:rFonts w:hint="eastAsia" w:ascii="仿宋" w:hAnsi="仿宋" w:eastAsia="仿宋"/>
          <w:sz w:val="32"/>
          <w:szCs w:val="32"/>
          <w:lang w:val="en-US" w:eastAsia="zh-CN"/>
        </w:rPr>
        <w:t>单位职能增多</w:t>
      </w:r>
      <w:r>
        <w:rPr>
          <w:rFonts w:hint="eastAsia" w:ascii="仿宋" w:hAnsi="仿宋" w:eastAsia="仿宋"/>
          <w:sz w:val="32"/>
          <w:szCs w:val="32"/>
          <w:lang w:eastAsia="zh-CN"/>
        </w:rPr>
        <w:t>，新增在编人员19人</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lang w:eastAsia="zh-CN"/>
        </w:rPr>
      </w:pPr>
    </w:p>
    <w:p>
      <w:pPr>
        <w:spacing w:line="600" w:lineRule="exact"/>
        <w:ind w:firstLine="640" w:firstLineChars="200"/>
        <w:rPr>
          <w:rFonts w:hint="eastAsia" w:ascii="仿宋" w:hAnsi="仿宋" w:eastAsia="仿宋"/>
          <w:sz w:val="32"/>
          <w:szCs w:val="32"/>
          <w:lang w:eastAsia="zh-CN"/>
        </w:rPr>
      </w:pPr>
    </w:p>
    <w:p>
      <w:pPr>
        <w:spacing w:line="600" w:lineRule="exact"/>
        <w:ind w:firstLine="640" w:firstLineChars="200"/>
        <w:rPr>
          <w:rFonts w:hint="eastAsia" w:ascii="仿宋" w:hAnsi="仿宋" w:eastAsia="仿宋"/>
          <w:sz w:val="32"/>
          <w:szCs w:val="32"/>
          <w:lang w:eastAsia="zh-CN"/>
        </w:rPr>
      </w:pPr>
    </w:p>
    <w:p>
      <w:pPr>
        <w:spacing w:line="600" w:lineRule="exact"/>
        <w:ind w:firstLine="640" w:firstLineChars="200"/>
        <w:rPr>
          <w:rFonts w:hint="eastAsia" w:ascii="仿宋" w:hAnsi="仿宋" w:eastAsia="仿宋"/>
          <w:sz w:val="32"/>
          <w:szCs w:val="32"/>
          <w:lang w:eastAsia="zh-CN"/>
        </w:rPr>
      </w:pPr>
    </w:p>
    <w:p>
      <w:pPr>
        <w:spacing w:line="600" w:lineRule="exact"/>
        <w:ind w:firstLine="640" w:firstLineChars="200"/>
        <w:rPr>
          <w:rFonts w:hint="eastAsia" w:ascii="仿宋" w:hAnsi="仿宋" w:eastAsia="仿宋"/>
          <w:sz w:val="32"/>
          <w:szCs w:val="32"/>
          <w:lang w:eastAsia="zh-CN"/>
        </w:rPr>
      </w:pPr>
    </w:p>
    <w:p>
      <w:pPr>
        <w:spacing w:line="600" w:lineRule="exact"/>
        <w:ind w:firstLine="640" w:firstLineChars="200"/>
        <w:rPr>
          <w:rFonts w:hint="eastAsia" w:ascii="仿宋" w:hAnsi="仿宋" w:eastAsia="仿宋"/>
          <w:sz w:val="32"/>
          <w:szCs w:val="32"/>
          <w:lang w:eastAsia="zh-CN"/>
        </w:rPr>
      </w:pPr>
    </w:p>
    <w:p>
      <w:pPr>
        <w:spacing w:line="600" w:lineRule="exact"/>
        <w:ind w:firstLine="640" w:firstLineChars="200"/>
        <w:rPr>
          <w:rFonts w:hint="eastAsia" w:ascii="仿宋" w:hAnsi="仿宋" w:eastAsia="仿宋"/>
          <w:sz w:val="32"/>
          <w:szCs w:val="32"/>
          <w:lang w:eastAsia="zh-CN"/>
        </w:rPr>
      </w:pPr>
    </w:p>
    <w:p>
      <w:pPr>
        <w:spacing w:line="600" w:lineRule="exact"/>
        <w:ind w:firstLine="420" w:firstLineChars="200"/>
        <w:rPr>
          <w:rFonts w:hint="eastAsia" w:ascii="仿宋" w:hAnsi="仿宋" w:eastAsia="仿宋"/>
          <w:sz w:val="32"/>
          <w:szCs w:val="32"/>
          <w:lang w:eastAsia="zh-CN"/>
        </w:rPr>
      </w:pPr>
      <w:r>
        <w:drawing>
          <wp:anchor distT="0" distB="0" distL="114300" distR="114300" simplePos="0" relativeHeight="251659264" behindDoc="0" locked="0" layoutInCell="1" allowOverlap="1">
            <wp:simplePos x="0" y="0"/>
            <wp:positionH relativeFrom="column">
              <wp:posOffset>271145</wp:posOffset>
            </wp:positionH>
            <wp:positionV relativeFrom="paragraph">
              <wp:posOffset>-2453005</wp:posOffset>
            </wp:positionV>
            <wp:extent cx="4572000" cy="2743200"/>
            <wp:effectExtent l="4445" t="4445" r="14605" b="14605"/>
            <wp:wrapSquare wrapText="bothSides"/>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spacing w:line="600" w:lineRule="exact"/>
        <w:ind w:firstLine="640" w:firstLineChars="200"/>
        <w:jc w:val="left"/>
        <w:rPr>
          <w:rFonts w:ascii="仿宋_GB2312" w:eastAsia="仿宋_GB2312"/>
          <w:sz w:val="32"/>
          <w:szCs w:val="32"/>
        </w:rPr>
      </w:pPr>
    </w:p>
    <w:p>
      <w:pPr>
        <w:pStyle w:val="24"/>
        <w:numPr>
          <w:ilvl w:val="0"/>
          <w:numId w:val="2"/>
        </w:numPr>
        <w:spacing w:line="600" w:lineRule="exact"/>
        <w:ind w:firstLineChars="0"/>
        <w:outlineLvl w:val="1"/>
        <w:rPr>
          <w:rStyle w:val="26"/>
          <w:rFonts w:ascii="黑体" w:hAnsi="黑体" w:eastAsia="黑体"/>
          <w:b w:val="0"/>
        </w:rPr>
      </w:pPr>
      <w:bookmarkStart w:id="21" w:name="_Toc15377206"/>
      <w:bookmarkStart w:id="22" w:name="_Toc15396604"/>
      <w:r>
        <w:rPr>
          <w:rFonts w:hint="eastAsia" w:ascii="黑体" w:hAnsi="黑体" w:eastAsia="黑体"/>
          <w:sz w:val="32"/>
          <w:szCs w:val="32"/>
        </w:rPr>
        <w:t>收</w:t>
      </w:r>
      <w:r>
        <w:rPr>
          <w:rStyle w:val="26"/>
          <w:rFonts w:hint="eastAsia" w:ascii="黑体" w:hAnsi="黑体" w:eastAsia="黑体"/>
          <w:b w:val="0"/>
        </w:rPr>
        <w:t>入决算情况说明</w:t>
      </w:r>
      <w:bookmarkEnd w:id="21"/>
      <w:bookmarkEnd w:id="22"/>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22年本年收入合计4567.01万元，其中：一般公共预算财政拨款收入2628.22万元，占</w:t>
      </w:r>
      <w:r>
        <w:rPr>
          <w:rFonts w:hint="eastAsia" w:ascii="仿宋" w:hAnsi="仿宋" w:eastAsia="仿宋"/>
          <w:sz w:val="32"/>
          <w:szCs w:val="32"/>
          <w:lang w:val="en-US" w:eastAsia="zh-CN"/>
        </w:rPr>
        <w:t>57.55</w:t>
      </w:r>
      <w:r>
        <w:rPr>
          <w:rFonts w:ascii="仿宋" w:hAnsi="仿宋" w:eastAsia="仿宋"/>
          <w:sz w:val="32"/>
          <w:szCs w:val="32"/>
        </w:rPr>
        <w:t>%</w:t>
      </w:r>
      <w:r>
        <w:rPr>
          <w:rFonts w:hint="eastAsia" w:ascii="仿宋" w:hAnsi="仿宋" w:eastAsia="仿宋"/>
          <w:sz w:val="32"/>
          <w:szCs w:val="32"/>
        </w:rPr>
        <w:t>；政府性基金预算财政拨款收入1938.79万元，占</w:t>
      </w:r>
      <w:r>
        <w:rPr>
          <w:rFonts w:hint="eastAsia" w:ascii="仿宋" w:hAnsi="仿宋" w:eastAsia="仿宋"/>
          <w:sz w:val="32"/>
          <w:szCs w:val="32"/>
          <w:lang w:val="en-US" w:eastAsia="zh-CN"/>
        </w:rPr>
        <w:t>42.45</w:t>
      </w:r>
      <w:r>
        <w:rPr>
          <w:rFonts w:ascii="仿宋" w:hAnsi="仿宋" w:eastAsia="仿宋"/>
          <w:sz w:val="32"/>
          <w:szCs w:val="32"/>
        </w:rPr>
        <w:t>%</w:t>
      </w:r>
      <w:r>
        <w:rPr>
          <w:rFonts w:hint="eastAsia" w:ascii="仿宋" w:hAnsi="仿宋" w:eastAsia="仿宋"/>
          <w:sz w:val="32"/>
          <w:szCs w:val="32"/>
        </w:rPr>
        <w:t>。</w:t>
      </w:r>
    </w:p>
    <w:p>
      <w:pPr>
        <w:spacing w:line="600" w:lineRule="exact"/>
        <w:ind w:firstLine="643" w:firstLineChars="200"/>
        <w:outlineLvl w:val="1"/>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01表</w:t>
      </w:r>
      <w:r>
        <w:rPr>
          <w:rFonts w:hint="eastAsia" w:ascii="仿宋" w:hAnsi="仿宋" w:eastAsia="仿宋"/>
          <w:b/>
          <w:sz w:val="32"/>
          <w:szCs w:val="32"/>
        </w:rPr>
        <w:t>，仅罗列本单位涉及的收入。</w:t>
      </w:r>
      <w:r>
        <w:rPr>
          <w:rFonts w:ascii="仿宋" w:hAnsi="仿宋" w:eastAsia="仿宋"/>
          <w:b/>
          <w:sz w:val="32"/>
          <w:szCs w:val="32"/>
        </w:rPr>
        <w:t>）</w:t>
      </w:r>
    </w:p>
    <w:p>
      <w:pPr>
        <w:spacing w:line="600" w:lineRule="exact"/>
        <w:outlineLvl w:val="1"/>
        <w:rPr>
          <w:rFonts w:hint="eastAsia" w:ascii="仿宋" w:hAnsi="仿宋" w:eastAsia="仿宋"/>
          <w:sz w:val="32"/>
          <w:szCs w:val="32"/>
          <w:lang w:eastAsia="zh-CN"/>
        </w:rPr>
      </w:pPr>
    </w:p>
    <w:p>
      <w:pPr>
        <w:pStyle w:val="2"/>
        <w:rPr>
          <w:rFonts w:hint="eastAsia"/>
          <w:lang w:eastAsia="zh-CN"/>
        </w:rPr>
      </w:pPr>
    </w:p>
    <w:p>
      <w:pPr>
        <w:spacing w:line="600" w:lineRule="exact"/>
        <w:ind w:firstLine="640" w:firstLineChars="200"/>
        <w:outlineLvl w:val="1"/>
        <w:rPr>
          <w:rFonts w:hint="eastAsia" w:ascii="仿宋" w:hAnsi="仿宋" w:eastAsia="仿宋"/>
          <w:sz w:val="32"/>
          <w:szCs w:val="32"/>
          <w:lang w:eastAsia="zh-CN"/>
        </w:rPr>
      </w:pPr>
    </w:p>
    <w:p>
      <w:pPr>
        <w:spacing w:line="600" w:lineRule="exact"/>
        <w:ind w:firstLine="640" w:firstLineChars="200"/>
        <w:outlineLvl w:val="1"/>
        <w:rPr>
          <w:rFonts w:hint="eastAsia" w:ascii="仿宋" w:hAnsi="仿宋" w:eastAsia="仿宋"/>
          <w:sz w:val="32"/>
          <w:szCs w:val="32"/>
          <w:lang w:eastAsia="zh-CN"/>
        </w:rPr>
      </w:pPr>
    </w:p>
    <w:p>
      <w:pPr>
        <w:spacing w:line="600" w:lineRule="exact"/>
        <w:ind w:firstLine="640" w:firstLineChars="200"/>
        <w:outlineLvl w:val="1"/>
        <w:rPr>
          <w:rFonts w:hint="eastAsia" w:ascii="仿宋" w:hAnsi="仿宋" w:eastAsia="仿宋"/>
          <w:sz w:val="32"/>
          <w:szCs w:val="32"/>
          <w:lang w:eastAsia="zh-CN"/>
        </w:rPr>
      </w:pPr>
    </w:p>
    <w:p>
      <w:pPr>
        <w:spacing w:line="600" w:lineRule="exact"/>
        <w:ind w:firstLine="640" w:firstLineChars="200"/>
        <w:outlineLvl w:val="1"/>
        <w:rPr>
          <w:rFonts w:hint="eastAsia" w:ascii="仿宋" w:hAnsi="仿宋" w:eastAsia="仿宋"/>
          <w:sz w:val="32"/>
          <w:szCs w:val="32"/>
          <w:lang w:eastAsia="zh-CN"/>
        </w:rPr>
      </w:pPr>
    </w:p>
    <w:p>
      <w:pPr>
        <w:spacing w:line="600" w:lineRule="exact"/>
        <w:ind w:firstLine="640" w:firstLineChars="200"/>
        <w:outlineLvl w:val="1"/>
        <w:rPr>
          <w:rFonts w:hint="eastAsia" w:ascii="仿宋" w:hAnsi="仿宋" w:eastAsia="仿宋"/>
          <w:sz w:val="32"/>
          <w:szCs w:val="32"/>
          <w:lang w:eastAsia="zh-CN"/>
        </w:rPr>
      </w:pPr>
    </w:p>
    <w:p>
      <w:pPr>
        <w:spacing w:line="600" w:lineRule="exact"/>
        <w:ind w:firstLine="640" w:firstLineChars="200"/>
        <w:outlineLvl w:val="1"/>
        <w:rPr>
          <w:rFonts w:hint="eastAsia" w:ascii="仿宋" w:hAnsi="仿宋" w:eastAsia="仿宋"/>
          <w:sz w:val="32"/>
          <w:szCs w:val="32"/>
          <w:lang w:eastAsia="zh-CN"/>
        </w:rPr>
      </w:pPr>
    </w:p>
    <w:p>
      <w:pPr>
        <w:spacing w:line="600" w:lineRule="exact"/>
        <w:ind w:firstLine="640" w:firstLineChars="200"/>
        <w:outlineLvl w:val="1"/>
        <w:rPr>
          <w:rFonts w:hint="eastAsia" w:ascii="仿宋" w:hAnsi="仿宋" w:eastAsia="仿宋"/>
          <w:sz w:val="32"/>
          <w:szCs w:val="32"/>
          <w:lang w:eastAsia="zh-CN"/>
        </w:rPr>
      </w:pPr>
    </w:p>
    <w:p>
      <w:pPr>
        <w:spacing w:line="600" w:lineRule="exact"/>
        <w:ind w:firstLine="640" w:firstLineChars="200"/>
        <w:outlineLvl w:val="1"/>
        <w:rPr>
          <w:rFonts w:hint="eastAsia" w:ascii="仿宋" w:hAnsi="仿宋" w:eastAsia="仿宋"/>
          <w:sz w:val="32"/>
          <w:szCs w:val="32"/>
          <w:lang w:eastAsia="zh-CN"/>
        </w:rPr>
      </w:pPr>
    </w:p>
    <w:p>
      <w:pPr>
        <w:spacing w:line="600" w:lineRule="exact"/>
        <w:ind w:firstLine="640" w:firstLineChars="200"/>
        <w:outlineLvl w:val="1"/>
        <w:rPr>
          <w:rFonts w:hint="eastAsia" w:ascii="仿宋" w:hAnsi="仿宋" w:eastAsia="仿宋"/>
          <w:sz w:val="32"/>
          <w:szCs w:val="32"/>
          <w:lang w:eastAsia="zh-CN"/>
        </w:rPr>
      </w:pPr>
      <w:r>
        <w:rPr>
          <w:rFonts w:hint="eastAsia" w:ascii="仿宋" w:hAnsi="仿宋" w:eastAsia="仿宋"/>
          <w:sz w:val="32"/>
          <w:szCs w:val="32"/>
          <w:lang w:eastAsia="zh-CN"/>
        </w:rPr>
        <w:drawing>
          <wp:anchor distT="0" distB="0" distL="114300" distR="114300" simplePos="0" relativeHeight="251660288" behindDoc="0" locked="0" layoutInCell="1" allowOverlap="1">
            <wp:simplePos x="0" y="0"/>
            <wp:positionH relativeFrom="column">
              <wp:posOffset>410845</wp:posOffset>
            </wp:positionH>
            <wp:positionV relativeFrom="paragraph">
              <wp:posOffset>-3519805</wp:posOffset>
            </wp:positionV>
            <wp:extent cx="5080000" cy="3810000"/>
            <wp:effectExtent l="4445" t="4445" r="20955" b="14605"/>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1920" w:firstLineChars="600"/>
        <w:rPr>
          <w:rFonts w:ascii="仿宋" w:hAnsi="仿宋" w:eastAsia="仿宋"/>
          <w:sz w:val="32"/>
          <w:szCs w:val="32"/>
        </w:rPr>
      </w:pPr>
      <w:r>
        <w:rPr>
          <w:rFonts w:hint="eastAsia" w:ascii="仿宋" w:hAnsi="仿宋" w:eastAsia="仿宋"/>
          <w:sz w:val="32"/>
          <w:szCs w:val="32"/>
        </w:rPr>
        <w:t>（图2：收入决算结构图）（饼状图）</w:t>
      </w:r>
    </w:p>
    <w:p>
      <w:pPr>
        <w:spacing w:line="600" w:lineRule="exact"/>
        <w:ind w:firstLine="640" w:firstLineChars="200"/>
        <w:rPr>
          <w:rFonts w:ascii="仿宋_GB2312" w:eastAsia="仿宋_GB2312"/>
          <w:sz w:val="32"/>
          <w:szCs w:val="32"/>
        </w:rPr>
      </w:pPr>
    </w:p>
    <w:p>
      <w:pPr>
        <w:pStyle w:val="24"/>
        <w:numPr>
          <w:ilvl w:val="0"/>
          <w:numId w:val="2"/>
        </w:numPr>
        <w:spacing w:line="600" w:lineRule="exact"/>
        <w:ind w:firstLineChars="0"/>
        <w:outlineLvl w:val="1"/>
        <w:rPr>
          <w:rStyle w:val="26"/>
          <w:rFonts w:ascii="黑体" w:hAnsi="黑体" w:eastAsia="黑体"/>
          <w:b w:val="0"/>
        </w:rPr>
      </w:pPr>
      <w:bookmarkStart w:id="23" w:name="_Toc15396605"/>
      <w:bookmarkStart w:id="24" w:name="_Toc15377207"/>
      <w:r>
        <w:rPr>
          <w:rFonts w:hint="eastAsia" w:ascii="黑体" w:hAnsi="黑体" w:eastAsia="黑体"/>
          <w:sz w:val="32"/>
          <w:szCs w:val="32"/>
        </w:rPr>
        <w:t>支</w:t>
      </w:r>
      <w:r>
        <w:rPr>
          <w:rStyle w:val="26"/>
          <w:rFonts w:hint="eastAsia" w:ascii="黑体" w:hAnsi="黑体" w:eastAsia="黑体"/>
          <w:b w:val="0"/>
        </w:rPr>
        <w:t>出决算情况说明</w:t>
      </w:r>
      <w:bookmarkEnd w:id="23"/>
      <w:bookmarkEnd w:id="24"/>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w:t>
      </w:r>
      <w:r>
        <w:rPr>
          <w:rFonts w:hint="eastAsia" w:ascii="仿宋" w:hAnsi="仿宋" w:eastAsia="仿宋"/>
          <w:sz w:val="32"/>
          <w:szCs w:val="32"/>
          <w:lang w:eastAsia="zh-CN"/>
        </w:rPr>
        <w:t>4620.44</w:t>
      </w:r>
      <w:r>
        <w:rPr>
          <w:rFonts w:hint="eastAsia" w:ascii="仿宋" w:hAnsi="仿宋" w:eastAsia="仿宋"/>
          <w:sz w:val="32"/>
          <w:szCs w:val="32"/>
        </w:rPr>
        <w:t>万元，其中：基本支出2231.9万元，占</w:t>
      </w:r>
      <w:r>
        <w:rPr>
          <w:rFonts w:hint="eastAsia" w:ascii="仿宋" w:hAnsi="仿宋" w:eastAsia="仿宋"/>
          <w:sz w:val="32"/>
          <w:szCs w:val="32"/>
          <w:lang w:val="en-US" w:eastAsia="zh-CN"/>
        </w:rPr>
        <w:t>48.3</w:t>
      </w:r>
      <w:r>
        <w:rPr>
          <w:rFonts w:ascii="仿宋" w:hAnsi="仿宋" w:eastAsia="仿宋"/>
          <w:sz w:val="32"/>
          <w:szCs w:val="32"/>
        </w:rPr>
        <w:t>%</w:t>
      </w:r>
      <w:r>
        <w:rPr>
          <w:rFonts w:hint="eastAsia" w:ascii="仿宋" w:hAnsi="仿宋" w:eastAsia="仿宋"/>
          <w:sz w:val="32"/>
          <w:szCs w:val="32"/>
        </w:rPr>
        <w:t>；项目支出2388.54万元，占</w:t>
      </w:r>
      <w:r>
        <w:rPr>
          <w:rFonts w:hint="eastAsia" w:ascii="仿宋" w:hAnsi="仿宋" w:eastAsia="仿宋"/>
          <w:sz w:val="32"/>
          <w:szCs w:val="32"/>
          <w:lang w:val="en-US" w:eastAsia="zh-CN"/>
        </w:rPr>
        <w:t>51.7</w:t>
      </w:r>
      <w:r>
        <w:rPr>
          <w:rFonts w:ascii="仿宋" w:hAnsi="仿宋" w:eastAsia="仿宋"/>
          <w:sz w:val="32"/>
          <w:szCs w:val="32"/>
        </w:rPr>
        <w:t>%</w:t>
      </w:r>
      <w:r>
        <w:rPr>
          <w:rFonts w:hint="eastAsia" w:ascii="仿宋" w:hAnsi="仿宋" w:eastAsia="仿宋"/>
          <w:sz w:val="32"/>
          <w:szCs w:val="32"/>
        </w:rPr>
        <w:t>。</w:t>
      </w:r>
    </w:p>
    <w:p>
      <w:pPr>
        <w:spacing w:line="600" w:lineRule="exact"/>
        <w:ind w:firstLine="643" w:firstLineChars="200"/>
        <w:outlineLvl w:val="1"/>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04</w:t>
      </w:r>
      <w:r>
        <w:rPr>
          <w:rFonts w:hint="eastAsia" w:ascii="仿宋" w:hAnsi="仿宋" w:eastAsia="仿宋"/>
          <w:b/>
          <w:sz w:val="32"/>
          <w:szCs w:val="32"/>
        </w:rPr>
        <w:t>表，仅罗列本单位涉及的支出。）</w:t>
      </w:r>
    </w:p>
    <w:p>
      <w:pPr>
        <w:spacing w:line="600" w:lineRule="exact"/>
        <w:ind w:firstLine="640"/>
        <w:rPr>
          <w:rFonts w:hint="eastAsia" w:ascii="仿宋" w:hAnsi="仿宋" w:eastAsia="仿宋"/>
          <w:sz w:val="32"/>
          <w:szCs w:val="32"/>
          <w:shd w:val="pct10" w:color="auto" w:fill="FFFFFF"/>
          <w:lang w:eastAsia="zh-CN"/>
        </w:rPr>
      </w:pPr>
    </w:p>
    <w:p>
      <w:pPr>
        <w:spacing w:line="600" w:lineRule="exact"/>
        <w:ind w:firstLine="640"/>
        <w:rPr>
          <w:rFonts w:hint="eastAsia" w:ascii="仿宋" w:hAnsi="仿宋" w:eastAsia="仿宋"/>
          <w:sz w:val="32"/>
          <w:szCs w:val="32"/>
          <w:shd w:val="pct10" w:color="auto" w:fill="FFFFFF"/>
          <w:lang w:eastAsia="zh-CN"/>
        </w:rPr>
      </w:pPr>
    </w:p>
    <w:p>
      <w:pPr>
        <w:spacing w:line="600" w:lineRule="exact"/>
        <w:ind w:firstLine="640"/>
        <w:rPr>
          <w:rFonts w:hint="eastAsia" w:ascii="仿宋" w:hAnsi="仿宋" w:eastAsia="仿宋"/>
          <w:sz w:val="32"/>
          <w:szCs w:val="32"/>
          <w:shd w:val="pct10" w:color="auto" w:fill="FFFFFF"/>
          <w:lang w:eastAsia="zh-CN"/>
        </w:rPr>
      </w:pPr>
    </w:p>
    <w:p>
      <w:pPr>
        <w:spacing w:line="600" w:lineRule="exact"/>
        <w:ind w:firstLine="640"/>
        <w:rPr>
          <w:rFonts w:hint="eastAsia" w:ascii="仿宋" w:hAnsi="仿宋" w:eastAsia="仿宋"/>
          <w:sz w:val="32"/>
          <w:szCs w:val="32"/>
          <w:shd w:val="pct10" w:color="auto" w:fill="FFFFFF"/>
          <w:lang w:eastAsia="zh-CN"/>
        </w:rPr>
      </w:pPr>
    </w:p>
    <w:p>
      <w:pPr>
        <w:spacing w:line="600" w:lineRule="exact"/>
        <w:ind w:firstLine="640"/>
        <w:rPr>
          <w:rFonts w:hint="eastAsia" w:ascii="仿宋" w:hAnsi="仿宋" w:eastAsia="仿宋"/>
          <w:sz w:val="32"/>
          <w:szCs w:val="32"/>
          <w:shd w:val="pct10" w:color="auto" w:fill="FFFFFF"/>
          <w:lang w:eastAsia="zh-CN"/>
        </w:rPr>
      </w:pPr>
    </w:p>
    <w:p>
      <w:pPr>
        <w:spacing w:line="600" w:lineRule="exact"/>
        <w:ind w:firstLine="640"/>
        <w:rPr>
          <w:rFonts w:hint="eastAsia" w:ascii="仿宋" w:hAnsi="仿宋" w:eastAsia="仿宋"/>
          <w:sz w:val="32"/>
          <w:szCs w:val="32"/>
          <w:shd w:val="pct10" w:color="auto" w:fill="FFFFFF"/>
          <w:lang w:eastAsia="zh-CN"/>
        </w:rPr>
      </w:pPr>
    </w:p>
    <w:p>
      <w:pPr>
        <w:spacing w:line="600" w:lineRule="exact"/>
        <w:ind w:firstLine="640"/>
        <w:rPr>
          <w:rFonts w:hint="eastAsia" w:ascii="仿宋" w:hAnsi="仿宋" w:eastAsia="仿宋"/>
          <w:sz w:val="32"/>
          <w:szCs w:val="32"/>
          <w:shd w:val="pct10" w:color="auto" w:fill="FFFFFF"/>
          <w:lang w:eastAsia="zh-CN"/>
        </w:rPr>
      </w:pPr>
    </w:p>
    <w:p>
      <w:pPr>
        <w:spacing w:line="600" w:lineRule="exact"/>
        <w:ind w:firstLine="640"/>
        <w:rPr>
          <w:rFonts w:hint="eastAsia" w:ascii="仿宋" w:hAnsi="仿宋" w:eastAsia="仿宋"/>
          <w:sz w:val="32"/>
          <w:szCs w:val="32"/>
          <w:shd w:val="pct10" w:color="auto" w:fill="FFFFFF"/>
          <w:lang w:eastAsia="zh-CN"/>
        </w:rPr>
      </w:pPr>
    </w:p>
    <w:p>
      <w:pPr>
        <w:spacing w:line="600" w:lineRule="exact"/>
        <w:ind w:firstLine="640"/>
        <w:rPr>
          <w:rFonts w:hint="eastAsia" w:ascii="仿宋" w:hAnsi="仿宋" w:eastAsia="仿宋"/>
          <w:sz w:val="32"/>
          <w:szCs w:val="32"/>
          <w:shd w:val="pct10" w:color="auto" w:fill="FFFFFF"/>
          <w:lang w:eastAsia="zh-CN"/>
        </w:rPr>
      </w:pPr>
    </w:p>
    <w:p>
      <w:pPr>
        <w:spacing w:line="600" w:lineRule="exact"/>
        <w:ind w:firstLine="640"/>
        <w:rPr>
          <w:rFonts w:hint="eastAsia" w:ascii="仿宋" w:hAnsi="仿宋" w:eastAsia="仿宋"/>
          <w:sz w:val="32"/>
          <w:szCs w:val="32"/>
          <w:shd w:val="pct10" w:color="auto" w:fill="FFFFFF"/>
          <w:lang w:eastAsia="zh-CN"/>
        </w:rPr>
      </w:pPr>
    </w:p>
    <w:p>
      <w:pPr>
        <w:spacing w:line="600" w:lineRule="exact"/>
        <w:ind w:firstLine="640"/>
        <w:rPr>
          <w:rFonts w:hint="eastAsia" w:ascii="仿宋" w:hAnsi="仿宋" w:eastAsia="仿宋"/>
          <w:sz w:val="32"/>
          <w:szCs w:val="32"/>
          <w:shd w:val="pct10" w:color="auto" w:fill="FFFFFF"/>
          <w:lang w:eastAsia="zh-CN"/>
        </w:rPr>
      </w:pPr>
      <w:r>
        <w:rPr>
          <w:rFonts w:hint="eastAsia" w:ascii="仿宋" w:hAnsi="仿宋" w:eastAsia="仿宋"/>
          <w:sz w:val="32"/>
          <w:szCs w:val="32"/>
          <w:shd w:val="pct10" w:color="auto" w:fill="FFFFFF"/>
          <w:lang w:eastAsia="zh-CN"/>
        </w:rPr>
        <w:drawing>
          <wp:anchor distT="0" distB="0" distL="114300" distR="114300" simplePos="0" relativeHeight="251661312" behindDoc="0" locked="0" layoutInCell="1" allowOverlap="1">
            <wp:simplePos x="0" y="0"/>
            <wp:positionH relativeFrom="column">
              <wp:posOffset>410845</wp:posOffset>
            </wp:positionH>
            <wp:positionV relativeFrom="paragraph">
              <wp:posOffset>-3519805</wp:posOffset>
            </wp:positionV>
            <wp:extent cx="5080000" cy="3818890"/>
            <wp:effectExtent l="4445" t="4445" r="20955" b="5715"/>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1920" w:firstLineChars="600"/>
        <w:rPr>
          <w:rFonts w:ascii="仿宋" w:hAnsi="仿宋" w:eastAsia="仿宋"/>
          <w:sz w:val="32"/>
          <w:szCs w:val="32"/>
        </w:rPr>
      </w:pPr>
      <w:r>
        <w:rPr>
          <w:rFonts w:hint="eastAsia" w:ascii="仿宋" w:hAnsi="仿宋" w:eastAsia="仿宋"/>
          <w:sz w:val="32"/>
          <w:szCs w:val="32"/>
        </w:rPr>
        <w:t>（图3：支出决算结构图）（饼状图）</w:t>
      </w: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Style w:val="26"/>
          <w:rFonts w:ascii="黑体" w:hAnsi="黑体" w:eastAsia="黑体"/>
          <w:b w:val="0"/>
        </w:rPr>
      </w:pPr>
      <w:bookmarkStart w:id="25" w:name="_Toc15396606"/>
      <w:bookmarkStart w:id="26" w:name="_Toc15377208"/>
      <w:r>
        <w:rPr>
          <w:rFonts w:hint="eastAsia" w:ascii="黑体" w:hAnsi="黑体" w:eastAsia="黑体"/>
          <w:sz w:val="32"/>
          <w:szCs w:val="32"/>
        </w:rPr>
        <w:t>四、财</w:t>
      </w:r>
      <w:r>
        <w:rPr>
          <w:rStyle w:val="26"/>
          <w:rFonts w:hint="eastAsia" w:ascii="黑体" w:hAnsi="黑体" w:eastAsia="黑体"/>
          <w:b w:val="0"/>
        </w:rPr>
        <w:t>政拨款收入支出决算总体情况说明</w:t>
      </w:r>
      <w:bookmarkEnd w:id="25"/>
      <w:bookmarkEnd w:id="26"/>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22年财政拨款收、支</w:t>
      </w:r>
      <w:r>
        <w:rPr>
          <w:rFonts w:hint="eastAsia" w:ascii="仿宋" w:hAnsi="仿宋" w:eastAsia="仿宋"/>
          <w:sz w:val="32"/>
          <w:szCs w:val="32"/>
          <w:lang w:val="en-US" w:eastAsia="zh-CN"/>
        </w:rPr>
        <w:t>分别</w:t>
      </w:r>
      <w:r>
        <w:rPr>
          <w:rFonts w:hint="eastAsia" w:ascii="仿宋" w:hAnsi="仿宋" w:eastAsia="仿宋"/>
          <w:sz w:val="32"/>
          <w:szCs w:val="32"/>
        </w:rPr>
        <w:t>总计4567.01</w:t>
      </w:r>
      <w:r>
        <w:rPr>
          <w:rFonts w:hint="eastAsia" w:ascii="仿宋" w:hAnsi="仿宋" w:eastAsia="仿宋"/>
          <w:sz w:val="32"/>
          <w:szCs w:val="32"/>
          <w:lang w:eastAsia="zh-CN"/>
        </w:rPr>
        <w:t>、4620.44</w:t>
      </w:r>
      <w:r>
        <w:rPr>
          <w:rFonts w:hint="eastAsia" w:ascii="仿宋" w:hAnsi="仿宋" w:eastAsia="仿宋"/>
          <w:sz w:val="32"/>
          <w:szCs w:val="32"/>
        </w:rPr>
        <w:t>万元。与2021年相比，财政拨款收、支总计分别减少1589.68万元、增加1518.34万元，下降25.82%、增加48.95%。主要变动原因是本年度支付上年度部分未支付工程款，另外机构改革、单位职能增多，新增在编人员19人。</w:t>
      </w:r>
    </w:p>
    <w:p>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w:t>
      </w:r>
      <w:r>
        <w:rPr>
          <w:rFonts w:ascii="仿宋" w:hAnsi="仿宋" w:eastAsia="仿宋"/>
          <w:b/>
          <w:sz w:val="32"/>
          <w:szCs w:val="32"/>
        </w:rPr>
        <w:t>）</w:t>
      </w:r>
    </w:p>
    <w:p>
      <w:pPr>
        <w:spacing w:line="600" w:lineRule="exact"/>
        <w:rPr>
          <w:rFonts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pStyle w:val="2"/>
        <w:rPr>
          <w:rFonts w:hint="eastAsia" w:ascii="仿宋" w:hAnsi="仿宋" w:eastAsia="仿宋"/>
          <w:sz w:val="32"/>
          <w:szCs w:val="32"/>
        </w:rPr>
      </w:pPr>
    </w:p>
    <w:p>
      <w:pPr>
        <w:pStyle w:val="2"/>
        <w:rPr>
          <w:rFonts w:hint="eastAsia" w:ascii="仿宋" w:hAnsi="仿宋" w:eastAsia="仿宋"/>
          <w:sz w:val="32"/>
          <w:szCs w:val="32"/>
        </w:rPr>
      </w:pPr>
    </w:p>
    <w:p>
      <w:pPr>
        <w:pStyle w:val="2"/>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lang w:eastAsia="zh-CN"/>
        </w:rPr>
      </w:pPr>
    </w:p>
    <w:p>
      <w:pPr>
        <w:spacing w:line="600" w:lineRule="exact"/>
        <w:ind w:firstLine="640" w:firstLineChars="200"/>
        <w:rPr>
          <w:rFonts w:hint="eastAsia" w:ascii="仿宋" w:hAnsi="仿宋" w:eastAsia="仿宋"/>
          <w:sz w:val="32"/>
          <w:szCs w:val="32"/>
          <w:lang w:eastAsia="zh-CN"/>
        </w:rPr>
      </w:pPr>
    </w:p>
    <w:p>
      <w:pPr>
        <w:spacing w:line="600" w:lineRule="exact"/>
        <w:ind w:firstLine="640" w:firstLineChars="200"/>
        <w:rPr>
          <w:rFonts w:hint="eastAsia" w:ascii="仿宋" w:hAnsi="仿宋" w:eastAsia="仿宋"/>
          <w:sz w:val="32"/>
          <w:szCs w:val="32"/>
          <w:lang w:eastAsia="zh-CN"/>
        </w:rPr>
      </w:pPr>
    </w:p>
    <w:p>
      <w:pPr>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drawing>
          <wp:anchor distT="0" distB="0" distL="114300" distR="114300" simplePos="0" relativeHeight="251662336" behindDoc="0" locked="0" layoutInCell="1" allowOverlap="1">
            <wp:simplePos x="0" y="0"/>
            <wp:positionH relativeFrom="column">
              <wp:posOffset>410845</wp:posOffset>
            </wp:positionH>
            <wp:positionV relativeFrom="paragraph">
              <wp:posOffset>-3519805</wp:posOffset>
            </wp:positionV>
            <wp:extent cx="5080000" cy="3810000"/>
            <wp:effectExtent l="4445" t="4445" r="20955" b="14605"/>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pPr>
        <w:spacing w:line="600" w:lineRule="exact"/>
        <w:ind w:firstLine="640"/>
        <w:rPr>
          <w:rFonts w:ascii="仿宋" w:hAnsi="仿宋" w:eastAsia="仿宋"/>
          <w:b/>
          <w:sz w:val="32"/>
          <w:szCs w:val="32"/>
        </w:rPr>
      </w:pPr>
    </w:p>
    <w:p>
      <w:pPr>
        <w:spacing w:line="600" w:lineRule="exact"/>
        <w:ind w:firstLine="640" w:firstLineChars="200"/>
        <w:outlineLvl w:val="1"/>
        <w:rPr>
          <w:rStyle w:val="26"/>
          <w:rFonts w:ascii="黑体" w:hAnsi="黑体" w:eastAsia="黑体"/>
          <w:b w:val="0"/>
        </w:rPr>
      </w:pPr>
      <w:bookmarkStart w:id="27" w:name="_Toc15396607"/>
      <w:bookmarkStart w:id="28" w:name="_Toc15377209"/>
      <w:r>
        <w:rPr>
          <w:rFonts w:hint="eastAsia" w:ascii="黑体" w:hAnsi="黑体" w:eastAsia="黑体"/>
          <w:sz w:val="32"/>
          <w:szCs w:val="32"/>
        </w:rPr>
        <w:t>五、</w:t>
      </w:r>
      <w:r>
        <w:rPr>
          <w:rFonts w:hint="eastAsia" w:ascii="黑体" w:hAnsi="黑体" w:eastAsia="黑体"/>
          <w:b/>
          <w:sz w:val="32"/>
          <w:szCs w:val="32"/>
        </w:rPr>
        <w:t>一</w:t>
      </w:r>
      <w:r>
        <w:rPr>
          <w:rStyle w:val="26"/>
          <w:rFonts w:hint="eastAsia" w:ascii="黑体" w:hAnsi="黑体" w:eastAsia="黑体"/>
          <w:b w:val="0"/>
        </w:rPr>
        <w:t>般公共预算财政拨款支出决算情况说明</w:t>
      </w:r>
      <w:bookmarkEnd w:id="27"/>
      <w:bookmarkEnd w:id="28"/>
    </w:p>
    <w:p>
      <w:pPr>
        <w:spacing w:line="600" w:lineRule="exact"/>
        <w:ind w:firstLine="643" w:firstLineChars="200"/>
        <w:outlineLvl w:val="2"/>
        <w:rPr>
          <w:rFonts w:ascii="仿宋" w:hAnsi="仿宋" w:eastAsia="仿宋"/>
          <w:b/>
          <w:sz w:val="32"/>
          <w:szCs w:val="32"/>
        </w:rPr>
      </w:pPr>
      <w:bookmarkStart w:id="29" w:name="_Toc15377210"/>
      <w:r>
        <w:rPr>
          <w:rFonts w:hint="eastAsia" w:ascii="仿宋" w:hAnsi="仿宋" w:eastAsia="仿宋"/>
          <w:b/>
          <w:sz w:val="32"/>
          <w:szCs w:val="32"/>
        </w:rPr>
        <w:t>（一）一般公共预算财政拨款支出决算总体情况</w:t>
      </w:r>
      <w:bookmarkEnd w:id="29"/>
    </w:p>
    <w:p>
      <w:pPr>
        <w:spacing w:line="600" w:lineRule="exact"/>
        <w:ind w:firstLine="640" w:firstLineChars="200"/>
        <w:rPr>
          <w:rFonts w:hint="eastAsia" w:ascii="仿宋" w:hAnsi="仿宋" w:eastAsia="仿宋"/>
          <w:sz w:val="32"/>
          <w:szCs w:val="32"/>
          <w:lang w:eastAsia="zh-CN"/>
        </w:rPr>
      </w:pPr>
      <w:r>
        <w:rPr>
          <w:rFonts w:ascii="仿宋" w:hAnsi="仿宋" w:eastAsia="仿宋"/>
          <w:sz w:val="32"/>
          <w:szCs w:val="32"/>
        </w:rPr>
        <w:t>20</w:t>
      </w:r>
      <w:r>
        <w:rPr>
          <w:rFonts w:hint="eastAsia" w:ascii="仿宋" w:hAnsi="仿宋" w:eastAsia="仿宋"/>
          <w:sz w:val="32"/>
          <w:szCs w:val="32"/>
        </w:rPr>
        <w:t>22年一般公共预算财政拨款支出2681.65万元，占本年支出合计的</w:t>
      </w:r>
      <w:r>
        <w:rPr>
          <w:rFonts w:hint="eastAsia" w:ascii="仿宋" w:hAnsi="仿宋" w:eastAsia="仿宋"/>
          <w:sz w:val="32"/>
          <w:szCs w:val="32"/>
          <w:lang w:val="en-US" w:eastAsia="zh-CN"/>
        </w:rPr>
        <w:t>58.04</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21年相比，一般公共预算财政拨款支出增加</w:t>
      </w:r>
      <w:r>
        <w:rPr>
          <w:rFonts w:hint="eastAsia" w:ascii="仿宋" w:hAnsi="仿宋" w:eastAsia="仿宋"/>
          <w:sz w:val="32"/>
          <w:szCs w:val="32"/>
          <w:lang w:val="en-US" w:eastAsia="zh-CN"/>
        </w:rPr>
        <w:t>836.58</w:t>
      </w:r>
      <w:r>
        <w:rPr>
          <w:rFonts w:hint="eastAsia" w:ascii="仿宋" w:hAnsi="仿宋" w:eastAsia="仿宋"/>
          <w:sz w:val="32"/>
          <w:szCs w:val="32"/>
        </w:rPr>
        <w:t>万元，增长</w:t>
      </w:r>
      <w:r>
        <w:rPr>
          <w:rFonts w:hint="eastAsia" w:ascii="仿宋" w:hAnsi="仿宋" w:eastAsia="仿宋"/>
          <w:sz w:val="32"/>
          <w:szCs w:val="32"/>
          <w:lang w:val="en-US" w:eastAsia="zh-CN"/>
        </w:rPr>
        <w:t>25.01</w:t>
      </w:r>
      <w:r>
        <w:rPr>
          <w:rFonts w:ascii="仿宋" w:hAnsi="仿宋" w:eastAsia="仿宋"/>
          <w:sz w:val="32"/>
          <w:szCs w:val="32"/>
        </w:rPr>
        <w:t>%</w:t>
      </w:r>
      <w:r>
        <w:rPr>
          <w:rFonts w:hint="eastAsia" w:ascii="仿宋" w:hAnsi="仿宋" w:eastAsia="仿宋"/>
          <w:sz w:val="32"/>
          <w:szCs w:val="32"/>
        </w:rPr>
        <w:t>。主要变动原因是机构改革、单位职能增多，新增在编人员19人</w:t>
      </w:r>
      <w:r>
        <w:rPr>
          <w:rFonts w:hint="eastAsia" w:ascii="仿宋" w:hAnsi="仿宋" w:eastAsia="仿宋"/>
          <w:sz w:val="32"/>
          <w:szCs w:val="32"/>
          <w:lang w:eastAsia="zh-CN"/>
        </w:rPr>
        <w:t>。</w:t>
      </w:r>
    </w:p>
    <w:p>
      <w:pPr>
        <w:spacing w:line="600" w:lineRule="exact"/>
        <w:ind w:firstLine="640" w:firstLineChars="200"/>
        <w:rPr>
          <w:rFonts w:hint="eastAsia" w:ascii="仿宋" w:hAnsi="仿宋" w:eastAsia="仿宋"/>
          <w:sz w:val="32"/>
          <w:szCs w:val="32"/>
          <w:lang w:eastAsia="zh-CN"/>
        </w:rPr>
      </w:pPr>
    </w:p>
    <w:p>
      <w:pPr>
        <w:spacing w:line="600" w:lineRule="exact"/>
        <w:ind w:firstLine="640" w:firstLineChars="200"/>
        <w:rPr>
          <w:rFonts w:hint="eastAsia" w:ascii="仿宋" w:hAnsi="仿宋" w:eastAsia="仿宋"/>
          <w:sz w:val="32"/>
          <w:szCs w:val="32"/>
          <w:lang w:eastAsia="zh-CN"/>
        </w:rPr>
      </w:pPr>
    </w:p>
    <w:p>
      <w:pPr>
        <w:spacing w:line="600" w:lineRule="exact"/>
        <w:ind w:firstLine="640" w:firstLineChars="200"/>
        <w:rPr>
          <w:rFonts w:hint="eastAsia" w:ascii="仿宋" w:hAnsi="仿宋" w:eastAsia="仿宋"/>
          <w:sz w:val="32"/>
          <w:szCs w:val="32"/>
          <w:lang w:eastAsia="zh-CN"/>
        </w:rPr>
      </w:pPr>
    </w:p>
    <w:p>
      <w:pPr>
        <w:spacing w:line="600" w:lineRule="exact"/>
        <w:ind w:firstLine="640" w:firstLineChars="200"/>
        <w:rPr>
          <w:rFonts w:hint="eastAsia" w:ascii="仿宋" w:hAnsi="仿宋" w:eastAsia="仿宋"/>
          <w:sz w:val="32"/>
          <w:szCs w:val="32"/>
          <w:lang w:eastAsia="zh-CN"/>
        </w:rPr>
      </w:pPr>
    </w:p>
    <w:p>
      <w:pPr>
        <w:spacing w:line="600" w:lineRule="exact"/>
        <w:ind w:firstLine="640" w:firstLineChars="200"/>
        <w:rPr>
          <w:rFonts w:hint="eastAsia" w:ascii="仿宋" w:hAnsi="仿宋" w:eastAsia="仿宋"/>
          <w:sz w:val="32"/>
          <w:szCs w:val="32"/>
          <w:lang w:eastAsia="zh-CN"/>
        </w:rPr>
      </w:pPr>
    </w:p>
    <w:p>
      <w:pPr>
        <w:spacing w:line="600" w:lineRule="exact"/>
        <w:ind w:firstLine="640" w:firstLineChars="200"/>
        <w:rPr>
          <w:rFonts w:hint="eastAsia" w:ascii="仿宋" w:hAnsi="仿宋" w:eastAsia="仿宋"/>
          <w:sz w:val="32"/>
          <w:szCs w:val="32"/>
          <w:lang w:eastAsia="zh-CN"/>
        </w:rPr>
      </w:pPr>
    </w:p>
    <w:p>
      <w:pPr>
        <w:spacing w:line="600" w:lineRule="exact"/>
        <w:ind w:firstLine="640" w:firstLineChars="200"/>
        <w:rPr>
          <w:rFonts w:hint="eastAsia" w:ascii="仿宋" w:hAnsi="仿宋" w:eastAsia="仿宋"/>
          <w:sz w:val="32"/>
          <w:szCs w:val="32"/>
          <w:lang w:eastAsia="zh-CN"/>
        </w:rPr>
      </w:pPr>
    </w:p>
    <w:p>
      <w:pPr>
        <w:spacing w:line="600" w:lineRule="exact"/>
        <w:ind w:firstLine="640" w:firstLineChars="200"/>
        <w:rPr>
          <w:rFonts w:hint="eastAsia" w:ascii="仿宋" w:hAnsi="仿宋" w:eastAsia="仿宋"/>
          <w:sz w:val="32"/>
          <w:szCs w:val="32"/>
          <w:lang w:eastAsia="zh-CN"/>
        </w:rPr>
      </w:pPr>
    </w:p>
    <w:p>
      <w:pPr>
        <w:spacing w:line="600" w:lineRule="exact"/>
        <w:ind w:firstLine="640" w:firstLineChars="200"/>
        <w:rPr>
          <w:rFonts w:hint="eastAsia" w:ascii="仿宋" w:hAnsi="仿宋" w:eastAsia="仿宋"/>
          <w:sz w:val="32"/>
          <w:szCs w:val="32"/>
          <w:lang w:eastAsia="zh-CN"/>
        </w:rPr>
      </w:pPr>
    </w:p>
    <w:p>
      <w:pPr>
        <w:spacing w:line="600" w:lineRule="exact"/>
        <w:ind w:firstLine="640" w:firstLineChars="200"/>
        <w:rPr>
          <w:rFonts w:hint="eastAsia" w:ascii="仿宋" w:hAnsi="仿宋" w:eastAsia="仿宋"/>
          <w:sz w:val="32"/>
          <w:szCs w:val="32"/>
          <w:lang w:eastAsia="zh-CN"/>
        </w:rPr>
      </w:pPr>
    </w:p>
    <w:p>
      <w:pPr>
        <w:spacing w:line="600" w:lineRule="exact"/>
        <w:ind w:firstLine="640" w:firstLineChars="200"/>
        <w:rPr>
          <w:rFonts w:hint="eastAsia" w:ascii="仿宋" w:hAnsi="仿宋" w:eastAsia="仿宋"/>
          <w:sz w:val="32"/>
          <w:szCs w:val="32"/>
          <w:lang w:eastAsia="zh-CN"/>
        </w:rPr>
      </w:pPr>
    </w:p>
    <w:p>
      <w:pPr>
        <w:spacing w:line="600" w:lineRule="exact"/>
        <w:ind w:firstLine="640" w:firstLineChars="200"/>
        <w:rPr>
          <w:rFonts w:hint="eastAsia" w:ascii="仿宋" w:hAnsi="仿宋" w:eastAsia="仿宋"/>
          <w:sz w:val="32"/>
          <w:szCs w:val="32"/>
          <w:lang w:eastAsia="zh-CN"/>
        </w:rPr>
      </w:pPr>
    </w:p>
    <w:p>
      <w:pPr>
        <w:spacing w:line="600" w:lineRule="exact"/>
        <w:ind w:firstLine="640" w:firstLineChars="200"/>
        <w:rPr>
          <w:rFonts w:hint="eastAsia" w:ascii="仿宋" w:hAnsi="仿宋" w:eastAsia="仿宋"/>
          <w:sz w:val="32"/>
          <w:szCs w:val="32"/>
          <w:lang w:eastAsia="zh-CN"/>
        </w:rPr>
      </w:pPr>
    </w:p>
    <w:p>
      <w:pPr>
        <w:spacing w:line="600" w:lineRule="exact"/>
        <w:ind w:firstLine="640" w:firstLineChars="200"/>
        <w:rPr>
          <w:rFonts w:hint="eastAsia" w:ascii="仿宋" w:hAnsi="仿宋" w:eastAsia="仿宋"/>
          <w:sz w:val="32"/>
          <w:szCs w:val="32"/>
          <w:lang w:eastAsia="zh-CN"/>
        </w:rPr>
      </w:pPr>
    </w:p>
    <w:p>
      <w:pPr>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drawing>
          <wp:anchor distT="0" distB="0" distL="114300" distR="114300" simplePos="0" relativeHeight="251663360" behindDoc="0" locked="0" layoutInCell="1" allowOverlap="1">
            <wp:simplePos x="0" y="0"/>
            <wp:positionH relativeFrom="column">
              <wp:posOffset>410845</wp:posOffset>
            </wp:positionH>
            <wp:positionV relativeFrom="paragraph">
              <wp:posOffset>-3519805</wp:posOffset>
            </wp:positionV>
            <wp:extent cx="5080000" cy="3810000"/>
            <wp:effectExtent l="4445" t="4445" r="20955" b="14605"/>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30" w:name="_Toc15377211"/>
      <w:r>
        <w:rPr>
          <w:rFonts w:hint="eastAsia" w:ascii="仿宋" w:hAnsi="仿宋" w:eastAsia="仿宋"/>
          <w:b/>
          <w:sz w:val="32"/>
          <w:szCs w:val="32"/>
        </w:rPr>
        <w:t>（二）一般公共预算财政拨款支出决算结构情况</w:t>
      </w:r>
      <w:bookmarkEnd w:id="30"/>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22年一般公共预算财政拨款支出2681.65万元，主要用于以下方面</w:t>
      </w:r>
      <w:r>
        <w:rPr>
          <w:rFonts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cs="Times New Roman"/>
          <w:sz w:val="32"/>
          <w:szCs w:val="32"/>
        </w:rPr>
        <w:t>190.5</w:t>
      </w:r>
      <w:r>
        <w:rPr>
          <w:rFonts w:hint="eastAsia" w:ascii="仿宋" w:hAnsi="仿宋" w:eastAsia="仿宋"/>
          <w:sz w:val="32"/>
          <w:szCs w:val="32"/>
        </w:rPr>
        <w:t>万元，占</w:t>
      </w:r>
      <w:r>
        <w:rPr>
          <w:rFonts w:hint="eastAsia" w:ascii="仿宋" w:hAnsi="仿宋" w:eastAsia="仿宋"/>
          <w:sz w:val="32"/>
          <w:szCs w:val="32"/>
          <w:lang w:val="en-US" w:eastAsia="zh-CN"/>
        </w:rPr>
        <w:t>7.1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38.55</w:t>
      </w:r>
      <w:r>
        <w:rPr>
          <w:rFonts w:hint="eastAsia" w:ascii="仿宋" w:hAnsi="仿宋" w:eastAsia="仿宋"/>
          <w:sz w:val="32"/>
          <w:szCs w:val="32"/>
        </w:rPr>
        <w:t>万元，占</w:t>
      </w:r>
      <w:r>
        <w:rPr>
          <w:rFonts w:hint="eastAsia" w:ascii="仿宋" w:hAnsi="仿宋" w:eastAsia="仿宋"/>
          <w:sz w:val="32"/>
          <w:szCs w:val="32"/>
          <w:lang w:val="en-US" w:eastAsia="zh-CN"/>
        </w:rPr>
        <w:t>1.44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s="Times New Roman"/>
          <w:b/>
          <w:bCs/>
          <w:sz w:val="32"/>
          <w:szCs w:val="32"/>
        </w:rPr>
        <w:t>节能环保支出</w:t>
      </w:r>
      <w:r>
        <w:rPr>
          <w:rFonts w:hint="eastAsia" w:ascii="仿宋" w:hAnsi="仿宋" w:eastAsia="仿宋" w:cs="Times New Roman"/>
          <w:sz w:val="32"/>
          <w:szCs w:val="32"/>
          <w:lang w:val="en-US" w:eastAsia="zh-CN"/>
        </w:rPr>
        <w:t>216万元，占8.05%；</w:t>
      </w:r>
      <w:r>
        <w:rPr>
          <w:rFonts w:hint="eastAsia" w:ascii="仿宋" w:hAnsi="仿宋" w:eastAsia="仿宋" w:cs="Times New Roman"/>
          <w:b/>
          <w:bCs/>
          <w:sz w:val="32"/>
          <w:szCs w:val="32"/>
          <w:lang w:val="en-US" w:eastAsia="zh-CN"/>
        </w:rPr>
        <w:t>农林水支出</w:t>
      </w:r>
      <w:r>
        <w:rPr>
          <w:rFonts w:hint="eastAsia" w:ascii="仿宋" w:hAnsi="仿宋" w:eastAsia="仿宋" w:cs="Times New Roman"/>
          <w:sz w:val="32"/>
          <w:szCs w:val="32"/>
          <w:lang w:val="en-US" w:eastAsia="zh-CN"/>
        </w:rPr>
        <w:t>53.1万元，占1.98%；</w:t>
      </w:r>
      <w:r>
        <w:rPr>
          <w:rFonts w:hint="eastAsia" w:ascii="仿宋" w:hAnsi="仿宋" w:eastAsia="仿宋" w:cs="Times New Roman"/>
          <w:b/>
          <w:bCs/>
          <w:sz w:val="32"/>
          <w:szCs w:val="32"/>
          <w:lang w:val="en-US" w:eastAsia="zh-CN"/>
        </w:rPr>
        <w:t>交通运输支出</w:t>
      </w:r>
      <w:r>
        <w:rPr>
          <w:rFonts w:hint="eastAsia" w:ascii="仿宋" w:hAnsi="仿宋" w:eastAsia="仿宋" w:cs="Times New Roman"/>
          <w:sz w:val="32"/>
          <w:szCs w:val="32"/>
          <w:lang w:val="en-US" w:eastAsia="zh-CN"/>
        </w:rPr>
        <w:t>2069.67万元，占77.18%；</w:t>
      </w:r>
      <w:r>
        <w:rPr>
          <w:rFonts w:hint="eastAsia" w:ascii="仿宋" w:hAnsi="仿宋" w:eastAsia="仿宋"/>
          <w:b/>
          <w:bCs/>
          <w:sz w:val="32"/>
          <w:szCs w:val="32"/>
        </w:rPr>
        <w:t>住房保障支出</w:t>
      </w:r>
      <w:r>
        <w:rPr>
          <w:rFonts w:hint="eastAsia" w:ascii="仿宋" w:hAnsi="仿宋" w:eastAsia="仿宋"/>
          <w:sz w:val="32"/>
          <w:szCs w:val="32"/>
          <w:lang w:val="en-US" w:eastAsia="zh-CN"/>
        </w:rPr>
        <w:t>113.83</w:t>
      </w:r>
      <w:r>
        <w:rPr>
          <w:rFonts w:hint="eastAsia" w:ascii="仿宋" w:hAnsi="仿宋" w:eastAsia="仿宋"/>
          <w:sz w:val="32"/>
          <w:szCs w:val="32"/>
        </w:rPr>
        <w:t>万元，占</w:t>
      </w:r>
      <w:r>
        <w:rPr>
          <w:rFonts w:hint="eastAsia" w:ascii="仿宋" w:hAnsi="仿宋" w:eastAsia="仿宋"/>
          <w:sz w:val="32"/>
          <w:szCs w:val="32"/>
          <w:lang w:val="en-US" w:eastAsia="zh-CN"/>
        </w:rPr>
        <w:t>4.24</w:t>
      </w:r>
      <w:r>
        <w:rPr>
          <w:rFonts w:ascii="仿宋" w:hAnsi="仿宋" w:eastAsia="仿宋"/>
          <w:sz w:val="32"/>
          <w:szCs w:val="32"/>
        </w:rPr>
        <w:t>%</w:t>
      </w:r>
      <w:r>
        <w:rPr>
          <w:rFonts w:hint="eastAsia" w:ascii="仿宋" w:hAnsi="仿宋" w:eastAsia="仿宋"/>
          <w:sz w:val="32"/>
          <w:szCs w:val="32"/>
        </w:rPr>
        <w:t>。</w:t>
      </w:r>
    </w:p>
    <w:p>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（注：数据来源于财决01-1表，仅罗列本单位涉及的全部功能分类科目，至类级。）</w:t>
      </w:r>
    </w:p>
    <w:p>
      <w:pPr>
        <w:spacing w:line="600" w:lineRule="exact"/>
        <w:ind w:firstLine="640"/>
        <w:rPr>
          <w:rFonts w:hint="eastAsia" w:ascii="仿宋" w:hAnsi="仿宋" w:eastAsia="仿宋"/>
          <w:sz w:val="32"/>
          <w:szCs w:val="32"/>
          <w:lang w:eastAsia="zh-CN"/>
        </w:rPr>
      </w:pPr>
    </w:p>
    <w:p>
      <w:pPr>
        <w:spacing w:line="600" w:lineRule="exact"/>
        <w:ind w:firstLine="640"/>
        <w:rPr>
          <w:rFonts w:hint="eastAsia" w:ascii="仿宋" w:hAnsi="仿宋" w:eastAsia="仿宋"/>
          <w:sz w:val="32"/>
          <w:szCs w:val="32"/>
          <w:lang w:eastAsia="zh-CN"/>
        </w:rPr>
      </w:pPr>
    </w:p>
    <w:p>
      <w:pPr>
        <w:spacing w:line="600" w:lineRule="exact"/>
        <w:ind w:firstLine="640"/>
        <w:rPr>
          <w:rFonts w:hint="eastAsia" w:ascii="仿宋" w:hAnsi="仿宋" w:eastAsia="仿宋"/>
          <w:sz w:val="32"/>
          <w:szCs w:val="32"/>
          <w:lang w:eastAsia="zh-CN"/>
        </w:rPr>
      </w:pPr>
    </w:p>
    <w:p>
      <w:pPr>
        <w:spacing w:line="600" w:lineRule="exact"/>
        <w:ind w:firstLine="640"/>
        <w:rPr>
          <w:rFonts w:hint="eastAsia" w:ascii="仿宋" w:hAnsi="仿宋" w:eastAsia="仿宋"/>
          <w:sz w:val="32"/>
          <w:szCs w:val="32"/>
          <w:lang w:eastAsia="zh-CN"/>
        </w:rPr>
      </w:pPr>
    </w:p>
    <w:p>
      <w:pPr>
        <w:spacing w:line="600" w:lineRule="exact"/>
        <w:ind w:firstLine="640"/>
        <w:rPr>
          <w:rFonts w:hint="eastAsia" w:ascii="仿宋" w:hAnsi="仿宋" w:eastAsia="仿宋"/>
          <w:sz w:val="32"/>
          <w:szCs w:val="32"/>
          <w:lang w:eastAsia="zh-CN"/>
        </w:rPr>
      </w:pPr>
    </w:p>
    <w:p>
      <w:pPr>
        <w:pStyle w:val="2"/>
        <w:rPr>
          <w:rFonts w:hint="eastAsia"/>
          <w:lang w:eastAsia="zh-CN"/>
        </w:rPr>
      </w:pPr>
    </w:p>
    <w:p>
      <w:pPr>
        <w:spacing w:line="600" w:lineRule="exact"/>
        <w:ind w:firstLine="640"/>
        <w:rPr>
          <w:rFonts w:hint="eastAsia" w:ascii="仿宋" w:hAnsi="仿宋" w:eastAsia="仿宋"/>
          <w:sz w:val="32"/>
          <w:szCs w:val="32"/>
          <w:lang w:eastAsia="zh-CN"/>
        </w:rPr>
      </w:pPr>
    </w:p>
    <w:p>
      <w:pPr>
        <w:spacing w:line="600" w:lineRule="exact"/>
        <w:ind w:firstLine="640"/>
        <w:rPr>
          <w:rFonts w:hint="eastAsia" w:ascii="仿宋" w:hAnsi="仿宋" w:eastAsia="仿宋"/>
          <w:sz w:val="32"/>
          <w:szCs w:val="32"/>
          <w:lang w:eastAsia="zh-CN"/>
        </w:rPr>
      </w:pPr>
    </w:p>
    <w:p>
      <w:pPr>
        <w:spacing w:line="600" w:lineRule="exact"/>
        <w:ind w:firstLine="640"/>
        <w:rPr>
          <w:rFonts w:hint="eastAsia" w:ascii="仿宋" w:hAnsi="仿宋" w:eastAsia="仿宋"/>
          <w:sz w:val="32"/>
          <w:szCs w:val="32"/>
          <w:lang w:eastAsia="zh-CN"/>
        </w:rPr>
      </w:pPr>
    </w:p>
    <w:p>
      <w:pPr>
        <w:spacing w:line="600" w:lineRule="exact"/>
        <w:ind w:firstLine="640"/>
        <w:rPr>
          <w:rFonts w:hint="eastAsia" w:ascii="仿宋" w:hAnsi="仿宋" w:eastAsia="仿宋"/>
          <w:sz w:val="32"/>
          <w:szCs w:val="32"/>
          <w:lang w:eastAsia="zh-CN"/>
        </w:rPr>
      </w:pPr>
    </w:p>
    <w:p>
      <w:pPr>
        <w:spacing w:line="600" w:lineRule="exact"/>
        <w:ind w:firstLine="640"/>
        <w:rPr>
          <w:rFonts w:hint="eastAsia" w:ascii="仿宋" w:hAnsi="仿宋" w:eastAsia="仿宋"/>
          <w:sz w:val="32"/>
          <w:szCs w:val="32"/>
          <w:lang w:eastAsia="zh-CN"/>
        </w:rPr>
      </w:pPr>
    </w:p>
    <w:p>
      <w:pPr>
        <w:spacing w:line="600" w:lineRule="exact"/>
        <w:ind w:firstLine="640"/>
        <w:rPr>
          <w:rFonts w:hint="eastAsia" w:ascii="仿宋" w:hAnsi="仿宋" w:eastAsia="仿宋"/>
          <w:sz w:val="32"/>
          <w:szCs w:val="32"/>
          <w:lang w:eastAsia="zh-CN"/>
        </w:rPr>
      </w:pPr>
    </w:p>
    <w:p>
      <w:pPr>
        <w:pStyle w:val="2"/>
        <w:rPr>
          <w:rFonts w:hint="eastAsia"/>
          <w:lang w:eastAsia="zh-CN"/>
        </w:rPr>
      </w:pPr>
    </w:p>
    <w:p>
      <w:pPr>
        <w:spacing w:line="600" w:lineRule="exact"/>
        <w:ind w:firstLine="640"/>
        <w:rPr>
          <w:rFonts w:hint="eastAsia" w:ascii="仿宋" w:hAnsi="仿宋" w:eastAsia="仿宋"/>
          <w:sz w:val="32"/>
          <w:szCs w:val="32"/>
          <w:lang w:eastAsia="zh-CN"/>
        </w:rPr>
      </w:pPr>
      <w:r>
        <w:rPr>
          <w:rFonts w:hint="eastAsia" w:ascii="仿宋" w:hAnsi="仿宋" w:eastAsia="仿宋"/>
          <w:sz w:val="32"/>
          <w:szCs w:val="32"/>
          <w:lang w:eastAsia="zh-CN"/>
        </w:rPr>
        <w:drawing>
          <wp:anchor distT="0" distB="0" distL="114300" distR="114300" simplePos="0" relativeHeight="251664384" behindDoc="0" locked="0" layoutInCell="1" allowOverlap="1">
            <wp:simplePos x="0" y="0"/>
            <wp:positionH relativeFrom="column">
              <wp:posOffset>410845</wp:posOffset>
            </wp:positionH>
            <wp:positionV relativeFrom="paragraph">
              <wp:posOffset>-3519805</wp:posOffset>
            </wp:positionV>
            <wp:extent cx="5080000" cy="3810000"/>
            <wp:effectExtent l="4445" t="4445" r="20955" b="14605"/>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31" w:name="_Toc15377212"/>
      <w:r>
        <w:rPr>
          <w:rFonts w:hint="eastAsia" w:ascii="仿宋" w:hAnsi="仿宋" w:eastAsia="仿宋"/>
          <w:b/>
          <w:sz w:val="32"/>
          <w:szCs w:val="32"/>
        </w:rPr>
        <w:t>（三）一般公共预算财政拨款支出决算具体情况</w:t>
      </w:r>
      <w:bookmarkEnd w:id="31"/>
    </w:p>
    <w:p>
      <w:pPr>
        <w:spacing w:line="600" w:lineRule="exact"/>
        <w:ind w:firstLine="643" w:firstLineChars="200"/>
        <w:outlineLvl w:val="2"/>
        <w:rPr>
          <w:rFonts w:ascii="仿宋" w:hAnsi="仿宋" w:eastAsia="仿宋"/>
          <w:sz w:val="32"/>
          <w:szCs w:val="32"/>
        </w:rPr>
      </w:pPr>
      <w:bookmarkStart w:id="32" w:name="_Toc15377213"/>
      <w:bookmarkStart w:id="33" w:name="_Toc15377444"/>
      <w:bookmarkStart w:id="34" w:name="_Toc15378460"/>
      <w:r>
        <w:rPr>
          <w:rFonts w:hint="eastAsia" w:ascii="仿宋" w:hAnsi="仿宋" w:eastAsia="仿宋"/>
          <w:b/>
          <w:sz w:val="32"/>
          <w:szCs w:val="32"/>
        </w:rPr>
        <w:t>2022年一般公共预算支出决算数为2681.65</w:t>
      </w:r>
      <w:r>
        <w:rPr>
          <w:rFonts w:hint="eastAsia" w:ascii="仿宋" w:hAnsi="仿宋" w:eastAsia="仿宋"/>
          <w:b/>
          <w:sz w:val="32"/>
          <w:szCs w:val="32"/>
          <w:lang w:val="en-US" w:eastAsia="zh-CN"/>
        </w:rPr>
        <w:t>万元</w:t>
      </w:r>
      <w:r>
        <w:rPr>
          <w:rFonts w:hint="eastAsia" w:ascii="仿宋" w:hAnsi="仿宋" w:eastAsia="仿宋"/>
          <w:sz w:val="32"/>
          <w:szCs w:val="32"/>
        </w:rPr>
        <w:t>，</w:t>
      </w:r>
      <w:r>
        <w:rPr>
          <w:rStyle w:val="15"/>
          <w:rFonts w:hint="eastAsia" w:ascii="仿宋" w:hAnsi="仿宋" w:eastAsia="仿宋"/>
          <w:bCs/>
          <w:sz w:val="32"/>
          <w:szCs w:val="32"/>
        </w:rPr>
        <w:t>完成预算</w:t>
      </w:r>
      <w:r>
        <w:rPr>
          <w:rStyle w:val="15"/>
          <w:rFonts w:hint="eastAsia" w:ascii="仿宋" w:hAnsi="仿宋" w:eastAsia="仿宋"/>
          <w:bCs/>
          <w:sz w:val="32"/>
          <w:szCs w:val="32"/>
          <w:lang w:val="en-US" w:eastAsia="zh-CN"/>
        </w:rPr>
        <w:t>102.03</w:t>
      </w:r>
      <w:r>
        <w:rPr>
          <w:rStyle w:val="15"/>
          <w:rFonts w:ascii="仿宋" w:hAnsi="仿宋" w:eastAsia="仿宋"/>
          <w:bCs/>
          <w:sz w:val="32"/>
          <w:szCs w:val="32"/>
        </w:rPr>
        <w:t>%</w:t>
      </w:r>
      <w:r>
        <w:rPr>
          <w:rStyle w:val="15"/>
          <w:rFonts w:hint="eastAsia" w:ascii="仿宋" w:hAnsi="仿宋" w:eastAsia="仿宋"/>
          <w:bCs/>
          <w:sz w:val="32"/>
          <w:szCs w:val="32"/>
        </w:rPr>
        <w:t>。其中：</w:t>
      </w:r>
      <w:bookmarkEnd w:id="32"/>
      <w:bookmarkEnd w:id="33"/>
      <w:bookmarkEnd w:id="34"/>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1.</w:t>
      </w:r>
      <w:r>
        <w:rPr>
          <w:rStyle w:val="15"/>
          <w:rFonts w:hint="eastAsia" w:ascii="仿宋" w:hAnsi="仿宋" w:eastAsia="仿宋"/>
          <w:bCs/>
          <w:color w:val="000000"/>
          <w:sz w:val="32"/>
          <w:szCs w:val="32"/>
        </w:rPr>
        <w:t>社会保障和就业支出</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color w:val="000000"/>
          <w:sz w:val="32"/>
          <w:szCs w:val="32"/>
        </w:rPr>
        <w:t>（2080505）机关事业单位基本养老保险缴费支</w:t>
      </w:r>
      <w:r>
        <w:rPr>
          <w:rStyle w:val="15"/>
          <w:rFonts w:hint="eastAsia" w:ascii="仿宋" w:hAnsi="仿宋" w:eastAsia="仿宋"/>
          <w:b w:val="0"/>
          <w:bCs/>
          <w:color w:val="000000"/>
          <w:sz w:val="32"/>
          <w:szCs w:val="32"/>
        </w:rPr>
        <w:t>出决算为96.11万元，完成预算100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，决算数等于预算数；（2080506）机关事业单位职业年金缴费支出决算数为48.05万元，完成预算100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，决算数等于预算数；（2080801）死亡抚恤支出决算为21.15万元，完成预算</w:t>
      </w:r>
      <w:r>
        <w:rPr>
          <w:rStyle w:val="15"/>
          <w:rFonts w:hint="eastAsia" w:ascii="仿宋" w:hAnsi="仿宋" w:eastAsia="仿宋"/>
          <w:b w:val="0"/>
          <w:bCs/>
          <w:color w:val="000000"/>
          <w:sz w:val="32"/>
          <w:szCs w:val="32"/>
          <w:lang w:val="en-US" w:eastAsia="zh-CN"/>
        </w:rPr>
        <w:t>442.47</w:t>
      </w:r>
      <w:r>
        <w:rPr>
          <w:rStyle w:val="15"/>
          <w:rFonts w:hint="eastAsia" w:ascii="仿宋" w:hAnsi="仿宋" w:eastAsia="仿宋"/>
          <w:b w:val="0"/>
          <w:bCs/>
          <w:color w:val="000000"/>
          <w:sz w:val="32"/>
          <w:szCs w:val="32"/>
        </w:rPr>
        <w:t>%，决算数</w:t>
      </w:r>
      <w:r>
        <w:rPr>
          <w:rStyle w:val="15"/>
          <w:rFonts w:hint="eastAsia" w:ascii="仿宋" w:hAnsi="仿宋" w:eastAsia="仿宋"/>
          <w:b w:val="0"/>
          <w:bCs/>
          <w:color w:val="000000"/>
          <w:sz w:val="32"/>
          <w:szCs w:val="32"/>
          <w:lang w:val="en-US" w:eastAsia="zh-CN"/>
        </w:rPr>
        <w:t>大</w:t>
      </w:r>
      <w:r>
        <w:rPr>
          <w:rStyle w:val="15"/>
          <w:rFonts w:hint="eastAsia" w:ascii="仿宋" w:hAnsi="仿宋" w:eastAsia="仿宋"/>
          <w:b w:val="0"/>
          <w:bCs/>
          <w:color w:val="000000"/>
          <w:sz w:val="32"/>
          <w:szCs w:val="32"/>
        </w:rPr>
        <w:t>于预算数</w:t>
      </w:r>
      <w:r>
        <w:rPr>
          <w:rStyle w:val="15"/>
          <w:rFonts w:hint="eastAsia" w:ascii="仿宋" w:hAnsi="仿宋" w:eastAsia="仿宋"/>
          <w:b w:val="0"/>
          <w:bCs/>
          <w:color w:val="000000"/>
          <w:sz w:val="32"/>
          <w:szCs w:val="32"/>
          <w:lang w:eastAsia="zh-CN"/>
        </w:rPr>
        <w:t>，</w:t>
      </w:r>
      <w:r>
        <w:rPr>
          <w:rStyle w:val="15"/>
          <w:rFonts w:hint="eastAsia" w:ascii="仿宋" w:hAnsi="仿宋" w:eastAsia="仿宋"/>
          <w:b w:val="0"/>
          <w:bCs/>
          <w:color w:val="000000"/>
          <w:sz w:val="32"/>
          <w:szCs w:val="32"/>
          <w:lang w:val="en-US" w:eastAsia="zh-CN"/>
        </w:rPr>
        <w:t>其中16.37万元为为年初结转结余</w:t>
      </w:r>
      <w:r>
        <w:rPr>
          <w:rStyle w:val="15"/>
          <w:rFonts w:hint="eastAsia" w:ascii="仿宋" w:hAnsi="仿宋" w:eastAsia="仿宋"/>
          <w:b w:val="0"/>
          <w:bCs/>
          <w:color w:val="000000"/>
          <w:sz w:val="32"/>
          <w:szCs w:val="32"/>
        </w:rPr>
        <w:t>；（2080899）其他优抚支出决算数为17.88万元</w:t>
      </w:r>
      <w:r>
        <w:rPr>
          <w:rStyle w:val="15"/>
          <w:rFonts w:hint="eastAsia" w:ascii="仿宋" w:hAnsi="仿宋" w:eastAsia="仿宋"/>
          <w:b w:val="0"/>
          <w:bCs/>
          <w:color w:val="000000"/>
          <w:sz w:val="32"/>
          <w:szCs w:val="32"/>
          <w:lang w:val="en-US" w:eastAsia="zh-CN"/>
        </w:rPr>
        <w:t>,本年预算为0，均为年初结转结余</w:t>
      </w:r>
      <w:r>
        <w:rPr>
          <w:rStyle w:val="15"/>
          <w:rFonts w:hint="eastAsia" w:ascii="仿宋" w:hAnsi="仿宋" w:eastAsia="仿宋"/>
          <w:b w:val="0"/>
          <w:bCs/>
          <w:color w:val="000000"/>
          <w:sz w:val="32"/>
          <w:szCs w:val="32"/>
          <w:lang w:eastAsia="zh-CN"/>
        </w:rPr>
        <w:t>；（2089999）其他社会保障和就业支出决算数为7.31万元，完成预算100%</w:t>
      </w:r>
      <w:r>
        <w:rPr>
          <w:rStyle w:val="15"/>
          <w:rFonts w:hint="eastAsia" w:ascii="仿宋" w:hAnsi="仿宋" w:eastAsia="仿宋"/>
          <w:b w:val="0"/>
          <w:bCs/>
          <w:color w:val="000000"/>
          <w:sz w:val="32"/>
          <w:szCs w:val="32"/>
        </w:rPr>
        <w:t>。</w:t>
      </w:r>
    </w:p>
    <w:p>
      <w:pPr>
        <w:spacing w:line="600" w:lineRule="exact"/>
        <w:ind w:firstLine="643" w:firstLineChars="200"/>
        <w:rPr>
          <w:rStyle w:val="15"/>
          <w:rFonts w:hint="eastAsia" w:ascii="仿宋" w:hAnsi="仿宋" w:eastAsia="仿宋"/>
          <w:b w:val="0"/>
          <w:bCs/>
          <w:color w:val="000000"/>
          <w:sz w:val="32"/>
          <w:szCs w:val="32"/>
        </w:rPr>
      </w:pPr>
      <w:r>
        <w:rPr>
          <w:rStyle w:val="15"/>
          <w:rFonts w:hint="eastAsia" w:ascii="仿宋" w:hAnsi="仿宋" w:eastAsia="仿宋"/>
          <w:bCs/>
          <w:color w:val="000000"/>
          <w:sz w:val="32"/>
          <w:szCs w:val="32"/>
        </w:rPr>
        <w:t>2</w:t>
      </w:r>
      <w:r>
        <w:rPr>
          <w:rStyle w:val="15"/>
          <w:rFonts w:ascii="仿宋" w:hAnsi="仿宋" w:eastAsia="仿宋"/>
          <w:bCs/>
          <w:color w:val="000000"/>
          <w:sz w:val="32"/>
          <w:szCs w:val="32"/>
        </w:rPr>
        <w:t>.</w:t>
      </w:r>
      <w:r>
        <w:rPr>
          <w:rFonts w:hint="eastAsia" w:ascii="仿宋" w:hAnsi="仿宋" w:eastAsia="仿宋"/>
          <w:b/>
          <w:bCs/>
          <w:color w:val="000000" w:themeColor="text1"/>
          <w:sz w:val="32"/>
          <w:szCs w:val="32"/>
          <w14:textFill>
            <w14:solidFill>
              <w14:schemeClr w14:val="tx1"/>
            </w14:solidFill>
          </w14:textFill>
        </w:rPr>
        <w:t>卫生健康支出</w:t>
      </w:r>
      <w:r>
        <w:rPr>
          <w:rFonts w:hint="eastAsia" w:ascii="仿宋" w:hAnsi="仿宋" w:eastAsia="仿宋"/>
          <w:b/>
          <w:bCs/>
          <w:color w:val="000000" w:themeColor="text1"/>
          <w:sz w:val="32"/>
          <w:szCs w:val="32"/>
          <w:lang w:eastAsia="zh-CN"/>
          <w14:textFill>
            <w14:solidFill>
              <w14:schemeClr w14:val="tx1"/>
            </w14:solidFill>
          </w14:textFill>
        </w:rPr>
        <w:t>：</w:t>
      </w:r>
      <w:r>
        <w:rPr>
          <w:rStyle w:val="15"/>
          <w:rFonts w:hint="eastAsia" w:ascii="仿宋" w:hAnsi="仿宋" w:eastAsia="仿宋" w:cs="Times New Roman"/>
          <w:b w:val="0"/>
          <w:bCs/>
          <w:color w:val="000000"/>
          <w:sz w:val="32"/>
          <w:szCs w:val="32"/>
        </w:rPr>
        <w:t>（2101102）事业单位医疗</w:t>
      </w:r>
      <w:r>
        <w:rPr>
          <w:rStyle w:val="15"/>
          <w:rFonts w:hint="eastAsia" w:ascii="仿宋" w:hAnsi="仿宋" w:eastAsia="仿宋"/>
          <w:b w:val="0"/>
          <w:bCs/>
          <w:color w:val="000000"/>
          <w:sz w:val="32"/>
          <w:szCs w:val="32"/>
        </w:rPr>
        <w:t>支出决算为38.55万元，完成预算100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，决算数等于预算数。</w:t>
      </w:r>
    </w:p>
    <w:p>
      <w:pPr>
        <w:pStyle w:val="2"/>
        <w:ind w:firstLine="640"/>
        <w:rPr>
          <w:rStyle w:val="15"/>
          <w:rFonts w:hint="eastAsia" w:ascii="仿宋" w:hAnsi="仿宋" w:eastAsia="仿宋" w:cs="Times New Roman"/>
          <w:b w:val="0"/>
          <w:bCs/>
          <w:color w:val="000000"/>
          <w:kern w:val="2"/>
          <w:sz w:val="32"/>
          <w:szCs w:val="32"/>
          <w:lang w:val="en-US" w:eastAsia="zh-CN" w:bidi="ar-SA"/>
        </w:rPr>
      </w:pPr>
      <w:r>
        <w:rPr>
          <w:rStyle w:val="15"/>
          <w:rFonts w:hint="eastAsia" w:ascii="仿宋" w:hAnsi="仿宋" w:eastAsia="仿宋" w:cs="Times New Roman"/>
          <w:bCs/>
          <w:color w:val="000000"/>
          <w:kern w:val="2"/>
          <w:sz w:val="32"/>
          <w:szCs w:val="32"/>
          <w:lang w:val="en-US" w:eastAsia="zh-CN" w:bidi="ar-SA"/>
        </w:rPr>
        <w:t>3.节能环保支出：</w:t>
      </w:r>
      <w:r>
        <w:rPr>
          <w:rStyle w:val="15"/>
          <w:rFonts w:hint="eastAsia" w:ascii="仿宋" w:hAnsi="仿宋" w:eastAsia="仿宋" w:cs="Times New Roman"/>
          <w:b w:val="0"/>
          <w:bCs/>
          <w:color w:val="000000"/>
          <w:kern w:val="2"/>
          <w:sz w:val="32"/>
          <w:szCs w:val="32"/>
          <w:lang w:val="en-US" w:eastAsia="zh-CN" w:bidi="ar-SA"/>
        </w:rPr>
        <w:t>（2111001）能源节约利用支出决算为216万元，完成预算100%，决算数等于预算数。</w:t>
      </w:r>
    </w:p>
    <w:p>
      <w:pPr>
        <w:pStyle w:val="2"/>
        <w:ind w:firstLine="640"/>
        <w:rPr>
          <w:rStyle w:val="15"/>
          <w:rFonts w:hint="default" w:ascii="仿宋" w:hAnsi="仿宋" w:eastAsia="仿宋" w:cs="Times New Roman"/>
          <w:b w:val="0"/>
          <w:bCs/>
          <w:color w:val="000000"/>
          <w:kern w:val="2"/>
          <w:sz w:val="32"/>
          <w:szCs w:val="32"/>
          <w:lang w:val="en-US" w:eastAsia="zh-CN" w:bidi="ar-SA"/>
        </w:rPr>
      </w:pPr>
      <w:r>
        <w:rPr>
          <w:rStyle w:val="15"/>
          <w:rFonts w:hint="eastAsia" w:ascii="仿宋" w:hAnsi="仿宋" w:eastAsia="仿宋" w:cs="Times New Roman"/>
          <w:bCs/>
          <w:color w:val="000000"/>
          <w:kern w:val="2"/>
          <w:sz w:val="32"/>
          <w:szCs w:val="32"/>
          <w:lang w:val="en-US" w:eastAsia="zh-CN" w:bidi="ar-SA"/>
        </w:rPr>
        <w:t>4</w:t>
      </w:r>
      <w:r>
        <w:rPr>
          <w:rStyle w:val="15"/>
          <w:rFonts w:hint="default" w:ascii="仿宋" w:hAnsi="仿宋" w:eastAsia="仿宋" w:cs="Times New Roman"/>
          <w:bCs/>
          <w:color w:val="000000"/>
          <w:kern w:val="2"/>
          <w:sz w:val="32"/>
          <w:szCs w:val="32"/>
          <w:lang w:val="en-US" w:eastAsia="zh-CN" w:bidi="ar-SA"/>
        </w:rPr>
        <w:t>.</w:t>
      </w:r>
      <w:r>
        <w:rPr>
          <w:rStyle w:val="15"/>
          <w:rFonts w:hint="eastAsia" w:ascii="仿宋" w:hAnsi="仿宋" w:eastAsia="仿宋" w:cs="Times New Roman"/>
          <w:bCs/>
          <w:color w:val="000000"/>
          <w:kern w:val="2"/>
          <w:sz w:val="32"/>
          <w:szCs w:val="32"/>
          <w:lang w:val="en-US" w:eastAsia="zh-CN" w:bidi="ar-SA"/>
        </w:rPr>
        <w:t>农林水支出</w:t>
      </w:r>
      <w:r>
        <w:rPr>
          <w:rStyle w:val="15"/>
          <w:rFonts w:hint="default" w:ascii="仿宋" w:hAnsi="仿宋" w:eastAsia="仿宋" w:cs="Times New Roman"/>
          <w:bCs/>
          <w:color w:val="000000"/>
          <w:kern w:val="2"/>
          <w:sz w:val="32"/>
          <w:szCs w:val="32"/>
          <w:lang w:val="en-US" w:eastAsia="zh-CN" w:bidi="ar-SA"/>
        </w:rPr>
        <w:t>：</w:t>
      </w:r>
      <w:r>
        <w:rPr>
          <w:rStyle w:val="15"/>
          <w:rFonts w:hint="default" w:ascii="仿宋" w:hAnsi="仿宋" w:eastAsia="仿宋" w:cs="Times New Roman"/>
          <w:b w:val="0"/>
          <w:bCs/>
          <w:color w:val="000000"/>
          <w:kern w:val="2"/>
          <w:sz w:val="32"/>
          <w:szCs w:val="32"/>
          <w:lang w:val="en-US" w:eastAsia="zh-CN" w:bidi="ar-SA"/>
        </w:rPr>
        <w:t>（2130504）农村基础设施建设支出决算为</w:t>
      </w:r>
      <w:r>
        <w:rPr>
          <w:rStyle w:val="15"/>
          <w:rFonts w:hint="eastAsia" w:ascii="仿宋" w:hAnsi="仿宋" w:eastAsia="仿宋" w:cs="Times New Roman"/>
          <w:b w:val="0"/>
          <w:bCs/>
          <w:color w:val="000000"/>
          <w:kern w:val="2"/>
          <w:sz w:val="32"/>
          <w:szCs w:val="32"/>
          <w:lang w:val="en-US" w:eastAsia="zh-CN" w:bidi="ar-SA"/>
        </w:rPr>
        <w:t>53.1</w:t>
      </w:r>
      <w:r>
        <w:rPr>
          <w:rStyle w:val="15"/>
          <w:rFonts w:hint="default" w:ascii="仿宋" w:hAnsi="仿宋" w:eastAsia="仿宋" w:cs="Times New Roman"/>
          <w:b w:val="0"/>
          <w:bCs/>
          <w:color w:val="000000"/>
          <w:kern w:val="2"/>
          <w:sz w:val="32"/>
          <w:szCs w:val="32"/>
          <w:lang w:val="en-US" w:eastAsia="zh-CN" w:bidi="ar-SA"/>
        </w:rPr>
        <w:t>万元，完成预算100%，决算数等于预算数。</w:t>
      </w:r>
    </w:p>
    <w:p>
      <w:pPr>
        <w:spacing w:line="600" w:lineRule="exact"/>
        <w:ind w:firstLine="643" w:firstLineChars="200"/>
        <w:rPr>
          <w:rStyle w:val="15"/>
          <w:rFonts w:ascii="仿宋" w:hAnsi="仿宋" w:eastAsia="仿宋"/>
          <w:b w:val="0"/>
          <w:bCs/>
          <w:color w:val="000000"/>
          <w:sz w:val="32"/>
          <w:szCs w:val="32"/>
        </w:rPr>
      </w:pPr>
      <w:r>
        <w:rPr>
          <w:rStyle w:val="15"/>
          <w:rFonts w:hint="eastAsia" w:ascii="仿宋" w:hAnsi="仿宋" w:eastAsia="仿宋"/>
          <w:color w:val="000000"/>
          <w:sz w:val="32"/>
          <w:szCs w:val="32"/>
          <w:lang w:val="en-US" w:eastAsia="zh-CN"/>
        </w:rPr>
        <w:t>5.</w:t>
      </w:r>
      <w:r>
        <w:rPr>
          <w:rStyle w:val="15"/>
          <w:rFonts w:hint="eastAsia" w:ascii="仿宋" w:hAnsi="仿宋" w:eastAsia="仿宋"/>
          <w:color w:val="000000"/>
          <w:sz w:val="32"/>
          <w:szCs w:val="32"/>
        </w:rPr>
        <w:t>交通运输支出：</w:t>
      </w:r>
      <w:r>
        <w:rPr>
          <w:rStyle w:val="15"/>
          <w:rFonts w:hint="eastAsia" w:ascii="仿宋" w:hAnsi="仿宋" w:eastAsia="仿宋"/>
          <w:b w:val="0"/>
          <w:bCs/>
          <w:color w:val="000000"/>
          <w:sz w:val="32"/>
          <w:szCs w:val="32"/>
        </w:rPr>
        <w:t>（2140106）公路养护支出决算为2025.76万元，完成预算100</w:t>
      </w:r>
      <w:r>
        <w:rPr>
          <w:rStyle w:val="15"/>
          <w:rFonts w:hint="eastAsia" w:ascii="仿宋" w:hAnsi="仿宋" w:eastAsia="仿宋"/>
          <w:b w:val="0"/>
          <w:bCs/>
          <w:color w:val="000000"/>
          <w:sz w:val="32"/>
          <w:szCs w:val="32"/>
          <w:lang w:val="en-US" w:eastAsia="zh-CN"/>
        </w:rPr>
        <w:t>.29</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w:t>
      </w:r>
      <w:r>
        <w:rPr>
          <w:rStyle w:val="15"/>
          <w:rFonts w:hint="eastAsia" w:ascii="仿宋" w:hAnsi="仿宋" w:eastAsia="仿宋"/>
          <w:b w:val="0"/>
          <w:bCs/>
          <w:color w:val="000000"/>
          <w:sz w:val="32"/>
          <w:szCs w:val="32"/>
          <w:lang w:val="en-US" w:eastAsia="zh-CN"/>
        </w:rPr>
        <w:t>大</w:t>
      </w:r>
      <w:r>
        <w:rPr>
          <w:rStyle w:val="15"/>
          <w:rFonts w:hint="eastAsia" w:ascii="仿宋" w:hAnsi="仿宋" w:eastAsia="仿宋"/>
          <w:b w:val="0"/>
          <w:bCs/>
          <w:color w:val="000000"/>
          <w:sz w:val="32"/>
          <w:szCs w:val="32"/>
        </w:rPr>
        <w:t>于预算数</w:t>
      </w:r>
      <w:r>
        <w:rPr>
          <w:rStyle w:val="15"/>
          <w:rFonts w:hint="eastAsia" w:ascii="仿宋" w:hAnsi="仿宋" w:eastAsia="仿宋"/>
          <w:b w:val="0"/>
          <w:bCs/>
          <w:color w:val="000000"/>
          <w:sz w:val="32"/>
          <w:szCs w:val="32"/>
          <w:lang w:eastAsia="zh-CN"/>
        </w:rPr>
        <w:t>，</w:t>
      </w:r>
      <w:r>
        <w:rPr>
          <w:rStyle w:val="15"/>
          <w:rFonts w:hint="eastAsia" w:ascii="仿宋" w:hAnsi="仿宋" w:eastAsia="仿宋"/>
          <w:b w:val="0"/>
          <w:bCs/>
          <w:color w:val="000000"/>
          <w:sz w:val="32"/>
          <w:szCs w:val="32"/>
          <w:lang w:val="en-US" w:eastAsia="zh-CN"/>
        </w:rPr>
        <w:t>其中5.28万元为年初结转结余</w:t>
      </w:r>
      <w:r>
        <w:rPr>
          <w:rStyle w:val="15"/>
          <w:rFonts w:hint="eastAsia" w:ascii="仿宋" w:hAnsi="仿宋" w:eastAsia="仿宋"/>
          <w:b w:val="0"/>
          <w:bCs/>
          <w:color w:val="000000"/>
          <w:sz w:val="32"/>
          <w:szCs w:val="32"/>
        </w:rPr>
        <w:t>；（2140199）其他公路水路运输支出决算为43.91万元，预算数为</w:t>
      </w:r>
      <w:r>
        <w:rPr>
          <w:rStyle w:val="15"/>
          <w:rFonts w:hint="eastAsia" w:ascii="仿宋" w:hAnsi="仿宋" w:eastAsia="仿宋"/>
          <w:b w:val="0"/>
          <w:bCs/>
          <w:color w:val="000000"/>
          <w:sz w:val="32"/>
          <w:szCs w:val="32"/>
          <w:lang w:val="en-US" w:eastAsia="zh-CN"/>
        </w:rPr>
        <w:t>30.55</w:t>
      </w:r>
      <w:r>
        <w:rPr>
          <w:rStyle w:val="15"/>
          <w:rFonts w:hint="eastAsia" w:ascii="仿宋" w:hAnsi="仿宋" w:eastAsia="仿宋"/>
          <w:b w:val="0"/>
          <w:bCs/>
          <w:color w:val="000000"/>
          <w:sz w:val="32"/>
          <w:szCs w:val="32"/>
        </w:rPr>
        <w:t>，决算数大于预算数，其中</w:t>
      </w:r>
      <w:r>
        <w:rPr>
          <w:rStyle w:val="15"/>
          <w:rFonts w:hint="eastAsia" w:ascii="仿宋" w:hAnsi="仿宋" w:eastAsia="仿宋"/>
          <w:b w:val="0"/>
          <w:bCs/>
          <w:color w:val="000000"/>
          <w:sz w:val="32"/>
          <w:szCs w:val="32"/>
          <w:lang w:val="en-US" w:eastAsia="zh-CN"/>
        </w:rPr>
        <w:t>13.36</w:t>
      </w:r>
      <w:r>
        <w:rPr>
          <w:rStyle w:val="15"/>
          <w:rFonts w:hint="eastAsia" w:ascii="仿宋" w:hAnsi="仿宋" w:eastAsia="仿宋"/>
          <w:b w:val="0"/>
          <w:bCs/>
          <w:color w:val="000000"/>
          <w:sz w:val="32"/>
          <w:szCs w:val="32"/>
        </w:rPr>
        <w:t>万元为年初结转结余。</w:t>
      </w:r>
    </w:p>
    <w:p>
      <w:pPr>
        <w:spacing w:line="600" w:lineRule="exact"/>
        <w:ind w:firstLine="643" w:firstLineChars="200"/>
        <w:rPr>
          <w:rFonts w:ascii="仿宋" w:hAnsi="仿宋" w:eastAsia="仿宋"/>
          <w:color w:val="000000"/>
          <w:sz w:val="32"/>
          <w:szCs w:val="32"/>
        </w:rPr>
      </w:pPr>
      <w:r>
        <w:rPr>
          <w:rStyle w:val="15"/>
          <w:rFonts w:hint="eastAsia" w:ascii="仿宋" w:hAnsi="仿宋" w:eastAsia="仿宋"/>
          <w:color w:val="000000"/>
          <w:sz w:val="32"/>
          <w:szCs w:val="32"/>
          <w:lang w:val="en-US" w:eastAsia="zh-CN"/>
        </w:rPr>
        <w:t>6</w:t>
      </w:r>
      <w:r>
        <w:rPr>
          <w:rStyle w:val="15"/>
          <w:rFonts w:hint="eastAsia" w:ascii="仿宋" w:hAnsi="仿宋" w:eastAsia="仿宋"/>
          <w:color w:val="000000"/>
          <w:sz w:val="32"/>
          <w:szCs w:val="32"/>
        </w:rPr>
        <w:t>.住房保障支出</w:t>
      </w:r>
      <w:r>
        <w:rPr>
          <w:rStyle w:val="15"/>
          <w:rFonts w:hint="eastAsia" w:ascii="仿宋" w:hAnsi="仿宋" w:eastAsia="仿宋"/>
          <w:color w:val="000000"/>
          <w:sz w:val="32"/>
          <w:szCs w:val="32"/>
          <w:lang w:eastAsia="zh-CN"/>
        </w:rPr>
        <w:t>：</w:t>
      </w:r>
      <w:r>
        <w:rPr>
          <w:rStyle w:val="15"/>
          <w:rFonts w:hint="eastAsia" w:ascii="仿宋" w:hAnsi="仿宋" w:eastAsia="仿宋" w:cs="Times New Roman"/>
          <w:b w:val="0"/>
          <w:bCs/>
          <w:color w:val="000000"/>
          <w:sz w:val="32"/>
          <w:szCs w:val="32"/>
        </w:rPr>
        <w:t>（2210201）住房公积金</w:t>
      </w:r>
      <w:r>
        <w:rPr>
          <w:rStyle w:val="15"/>
          <w:rFonts w:hint="eastAsia" w:ascii="仿宋" w:hAnsi="仿宋" w:eastAsia="仿宋"/>
          <w:b w:val="0"/>
          <w:bCs/>
          <w:color w:val="000000"/>
          <w:sz w:val="32"/>
          <w:szCs w:val="32"/>
        </w:rPr>
        <w:t>支出决算为113.83万元，完成预算100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，决算数等于预算数。</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1-1表和财决08表，仅罗列本单位涉及的全部功能分类科目，至项级。上述“预算”口径为全年预算数。增减变动原因为决算数</w:t>
      </w:r>
      <w:r>
        <w:rPr>
          <w:rFonts w:ascii="仿宋" w:hAnsi="仿宋" w:eastAsia="仿宋"/>
          <w:b/>
          <w:sz w:val="32"/>
          <w:szCs w:val="32"/>
        </w:rPr>
        <w:t>&lt;</w:t>
      </w:r>
      <w:r>
        <w:rPr>
          <w:rFonts w:hint="eastAsia" w:ascii="仿宋" w:hAnsi="仿宋" w:eastAsia="仿宋"/>
          <w:b/>
          <w:sz w:val="32"/>
          <w:szCs w:val="32"/>
        </w:rPr>
        <w:t>项级</w:t>
      </w:r>
      <w:r>
        <w:rPr>
          <w:rFonts w:ascii="仿宋" w:hAnsi="仿宋" w:eastAsia="仿宋"/>
          <w:b/>
          <w:sz w:val="32"/>
          <w:szCs w:val="32"/>
        </w:rPr>
        <w:t>&gt;</w:t>
      </w:r>
      <w:r>
        <w:rPr>
          <w:rFonts w:hint="eastAsia" w:ascii="仿宋" w:hAnsi="仿宋" w:eastAsia="仿宋"/>
          <w:b/>
          <w:sz w:val="32"/>
          <w:szCs w:val="32"/>
        </w:rPr>
        <w:t>和全年预算数</w:t>
      </w:r>
      <w:r>
        <w:rPr>
          <w:rFonts w:ascii="仿宋" w:hAnsi="仿宋" w:eastAsia="仿宋"/>
          <w:b/>
          <w:sz w:val="32"/>
          <w:szCs w:val="32"/>
        </w:rPr>
        <w:t>&lt;</w:t>
      </w:r>
      <w:r>
        <w:rPr>
          <w:rFonts w:hint="eastAsia" w:ascii="仿宋" w:hAnsi="仿宋" w:eastAsia="仿宋"/>
          <w:b/>
          <w:sz w:val="32"/>
          <w:szCs w:val="32"/>
        </w:rPr>
        <w:t>项级</w:t>
      </w:r>
      <w:r>
        <w:rPr>
          <w:rFonts w:ascii="仿宋" w:hAnsi="仿宋" w:eastAsia="仿宋"/>
          <w:b/>
          <w:sz w:val="32"/>
          <w:szCs w:val="32"/>
        </w:rPr>
        <w:t>&gt;</w:t>
      </w:r>
      <w:r>
        <w:rPr>
          <w:rFonts w:hint="eastAsia" w:ascii="仿宋" w:hAnsi="仿宋" w:eastAsia="仿宋"/>
          <w:b/>
          <w:sz w:val="32"/>
          <w:szCs w:val="32"/>
        </w:rPr>
        <w:t>比较，与预算数持平可以不写原因。）</w:t>
      </w:r>
    </w:p>
    <w:p>
      <w:pPr>
        <w:spacing w:line="600" w:lineRule="exact"/>
        <w:ind w:firstLine="640"/>
        <w:rPr>
          <w:rFonts w:ascii="仿宋" w:hAnsi="仿宋" w:eastAsia="仿宋"/>
          <w:b/>
          <w:sz w:val="32"/>
          <w:szCs w:val="32"/>
        </w:rPr>
      </w:pPr>
    </w:p>
    <w:p>
      <w:pPr>
        <w:tabs>
          <w:tab w:val="right" w:pos="8306"/>
        </w:tabs>
        <w:spacing w:line="600" w:lineRule="exact"/>
        <w:ind w:firstLine="640"/>
        <w:outlineLvl w:val="1"/>
        <w:rPr>
          <w:rStyle w:val="26"/>
        </w:rPr>
      </w:pPr>
      <w:bookmarkStart w:id="35" w:name="_Toc15377214"/>
      <w:bookmarkStart w:id="36"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6"/>
          <w:rFonts w:hint="eastAsia" w:ascii="黑体" w:hAnsi="黑体" w:eastAsia="黑体"/>
          <w:b w:val="0"/>
        </w:rPr>
        <w:t>般公共预算财政拨款基本支出决算情况说明</w:t>
      </w:r>
      <w:bookmarkEnd w:id="35"/>
      <w:bookmarkEnd w:id="36"/>
      <w:r>
        <w:rPr>
          <w:rStyle w:val="26"/>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22年一般公共预算财政拨款基本支出2231.9万元，其中：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1515.3万元，主要包括：基本工资、津贴补贴、奖金、绩效工资、机关事业单位基本养老保险缴费、职业年金缴费、其他社会保障缴费、抚恤金、生活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公用经费716.6万元，主要包括：办公费、水费、电费、邮电费、物业管理费、差旅费、维修（护）费</w:t>
      </w:r>
      <w:r>
        <w:rPr>
          <w:rFonts w:hint="eastAsia" w:ascii="仿宋" w:hAnsi="仿宋" w:eastAsia="仿宋"/>
          <w:sz w:val="32"/>
          <w:szCs w:val="32"/>
          <w:lang w:eastAsia="zh-CN"/>
        </w:rPr>
        <w:t>、</w:t>
      </w:r>
      <w:r>
        <w:rPr>
          <w:rFonts w:hint="eastAsia" w:ascii="仿宋" w:hAnsi="仿宋" w:eastAsia="仿宋"/>
          <w:sz w:val="32"/>
          <w:szCs w:val="32"/>
        </w:rPr>
        <w:t>培训费、公务接待费、劳务费、委托业务费、工会经费、福利费、公务用车运行维护费、其他商品和服务支出、办公设备购置。</w:t>
      </w:r>
    </w:p>
    <w:p>
      <w:pPr>
        <w:spacing w:line="600" w:lineRule="exact"/>
        <w:ind w:firstLine="645"/>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7表和财决08-1表，仅罗列本单位实际支出涉及的经济分类科目。）</w:t>
      </w:r>
    </w:p>
    <w:p>
      <w:pPr>
        <w:spacing w:line="600" w:lineRule="exact"/>
        <w:ind w:firstLine="640"/>
        <w:rPr>
          <w:rFonts w:ascii="仿宋" w:hAnsi="仿宋" w:eastAsia="仿宋"/>
          <w:b/>
          <w:sz w:val="32"/>
          <w:szCs w:val="32"/>
        </w:rPr>
      </w:pPr>
    </w:p>
    <w:p>
      <w:pPr>
        <w:spacing w:line="600" w:lineRule="exact"/>
        <w:ind w:firstLine="640"/>
        <w:outlineLvl w:val="1"/>
        <w:rPr>
          <w:rStyle w:val="26"/>
          <w:rFonts w:ascii="黑体" w:hAnsi="黑体" w:eastAsia="黑体"/>
          <w:b w:val="0"/>
        </w:rPr>
      </w:pPr>
      <w:bookmarkStart w:id="37" w:name="_Toc15377215"/>
      <w:bookmarkStart w:id="38" w:name="_Toc15396609"/>
      <w:r>
        <w:rPr>
          <w:rFonts w:hint="eastAsia" w:ascii="黑体" w:eastAsia="黑体"/>
          <w:sz w:val="32"/>
          <w:szCs w:val="32"/>
        </w:rPr>
        <w:t>七、</w:t>
      </w:r>
      <w:r>
        <w:rPr>
          <w:rStyle w:val="26"/>
          <w:rFonts w:hint="eastAsia" w:ascii="黑体" w:hAnsi="黑体" w:eastAsia="黑体"/>
          <w:b w:val="0"/>
        </w:rPr>
        <w:t>财政拨款</w:t>
      </w:r>
      <w:r>
        <w:rPr>
          <w:rStyle w:val="26"/>
          <w:rFonts w:hint="eastAsia" w:ascii="黑体" w:hAnsi="黑体" w:eastAsia="黑体"/>
        </w:rPr>
        <w:t>“</w:t>
      </w:r>
      <w:r>
        <w:rPr>
          <w:rStyle w:val="26"/>
          <w:rFonts w:hint="eastAsia" w:ascii="黑体" w:hAnsi="黑体" w:eastAsia="黑体"/>
          <w:b w:val="0"/>
        </w:rPr>
        <w:t>三公”经费支出决算情况说明</w:t>
      </w:r>
      <w:bookmarkEnd w:id="37"/>
      <w:bookmarkEnd w:id="38"/>
    </w:p>
    <w:p>
      <w:pPr>
        <w:spacing w:line="600" w:lineRule="exact"/>
        <w:ind w:firstLine="640"/>
        <w:outlineLvl w:val="2"/>
        <w:rPr>
          <w:rFonts w:ascii="仿宋" w:hAnsi="仿宋" w:eastAsia="仿宋"/>
          <w:b/>
          <w:sz w:val="32"/>
          <w:szCs w:val="32"/>
        </w:rPr>
      </w:pPr>
      <w:bookmarkStart w:id="39" w:name="_Toc15377216"/>
      <w:r>
        <w:rPr>
          <w:rFonts w:hint="eastAsia" w:ascii="仿宋" w:hAnsi="仿宋" w:eastAsia="仿宋"/>
          <w:b/>
          <w:sz w:val="32"/>
          <w:szCs w:val="32"/>
        </w:rPr>
        <w:t>（一）“三公”经费财政拨款支出决算总体情况说明</w:t>
      </w:r>
      <w:bookmarkEnd w:id="3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11.66</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，较上年增加</w:t>
      </w:r>
      <w:r>
        <w:rPr>
          <w:rFonts w:hint="eastAsia" w:ascii="仿宋" w:hAnsi="仿宋" w:eastAsia="仿宋"/>
          <w:sz w:val="32"/>
          <w:szCs w:val="32"/>
          <w:lang w:val="en-US" w:eastAsia="zh-CN"/>
        </w:rPr>
        <w:t>8.84</w:t>
      </w:r>
      <w:r>
        <w:rPr>
          <w:rFonts w:hint="eastAsia" w:ascii="仿宋" w:hAnsi="仿宋" w:eastAsia="仿宋"/>
          <w:sz w:val="32"/>
          <w:szCs w:val="32"/>
        </w:rPr>
        <w:t>万元，增长</w:t>
      </w:r>
      <w:r>
        <w:rPr>
          <w:rFonts w:hint="eastAsia" w:ascii="仿宋" w:hAnsi="仿宋" w:eastAsia="仿宋"/>
          <w:sz w:val="32"/>
          <w:szCs w:val="32"/>
          <w:lang w:val="en-US" w:eastAsia="zh-CN"/>
        </w:rPr>
        <w:t>313.48</w:t>
      </w:r>
      <w:r>
        <w:rPr>
          <w:rFonts w:hint="eastAsia" w:ascii="仿宋" w:hAnsi="仿宋" w:eastAsia="仿宋"/>
          <w:sz w:val="32"/>
          <w:szCs w:val="32"/>
        </w:rPr>
        <w:t>%。决算数</w:t>
      </w:r>
      <w:r>
        <w:rPr>
          <w:rFonts w:hint="eastAsia" w:ascii="仿宋" w:hAnsi="仿宋" w:eastAsia="仿宋"/>
          <w:sz w:val="32"/>
          <w:szCs w:val="32"/>
          <w:lang w:val="en-US" w:eastAsia="zh-CN"/>
        </w:rPr>
        <w:t>等</w:t>
      </w:r>
      <w:r>
        <w:rPr>
          <w:rFonts w:hint="eastAsia" w:ascii="仿宋" w:hAnsi="仿宋" w:eastAsia="仿宋"/>
          <w:sz w:val="32"/>
          <w:szCs w:val="32"/>
        </w:rPr>
        <w:t>于预算数。</w:t>
      </w:r>
    </w:p>
    <w:p>
      <w:pPr>
        <w:spacing w:line="600" w:lineRule="exact"/>
        <w:ind w:firstLine="640"/>
        <w:rPr>
          <w:rFonts w:ascii="仿宋" w:hAnsi="仿宋" w:eastAsia="仿宋"/>
          <w:b/>
          <w:sz w:val="32"/>
          <w:szCs w:val="32"/>
        </w:rPr>
      </w:pPr>
      <w:r>
        <w:rPr>
          <w:rFonts w:hint="eastAsia" w:ascii="仿宋" w:hAnsi="仿宋" w:eastAsia="仿宋"/>
          <w:b/>
          <w:sz w:val="32"/>
          <w:szCs w:val="32"/>
        </w:rPr>
        <w:t>（注：上述“预算”口径为全年预算数，包括一般公共预算和政府性基金预算财政拨款支出决算情况。）</w:t>
      </w:r>
    </w:p>
    <w:p>
      <w:pPr>
        <w:spacing w:line="600" w:lineRule="exact"/>
        <w:ind w:firstLine="640"/>
        <w:outlineLvl w:val="2"/>
        <w:rPr>
          <w:rFonts w:ascii="仿宋" w:hAnsi="仿宋" w:eastAsia="仿宋"/>
          <w:b/>
          <w:sz w:val="32"/>
          <w:szCs w:val="32"/>
        </w:rPr>
      </w:pPr>
      <w:bookmarkStart w:id="40" w:name="_Toc15377217"/>
      <w:r>
        <w:rPr>
          <w:rFonts w:hint="eastAsia" w:ascii="仿宋" w:hAnsi="仿宋" w:eastAsia="仿宋"/>
          <w:b/>
          <w:sz w:val="32"/>
          <w:szCs w:val="32"/>
        </w:rPr>
        <w:t>（二）“三公”经费财政拨款支出决算具体情况说明</w:t>
      </w:r>
      <w:bookmarkEnd w:id="40"/>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11.37</w:t>
      </w:r>
      <w:r>
        <w:rPr>
          <w:rFonts w:hint="eastAsia" w:ascii="仿宋" w:hAnsi="仿宋" w:eastAsia="仿宋"/>
          <w:sz w:val="32"/>
          <w:szCs w:val="32"/>
        </w:rPr>
        <w:t>万元，占</w:t>
      </w:r>
      <w:r>
        <w:rPr>
          <w:rFonts w:hint="eastAsia" w:ascii="仿宋" w:hAnsi="仿宋" w:eastAsia="仿宋"/>
          <w:sz w:val="32"/>
          <w:szCs w:val="32"/>
          <w:lang w:val="en-US" w:eastAsia="zh-CN"/>
        </w:rPr>
        <w:t>97.51</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0.29</w:t>
      </w:r>
      <w:r>
        <w:rPr>
          <w:rFonts w:hint="eastAsia" w:ascii="仿宋" w:hAnsi="仿宋" w:eastAsia="仿宋"/>
          <w:sz w:val="32"/>
          <w:szCs w:val="32"/>
        </w:rPr>
        <w:t>万元，占</w:t>
      </w:r>
      <w:r>
        <w:rPr>
          <w:rFonts w:hint="eastAsia" w:ascii="仿宋" w:hAnsi="仿宋" w:eastAsia="仿宋"/>
          <w:sz w:val="32"/>
          <w:szCs w:val="32"/>
          <w:lang w:val="en-US" w:eastAsia="zh-CN"/>
        </w:rPr>
        <w:t>2.49</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rPr>
          <w:rFonts w:hint="eastAsia" w:ascii="仿宋" w:hAnsi="仿宋" w:eastAsia="仿宋"/>
          <w:sz w:val="32"/>
          <w:szCs w:val="32"/>
          <w:lang w:eastAsia="zh-CN"/>
        </w:rPr>
      </w:pPr>
    </w:p>
    <w:p>
      <w:pPr>
        <w:spacing w:line="600" w:lineRule="exact"/>
        <w:ind w:firstLine="640"/>
        <w:rPr>
          <w:rFonts w:hint="eastAsia" w:ascii="仿宋" w:hAnsi="仿宋" w:eastAsia="仿宋"/>
          <w:sz w:val="32"/>
          <w:szCs w:val="32"/>
          <w:lang w:eastAsia="zh-CN"/>
        </w:rPr>
      </w:pPr>
    </w:p>
    <w:p>
      <w:pPr>
        <w:spacing w:line="600" w:lineRule="exact"/>
        <w:ind w:firstLine="640"/>
        <w:rPr>
          <w:rFonts w:hint="eastAsia" w:ascii="仿宋" w:hAnsi="仿宋" w:eastAsia="仿宋"/>
          <w:sz w:val="32"/>
          <w:szCs w:val="32"/>
          <w:lang w:eastAsia="zh-CN"/>
        </w:rPr>
      </w:pPr>
    </w:p>
    <w:p>
      <w:pPr>
        <w:spacing w:line="600" w:lineRule="exact"/>
        <w:ind w:firstLine="640"/>
        <w:rPr>
          <w:rFonts w:hint="eastAsia" w:ascii="仿宋" w:hAnsi="仿宋" w:eastAsia="仿宋"/>
          <w:sz w:val="32"/>
          <w:szCs w:val="32"/>
          <w:lang w:eastAsia="zh-CN"/>
        </w:rPr>
      </w:pPr>
    </w:p>
    <w:p>
      <w:pPr>
        <w:spacing w:line="600" w:lineRule="exact"/>
        <w:ind w:firstLine="640"/>
        <w:rPr>
          <w:rFonts w:hint="eastAsia" w:ascii="仿宋" w:hAnsi="仿宋" w:eastAsia="仿宋"/>
          <w:sz w:val="32"/>
          <w:szCs w:val="32"/>
          <w:lang w:eastAsia="zh-CN"/>
        </w:rPr>
      </w:pPr>
    </w:p>
    <w:p>
      <w:pPr>
        <w:spacing w:line="600" w:lineRule="exact"/>
        <w:ind w:firstLine="640"/>
        <w:rPr>
          <w:rFonts w:hint="eastAsia" w:ascii="仿宋" w:hAnsi="仿宋" w:eastAsia="仿宋"/>
          <w:sz w:val="32"/>
          <w:szCs w:val="32"/>
          <w:lang w:eastAsia="zh-CN"/>
        </w:rPr>
      </w:pPr>
    </w:p>
    <w:p>
      <w:pPr>
        <w:spacing w:line="600" w:lineRule="exact"/>
        <w:ind w:firstLine="640"/>
        <w:rPr>
          <w:rFonts w:hint="eastAsia" w:ascii="仿宋" w:hAnsi="仿宋" w:eastAsia="仿宋"/>
          <w:sz w:val="32"/>
          <w:szCs w:val="32"/>
          <w:lang w:eastAsia="zh-CN"/>
        </w:rPr>
      </w:pPr>
    </w:p>
    <w:p>
      <w:pPr>
        <w:spacing w:line="600" w:lineRule="exact"/>
        <w:ind w:firstLine="640"/>
        <w:rPr>
          <w:rFonts w:hint="eastAsia" w:ascii="仿宋" w:hAnsi="仿宋" w:eastAsia="仿宋"/>
          <w:sz w:val="32"/>
          <w:szCs w:val="32"/>
          <w:lang w:eastAsia="zh-CN"/>
        </w:rPr>
      </w:pPr>
    </w:p>
    <w:p>
      <w:pPr>
        <w:spacing w:line="600" w:lineRule="exact"/>
        <w:ind w:firstLine="640"/>
        <w:rPr>
          <w:rFonts w:hint="eastAsia" w:ascii="仿宋" w:hAnsi="仿宋" w:eastAsia="仿宋"/>
          <w:sz w:val="32"/>
          <w:szCs w:val="32"/>
          <w:lang w:eastAsia="zh-CN"/>
        </w:rPr>
      </w:pPr>
    </w:p>
    <w:p>
      <w:pPr>
        <w:spacing w:line="600" w:lineRule="exact"/>
        <w:ind w:firstLine="640"/>
        <w:rPr>
          <w:rFonts w:hint="eastAsia" w:ascii="仿宋" w:hAnsi="仿宋" w:eastAsia="仿宋"/>
          <w:sz w:val="32"/>
          <w:szCs w:val="32"/>
          <w:lang w:eastAsia="zh-CN"/>
        </w:rPr>
      </w:pPr>
    </w:p>
    <w:p>
      <w:pPr>
        <w:spacing w:line="600" w:lineRule="exact"/>
        <w:ind w:firstLine="640"/>
        <w:rPr>
          <w:rFonts w:hint="eastAsia" w:ascii="仿宋" w:hAnsi="仿宋" w:eastAsia="仿宋"/>
          <w:sz w:val="32"/>
          <w:szCs w:val="32"/>
          <w:lang w:eastAsia="zh-CN"/>
        </w:rPr>
      </w:pPr>
      <w:r>
        <w:rPr>
          <w:rFonts w:hint="eastAsia" w:ascii="仿宋" w:hAnsi="仿宋" w:eastAsia="仿宋"/>
          <w:sz w:val="32"/>
          <w:szCs w:val="32"/>
          <w:lang w:eastAsia="zh-CN"/>
        </w:rPr>
        <w:drawing>
          <wp:anchor distT="0" distB="0" distL="114300" distR="114300" simplePos="0" relativeHeight="251665408" behindDoc="0" locked="0" layoutInCell="1" allowOverlap="1">
            <wp:simplePos x="0" y="0"/>
            <wp:positionH relativeFrom="column">
              <wp:posOffset>410845</wp:posOffset>
            </wp:positionH>
            <wp:positionV relativeFrom="paragraph">
              <wp:posOffset>-3519805</wp:posOffset>
            </wp:positionV>
            <wp:extent cx="5080000" cy="3810000"/>
            <wp:effectExtent l="4445" t="4445" r="20955" b="14605"/>
            <wp:wrapSquare wrapText="bothSides"/>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pPr>
        <w:spacing w:line="600" w:lineRule="exact"/>
        <w:ind w:firstLine="64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5"/>
          <w:rFonts w:hint="eastAsia" w:ascii="仿宋" w:hAnsi="仿宋" w:eastAsia="仿宋"/>
          <w:b w:val="0"/>
          <w:bCs/>
          <w:sz w:val="32"/>
          <w:szCs w:val="32"/>
        </w:rPr>
        <w:t>完成预算</w:t>
      </w:r>
      <w:r>
        <w:rPr>
          <w:rStyle w:val="15"/>
          <w:rFonts w:hint="eastAsia" w:ascii="仿宋" w:hAnsi="仿宋" w:eastAsia="仿宋"/>
          <w:b w:val="0"/>
          <w:bCs/>
          <w:sz w:val="32"/>
          <w:szCs w:val="32"/>
          <w:lang w:val="en-US" w:eastAsia="zh-CN"/>
        </w:rPr>
        <w:t>100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人。因公出国（境）支出决算</w:t>
      </w:r>
      <w:r>
        <w:rPr>
          <w:rFonts w:hint="eastAsia" w:ascii="仿宋_GB2312" w:eastAsia="仿宋_GB2312"/>
          <w:sz w:val="32"/>
          <w:szCs w:val="32"/>
          <w:lang w:val="en-US" w:eastAsia="zh-CN"/>
        </w:rPr>
        <w:t>与</w:t>
      </w: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val="en-US" w:eastAsia="zh-CN"/>
        </w:rPr>
        <w:t>持平</w:t>
      </w:r>
      <w:r>
        <w:rPr>
          <w:rFonts w:hint="eastAsia" w:ascii="仿宋_GB2312" w:eastAsia="仿宋_GB2312"/>
          <w:sz w:val="32"/>
          <w:szCs w:val="32"/>
        </w:rPr>
        <w:t>。</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 w:hAnsi="仿宋" w:eastAsia="仿宋"/>
          <w:sz w:val="32"/>
          <w:szCs w:val="32"/>
          <w:lang w:val="en-US" w:eastAsia="zh-CN"/>
        </w:rPr>
        <w:t>11.37</w:t>
      </w:r>
      <w:r>
        <w:rPr>
          <w:rFonts w:hint="eastAsia" w:ascii="仿宋_GB2312" w:eastAsia="仿宋_GB2312"/>
          <w:sz w:val="32"/>
          <w:szCs w:val="32"/>
        </w:rPr>
        <w:t>万元,</w:t>
      </w:r>
      <w:r>
        <w:rPr>
          <w:rStyle w:val="15"/>
          <w:rFonts w:hint="eastAsia" w:ascii="仿宋" w:hAnsi="仿宋" w:eastAsia="仿宋"/>
          <w:b w:val="0"/>
          <w:bCs/>
          <w:sz w:val="32"/>
          <w:szCs w:val="32"/>
        </w:rPr>
        <w:t>完成预算</w:t>
      </w:r>
      <w:r>
        <w:rPr>
          <w:rStyle w:val="15"/>
          <w:rFonts w:hint="eastAsia" w:ascii="仿宋" w:hAnsi="仿宋" w:eastAsia="仿宋"/>
          <w:b w:val="0"/>
          <w:bCs/>
          <w:sz w:val="32"/>
          <w:szCs w:val="32"/>
          <w:lang w:val="en-US" w:eastAsia="zh-CN"/>
        </w:rPr>
        <w:t>100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21年增加</w:t>
      </w:r>
      <w:r>
        <w:rPr>
          <w:rFonts w:hint="eastAsia" w:ascii="仿宋_GB2312" w:eastAsia="仿宋_GB2312"/>
          <w:sz w:val="32"/>
          <w:szCs w:val="32"/>
          <w:lang w:val="en-US" w:eastAsia="zh-CN"/>
        </w:rPr>
        <w:t>8.75</w:t>
      </w:r>
      <w:r>
        <w:rPr>
          <w:rFonts w:hint="eastAsia" w:ascii="仿宋_GB2312" w:eastAsia="仿宋_GB2312"/>
          <w:sz w:val="32"/>
          <w:szCs w:val="32"/>
        </w:rPr>
        <w:t>万元，增长</w:t>
      </w:r>
      <w:r>
        <w:rPr>
          <w:rFonts w:hint="eastAsia" w:ascii="仿宋_GB2312" w:eastAsia="仿宋_GB2312"/>
          <w:sz w:val="32"/>
          <w:szCs w:val="32"/>
          <w:lang w:val="en-US" w:eastAsia="zh-CN"/>
        </w:rPr>
        <w:t>333.97</w:t>
      </w:r>
      <w:r>
        <w:rPr>
          <w:rFonts w:ascii="仿宋_GB2312" w:eastAsia="仿宋_GB2312"/>
          <w:sz w:val="32"/>
          <w:szCs w:val="32"/>
        </w:rPr>
        <w:t>%</w:t>
      </w:r>
      <w:r>
        <w:rPr>
          <w:rFonts w:hint="eastAsia" w:ascii="仿宋_GB2312" w:eastAsia="仿宋_GB2312"/>
          <w:sz w:val="32"/>
          <w:szCs w:val="32"/>
        </w:rPr>
        <w:t>。主要原因是机构改革，新增4辆</w:t>
      </w:r>
      <w:r>
        <w:rPr>
          <w:rFonts w:hint="eastAsia" w:ascii="仿宋_GB2312" w:eastAsia="仿宋_GB2312"/>
          <w:sz w:val="32"/>
          <w:szCs w:val="32"/>
          <w:lang w:val="en-US" w:eastAsia="zh-CN"/>
        </w:rPr>
        <w:t>公务用</w:t>
      </w:r>
      <w:r>
        <w:rPr>
          <w:rFonts w:hint="eastAsia" w:ascii="仿宋_GB2312" w:eastAsia="仿宋_GB2312"/>
          <w:sz w:val="32"/>
          <w:szCs w:val="32"/>
        </w:rPr>
        <w:t>车。</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lang w:val="en-US" w:eastAsia="zh-CN"/>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24</w:t>
      </w:r>
      <w:r>
        <w:rPr>
          <w:rFonts w:hint="eastAsia" w:ascii="仿宋_GB2312" w:eastAsia="仿宋_GB2312"/>
          <w:sz w:val="32"/>
          <w:szCs w:val="32"/>
        </w:rPr>
        <w:t>辆，其中：轿车</w:t>
      </w:r>
      <w:r>
        <w:rPr>
          <w:rFonts w:hint="eastAsia" w:ascii="仿宋_GB2312" w:eastAsia="仿宋_GB2312"/>
          <w:sz w:val="32"/>
          <w:szCs w:val="32"/>
          <w:lang w:val="en-US" w:eastAsia="zh-CN"/>
        </w:rPr>
        <w:t>2</w:t>
      </w:r>
      <w:r>
        <w:rPr>
          <w:rFonts w:hint="eastAsia" w:ascii="仿宋_GB2312" w:eastAsia="仿宋_GB2312"/>
          <w:sz w:val="32"/>
          <w:szCs w:val="32"/>
        </w:rPr>
        <w:t>辆、越野车</w:t>
      </w:r>
      <w:r>
        <w:rPr>
          <w:rFonts w:hint="eastAsia" w:ascii="仿宋_GB2312" w:eastAsia="仿宋_GB2312"/>
          <w:sz w:val="32"/>
          <w:szCs w:val="32"/>
          <w:lang w:val="en-US" w:eastAsia="zh-CN"/>
        </w:rPr>
        <w:t>4</w:t>
      </w:r>
      <w:r>
        <w:rPr>
          <w:rFonts w:hint="eastAsia" w:ascii="仿宋_GB2312" w:eastAsia="仿宋_GB2312"/>
          <w:sz w:val="32"/>
          <w:szCs w:val="32"/>
        </w:rPr>
        <w:t>辆、小型载客汽车</w:t>
      </w:r>
      <w:r>
        <w:rPr>
          <w:rFonts w:hint="eastAsia" w:ascii="仿宋_GB2312" w:eastAsia="仿宋_GB2312"/>
          <w:sz w:val="32"/>
          <w:szCs w:val="32"/>
          <w:lang w:val="en-US" w:eastAsia="zh-CN"/>
        </w:rPr>
        <w:t>4</w:t>
      </w:r>
      <w:r>
        <w:rPr>
          <w:rFonts w:hint="eastAsia" w:ascii="仿宋_GB2312" w:eastAsia="仿宋_GB2312"/>
          <w:sz w:val="32"/>
          <w:szCs w:val="32"/>
        </w:rPr>
        <w:t>辆，其他车型14辆。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11.37</w:t>
      </w:r>
      <w:r>
        <w:rPr>
          <w:rFonts w:hint="eastAsia" w:ascii="仿宋_GB2312" w:eastAsia="仿宋_GB2312"/>
          <w:sz w:val="32"/>
          <w:szCs w:val="32"/>
        </w:rPr>
        <w:t>万元。主要用于</w:t>
      </w:r>
      <w:r>
        <w:rPr>
          <w:rFonts w:hint="eastAsia" w:ascii="仿宋_GB2312" w:eastAsia="仿宋_GB2312"/>
          <w:sz w:val="32"/>
          <w:szCs w:val="32"/>
          <w:lang w:val="en-US" w:eastAsia="zh-CN"/>
        </w:rPr>
        <w:t>外出执行公务</w:t>
      </w:r>
      <w:r>
        <w:rPr>
          <w:rFonts w:hint="eastAsia" w:ascii="仿宋_GB2312" w:eastAsia="仿宋_GB2312"/>
          <w:sz w:val="32"/>
          <w:szCs w:val="32"/>
        </w:rPr>
        <w:t>等所需的公务用车燃料费、维修费、过路过桥费、保险费等支出。</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0.29</w:t>
      </w:r>
      <w:r>
        <w:rPr>
          <w:rFonts w:hint="eastAsia" w:ascii="仿宋_GB2312" w:eastAsia="仿宋_GB2312"/>
          <w:sz w:val="32"/>
          <w:szCs w:val="32"/>
        </w:rPr>
        <w:t>万元，</w:t>
      </w:r>
      <w:r>
        <w:rPr>
          <w:rStyle w:val="15"/>
          <w:rFonts w:hint="eastAsia" w:ascii="仿宋" w:hAnsi="仿宋" w:eastAsia="仿宋"/>
          <w:b w:val="0"/>
          <w:bCs/>
          <w:sz w:val="32"/>
          <w:szCs w:val="32"/>
        </w:rPr>
        <w:t>完成预算</w:t>
      </w:r>
      <w:r>
        <w:rPr>
          <w:rStyle w:val="15"/>
          <w:rFonts w:hint="eastAsia" w:ascii="仿宋" w:hAnsi="仿宋" w:eastAsia="仿宋"/>
          <w:b w:val="0"/>
          <w:bCs/>
          <w:sz w:val="32"/>
          <w:szCs w:val="32"/>
          <w:lang w:val="en-US" w:eastAsia="zh-CN"/>
        </w:rPr>
        <w:t>100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21年增加</w:t>
      </w:r>
      <w:r>
        <w:rPr>
          <w:rFonts w:hint="eastAsia" w:ascii="仿宋_GB2312" w:eastAsia="仿宋_GB2312"/>
          <w:sz w:val="32"/>
          <w:szCs w:val="32"/>
          <w:lang w:val="en-US" w:eastAsia="zh-CN"/>
        </w:rPr>
        <w:t>0.09</w:t>
      </w:r>
      <w:r>
        <w:rPr>
          <w:rFonts w:hint="eastAsia" w:ascii="仿宋_GB2312" w:eastAsia="仿宋_GB2312"/>
          <w:sz w:val="32"/>
          <w:szCs w:val="32"/>
        </w:rPr>
        <w:t>万元，增长</w:t>
      </w:r>
      <w:r>
        <w:rPr>
          <w:rFonts w:hint="eastAsia" w:ascii="仿宋_GB2312" w:eastAsia="仿宋_GB2312"/>
          <w:sz w:val="32"/>
          <w:szCs w:val="32"/>
          <w:lang w:val="en-US" w:eastAsia="zh-CN"/>
        </w:rPr>
        <w:t>45</w:t>
      </w:r>
      <w:r>
        <w:rPr>
          <w:rFonts w:ascii="仿宋_GB2312" w:eastAsia="仿宋_GB2312"/>
          <w:sz w:val="32"/>
          <w:szCs w:val="32"/>
        </w:rPr>
        <w:t>%</w:t>
      </w:r>
      <w:r>
        <w:rPr>
          <w:rFonts w:hint="eastAsia" w:ascii="仿宋_GB2312" w:eastAsia="仿宋_GB2312"/>
          <w:sz w:val="32"/>
          <w:szCs w:val="32"/>
        </w:rPr>
        <w:t>。主要原因是上级检查比去年增多。其中：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lang w:val="en-US" w:eastAsia="zh-CN"/>
        </w:rPr>
        <w:t>0.29</w:t>
      </w:r>
      <w:r>
        <w:rPr>
          <w:rFonts w:hint="eastAsia" w:ascii="仿宋_GB2312" w:eastAsia="仿宋_GB2312"/>
          <w:sz w:val="32"/>
          <w:szCs w:val="32"/>
        </w:rPr>
        <w:t>万元，主要用于</w:t>
      </w:r>
      <w:r>
        <w:rPr>
          <w:rFonts w:hint="eastAsia" w:ascii="仿宋_GB2312" w:eastAsia="仿宋_GB2312"/>
          <w:sz w:val="32"/>
          <w:szCs w:val="32"/>
          <w:lang w:val="en-US" w:eastAsia="zh-CN"/>
        </w:rPr>
        <w:t>接待上级检查用餐费</w:t>
      </w:r>
      <w:r>
        <w:rPr>
          <w:rFonts w:hint="eastAsia" w:ascii="仿宋_GB2312" w:eastAsia="仿宋_GB2312"/>
          <w:sz w:val="32"/>
          <w:szCs w:val="32"/>
        </w:rPr>
        <w:t>。国内公务接待</w:t>
      </w:r>
      <w:r>
        <w:rPr>
          <w:rFonts w:hint="eastAsia" w:ascii="仿宋_GB2312" w:eastAsia="仿宋_GB2312"/>
          <w:sz w:val="32"/>
          <w:szCs w:val="32"/>
          <w:lang w:val="en-US" w:eastAsia="zh-CN"/>
        </w:rPr>
        <w:t>5</w:t>
      </w:r>
      <w:r>
        <w:rPr>
          <w:rFonts w:hint="eastAsia" w:ascii="仿宋_GB2312" w:eastAsia="仿宋_GB2312"/>
          <w:sz w:val="32"/>
          <w:szCs w:val="32"/>
        </w:rPr>
        <w:t>批次，</w:t>
      </w:r>
      <w:r>
        <w:rPr>
          <w:rFonts w:hint="eastAsia" w:ascii="仿宋_GB2312" w:eastAsia="仿宋_GB2312"/>
          <w:sz w:val="32"/>
          <w:szCs w:val="32"/>
          <w:lang w:val="en-US" w:eastAsia="zh-CN"/>
        </w:rPr>
        <w:t>39</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0.29</w:t>
      </w:r>
      <w:r>
        <w:rPr>
          <w:rFonts w:hint="eastAsia" w:ascii="仿宋_GB2312" w:eastAsia="仿宋_GB2312"/>
          <w:sz w:val="32"/>
          <w:szCs w:val="32"/>
        </w:rPr>
        <w:t>万元，具体内容包括：</w:t>
      </w:r>
      <w:r>
        <w:rPr>
          <w:rFonts w:hint="eastAsia" w:ascii="仿宋_GB2312" w:eastAsia="仿宋_GB2312"/>
          <w:sz w:val="32"/>
          <w:szCs w:val="32"/>
          <w:lang w:eastAsia="zh-CN"/>
        </w:rPr>
        <w:t>（</w:t>
      </w: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lang w:val="en-US" w:eastAsia="zh-CN"/>
        </w:rPr>
        <w:t>接待上级</w:t>
      </w:r>
      <w:r>
        <w:rPr>
          <w:rFonts w:hint="eastAsia" w:ascii="仿宋_GB2312" w:eastAsia="仿宋_GB2312"/>
          <w:sz w:val="32"/>
          <w:szCs w:val="32"/>
          <w:lang w:eastAsia="zh-CN"/>
        </w:rPr>
        <w:t>2021年</w:t>
      </w:r>
      <w:r>
        <w:rPr>
          <w:rFonts w:hint="eastAsia" w:ascii="仿宋_GB2312" w:eastAsia="仿宋_GB2312"/>
          <w:sz w:val="32"/>
          <w:szCs w:val="32"/>
          <w:lang w:val="en-US" w:eastAsia="zh-CN"/>
        </w:rPr>
        <w:t>道路</w:t>
      </w:r>
      <w:r>
        <w:rPr>
          <w:rFonts w:hint="eastAsia" w:ascii="仿宋_GB2312" w:eastAsia="仿宋_GB2312"/>
          <w:sz w:val="32"/>
          <w:szCs w:val="32"/>
          <w:lang w:eastAsia="zh-CN"/>
        </w:rPr>
        <w:t>养护年终检查餐费</w:t>
      </w:r>
      <w:r>
        <w:rPr>
          <w:rFonts w:hint="eastAsia" w:ascii="仿宋_GB2312" w:eastAsia="仿宋_GB2312"/>
          <w:sz w:val="32"/>
          <w:szCs w:val="32"/>
          <w:lang w:val="en-US" w:eastAsia="zh-CN"/>
        </w:rPr>
        <w:t>0.05万元；（2）接待乐山市公路建设服务中心2022年一季度路况评定工作餐0.07万元；（3）接待G245路况检测工作餐费0.05万元；（4）11月3日接待乐山公路中心、省华腾公路路况检测工作餐0.06万元；（5）接待第三季度国省干线公路运行评定工作餐0.06万元</w:t>
      </w:r>
      <w:r>
        <w:rPr>
          <w:rFonts w:hint="eastAsia" w:ascii="仿宋_GB2312" w:eastAsia="仿宋_GB2312"/>
          <w:sz w:val="32"/>
          <w:szCs w:val="32"/>
        </w:rPr>
        <w:t>。</w:t>
      </w:r>
    </w:p>
    <w:p>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outlineLvl w:val="1"/>
        <w:rPr>
          <w:rFonts w:ascii="黑体" w:eastAsia="黑体"/>
          <w:sz w:val="32"/>
          <w:szCs w:val="32"/>
        </w:rPr>
      </w:pPr>
      <w:bookmarkStart w:id="41" w:name="_Toc15377218"/>
      <w:bookmarkStart w:id="42" w:name="_Toc15396610"/>
    </w:p>
    <w:p>
      <w:pPr>
        <w:spacing w:line="600" w:lineRule="exact"/>
        <w:ind w:firstLine="640"/>
        <w:outlineLvl w:val="1"/>
        <w:rPr>
          <w:rStyle w:val="26"/>
          <w:rFonts w:ascii="黑体" w:hAnsi="黑体" w:eastAsia="黑体"/>
        </w:rPr>
      </w:pPr>
      <w:r>
        <w:rPr>
          <w:rFonts w:hint="eastAsia" w:ascii="黑体" w:eastAsia="黑体"/>
          <w:sz w:val="32"/>
          <w:szCs w:val="32"/>
        </w:rPr>
        <w:t>八、</w:t>
      </w:r>
      <w:r>
        <w:rPr>
          <w:rStyle w:val="26"/>
          <w:rFonts w:hint="eastAsia" w:ascii="黑体" w:hAnsi="黑体" w:eastAsia="黑体"/>
          <w:b w:val="0"/>
        </w:rPr>
        <w:t>政府性基金预算支出决算情况说明</w:t>
      </w:r>
      <w:bookmarkEnd w:id="41"/>
      <w:bookmarkEnd w:id="42"/>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1938.79</w:t>
      </w:r>
      <w:r>
        <w:rPr>
          <w:rFonts w:hint="eastAsia" w:ascii="仿宋_GB2312" w:eastAsia="仿宋_GB2312"/>
          <w:sz w:val="32"/>
          <w:szCs w:val="32"/>
        </w:rPr>
        <w:t>万元。</w:t>
      </w:r>
    </w:p>
    <w:p>
      <w:pPr>
        <w:spacing w:line="600" w:lineRule="exact"/>
        <w:ind w:firstLine="640"/>
        <w:rPr>
          <w:rFonts w:ascii="仿宋_GB2312" w:eastAsia="仿宋_GB2312"/>
          <w:sz w:val="32"/>
          <w:szCs w:val="32"/>
        </w:rPr>
      </w:pPr>
    </w:p>
    <w:p>
      <w:pPr>
        <w:numPr>
          <w:ilvl w:val="0"/>
          <w:numId w:val="3"/>
        </w:numPr>
        <w:spacing w:line="600" w:lineRule="exact"/>
        <w:ind w:firstLine="640"/>
        <w:outlineLvl w:val="1"/>
        <w:rPr>
          <w:rStyle w:val="26"/>
          <w:rFonts w:ascii="黑体" w:hAnsi="黑体" w:eastAsia="黑体"/>
          <w:b w:val="0"/>
        </w:rPr>
      </w:pPr>
      <w:bookmarkStart w:id="43" w:name="_Toc15396611"/>
      <w:bookmarkStart w:id="44" w:name="_Toc15377219"/>
      <w:r>
        <w:rPr>
          <w:rStyle w:val="26"/>
          <w:rFonts w:hint="eastAsia" w:ascii="黑体" w:hAnsi="黑体" w:eastAsia="黑体"/>
          <w:b w:val="0"/>
        </w:rPr>
        <w:t>国有资本经营预算支出决算情况说明</w:t>
      </w:r>
      <w:bookmarkEnd w:id="43"/>
      <w:bookmarkEnd w:id="44"/>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580" w:lineRule="exact"/>
        <w:jc w:val="center"/>
        <w:rPr>
          <w:rFonts w:ascii="方正小标宋简体" w:hAnsi="方正小标宋简体" w:eastAsia="方正小标宋简体" w:cs="方正小标宋简体"/>
          <w:sz w:val="44"/>
          <w:szCs w:val="44"/>
        </w:rPr>
      </w:pPr>
    </w:p>
    <w:p>
      <w:pPr>
        <w:numPr>
          <w:ilvl w:val="0"/>
          <w:numId w:val="3"/>
        </w:numPr>
        <w:spacing w:line="600" w:lineRule="exact"/>
        <w:ind w:firstLine="640"/>
        <w:outlineLvl w:val="1"/>
        <w:rPr>
          <w:rStyle w:val="26"/>
          <w:rFonts w:ascii="黑体" w:hAnsi="黑体" w:eastAsia="黑体"/>
          <w:b w:val="0"/>
        </w:rPr>
      </w:pPr>
      <w:bookmarkStart w:id="45" w:name="_Toc15377221"/>
      <w:bookmarkStart w:id="46" w:name="_Toc15396612"/>
      <w:r>
        <w:rPr>
          <w:rStyle w:val="26"/>
          <w:rFonts w:hint="eastAsia" w:ascii="黑体" w:hAnsi="黑体" w:eastAsia="黑体"/>
          <w:b w:val="0"/>
        </w:rPr>
        <w:t>其他重要事项的情况说明</w:t>
      </w:r>
      <w:bookmarkEnd w:id="45"/>
      <w:bookmarkEnd w:id="46"/>
    </w:p>
    <w:p>
      <w:pPr>
        <w:spacing w:line="600" w:lineRule="exact"/>
        <w:ind w:firstLine="643" w:firstLineChars="200"/>
        <w:outlineLvl w:val="2"/>
        <w:rPr>
          <w:rFonts w:ascii="仿宋" w:hAnsi="仿宋" w:eastAsia="仿宋"/>
          <w:sz w:val="32"/>
          <w:szCs w:val="32"/>
        </w:rPr>
      </w:pPr>
      <w:bookmarkStart w:id="47" w:name="_Toc15377222"/>
      <w:r>
        <w:rPr>
          <w:rFonts w:hint="eastAsia" w:ascii="仿宋" w:hAnsi="仿宋" w:eastAsia="仿宋"/>
          <w:b/>
          <w:sz w:val="32"/>
          <w:szCs w:val="32"/>
        </w:rPr>
        <w:t>（一）机关运行经费支出情况</w:t>
      </w:r>
      <w:bookmarkEnd w:id="47"/>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val="en-US" w:eastAsia="zh-CN"/>
        </w:rPr>
        <w:t>峨眉山市交通建设和运输中心</w:t>
      </w:r>
      <w:r>
        <w:rPr>
          <w:rFonts w:hint="eastAsia" w:ascii="仿宋_GB2312" w:eastAsia="仿宋_GB2312"/>
          <w:sz w:val="32"/>
          <w:szCs w:val="32"/>
        </w:rPr>
        <w:t>机关运行经费支出</w:t>
      </w:r>
      <w:r>
        <w:rPr>
          <w:rFonts w:hint="eastAsia" w:ascii="仿宋_GB2312" w:eastAsia="仿宋_GB2312"/>
          <w:sz w:val="32"/>
          <w:szCs w:val="32"/>
          <w:lang w:val="en-US" w:eastAsia="zh-CN"/>
        </w:rPr>
        <w:t>0</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万元，与2020年决算数持平。</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3"/>
      <w:r>
        <w:rPr>
          <w:rFonts w:hint="eastAsia" w:ascii="仿宋" w:hAnsi="仿宋" w:eastAsia="仿宋"/>
          <w:b/>
          <w:sz w:val="32"/>
          <w:szCs w:val="32"/>
        </w:rPr>
        <w:t>（二）政府采购支出情况</w:t>
      </w:r>
      <w:bookmarkEnd w:id="48"/>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val="en-US" w:eastAsia="zh-CN"/>
        </w:rPr>
        <w:t>峨眉山市交通建设和运输中心</w:t>
      </w:r>
      <w:r>
        <w:rPr>
          <w:rFonts w:hint="eastAsia" w:ascii="仿宋_GB2312" w:eastAsia="仿宋_GB2312"/>
          <w:sz w:val="32"/>
          <w:szCs w:val="32"/>
        </w:rPr>
        <w:t>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万元。主要用于</w:t>
      </w:r>
      <w:r>
        <w:rPr>
          <w:rFonts w:ascii="仿宋_GB2312" w:eastAsia="仿宋_GB2312"/>
          <w:sz w:val="32"/>
          <w:szCs w:val="32"/>
        </w:rPr>
        <w:t>…</w:t>
      </w:r>
      <w:r>
        <w:rPr>
          <w:rFonts w:hint="eastAsia" w:ascii="仿宋_GB2312" w:eastAsia="仿宋_GB2312"/>
          <w:sz w:val="32"/>
          <w:szCs w:val="32"/>
        </w:rPr>
        <w:t>（具体工作）。授予中小企业合同金额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9" w:name="_Toc15377224"/>
      <w:r>
        <w:rPr>
          <w:rFonts w:hint="eastAsia" w:ascii="仿宋" w:hAnsi="仿宋" w:eastAsia="仿宋"/>
          <w:b/>
          <w:sz w:val="32"/>
          <w:szCs w:val="32"/>
        </w:rPr>
        <w:t>（三）国有资产占有使用情况</w:t>
      </w:r>
      <w:bookmarkEnd w:id="49"/>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val="en-US" w:eastAsia="zh-CN"/>
        </w:rPr>
        <w:t>峨眉山市交通建设和运输中心</w:t>
      </w:r>
      <w:r>
        <w:rPr>
          <w:rFonts w:hint="eastAsia" w:ascii="仿宋_GB2312" w:eastAsia="仿宋_GB2312"/>
          <w:sz w:val="32"/>
          <w:szCs w:val="32"/>
        </w:rPr>
        <w:t>共有车辆</w:t>
      </w:r>
      <w:r>
        <w:rPr>
          <w:rFonts w:hint="eastAsia" w:ascii="仿宋_GB2312" w:eastAsia="仿宋_GB2312"/>
          <w:sz w:val="32"/>
          <w:szCs w:val="32"/>
          <w:lang w:val="en-US" w:eastAsia="zh-CN"/>
        </w:rPr>
        <w:t>24</w:t>
      </w:r>
      <w:r>
        <w:rPr>
          <w:rFonts w:hint="eastAsia" w:ascii="仿宋_GB2312" w:eastAsia="仿宋_GB2312"/>
          <w:sz w:val="32"/>
          <w:szCs w:val="32"/>
        </w:rPr>
        <w:t>辆，其中：应急保障用车</w:t>
      </w:r>
      <w:r>
        <w:rPr>
          <w:rFonts w:hint="eastAsia" w:ascii="仿宋_GB2312" w:eastAsia="仿宋_GB2312"/>
          <w:sz w:val="32"/>
          <w:szCs w:val="32"/>
          <w:lang w:val="en-US" w:eastAsia="zh-CN"/>
        </w:rPr>
        <w:t>4</w:t>
      </w:r>
      <w:r>
        <w:rPr>
          <w:rFonts w:hint="eastAsia" w:ascii="仿宋_GB2312" w:eastAsia="仿宋_GB2312"/>
          <w:sz w:val="32"/>
          <w:szCs w:val="32"/>
        </w:rPr>
        <w:t>辆、</w:t>
      </w:r>
      <w:r>
        <w:rPr>
          <w:rFonts w:hint="eastAsia" w:ascii="仿宋_GB2312" w:eastAsia="仿宋_GB2312"/>
          <w:sz w:val="32"/>
          <w:szCs w:val="32"/>
          <w:lang w:val="en-US" w:eastAsia="zh-CN"/>
        </w:rPr>
        <w:t>执法执勤用车1辆、特种专业技术用车8辆、</w:t>
      </w:r>
      <w:r>
        <w:rPr>
          <w:rFonts w:hint="eastAsia" w:ascii="仿宋_GB2312" w:eastAsia="仿宋_GB2312"/>
          <w:sz w:val="32"/>
          <w:szCs w:val="32"/>
        </w:rPr>
        <w:t>其他用车</w:t>
      </w:r>
      <w:r>
        <w:rPr>
          <w:rFonts w:hint="eastAsia" w:ascii="仿宋_GB2312" w:eastAsia="仿宋_GB2312"/>
          <w:sz w:val="32"/>
          <w:szCs w:val="32"/>
          <w:lang w:val="en-US" w:eastAsia="zh-CN"/>
        </w:rPr>
        <w:t>11</w:t>
      </w:r>
      <w:r>
        <w:rPr>
          <w:rFonts w:hint="eastAsia" w:ascii="仿宋_GB2312" w:eastAsia="仿宋_GB2312"/>
          <w:sz w:val="32"/>
          <w:szCs w:val="32"/>
        </w:rPr>
        <w:t>辆，其他用车主要是用于公路养护保洁</w:t>
      </w:r>
      <w:r>
        <w:rPr>
          <w:rFonts w:hint="eastAsia" w:ascii="仿宋_GB2312" w:eastAsia="仿宋_GB2312"/>
          <w:sz w:val="32"/>
          <w:szCs w:val="32"/>
          <w:lang w:eastAsia="zh-CN"/>
        </w:rPr>
        <w:t>、</w:t>
      </w:r>
      <w:r>
        <w:rPr>
          <w:rFonts w:hint="eastAsia" w:ascii="仿宋_GB2312" w:eastAsia="仿宋_GB2312"/>
          <w:sz w:val="32"/>
          <w:szCs w:val="32"/>
          <w:lang w:val="en-US" w:eastAsia="zh-CN"/>
        </w:rPr>
        <w:t>道路情况巡查、外出执行公务等</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autoSpaceDE w:val="0"/>
        <w:autoSpaceDN w:val="0"/>
        <w:adjustRightInd w:val="0"/>
        <w:spacing w:line="600" w:lineRule="exact"/>
        <w:ind w:firstLine="643" w:firstLineChars="200"/>
        <w:jc w:val="left"/>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表，按单位决算报表填报数据罗列车辆情况。）</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pStyle w:val="2"/>
        <w:keepNext w:val="0"/>
        <w:keepLines w:val="0"/>
        <w:pageBreakBefore w:val="0"/>
        <w:widowControl w:val="0"/>
        <w:kinsoku/>
        <w:wordWrap/>
        <w:overflowPunct/>
        <w:topLinePunct w:val="0"/>
        <w:autoSpaceDE/>
        <w:autoSpaceDN/>
        <w:bidi w:val="0"/>
        <w:adjustRightInd/>
        <w:snapToGrid/>
        <w:spacing w:before="93"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根据预算绩效管理要求，本单位在2022年度预算编制阶段，组织对扫地车、洒水车运行费，承包班组养护经费，交通建设工程项目经费，冰雪抢险经费，农村公路管理养护资金等1</w:t>
      </w:r>
      <w:r>
        <w:rPr>
          <w:rFonts w:hint="eastAsia" w:cs="Times New Roman"/>
          <w:kern w:val="2"/>
          <w:sz w:val="32"/>
          <w:szCs w:val="32"/>
          <w:lang w:val="en-US" w:eastAsia="zh-CN" w:bidi="ar-SA"/>
        </w:rPr>
        <w:t>5</w:t>
      </w:r>
      <w:r>
        <w:rPr>
          <w:rFonts w:hint="eastAsia" w:ascii="仿宋_GB2312" w:hAnsi="Times New Roman" w:eastAsia="仿宋_GB2312" w:cs="Times New Roman"/>
          <w:kern w:val="2"/>
          <w:sz w:val="32"/>
          <w:szCs w:val="32"/>
          <w:lang w:val="en-US" w:eastAsia="zh-CN" w:bidi="ar-SA"/>
        </w:rPr>
        <w:t>个项目开展了预算事前绩效评估，对1</w:t>
      </w:r>
      <w:r>
        <w:rPr>
          <w:rFonts w:hint="eastAsia" w:cs="Times New Roman"/>
          <w:kern w:val="2"/>
          <w:sz w:val="32"/>
          <w:szCs w:val="32"/>
          <w:lang w:val="en-US" w:eastAsia="zh-CN" w:bidi="ar-SA"/>
        </w:rPr>
        <w:t>5</w:t>
      </w:r>
      <w:r>
        <w:rPr>
          <w:rFonts w:hint="eastAsia" w:ascii="仿宋_GB2312" w:hAnsi="Times New Roman" w:eastAsia="仿宋_GB2312" w:cs="Times New Roman"/>
          <w:kern w:val="2"/>
          <w:sz w:val="32"/>
          <w:szCs w:val="32"/>
          <w:lang w:val="en-US" w:eastAsia="zh-CN" w:bidi="ar-SA"/>
        </w:rPr>
        <w:t>个项目编制了绩效目标，预算执行过程中，选取1</w:t>
      </w:r>
      <w:r>
        <w:rPr>
          <w:rFonts w:hint="eastAsia" w:cs="Times New Roman"/>
          <w:kern w:val="2"/>
          <w:sz w:val="32"/>
          <w:szCs w:val="32"/>
          <w:lang w:val="en-US" w:eastAsia="zh-CN" w:bidi="ar-SA"/>
        </w:rPr>
        <w:t>5</w:t>
      </w:r>
      <w:r>
        <w:rPr>
          <w:rFonts w:hint="eastAsia" w:ascii="仿宋_GB2312" w:hAnsi="Times New Roman" w:eastAsia="仿宋_GB2312" w:cs="Times New Roman"/>
          <w:kern w:val="2"/>
          <w:sz w:val="32"/>
          <w:szCs w:val="32"/>
          <w:lang w:val="en-US" w:eastAsia="zh-CN" w:bidi="ar-SA"/>
        </w:rPr>
        <w:t>个项目开展绩效监控，组织对</w:t>
      </w:r>
      <w:r>
        <w:rPr>
          <w:rFonts w:hint="eastAsia" w:cs="Times New Roman"/>
          <w:kern w:val="2"/>
          <w:sz w:val="32"/>
          <w:szCs w:val="32"/>
          <w:lang w:val="en-US" w:eastAsia="zh-CN" w:bidi="ar-SA"/>
        </w:rPr>
        <w:t>15</w:t>
      </w:r>
      <w:r>
        <w:rPr>
          <w:rFonts w:hint="eastAsia" w:ascii="仿宋_GB2312" w:hAnsi="Times New Roman" w:eastAsia="仿宋_GB2312" w:cs="Times New Roman"/>
          <w:kern w:val="2"/>
          <w:sz w:val="32"/>
          <w:szCs w:val="32"/>
          <w:lang w:val="en-US" w:eastAsia="zh-CN" w:bidi="ar-SA"/>
        </w:rPr>
        <w:t>个项目开展绩效自评，绩效自评表详见第四部分附件。</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仿宋_GB2312" w:eastAsia="仿宋_GB2312"/>
          <w:b/>
          <w:sz w:val="32"/>
          <w:szCs w:val="32"/>
        </w:rPr>
      </w:pPr>
      <w:r>
        <w:rPr>
          <w:rFonts w:ascii="仿宋_GB2312" w:eastAsia="仿宋_GB2312"/>
          <w:b/>
          <w:sz w:val="32"/>
          <w:szCs w:val="32"/>
        </w:rPr>
        <w:br w:type="page"/>
      </w:r>
    </w:p>
    <w:p>
      <w:pPr>
        <w:spacing w:line="600" w:lineRule="exact"/>
        <w:jc w:val="center"/>
        <w:outlineLvl w:val="0"/>
        <w:rPr>
          <w:rStyle w:val="32"/>
          <w:rFonts w:ascii="方正小标宋_GBK" w:hAnsi="方正小标宋_GBK" w:eastAsia="方正小标宋_GBK" w:cs="方正小标宋_GBK"/>
          <w:b w:val="0"/>
        </w:rPr>
      </w:pPr>
      <w:bookmarkStart w:id="50" w:name="_Toc15396613"/>
      <w:bookmarkStart w:id="51" w:name="_Toc15377225"/>
      <w:bookmarkStart w:id="52" w:name="_Toc15377226"/>
      <w:r>
        <w:rPr>
          <w:rFonts w:hint="eastAsia" w:ascii="方正小标宋_GBK" w:hAnsi="方正小标宋_GBK" w:eastAsia="方正小标宋_GBK" w:cs="方正小标宋_GBK"/>
          <w:sz w:val="44"/>
          <w:szCs w:val="44"/>
        </w:rPr>
        <w:t>第三部分 名</w:t>
      </w:r>
      <w:r>
        <w:rPr>
          <w:rStyle w:val="32"/>
          <w:rFonts w:hint="eastAsia" w:ascii="方正小标宋_GBK" w:hAnsi="方正小标宋_GBK" w:eastAsia="方正小标宋_GBK" w:cs="方正小标宋_GBK"/>
          <w:b w:val="0"/>
        </w:rPr>
        <w:t>词解释</w:t>
      </w:r>
      <w:bookmarkEnd w:id="50"/>
      <w:bookmarkEnd w:id="51"/>
    </w:p>
    <w:p>
      <w:pPr>
        <w:spacing w:line="600" w:lineRule="exact"/>
        <w:jc w:val="left"/>
        <w:rPr>
          <w:rFonts w:ascii="宋体"/>
          <w:b/>
          <w:sz w:val="44"/>
          <w:szCs w:val="44"/>
        </w:rPr>
      </w:pPr>
    </w:p>
    <w:p>
      <w:pPr>
        <w:spacing w:line="600" w:lineRule="exact"/>
        <w:ind w:firstLine="640"/>
        <w:rPr>
          <w:rFonts w:ascii="仿宋_GB2312" w:eastAsia="仿宋_GB2312"/>
          <w:sz w:val="32"/>
          <w:szCs w:val="32"/>
        </w:rPr>
      </w:pPr>
      <w:r>
        <w:rPr>
          <w:rFonts w:hint="eastAsia" w:ascii="仿宋_GB2312" w:eastAsia="仿宋_GB2312"/>
          <w:sz w:val="32"/>
          <w:szCs w:val="32"/>
        </w:rPr>
        <w:t>一、财政拨款收入：指单位从同级财政部门取得的财政预算资金。</w:t>
      </w:r>
    </w:p>
    <w:p>
      <w:pPr>
        <w:spacing w:line="600" w:lineRule="exact"/>
        <w:ind w:firstLine="640"/>
        <w:rPr>
          <w:rFonts w:ascii="仿宋_GB2312" w:eastAsia="仿宋_GB2312"/>
          <w:sz w:val="32"/>
          <w:szCs w:val="32"/>
        </w:rPr>
      </w:pPr>
      <w:r>
        <w:rPr>
          <w:rFonts w:hint="eastAsia" w:ascii="仿宋_GB2312" w:eastAsia="仿宋_GB2312"/>
          <w:sz w:val="32"/>
          <w:szCs w:val="32"/>
        </w:rPr>
        <w:t>二、事业收入：指事业单位开展专业业务活动及辅助活动取得的收入。</w:t>
      </w:r>
    </w:p>
    <w:p>
      <w:pPr>
        <w:spacing w:line="600" w:lineRule="exact"/>
        <w:ind w:firstLine="640"/>
        <w:rPr>
          <w:rFonts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spacing w:line="600" w:lineRule="exact"/>
        <w:ind w:firstLine="640"/>
        <w:rPr>
          <w:rFonts w:ascii="仿宋_GB2312" w:eastAsia="仿宋_GB2312"/>
          <w:sz w:val="32"/>
          <w:szCs w:val="32"/>
        </w:rPr>
      </w:pPr>
      <w:r>
        <w:rPr>
          <w:rFonts w:hint="eastAsia" w:ascii="仿宋_GB2312" w:eastAsia="仿宋_GB2312"/>
          <w:sz w:val="32"/>
          <w:szCs w:val="32"/>
        </w:rPr>
        <w:t xml:space="preserve">四、其他收入：指单位取得的除上述收入以外的各项收入。 </w:t>
      </w:r>
    </w:p>
    <w:p>
      <w:pPr>
        <w:spacing w:line="600" w:lineRule="exact"/>
        <w:ind w:firstLine="640"/>
        <w:rPr>
          <w:rFonts w:ascii="仿宋_GB2312" w:eastAsia="仿宋_GB2312"/>
          <w:sz w:val="32"/>
          <w:szCs w:val="32"/>
        </w:rPr>
      </w:pPr>
      <w:r>
        <w:rPr>
          <w:rFonts w:hint="eastAsia" w:ascii="仿宋_GB2312" w:eastAsia="仿宋_GB2312"/>
          <w:sz w:val="32"/>
          <w:szCs w:val="32"/>
        </w:rPr>
        <w:t xml:space="preserve">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spacing w:line="600" w:lineRule="exact"/>
        <w:ind w:firstLine="640"/>
        <w:rPr>
          <w:rFonts w:ascii="仿宋_GB2312" w:eastAsia="仿宋_GB2312"/>
          <w:sz w:val="32"/>
          <w:szCs w:val="32"/>
        </w:rPr>
      </w:pPr>
      <w:r>
        <w:rPr>
          <w:rFonts w:hint="eastAsia" w:ascii="仿宋_GB2312" w:eastAsia="仿宋_GB2312"/>
          <w:sz w:val="32"/>
          <w:szCs w:val="32"/>
        </w:rPr>
        <w:t xml:space="preserve">六、年初结转和结余：指以前年度尚未完成、结转到本年按有关规定继续使用的资金。 </w:t>
      </w:r>
    </w:p>
    <w:p>
      <w:pPr>
        <w:spacing w:line="600" w:lineRule="exact"/>
        <w:ind w:firstLine="640"/>
        <w:rPr>
          <w:rFonts w:ascii="仿宋_GB2312" w:eastAsia="仿宋_GB2312"/>
          <w:sz w:val="32"/>
          <w:szCs w:val="32"/>
        </w:rPr>
      </w:pPr>
      <w:r>
        <w:rPr>
          <w:rFonts w:hint="eastAsia" w:ascii="仿宋_GB2312" w:eastAsia="仿宋_GB2312"/>
          <w:sz w:val="32"/>
          <w:szCs w:val="32"/>
        </w:rPr>
        <w:t>七、结余分配：指事业单位按照事业单位会计制度的规定从非财政补助结余中分配的事业基金和职工福利基金等。</w:t>
      </w:r>
    </w:p>
    <w:p>
      <w:pPr>
        <w:spacing w:line="600" w:lineRule="exact"/>
        <w:ind w:firstLine="640"/>
        <w:rPr>
          <w:rFonts w:ascii="仿宋_GB2312" w:eastAsia="仿宋_GB2312"/>
          <w:sz w:val="32"/>
          <w:szCs w:val="32"/>
        </w:rPr>
      </w:pPr>
      <w:r>
        <w:rPr>
          <w:rFonts w:hint="eastAsia" w:ascii="仿宋_GB2312" w:eastAsia="仿宋_GB2312"/>
          <w:sz w:val="32"/>
          <w:szCs w:val="32"/>
        </w:rPr>
        <w:t>八、年末结转和结余：指单位按有关规定结转到下年或以后年度继续使用的资金。</w:t>
      </w:r>
    </w:p>
    <w:p>
      <w:pPr>
        <w:spacing w:line="600" w:lineRule="exact"/>
        <w:ind w:firstLine="640"/>
        <w:rPr>
          <w:rFonts w:ascii="仿宋_GB2312" w:eastAsia="仿宋_GB2312"/>
          <w:sz w:val="32"/>
          <w:szCs w:val="32"/>
        </w:rPr>
      </w:pPr>
      <w:r>
        <w:rPr>
          <w:rFonts w:hint="eastAsia" w:ascii="仿宋_GB2312" w:eastAsia="仿宋_GB2312"/>
          <w:sz w:val="32"/>
          <w:szCs w:val="32"/>
        </w:rPr>
        <w:t>九、社会保障和就业：（2080505）机关事业单位基本养老保险缴费是指反映机关事业单位实施养老保险制度由单位缴纳的基本养老保险费支出；（2080506）机关事业单位职业年金缴费是指反映机关事业单位实施养老保险制度由单位实际缴纳的职业年金支出；（2080801）死亡抚恤反映按规定用于烈士和牺牲、病故人员家属的一次性和定期抚恤金以及丧葬补助费；（2080899）其他优抚反映除上述项目以外其他用于优抚方面的支出，包括向优抚对象发放的价格临时补贴等支出。</w:t>
      </w:r>
    </w:p>
    <w:p>
      <w:pPr>
        <w:spacing w:line="600" w:lineRule="exact"/>
        <w:ind w:firstLine="640"/>
        <w:rPr>
          <w:rFonts w:hint="eastAsia" w:ascii="仿宋_GB2312" w:eastAsia="仿宋_GB2312"/>
          <w:sz w:val="32"/>
          <w:szCs w:val="32"/>
        </w:rPr>
      </w:pPr>
      <w:r>
        <w:rPr>
          <w:rFonts w:hint="eastAsia" w:ascii="仿宋_GB2312" w:eastAsia="仿宋_GB2312"/>
          <w:sz w:val="32"/>
          <w:szCs w:val="32"/>
        </w:rPr>
        <w:t>十、医疗卫生与计划生育：（2101102）事业单位医疗反映财政部门安排的事业单位基本医疗保险缴费经费。</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cs="Times New Roman"/>
          <w:kern w:val="2"/>
          <w:sz w:val="32"/>
          <w:szCs w:val="32"/>
          <w:lang w:val="en-US" w:eastAsia="zh-CN" w:bidi="ar-SA"/>
        </w:rPr>
        <w:t>十一、</w:t>
      </w:r>
      <w:r>
        <w:rPr>
          <w:rFonts w:hint="eastAsia" w:ascii="仿宋_GB2312" w:hAnsi="Times New Roman" w:eastAsia="仿宋_GB2312" w:cs="Times New Roman"/>
          <w:kern w:val="2"/>
          <w:sz w:val="32"/>
          <w:szCs w:val="32"/>
          <w:lang w:val="en-US" w:eastAsia="zh-CN" w:bidi="ar-SA"/>
        </w:rPr>
        <w:t>节能环保：（2111001）能源节约利用</w:t>
      </w:r>
      <w:r>
        <w:rPr>
          <w:rFonts w:hint="eastAsia" w:cs="Times New Roman"/>
          <w:kern w:val="2"/>
          <w:sz w:val="32"/>
          <w:szCs w:val="32"/>
          <w:lang w:val="en-US" w:eastAsia="zh-CN" w:bidi="ar-SA"/>
        </w:rPr>
        <w:t>反映用于公共交通新能源补贴</w:t>
      </w:r>
      <w:r>
        <w:rPr>
          <w:rFonts w:hint="eastAsia" w:ascii="仿宋_GB2312" w:hAnsi="Times New Roman" w:eastAsia="仿宋_GB2312" w:cs="Times New Roman"/>
          <w:kern w:val="2"/>
          <w:sz w:val="32"/>
          <w:szCs w:val="32"/>
          <w:lang w:val="en-US" w:eastAsia="zh-CN" w:bidi="ar-SA"/>
        </w:rPr>
        <w:t>。</w:t>
      </w:r>
    </w:p>
    <w:p>
      <w:pPr>
        <w:spacing w:line="600" w:lineRule="exact"/>
        <w:ind w:firstLine="640"/>
        <w:rPr>
          <w:rFonts w:hint="default" w:ascii="仿宋_GB2312" w:eastAsia="仿宋_GB2312"/>
          <w:sz w:val="32"/>
          <w:szCs w:val="32"/>
          <w:lang w:val="en-US" w:eastAsia="zh-CN"/>
        </w:rPr>
      </w:pPr>
      <w:r>
        <w:rPr>
          <w:rFonts w:hint="eastAsia" w:ascii="仿宋_GB2312" w:eastAsia="仿宋_GB2312"/>
          <w:sz w:val="32"/>
          <w:szCs w:val="32"/>
        </w:rPr>
        <w:t>十</w:t>
      </w:r>
      <w:r>
        <w:rPr>
          <w:rFonts w:hint="eastAsia" w:ascii="仿宋_GB2312" w:eastAsia="仿宋_GB2312"/>
          <w:sz w:val="32"/>
          <w:szCs w:val="32"/>
          <w:lang w:val="en-US" w:eastAsia="zh-CN"/>
        </w:rPr>
        <w:t>二</w:t>
      </w:r>
      <w:r>
        <w:rPr>
          <w:rFonts w:hint="eastAsia" w:ascii="仿宋_GB2312" w:eastAsia="仿宋_GB2312"/>
          <w:sz w:val="32"/>
          <w:szCs w:val="32"/>
        </w:rPr>
        <w:t>、城乡社区：（2120802）土地开发支出；（2120804）农村基础设施建设支出；（2120899）其他国有土地使用权出让收入安排的支出。</w:t>
      </w:r>
      <w:r>
        <w:rPr>
          <w:rFonts w:hint="eastAsia" w:ascii="仿宋_GB2312" w:eastAsia="仿宋_GB2312"/>
          <w:sz w:val="32"/>
          <w:szCs w:val="32"/>
          <w:lang w:val="en-US" w:eastAsia="zh-CN"/>
        </w:rPr>
        <w:t>指用于管养的国省县乡道的公路养护、修补等。</w:t>
      </w:r>
    </w:p>
    <w:p>
      <w:pPr>
        <w:pStyle w:val="2"/>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十三、农林水支出</w:t>
      </w:r>
      <w:r>
        <w:rPr>
          <w:rFonts w:hint="default" w:ascii="仿宋_GB2312" w:hAnsi="Times New Roman" w:eastAsia="仿宋_GB2312" w:cs="Times New Roman"/>
          <w:kern w:val="2"/>
          <w:sz w:val="32"/>
          <w:szCs w:val="32"/>
          <w:lang w:val="en-US" w:eastAsia="zh-CN" w:bidi="ar-SA"/>
        </w:rPr>
        <w:t>：（2130504）农村基础设施建设支出。</w:t>
      </w:r>
      <w:r>
        <w:rPr>
          <w:rFonts w:hint="eastAsia" w:ascii="仿宋_GB2312" w:hAnsi="Times New Roman" w:eastAsia="仿宋_GB2312" w:cs="Times New Roman"/>
          <w:kern w:val="2"/>
          <w:sz w:val="32"/>
          <w:szCs w:val="32"/>
          <w:lang w:val="en-US" w:eastAsia="zh-CN" w:bidi="ar-SA"/>
        </w:rPr>
        <w:t>指用于管养范围内的农村公路等的养护建设</w:t>
      </w:r>
      <w:r>
        <w:rPr>
          <w:rFonts w:hint="eastAsia" w:cs="Times New Roman"/>
          <w:kern w:val="2"/>
          <w:sz w:val="32"/>
          <w:szCs w:val="32"/>
          <w:lang w:val="en-US" w:eastAsia="zh-CN" w:bidi="ar-SA"/>
        </w:rPr>
        <w:t>费用支出</w:t>
      </w:r>
      <w:r>
        <w:rPr>
          <w:rFonts w:hint="eastAsia" w:ascii="仿宋_GB2312" w:hAnsi="Times New Roman" w:eastAsia="仿宋_GB2312" w:cs="Times New Roman"/>
          <w:kern w:val="2"/>
          <w:sz w:val="32"/>
          <w:szCs w:val="32"/>
          <w:lang w:val="en-US" w:eastAsia="zh-CN" w:bidi="ar-SA"/>
        </w:rPr>
        <w:t>。</w:t>
      </w:r>
    </w:p>
    <w:p>
      <w:pPr>
        <w:spacing w:line="600" w:lineRule="exact"/>
        <w:ind w:firstLine="640"/>
        <w:rPr>
          <w:rFonts w:hint="default" w:ascii="仿宋_GB2312" w:eastAsia="仿宋_GB2312"/>
          <w:sz w:val="32"/>
          <w:szCs w:val="32"/>
          <w:lang w:val="en-US" w:eastAsia="zh-CN"/>
        </w:rPr>
      </w:pPr>
      <w:r>
        <w:rPr>
          <w:rFonts w:hint="eastAsia" w:ascii="仿宋_GB2312" w:hAnsi="Times New Roman" w:eastAsia="仿宋_GB2312" w:cs="Times New Roman"/>
          <w:kern w:val="2"/>
          <w:sz w:val="32"/>
          <w:szCs w:val="32"/>
          <w:lang w:val="en-US" w:eastAsia="zh-CN" w:bidi="ar-SA"/>
        </w:rPr>
        <w:t>十四、交通运输：（2</w:t>
      </w:r>
      <w:r>
        <w:rPr>
          <w:rFonts w:hint="eastAsia" w:ascii="仿宋_GB2312" w:eastAsia="仿宋_GB2312"/>
          <w:sz w:val="32"/>
          <w:szCs w:val="32"/>
        </w:rPr>
        <w:t>140106）公路养护；（2140104）公路建设；（2140199）其他公路水路运输支出；（2140601）车辆购置税支出。</w:t>
      </w:r>
      <w:r>
        <w:rPr>
          <w:rFonts w:hint="eastAsia" w:ascii="仿宋_GB2312" w:eastAsia="仿宋_GB2312"/>
          <w:sz w:val="32"/>
          <w:szCs w:val="32"/>
          <w:lang w:val="en-US" w:eastAsia="zh-CN"/>
        </w:rPr>
        <w:t>指用于公路水路等养护建设费用支出。</w:t>
      </w:r>
    </w:p>
    <w:p>
      <w:pPr>
        <w:spacing w:line="600" w:lineRule="exact"/>
        <w:ind w:firstLine="640"/>
        <w:rPr>
          <w:rFonts w:ascii="仿宋_GB2312" w:eastAsia="仿宋_GB2312"/>
          <w:sz w:val="32"/>
          <w:szCs w:val="32"/>
        </w:rPr>
      </w:pPr>
      <w:r>
        <w:rPr>
          <w:rFonts w:hint="eastAsia" w:ascii="仿宋_GB2312" w:eastAsia="仿宋_GB2312"/>
          <w:sz w:val="32"/>
          <w:szCs w:val="32"/>
        </w:rPr>
        <w:t>十</w:t>
      </w:r>
      <w:r>
        <w:rPr>
          <w:rFonts w:hint="eastAsia" w:ascii="仿宋_GB2312" w:eastAsia="仿宋_GB2312"/>
          <w:sz w:val="32"/>
          <w:szCs w:val="32"/>
          <w:lang w:val="en-US" w:eastAsia="zh-CN"/>
        </w:rPr>
        <w:t>五</w:t>
      </w:r>
      <w:r>
        <w:rPr>
          <w:rFonts w:hint="eastAsia" w:ascii="仿宋_GB2312" w:eastAsia="仿宋_GB2312"/>
          <w:sz w:val="32"/>
          <w:szCs w:val="32"/>
        </w:rPr>
        <w:t>、住房保障支出：（2210201）住房公积金。指反映行政事业单位按人力资源和社会保障部、财政部规定的基本工资和津贴补贴以及规定比例为职工缴纳的住房公积金。</w:t>
      </w:r>
    </w:p>
    <w:p>
      <w:pPr>
        <w:spacing w:line="600" w:lineRule="exact"/>
        <w:ind w:firstLine="640"/>
        <w:rPr>
          <w:rFonts w:ascii="仿宋_GB2312" w:eastAsia="仿宋_GB2312"/>
          <w:sz w:val="32"/>
          <w:szCs w:val="32"/>
        </w:rPr>
      </w:pPr>
      <w:r>
        <w:rPr>
          <w:rFonts w:hint="eastAsia" w:ascii="仿宋_GB2312" w:eastAsia="仿宋_GB2312"/>
          <w:sz w:val="32"/>
          <w:szCs w:val="32"/>
        </w:rPr>
        <w:t>十</w:t>
      </w:r>
      <w:r>
        <w:rPr>
          <w:rFonts w:hint="eastAsia" w:ascii="仿宋_GB2312" w:eastAsia="仿宋_GB2312"/>
          <w:sz w:val="32"/>
          <w:szCs w:val="32"/>
          <w:lang w:val="en-US" w:eastAsia="zh-CN"/>
        </w:rPr>
        <w:t>六</w:t>
      </w:r>
      <w:r>
        <w:rPr>
          <w:rFonts w:hint="eastAsia" w:ascii="仿宋_GB2312" w:eastAsia="仿宋_GB2312"/>
          <w:sz w:val="32"/>
          <w:szCs w:val="32"/>
        </w:rPr>
        <w:t>、基本支出：指为保障机构正常运转、完成日常工作任务而发生的人员支出和公用支出。</w:t>
      </w:r>
    </w:p>
    <w:p>
      <w:pPr>
        <w:spacing w:line="600" w:lineRule="exact"/>
        <w:ind w:firstLine="640"/>
        <w:rPr>
          <w:rFonts w:ascii="仿宋_GB2312" w:eastAsia="仿宋_GB2312"/>
          <w:sz w:val="32"/>
          <w:szCs w:val="32"/>
        </w:rPr>
      </w:pPr>
      <w:r>
        <w:rPr>
          <w:rFonts w:hint="eastAsia" w:ascii="仿宋_GB2312" w:eastAsia="仿宋_GB2312"/>
          <w:sz w:val="32"/>
          <w:szCs w:val="32"/>
        </w:rPr>
        <w:t>十</w:t>
      </w:r>
      <w:r>
        <w:rPr>
          <w:rFonts w:hint="eastAsia" w:ascii="仿宋_GB2312" w:eastAsia="仿宋_GB2312"/>
          <w:sz w:val="32"/>
          <w:szCs w:val="32"/>
          <w:lang w:val="en-US" w:eastAsia="zh-CN"/>
        </w:rPr>
        <w:t>七</w:t>
      </w:r>
      <w:r>
        <w:rPr>
          <w:rFonts w:hint="eastAsia" w:ascii="仿宋_GB2312" w:eastAsia="仿宋_GB2312"/>
          <w:sz w:val="32"/>
          <w:szCs w:val="32"/>
        </w:rPr>
        <w:t xml:space="preserve">、项目支出：指在基本支出之外为完成特定行政任务和事业发展目标所发生的支出。 </w:t>
      </w:r>
    </w:p>
    <w:p>
      <w:pPr>
        <w:spacing w:line="600" w:lineRule="exact"/>
        <w:ind w:firstLine="640"/>
        <w:rPr>
          <w:rFonts w:ascii="仿宋_GB2312" w:eastAsia="仿宋_GB2312"/>
          <w:sz w:val="32"/>
          <w:szCs w:val="32"/>
        </w:rPr>
      </w:pPr>
      <w:r>
        <w:rPr>
          <w:rFonts w:hint="eastAsia" w:ascii="仿宋_GB2312" w:eastAsia="仿宋_GB2312"/>
          <w:sz w:val="32"/>
          <w:szCs w:val="32"/>
        </w:rPr>
        <w:t>十</w:t>
      </w:r>
      <w:r>
        <w:rPr>
          <w:rFonts w:hint="eastAsia" w:ascii="仿宋_GB2312" w:eastAsia="仿宋_GB2312"/>
          <w:sz w:val="32"/>
          <w:szCs w:val="32"/>
          <w:lang w:val="en-US" w:eastAsia="zh-CN"/>
        </w:rPr>
        <w:t>八</w:t>
      </w:r>
      <w:r>
        <w:rPr>
          <w:rFonts w:hint="eastAsia" w:ascii="仿宋_GB2312" w:eastAsia="仿宋_GB2312"/>
          <w:sz w:val="32"/>
          <w:szCs w:val="32"/>
        </w:rPr>
        <w:t>、经营支出：指事业单位在专业业务活动及其辅助活动之外开展非独立核算经营活动发生的支出。</w:t>
      </w:r>
    </w:p>
    <w:p>
      <w:pPr>
        <w:spacing w:line="600" w:lineRule="exact"/>
        <w:ind w:firstLine="640"/>
        <w:rPr>
          <w:rFonts w:ascii="仿宋_GB2312" w:eastAsia="仿宋_GB2312"/>
          <w:sz w:val="32"/>
          <w:szCs w:val="32"/>
        </w:rPr>
      </w:pPr>
      <w:r>
        <w:rPr>
          <w:rFonts w:hint="eastAsia" w:ascii="仿宋_GB2312" w:eastAsia="仿宋_GB2312"/>
          <w:sz w:val="32"/>
          <w:szCs w:val="32"/>
        </w:rPr>
        <w:t>十</w:t>
      </w:r>
      <w:r>
        <w:rPr>
          <w:rFonts w:hint="eastAsia" w:ascii="仿宋_GB2312" w:eastAsia="仿宋_GB2312"/>
          <w:sz w:val="32"/>
          <w:szCs w:val="32"/>
          <w:lang w:val="en-US" w:eastAsia="zh-CN"/>
        </w:rPr>
        <w:t>九</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ascii="仿宋_GB2312" w:eastAsia="仿宋_GB2312"/>
          <w:sz w:val="32"/>
          <w:szCs w:val="32"/>
        </w:rPr>
      </w:pPr>
      <w:r>
        <w:rPr>
          <w:rFonts w:hint="eastAsia" w:ascii="仿宋_GB2312" w:eastAsia="仿宋_GB2312"/>
          <w:sz w:val="32"/>
          <w:szCs w:val="32"/>
          <w:lang w:val="en-US" w:eastAsia="zh-CN"/>
        </w:rPr>
        <w:t>二十</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32"/>
          <w:rFonts w:ascii="方正小标宋_GBK" w:hAnsi="方正小标宋_GBK" w:eastAsia="方正小标宋_GBK" w:cs="方正小标宋_GBK"/>
          <w:b w:val="0"/>
        </w:rPr>
      </w:pPr>
      <w:r>
        <w:rPr>
          <w:rFonts w:ascii="宋体"/>
          <w:b/>
          <w:sz w:val="44"/>
          <w:szCs w:val="44"/>
        </w:rPr>
        <w:br w:type="page"/>
      </w:r>
      <w:bookmarkStart w:id="53" w:name="_Toc15396614"/>
      <w:bookmarkStart w:id="54" w:name="_Toc15396618"/>
      <w:r>
        <w:rPr>
          <w:rFonts w:hint="eastAsia" w:ascii="方正小标宋_GBK" w:hAnsi="方正小标宋_GBK" w:eastAsia="方正小标宋_GBK" w:cs="方正小标宋_GBK"/>
          <w:sz w:val="44"/>
          <w:szCs w:val="44"/>
        </w:rPr>
        <w:t>第</w:t>
      </w:r>
      <w:r>
        <w:rPr>
          <w:rStyle w:val="32"/>
          <w:rFonts w:hint="eastAsia" w:ascii="方正小标宋_GBK" w:hAnsi="方正小标宋_GBK" w:eastAsia="方正小标宋_GBK" w:cs="方正小标宋_GBK"/>
          <w:b w:val="0"/>
        </w:rPr>
        <w:t>四部分 附  件</w:t>
      </w:r>
      <w:bookmarkEnd w:id="53"/>
    </w:p>
    <w:p>
      <w:pPr>
        <w:spacing w:line="600" w:lineRule="exact"/>
        <w:jc w:val="left"/>
        <w:outlineLvl w:val="0"/>
        <w:rPr>
          <w:rFonts w:ascii="黑体" w:hAnsi="黑体" w:eastAsia="黑体" w:cs="黑体"/>
          <w:sz w:val="32"/>
          <w:szCs w:val="32"/>
        </w:rPr>
      </w:pPr>
      <w:r>
        <w:rPr>
          <w:rFonts w:hint="eastAsia" w:ascii="黑体" w:hAnsi="黑体" w:eastAsia="黑体" w:cs="黑体"/>
          <w:sz w:val="32"/>
          <w:szCs w:val="32"/>
        </w:rPr>
        <w:t>附件1</w:t>
      </w:r>
    </w:p>
    <w:p>
      <w:pPr>
        <w:spacing w:line="600" w:lineRule="exact"/>
        <w:ind w:firstLine="640" w:firstLineChars="200"/>
        <w:jc w:val="left"/>
        <w:outlineLvl w:val="0"/>
        <w:rPr>
          <w:rFonts w:ascii="仿宋_GB2312" w:hAnsi="Calibri" w:eastAsia="仿宋_GB2312" w:cs="仿宋"/>
          <w:kern w:val="0"/>
          <w:sz w:val="32"/>
          <w:szCs w:val="32"/>
        </w:rPr>
      </w:pPr>
    </w:p>
    <w:p>
      <w:pPr>
        <w:keepNext w:val="0"/>
        <w:keepLines w:val="0"/>
        <w:pageBreakBefore w:val="0"/>
        <w:widowControl/>
        <w:kinsoku/>
        <w:wordWrap/>
        <w:overflowPunct/>
        <w:topLinePunct w:val="0"/>
        <w:autoSpaceDE/>
        <w:autoSpaceDN/>
        <w:bidi w:val="0"/>
        <w:adjustRightInd/>
        <w:snapToGrid/>
        <w:spacing w:line="640" w:lineRule="exact"/>
        <w:contextualSpacing/>
        <w:jc w:val="center"/>
        <w:textAlignment w:val="auto"/>
        <w:rPr>
          <w:rFonts w:hint="eastAsia" w:ascii="方正小标宋简体" w:hAnsi="方正小标宋简体" w:eastAsia="方正小标宋简体" w:cs="方正小标宋简体"/>
          <w:b w:val="0"/>
          <w:bCs w:val="0"/>
          <w:sz w:val="44"/>
          <w:szCs w:val="44"/>
          <w:shd w:val="clear" w:color="auto" w:fill="FFFFFF"/>
        </w:rPr>
      </w:pPr>
      <w:r>
        <w:rPr>
          <w:rFonts w:hint="eastAsia" w:ascii="方正小标宋简体" w:hAnsi="方正小标宋简体" w:eastAsia="方正小标宋简体" w:cs="方正小标宋简体"/>
          <w:b w:val="0"/>
          <w:bCs w:val="0"/>
          <w:sz w:val="44"/>
          <w:szCs w:val="44"/>
          <w:shd w:val="clear" w:color="auto" w:fill="FFFFFF"/>
        </w:rPr>
        <w:t>20</w:t>
      </w:r>
      <w:r>
        <w:rPr>
          <w:rFonts w:hint="eastAsia" w:ascii="方正小标宋简体" w:hAnsi="方正小标宋简体" w:eastAsia="方正小标宋简体" w:cs="方正小标宋简体"/>
          <w:b w:val="0"/>
          <w:bCs w:val="0"/>
          <w:sz w:val="44"/>
          <w:szCs w:val="44"/>
          <w:shd w:val="clear" w:color="auto" w:fill="FFFFFF"/>
          <w:lang w:val="en-US" w:eastAsia="zh-CN"/>
        </w:rPr>
        <w:t>23</w:t>
      </w:r>
      <w:r>
        <w:rPr>
          <w:rFonts w:hint="eastAsia" w:ascii="方正小标宋简体" w:hAnsi="方正小标宋简体" w:eastAsia="方正小标宋简体" w:cs="方正小标宋简体"/>
          <w:b w:val="0"/>
          <w:bCs w:val="0"/>
          <w:sz w:val="44"/>
          <w:szCs w:val="44"/>
          <w:shd w:val="clear" w:color="auto" w:fill="FFFFFF"/>
        </w:rPr>
        <w:t>年</w:t>
      </w:r>
      <w:r>
        <w:rPr>
          <w:rFonts w:hint="eastAsia" w:ascii="方正小标宋简体" w:hAnsi="方正小标宋简体" w:eastAsia="方正小标宋简体" w:cs="方正小标宋简体"/>
          <w:b w:val="0"/>
          <w:bCs w:val="0"/>
          <w:sz w:val="44"/>
          <w:szCs w:val="44"/>
          <w:shd w:val="clear" w:color="auto" w:fill="FFFFFF"/>
          <w:lang w:val="en-US" w:eastAsia="zh-CN"/>
        </w:rPr>
        <w:t>峨眉山市交通建设和运输中心</w:t>
      </w:r>
      <w:r>
        <w:rPr>
          <w:rFonts w:hint="eastAsia" w:ascii="方正小标宋简体" w:hAnsi="方正小标宋简体" w:eastAsia="方正小标宋简体" w:cs="方正小标宋简体"/>
          <w:b w:val="0"/>
          <w:bCs w:val="0"/>
          <w:sz w:val="44"/>
          <w:szCs w:val="44"/>
          <w:shd w:val="clear" w:color="auto" w:fill="FFFFFF"/>
        </w:rPr>
        <w:t>整体支出绩效评价报告</w:t>
      </w:r>
    </w:p>
    <w:p>
      <w:pPr>
        <w:widowControl/>
        <w:adjustRightInd w:val="0"/>
        <w:snapToGrid w:val="0"/>
        <w:spacing w:line="580" w:lineRule="exact"/>
        <w:ind w:firstLine="480" w:firstLineChars="200"/>
        <w:contextualSpacing/>
        <w:jc w:val="left"/>
        <w:rPr>
          <w:rFonts w:ascii="黑体" w:hAnsi="宋体" w:eastAsia="黑体" w:cs="宋体"/>
          <w:b w:val="0"/>
          <w:bCs w:val="0"/>
          <w:color w:val="000000"/>
          <w:kern w:val="0"/>
          <w:sz w:val="24"/>
          <w:szCs w:val="32"/>
          <w:shd w:val="clear" w:color="auto" w:fill="FFFFFF"/>
        </w:rPr>
      </w:pP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黑体" w:hAnsi="宋体" w:eastAsia="黑体" w:cs="宋体"/>
          <w:b w:val="0"/>
          <w:bCs w:val="0"/>
          <w:color w:val="000000"/>
          <w:kern w:val="0"/>
          <w:sz w:val="32"/>
          <w:szCs w:val="32"/>
          <w:shd w:val="clear" w:color="auto" w:fill="FFFFFF"/>
          <w:lang w:val="zh-CN"/>
        </w:rPr>
      </w:pPr>
      <w:r>
        <w:rPr>
          <w:rFonts w:hint="eastAsia" w:ascii="黑体" w:hAnsi="宋体" w:eastAsia="黑体" w:cs="宋体"/>
          <w:b w:val="0"/>
          <w:bCs w:val="0"/>
          <w:color w:val="000000"/>
          <w:kern w:val="0"/>
          <w:sz w:val="32"/>
          <w:szCs w:val="32"/>
          <w:shd w:val="clear" w:color="auto" w:fill="FFFFFF"/>
        </w:rPr>
        <w:t>一、</w:t>
      </w:r>
      <w:r>
        <w:rPr>
          <w:rFonts w:hint="eastAsia" w:ascii="黑体" w:hAnsi="宋体" w:eastAsia="黑体" w:cs="宋体"/>
          <w:b w:val="0"/>
          <w:bCs w:val="0"/>
          <w:color w:val="000000"/>
          <w:kern w:val="0"/>
          <w:sz w:val="32"/>
          <w:szCs w:val="32"/>
          <w:shd w:val="clear" w:color="auto" w:fill="FFFFFF"/>
          <w:lang w:val="zh-CN"/>
        </w:rPr>
        <w:t>部门（单位）概况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楷体_GB2312" w:eastAsia="楷体_GB2312" w:cs="楷体_GB2312"/>
          <w:b w:val="0"/>
          <w:bCs w:val="0"/>
          <w:color w:val="000000"/>
          <w:kern w:val="0"/>
          <w:sz w:val="32"/>
          <w:szCs w:val="32"/>
          <w:shd w:val="clear" w:color="auto" w:fill="FFFFFF"/>
          <w:lang w:val="zh-CN"/>
        </w:rPr>
      </w:pPr>
      <w:r>
        <w:rPr>
          <w:rFonts w:hint="eastAsia" w:ascii="楷体_GB2312" w:hAnsi="楷体_GB2312" w:eastAsia="楷体_GB2312" w:cs="楷体_GB2312"/>
          <w:b w:val="0"/>
          <w:bCs w:val="0"/>
          <w:color w:val="000000"/>
          <w:kern w:val="0"/>
          <w:sz w:val="32"/>
          <w:szCs w:val="32"/>
          <w:shd w:val="clear" w:color="auto" w:fill="FFFFFF"/>
          <w:lang w:val="zh-CN"/>
        </w:rPr>
        <w:t>（一）</w:t>
      </w:r>
      <w:r>
        <w:rPr>
          <w:rFonts w:hint="eastAsia" w:ascii="楷体_GB2312" w:hAnsi="楷体_GB2312" w:eastAsia="楷体_GB2312" w:cs="楷体_GB2312"/>
          <w:b w:val="0"/>
          <w:bCs w:val="0"/>
          <w:color w:val="000000"/>
          <w:kern w:val="0"/>
          <w:sz w:val="32"/>
          <w:szCs w:val="32"/>
          <w:shd w:val="clear" w:color="auto" w:fill="FFFFFF"/>
          <w:lang w:val="en-US" w:eastAsia="zh-CN"/>
        </w:rPr>
        <w:t>综合股、安全与信息技术股、养护股、运输服务股</w:t>
      </w:r>
      <w:r>
        <w:rPr>
          <w:rFonts w:hint="eastAsia" w:ascii="楷体_GB2312" w:hAnsi="楷体_GB2312" w:eastAsia="楷体_GB2312" w:cs="楷体_GB2312"/>
          <w:b w:val="0"/>
          <w:bCs w:val="0"/>
          <w:color w:val="000000"/>
          <w:kern w:val="0"/>
          <w:sz w:val="32"/>
          <w:szCs w:val="32"/>
          <w:shd w:val="clear" w:color="auto" w:fill="FFFFFF"/>
          <w:lang w:val="zh-CN"/>
        </w:rPr>
        <w:t>。</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宋体" w:eastAsia="仿宋_GB2312" w:cs="宋体"/>
          <w:b w:val="0"/>
          <w:bCs w:val="0"/>
          <w:color w:val="000000"/>
          <w:kern w:val="0"/>
          <w:sz w:val="32"/>
          <w:szCs w:val="32"/>
          <w:shd w:val="clear" w:color="auto" w:fill="FFFFFF"/>
          <w:lang w:val="zh-CN"/>
        </w:rPr>
      </w:pPr>
      <w:r>
        <w:rPr>
          <w:rFonts w:hint="eastAsia" w:ascii="仿宋_GB2312" w:hAnsi="宋体" w:eastAsia="仿宋_GB2312" w:cs="宋体"/>
          <w:b w:val="0"/>
          <w:bCs w:val="0"/>
          <w:color w:val="000000"/>
          <w:kern w:val="0"/>
          <w:sz w:val="32"/>
          <w:szCs w:val="32"/>
          <w:shd w:val="clear" w:color="auto" w:fill="FFFFFF"/>
          <w:lang w:val="zh-CN"/>
        </w:rPr>
        <w:t>（二）</w:t>
      </w:r>
      <w:r>
        <w:rPr>
          <w:rFonts w:hint="eastAsia" w:ascii="仿宋_GB2312" w:hAnsi="宋体" w:eastAsia="仿宋_GB2312" w:cs="宋体"/>
          <w:b w:val="0"/>
          <w:bCs w:val="0"/>
          <w:color w:val="000000"/>
          <w:kern w:val="0"/>
          <w:sz w:val="32"/>
          <w:szCs w:val="32"/>
          <w:shd w:val="clear" w:color="auto" w:fill="FFFFFF"/>
          <w:lang w:val="en-US" w:eastAsia="zh-CN"/>
        </w:rPr>
        <w:t>承担交通系统项目建设相关事务性工作；承担国省县道公路及桥梁的维修、养护、保洁和绿化工作；承担道路客货运输、运输站场、机动车驾驶员培训、机动车维修、城市客运、出租汽车、汽车租赁及水上运输服务工作；承担船舶检验技术保障工作；完成上级交办的其他任务。</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仿宋_GB2312" w:hAnsi="宋体" w:eastAsia="仿宋_GB2312" w:cs="宋体"/>
          <w:b w:val="0"/>
          <w:bCs w:val="0"/>
          <w:color w:val="000000"/>
          <w:kern w:val="0"/>
          <w:sz w:val="32"/>
          <w:szCs w:val="32"/>
          <w:shd w:val="clear" w:color="auto" w:fill="FFFFFF"/>
          <w:lang w:val="zh-CN"/>
        </w:rPr>
      </w:pPr>
      <w:r>
        <w:rPr>
          <w:rFonts w:hint="eastAsia" w:ascii="仿宋_GB2312" w:hAnsi="宋体" w:eastAsia="仿宋_GB2312" w:cs="宋体"/>
          <w:b w:val="0"/>
          <w:bCs w:val="0"/>
          <w:color w:val="000000"/>
          <w:kern w:val="0"/>
          <w:sz w:val="32"/>
          <w:szCs w:val="32"/>
          <w:shd w:val="clear" w:color="auto" w:fill="FFFFFF"/>
          <w:lang w:val="zh-CN"/>
        </w:rPr>
        <w:t>（三）</w:t>
      </w:r>
      <w:r>
        <w:rPr>
          <w:rFonts w:hint="eastAsia" w:ascii="仿宋_GB2312" w:hAnsi="宋体" w:eastAsia="仿宋_GB2312" w:cs="宋体"/>
          <w:b w:val="0"/>
          <w:bCs w:val="0"/>
          <w:color w:val="000000"/>
          <w:kern w:val="0"/>
          <w:sz w:val="32"/>
          <w:szCs w:val="32"/>
          <w:shd w:val="clear" w:color="auto" w:fill="FFFFFF"/>
          <w:lang w:val="en-US" w:eastAsia="zh-CN"/>
        </w:rPr>
        <w:t>现有干部职工194人（其中在编88人，劳务派遣106人），退休职工209人，遗属人员22人</w:t>
      </w:r>
      <w:r>
        <w:rPr>
          <w:rFonts w:hint="eastAsia" w:ascii="仿宋_GB2312" w:hAnsi="宋体" w:eastAsia="仿宋_GB2312" w:cs="宋体"/>
          <w:b w:val="0"/>
          <w:bCs w:val="0"/>
          <w:color w:val="000000"/>
          <w:kern w:val="0"/>
          <w:sz w:val="32"/>
          <w:szCs w:val="32"/>
          <w:shd w:val="clear" w:color="auto" w:fill="FFFFFF"/>
          <w:lang w:val="zh-CN"/>
        </w:rPr>
        <w:t>。</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黑体" w:hAnsi="宋体" w:eastAsia="黑体" w:cs="宋体"/>
          <w:b w:val="0"/>
          <w:bCs w:val="0"/>
          <w:color w:val="000000"/>
          <w:kern w:val="0"/>
          <w:sz w:val="32"/>
          <w:szCs w:val="32"/>
          <w:shd w:val="clear" w:color="auto" w:fill="FFFFFF"/>
        </w:rPr>
      </w:pPr>
      <w:r>
        <w:rPr>
          <w:rFonts w:hint="eastAsia" w:ascii="黑体" w:hAnsi="宋体" w:eastAsia="黑体" w:cs="宋体"/>
          <w:b w:val="0"/>
          <w:bCs w:val="0"/>
          <w:color w:val="000000"/>
          <w:kern w:val="0"/>
          <w:sz w:val="32"/>
          <w:szCs w:val="32"/>
          <w:shd w:val="clear" w:color="auto" w:fill="FFFFFF"/>
        </w:rPr>
        <w:t>二、部门财政资金收支情况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b w:val="0"/>
          <w:bCs w:val="0"/>
          <w:color w:val="000000"/>
          <w:kern w:val="0"/>
          <w:sz w:val="32"/>
          <w:szCs w:val="32"/>
          <w:shd w:val="clear" w:color="auto" w:fill="FFFFFF"/>
          <w:lang w:val="zh-CN"/>
        </w:rPr>
      </w:pPr>
      <w:r>
        <w:rPr>
          <w:rFonts w:hint="eastAsia" w:ascii="仿宋_GB2312" w:hAnsi="仿宋_GB2312" w:eastAsia="仿宋_GB2312" w:cs="仿宋_GB2312"/>
          <w:b w:val="0"/>
          <w:bCs w:val="0"/>
          <w:color w:val="000000"/>
          <w:kern w:val="0"/>
          <w:sz w:val="32"/>
          <w:szCs w:val="32"/>
          <w:shd w:val="clear" w:color="auto" w:fill="FFFFFF"/>
          <w:lang w:val="zh-CN"/>
        </w:rPr>
        <w:t>（一）</w:t>
      </w:r>
      <w:r>
        <w:rPr>
          <w:rFonts w:hint="eastAsia" w:ascii="仿宋_GB2312" w:hAnsi="仿宋_GB2312" w:eastAsia="仿宋_GB2312" w:cs="仿宋_GB2312"/>
          <w:b w:val="0"/>
          <w:bCs w:val="0"/>
          <w:color w:val="000000"/>
          <w:kern w:val="0"/>
          <w:sz w:val="32"/>
          <w:szCs w:val="32"/>
          <w:shd w:val="clear" w:color="auto" w:fill="FFFFFF"/>
          <w:lang w:val="en-US" w:eastAsia="zh-CN"/>
        </w:rPr>
        <w:t>2022年</w:t>
      </w:r>
      <w:r>
        <w:rPr>
          <w:rFonts w:hint="eastAsia" w:ascii="仿宋_GB2312" w:hAnsi="仿宋_GB2312" w:eastAsia="仿宋_GB2312" w:cs="仿宋_GB2312"/>
          <w:b w:val="0"/>
          <w:bCs w:val="0"/>
          <w:color w:val="000000"/>
          <w:kern w:val="0"/>
          <w:sz w:val="32"/>
          <w:szCs w:val="32"/>
          <w:shd w:val="clear" w:color="auto" w:fill="FFFFFF"/>
          <w:lang w:val="zh-CN"/>
        </w:rPr>
        <w:t>部门财政资金收入</w:t>
      </w:r>
      <w:r>
        <w:rPr>
          <w:rFonts w:hint="eastAsia" w:ascii="仿宋" w:hAnsi="仿宋" w:eastAsia="仿宋"/>
          <w:sz w:val="32"/>
          <w:szCs w:val="32"/>
        </w:rPr>
        <w:t>4567.01</w:t>
      </w:r>
      <w:r>
        <w:rPr>
          <w:rFonts w:hint="eastAsia" w:ascii="仿宋_GB2312" w:hAnsi="仿宋_GB2312" w:eastAsia="仿宋_GB2312" w:cs="仿宋_GB2312"/>
          <w:b w:val="0"/>
          <w:bCs w:val="0"/>
          <w:color w:val="000000"/>
          <w:kern w:val="0"/>
          <w:sz w:val="32"/>
          <w:szCs w:val="32"/>
          <w:shd w:val="clear" w:color="auto" w:fill="FFFFFF"/>
          <w:lang w:val="en-US" w:eastAsia="zh-CN"/>
        </w:rPr>
        <w:t>万元</w:t>
      </w:r>
      <w:r>
        <w:rPr>
          <w:rFonts w:hint="eastAsia" w:ascii="仿宋_GB2312" w:hAnsi="仿宋_GB2312" w:eastAsia="仿宋_GB2312" w:cs="仿宋_GB2312"/>
          <w:b w:val="0"/>
          <w:bCs w:val="0"/>
          <w:color w:val="000000"/>
          <w:kern w:val="0"/>
          <w:sz w:val="32"/>
          <w:szCs w:val="32"/>
          <w:shd w:val="clear" w:color="auto" w:fill="FFFFFF"/>
          <w:lang w:val="zh-CN"/>
        </w:rPr>
        <w:t>。</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b w:val="0"/>
          <w:bCs w:val="0"/>
          <w:color w:val="000000"/>
          <w:kern w:val="0"/>
          <w:sz w:val="32"/>
          <w:szCs w:val="32"/>
          <w:shd w:val="clear" w:color="auto" w:fill="FFFFFF"/>
          <w:lang w:val="zh-CN"/>
        </w:rPr>
      </w:pPr>
      <w:r>
        <w:rPr>
          <w:rFonts w:hint="eastAsia" w:ascii="仿宋_GB2312" w:hAnsi="仿宋_GB2312" w:eastAsia="仿宋_GB2312" w:cs="仿宋_GB2312"/>
          <w:b w:val="0"/>
          <w:bCs w:val="0"/>
          <w:color w:val="000000"/>
          <w:kern w:val="0"/>
          <w:sz w:val="32"/>
          <w:szCs w:val="32"/>
          <w:shd w:val="clear" w:color="auto" w:fill="FFFFFF"/>
          <w:lang w:val="zh-CN"/>
        </w:rPr>
        <w:t>（二）</w:t>
      </w:r>
      <w:r>
        <w:rPr>
          <w:rFonts w:hint="eastAsia" w:ascii="仿宋_GB2312" w:hAnsi="仿宋_GB2312" w:eastAsia="仿宋_GB2312" w:cs="仿宋_GB2312"/>
          <w:b w:val="0"/>
          <w:bCs w:val="0"/>
          <w:color w:val="000000"/>
          <w:kern w:val="0"/>
          <w:sz w:val="32"/>
          <w:szCs w:val="32"/>
          <w:shd w:val="clear" w:color="auto" w:fill="FFFFFF"/>
          <w:lang w:val="en-US" w:eastAsia="zh-CN"/>
        </w:rPr>
        <w:t>2022年</w:t>
      </w:r>
      <w:r>
        <w:rPr>
          <w:rFonts w:hint="eastAsia" w:ascii="仿宋_GB2312" w:hAnsi="仿宋_GB2312" w:eastAsia="仿宋_GB2312" w:cs="仿宋_GB2312"/>
          <w:b w:val="0"/>
          <w:bCs w:val="0"/>
          <w:color w:val="000000"/>
          <w:kern w:val="0"/>
          <w:sz w:val="32"/>
          <w:szCs w:val="32"/>
          <w:shd w:val="clear" w:color="auto" w:fill="FFFFFF"/>
          <w:lang w:val="zh-CN"/>
        </w:rPr>
        <w:t>部门财政资金支出</w:t>
      </w:r>
      <w:r>
        <w:rPr>
          <w:rFonts w:hint="eastAsia" w:ascii="仿宋_GB2312" w:hAnsi="仿宋_GB2312" w:eastAsia="仿宋_GB2312" w:cs="仿宋_GB2312"/>
          <w:b w:val="0"/>
          <w:bCs w:val="0"/>
          <w:color w:val="000000"/>
          <w:kern w:val="0"/>
          <w:sz w:val="32"/>
          <w:szCs w:val="32"/>
          <w:shd w:val="clear" w:color="auto" w:fill="FFFFFF"/>
          <w:lang w:val="en-US" w:eastAsia="zh-CN"/>
        </w:rPr>
        <w:t>4620.44万元（部分支出来自年初结转结余）</w:t>
      </w:r>
      <w:r>
        <w:rPr>
          <w:rFonts w:hint="eastAsia" w:ascii="仿宋_GB2312" w:hAnsi="仿宋_GB2312" w:eastAsia="仿宋_GB2312" w:cs="仿宋_GB2312"/>
          <w:b w:val="0"/>
          <w:bCs w:val="0"/>
          <w:color w:val="000000"/>
          <w:kern w:val="0"/>
          <w:sz w:val="32"/>
          <w:szCs w:val="32"/>
          <w:shd w:val="clear" w:color="auto" w:fill="FFFFFF"/>
          <w:lang w:val="zh-CN"/>
        </w:rPr>
        <w:t>。</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黑体" w:hAnsi="宋体" w:eastAsia="黑体" w:cs="宋体"/>
          <w:b w:val="0"/>
          <w:bCs w:val="0"/>
          <w:color w:val="000000"/>
          <w:kern w:val="0"/>
          <w:sz w:val="32"/>
          <w:szCs w:val="32"/>
          <w:u w:val="none"/>
          <w:shd w:val="clear" w:color="auto" w:fill="FFFFFF"/>
        </w:rPr>
      </w:pPr>
      <w:r>
        <w:rPr>
          <w:rFonts w:hint="eastAsia" w:ascii="黑体" w:hAnsi="宋体" w:eastAsia="黑体" w:cs="宋体"/>
          <w:b w:val="0"/>
          <w:bCs w:val="0"/>
          <w:color w:val="000000"/>
          <w:kern w:val="0"/>
          <w:sz w:val="32"/>
          <w:szCs w:val="32"/>
          <w:shd w:val="clear" w:color="auto" w:fill="FFFFFF"/>
        </w:rPr>
        <w:t>三、</w:t>
      </w:r>
      <w:r>
        <w:rPr>
          <w:rFonts w:hint="eastAsia" w:ascii="黑体" w:hAnsi="宋体" w:eastAsia="黑体" w:cs="宋体"/>
          <w:b w:val="0"/>
          <w:bCs w:val="0"/>
          <w:color w:val="000000"/>
          <w:kern w:val="0"/>
          <w:sz w:val="32"/>
          <w:szCs w:val="32"/>
          <w:u w:val="none"/>
          <w:shd w:val="clear" w:color="auto" w:fill="FFFFFF"/>
        </w:rPr>
        <w:t>部门整体预算绩效管理情况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b w:val="0"/>
          <w:bCs w:val="0"/>
          <w:color w:val="000000"/>
          <w:kern w:val="0"/>
          <w:sz w:val="32"/>
          <w:szCs w:val="32"/>
          <w:shd w:val="clear" w:color="auto" w:fill="FFFFFF"/>
          <w:lang w:val="zh-CN"/>
        </w:rPr>
      </w:pPr>
      <w:r>
        <w:rPr>
          <w:rFonts w:hint="eastAsia" w:ascii="仿宋_GB2312" w:hAnsi="仿宋_GB2312" w:eastAsia="仿宋_GB2312" w:cs="仿宋_GB2312"/>
          <w:b w:val="0"/>
          <w:bCs w:val="0"/>
          <w:color w:val="000000"/>
          <w:kern w:val="0"/>
          <w:sz w:val="32"/>
          <w:szCs w:val="32"/>
          <w:shd w:val="clear" w:color="auto" w:fill="FFFFFF"/>
          <w:lang w:val="zh-CN"/>
        </w:rPr>
        <w:t>（一）部门预算项目绩效管理。</w:t>
      </w:r>
    </w:p>
    <w:p>
      <w:pPr>
        <w:widowControl/>
        <w:adjustRightInd w:val="0"/>
        <w:snapToGrid w:val="0"/>
        <w:spacing w:line="580" w:lineRule="exact"/>
        <w:ind w:firstLine="720"/>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（1）资金绩效分配情况。</w:t>
      </w:r>
    </w:p>
    <w:p>
      <w:pPr>
        <w:widowControl/>
        <w:adjustRightInd w:val="0"/>
        <w:snapToGrid w:val="0"/>
        <w:spacing w:line="580" w:lineRule="exact"/>
        <w:ind w:firstLine="720"/>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我中心严格按照《四川省省级财政专项资金绩效分配管理暂行办法》，实施绩效分配。根据科学规范、分类管理、协作制衡的原则，对我单位专项预算项目资金实行严格管理。</w:t>
      </w:r>
    </w:p>
    <w:p>
      <w:pPr>
        <w:widowControl/>
        <w:adjustRightInd w:val="0"/>
        <w:snapToGrid w:val="0"/>
        <w:spacing w:line="580" w:lineRule="exact"/>
        <w:ind w:firstLine="720"/>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（2）项目资金管理情况。</w:t>
      </w:r>
    </w:p>
    <w:p>
      <w:pPr>
        <w:tabs>
          <w:tab w:val="left" w:pos="816"/>
        </w:tabs>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2017年以来，我</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先后制定修改了《养护管理办法》、《养护检查考核办法》、《国省县乡道养护服务日常养护管理检查工作内容和考核细则》以及《公路绿化考核细则》。</w:t>
      </w:r>
    </w:p>
    <w:p>
      <w:pPr>
        <w:tabs>
          <w:tab w:val="left" w:pos="816"/>
        </w:tabs>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是正式职工，在养护站推行养护责任制，养护站长实行聘任制，竞争上岗，与各养护站签订养护目标责任书。二是使用临聘人员，由段通过峨眉山市新世纪劳务公司招聘临时人员，采取定里程、定人员、定任务、定经费的管理模式。三是购买服务，部分道路通过公开招标方式，进行政府采购公路养护服务公司，对道路进行日常养护。</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宋体" w:eastAsia="仿宋_GB2312" w:cs="宋体"/>
          <w:b w:val="0"/>
          <w:bCs w:val="0"/>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zh-CN"/>
        </w:rPr>
        <w:t>（3）</w:t>
      </w:r>
      <w:r>
        <w:rPr>
          <w:rFonts w:hint="eastAsia" w:ascii="仿宋_GB2312" w:hAnsi="宋体" w:eastAsia="仿宋_GB2312" w:cs="宋体"/>
          <w:color w:val="000000"/>
          <w:kern w:val="0"/>
          <w:sz w:val="32"/>
          <w:szCs w:val="32"/>
          <w:shd w:val="clear" w:color="auto" w:fill="FFFFFF"/>
          <w:lang w:val="en-US" w:eastAsia="zh-CN"/>
        </w:rPr>
        <w:t>项目</w:t>
      </w:r>
      <w:r>
        <w:rPr>
          <w:rFonts w:hint="eastAsia" w:ascii="仿宋_GB2312" w:hAnsi="宋体" w:eastAsia="仿宋_GB2312" w:cs="宋体"/>
          <w:color w:val="000000"/>
          <w:kern w:val="0"/>
          <w:sz w:val="32"/>
          <w:szCs w:val="32"/>
          <w:shd w:val="clear" w:color="auto" w:fill="FFFFFF"/>
          <w:lang w:val="zh-CN"/>
        </w:rPr>
        <w:t>绩效目标完成情况。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宋体" w:eastAsia="仿宋_GB2312" w:cs="宋体"/>
          <w:b w:val="0"/>
          <w:bCs w:val="0"/>
          <w:color w:val="000000"/>
          <w:kern w:val="0"/>
          <w:sz w:val="32"/>
          <w:szCs w:val="32"/>
          <w:shd w:val="clear" w:color="auto" w:fill="FFFFFF"/>
          <w:lang w:val="en-US" w:eastAsia="zh-CN"/>
        </w:rPr>
      </w:pPr>
      <w:r>
        <w:rPr>
          <w:rFonts w:hint="eastAsia" w:ascii="仿宋_GB2312" w:hAnsi="宋体" w:eastAsia="仿宋_GB2312" w:cs="宋体"/>
          <w:b w:val="0"/>
          <w:bCs w:val="0"/>
          <w:color w:val="000000"/>
          <w:kern w:val="0"/>
          <w:sz w:val="32"/>
          <w:szCs w:val="32"/>
          <w:shd w:val="clear" w:color="auto" w:fill="FFFFFF"/>
          <w:lang w:val="en-US" w:eastAsia="zh-CN"/>
        </w:rPr>
        <w:t>1、扫地车、洒水车运险费</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default" w:ascii="仿宋_GB2312" w:hAnsi="宋体" w:eastAsia="仿宋_GB2312" w:cs="宋体"/>
          <w:b w:val="0"/>
          <w:bCs w:val="0"/>
          <w:color w:val="000000"/>
          <w:kern w:val="0"/>
          <w:sz w:val="32"/>
          <w:szCs w:val="32"/>
          <w:shd w:val="clear" w:color="auto" w:fill="FFFFFF"/>
          <w:lang w:val="en-US" w:eastAsia="zh-CN"/>
        </w:rPr>
      </w:pPr>
      <w:r>
        <w:rPr>
          <w:rFonts w:hint="eastAsia" w:ascii="仿宋_GB2312" w:hAnsi="宋体" w:eastAsia="仿宋_GB2312" w:cs="宋体"/>
          <w:b w:val="0"/>
          <w:bCs w:val="0"/>
          <w:color w:val="000000"/>
          <w:kern w:val="0"/>
          <w:sz w:val="32"/>
          <w:szCs w:val="32"/>
          <w:shd w:val="clear" w:color="auto" w:fill="FFFFFF"/>
          <w:lang w:val="en-US" w:eastAsia="zh-CN"/>
        </w:rPr>
        <w:t>财政年初按照单位专用车辆情况批复预算运行经费120万元，我单位根据经费进步细化为：油费、维修费及保险费，根据每月实际产生费用按月支付。全年实际支付119.72万元。</w:t>
      </w:r>
    </w:p>
    <w:p>
      <w:pPr>
        <w:keepNext w:val="0"/>
        <w:keepLines w:val="0"/>
        <w:pageBreakBefore w:val="0"/>
        <w:widowControl/>
        <w:numPr>
          <w:ilvl w:val="0"/>
          <w:numId w:val="4"/>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宋体" w:eastAsia="仿宋_GB2312" w:cs="宋体"/>
          <w:b w:val="0"/>
          <w:bCs w:val="0"/>
          <w:color w:val="000000"/>
          <w:kern w:val="0"/>
          <w:sz w:val="32"/>
          <w:szCs w:val="32"/>
          <w:shd w:val="clear" w:color="auto" w:fill="FFFFFF"/>
          <w:lang w:val="en-US" w:eastAsia="zh-CN"/>
        </w:rPr>
      </w:pPr>
      <w:r>
        <w:rPr>
          <w:rFonts w:hint="eastAsia" w:ascii="仿宋_GB2312" w:hAnsi="宋体" w:eastAsia="仿宋_GB2312" w:cs="宋体"/>
          <w:b w:val="0"/>
          <w:bCs w:val="0"/>
          <w:color w:val="000000"/>
          <w:kern w:val="0"/>
          <w:sz w:val="32"/>
          <w:szCs w:val="32"/>
          <w:shd w:val="clear" w:color="auto" w:fill="FFFFFF"/>
          <w:lang w:val="en-US" w:eastAsia="zh-CN"/>
        </w:rPr>
        <w:t>成品油税费改革转移支付资金（农村公路养护）</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default" w:ascii="仿宋_GB2312" w:hAnsi="宋体" w:eastAsia="仿宋_GB2312" w:cs="宋体"/>
          <w:b w:val="0"/>
          <w:bCs w:val="0"/>
          <w:color w:val="000000"/>
          <w:kern w:val="0"/>
          <w:sz w:val="32"/>
          <w:szCs w:val="32"/>
          <w:shd w:val="clear" w:color="auto" w:fill="FFFFFF"/>
          <w:lang w:val="en-US" w:eastAsia="zh-CN"/>
        </w:rPr>
      </w:pPr>
      <w:r>
        <w:rPr>
          <w:rFonts w:hint="eastAsia" w:ascii="仿宋_GB2312" w:hAnsi="宋体" w:eastAsia="仿宋_GB2312" w:cs="宋体"/>
          <w:b w:val="0"/>
          <w:bCs w:val="0"/>
          <w:color w:val="000000"/>
          <w:kern w:val="0"/>
          <w:sz w:val="32"/>
          <w:szCs w:val="32"/>
          <w:shd w:val="clear" w:color="auto" w:fill="FFFFFF"/>
          <w:lang w:val="en-US" w:eastAsia="zh-CN"/>
        </w:rPr>
        <w:t>上级下达省级补助资金133万元，全年支付133万元。</w:t>
      </w:r>
    </w:p>
    <w:p>
      <w:pPr>
        <w:keepNext w:val="0"/>
        <w:keepLines w:val="0"/>
        <w:pageBreakBefore w:val="0"/>
        <w:widowControl/>
        <w:numPr>
          <w:ilvl w:val="0"/>
          <w:numId w:val="4"/>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宋体" w:eastAsia="仿宋_GB2312" w:cs="宋体"/>
          <w:b w:val="0"/>
          <w:bCs w:val="0"/>
          <w:color w:val="000000"/>
          <w:kern w:val="0"/>
          <w:sz w:val="32"/>
          <w:szCs w:val="32"/>
          <w:shd w:val="clear" w:color="auto" w:fill="FFFFFF"/>
          <w:lang w:val="en-US" w:eastAsia="zh-CN"/>
        </w:rPr>
      </w:pPr>
      <w:r>
        <w:rPr>
          <w:rFonts w:hint="eastAsia" w:ascii="仿宋_GB2312" w:hAnsi="宋体" w:eastAsia="仿宋_GB2312" w:cs="宋体"/>
          <w:b w:val="0"/>
          <w:bCs w:val="0"/>
          <w:color w:val="000000"/>
          <w:kern w:val="0"/>
          <w:sz w:val="32"/>
          <w:szCs w:val="32"/>
          <w:shd w:val="clear" w:color="auto" w:fill="FFFFFF"/>
          <w:lang w:val="en-US" w:eastAsia="zh-CN"/>
        </w:rPr>
        <w:t>乐峨大道等日常养护费</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default" w:ascii="仿宋_GB2312" w:hAnsi="宋体" w:eastAsia="仿宋_GB2312" w:cs="宋体"/>
          <w:b w:val="0"/>
          <w:bCs w:val="0"/>
          <w:color w:val="000000"/>
          <w:kern w:val="0"/>
          <w:sz w:val="32"/>
          <w:szCs w:val="32"/>
          <w:shd w:val="clear" w:color="auto" w:fill="FFFFFF"/>
          <w:lang w:val="en-US" w:eastAsia="zh-CN"/>
        </w:rPr>
      </w:pPr>
      <w:r>
        <w:rPr>
          <w:rFonts w:hint="eastAsia" w:ascii="仿宋_GB2312" w:hAnsi="宋体" w:eastAsia="仿宋_GB2312" w:cs="宋体"/>
          <w:b w:val="0"/>
          <w:bCs w:val="0"/>
          <w:color w:val="000000"/>
          <w:kern w:val="0"/>
          <w:sz w:val="32"/>
          <w:szCs w:val="32"/>
          <w:shd w:val="clear" w:color="auto" w:fill="FFFFFF"/>
          <w:lang w:val="en-US" w:eastAsia="zh-CN"/>
        </w:rPr>
        <w:t>乐峨大道、川桃双龙双木、梅燕路、货运通道日常养护劳务费，全年预算为295.75万元，因财政资金紧张实际拨付给企业承包养护经费161.08万元。</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b w:val="0"/>
          <w:bCs w:val="0"/>
          <w:color w:val="000000"/>
          <w:kern w:val="0"/>
          <w:sz w:val="32"/>
          <w:szCs w:val="32"/>
          <w:shd w:val="clear" w:color="auto" w:fill="FFFFFF"/>
          <w:lang w:val="zh-CN"/>
        </w:rPr>
      </w:pPr>
      <w:r>
        <w:rPr>
          <w:rFonts w:hint="eastAsia" w:ascii="仿宋_GB2312" w:hAnsi="仿宋_GB2312" w:eastAsia="仿宋_GB2312" w:cs="仿宋_GB2312"/>
          <w:b w:val="0"/>
          <w:bCs w:val="0"/>
          <w:color w:val="000000"/>
          <w:kern w:val="0"/>
          <w:sz w:val="32"/>
          <w:szCs w:val="32"/>
          <w:shd w:val="clear" w:color="auto" w:fill="FFFFFF"/>
          <w:lang w:val="zh-CN"/>
        </w:rPr>
        <w:t>（二）结果应用情况。</w:t>
      </w:r>
    </w:p>
    <w:p>
      <w:pPr>
        <w:keepNext w:val="0"/>
        <w:keepLines w:val="0"/>
        <w:pageBreakBefore w:val="0"/>
        <w:widowControl/>
        <w:numPr>
          <w:ilvl w:val="0"/>
          <w:numId w:val="5"/>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楷体_GB2312" w:eastAsia="楷体_GB2312" w:cs="楷体_GB2312"/>
          <w:b w:val="0"/>
          <w:bCs w:val="0"/>
          <w:color w:val="000000"/>
          <w:kern w:val="0"/>
          <w:sz w:val="32"/>
          <w:szCs w:val="32"/>
          <w:u w:val="none"/>
          <w:shd w:val="clear" w:color="auto" w:fill="FFFFFF"/>
          <w:lang w:val="zh-CN"/>
        </w:rPr>
      </w:pPr>
      <w:r>
        <w:rPr>
          <w:rFonts w:hint="eastAsia" w:ascii="仿宋_GB2312" w:hAnsi="宋体" w:eastAsia="仿宋_GB2312" w:cs="宋体"/>
          <w:color w:val="000000"/>
          <w:kern w:val="0"/>
          <w:sz w:val="32"/>
          <w:szCs w:val="32"/>
          <w:shd w:val="clear" w:color="auto" w:fill="FFFFFF"/>
          <w:lang w:val="zh-CN"/>
        </w:rPr>
        <w:t>我中心严格按照《四川省省级财政专项资金绩效分配管理暂行办法》，实施绩效分配。</w:t>
      </w:r>
    </w:p>
    <w:p>
      <w:pPr>
        <w:keepNext w:val="0"/>
        <w:keepLines w:val="0"/>
        <w:pageBreakBefore w:val="0"/>
        <w:widowControl/>
        <w:numPr>
          <w:ilvl w:val="0"/>
          <w:numId w:val="5"/>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楷体_GB2312" w:eastAsia="楷体_GB2312" w:cs="楷体_GB2312"/>
          <w:b w:val="0"/>
          <w:bCs w:val="0"/>
          <w:color w:val="000000"/>
          <w:kern w:val="0"/>
          <w:sz w:val="32"/>
          <w:szCs w:val="32"/>
          <w:u w:val="none"/>
          <w:shd w:val="clear" w:color="auto" w:fill="FFFFFF"/>
          <w:lang w:val="zh-CN"/>
        </w:rPr>
      </w:pPr>
      <w:r>
        <w:rPr>
          <w:rFonts w:hint="eastAsia" w:ascii="楷体_GB2312" w:hAnsi="楷体_GB2312" w:eastAsia="楷体_GB2312" w:cs="楷体_GB2312"/>
          <w:b w:val="0"/>
          <w:bCs w:val="0"/>
          <w:color w:val="000000"/>
          <w:kern w:val="0"/>
          <w:sz w:val="32"/>
          <w:szCs w:val="32"/>
          <w:u w:val="none"/>
          <w:shd w:val="clear" w:color="auto" w:fill="FFFFFF"/>
          <w:lang w:val="zh-CN"/>
        </w:rPr>
        <w:t>自评质量</w:t>
      </w:r>
    </w:p>
    <w:p>
      <w:pPr>
        <w:widowControl/>
        <w:adjustRightInd w:val="0"/>
        <w:snapToGrid w:val="0"/>
        <w:spacing w:line="580" w:lineRule="exact"/>
        <w:ind w:firstLine="720"/>
        <w:jc w:val="left"/>
        <w:rPr>
          <w:rFonts w:hint="default" w:ascii="仿宋_GB2312" w:hAnsi="宋体" w:eastAsia="仿宋_GB2312" w:cs="宋体"/>
          <w:b w:val="0"/>
          <w:bCs w:val="0"/>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zh-CN"/>
        </w:rPr>
        <w:t>我单位主要从以下两个方面开展工作一是建立完善绩效管理制度，加快建立完善预算绩效管理制度体系，对绩效目标设立、绩效结果运行、绩效监督等环节提出规范管理要求，为推进绩效管理提供制度保障。二是完善重点绩效评价项目绩效目标确定机制，继续选取部分财政重点绩效评价项目，健全完善绩效目标确定体制。</w:t>
      </w:r>
      <w:r>
        <w:rPr>
          <w:rFonts w:hint="eastAsia" w:ascii="仿宋_GB2312" w:hAnsi="宋体" w:eastAsia="仿宋_GB2312" w:cs="宋体"/>
          <w:b w:val="0"/>
          <w:bCs w:val="0"/>
          <w:color w:val="000000"/>
          <w:kern w:val="0"/>
          <w:sz w:val="32"/>
          <w:szCs w:val="32"/>
          <w:shd w:val="clear" w:color="auto" w:fill="FFFFFF"/>
          <w:lang w:val="en-US" w:eastAsia="zh-CN"/>
        </w:rPr>
        <w:t>包括评价部门整体支出自评准确情况。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黑体" w:hAnsi="宋体" w:eastAsia="黑体" w:cs="宋体"/>
          <w:b w:val="0"/>
          <w:bCs w:val="0"/>
          <w:color w:val="000000"/>
          <w:kern w:val="0"/>
          <w:sz w:val="32"/>
          <w:szCs w:val="32"/>
          <w:shd w:val="clear" w:color="auto" w:fill="FFFFFF"/>
        </w:rPr>
      </w:pPr>
      <w:r>
        <w:rPr>
          <w:rFonts w:hint="eastAsia" w:ascii="黑体" w:hAnsi="宋体" w:eastAsia="黑体" w:cs="宋体"/>
          <w:b w:val="0"/>
          <w:bCs w:val="0"/>
          <w:color w:val="000000"/>
          <w:kern w:val="0"/>
          <w:sz w:val="32"/>
          <w:szCs w:val="32"/>
          <w:shd w:val="clear" w:color="auto" w:fill="FFFFFF"/>
        </w:rPr>
        <w:t>四、评价结论及建议</w:t>
      </w:r>
    </w:p>
    <w:p>
      <w:pPr>
        <w:keepNext w:val="0"/>
        <w:keepLines w:val="0"/>
        <w:pageBreakBefore w:val="0"/>
        <w:widowControl/>
        <w:kinsoku/>
        <w:wordWrap/>
        <w:overflowPunct/>
        <w:topLinePunct w:val="0"/>
        <w:autoSpaceDE/>
        <w:autoSpaceDN/>
        <w:bidi w:val="0"/>
        <w:adjustRightInd w:val="0"/>
        <w:snapToGrid w:val="0"/>
        <w:spacing w:afterAutospacing="0" w:line="600" w:lineRule="exact"/>
        <w:ind w:firstLine="640" w:firstLineChars="200"/>
        <w:contextualSpacing/>
        <w:jc w:val="left"/>
        <w:textAlignment w:val="auto"/>
        <w:rPr>
          <w:rFonts w:hint="eastAsia" w:ascii="仿宋_GB2312" w:hAnsi="宋体" w:eastAsia="仿宋_GB2312" w:cs="宋体"/>
          <w:color w:val="000000"/>
          <w:kern w:val="0"/>
          <w:szCs w:val="32"/>
          <w:shd w:val="clear" w:color="auto" w:fill="FFFFFF"/>
          <w:lang w:val="en-US" w:eastAsia="zh-CN"/>
        </w:rPr>
        <w:sectPr>
          <w:headerReference r:id="rId3" w:type="default"/>
          <w:footerReference r:id="rId4" w:type="default"/>
          <w:footerReference r:id="rId5" w:type="even"/>
          <w:pgSz w:w="11906" w:h="16838"/>
          <w:pgMar w:top="2041" w:right="1468" w:bottom="1587" w:left="1468" w:header="851" w:footer="992" w:gutter="0"/>
          <w:pgBorders>
            <w:top w:val="none" w:sz="0" w:space="0"/>
            <w:left w:val="none" w:sz="0" w:space="0"/>
            <w:bottom w:val="none" w:sz="0" w:space="0"/>
            <w:right w:val="none" w:sz="0" w:space="0"/>
          </w:pgBorders>
          <w:pgNumType w:fmt="numberInDash" w:start="1"/>
          <w:cols w:space="425" w:num="1"/>
          <w:docGrid w:type="lines" w:linePitch="435" w:charSpace="0"/>
        </w:sectPr>
      </w:pPr>
      <w:r>
        <w:rPr>
          <w:rFonts w:hint="eastAsia" w:ascii="楷体_GB2312" w:hAnsi="楷体_GB2312" w:eastAsia="楷体_GB2312" w:cs="楷体_GB2312"/>
          <w:b w:val="0"/>
          <w:bCs w:val="0"/>
          <w:color w:val="000000"/>
          <w:kern w:val="0"/>
          <w:sz w:val="32"/>
          <w:szCs w:val="32"/>
          <w:shd w:val="clear" w:color="auto" w:fill="FFFFFF"/>
          <w:lang w:val="en-US" w:eastAsia="zh-CN"/>
        </w:rPr>
        <w:t>我中心严格按照预算指标及上级下达资金，</w:t>
      </w:r>
      <w:r>
        <w:rPr>
          <w:rFonts w:hint="eastAsia" w:ascii="仿宋_GB2312" w:hAnsi="宋体" w:eastAsia="仿宋_GB2312" w:cs="宋体"/>
          <w:color w:val="000000"/>
          <w:kern w:val="0"/>
          <w:sz w:val="32"/>
          <w:szCs w:val="32"/>
          <w:shd w:val="clear" w:color="auto" w:fill="FFFFFF"/>
          <w:lang w:val="zh-CN"/>
        </w:rPr>
        <w:t>根据科学规范、分类管理、协作制衡的原则，对我单位专项预算项目资金实行严格</w:t>
      </w:r>
      <w:r>
        <w:rPr>
          <w:rFonts w:hint="eastAsia" w:ascii="仿宋_GB2312" w:hAnsi="宋体" w:eastAsia="仿宋_GB2312" w:cs="宋体"/>
          <w:color w:val="000000"/>
          <w:kern w:val="0"/>
          <w:sz w:val="32"/>
          <w:szCs w:val="32"/>
          <w:shd w:val="clear" w:color="auto" w:fill="FFFFFF"/>
          <w:lang w:val="en-US" w:eastAsia="zh-CN"/>
        </w:rPr>
        <w:t>管理。</w:t>
      </w:r>
    </w:p>
    <w:p>
      <w:pPr>
        <w:spacing w:line="600" w:lineRule="exact"/>
        <w:jc w:val="left"/>
        <w:outlineLvl w:val="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附件2-1</w:t>
      </w:r>
    </w:p>
    <w:p>
      <w:pPr>
        <w:jc w:val="center"/>
        <w:rPr>
          <w:rFonts w:hint="eastAsia" w:ascii="仿宋" w:hAnsi="仿宋" w:eastAsia="仿宋" w:cs="仿宋"/>
          <w:b/>
          <w:bCs/>
          <w:sz w:val="36"/>
          <w:szCs w:val="36"/>
          <w:lang w:val="en-US" w:eastAsia="zh-CN"/>
        </w:rPr>
      </w:pPr>
    </w:p>
    <w:p>
      <w:pPr>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2020年普通国省干线公路养护管理检查考核资金</w:t>
      </w:r>
    </w:p>
    <w:p>
      <w:pPr>
        <w:jc w:val="center"/>
        <w:rPr>
          <w:rFonts w:ascii="宋体" w:hAnsi="宋体" w:eastAsia="宋体" w:cs="宋体"/>
          <w:b/>
          <w:sz w:val="36"/>
          <w:szCs w:val="44"/>
        </w:rPr>
      </w:pPr>
      <w:r>
        <w:rPr>
          <w:rFonts w:hint="eastAsia" w:ascii="Arial" w:hAnsi="Arial" w:eastAsia="宋体" w:cs="Arial"/>
          <w:b/>
          <w:sz w:val="36"/>
          <w:szCs w:val="44"/>
        </w:rPr>
        <w:t>202</w:t>
      </w:r>
      <w:r>
        <w:rPr>
          <w:rFonts w:hint="eastAsia" w:ascii="Arial" w:hAnsi="Arial" w:eastAsia="宋体" w:cs="Arial"/>
          <w:b/>
          <w:sz w:val="36"/>
          <w:szCs w:val="44"/>
          <w:lang w:val="en-US" w:eastAsia="zh-CN"/>
        </w:rPr>
        <w:t>2</w:t>
      </w:r>
      <w:r>
        <w:rPr>
          <w:rFonts w:hint="eastAsia" w:ascii="宋体" w:hAnsi="宋体" w:eastAsia="宋体" w:cs="宋体"/>
          <w:b/>
          <w:sz w:val="36"/>
          <w:szCs w:val="44"/>
        </w:rPr>
        <w:t>年度绩效自评报告</w:t>
      </w:r>
    </w:p>
    <w:p>
      <w:pPr>
        <w:jc w:val="center"/>
        <w:rPr>
          <w:rFonts w:ascii="仿宋_GB2312"/>
          <w:szCs w:val="32"/>
        </w:rPr>
      </w:pPr>
    </w:p>
    <w:p>
      <w:pPr>
        <w:pStyle w:val="1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一、绩效目标分解下达情况</w:t>
      </w:r>
    </w:p>
    <w:p>
      <w:pPr>
        <w:pStyle w:val="1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根据《四川省财政厅 四川交通厅关于下达2020年普通国省干线公路养护管理检查考核资金的通知》（乐市财政建【2022】10号）精神，下达我中心2020年普通国省干线公路养护管理检查考核资金94.71万元，专项用于我市普通国省干线公路养护。</w:t>
      </w:r>
    </w:p>
    <w:p>
      <w:pPr>
        <w:pStyle w:val="1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2022年总体绩效目标为用于支持符合要求的普通国省干线公路养护使用，达到道路整洁、安全畅通。</w:t>
      </w:r>
    </w:p>
    <w:p>
      <w:pPr>
        <w:pStyle w:val="1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二、绩效情况分析</w:t>
      </w:r>
    </w:p>
    <w:p>
      <w:pPr>
        <w:pStyle w:val="1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（一）资金投入情况分析。</w:t>
      </w:r>
    </w:p>
    <w:p>
      <w:pPr>
        <w:pStyle w:val="1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1.转移支付资金到位情况分析。</w:t>
      </w:r>
    </w:p>
    <w:p>
      <w:pPr>
        <w:pStyle w:val="1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2020年普通国省干线公路养护管理检查考核资金94.71万元，资金已全部到位。</w:t>
      </w:r>
    </w:p>
    <w:p>
      <w:pPr>
        <w:pStyle w:val="1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资金管理情况分析。</w:t>
      </w:r>
    </w:p>
    <w:p>
      <w:pPr>
        <w:pStyle w:val="1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1.转移支付资金执行情况分析。</w:t>
      </w:r>
    </w:p>
    <w:p>
      <w:pPr>
        <w:pStyle w:val="1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2020年普通国省干线公路养护管理检查考核资金94.71万元，执行率达31.5%，用于我市国省干线公路日常养护。</w:t>
      </w:r>
    </w:p>
    <w:p>
      <w:pPr>
        <w:pStyle w:val="1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2.转移支付资金管理情况分析。</w:t>
      </w:r>
    </w:p>
    <w:p>
      <w:pPr>
        <w:pStyle w:val="1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2022年，峨眉山市交通建设和运输中心严格按预算安排资金执行，积极落实项目专项资金，严格按照制度规定进行资金管理，做到了专款专用，没有滞留、截留、挤占和挪用的现象。</w:t>
      </w:r>
    </w:p>
    <w:p>
      <w:pPr>
        <w:pStyle w:val="1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（三）总体绩效目标完成情况分析。</w:t>
      </w:r>
    </w:p>
    <w:p>
      <w:pPr>
        <w:pStyle w:val="1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40" w:firstLineChars="200"/>
        <w:textAlignment w:val="auto"/>
        <w:rPr>
          <w:rFonts w:hint="default"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2022年，峨眉山市交通建设和运输中心严格按照上级文件精神，完善工作机制，根据上级文件要求，合理安排使用好上级转移资金，做到专款专用。</w:t>
      </w:r>
    </w:p>
    <w:p>
      <w:pPr>
        <w:pStyle w:val="1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（四）绩效指标完成情况分析。</w:t>
      </w:r>
    </w:p>
    <w:p>
      <w:pPr>
        <w:pStyle w:val="1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1.产出指标完成情况分析。</w:t>
      </w:r>
    </w:p>
    <w:p>
      <w:pPr>
        <w:pStyle w:val="1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（1）数量指标。</w:t>
      </w:r>
    </w:p>
    <w:p>
      <w:pPr>
        <w:pStyle w:val="1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完成部分市国省干线养护补助经费29.5万。</w:t>
      </w:r>
    </w:p>
    <w:p>
      <w:pPr>
        <w:pStyle w:val="1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质量指标。</w:t>
      </w:r>
    </w:p>
    <w:p>
      <w:pPr>
        <w:pStyle w:val="1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按照国省干线养护考核规定按标准验收合格率达95%。</w:t>
      </w:r>
    </w:p>
    <w:p>
      <w:pPr>
        <w:pStyle w:val="1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时效指标。</w:t>
      </w:r>
    </w:p>
    <w:p>
      <w:pPr>
        <w:pStyle w:val="1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2022年内上级资金使用率达33.2%。</w:t>
      </w:r>
    </w:p>
    <w:p>
      <w:pPr>
        <w:pStyle w:val="1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（4）成本指标。</w:t>
      </w:r>
    </w:p>
    <w:p>
      <w:pPr>
        <w:pStyle w:val="1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通过财政评审中心的进度审批，将成本控制在合理的范围，本年度将29.5万元顺利支付完毕。</w:t>
      </w:r>
    </w:p>
    <w:p>
      <w:pPr>
        <w:pStyle w:val="1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2.效益指标完成情况分析。</w:t>
      </w:r>
    </w:p>
    <w:p>
      <w:pPr>
        <w:pStyle w:val="1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（1）经济效益。</w:t>
      </w:r>
    </w:p>
    <w:p>
      <w:pPr>
        <w:pStyle w:val="1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通过该项目的实施，维护道路整洁、畅通，经济稳定发展。</w:t>
      </w:r>
    </w:p>
    <w:p>
      <w:pPr>
        <w:pStyle w:val="1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（2）社会效益。</w:t>
      </w:r>
    </w:p>
    <w:p>
      <w:pPr>
        <w:pStyle w:val="1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通过该项目的实施，达到道路安全畅通目的。</w:t>
      </w:r>
    </w:p>
    <w:p>
      <w:pPr>
        <w:pStyle w:val="1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（3）生态效益。</w:t>
      </w:r>
    </w:p>
    <w:p>
      <w:pPr>
        <w:pStyle w:val="1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人民群众生活出行环境得到改善，生态效益显著提升。</w:t>
      </w:r>
    </w:p>
    <w:p>
      <w:pPr>
        <w:pStyle w:val="1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（4）可持续影响。</w:t>
      </w:r>
    </w:p>
    <w:p>
      <w:pPr>
        <w:pStyle w:val="1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通过项目实施，让广大群众受到政府支持和市民提升幸福感，取得了良好的社会效益。</w:t>
      </w:r>
    </w:p>
    <w:p>
      <w:pPr>
        <w:pStyle w:val="1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3.满意度指标完成情况分析。</w:t>
      </w:r>
    </w:p>
    <w:p>
      <w:pPr>
        <w:pStyle w:val="1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通过该项目实施，群众满意度达到90%以上，得到广大人民群众和社会的好评。</w:t>
      </w:r>
    </w:p>
    <w:p>
      <w:pPr>
        <w:pStyle w:val="1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三、偏离绩效目标的原因和下一步改进措施</w:t>
      </w:r>
    </w:p>
    <w:p>
      <w:pPr>
        <w:pStyle w:val="1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2020年普通国省干线公路养护管理检查考核资金项目符合年初绩效总体目标，无超过指标值较多的数据，未偏离原定计划。下一步工作将继续按照总体绩效目标要求，不断完善制度，落实政策，推动乡村振兴建设。</w:t>
      </w:r>
    </w:p>
    <w:p>
      <w:pPr>
        <w:pStyle w:val="1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四、绩效自评结果拟应用和公开情况</w:t>
      </w:r>
    </w:p>
    <w:p>
      <w:pPr>
        <w:pStyle w:val="1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我中心对2020年普通国省干线公路养护管理检查考核资金支付认真开展了绩效自评，按文件计划完成了2022年度项目支出目标任务，根据项目支出后的实际状况与年初绩效目标进行了对比，完成了绩效目标。2020年普通国省干线公路养护管理检查考核资金支付2022年度绩效自评报告拟在峨眉山市人民政府门户网站上公开，同时自评结果作为2023年资金分配和使用依据。</w:t>
      </w:r>
    </w:p>
    <w:p>
      <w:pPr>
        <w:pStyle w:val="1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五、其他需要说明的问题</w:t>
      </w:r>
    </w:p>
    <w:p>
      <w:pPr>
        <w:pStyle w:val="1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无。</w:t>
      </w:r>
    </w:p>
    <w:p>
      <w:pPr>
        <w:pStyle w:val="2"/>
        <w:spacing w:before="93"/>
        <w:rPr>
          <w:rFonts w:hAnsi="Calibri" w:cs="仿宋"/>
          <w:sz w:val="32"/>
          <w:szCs w:val="32"/>
        </w:rPr>
      </w:pPr>
    </w:p>
    <w:p>
      <w:pPr>
        <w:rPr>
          <w:rFonts w:hAnsi="Calibri" w:cs="仿宋"/>
          <w:sz w:val="32"/>
          <w:szCs w:val="32"/>
        </w:rPr>
      </w:pPr>
    </w:p>
    <w:p>
      <w:pPr>
        <w:pStyle w:val="2"/>
        <w:rPr>
          <w:rFonts w:hAnsi="Calibri" w:cs="仿宋"/>
          <w:sz w:val="32"/>
          <w:szCs w:val="32"/>
        </w:rPr>
      </w:pPr>
    </w:p>
    <w:p>
      <w:pPr>
        <w:rPr>
          <w:rFonts w:hAnsi="Calibri" w:cs="仿宋"/>
          <w:sz w:val="32"/>
          <w:szCs w:val="32"/>
        </w:rPr>
      </w:pPr>
    </w:p>
    <w:p>
      <w:pPr>
        <w:pStyle w:val="2"/>
        <w:rPr>
          <w:rFonts w:hAnsi="Calibri" w:cs="仿宋"/>
          <w:sz w:val="32"/>
          <w:szCs w:val="32"/>
        </w:rPr>
      </w:pPr>
    </w:p>
    <w:p>
      <w:pPr>
        <w:rPr>
          <w:rFonts w:hAnsi="Calibri" w:cs="仿宋"/>
          <w:sz w:val="32"/>
          <w:szCs w:val="32"/>
        </w:rPr>
      </w:pPr>
    </w:p>
    <w:p>
      <w:pPr>
        <w:pStyle w:val="2"/>
        <w:rPr>
          <w:rFonts w:hAnsi="Calibri" w:cs="仿宋"/>
          <w:sz w:val="32"/>
          <w:szCs w:val="32"/>
        </w:rPr>
      </w:pPr>
    </w:p>
    <w:p>
      <w:pPr>
        <w:rPr>
          <w:rFonts w:hAnsi="Calibri" w:cs="仿宋"/>
          <w:sz w:val="32"/>
          <w:szCs w:val="32"/>
        </w:rPr>
      </w:pPr>
    </w:p>
    <w:p>
      <w:pPr>
        <w:pStyle w:val="2"/>
        <w:rPr>
          <w:rFonts w:hAnsi="Calibri" w:cs="仿宋"/>
          <w:sz w:val="32"/>
          <w:szCs w:val="32"/>
        </w:rPr>
      </w:pPr>
    </w:p>
    <w:p>
      <w:pPr>
        <w:rPr>
          <w:rFonts w:hAnsi="Calibri" w:cs="仿宋"/>
          <w:sz w:val="32"/>
          <w:szCs w:val="32"/>
        </w:rPr>
      </w:pPr>
    </w:p>
    <w:p>
      <w:pPr>
        <w:pStyle w:val="2"/>
        <w:rPr>
          <w:rFonts w:hAnsi="Calibri" w:cs="仿宋"/>
          <w:sz w:val="32"/>
          <w:szCs w:val="32"/>
        </w:rPr>
      </w:pPr>
    </w:p>
    <w:p>
      <w:pPr>
        <w:rPr>
          <w:rFonts w:hAnsi="Calibri" w:cs="仿宋"/>
          <w:sz w:val="32"/>
          <w:szCs w:val="32"/>
        </w:rPr>
      </w:pPr>
    </w:p>
    <w:p>
      <w:pPr>
        <w:pStyle w:val="2"/>
        <w:rPr>
          <w:rFonts w:hAnsi="Calibri" w:cs="仿宋"/>
          <w:sz w:val="32"/>
          <w:szCs w:val="32"/>
        </w:rPr>
      </w:pPr>
    </w:p>
    <w:p>
      <w:pPr>
        <w:rPr>
          <w:rFonts w:hAnsi="Calibri" w:cs="仿宋"/>
          <w:sz w:val="32"/>
          <w:szCs w:val="32"/>
        </w:rPr>
      </w:pPr>
    </w:p>
    <w:p>
      <w:pPr>
        <w:pStyle w:val="2"/>
        <w:rPr>
          <w:rFonts w:hAnsi="Calibri" w:cs="仿宋"/>
          <w:sz w:val="32"/>
          <w:szCs w:val="32"/>
        </w:rPr>
      </w:pPr>
    </w:p>
    <w:p>
      <w:pPr>
        <w:rPr>
          <w:rFonts w:hAnsi="Calibri" w:cs="仿宋"/>
          <w:sz w:val="32"/>
          <w:szCs w:val="32"/>
        </w:rPr>
      </w:pPr>
    </w:p>
    <w:p>
      <w:pPr>
        <w:pStyle w:val="2"/>
        <w:rPr>
          <w:rFonts w:hAnsi="Calibri" w:cs="仿宋"/>
          <w:sz w:val="32"/>
          <w:szCs w:val="32"/>
        </w:rPr>
      </w:pPr>
    </w:p>
    <w:p>
      <w:pPr>
        <w:rPr>
          <w:rFonts w:hAnsi="Calibri" w:cs="仿宋"/>
          <w:sz w:val="32"/>
          <w:szCs w:val="32"/>
        </w:rPr>
      </w:pPr>
    </w:p>
    <w:p>
      <w:pPr>
        <w:pStyle w:val="2"/>
        <w:rPr>
          <w:rFonts w:hAnsi="Calibri" w:cs="仿宋"/>
          <w:sz w:val="32"/>
          <w:szCs w:val="32"/>
        </w:rPr>
      </w:pPr>
    </w:p>
    <w:p>
      <w:pPr>
        <w:rPr>
          <w:rFonts w:hint="default" w:eastAsia="宋体"/>
          <w:lang w:val="en-US" w:eastAsia="zh-CN"/>
        </w:rPr>
      </w:pPr>
      <w:r>
        <w:rPr>
          <w:rFonts w:hint="eastAsia" w:hAnsi="Calibri" w:cs="仿宋"/>
          <w:sz w:val="32"/>
          <w:szCs w:val="32"/>
          <w:lang w:val="en-US" w:eastAsia="zh-CN"/>
        </w:rPr>
        <w:t>附件2-2</w:t>
      </w:r>
    </w:p>
    <w:p>
      <w:pPr>
        <w:pStyle w:val="2"/>
        <w:spacing w:before="93" w:line="600" w:lineRule="exact"/>
        <w:jc w:val="center"/>
        <w:rPr>
          <w:rFonts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rPr>
        <w:t>2021年特定目标类部门预算项目绩效</w:t>
      </w:r>
    </w:p>
    <w:p>
      <w:pPr>
        <w:pStyle w:val="2"/>
        <w:spacing w:before="93" w:line="600" w:lineRule="exact"/>
        <w:jc w:val="center"/>
        <w:rPr>
          <w:rFonts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b/>
          <w:sz w:val="44"/>
          <w:szCs w:val="44"/>
        </w:rPr>
        <w:t>目标自评</w:t>
      </w:r>
    </w:p>
    <w:tbl>
      <w:tblPr>
        <w:tblStyle w:val="13"/>
        <w:tblpPr w:leftFromText="180" w:rightFromText="180" w:vertAnchor="text" w:horzAnchor="page" w:tblpXSpec="center" w:tblpY="276"/>
        <w:tblOverlap w:val="never"/>
        <w:tblW w:w="9049" w:type="dxa"/>
        <w:jc w:val="center"/>
        <w:tblLayout w:type="fixed"/>
        <w:tblCellMar>
          <w:top w:w="0" w:type="dxa"/>
          <w:left w:w="108" w:type="dxa"/>
          <w:bottom w:w="0" w:type="dxa"/>
          <w:right w:w="108" w:type="dxa"/>
        </w:tblCellMar>
      </w:tblPr>
      <w:tblGrid>
        <w:gridCol w:w="1815"/>
        <w:gridCol w:w="1068"/>
        <w:gridCol w:w="2232"/>
        <w:gridCol w:w="1031"/>
        <w:gridCol w:w="1369"/>
        <w:gridCol w:w="1534"/>
      </w:tblGrid>
      <w:tr>
        <w:tblPrEx>
          <w:tblCellMar>
            <w:top w:w="0" w:type="dxa"/>
            <w:left w:w="108" w:type="dxa"/>
            <w:bottom w:w="0" w:type="dxa"/>
            <w:right w:w="108" w:type="dxa"/>
          </w:tblCellMar>
        </w:tblPrEx>
        <w:trPr>
          <w:trHeight w:val="254" w:hRule="atLeast"/>
          <w:jc w:val="center"/>
        </w:trPr>
        <w:tc>
          <w:tcPr>
            <w:tcW w:w="2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主管部门及代码</w:t>
            </w:r>
          </w:p>
        </w:tc>
        <w:tc>
          <w:tcPr>
            <w:tcW w:w="3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峨眉山市交通运输局</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实施单位</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峨眉山</w:t>
            </w:r>
            <w:r>
              <w:rPr>
                <w:rFonts w:hint="eastAsia" w:ascii="仿宋_GB2312" w:hAnsi="仿宋_GB2312" w:eastAsia="仿宋_GB2312" w:cs="仿宋_GB2312"/>
                <w:sz w:val="28"/>
                <w:szCs w:val="28"/>
                <w:lang w:val="en-US" w:eastAsia="zh-CN"/>
              </w:rPr>
              <w:t>交通建设和运输</w:t>
            </w:r>
            <w:r>
              <w:rPr>
                <w:rFonts w:hint="eastAsia" w:ascii="仿宋_GB2312" w:hAnsi="仿宋_GB2312" w:eastAsia="仿宋_GB2312" w:cs="仿宋_GB2312"/>
                <w:sz w:val="28"/>
                <w:szCs w:val="28"/>
              </w:rPr>
              <w:t>中心</w:t>
            </w:r>
          </w:p>
        </w:tc>
      </w:tr>
      <w:tr>
        <w:tblPrEx>
          <w:tblCellMar>
            <w:top w:w="0" w:type="dxa"/>
            <w:left w:w="108" w:type="dxa"/>
            <w:bottom w:w="0" w:type="dxa"/>
            <w:right w:w="108" w:type="dxa"/>
          </w:tblCellMar>
        </w:tblPrEx>
        <w:trPr>
          <w:trHeight w:val="341" w:hRule="atLeast"/>
          <w:jc w:val="center"/>
        </w:trPr>
        <w:tc>
          <w:tcPr>
            <w:tcW w:w="28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项目预算</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执行情况</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（万元）</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预算数：</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94.71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执行数：</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29.5</w:t>
            </w:r>
          </w:p>
        </w:tc>
      </w:tr>
      <w:tr>
        <w:tblPrEx>
          <w:tblCellMar>
            <w:top w:w="0" w:type="dxa"/>
            <w:left w:w="108" w:type="dxa"/>
            <w:bottom w:w="0" w:type="dxa"/>
            <w:right w:w="108" w:type="dxa"/>
          </w:tblCellMar>
        </w:tblPrEx>
        <w:trPr>
          <w:trHeight w:val="555" w:hRule="atLeast"/>
          <w:jc w:val="center"/>
        </w:trPr>
        <w:tc>
          <w:tcPr>
            <w:tcW w:w="28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94.71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29.5</w:t>
            </w:r>
          </w:p>
        </w:tc>
      </w:tr>
      <w:tr>
        <w:tblPrEx>
          <w:tblCellMar>
            <w:top w:w="0" w:type="dxa"/>
            <w:left w:w="108" w:type="dxa"/>
            <w:bottom w:w="0" w:type="dxa"/>
            <w:right w:w="108" w:type="dxa"/>
          </w:tblCellMar>
        </w:tblPrEx>
        <w:trPr>
          <w:trHeight w:val="341" w:hRule="atLeast"/>
          <w:jc w:val="center"/>
        </w:trPr>
        <w:tc>
          <w:tcPr>
            <w:tcW w:w="28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45" w:hRule="atLeast"/>
          <w:jc w:val="center"/>
        </w:trPr>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年度总体目标</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完成情况</w:t>
            </w:r>
          </w:p>
        </w:tc>
        <w:tc>
          <w:tcPr>
            <w:tcW w:w="43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预期目标</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目标实际完成情况</w:t>
            </w:r>
          </w:p>
        </w:tc>
      </w:tr>
      <w:tr>
        <w:tblPrEx>
          <w:tblCellMar>
            <w:top w:w="0" w:type="dxa"/>
            <w:left w:w="108" w:type="dxa"/>
            <w:bottom w:w="0" w:type="dxa"/>
            <w:right w:w="108" w:type="dxa"/>
          </w:tblCellMar>
        </w:tblPrEx>
        <w:trPr>
          <w:trHeight w:val="387" w:hRule="atLeast"/>
          <w:jc w:val="center"/>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43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ascii="仿宋_GB2312" w:hAnsi="仿宋_GB2312" w:eastAsia="仿宋_GB2312" w:cs="仿宋_GB2312"/>
                <w:sz w:val="28"/>
                <w:szCs w:val="28"/>
              </w:rPr>
            </w:pPr>
            <w:r>
              <w:rPr>
                <w:rFonts w:hint="eastAsia" w:ascii="仿宋_GB2312" w:hAnsi="仿宋_GB2312" w:eastAsia="仿宋_GB2312" w:cs="仿宋_GB2312"/>
                <w:sz w:val="28"/>
                <w:szCs w:val="28"/>
              </w:rPr>
              <w:t>用于支持符合要求的普通国省干线公路养护使用，达到道路整洁、安全畅通</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ascii="仿宋_GB2312" w:hAnsi="仿宋_GB2312" w:eastAsia="仿宋_GB2312" w:cs="仿宋_GB2312"/>
                <w:sz w:val="28"/>
                <w:szCs w:val="28"/>
              </w:rPr>
            </w:pPr>
            <w:r>
              <w:rPr>
                <w:rFonts w:hint="eastAsia" w:ascii="仿宋_GB2312" w:hAnsi="仿宋_GB2312" w:eastAsia="仿宋_GB2312" w:cs="仿宋_GB2312"/>
                <w:sz w:val="28"/>
                <w:szCs w:val="28"/>
              </w:rPr>
              <w:t>完成</w:t>
            </w:r>
          </w:p>
        </w:tc>
      </w:tr>
      <w:tr>
        <w:tblPrEx>
          <w:tblCellMar>
            <w:top w:w="0" w:type="dxa"/>
            <w:left w:w="108" w:type="dxa"/>
            <w:bottom w:w="0" w:type="dxa"/>
            <w:right w:w="108" w:type="dxa"/>
          </w:tblCellMar>
        </w:tblPrEx>
        <w:trPr>
          <w:trHeight w:val="693" w:hRule="atLeast"/>
          <w:jc w:val="center"/>
        </w:trPr>
        <w:tc>
          <w:tcPr>
            <w:tcW w:w="1815"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年度绩效指标完成情况</w:t>
            </w:r>
          </w:p>
        </w:tc>
        <w:tc>
          <w:tcPr>
            <w:tcW w:w="1068"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预期指标值</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实际完成指标值</w:t>
            </w:r>
          </w:p>
        </w:tc>
      </w:tr>
      <w:tr>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数量指标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18"/>
                <w:szCs w:val="18"/>
              </w:rPr>
              <w:t>使用资金</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94.71</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29.5</w:t>
            </w:r>
          </w:p>
        </w:tc>
      </w:tr>
      <w:tr>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质量指标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18"/>
                <w:szCs w:val="18"/>
                <w:lang w:val="en-US" w:eastAsia="zh-CN"/>
              </w:rPr>
              <w:t>验收合格率</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90%</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95%</w:t>
            </w:r>
          </w:p>
        </w:tc>
      </w:tr>
      <w:tr>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时效指标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355"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成本指标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18"/>
                <w:szCs w:val="18"/>
              </w:rPr>
              <w:t>使用资金</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94.71</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29.5</w:t>
            </w:r>
          </w:p>
        </w:tc>
      </w:tr>
      <w:tr>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效益</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经济效益指标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带动旅游</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好</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较好</w:t>
            </w:r>
          </w:p>
        </w:tc>
      </w:tr>
      <w:tr>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社会效益指标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道路通畅</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较通畅</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通畅</w:t>
            </w:r>
          </w:p>
        </w:tc>
      </w:tr>
      <w:tr>
        <w:tblPrEx>
          <w:tblCellMar>
            <w:top w:w="0" w:type="dxa"/>
            <w:left w:w="108" w:type="dxa"/>
            <w:bottom w:w="0" w:type="dxa"/>
            <w:right w:w="108" w:type="dxa"/>
          </w:tblCellMar>
        </w:tblPrEx>
        <w:trPr>
          <w:trHeight w:val="577"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生态效益指标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路面清洁</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清洁</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清洁</w:t>
            </w:r>
          </w:p>
        </w:tc>
      </w:tr>
      <w:tr>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可持续影响指标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18"/>
                <w:szCs w:val="1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530" w:hRule="atLeast"/>
          <w:jc w:val="center"/>
        </w:trPr>
        <w:tc>
          <w:tcPr>
            <w:tcW w:w="1815"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满意度指标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满意度</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群众满意</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满意</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满意</w:t>
            </w:r>
          </w:p>
        </w:tc>
      </w:tr>
    </w:tbl>
    <w:p>
      <w:pPr>
        <w:spacing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注：有两个及以上100万元以上（含）特定目标类部门预算项目的，需分别开展绩效目标自评并填写附表;100万元以下的特定目标类部门预算项目，项目数在5个以内的据实分别开展绩效目标自评并填写附表，达到或超过5个的至少选择5个分别开展绩效目标自评并填写附表）</w:t>
      </w:r>
    </w:p>
    <w:p>
      <w:pPr>
        <w:pStyle w:val="2"/>
        <w:rPr>
          <w:rFonts w:hint="default" w:hAnsi="Calibri" w:cs="仿宋"/>
          <w:sz w:val="32"/>
          <w:szCs w:val="32"/>
          <w:lang w:val="en-US" w:eastAsia="zh-CN"/>
        </w:rPr>
      </w:pPr>
      <w:r>
        <w:rPr>
          <w:rFonts w:hint="eastAsia" w:hAnsi="Calibri" w:cs="仿宋"/>
          <w:sz w:val="32"/>
          <w:szCs w:val="32"/>
          <w:lang w:val="en-US" w:eastAsia="zh-CN"/>
        </w:rPr>
        <w:t>附件3-1</w:t>
      </w:r>
    </w:p>
    <w:p>
      <w:pPr>
        <w:rPr>
          <w:rFonts w:hint="default"/>
          <w:lang w:val="en-US" w:eastAsia="zh-CN"/>
        </w:rPr>
      </w:pPr>
    </w:p>
    <w:p>
      <w:pPr>
        <w:jc w:val="center"/>
        <w:rPr>
          <w:rFonts w:hint="default" w:ascii="仿宋" w:hAnsi="仿宋" w:eastAsia="仿宋" w:cs="仿宋"/>
          <w:b/>
          <w:bCs/>
          <w:sz w:val="36"/>
          <w:szCs w:val="36"/>
          <w:lang w:val="en-US" w:eastAsia="zh-CN"/>
        </w:rPr>
      </w:pPr>
      <w:r>
        <w:rPr>
          <w:rFonts w:hint="default" w:ascii="仿宋" w:hAnsi="仿宋" w:eastAsia="仿宋" w:cs="仿宋"/>
          <w:b/>
          <w:bCs/>
          <w:sz w:val="36"/>
          <w:szCs w:val="36"/>
          <w:lang w:val="en-US" w:eastAsia="zh-CN"/>
        </w:rPr>
        <w:t>2022年第一批省级交通专项资金（成品油税改革转移支付部分）G245大射箭坪至交界处段大修工程2022年度绩效自评报告</w:t>
      </w:r>
    </w:p>
    <w:p>
      <w:pPr>
        <w:pStyle w:val="2"/>
        <w:rPr>
          <w:rFonts w:hint="default"/>
          <w:lang w:val="en-US" w:eastAsia="zh-CN"/>
        </w:rPr>
      </w:pP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Calibri" w:eastAsia="仿宋_GB2312" w:cs="仿宋"/>
          <w:color w:val="auto"/>
          <w:kern w:val="0"/>
          <w:sz w:val="32"/>
          <w:szCs w:val="32"/>
          <w:lang w:val="en-US" w:eastAsia="zh-CN" w:bidi="ar-SA"/>
        </w:rPr>
      </w:pPr>
      <w:r>
        <w:rPr>
          <w:rFonts w:hint="default" w:ascii="仿宋_GB2312" w:hAnsi="Calibri" w:eastAsia="仿宋_GB2312" w:cs="仿宋"/>
          <w:color w:val="auto"/>
          <w:kern w:val="0"/>
          <w:sz w:val="32"/>
          <w:szCs w:val="32"/>
          <w:lang w:val="en-US" w:eastAsia="zh-CN" w:bidi="ar-SA"/>
        </w:rPr>
        <w:t>一、绩效目标分解下达情况</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Calibri" w:eastAsia="仿宋_GB2312" w:cs="仿宋"/>
          <w:color w:val="auto"/>
          <w:kern w:val="0"/>
          <w:sz w:val="32"/>
          <w:szCs w:val="32"/>
          <w:lang w:val="en-US" w:eastAsia="zh-CN" w:bidi="ar-SA"/>
        </w:rPr>
      </w:pPr>
      <w:r>
        <w:rPr>
          <w:rFonts w:hint="default" w:ascii="仿宋_GB2312" w:hAnsi="Calibri" w:eastAsia="仿宋_GB2312" w:cs="仿宋"/>
          <w:color w:val="auto"/>
          <w:kern w:val="0"/>
          <w:sz w:val="32"/>
          <w:szCs w:val="32"/>
          <w:lang w:val="en-US" w:eastAsia="zh-CN" w:bidi="ar-SA"/>
        </w:rPr>
        <w:t>根据《乐山市财政局关于下达2022年第一批省级交通专项资金（成品油税改革转移支付部分）G245大射箭坪至交界处段大修工程的通知》（乐市财政建【2022】36号）精神，下达我中心2022年第一批省级交通专项资金（成品油税改革转移支付部分）G245大射箭坪至交界处段大修工程492万元，专项用于我市G245大射箭坪至交界处段大修。</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Calibri" w:eastAsia="仿宋_GB2312" w:cs="仿宋"/>
          <w:color w:val="auto"/>
          <w:kern w:val="0"/>
          <w:sz w:val="32"/>
          <w:szCs w:val="32"/>
          <w:lang w:val="en-US" w:eastAsia="zh-CN" w:bidi="ar-SA"/>
        </w:rPr>
      </w:pPr>
      <w:r>
        <w:rPr>
          <w:rFonts w:hint="default" w:ascii="仿宋_GB2312" w:hAnsi="Calibri" w:eastAsia="仿宋_GB2312" w:cs="仿宋"/>
          <w:color w:val="auto"/>
          <w:kern w:val="0"/>
          <w:sz w:val="32"/>
          <w:szCs w:val="32"/>
          <w:lang w:val="en-US" w:eastAsia="zh-CN" w:bidi="ar-SA"/>
        </w:rPr>
        <w:t>2022年总体绩效目标为用于G245大射箭坪至交界处段大修使用，达到道路整洁、安全、畅通。</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Calibri" w:eastAsia="仿宋_GB2312" w:cs="仿宋"/>
          <w:color w:val="auto"/>
          <w:kern w:val="0"/>
          <w:sz w:val="32"/>
          <w:szCs w:val="32"/>
          <w:lang w:val="en-US" w:eastAsia="zh-CN" w:bidi="ar-SA"/>
        </w:rPr>
      </w:pPr>
      <w:r>
        <w:rPr>
          <w:rFonts w:hint="default" w:ascii="仿宋_GB2312" w:hAnsi="Calibri" w:eastAsia="仿宋_GB2312" w:cs="仿宋"/>
          <w:color w:val="auto"/>
          <w:kern w:val="0"/>
          <w:sz w:val="32"/>
          <w:szCs w:val="32"/>
          <w:lang w:val="en-US" w:eastAsia="zh-CN" w:bidi="ar-SA"/>
        </w:rPr>
        <w:t>二、绩效情况分析</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Calibri" w:eastAsia="仿宋_GB2312" w:cs="仿宋"/>
          <w:color w:val="auto"/>
          <w:kern w:val="0"/>
          <w:sz w:val="32"/>
          <w:szCs w:val="32"/>
          <w:lang w:val="en-US" w:eastAsia="zh-CN" w:bidi="ar-SA"/>
        </w:rPr>
      </w:pPr>
      <w:r>
        <w:rPr>
          <w:rFonts w:hint="default" w:ascii="仿宋_GB2312" w:hAnsi="Calibri" w:eastAsia="仿宋_GB2312" w:cs="仿宋"/>
          <w:color w:val="auto"/>
          <w:kern w:val="0"/>
          <w:sz w:val="32"/>
          <w:szCs w:val="32"/>
          <w:lang w:val="en-US" w:eastAsia="zh-CN" w:bidi="ar-SA"/>
        </w:rPr>
        <w:t>（一）资金投入情况分析。</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Calibri" w:eastAsia="仿宋_GB2312" w:cs="仿宋"/>
          <w:color w:val="auto"/>
          <w:kern w:val="0"/>
          <w:sz w:val="32"/>
          <w:szCs w:val="32"/>
          <w:lang w:val="en-US" w:eastAsia="zh-CN" w:bidi="ar-SA"/>
        </w:rPr>
      </w:pPr>
      <w:r>
        <w:rPr>
          <w:rFonts w:hint="default" w:ascii="仿宋_GB2312" w:hAnsi="Calibri" w:eastAsia="仿宋_GB2312" w:cs="仿宋"/>
          <w:color w:val="auto"/>
          <w:kern w:val="0"/>
          <w:sz w:val="32"/>
          <w:szCs w:val="32"/>
          <w:lang w:val="en-US" w:eastAsia="zh-CN" w:bidi="ar-SA"/>
        </w:rPr>
        <w:t>1.转移支付资金到位情况分析。</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Calibri" w:eastAsia="仿宋_GB2312" w:cs="仿宋"/>
          <w:color w:val="auto"/>
          <w:kern w:val="0"/>
          <w:sz w:val="32"/>
          <w:szCs w:val="32"/>
          <w:lang w:val="en-US" w:eastAsia="zh-CN" w:bidi="ar-SA"/>
        </w:rPr>
      </w:pPr>
      <w:r>
        <w:rPr>
          <w:rFonts w:hint="default" w:ascii="仿宋_GB2312" w:hAnsi="Calibri" w:eastAsia="仿宋_GB2312" w:cs="仿宋"/>
          <w:color w:val="auto"/>
          <w:kern w:val="0"/>
          <w:sz w:val="32"/>
          <w:szCs w:val="32"/>
          <w:lang w:val="en-US" w:eastAsia="zh-CN" w:bidi="ar-SA"/>
        </w:rPr>
        <w:t>G245大射箭坪至交界处段大修工程492万元，资金已全部到位。</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Calibri" w:eastAsia="仿宋_GB2312" w:cs="仿宋"/>
          <w:color w:val="auto"/>
          <w:kern w:val="0"/>
          <w:sz w:val="32"/>
          <w:szCs w:val="32"/>
          <w:lang w:val="en-US" w:eastAsia="zh-CN" w:bidi="ar-SA"/>
        </w:rPr>
      </w:pPr>
      <w:r>
        <w:rPr>
          <w:rFonts w:hint="default" w:ascii="仿宋_GB2312" w:hAnsi="Calibri" w:eastAsia="仿宋_GB2312" w:cs="仿宋"/>
          <w:color w:val="auto"/>
          <w:kern w:val="0"/>
          <w:sz w:val="32"/>
          <w:szCs w:val="32"/>
          <w:lang w:val="en-US" w:eastAsia="zh-CN" w:bidi="ar-SA"/>
        </w:rPr>
        <w:t>（二）资金管理情况分析。</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Calibri" w:eastAsia="仿宋_GB2312" w:cs="仿宋"/>
          <w:color w:val="auto"/>
          <w:kern w:val="0"/>
          <w:sz w:val="32"/>
          <w:szCs w:val="32"/>
          <w:lang w:val="en-US" w:eastAsia="zh-CN" w:bidi="ar-SA"/>
        </w:rPr>
      </w:pPr>
      <w:r>
        <w:rPr>
          <w:rFonts w:hint="default" w:ascii="仿宋_GB2312" w:hAnsi="Calibri" w:eastAsia="仿宋_GB2312" w:cs="仿宋"/>
          <w:color w:val="auto"/>
          <w:kern w:val="0"/>
          <w:sz w:val="32"/>
          <w:szCs w:val="32"/>
          <w:lang w:val="en-US" w:eastAsia="zh-CN" w:bidi="ar-SA"/>
        </w:rPr>
        <w:t>1.转移支付资金执行情况分析。</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Calibri" w:eastAsia="仿宋_GB2312" w:cs="仿宋"/>
          <w:color w:val="auto"/>
          <w:kern w:val="0"/>
          <w:sz w:val="32"/>
          <w:szCs w:val="32"/>
          <w:lang w:val="en-US" w:eastAsia="zh-CN" w:bidi="ar-SA"/>
        </w:rPr>
      </w:pPr>
      <w:r>
        <w:rPr>
          <w:rFonts w:hint="default" w:ascii="仿宋_GB2312" w:hAnsi="Calibri" w:eastAsia="仿宋_GB2312" w:cs="仿宋"/>
          <w:color w:val="auto"/>
          <w:kern w:val="0"/>
          <w:sz w:val="32"/>
          <w:szCs w:val="32"/>
          <w:lang w:val="en-US" w:eastAsia="zh-CN" w:bidi="ar-SA"/>
        </w:rPr>
        <w:t>G245大射箭坪至交界处段大修工程492万元，执行率达0%，工程未达到支付条件。</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Calibri" w:eastAsia="仿宋_GB2312" w:cs="仿宋"/>
          <w:color w:val="auto"/>
          <w:kern w:val="0"/>
          <w:sz w:val="32"/>
          <w:szCs w:val="32"/>
          <w:lang w:val="en-US" w:eastAsia="zh-CN" w:bidi="ar-SA"/>
        </w:rPr>
      </w:pPr>
      <w:r>
        <w:rPr>
          <w:rFonts w:hint="default" w:ascii="仿宋_GB2312" w:hAnsi="Calibri" w:eastAsia="仿宋_GB2312" w:cs="仿宋"/>
          <w:color w:val="auto"/>
          <w:kern w:val="0"/>
          <w:sz w:val="32"/>
          <w:szCs w:val="32"/>
          <w:lang w:val="en-US" w:eastAsia="zh-CN" w:bidi="ar-SA"/>
        </w:rPr>
        <w:t>2.转移支付资金管理情况分析。</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Calibri" w:eastAsia="仿宋_GB2312" w:cs="仿宋"/>
          <w:color w:val="auto"/>
          <w:kern w:val="0"/>
          <w:sz w:val="32"/>
          <w:szCs w:val="32"/>
          <w:lang w:val="en-US" w:eastAsia="zh-CN" w:bidi="ar-SA"/>
        </w:rPr>
      </w:pPr>
      <w:r>
        <w:rPr>
          <w:rFonts w:hint="default" w:ascii="仿宋_GB2312" w:hAnsi="Calibri" w:eastAsia="仿宋_GB2312" w:cs="仿宋"/>
          <w:color w:val="auto"/>
          <w:kern w:val="0"/>
          <w:sz w:val="32"/>
          <w:szCs w:val="32"/>
          <w:lang w:val="en-US" w:eastAsia="zh-CN" w:bidi="ar-SA"/>
        </w:rPr>
        <w:t>2022年，峨眉山市交通建设和运输中心严格按预算安排资金执行，积极落实项目专项资金，严格按照制度规定进行资金管理，做到了专款专用，没有滞留、截留、挤占和挪用的现象。</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Calibri" w:eastAsia="仿宋_GB2312" w:cs="仿宋"/>
          <w:color w:val="auto"/>
          <w:kern w:val="0"/>
          <w:sz w:val="32"/>
          <w:szCs w:val="32"/>
          <w:lang w:val="en-US" w:eastAsia="zh-CN" w:bidi="ar-SA"/>
        </w:rPr>
      </w:pPr>
      <w:r>
        <w:rPr>
          <w:rFonts w:hint="default" w:ascii="仿宋_GB2312" w:hAnsi="Calibri" w:eastAsia="仿宋_GB2312" w:cs="仿宋"/>
          <w:color w:val="auto"/>
          <w:kern w:val="0"/>
          <w:sz w:val="32"/>
          <w:szCs w:val="32"/>
          <w:lang w:val="en-US" w:eastAsia="zh-CN" w:bidi="ar-SA"/>
        </w:rPr>
        <w:t>（三）总体绩效目标完成情况分析。</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Calibri" w:eastAsia="仿宋_GB2312" w:cs="仿宋"/>
          <w:color w:val="auto"/>
          <w:kern w:val="0"/>
          <w:sz w:val="32"/>
          <w:szCs w:val="32"/>
          <w:lang w:val="en-US" w:eastAsia="zh-CN" w:bidi="ar-SA"/>
        </w:rPr>
      </w:pPr>
      <w:r>
        <w:rPr>
          <w:rFonts w:hint="default" w:ascii="仿宋_GB2312" w:hAnsi="Calibri" w:eastAsia="仿宋_GB2312" w:cs="仿宋"/>
          <w:color w:val="auto"/>
          <w:kern w:val="0"/>
          <w:sz w:val="32"/>
          <w:szCs w:val="32"/>
          <w:lang w:val="en-US" w:eastAsia="zh-CN" w:bidi="ar-SA"/>
        </w:rPr>
        <w:t>2022年，峨眉山市交通建设和运输中心严格按照上级文件精神，完善工作机制，根据上级文件要求，合理安排使用好上级转移资金，做到专款专用。</w:t>
      </w:r>
    </w:p>
    <w:p>
      <w:pPr>
        <w:pStyle w:val="2"/>
        <w:spacing w:before="93"/>
        <w:rPr>
          <w:rFonts w:hAnsi="Calibri" w:cs="仿宋"/>
          <w:sz w:val="32"/>
          <w:szCs w:val="32"/>
        </w:rPr>
      </w:pPr>
    </w:p>
    <w:p>
      <w:pPr>
        <w:pStyle w:val="2"/>
        <w:spacing w:before="93"/>
        <w:rPr>
          <w:rFonts w:hAnsi="Calibri" w:cs="仿宋"/>
          <w:sz w:val="32"/>
          <w:szCs w:val="32"/>
        </w:rPr>
      </w:pPr>
    </w:p>
    <w:p>
      <w:pPr>
        <w:rPr>
          <w:rFonts w:hAnsi="Calibri" w:cs="仿宋"/>
          <w:sz w:val="32"/>
          <w:szCs w:val="32"/>
        </w:rPr>
      </w:pPr>
    </w:p>
    <w:p>
      <w:pPr>
        <w:pStyle w:val="2"/>
        <w:rPr>
          <w:rFonts w:hAnsi="Calibri" w:cs="仿宋"/>
          <w:sz w:val="32"/>
          <w:szCs w:val="32"/>
        </w:rPr>
      </w:pPr>
    </w:p>
    <w:p>
      <w:pPr>
        <w:rPr>
          <w:rFonts w:hAnsi="Calibri" w:cs="仿宋"/>
          <w:sz w:val="32"/>
          <w:szCs w:val="32"/>
        </w:rPr>
      </w:pPr>
    </w:p>
    <w:p>
      <w:pPr>
        <w:pStyle w:val="2"/>
        <w:rPr>
          <w:rFonts w:hAnsi="Calibri" w:cs="仿宋"/>
          <w:sz w:val="32"/>
          <w:szCs w:val="32"/>
        </w:rPr>
      </w:pPr>
    </w:p>
    <w:p>
      <w:pPr>
        <w:rPr>
          <w:rFonts w:hAnsi="Calibri" w:cs="仿宋"/>
          <w:sz w:val="32"/>
          <w:szCs w:val="32"/>
        </w:rPr>
      </w:pPr>
    </w:p>
    <w:p>
      <w:pPr>
        <w:pStyle w:val="2"/>
      </w:pPr>
    </w:p>
    <w:p>
      <w:pPr>
        <w:rPr>
          <w:rFonts w:hint="eastAsia" w:hAnsi="Calibri" w:cs="仿宋"/>
          <w:sz w:val="32"/>
          <w:szCs w:val="32"/>
          <w:lang w:val="en-US" w:eastAsia="zh-CN"/>
        </w:rPr>
      </w:pPr>
    </w:p>
    <w:p>
      <w:pPr>
        <w:rPr>
          <w:rFonts w:hint="default" w:eastAsia="宋体"/>
          <w:lang w:val="en-US" w:eastAsia="zh-CN"/>
        </w:rPr>
      </w:pPr>
      <w:r>
        <w:rPr>
          <w:rFonts w:hint="eastAsia" w:hAnsi="Calibri" w:cs="仿宋"/>
          <w:sz w:val="32"/>
          <w:szCs w:val="32"/>
          <w:lang w:val="en-US" w:eastAsia="zh-CN"/>
        </w:rPr>
        <w:t>附件3-2</w:t>
      </w:r>
    </w:p>
    <w:p>
      <w:pPr>
        <w:pStyle w:val="2"/>
        <w:spacing w:before="93" w:line="600" w:lineRule="exact"/>
        <w:jc w:val="center"/>
        <w:rPr>
          <w:rFonts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rPr>
        <w:t>2021年特定目标类部门预算项目绩效</w:t>
      </w:r>
    </w:p>
    <w:p>
      <w:pPr>
        <w:pStyle w:val="2"/>
        <w:spacing w:before="93" w:line="600" w:lineRule="exact"/>
        <w:jc w:val="center"/>
        <w:rPr>
          <w:rFonts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b/>
          <w:sz w:val="44"/>
          <w:szCs w:val="44"/>
        </w:rPr>
        <w:t>目标自评</w:t>
      </w:r>
    </w:p>
    <w:tbl>
      <w:tblPr>
        <w:tblStyle w:val="13"/>
        <w:tblpPr w:leftFromText="180" w:rightFromText="180" w:vertAnchor="text" w:horzAnchor="page" w:tblpXSpec="center" w:tblpY="276"/>
        <w:tblOverlap w:val="never"/>
        <w:tblW w:w="9049" w:type="dxa"/>
        <w:jc w:val="center"/>
        <w:tblLayout w:type="fixed"/>
        <w:tblCellMar>
          <w:top w:w="0" w:type="dxa"/>
          <w:left w:w="108" w:type="dxa"/>
          <w:bottom w:w="0" w:type="dxa"/>
          <w:right w:w="108" w:type="dxa"/>
        </w:tblCellMar>
      </w:tblPr>
      <w:tblGrid>
        <w:gridCol w:w="1815"/>
        <w:gridCol w:w="1068"/>
        <w:gridCol w:w="2232"/>
        <w:gridCol w:w="1031"/>
        <w:gridCol w:w="1369"/>
        <w:gridCol w:w="1534"/>
      </w:tblGrid>
      <w:tr>
        <w:tblPrEx>
          <w:tblCellMar>
            <w:top w:w="0" w:type="dxa"/>
            <w:left w:w="108" w:type="dxa"/>
            <w:bottom w:w="0" w:type="dxa"/>
            <w:right w:w="108" w:type="dxa"/>
          </w:tblCellMar>
        </w:tblPrEx>
        <w:trPr>
          <w:trHeight w:val="254" w:hRule="atLeast"/>
          <w:jc w:val="center"/>
        </w:trPr>
        <w:tc>
          <w:tcPr>
            <w:tcW w:w="2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主管部门及代码</w:t>
            </w:r>
          </w:p>
        </w:tc>
        <w:tc>
          <w:tcPr>
            <w:tcW w:w="3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峨眉山市交通运输局</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实施单位</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峨眉山</w:t>
            </w:r>
            <w:r>
              <w:rPr>
                <w:rFonts w:hint="eastAsia" w:ascii="仿宋_GB2312" w:hAnsi="仿宋_GB2312" w:eastAsia="仿宋_GB2312" w:cs="仿宋_GB2312"/>
                <w:sz w:val="28"/>
                <w:szCs w:val="28"/>
                <w:lang w:val="en-US" w:eastAsia="zh-CN"/>
              </w:rPr>
              <w:t>交通建设和运输</w:t>
            </w:r>
            <w:r>
              <w:rPr>
                <w:rFonts w:hint="eastAsia" w:ascii="仿宋_GB2312" w:hAnsi="仿宋_GB2312" w:eastAsia="仿宋_GB2312" w:cs="仿宋_GB2312"/>
                <w:sz w:val="28"/>
                <w:szCs w:val="28"/>
              </w:rPr>
              <w:t>中心</w:t>
            </w:r>
          </w:p>
        </w:tc>
      </w:tr>
      <w:tr>
        <w:tblPrEx>
          <w:tblCellMar>
            <w:top w:w="0" w:type="dxa"/>
            <w:left w:w="108" w:type="dxa"/>
            <w:bottom w:w="0" w:type="dxa"/>
            <w:right w:w="108" w:type="dxa"/>
          </w:tblCellMar>
        </w:tblPrEx>
        <w:trPr>
          <w:trHeight w:val="341" w:hRule="atLeast"/>
          <w:jc w:val="center"/>
        </w:trPr>
        <w:tc>
          <w:tcPr>
            <w:tcW w:w="28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项目预算</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执行情况</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（万元）</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预算数：</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492</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执行数：</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r>
      <w:tr>
        <w:tblPrEx>
          <w:tblCellMar>
            <w:top w:w="0" w:type="dxa"/>
            <w:left w:w="108" w:type="dxa"/>
            <w:bottom w:w="0" w:type="dxa"/>
            <w:right w:w="108" w:type="dxa"/>
          </w:tblCellMar>
        </w:tblPrEx>
        <w:trPr>
          <w:trHeight w:val="555" w:hRule="atLeast"/>
          <w:jc w:val="center"/>
        </w:trPr>
        <w:tc>
          <w:tcPr>
            <w:tcW w:w="28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492</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0</w:t>
            </w:r>
          </w:p>
        </w:tc>
      </w:tr>
      <w:tr>
        <w:tblPrEx>
          <w:tblCellMar>
            <w:top w:w="0" w:type="dxa"/>
            <w:left w:w="108" w:type="dxa"/>
            <w:bottom w:w="0" w:type="dxa"/>
            <w:right w:w="108" w:type="dxa"/>
          </w:tblCellMar>
        </w:tblPrEx>
        <w:trPr>
          <w:trHeight w:val="341" w:hRule="atLeast"/>
          <w:jc w:val="center"/>
        </w:trPr>
        <w:tc>
          <w:tcPr>
            <w:tcW w:w="28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45" w:hRule="atLeast"/>
          <w:jc w:val="center"/>
        </w:trPr>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年度总体目标</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完成情况</w:t>
            </w:r>
          </w:p>
        </w:tc>
        <w:tc>
          <w:tcPr>
            <w:tcW w:w="43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预期目标</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目标实际完成情况</w:t>
            </w:r>
          </w:p>
        </w:tc>
      </w:tr>
      <w:tr>
        <w:tblPrEx>
          <w:tblCellMar>
            <w:top w:w="0" w:type="dxa"/>
            <w:left w:w="108" w:type="dxa"/>
            <w:bottom w:w="0" w:type="dxa"/>
            <w:right w:w="108" w:type="dxa"/>
          </w:tblCellMar>
        </w:tblPrEx>
        <w:trPr>
          <w:trHeight w:val="387" w:hRule="atLeast"/>
          <w:jc w:val="center"/>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43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ascii="仿宋_GB2312" w:hAnsi="仿宋_GB2312" w:eastAsia="仿宋_GB2312" w:cs="仿宋_GB2312"/>
                <w:sz w:val="28"/>
                <w:szCs w:val="28"/>
              </w:rPr>
            </w:pPr>
            <w:r>
              <w:rPr>
                <w:rFonts w:hint="eastAsia" w:ascii="仿宋_GB2312" w:hAnsi="仿宋_GB2312" w:eastAsia="仿宋_GB2312" w:cs="仿宋_GB2312"/>
                <w:sz w:val="28"/>
                <w:szCs w:val="28"/>
              </w:rPr>
              <w:t>按照上级文件要求，组织实施工程建设，确保质量，按时完成任务。</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未</w:t>
            </w:r>
            <w:r>
              <w:rPr>
                <w:rFonts w:hint="eastAsia" w:ascii="仿宋_GB2312" w:hAnsi="仿宋_GB2312" w:eastAsia="仿宋_GB2312" w:cs="仿宋_GB2312"/>
                <w:sz w:val="28"/>
                <w:szCs w:val="28"/>
              </w:rPr>
              <w:t>完成</w:t>
            </w:r>
          </w:p>
        </w:tc>
      </w:tr>
      <w:tr>
        <w:tblPrEx>
          <w:tblCellMar>
            <w:top w:w="0" w:type="dxa"/>
            <w:left w:w="108" w:type="dxa"/>
            <w:bottom w:w="0" w:type="dxa"/>
            <w:right w:w="108" w:type="dxa"/>
          </w:tblCellMar>
        </w:tblPrEx>
        <w:trPr>
          <w:trHeight w:val="693" w:hRule="atLeast"/>
          <w:jc w:val="center"/>
        </w:trPr>
        <w:tc>
          <w:tcPr>
            <w:tcW w:w="1815"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年度绩效指标完成情况</w:t>
            </w:r>
          </w:p>
        </w:tc>
        <w:tc>
          <w:tcPr>
            <w:tcW w:w="1068"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预期指标值</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实际完成指标值</w:t>
            </w:r>
          </w:p>
        </w:tc>
      </w:tr>
      <w:tr>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数量指标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质量指标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时效指标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355"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成本指标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18"/>
                <w:szCs w:val="18"/>
              </w:rPr>
              <w:t>使用资金</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492</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0</w:t>
            </w:r>
          </w:p>
        </w:tc>
      </w:tr>
      <w:tr>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效益</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经济效益指标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带动旅游</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好</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社会效益指标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18"/>
                <w:szCs w:val="1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577"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生态效益指标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路面清洁</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清洁</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可持续影响指标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18"/>
                <w:szCs w:val="1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530" w:hRule="atLeast"/>
          <w:jc w:val="center"/>
        </w:trPr>
        <w:tc>
          <w:tcPr>
            <w:tcW w:w="1815"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满意度指标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满意度</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群众满意</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满意</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bl>
    <w:p>
      <w:pPr>
        <w:spacing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注：有两个及以上100万元以上（含）特定目标类部门预算项目的，需分别开展绩效目标自评并填写附表;100万元以下的特定目标类部门预算项目，项目数在5个以内的据实分别开展绩效目标自评并填写附表，达到或超过5个的至少选择5个分别开展绩效目标自评并填写附表）</w:t>
      </w:r>
    </w:p>
    <w:p>
      <w:pPr>
        <w:rPr>
          <w:rFonts w:hint="eastAsia" w:hAnsi="Calibri" w:cs="仿宋"/>
          <w:sz w:val="32"/>
          <w:szCs w:val="32"/>
          <w:lang w:val="en-US" w:eastAsia="zh-CN"/>
        </w:rPr>
      </w:pPr>
    </w:p>
    <w:p>
      <w:pPr>
        <w:rPr>
          <w:rFonts w:hint="default" w:hAnsi="Calibri" w:cs="仿宋"/>
          <w:sz w:val="32"/>
          <w:szCs w:val="32"/>
          <w:lang w:val="en-US" w:eastAsia="zh-CN"/>
        </w:rPr>
      </w:pPr>
      <w:r>
        <w:rPr>
          <w:rFonts w:hint="eastAsia" w:hAnsi="Calibri" w:cs="仿宋"/>
          <w:sz w:val="32"/>
          <w:szCs w:val="32"/>
          <w:lang w:val="en-US" w:eastAsia="zh-CN"/>
        </w:rPr>
        <w:t>附件4-1</w:t>
      </w:r>
    </w:p>
    <w:p>
      <w:pPr>
        <w:rPr>
          <w:rFonts w:hint="eastAsia" w:hAnsi="Calibri" w:cs="仿宋"/>
          <w:sz w:val="32"/>
          <w:szCs w:val="32"/>
          <w:lang w:val="en-US" w:eastAsia="zh-CN"/>
        </w:rPr>
      </w:pPr>
    </w:p>
    <w:p>
      <w:pPr>
        <w:spacing w:line="580" w:lineRule="exact"/>
        <w:jc w:val="center"/>
        <w:rPr>
          <w:rFonts w:ascii="方正小标宋_GBK" w:eastAsia="方正小标宋_GBK"/>
          <w:b/>
          <w:sz w:val="44"/>
          <w:szCs w:val="44"/>
        </w:rPr>
      </w:pPr>
      <w:r>
        <w:rPr>
          <w:rFonts w:hint="eastAsia" w:ascii="仿宋" w:hAnsi="仿宋" w:eastAsia="仿宋" w:cs="仿宋"/>
          <w:b/>
          <w:bCs/>
          <w:sz w:val="36"/>
          <w:szCs w:val="36"/>
          <w:lang w:val="en-US" w:eastAsia="zh-CN"/>
        </w:rPr>
        <w:t>“成品油税改革转移支付资金（农村公路养护）”项目支出绩效自评报告</w:t>
      </w:r>
    </w:p>
    <w:p>
      <w:pPr>
        <w:spacing w:line="580" w:lineRule="exact"/>
        <w:rPr>
          <w:rFonts w:ascii="仿宋_GB2312" w:eastAsia="仿宋_GB2312"/>
          <w:sz w:val="32"/>
          <w:szCs w:val="32"/>
        </w:rPr>
      </w:pPr>
    </w:p>
    <w:p>
      <w:pPr>
        <w:spacing w:line="580" w:lineRule="exact"/>
        <w:ind w:firstLine="640" w:firstLineChars="200"/>
        <w:rPr>
          <w:rFonts w:ascii="黑体" w:eastAsia="黑体"/>
          <w:sz w:val="32"/>
          <w:szCs w:val="32"/>
        </w:rPr>
      </w:pPr>
      <w:r>
        <w:rPr>
          <w:rFonts w:hint="eastAsia" w:ascii="黑体" w:eastAsia="黑体"/>
          <w:sz w:val="32"/>
          <w:szCs w:val="32"/>
        </w:rPr>
        <w:t>一、项目概况</w:t>
      </w:r>
    </w:p>
    <w:p>
      <w:pPr>
        <w:spacing w:line="580" w:lineRule="exact"/>
        <w:ind w:firstLine="640" w:firstLineChars="200"/>
        <w:rPr>
          <w:rFonts w:ascii="楷体_GB2312" w:eastAsia="楷体_GB2312"/>
          <w:sz w:val="32"/>
          <w:szCs w:val="32"/>
        </w:rPr>
      </w:pPr>
      <w:r>
        <w:rPr>
          <w:rFonts w:hint="eastAsia" w:ascii="楷体_GB2312" w:eastAsia="楷体_GB2312"/>
          <w:sz w:val="32"/>
          <w:szCs w:val="32"/>
        </w:rPr>
        <w:t>（一）项目基本情况</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1．峨眉山市交通运输局监督指导该项目工作。</w:t>
      </w:r>
    </w:p>
    <w:p>
      <w:pPr>
        <w:spacing w:line="58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．制定了“峨眉山市公路养护站考核管理办法”、《峨眉山市公路养护段国省县乡道养护服务日常养护管理工作内容和考核细则》对该项目的资金进行管理，资金支持具体项目的条件、范围与支持方式概况。</w:t>
      </w:r>
    </w:p>
    <w:p>
      <w:pPr>
        <w:spacing w:line="580" w:lineRule="exact"/>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3</w:t>
      </w:r>
      <w:r>
        <w:rPr>
          <w:rFonts w:hint="eastAsia" w:ascii="仿宋_GB2312" w:eastAsia="仿宋_GB2312"/>
          <w:sz w:val="32"/>
          <w:szCs w:val="32"/>
        </w:rPr>
        <w:t>．根据国省县乡道养护标准分配使用资金。</w:t>
      </w:r>
    </w:p>
    <w:p>
      <w:pPr>
        <w:spacing w:line="580" w:lineRule="exact"/>
        <w:ind w:firstLine="640" w:firstLineChars="200"/>
        <w:rPr>
          <w:rFonts w:ascii="楷体_GB2312" w:eastAsia="楷体_GB2312"/>
          <w:sz w:val="32"/>
          <w:szCs w:val="32"/>
        </w:rPr>
      </w:pPr>
      <w:r>
        <w:rPr>
          <w:rFonts w:hint="eastAsia" w:ascii="楷体_GB2312" w:eastAsia="楷体_GB2312"/>
          <w:sz w:val="32"/>
          <w:szCs w:val="32"/>
        </w:rPr>
        <w:t>（二）项目绩效目标</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1．项目主要内容</w:t>
      </w:r>
      <w:r>
        <w:rPr>
          <w:rFonts w:hint="eastAsia" w:ascii="仿宋_GB2312" w:eastAsia="仿宋_GB2312"/>
          <w:sz w:val="32"/>
          <w:szCs w:val="32"/>
          <w:lang w:eastAsia="zh-CN"/>
        </w:rPr>
        <w:t>对农村公路进行日常养护、维修和应急保障等</w:t>
      </w:r>
      <w:r>
        <w:rPr>
          <w:rFonts w:hint="eastAsia" w:ascii="仿宋_GB2312" w:eastAsia="仿宋_GB2312"/>
          <w:sz w:val="32"/>
          <w:szCs w:val="32"/>
        </w:rPr>
        <w:t>。</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2．项目实行按实申请支付</w:t>
      </w:r>
      <w:r>
        <w:rPr>
          <w:rFonts w:hint="eastAsia" w:ascii="仿宋_GB2312" w:eastAsia="仿宋_GB2312"/>
          <w:sz w:val="32"/>
          <w:szCs w:val="32"/>
          <w:lang w:eastAsia="zh-CN"/>
        </w:rPr>
        <w:t>劳务及工程等</w:t>
      </w:r>
      <w:r>
        <w:rPr>
          <w:rFonts w:hint="eastAsia" w:ascii="仿宋_GB2312" w:eastAsia="仿宋_GB2312"/>
          <w:sz w:val="32"/>
          <w:szCs w:val="32"/>
        </w:rPr>
        <w:t>费</w:t>
      </w:r>
      <w:r>
        <w:rPr>
          <w:rFonts w:hint="eastAsia" w:ascii="仿宋_GB2312" w:eastAsia="仿宋_GB2312"/>
          <w:sz w:val="32"/>
          <w:szCs w:val="32"/>
          <w:lang w:eastAsia="zh-CN"/>
        </w:rPr>
        <w:t>用</w:t>
      </w:r>
      <w:r>
        <w:rPr>
          <w:rFonts w:hint="eastAsia" w:ascii="仿宋_GB2312" w:eastAsia="仿宋_GB2312"/>
          <w:sz w:val="32"/>
          <w:szCs w:val="32"/>
        </w:rPr>
        <w:t>。</w:t>
      </w:r>
    </w:p>
    <w:p>
      <w:pPr>
        <w:spacing w:line="580" w:lineRule="exact"/>
        <w:ind w:firstLine="640" w:firstLineChars="200"/>
        <w:rPr>
          <w:rFonts w:hint="eastAsia" w:ascii="楷体_GB2312" w:eastAsia="楷体_GB2312"/>
          <w:sz w:val="32"/>
          <w:szCs w:val="32"/>
          <w:lang w:eastAsia="zh-CN"/>
        </w:rPr>
      </w:pPr>
      <w:r>
        <w:rPr>
          <w:rFonts w:hint="eastAsia" w:ascii="楷体_GB2312" w:eastAsia="楷体_GB2312"/>
          <w:sz w:val="32"/>
          <w:szCs w:val="32"/>
        </w:rPr>
        <w:t>（三）项目</w:t>
      </w:r>
      <w:r>
        <w:rPr>
          <w:rFonts w:hint="eastAsia" w:ascii="楷体_GB2312" w:eastAsia="楷体_GB2312"/>
          <w:sz w:val="32"/>
          <w:szCs w:val="32"/>
          <w:lang w:eastAsia="zh-CN"/>
        </w:rPr>
        <w:t>资金申报相符性</w:t>
      </w:r>
    </w:p>
    <w:p>
      <w:pPr>
        <w:spacing w:line="58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该项目申报内容与具体实施内容相符，申报目标合理可行。</w:t>
      </w:r>
    </w:p>
    <w:p>
      <w:pPr>
        <w:spacing w:line="580" w:lineRule="exact"/>
        <w:rPr>
          <w:rFonts w:ascii="黑体" w:eastAsia="黑体"/>
          <w:sz w:val="32"/>
          <w:szCs w:val="32"/>
        </w:rPr>
      </w:pPr>
      <w:r>
        <w:rPr>
          <w:rFonts w:hint="eastAsia" w:ascii="仿宋_GB2312" w:eastAsia="仿宋_GB2312"/>
          <w:sz w:val="32"/>
          <w:szCs w:val="32"/>
        </w:rPr>
        <w:t xml:space="preserve">    </w:t>
      </w:r>
      <w:r>
        <w:rPr>
          <w:rFonts w:hint="eastAsia" w:ascii="黑体" w:eastAsia="黑体"/>
          <w:sz w:val="32"/>
          <w:szCs w:val="32"/>
        </w:rPr>
        <w:t>二、项目资金</w:t>
      </w:r>
      <w:r>
        <w:rPr>
          <w:rFonts w:hint="eastAsia" w:ascii="黑体" w:eastAsia="黑体"/>
          <w:sz w:val="32"/>
          <w:szCs w:val="32"/>
          <w:lang w:val="en-US" w:eastAsia="zh-CN"/>
        </w:rPr>
        <w:t>实施及管理</w:t>
      </w:r>
      <w:r>
        <w:rPr>
          <w:rFonts w:hint="eastAsia" w:ascii="黑体" w:eastAsia="黑体"/>
          <w:sz w:val="32"/>
          <w:szCs w:val="32"/>
        </w:rPr>
        <w:t xml:space="preserve">情况 </w:t>
      </w:r>
    </w:p>
    <w:p>
      <w:pPr>
        <w:spacing w:line="580" w:lineRule="exact"/>
        <w:ind w:firstLine="640" w:firstLineChars="200"/>
        <w:rPr>
          <w:rFonts w:ascii="楷体_GB2312" w:eastAsia="楷体_GB2312"/>
          <w:sz w:val="32"/>
          <w:szCs w:val="32"/>
        </w:rPr>
      </w:pPr>
      <w:r>
        <w:rPr>
          <w:rFonts w:hint="eastAsia" w:ascii="楷体_GB2312" w:eastAsia="楷体_GB2312"/>
          <w:sz w:val="32"/>
          <w:szCs w:val="32"/>
        </w:rPr>
        <w:t>（一）项目资金申报及批复情况</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该项目资金根据</w:t>
      </w:r>
      <w:r>
        <w:rPr>
          <w:rFonts w:hint="eastAsia" w:ascii="仿宋_GB2312" w:eastAsia="仿宋_GB2312"/>
          <w:sz w:val="32"/>
          <w:szCs w:val="32"/>
          <w:lang w:eastAsia="zh-CN"/>
        </w:rPr>
        <w:t>实际发生费用</w:t>
      </w:r>
      <w:r>
        <w:rPr>
          <w:rFonts w:hint="eastAsia" w:ascii="仿宋_GB2312" w:eastAsia="仿宋_GB2312"/>
          <w:sz w:val="32"/>
          <w:szCs w:val="32"/>
        </w:rPr>
        <w:t>向财政申报</w:t>
      </w:r>
      <w:r>
        <w:rPr>
          <w:rFonts w:hint="eastAsia" w:ascii="仿宋_GB2312" w:eastAsia="仿宋_GB2312"/>
          <w:sz w:val="32"/>
          <w:szCs w:val="32"/>
          <w:lang w:eastAsia="zh-CN"/>
        </w:rPr>
        <w:t>用款</w:t>
      </w:r>
      <w:r>
        <w:rPr>
          <w:rFonts w:hint="eastAsia" w:ascii="仿宋_GB2312" w:eastAsia="仿宋_GB2312"/>
          <w:sz w:val="32"/>
          <w:szCs w:val="32"/>
        </w:rPr>
        <w:t>计划，由财政的相关业务股室审核批复</w:t>
      </w:r>
      <w:r>
        <w:rPr>
          <w:rFonts w:hint="eastAsia" w:ascii="仿宋_GB2312" w:eastAsia="仿宋_GB2312"/>
          <w:sz w:val="32"/>
          <w:szCs w:val="32"/>
          <w:lang w:eastAsia="zh-CN"/>
        </w:rPr>
        <w:t>，核实相关费用凭证及时支付费用</w:t>
      </w:r>
      <w:r>
        <w:rPr>
          <w:rFonts w:hint="eastAsia" w:ascii="仿宋_GB2312" w:eastAsia="仿宋_GB2312"/>
          <w:sz w:val="32"/>
          <w:szCs w:val="32"/>
        </w:rPr>
        <w:t>。</w:t>
      </w:r>
    </w:p>
    <w:p>
      <w:pPr>
        <w:spacing w:line="580" w:lineRule="exact"/>
        <w:ind w:firstLine="640" w:firstLineChars="200"/>
        <w:rPr>
          <w:rFonts w:ascii="楷体_GB2312" w:eastAsia="楷体_GB2312"/>
          <w:sz w:val="32"/>
          <w:szCs w:val="32"/>
        </w:rPr>
      </w:pPr>
      <w:r>
        <w:rPr>
          <w:rFonts w:hint="eastAsia" w:ascii="楷体_GB2312" w:eastAsia="楷体_GB2312"/>
          <w:sz w:val="32"/>
          <w:szCs w:val="32"/>
        </w:rPr>
        <w:t>（二）资金计划、到位及使用情况（可用表格形式反映）</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1．资金计划。</w:t>
      </w:r>
      <w:r>
        <w:rPr>
          <w:rFonts w:hint="eastAsia" w:ascii="仿宋_GB2312" w:eastAsia="仿宋_GB2312"/>
          <w:sz w:val="32"/>
          <w:szCs w:val="32"/>
          <w:lang w:eastAsia="zh-CN"/>
        </w:rPr>
        <w:t>按照实际发生费用</w:t>
      </w:r>
      <w:r>
        <w:rPr>
          <w:rFonts w:hint="eastAsia" w:ascii="仿宋_GB2312" w:eastAsia="仿宋_GB2312"/>
          <w:sz w:val="32"/>
          <w:szCs w:val="32"/>
        </w:rPr>
        <w:t>申报，财政审核拨付。</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2．资金到位。财政按</w:t>
      </w:r>
      <w:r>
        <w:rPr>
          <w:rFonts w:hint="eastAsia" w:ascii="仿宋_GB2312" w:eastAsia="仿宋_GB2312"/>
          <w:sz w:val="32"/>
          <w:szCs w:val="32"/>
          <w:lang w:eastAsia="zh-CN"/>
        </w:rPr>
        <w:t>实际发生费用</w:t>
      </w:r>
      <w:r>
        <w:rPr>
          <w:rFonts w:hint="eastAsia" w:ascii="仿宋_GB2312" w:eastAsia="仿宋_GB2312"/>
          <w:sz w:val="32"/>
          <w:szCs w:val="32"/>
        </w:rPr>
        <w:t>审核并拨付。</w:t>
      </w:r>
    </w:p>
    <w:p>
      <w:pPr>
        <w:widowControl/>
        <w:adjustRightInd w:val="0"/>
        <w:snapToGrid w:val="0"/>
        <w:spacing w:line="580" w:lineRule="exact"/>
        <w:ind w:firstLine="720"/>
        <w:jc w:val="left"/>
        <w:rPr>
          <w:rFonts w:hint="eastAsia" w:ascii="仿宋_GB2312" w:hAnsi="宋体" w:cs="宋体"/>
          <w:color w:val="000000"/>
          <w:kern w:val="0"/>
          <w:sz w:val="32"/>
          <w:szCs w:val="32"/>
          <w:shd w:val="clear" w:color="auto" w:fill="FFFFFF"/>
          <w:lang w:val="zh-CN"/>
        </w:rPr>
      </w:pPr>
      <w:r>
        <w:rPr>
          <w:rFonts w:hint="eastAsia" w:ascii="仿宋_GB2312" w:eastAsia="仿宋_GB2312"/>
          <w:sz w:val="32"/>
          <w:szCs w:val="32"/>
        </w:rPr>
        <w:t>3．资金使用。</w:t>
      </w:r>
      <w:r>
        <w:rPr>
          <w:rFonts w:hint="eastAsia" w:ascii="仿宋_GB2312" w:hAnsi="宋体" w:cs="宋体"/>
          <w:color w:val="000000"/>
          <w:kern w:val="0"/>
          <w:sz w:val="32"/>
          <w:szCs w:val="32"/>
          <w:shd w:val="clear" w:color="auto" w:fill="FFFFFF"/>
          <w:lang w:val="zh-CN"/>
        </w:rPr>
        <w:t>上级下达省级成品油税费改革转移支付资金</w:t>
      </w:r>
      <w:r>
        <w:rPr>
          <w:rFonts w:hint="eastAsia" w:ascii="仿宋_GB2312" w:hAnsi="宋体" w:cs="宋体"/>
          <w:color w:val="000000"/>
          <w:kern w:val="0"/>
          <w:sz w:val="32"/>
          <w:szCs w:val="32"/>
          <w:shd w:val="clear" w:color="auto" w:fill="FFFFFF"/>
          <w:lang w:val="en-US" w:eastAsia="zh-CN"/>
        </w:rPr>
        <w:t>133</w:t>
      </w:r>
      <w:r>
        <w:rPr>
          <w:rFonts w:hint="eastAsia" w:ascii="仿宋_GB2312" w:hAnsi="宋体" w:cs="宋体"/>
          <w:color w:val="000000"/>
          <w:kern w:val="0"/>
          <w:sz w:val="32"/>
          <w:szCs w:val="32"/>
          <w:shd w:val="clear" w:color="auto" w:fill="FFFFFF"/>
          <w:lang w:val="zh-CN"/>
        </w:rPr>
        <w:t>万元，支出</w:t>
      </w:r>
      <w:r>
        <w:rPr>
          <w:rFonts w:hint="eastAsia" w:ascii="仿宋_GB2312" w:hAnsi="宋体" w:cs="宋体"/>
          <w:color w:val="000000"/>
          <w:kern w:val="0"/>
          <w:sz w:val="32"/>
          <w:szCs w:val="32"/>
          <w:shd w:val="clear" w:color="auto" w:fill="FFFFFF"/>
          <w:lang w:val="en-US" w:eastAsia="zh-CN"/>
        </w:rPr>
        <w:t>133</w:t>
      </w:r>
      <w:r>
        <w:rPr>
          <w:rFonts w:hint="eastAsia" w:ascii="仿宋_GB2312" w:hAnsi="宋体" w:cs="宋体"/>
          <w:color w:val="000000"/>
          <w:kern w:val="0"/>
          <w:sz w:val="32"/>
          <w:szCs w:val="32"/>
          <w:shd w:val="clear" w:color="auto" w:fill="FFFFFF"/>
          <w:lang w:val="zh-CN"/>
        </w:rPr>
        <w:t>万。</w:t>
      </w:r>
    </w:p>
    <w:p>
      <w:pPr>
        <w:spacing w:line="580" w:lineRule="exact"/>
        <w:ind w:firstLine="640" w:firstLineChars="200"/>
        <w:rPr>
          <w:rFonts w:ascii="楷体_GB2312" w:eastAsia="楷体_GB2312"/>
          <w:sz w:val="32"/>
          <w:szCs w:val="32"/>
        </w:rPr>
      </w:pPr>
      <w:r>
        <w:rPr>
          <w:rFonts w:hint="eastAsia" w:ascii="楷体_GB2312" w:eastAsia="楷体_GB2312"/>
          <w:sz w:val="32"/>
          <w:szCs w:val="32"/>
        </w:rPr>
        <w:t>（三）项目财务管理情况</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我单位健全总体评价各项目实施单位财务管理制度，严格执行财务管理制度，及时进行账务处理，规范会计核算工作。</w:t>
      </w:r>
    </w:p>
    <w:p>
      <w:pPr>
        <w:spacing w:line="580" w:lineRule="exact"/>
        <w:ind w:firstLine="640" w:firstLineChars="200"/>
        <w:rPr>
          <w:rFonts w:ascii="黑体" w:eastAsia="黑体"/>
          <w:sz w:val="32"/>
          <w:szCs w:val="32"/>
        </w:rPr>
      </w:pPr>
      <w:r>
        <w:rPr>
          <w:rFonts w:hint="eastAsia" w:ascii="黑体" w:eastAsia="黑体"/>
          <w:sz w:val="32"/>
          <w:szCs w:val="32"/>
        </w:rPr>
        <w:t>三、项目实施及管理情况</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我单位对</w:t>
      </w:r>
      <w:r>
        <w:rPr>
          <w:rFonts w:hint="eastAsia" w:ascii="仿宋_GB2312" w:hAnsi="宋体" w:cs="宋体"/>
          <w:color w:val="000000"/>
          <w:kern w:val="0"/>
          <w:sz w:val="32"/>
          <w:szCs w:val="32"/>
          <w:shd w:val="clear" w:color="auto" w:fill="FFFFFF"/>
          <w:lang w:val="zh-CN"/>
        </w:rPr>
        <w:t>成品油税费改革转移支付资金（</w:t>
      </w:r>
      <w:r>
        <w:rPr>
          <w:rFonts w:hint="eastAsia" w:ascii="仿宋_GB2312" w:hAnsi="宋体" w:cs="宋体"/>
          <w:color w:val="000000"/>
          <w:kern w:val="0"/>
          <w:sz w:val="32"/>
          <w:szCs w:val="32"/>
          <w:shd w:val="clear" w:color="auto" w:fill="FFFFFF"/>
          <w:lang w:val="en-US" w:eastAsia="zh-CN"/>
        </w:rPr>
        <w:t>农村公路养护</w:t>
      </w:r>
      <w:r>
        <w:rPr>
          <w:rFonts w:hint="eastAsia" w:ascii="仿宋_GB2312" w:hAnsi="宋体" w:cs="宋体"/>
          <w:color w:val="000000"/>
          <w:kern w:val="0"/>
          <w:sz w:val="32"/>
          <w:szCs w:val="32"/>
          <w:shd w:val="clear" w:color="auto" w:fill="FFFFFF"/>
          <w:lang w:val="zh-CN"/>
        </w:rPr>
        <w:t>）</w:t>
      </w:r>
      <w:r>
        <w:rPr>
          <w:rFonts w:hint="eastAsia" w:ascii="仿宋_GB2312" w:eastAsia="仿宋_GB2312"/>
          <w:sz w:val="32"/>
          <w:szCs w:val="32"/>
        </w:rPr>
        <w:t>项目组织实施管理办法具体如下</w:t>
      </w:r>
    </w:p>
    <w:p>
      <w:pPr>
        <w:spacing w:line="580" w:lineRule="exact"/>
        <w:ind w:firstLine="640" w:firstLineChars="200"/>
        <w:rPr>
          <w:rFonts w:ascii="楷体_GB2312" w:eastAsia="楷体_GB2312"/>
          <w:sz w:val="32"/>
          <w:szCs w:val="32"/>
        </w:rPr>
      </w:pPr>
      <w:r>
        <w:rPr>
          <w:rFonts w:hint="eastAsia" w:ascii="楷体_GB2312" w:eastAsia="楷体_GB2312"/>
          <w:sz w:val="32"/>
          <w:szCs w:val="32"/>
        </w:rPr>
        <w:t>（一）项目组织架构及实施流程</w:t>
      </w:r>
    </w:p>
    <w:p>
      <w:pPr>
        <w:spacing w:line="580" w:lineRule="exact"/>
        <w:ind w:firstLine="640" w:firstLineChars="200"/>
        <w:rPr>
          <w:rFonts w:ascii="楷体_GB2312" w:eastAsia="楷体_GB2312"/>
          <w:sz w:val="32"/>
          <w:szCs w:val="32"/>
        </w:rPr>
      </w:pPr>
      <w:r>
        <w:rPr>
          <w:rFonts w:hint="eastAsia" w:ascii="楷体_GB2312" w:eastAsia="楷体_GB2312"/>
          <w:sz w:val="32"/>
          <w:szCs w:val="32"/>
        </w:rPr>
        <w:t>该项目经费支出包括</w:t>
      </w:r>
      <w:r>
        <w:rPr>
          <w:rFonts w:hint="eastAsia" w:ascii="楷体_GB2312" w:eastAsia="楷体_GB2312"/>
          <w:sz w:val="32"/>
          <w:szCs w:val="32"/>
          <w:lang w:val="en-US" w:eastAsia="zh-CN"/>
        </w:rPr>
        <w:t>劳务费、安全标志标牌费、路面维修费、油费等</w:t>
      </w:r>
      <w:r>
        <w:rPr>
          <w:rFonts w:hint="eastAsia" w:ascii="楷体_GB2312" w:eastAsia="楷体_GB2312"/>
          <w:sz w:val="32"/>
          <w:szCs w:val="32"/>
        </w:rPr>
        <w:t>。</w:t>
      </w:r>
    </w:p>
    <w:p>
      <w:pPr>
        <w:spacing w:line="580" w:lineRule="exact"/>
        <w:ind w:firstLine="640" w:firstLineChars="200"/>
        <w:rPr>
          <w:rFonts w:ascii="楷体_GB2312" w:eastAsia="楷体_GB2312"/>
          <w:sz w:val="32"/>
          <w:szCs w:val="32"/>
        </w:rPr>
      </w:pPr>
      <w:r>
        <w:rPr>
          <w:rFonts w:hint="eastAsia" w:ascii="楷体_GB2312" w:eastAsia="楷体_GB2312"/>
          <w:sz w:val="32"/>
          <w:szCs w:val="32"/>
        </w:rPr>
        <w:t>（二）项目管理情况</w:t>
      </w:r>
    </w:p>
    <w:p>
      <w:pPr>
        <w:spacing w:line="580" w:lineRule="exact"/>
        <w:ind w:firstLine="640" w:firstLineChars="200"/>
        <w:rPr>
          <w:rFonts w:ascii="仿宋_GB2312" w:eastAsia="仿宋_GB2312"/>
          <w:sz w:val="32"/>
          <w:szCs w:val="32"/>
        </w:rPr>
      </w:pPr>
      <w:r>
        <w:rPr>
          <w:rFonts w:hint="eastAsia" w:ascii="仿宋_GB2312" w:eastAsia="仿宋_GB2312"/>
          <w:sz w:val="32"/>
          <w:szCs w:val="32"/>
          <w:lang w:eastAsia="zh-CN"/>
        </w:rPr>
        <w:t>按照中心</w:t>
      </w:r>
      <w:r>
        <w:rPr>
          <w:rFonts w:hint="eastAsia" w:ascii="仿宋_GB2312" w:eastAsia="仿宋_GB2312"/>
          <w:sz w:val="32"/>
          <w:szCs w:val="32"/>
        </w:rPr>
        <w:t>制定“养护管理办法”和“养护考核管理办法”</w:t>
      </w:r>
      <w:r>
        <w:rPr>
          <w:rFonts w:hint="eastAsia" w:ascii="仿宋_GB2312" w:eastAsia="仿宋_GB2312"/>
          <w:sz w:val="32"/>
          <w:szCs w:val="32"/>
          <w:lang w:eastAsia="zh-CN"/>
        </w:rPr>
        <w:t>规定，</w:t>
      </w:r>
      <w:r>
        <w:rPr>
          <w:rFonts w:hint="eastAsia" w:ascii="仿宋_GB2312" w:eastAsia="仿宋_GB2312"/>
          <w:sz w:val="32"/>
          <w:szCs w:val="32"/>
        </w:rPr>
        <w:t>采取对</w:t>
      </w:r>
      <w:r>
        <w:rPr>
          <w:rFonts w:hint="eastAsia" w:ascii="仿宋_GB2312" w:eastAsia="仿宋_GB2312"/>
          <w:sz w:val="32"/>
          <w:szCs w:val="32"/>
          <w:lang w:eastAsia="zh-CN"/>
        </w:rPr>
        <w:t>国省县干线道</w:t>
      </w:r>
      <w:r>
        <w:rPr>
          <w:rFonts w:hint="eastAsia" w:ascii="仿宋_GB2312" w:eastAsia="仿宋_GB2312"/>
          <w:sz w:val="32"/>
          <w:szCs w:val="32"/>
        </w:rPr>
        <w:t>路进行</w:t>
      </w:r>
      <w:r>
        <w:rPr>
          <w:rFonts w:hint="eastAsia" w:ascii="仿宋_GB2312" w:eastAsia="仿宋_GB2312"/>
          <w:sz w:val="32"/>
          <w:szCs w:val="32"/>
          <w:lang w:eastAsia="zh-CN"/>
        </w:rPr>
        <w:t>日常</w:t>
      </w:r>
      <w:r>
        <w:rPr>
          <w:rFonts w:hint="eastAsia" w:ascii="仿宋_GB2312" w:eastAsia="仿宋_GB2312"/>
          <w:sz w:val="32"/>
          <w:szCs w:val="32"/>
        </w:rPr>
        <w:t>养护</w:t>
      </w:r>
      <w:r>
        <w:rPr>
          <w:rFonts w:hint="eastAsia" w:ascii="仿宋_GB2312" w:eastAsia="仿宋_GB2312"/>
          <w:sz w:val="32"/>
          <w:szCs w:val="32"/>
          <w:lang w:eastAsia="zh-CN"/>
        </w:rPr>
        <w:t>和</w:t>
      </w:r>
      <w:r>
        <w:rPr>
          <w:rFonts w:hint="eastAsia" w:ascii="仿宋_GB2312" w:eastAsia="仿宋_GB2312"/>
          <w:sz w:val="32"/>
          <w:szCs w:val="32"/>
          <w:lang w:val="en-US" w:eastAsia="zh-CN"/>
        </w:rPr>
        <w:t>应急抢险</w:t>
      </w:r>
      <w:r>
        <w:rPr>
          <w:rFonts w:hint="eastAsia" w:ascii="仿宋_GB2312" w:eastAsia="仿宋_GB2312"/>
          <w:sz w:val="32"/>
          <w:szCs w:val="32"/>
          <w:lang w:eastAsia="zh-CN"/>
        </w:rPr>
        <w:t>，确保道路安全、畅通、整洁</w:t>
      </w:r>
      <w:r>
        <w:rPr>
          <w:rFonts w:hint="eastAsia" w:ascii="仿宋_GB2312" w:eastAsia="仿宋_GB2312"/>
          <w:sz w:val="32"/>
          <w:szCs w:val="32"/>
        </w:rPr>
        <w:t>。</w:t>
      </w:r>
    </w:p>
    <w:p>
      <w:pPr>
        <w:spacing w:line="580" w:lineRule="exact"/>
        <w:ind w:firstLine="640" w:firstLineChars="200"/>
        <w:rPr>
          <w:rFonts w:ascii="楷体_GB2312" w:eastAsia="楷体_GB2312"/>
          <w:sz w:val="32"/>
          <w:szCs w:val="32"/>
        </w:rPr>
      </w:pPr>
      <w:r>
        <w:rPr>
          <w:rFonts w:hint="eastAsia" w:ascii="楷体_GB2312" w:eastAsia="楷体_GB2312"/>
          <w:sz w:val="32"/>
          <w:szCs w:val="32"/>
        </w:rPr>
        <w:t>（三）项目监管情况</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峨眉山市交通运输局为加强</w:t>
      </w:r>
      <w:r>
        <w:rPr>
          <w:rFonts w:hint="eastAsia" w:ascii="仿宋_GB2312" w:hAnsi="宋体" w:cs="宋体"/>
          <w:color w:val="000000"/>
          <w:kern w:val="0"/>
          <w:sz w:val="32"/>
          <w:szCs w:val="32"/>
          <w:shd w:val="clear" w:color="auto" w:fill="FFFFFF"/>
          <w:lang w:val="zh-CN"/>
        </w:rPr>
        <w:t>成品油税费改革转移支付资金（</w:t>
      </w:r>
      <w:r>
        <w:rPr>
          <w:rFonts w:hint="eastAsia" w:ascii="仿宋_GB2312" w:hAnsi="宋体" w:cs="宋体"/>
          <w:color w:val="000000"/>
          <w:kern w:val="0"/>
          <w:sz w:val="32"/>
          <w:szCs w:val="32"/>
          <w:shd w:val="clear" w:color="auto" w:fill="FFFFFF"/>
          <w:lang w:val="en-US" w:eastAsia="zh-CN"/>
        </w:rPr>
        <w:t>农村公路养护</w:t>
      </w:r>
      <w:r>
        <w:rPr>
          <w:rFonts w:hint="eastAsia" w:ascii="仿宋_GB2312" w:hAnsi="宋体" w:cs="宋体"/>
          <w:color w:val="000000"/>
          <w:kern w:val="0"/>
          <w:sz w:val="32"/>
          <w:szCs w:val="32"/>
          <w:shd w:val="clear" w:color="auto" w:fill="FFFFFF"/>
          <w:lang w:val="zh-CN"/>
        </w:rPr>
        <w:t>）</w:t>
      </w:r>
      <w:r>
        <w:rPr>
          <w:rFonts w:hint="eastAsia" w:ascii="仿宋_GB2312" w:eastAsia="仿宋_GB2312"/>
          <w:sz w:val="32"/>
          <w:szCs w:val="32"/>
        </w:rPr>
        <w:t>项目管理随时抽查资金支付情况。</w:t>
      </w:r>
    </w:p>
    <w:p>
      <w:pPr>
        <w:spacing w:line="580" w:lineRule="exact"/>
        <w:ind w:firstLine="640" w:firstLineChars="200"/>
        <w:rPr>
          <w:rFonts w:ascii="黑体" w:eastAsia="黑体"/>
          <w:sz w:val="32"/>
          <w:szCs w:val="32"/>
        </w:rPr>
      </w:pPr>
      <w:r>
        <w:rPr>
          <w:rFonts w:hint="eastAsia" w:ascii="黑体" w:eastAsia="黑体"/>
          <w:sz w:val="32"/>
          <w:szCs w:val="32"/>
        </w:rPr>
        <w:t>四、项目绩效情况</w:t>
      </w:r>
    </w:p>
    <w:p>
      <w:pPr>
        <w:spacing w:line="580" w:lineRule="exact"/>
        <w:ind w:firstLine="640" w:firstLineChars="200"/>
        <w:rPr>
          <w:rFonts w:ascii="楷体_GB2312" w:eastAsia="楷体_GB2312"/>
          <w:sz w:val="32"/>
          <w:szCs w:val="32"/>
        </w:rPr>
      </w:pPr>
      <w:r>
        <w:rPr>
          <w:rFonts w:hint="eastAsia" w:ascii="楷体_GB2312" w:eastAsia="楷体_GB2312"/>
          <w:sz w:val="32"/>
          <w:szCs w:val="32"/>
        </w:rPr>
        <w:t xml:space="preserve">（一）项目完成情况 </w:t>
      </w:r>
    </w:p>
    <w:p>
      <w:pPr>
        <w:spacing w:line="580" w:lineRule="exact"/>
        <w:ind w:firstLine="640" w:firstLineChars="200"/>
        <w:rPr>
          <w:rFonts w:ascii="仿宋_GB2312" w:eastAsia="仿宋_GB2312"/>
          <w:sz w:val="32"/>
          <w:szCs w:val="32"/>
        </w:rPr>
      </w:pPr>
      <w:r>
        <w:rPr>
          <w:rFonts w:hint="eastAsia" w:ascii="仿宋_GB2312" w:eastAsia="仿宋_GB2312"/>
          <w:sz w:val="32"/>
          <w:szCs w:val="32"/>
          <w:lang w:val="en-US" w:eastAsia="zh-CN"/>
        </w:rPr>
        <w:t>对农村</w:t>
      </w:r>
      <w:r>
        <w:rPr>
          <w:rFonts w:hint="eastAsia" w:ascii="仿宋_GB2312" w:eastAsia="仿宋_GB2312"/>
          <w:sz w:val="32"/>
          <w:szCs w:val="32"/>
          <w:lang w:eastAsia="zh-CN"/>
        </w:rPr>
        <w:t>公路养护及绿化维护达到预期效果，路面清洁、沿线设施清洁、绿化带整齐美观、确保道路畅通，减少路面粉尘。</w:t>
      </w:r>
      <w:r>
        <w:rPr>
          <w:rFonts w:hint="eastAsia" w:ascii="仿宋_GB2312" w:eastAsia="仿宋_GB2312"/>
          <w:sz w:val="32"/>
          <w:szCs w:val="32"/>
        </w:rPr>
        <w:t>项目按照</w:t>
      </w:r>
      <w:r>
        <w:rPr>
          <w:rFonts w:hint="eastAsia" w:ascii="仿宋_GB2312" w:eastAsia="仿宋_GB2312"/>
          <w:sz w:val="32"/>
          <w:szCs w:val="32"/>
          <w:lang w:eastAsia="zh-CN"/>
        </w:rPr>
        <w:t>上班制度按时出勤作业</w:t>
      </w:r>
      <w:r>
        <w:rPr>
          <w:rFonts w:hint="eastAsia" w:ascii="仿宋_GB2312" w:eastAsia="仿宋_GB2312"/>
          <w:sz w:val="32"/>
          <w:szCs w:val="32"/>
        </w:rPr>
        <w:t>进行，全面完成</w:t>
      </w:r>
      <w:r>
        <w:rPr>
          <w:rFonts w:hint="eastAsia" w:ascii="仿宋_GB2312" w:eastAsia="仿宋_GB2312"/>
          <w:sz w:val="32"/>
          <w:szCs w:val="32"/>
          <w:lang w:eastAsia="zh-CN"/>
        </w:rPr>
        <w:t>上级交给的任务</w:t>
      </w:r>
      <w:r>
        <w:rPr>
          <w:rFonts w:hint="eastAsia" w:ascii="仿宋_GB2312" w:eastAsia="仿宋_GB2312"/>
          <w:sz w:val="32"/>
          <w:szCs w:val="32"/>
        </w:rPr>
        <w:t xml:space="preserve">。 </w:t>
      </w:r>
    </w:p>
    <w:p>
      <w:pPr>
        <w:spacing w:line="580" w:lineRule="exact"/>
        <w:ind w:firstLine="640" w:firstLineChars="200"/>
        <w:rPr>
          <w:rFonts w:ascii="楷体_GB2312" w:eastAsia="楷体_GB2312"/>
          <w:sz w:val="32"/>
          <w:szCs w:val="32"/>
        </w:rPr>
      </w:pPr>
      <w:r>
        <w:rPr>
          <w:rFonts w:hint="eastAsia" w:ascii="楷体_GB2312" w:eastAsia="楷体_GB2312"/>
          <w:sz w:val="32"/>
          <w:szCs w:val="32"/>
        </w:rPr>
        <w:t xml:space="preserve">（二）项目效益情况 </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lang w:val="en-US" w:eastAsia="zh-CN"/>
        </w:rPr>
      </w:pPr>
      <w:r>
        <w:rPr>
          <w:rFonts w:hint="eastAsia" w:ascii="仿宋_GB2312" w:eastAsia="仿宋_GB2312"/>
          <w:sz w:val="32"/>
          <w:szCs w:val="32"/>
          <w:lang w:eastAsia="zh-CN"/>
        </w:rPr>
        <w:t>确保了公路正常的运行，保证了公路的畅通性，保持路面的整洁，确保了公路的畅通和安全性，保证公路周边的环境，提升了峨眉山市的市容市貌，增强了峨眉山市对外的美好形象。</w:t>
      </w:r>
      <w:r>
        <w:rPr>
          <w:rFonts w:hint="eastAsia" w:ascii="仿宋_GB2312" w:eastAsia="仿宋_GB2312"/>
          <w:sz w:val="32"/>
          <w:szCs w:val="32"/>
        </w:rPr>
        <w:t>保障管养道路整洁畅通，社会满意度较高。</w:t>
      </w: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rPr>
          <w:rFonts w:hAnsi="Calibri" w:cs="仿宋"/>
          <w:sz w:val="32"/>
          <w:szCs w:val="32"/>
        </w:rPr>
      </w:pPr>
    </w:p>
    <w:p>
      <w:pPr>
        <w:pStyle w:val="2"/>
        <w:rPr>
          <w:rFonts w:hAnsi="Calibri" w:cs="仿宋"/>
          <w:sz w:val="32"/>
          <w:szCs w:val="32"/>
        </w:rPr>
      </w:pPr>
    </w:p>
    <w:p>
      <w:pPr>
        <w:rPr>
          <w:rFonts w:hAnsi="Calibri" w:cs="仿宋"/>
          <w:sz w:val="32"/>
          <w:szCs w:val="32"/>
        </w:rPr>
      </w:pPr>
    </w:p>
    <w:p>
      <w:pPr>
        <w:pStyle w:val="2"/>
        <w:rPr>
          <w:rFonts w:hAnsi="Calibri" w:cs="仿宋"/>
          <w:sz w:val="32"/>
          <w:szCs w:val="32"/>
        </w:rPr>
      </w:pPr>
    </w:p>
    <w:p>
      <w:pPr>
        <w:rPr>
          <w:rFonts w:hint="default" w:eastAsia="宋体"/>
          <w:lang w:val="en-US" w:eastAsia="zh-CN"/>
        </w:rPr>
      </w:pPr>
      <w:r>
        <w:rPr>
          <w:rFonts w:hint="eastAsia" w:hAnsi="Calibri" w:cs="仿宋"/>
          <w:sz w:val="32"/>
          <w:szCs w:val="32"/>
          <w:lang w:val="en-US" w:eastAsia="zh-CN"/>
        </w:rPr>
        <w:t>附件4-2</w:t>
      </w:r>
    </w:p>
    <w:p>
      <w:pPr>
        <w:pStyle w:val="2"/>
        <w:spacing w:before="93" w:line="600" w:lineRule="exact"/>
        <w:jc w:val="center"/>
        <w:rPr>
          <w:rFonts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rPr>
        <w:t>2021年特定目标类部门预算项目绩效</w:t>
      </w:r>
    </w:p>
    <w:p>
      <w:pPr>
        <w:pStyle w:val="2"/>
        <w:spacing w:before="93" w:line="600" w:lineRule="exact"/>
        <w:jc w:val="center"/>
        <w:rPr>
          <w:rFonts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b/>
          <w:sz w:val="44"/>
          <w:szCs w:val="44"/>
        </w:rPr>
        <w:t>目标自评</w:t>
      </w:r>
    </w:p>
    <w:tbl>
      <w:tblPr>
        <w:tblStyle w:val="13"/>
        <w:tblpPr w:leftFromText="180" w:rightFromText="180" w:vertAnchor="text" w:horzAnchor="page" w:tblpXSpec="center" w:tblpY="276"/>
        <w:tblOverlap w:val="never"/>
        <w:tblW w:w="9049" w:type="dxa"/>
        <w:jc w:val="center"/>
        <w:tblLayout w:type="fixed"/>
        <w:tblCellMar>
          <w:top w:w="0" w:type="dxa"/>
          <w:left w:w="108" w:type="dxa"/>
          <w:bottom w:w="0" w:type="dxa"/>
          <w:right w:w="108" w:type="dxa"/>
        </w:tblCellMar>
      </w:tblPr>
      <w:tblGrid>
        <w:gridCol w:w="1815"/>
        <w:gridCol w:w="1068"/>
        <w:gridCol w:w="2232"/>
        <w:gridCol w:w="1031"/>
        <w:gridCol w:w="1369"/>
        <w:gridCol w:w="1534"/>
      </w:tblGrid>
      <w:tr>
        <w:tblPrEx>
          <w:tblCellMar>
            <w:top w:w="0" w:type="dxa"/>
            <w:left w:w="108" w:type="dxa"/>
            <w:bottom w:w="0" w:type="dxa"/>
            <w:right w:w="108" w:type="dxa"/>
          </w:tblCellMar>
        </w:tblPrEx>
        <w:trPr>
          <w:trHeight w:val="254" w:hRule="atLeast"/>
          <w:jc w:val="center"/>
        </w:trPr>
        <w:tc>
          <w:tcPr>
            <w:tcW w:w="2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主管部门及代码</w:t>
            </w:r>
          </w:p>
        </w:tc>
        <w:tc>
          <w:tcPr>
            <w:tcW w:w="3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峨眉山市交通运输局</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实施单位</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峨眉山</w:t>
            </w:r>
            <w:r>
              <w:rPr>
                <w:rFonts w:hint="eastAsia" w:ascii="仿宋_GB2312" w:hAnsi="仿宋_GB2312" w:eastAsia="仿宋_GB2312" w:cs="仿宋_GB2312"/>
                <w:sz w:val="28"/>
                <w:szCs w:val="28"/>
                <w:lang w:val="en-US" w:eastAsia="zh-CN"/>
              </w:rPr>
              <w:t>交通建设和运输</w:t>
            </w:r>
            <w:r>
              <w:rPr>
                <w:rFonts w:hint="eastAsia" w:ascii="仿宋_GB2312" w:hAnsi="仿宋_GB2312" w:eastAsia="仿宋_GB2312" w:cs="仿宋_GB2312"/>
                <w:sz w:val="28"/>
                <w:szCs w:val="28"/>
              </w:rPr>
              <w:t>中心</w:t>
            </w:r>
          </w:p>
        </w:tc>
      </w:tr>
      <w:tr>
        <w:tblPrEx>
          <w:tblCellMar>
            <w:top w:w="0" w:type="dxa"/>
            <w:left w:w="108" w:type="dxa"/>
            <w:bottom w:w="0" w:type="dxa"/>
            <w:right w:w="108" w:type="dxa"/>
          </w:tblCellMar>
        </w:tblPrEx>
        <w:trPr>
          <w:trHeight w:val="341" w:hRule="atLeast"/>
          <w:jc w:val="center"/>
        </w:trPr>
        <w:tc>
          <w:tcPr>
            <w:tcW w:w="28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项目预算</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执行情况</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（万元）</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预算数：</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133</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执行数：</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133</w:t>
            </w:r>
          </w:p>
        </w:tc>
      </w:tr>
      <w:tr>
        <w:tblPrEx>
          <w:tblCellMar>
            <w:top w:w="0" w:type="dxa"/>
            <w:left w:w="108" w:type="dxa"/>
            <w:bottom w:w="0" w:type="dxa"/>
            <w:right w:w="108" w:type="dxa"/>
          </w:tblCellMar>
        </w:tblPrEx>
        <w:trPr>
          <w:trHeight w:val="555" w:hRule="atLeast"/>
          <w:jc w:val="center"/>
        </w:trPr>
        <w:tc>
          <w:tcPr>
            <w:tcW w:w="28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133</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133</w:t>
            </w:r>
          </w:p>
        </w:tc>
      </w:tr>
      <w:tr>
        <w:tblPrEx>
          <w:tblCellMar>
            <w:top w:w="0" w:type="dxa"/>
            <w:left w:w="108" w:type="dxa"/>
            <w:bottom w:w="0" w:type="dxa"/>
            <w:right w:w="108" w:type="dxa"/>
          </w:tblCellMar>
        </w:tblPrEx>
        <w:trPr>
          <w:trHeight w:val="341" w:hRule="atLeast"/>
          <w:jc w:val="center"/>
        </w:trPr>
        <w:tc>
          <w:tcPr>
            <w:tcW w:w="28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45" w:hRule="atLeast"/>
          <w:jc w:val="center"/>
        </w:trPr>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年度总体目标</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完成情况</w:t>
            </w:r>
          </w:p>
        </w:tc>
        <w:tc>
          <w:tcPr>
            <w:tcW w:w="43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预期目标</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目标实际完成情况</w:t>
            </w:r>
          </w:p>
        </w:tc>
      </w:tr>
      <w:tr>
        <w:tblPrEx>
          <w:tblCellMar>
            <w:top w:w="0" w:type="dxa"/>
            <w:left w:w="108" w:type="dxa"/>
            <w:bottom w:w="0" w:type="dxa"/>
            <w:right w:w="108" w:type="dxa"/>
          </w:tblCellMar>
        </w:tblPrEx>
        <w:trPr>
          <w:trHeight w:val="387" w:hRule="atLeast"/>
          <w:jc w:val="center"/>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43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用于我市管养114公里的农村公路日常养护和维修等，确保道路整洁畅通。</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ascii="仿宋_GB2312" w:hAnsi="仿宋_GB2312" w:eastAsia="仿宋_GB2312" w:cs="仿宋_GB2312"/>
                <w:sz w:val="28"/>
                <w:szCs w:val="28"/>
              </w:rPr>
            </w:pPr>
            <w:r>
              <w:rPr>
                <w:rFonts w:hint="eastAsia" w:ascii="仿宋_GB2312" w:hAnsi="仿宋_GB2312" w:eastAsia="仿宋_GB2312" w:cs="仿宋_GB2312"/>
                <w:sz w:val="28"/>
                <w:szCs w:val="28"/>
              </w:rPr>
              <w:t>完成</w:t>
            </w:r>
          </w:p>
        </w:tc>
      </w:tr>
      <w:tr>
        <w:tblPrEx>
          <w:tblCellMar>
            <w:top w:w="0" w:type="dxa"/>
            <w:left w:w="108" w:type="dxa"/>
            <w:bottom w:w="0" w:type="dxa"/>
            <w:right w:w="108" w:type="dxa"/>
          </w:tblCellMar>
        </w:tblPrEx>
        <w:trPr>
          <w:trHeight w:val="693" w:hRule="atLeast"/>
          <w:jc w:val="center"/>
        </w:trPr>
        <w:tc>
          <w:tcPr>
            <w:tcW w:w="1815"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年度绩效指标完成情况</w:t>
            </w:r>
          </w:p>
        </w:tc>
        <w:tc>
          <w:tcPr>
            <w:tcW w:w="1068"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预期指标值</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实际完成指标值</w:t>
            </w:r>
          </w:p>
        </w:tc>
      </w:tr>
      <w:tr>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数量指标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eastAsia="宋体"/>
                <w:sz w:val="16"/>
                <w:lang w:val="en-US" w:eastAsia="zh-CN"/>
              </w:rPr>
              <w:t>养护公路数</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114</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114</w:t>
            </w:r>
          </w:p>
        </w:tc>
      </w:tr>
      <w:tr>
        <w:tblPrEx>
          <w:tblCellMar>
            <w:top w:w="0" w:type="dxa"/>
            <w:left w:w="108" w:type="dxa"/>
            <w:bottom w:w="0" w:type="dxa"/>
            <w:right w:w="108" w:type="dxa"/>
          </w:tblCellMar>
        </w:tblPrEx>
        <w:trPr>
          <w:trHeight w:val="320"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质量指标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eastAsia="宋体"/>
                <w:sz w:val="14"/>
                <w:lang w:val="en-US" w:eastAsia="zh-CN"/>
              </w:rPr>
              <w:t>道路整洁度</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90%</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90%</w:t>
            </w:r>
          </w:p>
        </w:tc>
      </w:tr>
      <w:tr>
        <w:tblPrEx>
          <w:tblCellMar>
            <w:top w:w="0" w:type="dxa"/>
            <w:left w:w="108" w:type="dxa"/>
            <w:bottom w:w="0" w:type="dxa"/>
            <w:right w:w="108" w:type="dxa"/>
          </w:tblCellMar>
        </w:tblPrEx>
        <w:trPr>
          <w:trHeight w:val="335"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时效指标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355"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成本指标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18"/>
                <w:szCs w:val="18"/>
              </w:rPr>
              <w:t>使用资金</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133</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133</w:t>
            </w:r>
          </w:p>
        </w:tc>
      </w:tr>
      <w:tr>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效益</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经济效益指标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18"/>
                <w:szCs w:val="18"/>
              </w:rPr>
            </w:pPr>
            <w:r>
              <w:rPr>
                <w:rFonts w:hint="eastAsia" w:ascii="Arial" w:eastAsia="宋体"/>
                <w:sz w:val="15"/>
                <w:lang w:val="en-US" w:eastAsia="zh-CN"/>
              </w:rPr>
              <w:t>路面整洁、安全畅通</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优良</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良</w:t>
            </w:r>
          </w:p>
        </w:tc>
      </w:tr>
      <w:tr>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社会效益指标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18"/>
                <w:szCs w:val="18"/>
              </w:rPr>
            </w:pPr>
            <w:r>
              <w:rPr>
                <w:rFonts w:hint="eastAsia" w:eastAsia="宋体"/>
                <w:sz w:val="15"/>
                <w:lang w:val="en-US" w:eastAsia="zh-CN"/>
              </w:rPr>
              <w:t>市民出行便捷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便捷</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便捷</w:t>
            </w:r>
          </w:p>
        </w:tc>
      </w:tr>
      <w:tr>
        <w:tblPrEx>
          <w:tblCellMar>
            <w:top w:w="0" w:type="dxa"/>
            <w:left w:w="108" w:type="dxa"/>
            <w:bottom w:w="0" w:type="dxa"/>
            <w:right w:w="108" w:type="dxa"/>
          </w:tblCellMar>
        </w:tblPrEx>
        <w:trPr>
          <w:trHeight w:val="392"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生态效益指标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路面清洁</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清洁</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清洁</w:t>
            </w:r>
          </w:p>
        </w:tc>
      </w:tr>
      <w:tr>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可持续影响指标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18"/>
                <w:szCs w:val="18"/>
              </w:rPr>
            </w:pPr>
            <w:r>
              <w:rPr>
                <w:rFonts w:hint="eastAsia" w:ascii="Arial"/>
                <w:sz w:val="14"/>
                <w:lang w:val="en-US" w:eastAsia="zh-CN"/>
              </w:rPr>
              <w:t>促进道路养护工作和经济持续发展</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好</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好</w:t>
            </w:r>
          </w:p>
        </w:tc>
      </w:tr>
      <w:tr>
        <w:tblPrEx>
          <w:tblCellMar>
            <w:top w:w="0" w:type="dxa"/>
            <w:left w:w="108" w:type="dxa"/>
            <w:bottom w:w="0" w:type="dxa"/>
            <w:right w:w="108" w:type="dxa"/>
          </w:tblCellMar>
        </w:tblPrEx>
        <w:trPr>
          <w:trHeight w:val="380" w:hRule="atLeast"/>
          <w:jc w:val="center"/>
        </w:trPr>
        <w:tc>
          <w:tcPr>
            <w:tcW w:w="1815"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满意度指标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满意度</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群众满意</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满意</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满意</w:t>
            </w:r>
          </w:p>
        </w:tc>
      </w:tr>
    </w:tbl>
    <w:p>
      <w:pPr>
        <w:spacing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注：有两个及以上100万元以上（含）特定目标类部门预算项目的，需分别开展绩效目标自评并填写附表;100万元以下的特定目标类部门预算项目，项目数在5个以内的据实分别开展绩效目标自评并填写附表，达到或超过5个的至少选择5个分别开展绩效目标自评并填写附表）</w:t>
      </w:r>
    </w:p>
    <w:p>
      <w:pPr>
        <w:pStyle w:val="2"/>
        <w:rPr>
          <w:rFonts w:hint="default" w:hAnsi="Calibri" w:cs="仿宋"/>
          <w:sz w:val="32"/>
          <w:szCs w:val="32"/>
          <w:lang w:val="en-US" w:eastAsia="zh-CN"/>
        </w:rPr>
      </w:pPr>
      <w:r>
        <w:rPr>
          <w:rFonts w:hint="eastAsia" w:hAnsi="Calibri" w:cs="仿宋"/>
          <w:sz w:val="32"/>
          <w:szCs w:val="32"/>
          <w:lang w:val="en-US" w:eastAsia="zh-CN"/>
        </w:rPr>
        <w:t>附件5-1</w:t>
      </w:r>
    </w:p>
    <w:p>
      <w:pPr>
        <w:spacing w:line="580" w:lineRule="exact"/>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“乐峨大道等日常养护费”项目支出绩效</w:t>
      </w:r>
    </w:p>
    <w:p>
      <w:pPr>
        <w:spacing w:line="580" w:lineRule="exact"/>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自评报告</w:t>
      </w:r>
    </w:p>
    <w:p>
      <w:pPr>
        <w:spacing w:line="580" w:lineRule="exact"/>
        <w:rPr>
          <w:rFonts w:ascii="仿宋_GB2312" w:eastAsia="仿宋_GB2312"/>
          <w:sz w:val="32"/>
          <w:szCs w:val="32"/>
        </w:rPr>
      </w:pPr>
    </w:p>
    <w:p>
      <w:pPr>
        <w:spacing w:line="580" w:lineRule="exact"/>
        <w:ind w:firstLine="640" w:firstLineChars="200"/>
        <w:rPr>
          <w:rFonts w:ascii="黑体" w:eastAsia="黑体"/>
          <w:sz w:val="32"/>
          <w:szCs w:val="32"/>
        </w:rPr>
      </w:pPr>
      <w:r>
        <w:rPr>
          <w:rFonts w:hint="eastAsia" w:ascii="黑体" w:eastAsia="黑体"/>
          <w:sz w:val="32"/>
          <w:szCs w:val="32"/>
        </w:rPr>
        <w:t>一、项目概况</w:t>
      </w:r>
    </w:p>
    <w:p>
      <w:pPr>
        <w:spacing w:line="580" w:lineRule="exact"/>
        <w:ind w:firstLine="640" w:firstLineChars="200"/>
        <w:rPr>
          <w:rFonts w:ascii="楷体_GB2312" w:eastAsia="楷体_GB2312"/>
          <w:sz w:val="32"/>
          <w:szCs w:val="32"/>
        </w:rPr>
      </w:pPr>
      <w:r>
        <w:rPr>
          <w:rFonts w:hint="eastAsia" w:ascii="楷体_GB2312" w:eastAsia="楷体_GB2312"/>
          <w:sz w:val="32"/>
          <w:szCs w:val="32"/>
        </w:rPr>
        <w:t>（一）项目基本情况</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1．峨眉山市交通运输局监督指导该项目工作。</w:t>
      </w:r>
    </w:p>
    <w:p>
      <w:pPr>
        <w:spacing w:line="58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．制定了“峨眉山市公路养护站考核管理办法”、《峨眉山市公路养护段国省县乡道养护服务日常养护管理工作内容和考核细则》对该项目的资金进行管理，资金支持具体项目的条件、范围与支持方式概况。</w:t>
      </w:r>
    </w:p>
    <w:p>
      <w:pPr>
        <w:spacing w:line="580" w:lineRule="exact"/>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3</w:t>
      </w:r>
      <w:r>
        <w:rPr>
          <w:rFonts w:hint="eastAsia" w:ascii="仿宋_GB2312" w:eastAsia="仿宋_GB2312"/>
          <w:sz w:val="32"/>
          <w:szCs w:val="32"/>
        </w:rPr>
        <w:t>．根据国省县乡道养护标准分配使用资金。</w:t>
      </w:r>
    </w:p>
    <w:p>
      <w:pPr>
        <w:spacing w:line="580" w:lineRule="exact"/>
        <w:ind w:firstLine="640" w:firstLineChars="200"/>
        <w:rPr>
          <w:rFonts w:ascii="楷体_GB2312" w:eastAsia="楷体_GB2312"/>
          <w:sz w:val="32"/>
          <w:szCs w:val="32"/>
        </w:rPr>
      </w:pPr>
      <w:r>
        <w:rPr>
          <w:rFonts w:hint="eastAsia" w:ascii="楷体_GB2312" w:eastAsia="楷体_GB2312"/>
          <w:sz w:val="32"/>
          <w:szCs w:val="32"/>
        </w:rPr>
        <w:t>（二）项目绩效目标</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1．项目主要内容</w:t>
      </w:r>
      <w:r>
        <w:rPr>
          <w:rFonts w:hint="eastAsia" w:ascii="仿宋_GB2312"/>
          <w:sz w:val="32"/>
          <w:szCs w:val="32"/>
          <w:lang w:eastAsia="zh-CN"/>
        </w:rPr>
        <w:t>对乐峨大道、梅燕路、川桃双龙双木路和货运通道进行承包日常养护劳务</w:t>
      </w:r>
      <w:r>
        <w:rPr>
          <w:rFonts w:hint="eastAsia" w:ascii="仿宋_GB2312" w:eastAsia="仿宋_GB2312"/>
          <w:sz w:val="32"/>
          <w:szCs w:val="32"/>
        </w:rPr>
        <w:t>费。</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2．项目实行按</w:t>
      </w:r>
      <w:r>
        <w:rPr>
          <w:rFonts w:hint="eastAsia" w:ascii="仿宋_GB2312"/>
          <w:sz w:val="32"/>
          <w:szCs w:val="32"/>
          <w:lang w:eastAsia="zh-CN"/>
        </w:rPr>
        <w:t>合同按</w:t>
      </w:r>
      <w:r>
        <w:rPr>
          <w:rFonts w:hint="eastAsia" w:ascii="仿宋_GB2312" w:eastAsia="仿宋_GB2312"/>
          <w:sz w:val="32"/>
          <w:szCs w:val="32"/>
        </w:rPr>
        <w:t>月申请支付</w:t>
      </w:r>
      <w:r>
        <w:rPr>
          <w:rFonts w:hint="eastAsia" w:ascii="仿宋_GB2312"/>
          <w:sz w:val="32"/>
          <w:szCs w:val="32"/>
          <w:lang w:eastAsia="zh-CN"/>
        </w:rPr>
        <w:t>劳务</w:t>
      </w:r>
      <w:r>
        <w:rPr>
          <w:rFonts w:hint="eastAsia" w:ascii="仿宋_GB2312" w:eastAsia="仿宋_GB2312"/>
          <w:sz w:val="32"/>
          <w:szCs w:val="32"/>
        </w:rPr>
        <w:t>费。</w:t>
      </w:r>
    </w:p>
    <w:p>
      <w:pPr>
        <w:spacing w:line="580" w:lineRule="exact"/>
        <w:ind w:firstLine="640" w:firstLineChars="200"/>
        <w:rPr>
          <w:rFonts w:hint="eastAsia" w:ascii="楷体_GB2312" w:eastAsia="楷体_GB2312"/>
          <w:sz w:val="32"/>
          <w:szCs w:val="32"/>
          <w:lang w:eastAsia="zh-CN"/>
        </w:rPr>
      </w:pPr>
      <w:r>
        <w:rPr>
          <w:rFonts w:hint="eastAsia" w:ascii="楷体_GB2312" w:eastAsia="楷体_GB2312"/>
          <w:sz w:val="32"/>
          <w:szCs w:val="32"/>
        </w:rPr>
        <w:t>（三）项目</w:t>
      </w:r>
      <w:r>
        <w:rPr>
          <w:rFonts w:hint="eastAsia" w:ascii="楷体_GB2312" w:eastAsia="楷体_GB2312"/>
          <w:sz w:val="32"/>
          <w:szCs w:val="32"/>
          <w:lang w:eastAsia="zh-CN"/>
        </w:rPr>
        <w:t>资金申报相符性</w:t>
      </w:r>
    </w:p>
    <w:p>
      <w:pPr>
        <w:spacing w:line="580" w:lineRule="exact"/>
        <w:ind w:firstLine="640" w:firstLineChars="200"/>
        <w:rPr>
          <w:rFonts w:hint="eastAsia" w:ascii="楷体_GB2312" w:eastAsia="楷体_GB2312"/>
          <w:sz w:val="32"/>
          <w:szCs w:val="32"/>
          <w:lang w:eastAsia="zh-CN"/>
        </w:rPr>
      </w:pPr>
      <w:r>
        <w:rPr>
          <w:rFonts w:hint="eastAsia" w:ascii="楷体_GB2312" w:eastAsia="楷体_GB2312"/>
          <w:sz w:val="32"/>
          <w:szCs w:val="32"/>
          <w:lang w:eastAsia="zh-CN"/>
        </w:rPr>
        <w:t>该项目申报内容与具体实施内容相符，申报目标合理可行。</w:t>
      </w:r>
    </w:p>
    <w:p>
      <w:pPr>
        <w:spacing w:line="580" w:lineRule="exact"/>
        <w:rPr>
          <w:rFonts w:ascii="黑体" w:eastAsia="黑体"/>
          <w:sz w:val="32"/>
          <w:szCs w:val="32"/>
        </w:rPr>
      </w:pPr>
      <w:r>
        <w:rPr>
          <w:rFonts w:hint="eastAsia" w:ascii="仿宋_GB2312" w:eastAsia="仿宋_GB2312"/>
          <w:sz w:val="32"/>
          <w:szCs w:val="32"/>
        </w:rPr>
        <w:t xml:space="preserve">    </w:t>
      </w:r>
      <w:r>
        <w:rPr>
          <w:rFonts w:hint="eastAsia" w:ascii="黑体" w:eastAsia="黑体"/>
          <w:sz w:val="32"/>
          <w:szCs w:val="32"/>
        </w:rPr>
        <w:t xml:space="preserve">二、项目资金申报及使用情况 </w:t>
      </w:r>
    </w:p>
    <w:p>
      <w:pPr>
        <w:spacing w:line="580" w:lineRule="exact"/>
        <w:ind w:firstLine="640" w:firstLineChars="200"/>
        <w:rPr>
          <w:rFonts w:ascii="楷体_GB2312" w:eastAsia="楷体_GB2312"/>
          <w:sz w:val="32"/>
          <w:szCs w:val="32"/>
        </w:rPr>
      </w:pPr>
      <w:r>
        <w:rPr>
          <w:rFonts w:hint="eastAsia" w:ascii="楷体_GB2312" w:eastAsia="楷体_GB2312"/>
          <w:sz w:val="32"/>
          <w:szCs w:val="32"/>
        </w:rPr>
        <w:t>（一）项目资金申报及批复情况</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该项目资金根据每月的用款额度向财政申报计划，由财政的相关业务股室审核批复。每半年对资金支付情况和预算资金进行比较分析做出相应的预算调整。</w:t>
      </w:r>
    </w:p>
    <w:p>
      <w:pPr>
        <w:spacing w:line="580" w:lineRule="exact"/>
        <w:ind w:firstLine="640" w:firstLineChars="200"/>
        <w:rPr>
          <w:rFonts w:ascii="楷体_GB2312" w:eastAsia="楷体_GB2312"/>
          <w:sz w:val="32"/>
          <w:szCs w:val="32"/>
        </w:rPr>
      </w:pPr>
      <w:r>
        <w:rPr>
          <w:rFonts w:hint="eastAsia" w:ascii="楷体_GB2312" w:eastAsia="楷体_GB2312"/>
          <w:sz w:val="32"/>
          <w:szCs w:val="32"/>
        </w:rPr>
        <w:t>（二）资金计划、到位及使用情况（可用表格形式反映）</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1．资金计划。每月初制定</w:t>
      </w:r>
      <w:r>
        <w:rPr>
          <w:rFonts w:hint="eastAsia" w:ascii="仿宋_GB2312" w:eastAsia="仿宋_GB2312"/>
          <w:sz w:val="32"/>
          <w:szCs w:val="32"/>
          <w:lang w:eastAsia="zh-CN"/>
        </w:rPr>
        <w:t>运行</w:t>
      </w:r>
      <w:r>
        <w:rPr>
          <w:rFonts w:hint="eastAsia" w:ascii="仿宋_GB2312" w:eastAsia="仿宋_GB2312"/>
          <w:sz w:val="32"/>
          <w:szCs w:val="32"/>
        </w:rPr>
        <w:t>费申报，财政审核拨付。</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2．资金到位。每月财政按时审核并拨付。</w:t>
      </w:r>
    </w:p>
    <w:p>
      <w:pPr>
        <w:widowControl/>
        <w:adjustRightInd w:val="0"/>
        <w:snapToGrid w:val="0"/>
        <w:spacing w:line="580" w:lineRule="exact"/>
        <w:ind w:firstLine="640" w:firstLineChars="200"/>
        <w:jc w:val="left"/>
        <w:rPr>
          <w:rFonts w:hint="eastAsia" w:ascii="仿宋_GB2312" w:hAnsi="宋体" w:cs="宋体"/>
          <w:color w:val="000000"/>
          <w:kern w:val="0"/>
          <w:sz w:val="32"/>
          <w:szCs w:val="32"/>
          <w:shd w:val="clear" w:color="auto" w:fill="FFFFFF"/>
          <w:lang w:val="zh-CN"/>
        </w:rPr>
      </w:pPr>
      <w:r>
        <w:rPr>
          <w:rFonts w:hint="eastAsia" w:ascii="仿宋_GB2312" w:eastAsia="仿宋_GB2312"/>
          <w:sz w:val="32"/>
          <w:szCs w:val="32"/>
        </w:rPr>
        <w:t>3．资金使用。</w:t>
      </w:r>
      <w:r>
        <w:rPr>
          <w:rFonts w:hint="eastAsia" w:ascii="仿宋_GB2312" w:hAnsi="宋体" w:cs="宋体"/>
          <w:color w:val="000000"/>
          <w:kern w:val="0"/>
          <w:sz w:val="32"/>
          <w:szCs w:val="32"/>
          <w:shd w:val="clear" w:color="auto" w:fill="FFFFFF"/>
          <w:lang w:val="zh-CN"/>
        </w:rPr>
        <w:t>全年预算金额为</w:t>
      </w:r>
      <w:r>
        <w:rPr>
          <w:rFonts w:hint="eastAsia" w:ascii="仿宋_GB2312" w:hAnsi="宋体" w:cs="宋体"/>
          <w:color w:val="000000"/>
          <w:kern w:val="0"/>
          <w:sz w:val="32"/>
          <w:szCs w:val="32"/>
          <w:shd w:val="clear" w:color="auto" w:fill="FFFFFF"/>
          <w:lang w:val="en-US" w:eastAsia="zh-CN"/>
        </w:rPr>
        <w:t>295.75</w:t>
      </w:r>
      <w:r>
        <w:rPr>
          <w:rFonts w:hint="eastAsia" w:ascii="仿宋_GB2312" w:hAnsi="宋体" w:cs="宋体"/>
          <w:color w:val="000000"/>
          <w:kern w:val="0"/>
          <w:sz w:val="32"/>
          <w:szCs w:val="32"/>
          <w:shd w:val="clear" w:color="auto" w:fill="FFFFFF"/>
          <w:lang w:val="zh-CN"/>
        </w:rPr>
        <w:t>万元，支出</w:t>
      </w:r>
      <w:r>
        <w:rPr>
          <w:rFonts w:hint="eastAsia" w:ascii="仿宋_GB2312" w:hAnsi="宋体" w:cs="宋体"/>
          <w:color w:val="000000"/>
          <w:kern w:val="0"/>
          <w:sz w:val="32"/>
          <w:szCs w:val="32"/>
          <w:shd w:val="clear" w:color="auto" w:fill="FFFFFF"/>
          <w:lang w:val="en-US" w:eastAsia="zh-CN"/>
        </w:rPr>
        <w:t>161.80</w:t>
      </w:r>
      <w:r>
        <w:rPr>
          <w:rFonts w:hint="eastAsia" w:ascii="仿宋_GB2312" w:hAnsi="宋体" w:cs="宋体"/>
          <w:color w:val="000000"/>
          <w:kern w:val="0"/>
          <w:sz w:val="32"/>
          <w:szCs w:val="32"/>
          <w:shd w:val="clear" w:color="auto" w:fill="FFFFFF"/>
          <w:lang w:val="zh-CN"/>
        </w:rPr>
        <w:t>万。</w:t>
      </w:r>
    </w:p>
    <w:p>
      <w:pPr>
        <w:spacing w:line="580" w:lineRule="exact"/>
        <w:ind w:firstLine="640" w:firstLineChars="200"/>
        <w:rPr>
          <w:rFonts w:ascii="楷体_GB2312" w:eastAsia="楷体_GB2312"/>
          <w:sz w:val="32"/>
          <w:szCs w:val="32"/>
        </w:rPr>
      </w:pPr>
      <w:r>
        <w:rPr>
          <w:rFonts w:hint="eastAsia" w:ascii="楷体_GB2312" w:eastAsia="楷体_GB2312"/>
          <w:sz w:val="32"/>
          <w:szCs w:val="32"/>
        </w:rPr>
        <w:t>（三）项目财务管理情况</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我单位健全总体评价各项目实施单位财务管理制度，严格执行财务管理制度，及时进行账务处理，规范会计核算工作。</w:t>
      </w:r>
    </w:p>
    <w:p>
      <w:pPr>
        <w:spacing w:line="580" w:lineRule="exact"/>
        <w:ind w:firstLine="640" w:firstLineChars="200"/>
        <w:rPr>
          <w:rFonts w:ascii="黑体" w:eastAsia="黑体"/>
          <w:sz w:val="32"/>
          <w:szCs w:val="32"/>
        </w:rPr>
      </w:pPr>
      <w:r>
        <w:rPr>
          <w:rFonts w:hint="eastAsia" w:ascii="黑体" w:eastAsia="黑体"/>
          <w:sz w:val="32"/>
          <w:szCs w:val="32"/>
        </w:rPr>
        <w:t>三、项目实施及管理情况</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我单位对</w:t>
      </w:r>
      <w:r>
        <w:rPr>
          <w:rFonts w:hint="eastAsia" w:ascii="仿宋_GB2312"/>
          <w:sz w:val="32"/>
          <w:szCs w:val="32"/>
          <w:lang w:val="en-US" w:eastAsia="zh-CN"/>
        </w:rPr>
        <w:t>乐峨大道等日常养护</w:t>
      </w:r>
      <w:r>
        <w:rPr>
          <w:rFonts w:hint="eastAsia" w:ascii="仿宋_GB2312" w:eastAsia="仿宋_GB2312"/>
          <w:sz w:val="32"/>
          <w:szCs w:val="32"/>
        </w:rPr>
        <w:t>费项目组织实施管理办法具体如下</w:t>
      </w:r>
    </w:p>
    <w:p>
      <w:pPr>
        <w:spacing w:line="580" w:lineRule="exact"/>
        <w:ind w:firstLine="640" w:firstLineChars="200"/>
        <w:rPr>
          <w:rFonts w:ascii="楷体_GB2312" w:eastAsia="楷体_GB2312"/>
          <w:sz w:val="32"/>
          <w:szCs w:val="32"/>
        </w:rPr>
      </w:pPr>
      <w:r>
        <w:rPr>
          <w:rFonts w:hint="eastAsia" w:ascii="楷体_GB2312" w:eastAsia="楷体_GB2312"/>
          <w:sz w:val="32"/>
          <w:szCs w:val="32"/>
        </w:rPr>
        <w:t>（一）项目组织架构及实施流程</w:t>
      </w:r>
    </w:p>
    <w:p>
      <w:pPr>
        <w:spacing w:line="580" w:lineRule="exact"/>
        <w:ind w:firstLine="640" w:firstLineChars="200"/>
        <w:rPr>
          <w:rFonts w:ascii="楷体_GB2312" w:eastAsia="楷体_GB2312"/>
          <w:sz w:val="32"/>
          <w:szCs w:val="32"/>
        </w:rPr>
      </w:pPr>
      <w:r>
        <w:rPr>
          <w:rFonts w:hint="eastAsia" w:ascii="楷体_GB2312" w:eastAsia="楷体_GB2312"/>
          <w:sz w:val="32"/>
          <w:szCs w:val="32"/>
        </w:rPr>
        <w:t>该项目经费支出</w:t>
      </w:r>
      <w:r>
        <w:rPr>
          <w:rFonts w:hint="eastAsia" w:ascii="楷体_GB2312" w:eastAsia="楷体_GB2312"/>
          <w:sz w:val="32"/>
          <w:szCs w:val="32"/>
          <w:lang w:val="en-US" w:eastAsia="zh-CN"/>
        </w:rPr>
        <w:t>为</w:t>
      </w:r>
      <w:r>
        <w:rPr>
          <w:rFonts w:hint="eastAsia" w:ascii="仿宋_GB2312"/>
          <w:sz w:val="32"/>
          <w:szCs w:val="32"/>
          <w:lang w:eastAsia="zh-CN"/>
        </w:rPr>
        <w:t>乐峨大道、梅燕路、川桃双龙双木路和货运通道进行承包养护劳务</w:t>
      </w:r>
      <w:r>
        <w:rPr>
          <w:rFonts w:hint="eastAsia" w:ascii="仿宋_GB2312" w:eastAsia="仿宋_GB2312"/>
          <w:sz w:val="32"/>
          <w:szCs w:val="32"/>
        </w:rPr>
        <w:t>费</w:t>
      </w:r>
      <w:r>
        <w:rPr>
          <w:rFonts w:hint="eastAsia" w:ascii="楷体_GB2312" w:eastAsia="楷体_GB2312"/>
          <w:sz w:val="32"/>
          <w:szCs w:val="32"/>
        </w:rPr>
        <w:t>。</w:t>
      </w:r>
    </w:p>
    <w:p>
      <w:pPr>
        <w:spacing w:line="580" w:lineRule="exact"/>
        <w:ind w:firstLine="640" w:firstLineChars="200"/>
        <w:rPr>
          <w:rFonts w:ascii="楷体_GB2312" w:eastAsia="楷体_GB2312"/>
          <w:sz w:val="32"/>
          <w:szCs w:val="32"/>
        </w:rPr>
      </w:pPr>
      <w:r>
        <w:rPr>
          <w:rFonts w:hint="eastAsia" w:ascii="楷体_GB2312" w:eastAsia="楷体_GB2312"/>
          <w:sz w:val="32"/>
          <w:szCs w:val="32"/>
        </w:rPr>
        <w:t>（二）项目管理情况</w:t>
      </w:r>
    </w:p>
    <w:p>
      <w:pPr>
        <w:spacing w:line="580" w:lineRule="exact"/>
        <w:ind w:firstLine="640" w:firstLineChars="200"/>
        <w:rPr>
          <w:rFonts w:ascii="仿宋_GB2312" w:eastAsia="仿宋_GB2312"/>
          <w:sz w:val="32"/>
          <w:szCs w:val="32"/>
        </w:rPr>
      </w:pPr>
      <w:r>
        <w:rPr>
          <w:rFonts w:hint="eastAsia" w:ascii="仿宋_GB2312" w:eastAsia="仿宋_GB2312"/>
          <w:sz w:val="32"/>
          <w:szCs w:val="32"/>
          <w:lang w:eastAsia="zh-CN"/>
        </w:rPr>
        <w:t>按照中心</w:t>
      </w:r>
      <w:r>
        <w:rPr>
          <w:rFonts w:hint="eastAsia" w:ascii="仿宋_GB2312" w:eastAsia="仿宋_GB2312"/>
          <w:sz w:val="32"/>
          <w:szCs w:val="32"/>
        </w:rPr>
        <w:t>制定“养护管理办法”和“养护考核管理办法”</w:t>
      </w:r>
      <w:r>
        <w:rPr>
          <w:rFonts w:hint="eastAsia" w:ascii="仿宋_GB2312" w:eastAsia="仿宋_GB2312"/>
          <w:sz w:val="32"/>
          <w:szCs w:val="32"/>
          <w:lang w:eastAsia="zh-CN"/>
        </w:rPr>
        <w:t>规定，</w:t>
      </w:r>
      <w:r>
        <w:rPr>
          <w:rFonts w:hint="eastAsia" w:ascii="仿宋_GB2312" w:eastAsia="仿宋_GB2312"/>
          <w:sz w:val="32"/>
          <w:szCs w:val="32"/>
        </w:rPr>
        <w:t>采取对</w:t>
      </w:r>
      <w:r>
        <w:rPr>
          <w:rFonts w:hint="eastAsia" w:ascii="仿宋_GB2312" w:eastAsia="仿宋_GB2312"/>
          <w:sz w:val="32"/>
          <w:szCs w:val="32"/>
          <w:lang w:eastAsia="zh-CN"/>
        </w:rPr>
        <w:t>国省县</w:t>
      </w:r>
      <w:r>
        <w:rPr>
          <w:rFonts w:hint="eastAsia" w:ascii="仿宋_GB2312"/>
          <w:sz w:val="32"/>
          <w:szCs w:val="32"/>
          <w:lang w:val="en-US" w:eastAsia="zh-CN"/>
        </w:rPr>
        <w:t>乡</w:t>
      </w:r>
      <w:r>
        <w:rPr>
          <w:rFonts w:hint="eastAsia" w:ascii="仿宋_GB2312" w:eastAsia="仿宋_GB2312"/>
          <w:sz w:val="32"/>
          <w:szCs w:val="32"/>
          <w:lang w:eastAsia="zh-CN"/>
        </w:rPr>
        <w:t>道</w:t>
      </w:r>
      <w:r>
        <w:rPr>
          <w:rFonts w:hint="eastAsia" w:ascii="仿宋_GB2312"/>
          <w:sz w:val="32"/>
          <w:szCs w:val="32"/>
          <w:lang w:val="en-US" w:eastAsia="zh-CN"/>
        </w:rPr>
        <w:t>道</w:t>
      </w:r>
      <w:r>
        <w:rPr>
          <w:rFonts w:hint="eastAsia" w:ascii="仿宋_GB2312" w:eastAsia="仿宋_GB2312"/>
          <w:sz w:val="32"/>
          <w:szCs w:val="32"/>
        </w:rPr>
        <w:t>路进行</w:t>
      </w:r>
      <w:r>
        <w:rPr>
          <w:rFonts w:hint="eastAsia" w:ascii="仿宋_GB2312" w:eastAsia="仿宋_GB2312"/>
          <w:sz w:val="32"/>
          <w:szCs w:val="32"/>
          <w:lang w:eastAsia="zh-CN"/>
        </w:rPr>
        <w:t>日常</w:t>
      </w:r>
      <w:r>
        <w:rPr>
          <w:rFonts w:hint="eastAsia" w:ascii="仿宋_GB2312" w:eastAsia="仿宋_GB2312"/>
          <w:sz w:val="32"/>
          <w:szCs w:val="32"/>
        </w:rPr>
        <w:t>养护</w:t>
      </w:r>
      <w:r>
        <w:rPr>
          <w:rFonts w:hint="eastAsia" w:ascii="仿宋_GB2312" w:eastAsia="仿宋_GB2312"/>
          <w:sz w:val="32"/>
          <w:szCs w:val="32"/>
          <w:lang w:eastAsia="zh-CN"/>
        </w:rPr>
        <w:t>，确保道路安全、整洁</w:t>
      </w:r>
      <w:r>
        <w:rPr>
          <w:rFonts w:hint="eastAsia" w:ascii="仿宋_GB2312"/>
          <w:sz w:val="32"/>
          <w:szCs w:val="32"/>
          <w:lang w:eastAsia="zh-CN"/>
        </w:rPr>
        <w:t>、</w:t>
      </w:r>
      <w:r>
        <w:rPr>
          <w:rFonts w:hint="eastAsia" w:ascii="仿宋_GB2312" w:eastAsia="仿宋_GB2312"/>
          <w:sz w:val="32"/>
          <w:szCs w:val="32"/>
          <w:lang w:eastAsia="zh-CN"/>
        </w:rPr>
        <w:t>畅通、</w:t>
      </w:r>
      <w:r>
        <w:rPr>
          <w:rFonts w:hint="eastAsia" w:ascii="仿宋_GB2312" w:eastAsia="仿宋_GB2312"/>
          <w:sz w:val="32"/>
          <w:szCs w:val="32"/>
        </w:rPr>
        <w:t>。</w:t>
      </w:r>
    </w:p>
    <w:p>
      <w:pPr>
        <w:spacing w:line="580" w:lineRule="exact"/>
        <w:ind w:firstLine="640" w:firstLineChars="200"/>
        <w:rPr>
          <w:rFonts w:ascii="楷体_GB2312" w:eastAsia="楷体_GB2312"/>
          <w:sz w:val="32"/>
          <w:szCs w:val="32"/>
        </w:rPr>
      </w:pPr>
      <w:r>
        <w:rPr>
          <w:rFonts w:hint="eastAsia" w:ascii="楷体_GB2312" w:eastAsia="楷体_GB2312"/>
          <w:sz w:val="32"/>
          <w:szCs w:val="32"/>
        </w:rPr>
        <w:t>（三）项目监管情况</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峨眉山市交通运输局为加强对</w:t>
      </w:r>
      <w:r>
        <w:rPr>
          <w:rFonts w:hint="eastAsia" w:ascii="仿宋_GB2312"/>
          <w:sz w:val="32"/>
          <w:szCs w:val="32"/>
          <w:lang w:eastAsia="zh-CN"/>
        </w:rPr>
        <w:t>乐峨大道、梅燕路、川桃双龙双木路和货运通道进行承包养护劳务</w:t>
      </w:r>
      <w:r>
        <w:rPr>
          <w:rFonts w:hint="eastAsia" w:ascii="仿宋_GB2312" w:eastAsia="仿宋_GB2312"/>
          <w:sz w:val="32"/>
          <w:szCs w:val="32"/>
        </w:rPr>
        <w:t>费项目管理随时抽查资金支付情况。</w:t>
      </w:r>
    </w:p>
    <w:p>
      <w:pPr>
        <w:spacing w:line="580" w:lineRule="exact"/>
        <w:ind w:firstLine="640" w:firstLineChars="200"/>
        <w:rPr>
          <w:rFonts w:ascii="黑体" w:eastAsia="黑体"/>
          <w:sz w:val="32"/>
          <w:szCs w:val="32"/>
        </w:rPr>
      </w:pPr>
      <w:r>
        <w:rPr>
          <w:rFonts w:hint="eastAsia" w:ascii="黑体" w:eastAsia="黑体"/>
          <w:sz w:val="32"/>
          <w:szCs w:val="32"/>
        </w:rPr>
        <w:t>四、项目绩效情况</w:t>
      </w:r>
    </w:p>
    <w:p>
      <w:pPr>
        <w:spacing w:line="580" w:lineRule="exact"/>
        <w:ind w:firstLine="640" w:firstLineChars="200"/>
        <w:rPr>
          <w:rFonts w:ascii="楷体_GB2312" w:eastAsia="楷体_GB2312"/>
          <w:sz w:val="32"/>
          <w:szCs w:val="32"/>
        </w:rPr>
      </w:pPr>
      <w:r>
        <w:rPr>
          <w:rFonts w:hint="eastAsia" w:ascii="楷体_GB2312" w:eastAsia="楷体_GB2312"/>
          <w:sz w:val="32"/>
          <w:szCs w:val="32"/>
        </w:rPr>
        <w:t xml:space="preserve">（一）项目完成情况 </w:t>
      </w:r>
    </w:p>
    <w:p>
      <w:pPr>
        <w:spacing w:line="580" w:lineRule="exact"/>
        <w:ind w:firstLine="640" w:firstLineChars="200"/>
        <w:rPr>
          <w:rFonts w:ascii="仿宋_GB2312" w:eastAsia="仿宋_GB2312"/>
          <w:sz w:val="32"/>
          <w:szCs w:val="32"/>
        </w:rPr>
      </w:pPr>
      <w:r>
        <w:rPr>
          <w:rFonts w:hint="eastAsia" w:ascii="仿宋_GB2312" w:eastAsia="仿宋_GB2312"/>
          <w:sz w:val="32"/>
          <w:szCs w:val="32"/>
          <w:lang w:eastAsia="zh-CN"/>
        </w:rPr>
        <w:t>公路养护及绿化维护达到预期效果，路面清洁、沿线设施清洁、绿化带整齐美观、确保道路畅通，减少路面粉尘。</w:t>
      </w:r>
      <w:r>
        <w:rPr>
          <w:rFonts w:hint="eastAsia" w:ascii="仿宋_GB2312" w:eastAsia="仿宋_GB2312"/>
          <w:sz w:val="32"/>
          <w:szCs w:val="32"/>
        </w:rPr>
        <w:t>项目按照</w:t>
      </w:r>
      <w:r>
        <w:rPr>
          <w:rFonts w:hint="eastAsia" w:ascii="仿宋_GB2312" w:eastAsia="仿宋_GB2312"/>
          <w:sz w:val="32"/>
          <w:szCs w:val="32"/>
          <w:lang w:eastAsia="zh-CN"/>
        </w:rPr>
        <w:t>上班制度按时出勤作业</w:t>
      </w:r>
      <w:r>
        <w:rPr>
          <w:rFonts w:hint="eastAsia" w:ascii="仿宋_GB2312" w:eastAsia="仿宋_GB2312"/>
          <w:sz w:val="32"/>
          <w:szCs w:val="32"/>
        </w:rPr>
        <w:t>进行，全面完成</w:t>
      </w:r>
      <w:r>
        <w:rPr>
          <w:rFonts w:hint="eastAsia" w:ascii="仿宋_GB2312" w:eastAsia="仿宋_GB2312"/>
          <w:sz w:val="32"/>
          <w:szCs w:val="32"/>
          <w:lang w:eastAsia="zh-CN"/>
        </w:rPr>
        <w:t>上级交给的任务</w:t>
      </w:r>
      <w:r>
        <w:rPr>
          <w:rFonts w:hint="eastAsia" w:ascii="仿宋_GB2312" w:eastAsia="仿宋_GB2312"/>
          <w:sz w:val="32"/>
          <w:szCs w:val="32"/>
        </w:rPr>
        <w:t xml:space="preserve">。 </w:t>
      </w:r>
    </w:p>
    <w:p>
      <w:pPr>
        <w:spacing w:line="580" w:lineRule="exact"/>
        <w:ind w:firstLine="640" w:firstLineChars="200"/>
        <w:rPr>
          <w:rFonts w:ascii="楷体_GB2312" w:eastAsia="楷体_GB2312"/>
          <w:sz w:val="32"/>
          <w:szCs w:val="32"/>
        </w:rPr>
      </w:pPr>
      <w:r>
        <w:rPr>
          <w:rFonts w:hint="eastAsia" w:ascii="楷体_GB2312" w:eastAsia="楷体_GB2312"/>
          <w:sz w:val="32"/>
          <w:szCs w:val="32"/>
        </w:rPr>
        <w:t xml:space="preserve">（二）项目效益情况 </w:t>
      </w:r>
    </w:p>
    <w:p>
      <w:pPr>
        <w:rPr>
          <w:rFonts w:hint="eastAsia" w:hAnsi="Calibri" w:cs="仿宋"/>
          <w:sz w:val="32"/>
          <w:szCs w:val="32"/>
          <w:lang w:val="en-US" w:eastAsia="zh-CN"/>
        </w:rPr>
      </w:pPr>
      <w:r>
        <w:rPr>
          <w:rFonts w:hint="eastAsia" w:ascii="仿宋_GB2312" w:eastAsia="仿宋_GB2312"/>
          <w:sz w:val="32"/>
          <w:szCs w:val="32"/>
          <w:lang w:eastAsia="zh-CN"/>
        </w:rPr>
        <w:t>确保了公路正常的运行，保证了公路的畅通性，保持路面的整洁，确保了公路的畅通和安全性，保证公路周边的环境，提升了峨眉山市的市容市貌，增强了峨眉山市对外的美好形象。</w:t>
      </w:r>
      <w:r>
        <w:rPr>
          <w:rFonts w:hint="eastAsia" w:ascii="仿宋_GB2312" w:eastAsia="仿宋_GB2312"/>
          <w:sz w:val="32"/>
          <w:szCs w:val="32"/>
        </w:rPr>
        <w:t>保障管养道路整洁畅通，社会满意度较高。</w:t>
      </w:r>
    </w:p>
    <w:p>
      <w:pPr>
        <w:pStyle w:val="2"/>
        <w:rPr>
          <w:rFonts w:hint="default"/>
          <w:lang w:val="en-US" w:eastAsia="zh-CN"/>
        </w:rPr>
      </w:pPr>
    </w:p>
    <w:p>
      <w:pPr>
        <w:pStyle w:val="2"/>
        <w:spacing w:before="93"/>
        <w:rPr>
          <w:rFonts w:hAnsi="Calibri" w:cs="仿宋"/>
          <w:sz w:val="32"/>
          <w:szCs w:val="32"/>
        </w:rPr>
      </w:pPr>
    </w:p>
    <w:p>
      <w:pPr>
        <w:rPr>
          <w:rFonts w:hAnsi="Calibri" w:cs="仿宋"/>
          <w:sz w:val="32"/>
          <w:szCs w:val="32"/>
        </w:rPr>
      </w:pPr>
    </w:p>
    <w:p>
      <w:pPr>
        <w:pStyle w:val="2"/>
        <w:rPr>
          <w:rFonts w:hAnsi="Calibri" w:cs="仿宋"/>
          <w:sz w:val="32"/>
          <w:szCs w:val="32"/>
        </w:rPr>
      </w:pPr>
    </w:p>
    <w:p>
      <w:pPr>
        <w:rPr>
          <w:rFonts w:hAnsi="Calibri" w:cs="仿宋"/>
          <w:sz w:val="32"/>
          <w:szCs w:val="32"/>
        </w:rPr>
      </w:pPr>
    </w:p>
    <w:p>
      <w:pPr>
        <w:pStyle w:val="2"/>
        <w:rPr>
          <w:rFonts w:hAnsi="Calibri" w:cs="仿宋"/>
          <w:sz w:val="32"/>
          <w:szCs w:val="32"/>
        </w:rPr>
      </w:pPr>
    </w:p>
    <w:p>
      <w:pPr>
        <w:rPr>
          <w:rFonts w:hAnsi="Calibri" w:cs="仿宋"/>
          <w:sz w:val="32"/>
          <w:szCs w:val="32"/>
        </w:rPr>
      </w:pPr>
    </w:p>
    <w:p>
      <w:pPr>
        <w:pStyle w:val="2"/>
        <w:rPr>
          <w:rFonts w:hAnsi="Calibri" w:cs="仿宋"/>
          <w:sz w:val="32"/>
          <w:szCs w:val="32"/>
        </w:rPr>
      </w:pPr>
    </w:p>
    <w:p>
      <w:pPr>
        <w:rPr>
          <w:rFonts w:hAnsi="Calibri" w:cs="仿宋"/>
          <w:sz w:val="32"/>
          <w:szCs w:val="32"/>
        </w:rPr>
      </w:pPr>
    </w:p>
    <w:p>
      <w:pPr>
        <w:rPr>
          <w:rFonts w:hAnsi="Calibri" w:cs="仿宋"/>
          <w:sz w:val="32"/>
          <w:szCs w:val="32"/>
        </w:rPr>
      </w:pPr>
    </w:p>
    <w:p>
      <w:pPr>
        <w:pStyle w:val="2"/>
      </w:pPr>
    </w:p>
    <w:p>
      <w:pPr>
        <w:rPr>
          <w:rFonts w:hint="default" w:eastAsia="宋体"/>
          <w:lang w:val="en-US" w:eastAsia="zh-CN"/>
        </w:rPr>
      </w:pPr>
      <w:r>
        <w:rPr>
          <w:rFonts w:hint="eastAsia" w:hAnsi="Calibri" w:cs="仿宋"/>
          <w:sz w:val="32"/>
          <w:szCs w:val="32"/>
          <w:lang w:val="en-US" w:eastAsia="zh-CN"/>
        </w:rPr>
        <w:t>附件5-2</w:t>
      </w:r>
    </w:p>
    <w:p>
      <w:pPr>
        <w:pStyle w:val="2"/>
        <w:spacing w:before="93" w:line="600" w:lineRule="exact"/>
        <w:jc w:val="center"/>
        <w:rPr>
          <w:rFonts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rPr>
        <w:t>2021年特定目标类部门预算项目绩效</w:t>
      </w:r>
    </w:p>
    <w:p>
      <w:pPr>
        <w:pStyle w:val="2"/>
        <w:spacing w:before="93" w:line="600" w:lineRule="exact"/>
        <w:jc w:val="center"/>
        <w:rPr>
          <w:rFonts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b/>
          <w:sz w:val="44"/>
          <w:szCs w:val="44"/>
        </w:rPr>
        <w:t>目标自评</w:t>
      </w:r>
    </w:p>
    <w:tbl>
      <w:tblPr>
        <w:tblStyle w:val="13"/>
        <w:tblpPr w:leftFromText="180" w:rightFromText="180" w:vertAnchor="text" w:horzAnchor="page" w:tblpXSpec="center" w:tblpY="276"/>
        <w:tblOverlap w:val="never"/>
        <w:tblW w:w="9049" w:type="dxa"/>
        <w:jc w:val="center"/>
        <w:tblLayout w:type="fixed"/>
        <w:tblCellMar>
          <w:top w:w="0" w:type="dxa"/>
          <w:left w:w="108" w:type="dxa"/>
          <w:bottom w:w="0" w:type="dxa"/>
          <w:right w:w="108" w:type="dxa"/>
        </w:tblCellMar>
      </w:tblPr>
      <w:tblGrid>
        <w:gridCol w:w="1815"/>
        <w:gridCol w:w="1068"/>
        <w:gridCol w:w="2232"/>
        <w:gridCol w:w="1031"/>
        <w:gridCol w:w="1369"/>
        <w:gridCol w:w="1534"/>
      </w:tblGrid>
      <w:tr>
        <w:tblPrEx>
          <w:tblCellMar>
            <w:top w:w="0" w:type="dxa"/>
            <w:left w:w="108" w:type="dxa"/>
            <w:bottom w:w="0" w:type="dxa"/>
            <w:right w:w="108" w:type="dxa"/>
          </w:tblCellMar>
        </w:tblPrEx>
        <w:trPr>
          <w:trHeight w:val="254" w:hRule="atLeast"/>
          <w:jc w:val="center"/>
        </w:trPr>
        <w:tc>
          <w:tcPr>
            <w:tcW w:w="2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主管部门及代码</w:t>
            </w:r>
          </w:p>
        </w:tc>
        <w:tc>
          <w:tcPr>
            <w:tcW w:w="3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峨眉山市交通运输局</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实施单位</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峨眉山</w:t>
            </w:r>
            <w:r>
              <w:rPr>
                <w:rFonts w:hint="eastAsia" w:ascii="仿宋_GB2312" w:hAnsi="仿宋_GB2312" w:eastAsia="仿宋_GB2312" w:cs="仿宋_GB2312"/>
                <w:sz w:val="28"/>
                <w:szCs w:val="28"/>
                <w:lang w:val="en-US" w:eastAsia="zh-CN"/>
              </w:rPr>
              <w:t>交通建设和运输</w:t>
            </w:r>
            <w:r>
              <w:rPr>
                <w:rFonts w:hint="eastAsia" w:ascii="仿宋_GB2312" w:hAnsi="仿宋_GB2312" w:eastAsia="仿宋_GB2312" w:cs="仿宋_GB2312"/>
                <w:sz w:val="28"/>
                <w:szCs w:val="28"/>
              </w:rPr>
              <w:t>中心</w:t>
            </w:r>
          </w:p>
        </w:tc>
      </w:tr>
      <w:tr>
        <w:tblPrEx>
          <w:tblCellMar>
            <w:top w:w="0" w:type="dxa"/>
            <w:left w:w="108" w:type="dxa"/>
            <w:bottom w:w="0" w:type="dxa"/>
            <w:right w:w="108" w:type="dxa"/>
          </w:tblCellMar>
        </w:tblPrEx>
        <w:trPr>
          <w:trHeight w:val="341" w:hRule="atLeast"/>
          <w:jc w:val="center"/>
        </w:trPr>
        <w:tc>
          <w:tcPr>
            <w:tcW w:w="28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项目预算</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执行情况</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（万元）</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预算数：</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1"/>
                <w:szCs w:val="21"/>
                <w:lang w:val="en-US" w:eastAsia="zh-CN"/>
              </w:rPr>
              <w:t>295.75</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执行数：</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161.8</w:t>
            </w:r>
          </w:p>
        </w:tc>
      </w:tr>
      <w:tr>
        <w:tblPrEx>
          <w:tblCellMar>
            <w:top w:w="0" w:type="dxa"/>
            <w:left w:w="108" w:type="dxa"/>
            <w:bottom w:w="0" w:type="dxa"/>
            <w:right w:w="108" w:type="dxa"/>
          </w:tblCellMar>
        </w:tblPrEx>
        <w:trPr>
          <w:trHeight w:val="555" w:hRule="atLeast"/>
          <w:jc w:val="center"/>
        </w:trPr>
        <w:tc>
          <w:tcPr>
            <w:tcW w:w="28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1"/>
                <w:szCs w:val="21"/>
                <w:lang w:val="en-US" w:eastAsia="zh-CN"/>
              </w:rPr>
              <w:t>295.75</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161.8</w:t>
            </w:r>
          </w:p>
        </w:tc>
      </w:tr>
      <w:tr>
        <w:tblPrEx>
          <w:tblCellMar>
            <w:top w:w="0" w:type="dxa"/>
            <w:left w:w="108" w:type="dxa"/>
            <w:bottom w:w="0" w:type="dxa"/>
            <w:right w:w="108" w:type="dxa"/>
          </w:tblCellMar>
        </w:tblPrEx>
        <w:trPr>
          <w:trHeight w:val="341" w:hRule="atLeast"/>
          <w:jc w:val="center"/>
        </w:trPr>
        <w:tc>
          <w:tcPr>
            <w:tcW w:w="28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45" w:hRule="atLeast"/>
          <w:jc w:val="center"/>
        </w:trPr>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年度总体目标</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完成情况</w:t>
            </w:r>
          </w:p>
        </w:tc>
        <w:tc>
          <w:tcPr>
            <w:tcW w:w="43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预期目标</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目标实际完成情况</w:t>
            </w:r>
          </w:p>
        </w:tc>
      </w:tr>
      <w:tr>
        <w:tblPrEx>
          <w:tblCellMar>
            <w:top w:w="0" w:type="dxa"/>
            <w:left w:w="108" w:type="dxa"/>
            <w:bottom w:w="0" w:type="dxa"/>
            <w:right w:w="108" w:type="dxa"/>
          </w:tblCellMar>
        </w:tblPrEx>
        <w:trPr>
          <w:trHeight w:val="387" w:hRule="atLeast"/>
          <w:jc w:val="center"/>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43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ascii="仿宋_GB2312" w:hAnsi="仿宋_GB2312" w:eastAsia="仿宋_GB2312" w:cs="仿宋_GB2312"/>
                <w:sz w:val="28"/>
                <w:szCs w:val="28"/>
              </w:rPr>
            </w:pPr>
            <w:r>
              <w:rPr>
                <w:rFonts w:hint="eastAsia" w:ascii="仿宋_GB2312" w:eastAsia="仿宋_GB2312"/>
                <w:sz w:val="32"/>
                <w:szCs w:val="32"/>
              </w:rPr>
              <w:t>路面清洁、沿线设施清洁、绿化带整齐美观、确保道路畅通，减少路面粉尘。</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ascii="仿宋_GB2312" w:hAnsi="仿宋_GB2312" w:eastAsia="仿宋_GB2312" w:cs="仿宋_GB2312"/>
                <w:sz w:val="28"/>
                <w:szCs w:val="28"/>
              </w:rPr>
            </w:pPr>
            <w:r>
              <w:rPr>
                <w:rFonts w:hint="eastAsia" w:ascii="仿宋_GB2312" w:hAnsi="仿宋_GB2312" w:eastAsia="仿宋_GB2312" w:cs="仿宋_GB2312"/>
                <w:sz w:val="28"/>
                <w:szCs w:val="28"/>
              </w:rPr>
              <w:t>完成</w:t>
            </w:r>
          </w:p>
        </w:tc>
      </w:tr>
      <w:tr>
        <w:tblPrEx>
          <w:tblCellMar>
            <w:top w:w="0" w:type="dxa"/>
            <w:left w:w="108" w:type="dxa"/>
            <w:bottom w:w="0" w:type="dxa"/>
            <w:right w:w="108" w:type="dxa"/>
          </w:tblCellMar>
        </w:tblPrEx>
        <w:trPr>
          <w:trHeight w:val="693" w:hRule="atLeast"/>
          <w:jc w:val="center"/>
        </w:trPr>
        <w:tc>
          <w:tcPr>
            <w:tcW w:w="1815"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年度绩效指标完成情况</w:t>
            </w:r>
          </w:p>
        </w:tc>
        <w:tc>
          <w:tcPr>
            <w:tcW w:w="1068"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预期指标值</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实际完成指标值</w:t>
            </w:r>
          </w:p>
        </w:tc>
      </w:tr>
      <w:tr>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数量指标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质量指标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时效指标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355"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成本指标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18"/>
                <w:szCs w:val="18"/>
              </w:rPr>
              <w:t>使用资金</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295.75</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161.8</w:t>
            </w:r>
          </w:p>
        </w:tc>
      </w:tr>
      <w:tr>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效益</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经济效益指标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带动旅游</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好</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较好</w:t>
            </w:r>
          </w:p>
        </w:tc>
      </w:tr>
      <w:tr>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社会效益指标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18"/>
                <w:szCs w:val="1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577"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生态效益指标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路面清洁</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清洁</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清洁</w:t>
            </w:r>
          </w:p>
        </w:tc>
      </w:tr>
      <w:tr>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可持续影响指标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18"/>
                <w:szCs w:val="1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530" w:hRule="atLeast"/>
          <w:jc w:val="center"/>
        </w:trPr>
        <w:tc>
          <w:tcPr>
            <w:tcW w:w="1815"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满意度指标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满意度</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群众满意</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满意</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满意</w:t>
            </w:r>
          </w:p>
        </w:tc>
      </w:tr>
    </w:tbl>
    <w:p>
      <w:pPr>
        <w:spacing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注：有两个及以上100万元以上（含）特定目标类部门预算项目的，需分别开展绩效目标自评并填写附表;100万元以下的特定目标类部门预算项目，项目数在5个以内的据实分别开展绩效目标自评并填写附表，达到或超过5个的至少选择5个分别开展绩效目标自评并填写附表）</w:t>
      </w:r>
    </w:p>
    <w:p/>
    <w:p>
      <w:pPr>
        <w:pStyle w:val="2"/>
        <w:rPr>
          <w:rFonts w:hint="default"/>
          <w:sz w:val="32"/>
          <w:szCs w:val="32"/>
          <w:lang w:val="en-US" w:eastAsia="zh-CN"/>
        </w:rPr>
      </w:pPr>
      <w:r>
        <w:rPr>
          <w:rFonts w:hint="eastAsia"/>
          <w:sz w:val="32"/>
          <w:szCs w:val="32"/>
          <w:lang w:val="en-US" w:eastAsia="zh-CN"/>
        </w:rPr>
        <w:t>附件6-1</w:t>
      </w:r>
    </w:p>
    <w:p>
      <w:pPr>
        <w:rPr>
          <w:rFonts w:hint="eastAsia"/>
          <w:sz w:val="32"/>
          <w:szCs w:val="32"/>
          <w:lang w:val="en-US" w:eastAsia="zh-CN"/>
        </w:rPr>
      </w:pPr>
    </w:p>
    <w:p>
      <w:pPr>
        <w:spacing w:line="580" w:lineRule="exact"/>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“洒水车、扫地车运费”项目支出绩效</w:t>
      </w:r>
    </w:p>
    <w:p>
      <w:pPr>
        <w:spacing w:line="580" w:lineRule="exact"/>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自评报告</w:t>
      </w:r>
    </w:p>
    <w:p>
      <w:pPr>
        <w:spacing w:line="580" w:lineRule="exact"/>
        <w:rPr>
          <w:rFonts w:ascii="仿宋_GB2312" w:eastAsia="仿宋_GB2312"/>
          <w:sz w:val="32"/>
          <w:szCs w:val="32"/>
        </w:rPr>
      </w:pPr>
    </w:p>
    <w:p>
      <w:pPr>
        <w:spacing w:line="580" w:lineRule="exact"/>
        <w:ind w:firstLine="640" w:firstLineChars="200"/>
        <w:rPr>
          <w:rFonts w:ascii="黑体" w:eastAsia="黑体"/>
          <w:sz w:val="32"/>
          <w:szCs w:val="32"/>
        </w:rPr>
      </w:pPr>
      <w:r>
        <w:rPr>
          <w:rFonts w:hint="eastAsia" w:ascii="黑体" w:eastAsia="黑体"/>
          <w:sz w:val="32"/>
          <w:szCs w:val="32"/>
        </w:rPr>
        <w:t>一、项目概况</w:t>
      </w:r>
    </w:p>
    <w:p>
      <w:pPr>
        <w:spacing w:line="580" w:lineRule="exact"/>
        <w:ind w:firstLine="640" w:firstLineChars="200"/>
        <w:rPr>
          <w:rFonts w:ascii="楷体_GB2312" w:eastAsia="楷体_GB2312"/>
          <w:sz w:val="32"/>
          <w:szCs w:val="32"/>
        </w:rPr>
      </w:pPr>
      <w:r>
        <w:rPr>
          <w:rFonts w:hint="eastAsia" w:ascii="楷体_GB2312" w:eastAsia="楷体_GB2312"/>
          <w:sz w:val="32"/>
          <w:szCs w:val="32"/>
        </w:rPr>
        <w:t>（一）项目基本情况</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1．峨眉山市交通运输局监督指导该项目工作。</w:t>
      </w:r>
    </w:p>
    <w:p>
      <w:pPr>
        <w:spacing w:line="58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．制定了“峨眉山市公路养护站考核管理办法”、《峨眉山市公路养护段国省县乡道养护服务日常养护管理工作内容和考核细则》对该项目的资金进行管理，资金支持具体项目的条件、范围与支持方式概况。</w:t>
      </w:r>
    </w:p>
    <w:p>
      <w:pPr>
        <w:spacing w:line="580" w:lineRule="exact"/>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3</w:t>
      </w:r>
      <w:r>
        <w:rPr>
          <w:rFonts w:hint="eastAsia" w:ascii="仿宋_GB2312" w:eastAsia="仿宋_GB2312"/>
          <w:sz w:val="32"/>
          <w:szCs w:val="32"/>
        </w:rPr>
        <w:t>．根据国省县乡道养护标准分配使用资金。</w:t>
      </w:r>
    </w:p>
    <w:p>
      <w:pPr>
        <w:spacing w:line="580" w:lineRule="exact"/>
        <w:ind w:firstLine="640" w:firstLineChars="200"/>
        <w:rPr>
          <w:rFonts w:ascii="楷体_GB2312" w:eastAsia="楷体_GB2312"/>
          <w:sz w:val="32"/>
          <w:szCs w:val="32"/>
        </w:rPr>
      </w:pPr>
      <w:r>
        <w:rPr>
          <w:rFonts w:hint="eastAsia" w:ascii="楷体_GB2312" w:eastAsia="楷体_GB2312"/>
          <w:sz w:val="32"/>
          <w:szCs w:val="32"/>
        </w:rPr>
        <w:t>（二）项目绩效目标</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1．项目主要内容</w:t>
      </w:r>
      <w:r>
        <w:rPr>
          <w:rFonts w:hint="eastAsia" w:ascii="仿宋_GB2312" w:eastAsia="仿宋_GB2312"/>
          <w:sz w:val="32"/>
          <w:szCs w:val="32"/>
          <w:lang w:eastAsia="zh-CN"/>
        </w:rPr>
        <w:t>洒水车、扫地车运行</w:t>
      </w:r>
      <w:r>
        <w:rPr>
          <w:rFonts w:hint="eastAsia" w:ascii="仿宋_GB2312" w:eastAsia="仿宋_GB2312"/>
          <w:sz w:val="32"/>
          <w:szCs w:val="32"/>
        </w:rPr>
        <w:t>费。</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2．项目实行按月按实申请支付</w:t>
      </w:r>
      <w:r>
        <w:rPr>
          <w:rFonts w:hint="eastAsia" w:ascii="仿宋_GB2312" w:eastAsia="仿宋_GB2312"/>
          <w:sz w:val="32"/>
          <w:szCs w:val="32"/>
          <w:lang w:eastAsia="zh-CN"/>
        </w:rPr>
        <w:t>运行</w:t>
      </w:r>
      <w:r>
        <w:rPr>
          <w:rFonts w:hint="eastAsia" w:ascii="仿宋_GB2312" w:eastAsia="仿宋_GB2312"/>
          <w:sz w:val="32"/>
          <w:szCs w:val="32"/>
        </w:rPr>
        <w:t>费。</w:t>
      </w:r>
    </w:p>
    <w:p>
      <w:pPr>
        <w:spacing w:line="580" w:lineRule="exact"/>
        <w:ind w:firstLine="640" w:firstLineChars="200"/>
        <w:rPr>
          <w:rFonts w:hint="eastAsia" w:ascii="楷体_GB2312" w:eastAsia="楷体_GB2312"/>
          <w:sz w:val="32"/>
          <w:szCs w:val="32"/>
          <w:lang w:eastAsia="zh-CN"/>
        </w:rPr>
      </w:pPr>
      <w:r>
        <w:rPr>
          <w:rFonts w:hint="eastAsia" w:ascii="楷体_GB2312" w:eastAsia="楷体_GB2312"/>
          <w:sz w:val="32"/>
          <w:szCs w:val="32"/>
        </w:rPr>
        <w:t>（三）项目</w:t>
      </w:r>
      <w:r>
        <w:rPr>
          <w:rFonts w:hint="eastAsia" w:ascii="楷体_GB2312" w:eastAsia="楷体_GB2312"/>
          <w:sz w:val="32"/>
          <w:szCs w:val="32"/>
          <w:lang w:eastAsia="zh-CN"/>
        </w:rPr>
        <w:t>资金申报相符性</w:t>
      </w:r>
    </w:p>
    <w:p>
      <w:pPr>
        <w:spacing w:line="580" w:lineRule="exact"/>
        <w:ind w:firstLine="640" w:firstLineChars="200"/>
        <w:rPr>
          <w:rFonts w:hint="eastAsia" w:ascii="楷体_GB2312" w:eastAsia="楷体_GB2312"/>
          <w:sz w:val="32"/>
          <w:szCs w:val="32"/>
          <w:lang w:eastAsia="zh-CN"/>
        </w:rPr>
      </w:pPr>
      <w:r>
        <w:rPr>
          <w:rFonts w:hint="eastAsia" w:ascii="楷体_GB2312" w:eastAsia="楷体_GB2312"/>
          <w:sz w:val="32"/>
          <w:szCs w:val="32"/>
          <w:lang w:eastAsia="zh-CN"/>
        </w:rPr>
        <w:t>该项目申报内容与具体实施内容相符，申报目标合理可行。</w:t>
      </w:r>
    </w:p>
    <w:p>
      <w:pPr>
        <w:spacing w:line="580" w:lineRule="exact"/>
        <w:rPr>
          <w:rFonts w:ascii="黑体" w:eastAsia="黑体"/>
          <w:sz w:val="32"/>
          <w:szCs w:val="32"/>
        </w:rPr>
      </w:pPr>
      <w:r>
        <w:rPr>
          <w:rFonts w:hint="eastAsia" w:ascii="仿宋_GB2312" w:eastAsia="仿宋_GB2312"/>
          <w:sz w:val="32"/>
          <w:szCs w:val="32"/>
        </w:rPr>
        <w:t xml:space="preserve">    </w:t>
      </w:r>
      <w:r>
        <w:rPr>
          <w:rFonts w:hint="eastAsia" w:ascii="黑体" w:eastAsia="黑体"/>
          <w:sz w:val="32"/>
          <w:szCs w:val="32"/>
        </w:rPr>
        <w:t xml:space="preserve">二、项目资金申报及使用情况 </w:t>
      </w:r>
    </w:p>
    <w:p>
      <w:pPr>
        <w:spacing w:line="580" w:lineRule="exact"/>
        <w:ind w:firstLine="640" w:firstLineChars="200"/>
        <w:rPr>
          <w:rFonts w:ascii="楷体_GB2312" w:eastAsia="楷体_GB2312"/>
          <w:sz w:val="32"/>
          <w:szCs w:val="32"/>
        </w:rPr>
      </w:pPr>
      <w:r>
        <w:rPr>
          <w:rFonts w:hint="eastAsia" w:ascii="楷体_GB2312" w:eastAsia="楷体_GB2312"/>
          <w:sz w:val="32"/>
          <w:szCs w:val="32"/>
        </w:rPr>
        <w:t>（一）项目资金申报及批复情况</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该项目资金根据每月的用款额度向财政申报计划，由财政的相关业务股室审核批复。每半年对资金支付情况和预算资金进行比较分析做出相应的预算调整。</w:t>
      </w:r>
    </w:p>
    <w:p>
      <w:pPr>
        <w:spacing w:line="580" w:lineRule="exact"/>
        <w:ind w:firstLine="640" w:firstLineChars="200"/>
        <w:rPr>
          <w:rFonts w:ascii="楷体_GB2312" w:eastAsia="楷体_GB2312"/>
          <w:sz w:val="32"/>
          <w:szCs w:val="32"/>
        </w:rPr>
      </w:pPr>
      <w:r>
        <w:rPr>
          <w:rFonts w:hint="eastAsia" w:ascii="楷体_GB2312" w:eastAsia="楷体_GB2312"/>
          <w:sz w:val="32"/>
          <w:szCs w:val="32"/>
        </w:rPr>
        <w:t>（二）资金计划、到位及使用情况（可用表格形式反映）</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1．资金计划。每月初制定</w:t>
      </w:r>
      <w:r>
        <w:rPr>
          <w:rFonts w:hint="eastAsia" w:ascii="仿宋_GB2312" w:eastAsia="仿宋_GB2312"/>
          <w:sz w:val="32"/>
          <w:szCs w:val="32"/>
          <w:lang w:eastAsia="zh-CN"/>
        </w:rPr>
        <w:t>运行</w:t>
      </w:r>
      <w:r>
        <w:rPr>
          <w:rFonts w:hint="eastAsia" w:ascii="仿宋_GB2312" w:eastAsia="仿宋_GB2312"/>
          <w:sz w:val="32"/>
          <w:szCs w:val="32"/>
        </w:rPr>
        <w:t>费申报，财政审核拨付。</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2．资金到位。每月财政按时审核并拨付。</w:t>
      </w:r>
    </w:p>
    <w:p>
      <w:pPr>
        <w:widowControl/>
        <w:adjustRightInd w:val="0"/>
        <w:snapToGrid w:val="0"/>
        <w:spacing w:line="580" w:lineRule="exact"/>
        <w:ind w:firstLine="720"/>
        <w:jc w:val="left"/>
        <w:rPr>
          <w:rFonts w:hint="eastAsia" w:ascii="仿宋_GB2312" w:hAnsi="宋体" w:cs="宋体"/>
          <w:color w:val="000000"/>
          <w:kern w:val="0"/>
          <w:sz w:val="32"/>
          <w:szCs w:val="32"/>
          <w:shd w:val="clear" w:color="auto" w:fill="FFFFFF"/>
          <w:lang w:val="zh-CN"/>
        </w:rPr>
      </w:pPr>
      <w:r>
        <w:rPr>
          <w:rFonts w:hint="eastAsia" w:ascii="仿宋_GB2312" w:eastAsia="仿宋_GB2312"/>
          <w:sz w:val="32"/>
          <w:szCs w:val="32"/>
        </w:rPr>
        <w:t>3．资金使用。</w:t>
      </w:r>
      <w:r>
        <w:rPr>
          <w:rFonts w:hint="eastAsia" w:ascii="仿宋_GB2312" w:hAnsi="宋体" w:cs="宋体"/>
          <w:color w:val="000000"/>
          <w:kern w:val="0"/>
          <w:sz w:val="32"/>
          <w:szCs w:val="32"/>
          <w:shd w:val="clear" w:color="auto" w:fill="FFFFFF"/>
          <w:lang w:val="zh-CN"/>
        </w:rPr>
        <w:t>全年预算金额为</w:t>
      </w:r>
      <w:r>
        <w:rPr>
          <w:rFonts w:hint="eastAsia" w:ascii="仿宋_GB2312" w:hAnsi="宋体" w:cs="宋体"/>
          <w:color w:val="000000"/>
          <w:kern w:val="0"/>
          <w:sz w:val="32"/>
          <w:szCs w:val="32"/>
          <w:shd w:val="clear" w:color="auto" w:fill="FFFFFF"/>
          <w:lang w:val="en-US" w:eastAsia="zh-CN"/>
        </w:rPr>
        <w:t>120</w:t>
      </w:r>
      <w:r>
        <w:rPr>
          <w:rFonts w:hint="eastAsia" w:ascii="仿宋_GB2312" w:hAnsi="宋体" w:cs="宋体"/>
          <w:color w:val="000000"/>
          <w:kern w:val="0"/>
          <w:sz w:val="32"/>
          <w:szCs w:val="32"/>
          <w:shd w:val="clear" w:color="auto" w:fill="FFFFFF"/>
          <w:lang w:val="zh-CN"/>
        </w:rPr>
        <w:t>万元，支出</w:t>
      </w:r>
      <w:r>
        <w:rPr>
          <w:rFonts w:hint="eastAsia" w:ascii="仿宋_GB2312" w:hAnsi="宋体" w:cs="宋体"/>
          <w:color w:val="000000"/>
          <w:kern w:val="0"/>
          <w:sz w:val="32"/>
          <w:szCs w:val="32"/>
          <w:shd w:val="clear" w:color="auto" w:fill="FFFFFF"/>
          <w:lang w:val="en-US" w:eastAsia="zh-CN"/>
        </w:rPr>
        <w:t>119.72</w:t>
      </w:r>
      <w:r>
        <w:rPr>
          <w:rFonts w:hint="eastAsia" w:ascii="仿宋_GB2312" w:hAnsi="宋体" w:cs="宋体"/>
          <w:color w:val="000000"/>
          <w:kern w:val="0"/>
          <w:sz w:val="32"/>
          <w:szCs w:val="32"/>
          <w:shd w:val="clear" w:color="auto" w:fill="FFFFFF"/>
          <w:lang w:val="zh-CN"/>
        </w:rPr>
        <w:t>万。</w:t>
      </w:r>
    </w:p>
    <w:p>
      <w:pPr>
        <w:spacing w:line="580" w:lineRule="exact"/>
        <w:ind w:firstLine="640" w:firstLineChars="200"/>
        <w:rPr>
          <w:rFonts w:ascii="楷体_GB2312" w:eastAsia="楷体_GB2312"/>
          <w:sz w:val="32"/>
          <w:szCs w:val="32"/>
        </w:rPr>
      </w:pPr>
      <w:r>
        <w:rPr>
          <w:rFonts w:hint="eastAsia" w:ascii="楷体_GB2312" w:eastAsia="楷体_GB2312"/>
          <w:sz w:val="32"/>
          <w:szCs w:val="32"/>
        </w:rPr>
        <w:t>（三）项目财务管理情况</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我单位健全总体评价各项目实施单位财务管理制度，严格执行财务管理制度，及时进行账务处理，规范会计核算工作。</w:t>
      </w:r>
    </w:p>
    <w:p>
      <w:pPr>
        <w:spacing w:line="580" w:lineRule="exact"/>
        <w:ind w:firstLine="640" w:firstLineChars="200"/>
        <w:rPr>
          <w:rFonts w:ascii="黑体" w:eastAsia="黑体"/>
          <w:sz w:val="32"/>
          <w:szCs w:val="32"/>
        </w:rPr>
      </w:pPr>
      <w:r>
        <w:rPr>
          <w:rFonts w:hint="eastAsia" w:ascii="黑体" w:eastAsia="黑体"/>
          <w:sz w:val="32"/>
          <w:szCs w:val="32"/>
        </w:rPr>
        <w:t>三、项目实施及管理情况</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我单位对扫地车、洒水车项目组织实施管理办法具体如下</w:t>
      </w:r>
    </w:p>
    <w:p>
      <w:pPr>
        <w:spacing w:line="580" w:lineRule="exact"/>
        <w:ind w:firstLine="640" w:firstLineChars="200"/>
        <w:rPr>
          <w:rFonts w:ascii="楷体_GB2312" w:eastAsia="楷体_GB2312"/>
          <w:sz w:val="32"/>
          <w:szCs w:val="32"/>
        </w:rPr>
      </w:pPr>
      <w:r>
        <w:rPr>
          <w:rFonts w:hint="eastAsia" w:ascii="楷体_GB2312" w:eastAsia="楷体_GB2312"/>
          <w:sz w:val="32"/>
          <w:szCs w:val="32"/>
        </w:rPr>
        <w:t>（一）项目组织架构及实施流程</w:t>
      </w:r>
    </w:p>
    <w:p>
      <w:pPr>
        <w:spacing w:line="580" w:lineRule="exact"/>
        <w:ind w:firstLine="640" w:firstLineChars="200"/>
        <w:rPr>
          <w:rFonts w:ascii="楷体_GB2312" w:eastAsia="楷体_GB2312"/>
          <w:sz w:val="32"/>
          <w:szCs w:val="32"/>
        </w:rPr>
      </w:pPr>
      <w:r>
        <w:rPr>
          <w:rFonts w:hint="eastAsia" w:ascii="楷体_GB2312" w:eastAsia="楷体_GB2312"/>
          <w:sz w:val="32"/>
          <w:szCs w:val="32"/>
        </w:rPr>
        <w:t>该项目经费支出包括</w:t>
      </w:r>
      <w:r>
        <w:rPr>
          <w:rFonts w:hint="eastAsia" w:ascii="楷体_GB2312" w:eastAsia="楷体_GB2312"/>
          <w:sz w:val="32"/>
          <w:szCs w:val="32"/>
          <w:lang w:eastAsia="zh-CN"/>
        </w:rPr>
        <w:t>扫地车、洒水车油费、维修费、保险费</w:t>
      </w:r>
      <w:r>
        <w:rPr>
          <w:rFonts w:hint="eastAsia" w:ascii="楷体_GB2312" w:eastAsia="楷体_GB2312"/>
          <w:sz w:val="32"/>
          <w:szCs w:val="32"/>
        </w:rPr>
        <w:t>费</w:t>
      </w:r>
      <w:r>
        <w:rPr>
          <w:rFonts w:hint="eastAsia" w:ascii="楷体_GB2312" w:eastAsia="楷体_GB2312"/>
          <w:sz w:val="32"/>
          <w:szCs w:val="32"/>
          <w:lang w:eastAsia="zh-CN"/>
        </w:rPr>
        <w:t>及洗车费</w:t>
      </w:r>
      <w:r>
        <w:rPr>
          <w:rFonts w:hint="eastAsia" w:ascii="楷体_GB2312" w:eastAsia="楷体_GB2312"/>
          <w:sz w:val="32"/>
          <w:szCs w:val="32"/>
        </w:rPr>
        <w:t>。</w:t>
      </w:r>
    </w:p>
    <w:p>
      <w:pPr>
        <w:spacing w:line="580" w:lineRule="exact"/>
        <w:ind w:firstLine="640" w:firstLineChars="200"/>
        <w:rPr>
          <w:rFonts w:ascii="楷体_GB2312" w:eastAsia="楷体_GB2312"/>
          <w:sz w:val="32"/>
          <w:szCs w:val="32"/>
        </w:rPr>
      </w:pPr>
      <w:r>
        <w:rPr>
          <w:rFonts w:hint="eastAsia" w:ascii="楷体_GB2312" w:eastAsia="楷体_GB2312"/>
          <w:sz w:val="32"/>
          <w:szCs w:val="32"/>
        </w:rPr>
        <w:t>（二）项目管理情况</w:t>
      </w:r>
    </w:p>
    <w:p>
      <w:pPr>
        <w:spacing w:line="580" w:lineRule="exact"/>
        <w:ind w:firstLine="640" w:firstLineChars="200"/>
        <w:rPr>
          <w:rFonts w:ascii="仿宋_GB2312" w:eastAsia="仿宋_GB2312"/>
          <w:sz w:val="32"/>
          <w:szCs w:val="32"/>
        </w:rPr>
      </w:pPr>
      <w:r>
        <w:rPr>
          <w:rFonts w:hint="eastAsia" w:ascii="仿宋_GB2312" w:eastAsia="仿宋_GB2312"/>
          <w:sz w:val="32"/>
          <w:szCs w:val="32"/>
          <w:lang w:eastAsia="zh-CN"/>
        </w:rPr>
        <w:t>按照中心</w:t>
      </w:r>
      <w:r>
        <w:rPr>
          <w:rFonts w:hint="eastAsia" w:ascii="仿宋_GB2312" w:eastAsia="仿宋_GB2312"/>
          <w:sz w:val="32"/>
          <w:szCs w:val="32"/>
        </w:rPr>
        <w:t>制定“养护管理办法”和“养护考核管理办法”</w:t>
      </w:r>
      <w:r>
        <w:rPr>
          <w:rFonts w:hint="eastAsia" w:ascii="仿宋_GB2312" w:eastAsia="仿宋_GB2312"/>
          <w:sz w:val="32"/>
          <w:szCs w:val="32"/>
          <w:lang w:eastAsia="zh-CN"/>
        </w:rPr>
        <w:t>规定，</w:t>
      </w:r>
      <w:r>
        <w:rPr>
          <w:rFonts w:hint="eastAsia" w:ascii="仿宋_GB2312" w:eastAsia="仿宋_GB2312"/>
          <w:sz w:val="32"/>
          <w:szCs w:val="32"/>
        </w:rPr>
        <w:t>采取对</w:t>
      </w:r>
      <w:r>
        <w:rPr>
          <w:rFonts w:hint="eastAsia" w:ascii="仿宋_GB2312" w:eastAsia="仿宋_GB2312"/>
          <w:sz w:val="32"/>
          <w:szCs w:val="32"/>
          <w:lang w:eastAsia="zh-CN"/>
        </w:rPr>
        <w:t>国省县干线道</w:t>
      </w:r>
      <w:r>
        <w:rPr>
          <w:rFonts w:hint="eastAsia" w:ascii="仿宋_GB2312" w:eastAsia="仿宋_GB2312"/>
          <w:sz w:val="32"/>
          <w:szCs w:val="32"/>
        </w:rPr>
        <w:t>路进行</w:t>
      </w:r>
      <w:r>
        <w:rPr>
          <w:rFonts w:hint="eastAsia" w:ascii="仿宋_GB2312" w:eastAsia="仿宋_GB2312"/>
          <w:sz w:val="32"/>
          <w:szCs w:val="32"/>
          <w:lang w:eastAsia="zh-CN"/>
        </w:rPr>
        <w:t>日常</w:t>
      </w:r>
      <w:r>
        <w:rPr>
          <w:rFonts w:hint="eastAsia" w:ascii="仿宋_GB2312" w:eastAsia="仿宋_GB2312"/>
          <w:sz w:val="32"/>
          <w:szCs w:val="32"/>
        </w:rPr>
        <w:t>养护</w:t>
      </w:r>
      <w:r>
        <w:rPr>
          <w:rFonts w:hint="eastAsia" w:ascii="仿宋_GB2312" w:eastAsia="仿宋_GB2312"/>
          <w:sz w:val="32"/>
          <w:szCs w:val="32"/>
          <w:lang w:eastAsia="zh-CN"/>
        </w:rPr>
        <w:t>和洒水降尘，确保道路安全、畅通、整洁</w:t>
      </w:r>
      <w:r>
        <w:rPr>
          <w:rFonts w:hint="eastAsia" w:ascii="仿宋_GB2312" w:eastAsia="仿宋_GB2312"/>
          <w:sz w:val="32"/>
          <w:szCs w:val="32"/>
        </w:rPr>
        <w:t>。</w:t>
      </w:r>
    </w:p>
    <w:p>
      <w:pPr>
        <w:spacing w:line="580" w:lineRule="exact"/>
        <w:ind w:firstLine="640" w:firstLineChars="200"/>
        <w:rPr>
          <w:rFonts w:ascii="楷体_GB2312" w:eastAsia="楷体_GB2312"/>
          <w:sz w:val="32"/>
          <w:szCs w:val="32"/>
        </w:rPr>
      </w:pPr>
      <w:r>
        <w:rPr>
          <w:rFonts w:hint="eastAsia" w:ascii="楷体_GB2312" w:eastAsia="楷体_GB2312"/>
          <w:sz w:val="32"/>
          <w:szCs w:val="32"/>
        </w:rPr>
        <w:t>（三）项目监管情况</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峨眉山市交通运输局为加强对</w:t>
      </w:r>
      <w:r>
        <w:rPr>
          <w:rFonts w:hint="eastAsia" w:ascii="仿宋_GB2312" w:eastAsia="仿宋_GB2312"/>
          <w:sz w:val="32"/>
          <w:szCs w:val="32"/>
          <w:lang w:eastAsia="zh-CN"/>
        </w:rPr>
        <w:t>扫地车、洒水车运行</w:t>
      </w:r>
      <w:r>
        <w:rPr>
          <w:rFonts w:hint="eastAsia" w:ascii="仿宋_GB2312" w:eastAsia="仿宋_GB2312"/>
          <w:sz w:val="32"/>
          <w:szCs w:val="32"/>
        </w:rPr>
        <w:t>费项目管理随时抽查资金支付情况。</w:t>
      </w:r>
    </w:p>
    <w:p>
      <w:pPr>
        <w:spacing w:line="580" w:lineRule="exact"/>
        <w:ind w:firstLine="640" w:firstLineChars="200"/>
        <w:rPr>
          <w:rFonts w:ascii="黑体" w:eastAsia="黑体"/>
          <w:sz w:val="32"/>
          <w:szCs w:val="32"/>
        </w:rPr>
      </w:pPr>
      <w:r>
        <w:rPr>
          <w:rFonts w:hint="eastAsia" w:ascii="黑体" w:eastAsia="黑体"/>
          <w:sz w:val="32"/>
          <w:szCs w:val="32"/>
        </w:rPr>
        <w:t>四、项目绩效情况</w:t>
      </w:r>
    </w:p>
    <w:p>
      <w:pPr>
        <w:spacing w:line="580" w:lineRule="exact"/>
        <w:ind w:firstLine="640" w:firstLineChars="200"/>
        <w:rPr>
          <w:rFonts w:ascii="楷体_GB2312" w:eastAsia="楷体_GB2312"/>
          <w:sz w:val="32"/>
          <w:szCs w:val="32"/>
        </w:rPr>
      </w:pPr>
      <w:r>
        <w:rPr>
          <w:rFonts w:hint="eastAsia" w:ascii="楷体_GB2312" w:eastAsia="楷体_GB2312"/>
          <w:sz w:val="32"/>
          <w:szCs w:val="32"/>
        </w:rPr>
        <w:t xml:space="preserve">（一）项目完成情况 </w:t>
      </w:r>
    </w:p>
    <w:p>
      <w:pPr>
        <w:spacing w:line="580" w:lineRule="exact"/>
        <w:ind w:firstLine="640" w:firstLineChars="200"/>
        <w:rPr>
          <w:rFonts w:ascii="仿宋_GB2312" w:eastAsia="仿宋_GB2312"/>
          <w:sz w:val="32"/>
          <w:szCs w:val="32"/>
        </w:rPr>
      </w:pPr>
      <w:r>
        <w:rPr>
          <w:rFonts w:hint="eastAsia" w:ascii="仿宋_GB2312" w:eastAsia="仿宋_GB2312"/>
          <w:sz w:val="32"/>
          <w:szCs w:val="32"/>
          <w:lang w:eastAsia="zh-CN"/>
        </w:rPr>
        <w:t>公路养护及绿化维护达到预期效果，路面清洁、沿线设施清洁、绿化带整齐美观、确保道路畅通，减少路面粉尘。</w:t>
      </w:r>
      <w:r>
        <w:rPr>
          <w:rFonts w:hint="eastAsia" w:ascii="仿宋_GB2312" w:eastAsia="仿宋_GB2312"/>
          <w:sz w:val="32"/>
          <w:szCs w:val="32"/>
        </w:rPr>
        <w:t>项目按照</w:t>
      </w:r>
      <w:r>
        <w:rPr>
          <w:rFonts w:hint="eastAsia" w:ascii="仿宋_GB2312" w:eastAsia="仿宋_GB2312"/>
          <w:sz w:val="32"/>
          <w:szCs w:val="32"/>
          <w:lang w:eastAsia="zh-CN"/>
        </w:rPr>
        <w:t>上班制度按时出勤作业</w:t>
      </w:r>
      <w:r>
        <w:rPr>
          <w:rFonts w:hint="eastAsia" w:ascii="仿宋_GB2312" w:eastAsia="仿宋_GB2312"/>
          <w:sz w:val="32"/>
          <w:szCs w:val="32"/>
        </w:rPr>
        <w:t>进行，全面完成</w:t>
      </w:r>
      <w:r>
        <w:rPr>
          <w:rFonts w:hint="eastAsia" w:ascii="仿宋_GB2312" w:eastAsia="仿宋_GB2312"/>
          <w:sz w:val="32"/>
          <w:szCs w:val="32"/>
          <w:lang w:eastAsia="zh-CN"/>
        </w:rPr>
        <w:t>上级交给的任务</w:t>
      </w:r>
      <w:r>
        <w:rPr>
          <w:rFonts w:hint="eastAsia" w:ascii="仿宋_GB2312" w:eastAsia="仿宋_GB2312"/>
          <w:sz w:val="32"/>
          <w:szCs w:val="32"/>
        </w:rPr>
        <w:t xml:space="preserve">。 </w:t>
      </w:r>
    </w:p>
    <w:p>
      <w:pPr>
        <w:spacing w:line="580" w:lineRule="exact"/>
        <w:ind w:firstLine="640" w:firstLineChars="200"/>
        <w:rPr>
          <w:rFonts w:ascii="楷体_GB2312" w:eastAsia="楷体_GB2312"/>
          <w:sz w:val="32"/>
          <w:szCs w:val="32"/>
        </w:rPr>
      </w:pPr>
      <w:r>
        <w:rPr>
          <w:rFonts w:hint="eastAsia" w:ascii="楷体_GB2312" w:eastAsia="楷体_GB2312"/>
          <w:sz w:val="32"/>
          <w:szCs w:val="32"/>
        </w:rPr>
        <w:t xml:space="preserve">（二）项目效益情况 </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lang w:val="en-US" w:eastAsia="zh-CN"/>
        </w:rPr>
      </w:pPr>
      <w:r>
        <w:rPr>
          <w:rFonts w:hint="eastAsia" w:ascii="仿宋_GB2312" w:eastAsia="仿宋_GB2312"/>
          <w:sz w:val="32"/>
          <w:szCs w:val="32"/>
          <w:lang w:eastAsia="zh-CN"/>
        </w:rPr>
        <w:t>确保了公路正常的运行，保证了公路的畅通性，保持路面的整洁，确保了公路的畅通和安全性，保证公路周边的环境，提升了峨眉山市的市容市貌，增强了峨眉山市对外的美好形象。</w:t>
      </w:r>
      <w:r>
        <w:rPr>
          <w:rFonts w:hint="eastAsia" w:ascii="仿宋_GB2312" w:eastAsia="仿宋_GB2312"/>
          <w:sz w:val="32"/>
          <w:szCs w:val="32"/>
        </w:rPr>
        <w:t>保障管养道路整洁畅通，社会满意度较高。</w:t>
      </w:r>
    </w:p>
    <w:p>
      <w:pPr>
        <w:pStyle w:val="2"/>
        <w:spacing w:before="93"/>
        <w:rPr>
          <w:rFonts w:hAnsi="Calibri" w:cs="仿宋"/>
          <w:sz w:val="32"/>
          <w:szCs w:val="32"/>
        </w:rPr>
      </w:pPr>
    </w:p>
    <w:p>
      <w:pPr>
        <w:rPr>
          <w:rFonts w:hAnsi="Calibri" w:cs="仿宋"/>
          <w:sz w:val="32"/>
          <w:szCs w:val="32"/>
        </w:rPr>
      </w:pPr>
    </w:p>
    <w:p>
      <w:pPr>
        <w:pStyle w:val="2"/>
        <w:rPr>
          <w:rFonts w:hAnsi="Calibri" w:cs="仿宋"/>
          <w:sz w:val="32"/>
          <w:szCs w:val="32"/>
        </w:rPr>
      </w:pPr>
    </w:p>
    <w:p>
      <w:pPr>
        <w:rPr>
          <w:rFonts w:hAnsi="Calibri" w:cs="仿宋"/>
          <w:sz w:val="32"/>
          <w:szCs w:val="32"/>
        </w:rPr>
      </w:pPr>
    </w:p>
    <w:p>
      <w:pPr>
        <w:pStyle w:val="2"/>
        <w:rPr>
          <w:rFonts w:hAnsi="Calibri" w:cs="仿宋"/>
          <w:sz w:val="32"/>
          <w:szCs w:val="32"/>
        </w:rPr>
      </w:pPr>
    </w:p>
    <w:p>
      <w:pPr>
        <w:rPr>
          <w:rFonts w:hAnsi="Calibri" w:cs="仿宋"/>
          <w:sz w:val="32"/>
          <w:szCs w:val="32"/>
        </w:rPr>
      </w:pPr>
    </w:p>
    <w:p>
      <w:pPr>
        <w:pStyle w:val="2"/>
        <w:rPr>
          <w:rFonts w:hAnsi="Calibri" w:cs="仿宋"/>
          <w:sz w:val="32"/>
          <w:szCs w:val="32"/>
        </w:rPr>
      </w:pPr>
    </w:p>
    <w:p>
      <w:pPr>
        <w:rPr>
          <w:rFonts w:hAnsi="Calibri" w:cs="仿宋"/>
          <w:sz w:val="32"/>
          <w:szCs w:val="32"/>
        </w:rPr>
      </w:pPr>
    </w:p>
    <w:p>
      <w:pPr>
        <w:pStyle w:val="2"/>
        <w:rPr>
          <w:rFonts w:hAnsi="Calibri" w:cs="仿宋"/>
          <w:sz w:val="32"/>
          <w:szCs w:val="32"/>
        </w:rPr>
      </w:pPr>
    </w:p>
    <w:p>
      <w:pPr>
        <w:rPr>
          <w:rFonts w:hAnsi="Calibri" w:cs="仿宋"/>
          <w:sz w:val="32"/>
          <w:szCs w:val="32"/>
        </w:rPr>
      </w:pPr>
    </w:p>
    <w:p>
      <w:pPr>
        <w:pStyle w:val="2"/>
        <w:rPr>
          <w:rFonts w:hAnsi="Calibri" w:cs="仿宋"/>
          <w:sz w:val="32"/>
          <w:szCs w:val="32"/>
        </w:rPr>
      </w:pPr>
    </w:p>
    <w:p>
      <w:pPr>
        <w:rPr>
          <w:rFonts w:hint="default" w:eastAsia="宋体"/>
          <w:lang w:val="en-US" w:eastAsia="zh-CN"/>
        </w:rPr>
      </w:pPr>
      <w:r>
        <w:rPr>
          <w:rFonts w:hint="eastAsia" w:hAnsi="Calibri" w:cs="仿宋"/>
          <w:sz w:val="32"/>
          <w:szCs w:val="32"/>
          <w:lang w:val="en-US" w:eastAsia="zh-CN"/>
        </w:rPr>
        <w:t>附件6-2</w:t>
      </w:r>
    </w:p>
    <w:p>
      <w:pPr>
        <w:pStyle w:val="2"/>
        <w:spacing w:before="93" w:line="600" w:lineRule="exact"/>
        <w:jc w:val="center"/>
        <w:rPr>
          <w:rFonts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rPr>
        <w:t>2021年特定目标类部门预算项目绩效</w:t>
      </w:r>
    </w:p>
    <w:p>
      <w:pPr>
        <w:pStyle w:val="2"/>
        <w:spacing w:before="93" w:line="600" w:lineRule="exact"/>
        <w:jc w:val="center"/>
        <w:rPr>
          <w:rFonts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b/>
          <w:sz w:val="44"/>
          <w:szCs w:val="44"/>
        </w:rPr>
        <w:t>目标自评</w:t>
      </w:r>
    </w:p>
    <w:tbl>
      <w:tblPr>
        <w:tblStyle w:val="13"/>
        <w:tblpPr w:leftFromText="180" w:rightFromText="180" w:vertAnchor="text" w:horzAnchor="page" w:tblpXSpec="center" w:tblpY="276"/>
        <w:tblOverlap w:val="never"/>
        <w:tblW w:w="9049" w:type="dxa"/>
        <w:jc w:val="center"/>
        <w:tblLayout w:type="fixed"/>
        <w:tblCellMar>
          <w:top w:w="0" w:type="dxa"/>
          <w:left w:w="108" w:type="dxa"/>
          <w:bottom w:w="0" w:type="dxa"/>
          <w:right w:w="108" w:type="dxa"/>
        </w:tblCellMar>
      </w:tblPr>
      <w:tblGrid>
        <w:gridCol w:w="1815"/>
        <w:gridCol w:w="1068"/>
        <w:gridCol w:w="2232"/>
        <w:gridCol w:w="1031"/>
        <w:gridCol w:w="1369"/>
        <w:gridCol w:w="1534"/>
      </w:tblGrid>
      <w:tr>
        <w:tblPrEx>
          <w:tblCellMar>
            <w:top w:w="0" w:type="dxa"/>
            <w:left w:w="108" w:type="dxa"/>
            <w:bottom w:w="0" w:type="dxa"/>
            <w:right w:w="108" w:type="dxa"/>
          </w:tblCellMar>
        </w:tblPrEx>
        <w:trPr>
          <w:trHeight w:val="254" w:hRule="atLeast"/>
          <w:jc w:val="center"/>
        </w:trPr>
        <w:tc>
          <w:tcPr>
            <w:tcW w:w="2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主管部门及代码</w:t>
            </w:r>
          </w:p>
        </w:tc>
        <w:tc>
          <w:tcPr>
            <w:tcW w:w="3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峨眉山市交通运输局</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实施单位</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峨眉山</w:t>
            </w:r>
            <w:r>
              <w:rPr>
                <w:rFonts w:hint="eastAsia" w:ascii="仿宋_GB2312" w:hAnsi="仿宋_GB2312" w:eastAsia="仿宋_GB2312" w:cs="仿宋_GB2312"/>
                <w:sz w:val="28"/>
                <w:szCs w:val="28"/>
                <w:lang w:val="en-US" w:eastAsia="zh-CN"/>
              </w:rPr>
              <w:t>交通建设和运输</w:t>
            </w:r>
            <w:r>
              <w:rPr>
                <w:rFonts w:hint="eastAsia" w:ascii="仿宋_GB2312" w:hAnsi="仿宋_GB2312" w:eastAsia="仿宋_GB2312" w:cs="仿宋_GB2312"/>
                <w:sz w:val="28"/>
                <w:szCs w:val="28"/>
              </w:rPr>
              <w:t>中心</w:t>
            </w:r>
          </w:p>
        </w:tc>
      </w:tr>
      <w:tr>
        <w:tblPrEx>
          <w:tblCellMar>
            <w:top w:w="0" w:type="dxa"/>
            <w:left w:w="108" w:type="dxa"/>
            <w:bottom w:w="0" w:type="dxa"/>
            <w:right w:w="108" w:type="dxa"/>
          </w:tblCellMar>
        </w:tblPrEx>
        <w:trPr>
          <w:trHeight w:val="341" w:hRule="atLeast"/>
          <w:jc w:val="center"/>
        </w:trPr>
        <w:tc>
          <w:tcPr>
            <w:tcW w:w="28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项目预算</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执行情况</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（万元）</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预算数：</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120</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执行数：</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119.72</w:t>
            </w:r>
          </w:p>
        </w:tc>
      </w:tr>
      <w:tr>
        <w:tblPrEx>
          <w:tblCellMar>
            <w:top w:w="0" w:type="dxa"/>
            <w:left w:w="108" w:type="dxa"/>
            <w:bottom w:w="0" w:type="dxa"/>
            <w:right w:w="108" w:type="dxa"/>
          </w:tblCellMar>
        </w:tblPrEx>
        <w:trPr>
          <w:trHeight w:val="555" w:hRule="atLeast"/>
          <w:jc w:val="center"/>
        </w:trPr>
        <w:tc>
          <w:tcPr>
            <w:tcW w:w="28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120</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119.72</w:t>
            </w:r>
          </w:p>
        </w:tc>
      </w:tr>
      <w:tr>
        <w:tblPrEx>
          <w:tblCellMar>
            <w:top w:w="0" w:type="dxa"/>
            <w:left w:w="108" w:type="dxa"/>
            <w:bottom w:w="0" w:type="dxa"/>
            <w:right w:w="108" w:type="dxa"/>
          </w:tblCellMar>
        </w:tblPrEx>
        <w:trPr>
          <w:trHeight w:val="341" w:hRule="atLeast"/>
          <w:jc w:val="center"/>
        </w:trPr>
        <w:tc>
          <w:tcPr>
            <w:tcW w:w="28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45" w:hRule="atLeast"/>
          <w:jc w:val="center"/>
        </w:trPr>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年度总体目标</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完成情况</w:t>
            </w:r>
          </w:p>
        </w:tc>
        <w:tc>
          <w:tcPr>
            <w:tcW w:w="43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预期目标</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目标实际完成情况</w:t>
            </w:r>
          </w:p>
        </w:tc>
      </w:tr>
      <w:tr>
        <w:tblPrEx>
          <w:tblCellMar>
            <w:top w:w="0" w:type="dxa"/>
            <w:left w:w="108" w:type="dxa"/>
            <w:bottom w:w="0" w:type="dxa"/>
            <w:right w:w="108" w:type="dxa"/>
          </w:tblCellMar>
        </w:tblPrEx>
        <w:trPr>
          <w:trHeight w:val="387" w:hRule="atLeast"/>
          <w:jc w:val="center"/>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43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ascii="仿宋_GB2312" w:hAnsi="仿宋_GB2312" w:eastAsia="仿宋_GB2312" w:cs="仿宋_GB2312"/>
                <w:sz w:val="28"/>
                <w:szCs w:val="28"/>
              </w:rPr>
            </w:pPr>
            <w:r>
              <w:rPr>
                <w:rFonts w:hint="eastAsia" w:ascii="仿宋_GB2312" w:hAnsi="仿宋_GB2312" w:eastAsia="仿宋_GB2312" w:cs="仿宋_GB2312"/>
                <w:sz w:val="28"/>
                <w:szCs w:val="28"/>
              </w:rPr>
              <w:t>对国省县干线道路进行日常养护和洒水降尘，确保道路安全、畅通、整洁</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ascii="仿宋_GB2312" w:hAnsi="仿宋_GB2312" w:eastAsia="仿宋_GB2312" w:cs="仿宋_GB2312"/>
                <w:sz w:val="28"/>
                <w:szCs w:val="28"/>
              </w:rPr>
            </w:pPr>
            <w:r>
              <w:rPr>
                <w:rFonts w:hint="eastAsia" w:ascii="仿宋_GB2312" w:hAnsi="仿宋_GB2312" w:eastAsia="仿宋_GB2312" w:cs="仿宋_GB2312"/>
                <w:sz w:val="28"/>
                <w:szCs w:val="28"/>
              </w:rPr>
              <w:t>完成</w:t>
            </w:r>
          </w:p>
        </w:tc>
      </w:tr>
      <w:tr>
        <w:tblPrEx>
          <w:tblCellMar>
            <w:top w:w="0" w:type="dxa"/>
            <w:left w:w="108" w:type="dxa"/>
            <w:bottom w:w="0" w:type="dxa"/>
            <w:right w:w="108" w:type="dxa"/>
          </w:tblCellMar>
        </w:tblPrEx>
        <w:trPr>
          <w:trHeight w:val="693" w:hRule="atLeast"/>
          <w:jc w:val="center"/>
        </w:trPr>
        <w:tc>
          <w:tcPr>
            <w:tcW w:w="1815"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年度绩效指标完成情况</w:t>
            </w:r>
          </w:p>
        </w:tc>
        <w:tc>
          <w:tcPr>
            <w:tcW w:w="1068"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预期指标值</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实际完成指标值</w:t>
            </w:r>
          </w:p>
        </w:tc>
      </w:tr>
      <w:tr>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数量指标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质量指标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时效指标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355"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成本指标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18"/>
                <w:szCs w:val="18"/>
              </w:rPr>
              <w:t>使用资金</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120</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119.72</w:t>
            </w:r>
          </w:p>
        </w:tc>
      </w:tr>
      <w:tr>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效益</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经济效益指标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带动旅游</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好</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较好</w:t>
            </w:r>
          </w:p>
        </w:tc>
      </w:tr>
      <w:tr>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社会效益指标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18"/>
                <w:szCs w:val="1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577"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生态效益指标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路面清洁</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清洁</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清洁</w:t>
            </w:r>
          </w:p>
        </w:tc>
      </w:tr>
      <w:tr>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可持续影响指标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18"/>
                <w:szCs w:val="1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530" w:hRule="atLeast"/>
          <w:jc w:val="center"/>
        </w:trPr>
        <w:tc>
          <w:tcPr>
            <w:tcW w:w="1815"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满意度指标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满意度</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群众满意</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满意</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满意</w:t>
            </w:r>
          </w:p>
        </w:tc>
      </w:tr>
    </w:tbl>
    <w:p>
      <w:pPr>
        <w:spacing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注：有两个及以上100万元以上（含）特定目标类部门预算项目的，需分别开展绩效目标自评并填写附表;100万元以下的特定目标类部门预算项目，项目数在5个以内的据实分别开展绩效目标自评并填写附表，达到或超过5个的至少选择5个分别开展绩效目标自评并填写附表）</w:t>
      </w:r>
    </w:p>
    <w:p>
      <w:pPr>
        <w:rPr>
          <w:rFonts w:hAnsi="Calibri" w:cs="仿宋"/>
          <w:sz w:val="32"/>
          <w:szCs w:val="32"/>
        </w:rPr>
      </w:pPr>
    </w:p>
    <w:p>
      <w:pPr>
        <w:rPr>
          <w:rFonts w:hint="default" w:hAnsi="Calibri" w:cs="仿宋"/>
          <w:sz w:val="32"/>
          <w:szCs w:val="32"/>
          <w:lang w:val="en-US" w:eastAsia="zh-CN"/>
        </w:rPr>
      </w:pPr>
      <w:r>
        <w:rPr>
          <w:rFonts w:hint="eastAsia" w:hAnsi="Calibri" w:cs="仿宋"/>
          <w:sz w:val="32"/>
          <w:szCs w:val="32"/>
          <w:lang w:val="en-US" w:eastAsia="zh-CN"/>
        </w:rPr>
        <w:t>附件7-1</w:t>
      </w:r>
    </w:p>
    <w:p>
      <w:pPr>
        <w:jc w:val="center"/>
        <w:rPr>
          <w:rFonts w:ascii="宋体" w:hAnsi="宋体" w:eastAsia="宋体" w:cs="宋体"/>
          <w:b/>
          <w:sz w:val="36"/>
          <w:szCs w:val="44"/>
        </w:rPr>
      </w:pPr>
      <w:r>
        <w:rPr>
          <w:rFonts w:hint="eastAsia" w:ascii="Arial" w:hAnsi="Arial" w:eastAsia="宋体" w:cs="Arial"/>
          <w:b/>
          <w:sz w:val="36"/>
          <w:szCs w:val="44"/>
          <w:lang w:val="en-US" w:eastAsia="zh-CN"/>
        </w:rPr>
        <w:t>节能减排补助资金（节能与新能源公交车运营补助）</w:t>
      </w:r>
      <w:r>
        <w:rPr>
          <w:rFonts w:hint="eastAsia" w:ascii="Arial" w:hAnsi="Arial" w:eastAsia="宋体" w:cs="Arial"/>
          <w:b/>
          <w:sz w:val="36"/>
          <w:szCs w:val="44"/>
        </w:rPr>
        <w:t>202</w:t>
      </w:r>
      <w:r>
        <w:rPr>
          <w:rFonts w:hint="eastAsia" w:ascii="Arial" w:hAnsi="Arial" w:eastAsia="宋体" w:cs="Arial"/>
          <w:b/>
          <w:sz w:val="36"/>
          <w:szCs w:val="44"/>
          <w:lang w:val="en-US" w:eastAsia="zh-CN"/>
        </w:rPr>
        <w:t>2</w:t>
      </w:r>
      <w:r>
        <w:rPr>
          <w:rFonts w:hint="eastAsia" w:ascii="宋体" w:hAnsi="宋体" w:eastAsia="宋体" w:cs="宋体"/>
          <w:b/>
          <w:sz w:val="36"/>
          <w:szCs w:val="44"/>
        </w:rPr>
        <w:t>年度绩效自评报告</w:t>
      </w:r>
    </w:p>
    <w:p>
      <w:pPr>
        <w:jc w:val="center"/>
        <w:rPr>
          <w:rFonts w:ascii="仿宋_GB2312"/>
          <w:szCs w:val="32"/>
        </w:rPr>
      </w:pPr>
    </w:p>
    <w:p>
      <w:pPr>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一、绩效目标分解下达情况</w:t>
      </w:r>
    </w:p>
    <w:p>
      <w:pPr>
        <w:tabs>
          <w:tab w:val="left" w:pos="7080"/>
        </w:tabs>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四川省财政厅 四川交通厅关于下达2021年节能减排补助资金（节能与新能源公交车运营补助）的通知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川财政</w:t>
      </w:r>
      <w:r>
        <w:rPr>
          <w:rFonts w:hint="eastAsia" w:ascii="仿宋_GB2312" w:hAnsi="仿宋_GB2312" w:eastAsia="仿宋_GB2312" w:cs="仿宋_GB2312"/>
          <w:sz w:val="32"/>
          <w:szCs w:val="32"/>
        </w:rPr>
        <w:t>建【202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346</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精神，下达我中心2021年节能减排补助资金（节能与新能源公交车运营补助）216万元，专项用于节能与新能源公交车运营补助。</w:t>
      </w:r>
    </w:p>
    <w:p>
      <w:pPr>
        <w:tabs>
          <w:tab w:val="left" w:pos="7080"/>
        </w:tabs>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2022年总体绩效目标为</w:t>
      </w:r>
      <w:r>
        <w:rPr>
          <w:rFonts w:hint="eastAsia" w:ascii="仿宋_GB2312" w:hAnsi="仿宋_GB2312" w:eastAsia="仿宋_GB2312" w:cs="仿宋_GB2312"/>
          <w:snapToGrid w:val="0"/>
          <w:color w:val="000000"/>
          <w:kern w:val="0"/>
          <w:sz w:val="32"/>
          <w:szCs w:val="32"/>
          <w:lang w:val="en-US" w:eastAsia="zh-CN"/>
        </w:rPr>
        <w:t>用于支持符合要求的节能与新能源车运营使用，推荐公共交通节能减排，达到节能和保护环境目的。</w:t>
      </w:r>
    </w:p>
    <w:p>
      <w:pPr>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二、绩效情况分析</w:t>
      </w:r>
    </w:p>
    <w:p>
      <w:pPr>
        <w:ind w:firstLine="643" w:firstLineChars="200"/>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（一）资金投入情况分析。</w:t>
      </w:r>
    </w:p>
    <w:p>
      <w:pPr>
        <w:tabs>
          <w:tab w:val="left" w:pos="7080"/>
        </w:tabs>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1.转移支付资金到位情况分析。</w:t>
      </w:r>
    </w:p>
    <w:p>
      <w:pPr>
        <w:tabs>
          <w:tab w:val="left" w:pos="7080"/>
        </w:tabs>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2021年节能减排补助资金（节能与新能源公交车运营补助）216万元，资金已全部到位。</w:t>
      </w:r>
    </w:p>
    <w:p>
      <w:pPr>
        <w:numPr>
          <w:ilvl w:val="0"/>
          <w:numId w:val="6"/>
        </w:numPr>
        <w:ind w:firstLine="643" w:firstLineChars="200"/>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资金</w:t>
      </w:r>
      <w:r>
        <w:rPr>
          <w:rFonts w:hint="eastAsia" w:ascii="仿宋_GB2312" w:hAnsi="仿宋_GB2312" w:eastAsia="仿宋_GB2312" w:cs="仿宋_GB2312"/>
          <w:b/>
          <w:bCs/>
          <w:sz w:val="32"/>
          <w:szCs w:val="32"/>
          <w:lang w:val="en-US" w:eastAsia="zh-CN"/>
        </w:rPr>
        <w:t>管理</w:t>
      </w:r>
      <w:r>
        <w:rPr>
          <w:rFonts w:hint="eastAsia" w:ascii="仿宋_GB2312" w:hAnsi="仿宋_GB2312" w:eastAsia="仿宋_GB2312" w:cs="仿宋_GB2312"/>
          <w:b/>
          <w:bCs/>
          <w:sz w:val="32"/>
          <w:szCs w:val="32"/>
        </w:rPr>
        <w:t>情况分析。</w:t>
      </w:r>
    </w:p>
    <w:p>
      <w:pPr>
        <w:tabs>
          <w:tab w:val="left" w:pos="7080"/>
        </w:tabs>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1.转移支付资金执行情况分析。</w:t>
      </w:r>
    </w:p>
    <w:p>
      <w:pPr>
        <w:tabs>
          <w:tab w:val="left" w:pos="7080"/>
        </w:tabs>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2021年节能减排补助资金（节能与新能源公交车运营补助）216万元，执行率达100%，用于节能与新能源公交车运营补助。</w:t>
      </w:r>
    </w:p>
    <w:p>
      <w:pPr>
        <w:tabs>
          <w:tab w:val="left" w:pos="7080"/>
        </w:tabs>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2.转移支付资金管理情况分析。</w:t>
      </w:r>
    </w:p>
    <w:p>
      <w:pPr>
        <w:tabs>
          <w:tab w:val="left" w:pos="7080"/>
        </w:tabs>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2022年，峨眉山市交通建设和运输中心严格按预算安排资金执行，积极落实项目专项资金，严格按照制度规定进行资金管理，做到了专款专用，没有滞留、截留、挤占和挪用的现象。</w:t>
      </w:r>
    </w:p>
    <w:p>
      <w:pPr>
        <w:tabs>
          <w:tab w:val="left" w:pos="7080"/>
        </w:tabs>
        <w:ind w:firstLine="643"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总体绩效目标</w:t>
      </w:r>
      <w:r>
        <w:rPr>
          <w:rFonts w:hint="eastAsia" w:ascii="仿宋_GB2312" w:hAnsi="仿宋_GB2312" w:eastAsia="仿宋_GB2312" w:cs="仿宋_GB2312"/>
          <w:b/>
          <w:bCs/>
          <w:sz w:val="32"/>
          <w:szCs w:val="32"/>
        </w:rPr>
        <w:t>完成情况分析。</w:t>
      </w:r>
    </w:p>
    <w:p>
      <w:pPr>
        <w:tabs>
          <w:tab w:val="left" w:pos="7080"/>
        </w:tabs>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2022年，峨眉山市交通建设和运输中心严格按照上级文件精神，完善工作机制，根据上级文件要求，合理安排使用好上级转移资金，做到专款专用。</w:t>
      </w:r>
    </w:p>
    <w:p>
      <w:pPr>
        <w:ind w:firstLine="643"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）绩效</w:t>
      </w:r>
      <w:r>
        <w:rPr>
          <w:rFonts w:hint="eastAsia" w:ascii="仿宋_GB2312" w:hAnsi="仿宋_GB2312" w:eastAsia="仿宋_GB2312" w:cs="仿宋_GB2312"/>
          <w:b/>
          <w:bCs/>
          <w:sz w:val="32"/>
          <w:szCs w:val="32"/>
          <w:lang w:val="en-US" w:eastAsia="zh-CN"/>
        </w:rPr>
        <w:t>指标</w:t>
      </w:r>
      <w:r>
        <w:rPr>
          <w:rFonts w:hint="eastAsia" w:ascii="仿宋_GB2312" w:hAnsi="仿宋_GB2312" w:eastAsia="仿宋_GB2312" w:cs="仿宋_GB2312"/>
          <w:b/>
          <w:bCs/>
          <w:sz w:val="32"/>
          <w:szCs w:val="32"/>
        </w:rPr>
        <w:t>完成情况分析。</w:t>
      </w:r>
    </w:p>
    <w:p>
      <w:pPr>
        <w:tabs>
          <w:tab w:val="left" w:pos="7080"/>
        </w:tabs>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1.产出指标完成情况分析。</w:t>
      </w:r>
    </w:p>
    <w:p>
      <w:pPr>
        <w:tabs>
          <w:tab w:val="left" w:pos="7080"/>
        </w:tabs>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（1）数量指标。</w:t>
      </w:r>
    </w:p>
    <w:p>
      <w:pPr>
        <w:tabs>
          <w:tab w:val="left" w:pos="7080"/>
        </w:tabs>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完成三家运输公司节能与新能源公交车运营补助。</w:t>
      </w:r>
    </w:p>
    <w:p>
      <w:pPr>
        <w:numPr>
          <w:ilvl w:val="0"/>
          <w:numId w:val="7"/>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质量指标。</w:t>
      </w:r>
    </w:p>
    <w:p>
      <w:pPr>
        <w:tabs>
          <w:tab w:val="left" w:pos="7080"/>
        </w:tabs>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按照相关规定审核新能源运营车辆数并按标准验收合格率达100%。</w:t>
      </w:r>
    </w:p>
    <w:p>
      <w:pPr>
        <w:numPr>
          <w:ilvl w:val="0"/>
          <w:numId w:val="7"/>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时效指标。</w:t>
      </w:r>
    </w:p>
    <w:p>
      <w:pPr>
        <w:tabs>
          <w:tab w:val="left" w:pos="7080"/>
        </w:tabs>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2022年内上级资金使用率达100%。</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（4）成本指标。</w:t>
      </w:r>
    </w:p>
    <w:p>
      <w:pPr>
        <w:tabs>
          <w:tab w:val="left" w:pos="7080"/>
        </w:tabs>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通过财政评审中心的进度审批，将成本控制在合理的范围，本年度将216万元顺利支付完毕。</w:t>
      </w:r>
    </w:p>
    <w:p>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2.效益指标完成情况分析。</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kern w:val="2"/>
          <w:sz w:val="32"/>
          <w:szCs w:val="32"/>
          <w:lang w:val="en-US" w:eastAsia="zh-CN" w:bidi="ar-SA"/>
        </w:rPr>
        <w:t>经济效益。</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通过该项目的实施，促进</w:t>
      </w:r>
      <w:r>
        <w:rPr>
          <w:rFonts w:hint="eastAsia" w:ascii="仿宋_GB2312" w:hAnsi="仿宋_GB2312" w:eastAsia="仿宋_GB2312" w:cs="仿宋_GB2312"/>
          <w:snapToGrid w:val="0"/>
          <w:color w:val="000000"/>
          <w:kern w:val="0"/>
          <w:sz w:val="32"/>
          <w:szCs w:val="32"/>
          <w:lang w:val="en-US" w:eastAsia="zh-CN"/>
        </w:rPr>
        <w:t>公共交通节能减排</w:t>
      </w:r>
      <w:r>
        <w:rPr>
          <w:rFonts w:hint="eastAsia" w:ascii="仿宋_GB2312" w:hAnsi="仿宋_GB2312" w:eastAsia="仿宋_GB2312" w:cs="仿宋_GB2312"/>
          <w:sz w:val="32"/>
          <w:szCs w:val="32"/>
          <w:lang w:val="en-US"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kern w:val="2"/>
          <w:sz w:val="32"/>
          <w:szCs w:val="32"/>
          <w:lang w:val="en-US" w:eastAsia="zh-CN" w:bidi="ar-SA"/>
        </w:rPr>
        <w:t>社会效益。</w:t>
      </w:r>
    </w:p>
    <w:p>
      <w:pPr>
        <w:tabs>
          <w:tab w:val="left" w:pos="7080"/>
        </w:tabs>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通过该项目的实施，</w:t>
      </w:r>
      <w:r>
        <w:rPr>
          <w:rFonts w:hint="eastAsia" w:ascii="仿宋_GB2312" w:hAnsi="仿宋_GB2312" w:eastAsia="仿宋_GB2312" w:cs="仿宋_GB2312"/>
          <w:snapToGrid w:val="0"/>
          <w:color w:val="000000"/>
          <w:kern w:val="0"/>
          <w:sz w:val="32"/>
          <w:szCs w:val="32"/>
          <w:lang w:val="en-US" w:eastAsia="zh-CN"/>
        </w:rPr>
        <w:t>达到节能和保护环境目的</w:t>
      </w:r>
      <w:r>
        <w:rPr>
          <w:rFonts w:hint="eastAsia" w:ascii="仿宋_GB2312" w:hAnsi="仿宋_GB2312" w:eastAsia="仿宋_GB2312" w:cs="仿宋_GB2312"/>
          <w:sz w:val="32"/>
          <w:szCs w:val="32"/>
          <w:lang w:val="en-US"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kern w:val="2"/>
          <w:sz w:val="32"/>
          <w:szCs w:val="32"/>
          <w:lang w:val="en-US" w:eastAsia="zh-CN" w:bidi="ar-SA"/>
        </w:rPr>
        <w:t>生态效益。</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68" w:firstLineChars="24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人民群众生活出行环境得到改善，生态效益显著提升。</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kern w:val="2"/>
          <w:sz w:val="32"/>
          <w:szCs w:val="32"/>
          <w:lang w:val="en-US" w:eastAsia="zh-CN" w:bidi="ar-SA"/>
        </w:rPr>
        <w:t>可持续影响。</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68" w:firstLineChars="24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通过项目实施，让企业感受到政府支持和市民提升幸福感，取得了良好的社会效益。</w:t>
      </w:r>
    </w:p>
    <w:p>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3.满意度指标完成情况分析。</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68" w:firstLineChars="240"/>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val="en-US" w:eastAsia="zh-CN" w:bidi="ar-SA"/>
        </w:rPr>
        <w:t>通过该项目实施，群众满意度达到90%以上，得到广大人民群众和社会的好评。</w:t>
      </w:r>
    </w:p>
    <w:p>
      <w:pPr>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三、偏离绩效目标的原因和下一步改进措施</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68" w:firstLineChars="24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2021年节能减排补助资金（节能与新能源公交车运营补助）</w:t>
      </w:r>
      <w:r>
        <w:rPr>
          <w:rFonts w:hint="eastAsia" w:ascii="仿宋_GB2312" w:hAnsi="仿宋_GB2312" w:eastAsia="仿宋_GB2312" w:cs="仿宋_GB2312"/>
          <w:kern w:val="2"/>
          <w:sz w:val="32"/>
          <w:szCs w:val="32"/>
          <w:lang w:val="en-US" w:eastAsia="zh-CN" w:bidi="ar-SA"/>
        </w:rPr>
        <w:t>项目符合年初绩效总体目标，无超过指标值较多的数据，未偏离原定计划。下一步工作将继续按照总体绩效目标要求，不断完善制度，落实政策，推动乡村振兴建设。</w:t>
      </w:r>
    </w:p>
    <w:p>
      <w:pPr>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四、绩效自评结果拟应用和公开情况</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我中心对</w:t>
      </w:r>
      <w:r>
        <w:rPr>
          <w:rFonts w:hint="eastAsia" w:ascii="仿宋_GB2312" w:hAnsi="仿宋_GB2312" w:eastAsia="仿宋_GB2312" w:cs="仿宋_GB2312"/>
          <w:sz w:val="32"/>
          <w:szCs w:val="32"/>
          <w:lang w:val="en-US" w:eastAsia="zh-CN"/>
        </w:rPr>
        <w:t>2021年节能减排补助资金（节能与新能源公交车运营补助）支付</w:t>
      </w:r>
      <w:r>
        <w:rPr>
          <w:rFonts w:hint="eastAsia" w:ascii="仿宋_GB2312" w:hAnsi="仿宋_GB2312" w:eastAsia="仿宋_GB2312" w:cs="仿宋_GB2312"/>
          <w:kern w:val="2"/>
          <w:sz w:val="32"/>
          <w:szCs w:val="32"/>
          <w:lang w:val="en-US" w:eastAsia="zh-CN" w:bidi="ar-SA"/>
        </w:rPr>
        <w:t>认真开展了绩效自评，按文件计划完成了2022年度项目支出目标任务，根据项目支出后的实际状况与年初绩效目标进行了对比，完成了绩效目标。</w:t>
      </w:r>
      <w:r>
        <w:rPr>
          <w:rFonts w:hint="eastAsia" w:ascii="仿宋_GB2312" w:hAnsi="仿宋_GB2312" w:eastAsia="仿宋_GB2312" w:cs="仿宋_GB2312"/>
          <w:sz w:val="32"/>
          <w:szCs w:val="32"/>
          <w:lang w:val="en-US" w:eastAsia="zh-CN"/>
        </w:rPr>
        <w:t>2021年节能减排补助资金（节能与新能源公交车运营补助）支付</w:t>
      </w:r>
      <w:r>
        <w:rPr>
          <w:rFonts w:hint="eastAsia" w:ascii="仿宋_GB2312" w:hAnsi="仿宋_GB2312" w:eastAsia="仿宋_GB2312" w:cs="仿宋_GB2312"/>
          <w:kern w:val="2"/>
          <w:sz w:val="32"/>
          <w:szCs w:val="32"/>
          <w:lang w:val="en-US" w:eastAsia="zh-CN" w:bidi="ar-SA"/>
        </w:rPr>
        <w:t>2022年度绩效自评报告拟在峨眉山市人民政府门户网站上公开，同时自评结果作为2023年资金分配和使用依据。</w:t>
      </w:r>
    </w:p>
    <w:p>
      <w:pPr>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五、其他需要说明的问题</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无。</w:t>
      </w:r>
    </w:p>
    <w:p>
      <w:pPr>
        <w:pStyle w:val="2"/>
        <w:rPr>
          <w:rFonts w:hint="eastAsia" w:hAnsi="Calibri" w:cs="仿宋"/>
          <w:sz w:val="32"/>
          <w:szCs w:val="32"/>
          <w:lang w:val="en-US" w:eastAsia="zh-CN"/>
        </w:rPr>
      </w:pPr>
    </w:p>
    <w:p>
      <w:pPr>
        <w:rPr>
          <w:rFonts w:hint="eastAsia" w:hAnsi="Calibri" w:cs="仿宋"/>
          <w:sz w:val="32"/>
          <w:szCs w:val="32"/>
          <w:lang w:val="en-US" w:eastAsia="zh-CN"/>
        </w:rPr>
      </w:pPr>
    </w:p>
    <w:p>
      <w:pPr>
        <w:pStyle w:val="2"/>
        <w:rPr>
          <w:rFonts w:hint="eastAsia" w:hAnsi="Calibri" w:cs="仿宋"/>
          <w:sz w:val="32"/>
          <w:szCs w:val="32"/>
          <w:lang w:val="en-US" w:eastAsia="zh-CN"/>
        </w:rPr>
      </w:pPr>
    </w:p>
    <w:p>
      <w:pPr>
        <w:rPr>
          <w:rFonts w:hint="eastAsia" w:hAnsi="Calibri" w:cs="仿宋"/>
          <w:sz w:val="32"/>
          <w:szCs w:val="32"/>
          <w:lang w:val="en-US" w:eastAsia="zh-CN"/>
        </w:rPr>
      </w:pPr>
    </w:p>
    <w:p>
      <w:pPr>
        <w:pStyle w:val="2"/>
        <w:rPr>
          <w:rFonts w:hint="eastAsia" w:hAnsi="Calibri" w:cs="仿宋"/>
          <w:sz w:val="32"/>
          <w:szCs w:val="32"/>
          <w:lang w:val="en-US" w:eastAsia="zh-CN"/>
        </w:rPr>
      </w:pPr>
    </w:p>
    <w:p>
      <w:pPr>
        <w:rPr>
          <w:rFonts w:hint="eastAsia" w:hAnsi="Calibri" w:cs="仿宋"/>
          <w:sz w:val="32"/>
          <w:szCs w:val="32"/>
          <w:lang w:val="en-US" w:eastAsia="zh-CN"/>
        </w:rPr>
      </w:pPr>
    </w:p>
    <w:p>
      <w:pPr>
        <w:pStyle w:val="2"/>
        <w:rPr>
          <w:rFonts w:hint="eastAsia" w:hAnsi="Calibri" w:cs="仿宋"/>
          <w:sz w:val="32"/>
          <w:szCs w:val="32"/>
          <w:lang w:val="en-US" w:eastAsia="zh-CN"/>
        </w:rPr>
      </w:pPr>
    </w:p>
    <w:p>
      <w:pPr>
        <w:rPr>
          <w:rFonts w:hint="eastAsia" w:hAnsi="Calibri" w:cs="仿宋"/>
          <w:sz w:val="32"/>
          <w:szCs w:val="32"/>
          <w:lang w:val="en-US" w:eastAsia="zh-CN"/>
        </w:rPr>
      </w:pPr>
    </w:p>
    <w:p>
      <w:pPr>
        <w:pStyle w:val="2"/>
        <w:rPr>
          <w:rFonts w:hint="eastAsia" w:hAnsi="Calibri" w:cs="仿宋"/>
          <w:sz w:val="32"/>
          <w:szCs w:val="32"/>
          <w:lang w:val="en-US" w:eastAsia="zh-CN"/>
        </w:rPr>
      </w:pPr>
    </w:p>
    <w:p>
      <w:pPr>
        <w:rPr>
          <w:rFonts w:hint="eastAsia" w:hAnsi="Calibri" w:cs="仿宋"/>
          <w:sz w:val="32"/>
          <w:szCs w:val="32"/>
          <w:lang w:val="en-US" w:eastAsia="zh-CN"/>
        </w:rPr>
      </w:pPr>
    </w:p>
    <w:p>
      <w:pPr>
        <w:pStyle w:val="2"/>
        <w:rPr>
          <w:rFonts w:hint="eastAsia" w:hAnsi="Calibri" w:cs="仿宋"/>
          <w:sz w:val="32"/>
          <w:szCs w:val="32"/>
          <w:lang w:val="en-US" w:eastAsia="zh-CN"/>
        </w:rPr>
      </w:pPr>
    </w:p>
    <w:p>
      <w:pPr>
        <w:rPr>
          <w:rFonts w:hint="eastAsia" w:hAnsi="Calibri" w:cs="仿宋"/>
          <w:sz w:val="32"/>
          <w:szCs w:val="32"/>
          <w:lang w:val="en-US" w:eastAsia="zh-CN"/>
        </w:rPr>
      </w:pPr>
    </w:p>
    <w:p>
      <w:pPr>
        <w:pStyle w:val="2"/>
        <w:rPr>
          <w:rFonts w:hint="eastAsia" w:hAnsi="Calibri" w:cs="仿宋"/>
          <w:sz w:val="32"/>
          <w:szCs w:val="32"/>
          <w:lang w:val="en-US" w:eastAsia="zh-CN"/>
        </w:rPr>
      </w:pPr>
    </w:p>
    <w:p>
      <w:pPr>
        <w:rPr>
          <w:rFonts w:hint="eastAsia" w:hAnsi="Calibri" w:cs="仿宋"/>
          <w:sz w:val="32"/>
          <w:szCs w:val="32"/>
          <w:lang w:val="en-US" w:eastAsia="zh-CN"/>
        </w:rPr>
      </w:pPr>
    </w:p>
    <w:p>
      <w:pPr>
        <w:pStyle w:val="2"/>
        <w:rPr>
          <w:rFonts w:hint="eastAsia" w:hAnsi="Calibri" w:cs="仿宋"/>
          <w:sz w:val="32"/>
          <w:szCs w:val="32"/>
          <w:lang w:val="en-US" w:eastAsia="zh-CN"/>
        </w:rPr>
      </w:pPr>
    </w:p>
    <w:p>
      <w:pPr>
        <w:rPr>
          <w:rFonts w:hint="eastAsia" w:hAnsi="Calibri" w:cs="仿宋"/>
          <w:sz w:val="32"/>
          <w:szCs w:val="32"/>
          <w:lang w:val="en-US" w:eastAsia="zh-CN"/>
        </w:rPr>
      </w:pPr>
    </w:p>
    <w:p>
      <w:pPr>
        <w:rPr>
          <w:rFonts w:hint="default" w:eastAsia="宋体"/>
          <w:lang w:val="en-US" w:eastAsia="zh-CN"/>
        </w:rPr>
      </w:pPr>
      <w:r>
        <w:rPr>
          <w:rFonts w:hint="eastAsia" w:hAnsi="Calibri" w:cs="仿宋"/>
          <w:sz w:val="32"/>
          <w:szCs w:val="32"/>
          <w:lang w:val="en-US" w:eastAsia="zh-CN"/>
        </w:rPr>
        <w:t>附件7-2</w:t>
      </w:r>
    </w:p>
    <w:p>
      <w:pPr>
        <w:pStyle w:val="2"/>
        <w:spacing w:before="93" w:line="600" w:lineRule="exact"/>
        <w:jc w:val="center"/>
        <w:rPr>
          <w:rFonts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rPr>
        <w:t>2021年特定目标类部门预算项目绩效</w:t>
      </w:r>
    </w:p>
    <w:p>
      <w:pPr>
        <w:pStyle w:val="2"/>
        <w:spacing w:before="93" w:line="600" w:lineRule="exact"/>
        <w:jc w:val="center"/>
        <w:rPr>
          <w:rFonts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b/>
          <w:sz w:val="44"/>
          <w:szCs w:val="44"/>
        </w:rPr>
        <w:t>目标自评</w:t>
      </w:r>
    </w:p>
    <w:tbl>
      <w:tblPr>
        <w:tblStyle w:val="13"/>
        <w:tblpPr w:leftFromText="180" w:rightFromText="180" w:vertAnchor="text" w:horzAnchor="page" w:tblpXSpec="center" w:tblpY="276"/>
        <w:tblOverlap w:val="never"/>
        <w:tblW w:w="9049" w:type="dxa"/>
        <w:jc w:val="center"/>
        <w:tblLayout w:type="fixed"/>
        <w:tblCellMar>
          <w:top w:w="0" w:type="dxa"/>
          <w:left w:w="108" w:type="dxa"/>
          <w:bottom w:w="0" w:type="dxa"/>
          <w:right w:w="108" w:type="dxa"/>
        </w:tblCellMar>
      </w:tblPr>
      <w:tblGrid>
        <w:gridCol w:w="1815"/>
        <w:gridCol w:w="1068"/>
        <w:gridCol w:w="2232"/>
        <w:gridCol w:w="1031"/>
        <w:gridCol w:w="1369"/>
        <w:gridCol w:w="1534"/>
      </w:tblGrid>
      <w:tr>
        <w:tblPrEx>
          <w:tblCellMar>
            <w:top w:w="0" w:type="dxa"/>
            <w:left w:w="108" w:type="dxa"/>
            <w:bottom w:w="0" w:type="dxa"/>
            <w:right w:w="108" w:type="dxa"/>
          </w:tblCellMar>
        </w:tblPrEx>
        <w:trPr>
          <w:trHeight w:val="254" w:hRule="atLeast"/>
          <w:jc w:val="center"/>
        </w:trPr>
        <w:tc>
          <w:tcPr>
            <w:tcW w:w="2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主管部门及代码</w:t>
            </w:r>
          </w:p>
        </w:tc>
        <w:tc>
          <w:tcPr>
            <w:tcW w:w="3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峨眉山市交通运输局</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实施单位</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峨眉山</w:t>
            </w:r>
            <w:r>
              <w:rPr>
                <w:rFonts w:hint="eastAsia" w:ascii="仿宋_GB2312" w:hAnsi="仿宋_GB2312" w:eastAsia="仿宋_GB2312" w:cs="仿宋_GB2312"/>
                <w:sz w:val="28"/>
                <w:szCs w:val="28"/>
                <w:lang w:val="en-US" w:eastAsia="zh-CN"/>
              </w:rPr>
              <w:t>交通建设和运输</w:t>
            </w:r>
            <w:r>
              <w:rPr>
                <w:rFonts w:hint="eastAsia" w:ascii="仿宋_GB2312" w:hAnsi="仿宋_GB2312" w:eastAsia="仿宋_GB2312" w:cs="仿宋_GB2312"/>
                <w:sz w:val="28"/>
                <w:szCs w:val="28"/>
              </w:rPr>
              <w:t>中心</w:t>
            </w:r>
          </w:p>
        </w:tc>
      </w:tr>
      <w:tr>
        <w:tblPrEx>
          <w:tblCellMar>
            <w:top w:w="0" w:type="dxa"/>
            <w:left w:w="108" w:type="dxa"/>
            <w:bottom w:w="0" w:type="dxa"/>
            <w:right w:w="108" w:type="dxa"/>
          </w:tblCellMar>
        </w:tblPrEx>
        <w:trPr>
          <w:trHeight w:val="341" w:hRule="atLeast"/>
          <w:jc w:val="center"/>
        </w:trPr>
        <w:tc>
          <w:tcPr>
            <w:tcW w:w="28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项目预算</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执行情况</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（万元）</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预算数：</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216</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执行数：</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216</w:t>
            </w:r>
          </w:p>
        </w:tc>
      </w:tr>
      <w:tr>
        <w:tblPrEx>
          <w:tblCellMar>
            <w:top w:w="0" w:type="dxa"/>
            <w:left w:w="108" w:type="dxa"/>
            <w:bottom w:w="0" w:type="dxa"/>
            <w:right w:w="108" w:type="dxa"/>
          </w:tblCellMar>
        </w:tblPrEx>
        <w:trPr>
          <w:trHeight w:val="555" w:hRule="atLeast"/>
          <w:jc w:val="center"/>
        </w:trPr>
        <w:tc>
          <w:tcPr>
            <w:tcW w:w="28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216</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216</w:t>
            </w:r>
          </w:p>
        </w:tc>
      </w:tr>
      <w:tr>
        <w:tblPrEx>
          <w:tblCellMar>
            <w:top w:w="0" w:type="dxa"/>
            <w:left w:w="108" w:type="dxa"/>
            <w:bottom w:w="0" w:type="dxa"/>
            <w:right w:w="108" w:type="dxa"/>
          </w:tblCellMar>
        </w:tblPrEx>
        <w:trPr>
          <w:trHeight w:val="341" w:hRule="atLeast"/>
          <w:jc w:val="center"/>
        </w:trPr>
        <w:tc>
          <w:tcPr>
            <w:tcW w:w="28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45" w:hRule="atLeast"/>
          <w:jc w:val="center"/>
        </w:trPr>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年度总体目标</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完成情况</w:t>
            </w:r>
          </w:p>
        </w:tc>
        <w:tc>
          <w:tcPr>
            <w:tcW w:w="43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预期目标</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目标实际完成情况</w:t>
            </w:r>
          </w:p>
        </w:tc>
      </w:tr>
      <w:tr>
        <w:tblPrEx>
          <w:tblCellMar>
            <w:top w:w="0" w:type="dxa"/>
            <w:left w:w="108" w:type="dxa"/>
            <w:bottom w:w="0" w:type="dxa"/>
            <w:right w:w="108" w:type="dxa"/>
          </w:tblCellMar>
        </w:tblPrEx>
        <w:trPr>
          <w:trHeight w:val="387" w:hRule="atLeast"/>
          <w:jc w:val="center"/>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43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ascii="仿宋_GB2312" w:hAnsi="仿宋_GB2312" w:eastAsia="仿宋_GB2312" w:cs="仿宋_GB2312"/>
                <w:sz w:val="28"/>
                <w:szCs w:val="28"/>
              </w:rPr>
            </w:pPr>
            <w:r>
              <w:rPr>
                <w:rFonts w:hint="eastAsia" w:ascii="仿宋_GB2312" w:hAnsi="仿宋_GB2312" w:eastAsia="仿宋_GB2312" w:cs="仿宋_GB2312"/>
                <w:sz w:val="28"/>
                <w:szCs w:val="28"/>
              </w:rPr>
              <w:t>用于支持符合要求的节能与新能源车运营使用，</w:t>
            </w:r>
            <w:r>
              <w:rPr>
                <w:rFonts w:hint="eastAsia" w:ascii="仿宋_GB2312" w:hAnsi="仿宋_GB2312" w:eastAsia="仿宋_GB2312" w:cs="仿宋_GB2312"/>
                <w:sz w:val="28"/>
                <w:szCs w:val="28"/>
                <w:lang w:val="en-US" w:eastAsia="zh-CN"/>
              </w:rPr>
              <w:t>推进</w:t>
            </w:r>
            <w:r>
              <w:rPr>
                <w:rFonts w:hint="eastAsia" w:ascii="仿宋_GB2312" w:hAnsi="仿宋_GB2312" w:eastAsia="仿宋_GB2312" w:cs="仿宋_GB2312"/>
                <w:sz w:val="28"/>
                <w:szCs w:val="28"/>
              </w:rPr>
              <w:t>公共交通节能减排，达到节能和保护环境目的</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ascii="仿宋_GB2312" w:hAnsi="仿宋_GB2312" w:eastAsia="仿宋_GB2312" w:cs="仿宋_GB2312"/>
                <w:sz w:val="28"/>
                <w:szCs w:val="28"/>
              </w:rPr>
            </w:pPr>
            <w:r>
              <w:rPr>
                <w:rFonts w:hint="eastAsia" w:ascii="仿宋_GB2312" w:hAnsi="仿宋_GB2312" w:eastAsia="仿宋_GB2312" w:cs="仿宋_GB2312"/>
                <w:sz w:val="28"/>
                <w:szCs w:val="28"/>
              </w:rPr>
              <w:t>完成</w:t>
            </w:r>
          </w:p>
        </w:tc>
      </w:tr>
      <w:tr>
        <w:tblPrEx>
          <w:tblCellMar>
            <w:top w:w="0" w:type="dxa"/>
            <w:left w:w="108" w:type="dxa"/>
            <w:bottom w:w="0" w:type="dxa"/>
            <w:right w:w="108" w:type="dxa"/>
          </w:tblCellMar>
        </w:tblPrEx>
        <w:trPr>
          <w:trHeight w:val="693" w:hRule="atLeast"/>
          <w:jc w:val="center"/>
        </w:trPr>
        <w:tc>
          <w:tcPr>
            <w:tcW w:w="1815"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年度绩效指标完成情况</w:t>
            </w:r>
          </w:p>
        </w:tc>
        <w:tc>
          <w:tcPr>
            <w:tcW w:w="1068"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预期指标值</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实际完成指标值</w:t>
            </w:r>
          </w:p>
        </w:tc>
      </w:tr>
      <w:tr>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数量指标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补助企业</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r>
      <w:tr>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质量指标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ascii="宋体" w:hAnsi="宋体" w:eastAsia="宋体" w:cs="宋体"/>
                <w:sz w:val="11"/>
                <w:szCs w:val="11"/>
              </w:rPr>
              <w:t>申请运营补助车辆的合规比例</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100%</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100%</w:t>
            </w:r>
          </w:p>
        </w:tc>
      </w:tr>
      <w:tr>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时效指标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355"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成本指标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18"/>
                <w:szCs w:val="18"/>
              </w:rPr>
              <w:t>使用资金</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216</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216</w:t>
            </w:r>
          </w:p>
        </w:tc>
      </w:tr>
      <w:tr>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效益</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经济效益指标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18"/>
                <w:szCs w:val="1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社会效益指标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节能环保</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18"/>
                <w:szCs w:val="18"/>
                <w:lang w:val="en-US" w:eastAsia="zh-CN"/>
              </w:rPr>
              <w:t>节能环保</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18"/>
                <w:szCs w:val="18"/>
                <w:lang w:val="en-US" w:eastAsia="zh-CN"/>
              </w:rPr>
              <w:t>节能环保</w:t>
            </w:r>
          </w:p>
        </w:tc>
      </w:tr>
      <w:tr>
        <w:tblPrEx>
          <w:tblCellMar>
            <w:top w:w="0" w:type="dxa"/>
            <w:left w:w="108" w:type="dxa"/>
            <w:bottom w:w="0" w:type="dxa"/>
            <w:right w:w="108" w:type="dxa"/>
          </w:tblCellMar>
        </w:tblPrEx>
        <w:trPr>
          <w:trHeight w:val="577"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生态效益指标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18"/>
                <w:szCs w:val="1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可持续影响指标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18"/>
                <w:szCs w:val="1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530" w:hRule="atLeast"/>
          <w:jc w:val="center"/>
        </w:trPr>
        <w:tc>
          <w:tcPr>
            <w:tcW w:w="1815"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满意度指标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满意度</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群众满意</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满意</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满意</w:t>
            </w:r>
          </w:p>
        </w:tc>
      </w:tr>
    </w:tbl>
    <w:p>
      <w:pPr>
        <w:spacing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注：有两个及以上100万元以上（含）特定目标类部门预算项目的，需分别开展绩效目标自评并填写附表;100万元以下的特定目标类部门预算项目，项目数在5个以内的据实分别开展绩效目标自评并填写附表，达到或超过5个的至少选择5个分别开展绩效目标自评并填写附表）</w:t>
      </w:r>
    </w:p>
    <w:p>
      <w:pPr>
        <w:spacing w:line="600" w:lineRule="exact"/>
        <w:jc w:val="center"/>
        <w:outlineLvl w:val="0"/>
        <w:rPr>
          <w:rFonts w:ascii="仿宋" w:hAnsi="仿宋" w:eastAsia="仿宋"/>
        </w:rPr>
      </w:pPr>
      <w:r>
        <w:rPr>
          <w:rFonts w:hint="eastAsia" w:ascii="黑体" w:hAnsi="黑体" w:eastAsia="黑体"/>
          <w:sz w:val="44"/>
          <w:szCs w:val="44"/>
        </w:rPr>
        <w:t>第</w:t>
      </w:r>
      <w:r>
        <w:rPr>
          <w:rStyle w:val="25"/>
          <w:rFonts w:hint="eastAsia" w:ascii="黑体" w:hAnsi="黑体" w:eastAsia="黑体"/>
          <w:b w:val="0"/>
        </w:rPr>
        <w:t>五部分 附表</w:t>
      </w:r>
      <w:bookmarkEnd w:id="52"/>
      <w:bookmarkEnd w:id="54"/>
      <w:bookmarkStart w:id="55" w:name="_Toc15396619"/>
    </w:p>
    <w:p>
      <w:pPr>
        <w:pStyle w:val="4"/>
        <w:rPr>
          <w:rFonts w:ascii="仿宋" w:hAnsi="仿宋" w:eastAsia="仿宋"/>
        </w:rPr>
      </w:pPr>
      <w:r>
        <w:rPr>
          <w:rFonts w:hint="eastAsia" w:ascii="仿宋" w:hAnsi="仿宋" w:eastAsia="仿宋"/>
          <w:b w:val="0"/>
        </w:rPr>
        <w:t>一、收</w:t>
      </w:r>
      <w:r>
        <w:rPr>
          <w:rStyle w:val="26"/>
          <w:rFonts w:hint="eastAsia" w:ascii="仿宋" w:hAnsi="仿宋" w:eastAsia="仿宋"/>
          <w:b w:val="0"/>
          <w:bCs w:val="0"/>
        </w:rPr>
        <w:t>入支出决算总表</w:t>
      </w:r>
      <w:bookmarkEnd w:id="55"/>
    </w:p>
    <w:p>
      <w:pPr>
        <w:pStyle w:val="4"/>
        <w:rPr>
          <w:rFonts w:ascii="仿宋" w:hAnsi="仿宋" w:eastAsia="仿宋"/>
        </w:rPr>
      </w:pPr>
      <w:bookmarkStart w:id="56" w:name="_Toc15396620"/>
      <w:r>
        <w:rPr>
          <w:rFonts w:hint="eastAsia" w:ascii="仿宋" w:hAnsi="仿宋" w:eastAsia="仿宋"/>
          <w:b w:val="0"/>
        </w:rPr>
        <w:t>二、收</w:t>
      </w:r>
      <w:r>
        <w:rPr>
          <w:rStyle w:val="26"/>
          <w:rFonts w:hint="eastAsia" w:ascii="仿宋" w:hAnsi="仿宋" w:eastAsia="仿宋"/>
          <w:b w:val="0"/>
          <w:bCs w:val="0"/>
        </w:rPr>
        <w:t>入决算表</w:t>
      </w:r>
      <w:bookmarkEnd w:id="56"/>
    </w:p>
    <w:p>
      <w:pPr>
        <w:pStyle w:val="4"/>
        <w:rPr>
          <w:rFonts w:ascii="仿宋" w:hAnsi="仿宋" w:eastAsia="仿宋"/>
        </w:rPr>
      </w:pPr>
      <w:bookmarkStart w:id="57" w:name="_Toc15396621"/>
      <w:r>
        <w:rPr>
          <w:rStyle w:val="26"/>
          <w:rFonts w:hint="eastAsia" w:ascii="仿宋" w:hAnsi="仿宋" w:eastAsia="仿宋"/>
          <w:b w:val="0"/>
          <w:bCs w:val="0"/>
        </w:rPr>
        <w:t>三、</w:t>
      </w:r>
      <w:r>
        <w:rPr>
          <w:rFonts w:hint="eastAsia" w:ascii="仿宋" w:hAnsi="仿宋" w:eastAsia="仿宋"/>
          <w:b w:val="0"/>
        </w:rPr>
        <w:t>支</w:t>
      </w:r>
      <w:r>
        <w:rPr>
          <w:rStyle w:val="26"/>
          <w:rFonts w:hint="eastAsia" w:ascii="仿宋" w:hAnsi="仿宋" w:eastAsia="仿宋"/>
          <w:b w:val="0"/>
          <w:bCs w:val="0"/>
        </w:rPr>
        <w:t>出决算表</w:t>
      </w:r>
      <w:bookmarkEnd w:id="57"/>
    </w:p>
    <w:p>
      <w:pPr>
        <w:pStyle w:val="4"/>
        <w:rPr>
          <w:rFonts w:ascii="仿宋" w:hAnsi="仿宋" w:eastAsia="仿宋"/>
          <w:b w:val="0"/>
        </w:rPr>
      </w:pPr>
      <w:bookmarkStart w:id="58" w:name="_Toc15396622"/>
      <w:r>
        <w:rPr>
          <w:rStyle w:val="26"/>
          <w:rFonts w:hint="eastAsia" w:ascii="仿宋" w:hAnsi="仿宋" w:eastAsia="仿宋"/>
          <w:b w:val="0"/>
          <w:bCs w:val="0"/>
        </w:rPr>
        <w:t>四、</w:t>
      </w:r>
      <w:r>
        <w:rPr>
          <w:rFonts w:hint="eastAsia" w:ascii="仿宋" w:hAnsi="仿宋" w:eastAsia="仿宋"/>
          <w:b w:val="0"/>
        </w:rPr>
        <w:t>财</w:t>
      </w:r>
      <w:r>
        <w:rPr>
          <w:rStyle w:val="26"/>
          <w:rFonts w:hint="eastAsia" w:ascii="仿宋" w:hAnsi="仿宋" w:eastAsia="仿宋"/>
          <w:b w:val="0"/>
          <w:bCs w:val="0"/>
        </w:rPr>
        <w:t>政拨款收入支出决算总表</w:t>
      </w:r>
      <w:bookmarkEnd w:id="58"/>
    </w:p>
    <w:p>
      <w:pPr>
        <w:pStyle w:val="4"/>
        <w:rPr>
          <w:rStyle w:val="26"/>
          <w:rFonts w:ascii="仿宋" w:hAnsi="仿宋" w:eastAsia="仿宋"/>
          <w:b w:val="0"/>
          <w:bCs w:val="0"/>
        </w:rPr>
      </w:pPr>
      <w:bookmarkStart w:id="59" w:name="_Toc15396623"/>
      <w:r>
        <w:rPr>
          <w:rStyle w:val="26"/>
          <w:rFonts w:hint="eastAsia" w:ascii="仿宋" w:hAnsi="仿宋" w:eastAsia="仿宋"/>
          <w:b w:val="0"/>
          <w:bCs w:val="0"/>
        </w:rPr>
        <w:t>五、</w:t>
      </w:r>
      <w:r>
        <w:rPr>
          <w:rFonts w:hint="eastAsia" w:ascii="仿宋" w:hAnsi="仿宋" w:eastAsia="仿宋"/>
          <w:b w:val="0"/>
        </w:rPr>
        <w:t>财</w:t>
      </w:r>
      <w:r>
        <w:rPr>
          <w:rStyle w:val="26"/>
          <w:rFonts w:hint="eastAsia" w:ascii="仿宋" w:hAnsi="仿宋" w:eastAsia="仿宋"/>
          <w:b w:val="0"/>
          <w:bCs w:val="0"/>
        </w:rPr>
        <w:t>政拨款支出决算明细表</w:t>
      </w:r>
      <w:bookmarkEnd w:id="59"/>
      <w:bookmarkStart w:id="60" w:name="_Toc15396624"/>
    </w:p>
    <w:p>
      <w:pPr>
        <w:pStyle w:val="4"/>
        <w:rPr>
          <w:rFonts w:ascii="仿宋" w:hAnsi="仿宋" w:eastAsia="仿宋"/>
        </w:rPr>
      </w:pPr>
      <w:r>
        <w:rPr>
          <w:rStyle w:val="26"/>
          <w:rFonts w:hint="eastAsia" w:ascii="仿宋" w:hAnsi="仿宋" w:eastAsia="仿宋"/>
          <w:b w:val="0"/>
          <w:bCs w:val="0"/>
        </w:rPr>
        <w:t>六、</w:t>
      </w:r>
      <w:r>
        <w:rPr>
          <w:rFonts w:hint="eastAsia" w:ascii="仿宋" w:hAnsi="仿宋" w:eastAsia="仿宋"/>
          <w:b w:val="0"/>
        </w:rPr>
        <w:t>一</w:t>
      </w:r>
      <w:r>
        <w:rPr>
          <w:rStyle w:val="26"/>
          <w:rFonts w:hint="eastAsia" w:ascii="仿宋" w:hAnsi="仿宋" w:eastAsia="仿宋"/>
          <w:b w:val="0"/>
          <w:bCs w:val="0"/>
        </w:rPr>
        <w:t>般公共预算财政拨款支出决算表</w:t>
      </w:r>
      <w:bookmarkEnd w:id="60"/>
    </w:p>
    <w:p>
      <w:pPr>
        <w:pStyle w:val="4"/>
        <w:rPr>
          <w:rFonts w:ascii="仿宋" w:hAnsi="仿宋" w:eastAsia="仿宋"/>
        </w:rPr>
      </w:pPr>
      <w:bookmarkStart w:id="61" w:name="_Toc15396625"/>
      <w:r>
        <w:rPr>
          <w:rStyle w:val="26"/>
          <w:rFonts w:hint="eastAsia" w:ascii="仿宋" w:hAnsi="仿宋" w:eastAsia="仿宋"/>
          <w:b w:val="0"/>
          <w:bCs w:val="0"/>
        </w:rPr>
        <w:t>七、</w:t>
      </w:r>
      <w:r>
        <w:rPr>
          <w:rFonts w:hint="eastAsia" w:ascii="仿宋" w:hAnsi="仿宋" w:eastAsia="仿宋"/>
          <w:b w:val="0"/>
        </w:rPr>
        <w:t>一</w:t>
      </w:r>
      <w:r>
        <w:rPr>
          <w:rStyle w:val="26"/>
          <w:rFonts w:hint="eastAsia" w:ascii="仿宋" w:hAnsi="仿宋" w:eastAsia="仿宋"/>
          <w:b w:val="0"/>
          <w:bCs w:val="0"/>
        </w:rPr>
        <w:t>般公共预算财政拨款支出决算明细表</w:t>
      </w:r>
      <w:bookmarkEnd w:id="61"/>
    </w:p>
    <w:p>
      <w:pPr>
        <w:pStyle w:val="4"/>
        <w:rPr>
          <w:rFonts w:ascii="仿宋" w:hAnsi="仿宋" w:eastAsia="仿宋"/>
        </w:rPr>
      </w:pPr>
      <w:bookmarkStart w:id="62" w:name="_Toc15396626"/>
      <w:r>
        <w:rPr>
          <w:rStyle w:val="26"/>
          <w:rFonts w:hint="eastAsia" w:ascii="仿宋" w:hAnsi="仿宋" w:eastAsia="仿宋"/>
          <w:b w:val="0"/>
          <w:bCs w:val="0"/>
        </w:rPr>
        <w:t>八、</w:t>
      </w:r>
      <w:r>
        <w:rPr>
          <w:rFonts w:hint="eastAsia" w:ascii="仿宋" w:hAnsi="仿宋" w:eastAsia="仿宋"/>
          <w:b w:val="0"/>
        </w:rPr>
        <w:t>一</w:t>
      </w:r>
      <w:r>
        <w:rPr>
          <w:rStyle w:val="26"/>
          <w:rFonts w:hint="eastAsia" w:ascii="仿宋" w:hAnsi="仿宋" w:eastAsia="仿宋"/>
          <w:b w:val="0"/>
          <w:bCs w:val="0"/>
        </w:rPr>
        <w:t>般公共预算财政拨款基本支出决算表</w:t>
      </w:r>
      <w:bookmarkEnd w:id="62"/>
    </w:p>
    <w:p>
      <w:pPr>
        <w:pStyle w:val="4"/>
        <w:rPr>
          <w:rFonts w:ascii="仿宋" w:hAnsi="仿宋" w:eastAsia="仿宋"/>
        </w:rPr>
      </w:pPr>
      <w:bookmarkStart w:id="63" w:name="_Toc15396627"/>
      <w:r>
        <w:rPr>
          <w:rStyle w:val="26"/>
          <w:rFonts w:hint="eastAsia" w:ascii="仿宋" w:hAnsi="仿宋" w:eastAsia="仿宋"/>
          <w:b w:val="0"/>
          <w:bCs w:val="0"/>
        </w:rPr>
        <w:t>九、</w:t>
      </w:r>
      <w:r>
        <w:rPr>
          <w:rFonts w:hint="eastAsia" w:ascii="仿宋" w:hAnsi="仿宋" w:eastAsia="仿宋"/>
          <w:b w:val="0"/>
        </w:rPr>
        <w:t>一</w:t>
      </w:r>
      <w:r>
        <w:rPr>
          <w:rStyle w:val="26"/>
          <w:rFonts w:hint="eastAsia" w:ascii="仿宋" w:hAnsi="仿宋" w:eastAsia="仿宋"/>
          <w:b w:val="0"/>
          <w:bCs w:val="0"/>
        </w:rPr>
        <w:t>般公共预算财政拨款项目支出决算表</w:t>
      </w:r>
      <w:bookmarkEnd w:id="63"/>
    </w:p>
    <w:p>
      <w:pPr>
        <w:pStyle w:val="4"/>
        <w:rPr>
          <w:rFonts w:ascii="仿宋" w:hAnsi="仿宋" w:eastAsia="仿宋"/>
        </w:rPr>
      </w:pPr>
      <w:bookmarkStart w:id="64" w:name="_Toc15396628"/>
      <w:r>
        <w:rPr>
          <w:rStyle w:val="26"/>
          <w:rFonts w:hint="eastAsia" w:ascii="仿宋" w:hAnsi="仿宋" w:eastAsia="仿宋"/>
          <w:b w:val="0"/>
          <w:bCs w:val="0"/>
        </w:rPr>
        <w:t>十、</w:t>
      </w:r>
      <w:bookmarkEnd w:id="64"/>
      <w:r>
        <w:rPr>
          <w:rFonts w:hint="eastAsia" w:ascii="仿宋" w:hAnsi="仿宋" w:eastAsia="仿宋"/>
          <w:b w:val="0"/>
        </w:rPr>
        <w:t>政</w:t>
      </w:r>
      <w:r>
        <w:rPr>
          <w:rStyle w:val="26"/>
          <w:rFonts w:hint="eastAsia" w:ascii="仿宋" w:hAnsi="仿宋" w:eastAsia="仿宋"/>
          <w:b w:val="0"/>
          <w:bCs w:val="0"/>
        </w:rPr>
        <w:t>府性基金预算财政拨款收入支出决算表</w:t>
      </w:r>
    </w:p>
    <w:p>
      <w:pPr>
        <w:pStyle w:val="4"/>
        <w:rPr>
          <w:rFonts w:ascii="仿宋" w:hAnsi="仿宋" w:eastAsia="仿宋"/>
        </w:rPr>
      </w:pPr>
      <w:bookmarkStart w:id="65" w:name="_Toc15396629"/>
      <w:r>
        <w:rPr>
          <w:rStyle w:val="26"/>
          <w:rFonts w:hint="eastAsia" w:ascii="仿宋" w:hAnsi="仿宋" w:eastAsia="仿宋"/>
          <w:b w:val="0"/>
          <w:bCs w:val="0"/>
        </w:rPr>
        <w:t>十一、</w:t>
      </w:r>
      <w:bookmarkEnd w:id="65"/>
      <w:r>
        <w:rPr>
          <w:rFonts w:hint="eastAsia" w:ascii="仿宋" w:hAnsi="仿宋" w:eastAsia="仿宋"/>
          <w:b w:val="0"/>
        </w:rPr>
        <w:t>国</w:t>
      </w:r>
      <w:r>
        <w:rPr>
          <w:rStyle w:val="26"/>
          <w:rFonts w:hint="eastAsia" w:ascii="仿宋" w:hAnsi="仿宋" w:eastAsia="仿宋"/>
          <w:b w:val="0"/>
          <w:bCs w:val="0"/>
        </w:rPr>
        <w:t>有资本经营预算财政拨款收入支出决算表</w:t>
      </w:r>
    </w:p>
    <w:p>
      <w:pPr>
        <w:pStyle w:val="4"/>
        <w:rPr>
          <w:rFonts w:ascii="仿宋" w:hAnsi="仿宋" w:eastAsia="仿宋"/>
        </w:rPr>
      </w:pPr>
      <w:bookmarkStart w:id="66" w:name="_Toc15396630"/>
      <w:r>
        <w:rPr>
          <w:rStyle w:val="26"/>
          <w:rFonts w:hint="eastAsia" w:ascii="仿宋" w:hAnsi="仿宋" w:eastAsia="仿宋"/>
          <w:b w:val="0"/>
          <w:bCs w:val="0"/>
        </w:rPr>
        <w:t>十二、</w:t>
      </w:r>
      <w:bookmarkEnd w:id="66"/>
      <w:r>
        <w:rPr>
          <w:rStyle w:val="26"/>
          <w:rFonts w:hint="eastAsia" w:ascii="仿宋" w:hAnsi="仿宋" w:eastAsia="仿宋"/>
          <w:b w:val="0"/>
          <w:bCs w:val="0"/>
        </w:rPr>
        <w:t>国有资本经营预算财政拨款支出决算表</w:t>
      </w:r>
    </w:p>
    <w:p>
      <w:pPr>
        <w:pStyle w:val="4"/>
        <w:rPr>
          <w:rFonts w:eastAsia="仿宋"/>
        </w:rPr>
      </w:pPr>
      <w:bookmarkStart w:id="67" w:name="_Toc15396631"/>
      <w:r>
        <w:rPr>
          <w:rStyle w:val="26"/>
          <w:rFonts w:hint="eastAsia" w:ascii="仿宋" w:hAnsi="仿宋" w:eastAsia="仿宋"/>
          <w:b w:val="0"/>
          <w:bCs w:val="0"/>
        </w:rPr>
        <w:t>十三、</w:t>
      </w:r>
      <w:bookmarkEnd w:id="67"/>
      <w:r>
        <w:rPr>
          <w:rStyle w:val="26"/>
          <w:rFonts w:hint="eastAsia" w:ascii="仿宋" w:hAnsi="仿宋" w:eastAsia="仿宋"/>
          <w:b w:val="0"/>
          <w:bCs w:val="0"/>
        </w:rPr>
        <w:t>财政拨款“三公”经费支出决算表</w:t>
      </w:r>
    </w:p>
    <w:sectPr>
      <w:headerReference r:id="rId6" w:type="default"/>
      <w:footerReference r:id="rId7" w:type="default"/>
      <w:pgSz w:w="11906" w:h="16838"/>
      <w:pgMar w:top="1440" w:right="1800" w:bottom="1440" w:left="1800"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default" w:ascii="Times New Roman" w:hAnsi="Times New Roman" w:eastAsia="宋体" w:cs="Times New Roman"/>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16</w:t>
                          </w:r>
                          <w:r>
                            <w:rPr>
                              <w:rFonts w:hint="default" w:ascii="Times New Roman" w:hAnsi="Times New Roman" w:cs="Times New Roman"/>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8"/>
                      <w:rPr>
                        <w:rFonts w:hint="default" w:ascii="Times New Roman" w:hAnsi="Times New Roman" w:eastAsia="宋体" w:cs="Times New Roman"/>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16</w:t>
                    </w:r>
                    <w:r>
                      <w:rPr>
                        <w:rFonts w:hint="default" w:ascii="Times New Roman" w:hAnsi="Times New Roman" w:cs="Times New Roman"/>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eastAsia="仿宋_GB2312" w:cs="Times New Roman"/>
        <w:kern w:val="2"/>
        <w:sz w:val="32"/>
        <w:szCs w:val="24"/>
        <w:lang w:val="en-US" w:eastAsia="zh-CN" w:bidi="ar-SA"/>
      </w:rPr>
      <w:id w:val="430831518"/>
      <w:docPartObj>
        <w:docPartGallery w:val="autotext"/>
      </w:docPartObj>
    </w:sdtPr>
    <w:sdtEndPr>
      <w:rPr>
        <w:rFonts w:ascii="Times New Roman" w:hAnsi="Times New Roman" w:eastAsia="宋体" w:cs="Times New Roman"/>
        <w:kern w:val="2"/>
        <w:sz w:val="18"/>
        <w:szCs w:val="18"/>
        <w:lang w:val="en-US" w:eastAsia="zh-CN" w:bidi="ar-SA"/>
      </w:rPr>
    </w:sdtEndPr>
    <w:sdtContent>
      <w:p>
        <w:pPr>
          <w:widowControl w:val="0"/>
          <w:snapToGrid w:val="0"/>
          <w:jc w:val="left"/>
          <w:rPr>
            <w:rFonts w:ascii="Times New Roman" w:hAnsi="Times New Roman" w:eastAsia="宋体" w:cs="Times New Roman"/>
            <w:kern w:val="2"/>
            <w:sz w:val="18"/>
            <w:szCs w:val="18"/>
            <w:lang w:val="en-US" w:eastAsia="zh-CN" w:bidi="ar-SA"/>
          </w:rPr>
        </w:pPr>
        <w:r>
          <w:rPr>
            <w:rFonts w:cs="Times New Roman" w:asciiTheme="minorEastAsia" w:hAnsiTheme="minorEastAsia" w:eastAsiaTheme="minorEastAsia"/>
            <w:kern w:val="2"/>
            <w:sz w:val="28"/>
            <w:szCs w:val="28"/>
            <w:lang w:val="en-US" w:eastAsia="zh-CN" w:bidi="ar-SA"/>
          </w:rPr>
          <w:fldChar w:fldCharType="begin"/>
        </w:r>
        <w:r>
          <w:rPr>
            <w:rFonts w:cs="Times New Roman" w:asciiTheme="minorEastAsia" w:hAnsiTheme="minorEastAsia" w:eastAsiaTheme="minorEastAsia"/>
            <w:kern w:val="2"/>
            <w:sz w:val="28"/>
            <w:szCs w:val="28"/>
            <w:lang w:val="en-US" w:eastAsia="zh-CN" w:bidi="ar-SA"/>
          </w:rPr>
          <w:instrText xml:space="preserve"> PAGE   \* MERGEFORMAT </w:instrText>
        </w:r>
        <w:r>
          <w:rPr>
            <w:rFonts w:cs="Times New Roman" w:asciiTheme="minorEastAsia" w:hAnsiTheme="minorEastAsia" w:eastAsiaTheme="minorEastAsia"/>
            <w:kern w:val="2"/>
            <w:sz w:val="28"/>
            <w:szCs w:val="28"/>
            <w:lang w:val="en-US" w:eastAsia="zh-CN" w:bidi="ar-SA"/>
          </w:rPr>
          <w:fldChar w:fldCharType="separate"/>
        </w:r>
        <w:r>
          <w:rPr>
            <w:rFonts w:cs="Times New Roman" w:asciiTheme="minorEastAsia" w:hAnsiTheme="minorEastAsia" w:eastAsiaTheme="minorEastAsia"/>
            <w:kern w:val="2"/>
            <w:sz w:val="28"/>
            <w:szCs w:val="28"/>
            <w:lang w:val="zh-CN" w:eastAsia="zh-CN" w:bidi="ar-SA"/>
          </w:rPr>
          <w:t>-</w:t>
        </w:r>
        <w:r>
          <w:rPr>
            <w:rFonts w:cs="Times New Roman" w:asciiTheme="minorEastAsia" w:hAnsiTheme="minorEastAsia" w:eastAsiaTheme="minorEastAsia"/>
            <w:kern w:val="2"/>
            <w:sz w:val="28"/>
            <w:szCs w:val="28"/>
            <w:lang w:val="en-US" w:eastAsia="zh-CN" w:bidi="ar-SA"/>
          </w:rPr>
          <w:t xml:space="preserve"> 12 -</w:t>
        </w:r>
        <w:r>
          <w:rPr>
            <w:rFonts w:cs="Times New Roman" w:asciiTheme="minorEastAsia" w:hAnsiTheme="minorEastAsia" w:eastAsiaTheme="minorEastAsia"/>
            <w:kern w:val="2"/>
            <w:sz w:val="28"/>
            <w:szCs w:val="28"/>
            <w:lang w:val="en-US" w:eastAsia="zh-CN" w:bidi="ar-SA"/>
          </w:rPr>
          <w:fldChar w:fldCharType="end"/>
        </w:r>
      </w:p>
    </w:sdtContent>
  </w:sdt>
  <w:p>
    <w:pPr>
      <w:widowControl w:val="0"/>
      <w:tabs>
        <w:tab w:val="right" w:pos="9184"/>
      </w:tabs>
      <w:snapToGrid w:val="0"/>
      <w:jc w:val="left"/>
      <w:rPr>
        <w:rFonts w:ascii="宋体" w:hAnsi="宋体" w:eastAsia="宋体" w:cs="Times New Roman"/>
        <w:kern w:val="2"/>
        <w:sz w:val="28"/>
        <w:szCs w:val="2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sdt>
                    <w:sdtPr>
                      <w:id w:val="-1994781956"/>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v:textbox>
            </v:shape>
          </w:pict>
        </mc:Fallback>
      </mc:AlternateContent>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jc w:val="center"/>
      <w:rPr>
        <w:rFonts w:ascii="Times New Roman" w:hAnsi="Times New Roman"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FA47B13F"/>
    <w:multiLevelType w:val="singleLevel"/>
    <w:tmpl w:val="FA47B13F"/>
    <w:lvl w:ilvl="0" w:tentative="0">
      <w:start w:val="2"/>
      <w:numFmt w:val="decimal"/>
      <w:suff w:val="nothing"/>
      <w:lvlText w:val="（%1）"/>
      <w:lvlJc w:val="left"/>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abstractNum w:abstractNumId="4">
    <w:nsid w:val="3E794925"/>
    <w:multiLevelType w:val="singleLevel"/>
    <w:tmpl w:val="3E794925"/>
    <w:lvl w:ilvl="0" w:tentative="0">
      <w:start w:val="3"/>
      <w:numFmt w:val="chineseCounting"/>
      <w:suff w:val="nothing"/>
      <w:lvlText w:val="（%1）"/>
      <w:lvlJc w:val="left"/>
      <w:rPr>
        <w:rFonts w:hint="eastAsia"/>
      </w:rPr>
    </w:lvl>
  </w:abstractNum>
  <w:abstractNum w:abstractNumId="5">
    <w:nsid w:val="481867CA"/>
    <w:multiLevelType w:val="singleLevel"/>
    <w:tmpl w:val="481867CA"/>
    <w:lvl w:ilvl="0" w:tentative="0">
      <w:start w:val="2"/>
      <w:numFmt w:val="decimal"/>
      <w:suff w:val="nothing"/>
      <w:lvlText w:val="%1、"/>
      <w:lvlJc w:val="left"/>
    </w:lvl>
  </w:abstractNum>
  <w:abstractNum w:abstractNumId="6">
    <w:nsid w:val="54AA4D9E"/>
    <w:multiLevelType w:val="singleLevel"/>
    <w:tmpl w:val="54AA4D9E"/>
    <w:lvl w:ilvl="0" w:tentative="0">
      <w:start w:val="2"/>
      <w:numFmt w:val="chineseCounting"/>
      <w:suff w:val="nothing"/>
      <w:lvlText w:val="（%1）"/>
      <w:lvlJc w:val="left"/>
      <w:rPr>
        <w:rFonts w:hint="eastAsia"/>
      </w:rPr>
    </w:lvl>
  </w:abstractNum>
  <w:num w:numId="1">
    <w:abstractNumId w:val="3"/>
  </w:num>
  <w:num w:numId="2">
    <w:abstractNumId w:val="2"/>
  </w:num>
  <w:num w:numId="3">
    <w:abstractNumId w:val="0"/>
  </w:num>
  <w:num w:numId="4">
    <w:abstractNumId w:val="5"/>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1M2U3ZDdmY2FmN2RkYTRiNjZhZTc1ZmI3MGNjMDkifQ=="/>
  </w:docVars>
  <w:rsids>
    <w:rsidRoot w:val="00F1361C"/>
    <w:rsid w:val="00004EFB"/>
    <w:rsid w:val="000222C6"/>
    <w:rsid w:val="0002549F"/>
    <w:rsid w:val="00041E44"/>
    <w:rsid w:val="000468DB"/>
    <w:rsid w:val="0006487A"/>
    <w:rsid w:val="00065F8F"/>
    <w:rsid w:val="00070A43"/>
    <w:rsid w:val="0007429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195B"/>
    <w:rsid w:val="001877A7"/>
    <w:rsid w:val="00191536"/>
    <w:rsid w:val="00196687"/>
    <w:rsid w:val="001C0962"/>
    <w:rsid w:val="001D7531"/>
    <w:rsid w:val="001E737D"/>
    <w:rsid w:val="001F0592"/>
    <w:rsid w:val="001F54EE"/>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247F"/>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7349E"/>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DE3"/>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7100E"/>
    <w:rsid w:val="00C87FD8"/>
    <w:rsid w:val="00C91381"/>
    <w:rsid w:val="00C91CBB"/>
    <w:rsid w:val="00CB067C"/>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0324"/>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16BA8"/>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3836"/>
    <w:rsid w:val="00F36D8F"/>
    <w:rsid w:val="00F417B1"/>
    <w:rsid w:val="00F45853"/>
    <w:rsid w:val="00F602DF"/>
    <w:rsid w:val="00F754A1"/>
    <w:rsid w:val="00F81FD9"/>
    <w:rsid w:val="00F841AA"/>
    <w:rsid w:val="00F84A94"/>
    <w:rsid w:val="00F87E96"/>
    <w:rsid w:val="00FA23E8"/>
    <w:rsid w:val="00FD3CC1"/>
    <w:rsid w:val="00FF1E02"/>
    <w:rsid w:val="00FF30B4"/>
    <w:rsid w:val="023E207F"/>
    <w:rsid w:val="024D0FEB"/>
    <w:rsid w:val="03C91A66"/>
    <w:rsid w:val="053A62B5"/>
    <w:rsid w:val="0635591C"/>
    <w:rsid w:val="0817685E"/>
    <w:rsid w:val="08F54325"/>
    <w:rsid w:val="09160D13"/>
    <w:rsid w:val="0A2032A3"/>
    <w:rsid w:val="0AF815C4"/>
    <w:rsid w:val="0B8A37D8"/>
    <w:rsid w:val="0F345E5E"/>
    <w:rsid w:val="10C055FF"/>
    <w:rsid w:val="118107EC"/>
    <w:rsid w:val="11965209"/>
    <w:rsid w:val="11B32A8E"/>
    <w:rsid w:val="11DD6519"/>
    <w:rsid w:val="12886CF5"/>
    <w:rsid w:val="129C7C9D"/>
    <w:rsid w:val="134743B4"/>
    <w:rsid w:val="134C0E4A"/>
    <w:rsid w:val="13927B98"/>
    <w:rsid w:val="14A26980"/>
    <w:rsid w:val="16BB723D"/>
    <w:rsid w:val="177A5FCB"/>
    <w:rsid w:val="18015F3F"/>
    <w:rsid w:val="19B51F74"/>
    <w:rsid w:val="1A1E26B0"/>
    <w:rsid w:val="1B2D320E"/>
    <w:rsid w:val="1B4628E3"/>
    <w:rsid w:val="1B9C2CAA"/>
    <w:rsid w:val="1BE8440E"/>
    <w:rsid w:val="1D155CEE"/>
    <w:rsid w:val="20C655AC"/>
    <w:rsid w:val="20F57F95"/>
    <w:rsid w:val="218F7707"/>
    <w:rsid w:val="22654390"/>
    <w:rsid w:val="237A35D9"/>
    <w:rsid w:val="23E77C20"/>
    <w:rsid w:val="240371BF"/>
    <w:rsid w:val="24A726B3"/>
    <w:rsid w:val="250C3676"/>
    <w:rsid w:val="25711CC6"/>
    <w:rsid w:val="25C741E6"/>
    <w:rsid w:val="27842671"/>
    <w:rsid w:val="29A3242F"/>
    <w:rsid w:val="29CA6AC9"/>
    <w:rsid w:val="29FD04D3"/>
    <w:rsid w:val="2ABE7A3E"/>
    <w:rsid w:val="2B565F8A"/>
    <w:rsid w:val="2C217EDD"/>
    <w:rsid w:val="2C3F68AE"/>
    <w:rsid w:val="2CA234A8"/>
    <w:rsid w:val="2EFA178C"/>
    <w:rsid w:val="309B1693"/>
    <w:rsid w:val="30B46D73"/>
    <w:rsid w:val="319F7F4E"/>
    <w:rsid w:val="32782DAD"/>
    <w:rsid w:val="329007E0"/>
    <w:rsid w:val="332D6114"/>
    <w:rsid w:val="33BF440A"/>
    <w:rsid w:val="35AF35F2"/>
    <w:rsid w:val="36236880"/>
    <w:rsid w:val="37ED1062"/>
    <w:rsid w:val="383D272C"/>
    <w:rsid w:val="3930743C"/>
    <w:rsid w:val="39341FA6"/>
    <w:rsid w:val="397E43B7"/>
    <w:rsid w:val="39AE70AB"/>
    <w:rsid w:val="3A2F25BC"/>
    <w:rsid w:val="3AE25FBA"/>
    <w:rsid w:val="3B1B0AFB"/>
    <w:rsid w:val="3B7C24AC"/>
    <w:rsid w:val="3C0C0783"/>
    <w:rsid w:val="3C3C4D89"/>
    <w:rsid w:val="3E25745A"/>
    <w:rsid w:val="3E28551E"/>
    <w:rsid w:val="3F49464D"/>
    <w:rsid w:val="3F8C0D91"/>
    <w:rsid w:val="3F9F3A96"/>
    <w:rsid w:val="3FC061FD"/>
    <w:rsid w:val="413C629B"/>
    <w:rsid w:val="43A862BA"/>
    <w:rsid w:val="4444739A"/>
    <w:rsid w:val="47A73B18"/>
    <w:rsid w:val="47D94ED7"/>
    <w:rsid w:val="48201F39"/>
    <w:rsid w:val="48BF60AB"/>
    <w:rsid w:val="493C27E9"/>
    <w:rsid w:val="496F39ED"/>
    <w:rsid w:val="49FF41D3"/>
    <w:rsid w:val="4B562EC4"/>
    <w:rsid w:val="4BE068DB"/>
    <w:rsid w:val="4BF6002B"/>
    <w:rsid w:val="4D6640C3"/>
    <w:rsid w:val="4ECE2238"/>
    <w:rsid w:val="4F877FFB"/>
    <w:rsid w:val="51104AD1"/>
    <w:rsid w:val="51A9502E"/>
    <w:rsid w:val="51DB4B86"/>
    <w:rsid w:val="524E0C7A"/>
    <w:rsid w:val="5266772A"/>
    <w:rsid w:val="52E67338"/>
    <w:rsid w:val="534476AD"/>
    <w:rsid w:val="5393011E"/>
    <w:rsid w:val="55333C3E"/>
    <w:rsid w:val="567A2408"/>
    <w:rsid w:val="56A03306"/>
    <w:rsid w:val="57460C26"/>
    <w:rsid w:val="58AF10B6"/>
    <w:rsid w:val="595B1A1E"/>
    <w:rsid w:val="5A7E62D0"/>
    <w:rsid w:val="5AEF4DF9"/>
    <w:rsid w:val="5BA95581"/>
    <w:rsid w:val="5CC42AF4"/>
    <w:rsid w:val="5EC34F89"/>
    <w:rsid w:val="5F977904"/>
    <w:rsid w:val="5FD220D6"/>
    <w:rsid w:val="5FD46BD0"/>
    <w:rsid w:val="608F74E6"/>
    <w:rsid w:val="60AE15D3"/>
    <w:rsid w:val="60E75965"/>
    <w:rsid w:val="62190414"/>
    <w:rsid w:val="624159D5"/>
    <w:rsid w:val="6288479F"/>
    <w:rsid w:val="62C612B8"/>
    <w:rsid w:val="62EE0F55"/>
    <w:rsid w:val="63B65ECB"/>
    <w:rsid w:val="64182C76"/>
    <w:rsid w:val="64CA39A1"/>
    <w:rsid w:val="64EC0A65"/>
    <w:rsid w:val="6515250B"/>
    <w:rsid w:val="670462E8"/>
    <w:rsid w:val="682130D0"/>
    <w:rsid w:val="69630ADE"/>
    <w:rsid w:val="6A667F4F"/>
    <w:rsid w:val="6B4468B6"/>
    <w:rsid w:val="6C4A05C8"/>
    <w:rsid w:val="6D3B1A89"/>
    <w:rsid w:val="6E0760A4"/>
    <w:rsid w:val="6F5E31BE"/>
    <w:rsid w:val="71BE0DD9"/>
    <w:rsid w:val="71BF4EC2"/>
    <w:rsid w:val="72734D90"/>
    <w:rsid w:val="72CA5EF4"/>
    <w:rsid w:val="72F716FD"/>
    <w:rsid w:val="73E4710C"/>
    <w:rsid w:val="7412278C"/>
    <w:rsid w:val="748F1B8E"/>
    <w:rsid w:val="75302ED6"/>
    <w:rsid w:val="75463837"/>
    <w:rsid w:val="76057215"/>
    <w:rsid w:val="760827BD"/>
    <w:rsid w:val="781F7CA9"/>
    <w:rsid w:val="791E15E7"/>
    <w:rsid w:val="79E7B28D"/>
    <w:rsid w:val="7A9C55FD"/>
    <w:rsid w:val="7B3F4A79"/>
    <w:rsid w:val="7B6A1BB6"/>
    <w:rsid w:val="7D0B2065"/>
    <w:rsid w:val="7E870801"/>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2">
    <w:name w:val="Body Text"/>
    <w:basedOn w:val="1"/>
    <w:next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字符"/>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字符"/>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字符"/>
    <w:link w:val="2"/>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字符"/>
    <w:basedOn w:val="14"/>
    <w:link w:val="3"/>
    <w:qFormat/>
    <w:uiPriority w:val="9"/>
    <w:rPr>
      <w:rFonts w:ascii="Times New Roman" w:hAnsi="Times New Roman"/>
      <w:b/>
      <w:bCs/>
      <w:kern w:val="44"/>
      <w:sz w:val="44"/>
      <w:szCs w:val="44"/>
    </w:rPr>
  </w:style>
  <w:style w:type="character" w:customStyle="1" w:styleId="26">
    <w:name w:val="标题 2 字符"/>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字符"/>
    <w:basedOn w:val="14"/>
    <w:link w:val="7"/>
    <w:semiHidden/>
    <w:qFormat/>
    <w:uiPriority w:val="99"/>
    <w:rPr>
      <w:rFonts w:ascii="Times New Roman" w:hAnsi="Times New Roman"/>
      <w:kern w:val="2"/>
      <w:sz w:val="18"/>
      <w:szCs w:val="18"/>
    </w:rPr>
  </w:style>
  <w:style w:type="character" w:customStyle="1" w:styleId="29">
    <w:name w:val="标题 3 字符"/>
    <w:basedOn w:val="14"/>
    <w:link w:val="5"/>
    <w:qFormat/>
    <w:uiPriority w:val="9"/>
    <w:rPr>
      <w:rFonts w:ascii="Times New Roman" w:hAnsi="Times New Roman"/>
      <w:b/>
      <w:bCs/>
      <w:kern w:val="2"/>
      <w:sz w:val="32"/>
      <w:szCs w:val="32"/>
    </w:rPr>
  </w:style>
  <w:style w:type="paragraph" w:customStyle="1" w:styleId="30">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15"/>
    <w:basedOn w:val="14"/>
    <w:qFormat/>
    <w:uiPriority w:val="0"/>
    <w:rPr>
      <w:rFonts w:hint="default" w:ascii="Times New Roman" w:eastAsia="楷体_GB2312" w:cs="楷体_GB2312"/>
      <w:sz w:val="28"/>
      <w:szCs w:val="28"/>
    </w:rPr>
  </w:style>
  <w:style w:type="character" w:customStyle="1" w:styleId="32">
    <w:name w:val="标题 1 Char"/>
    <w:basedOn w:val="14"/>
    <w:link w:val="3"/>
    <w:qFormat/>
    <w:uiPriority w:val="9"/>
    <w:rPr>
      <w:rFonts w:ascii="Times New Roman" w:hAnsi="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USER\AppData\Local\Temp\wps.Pg5364\Workbook1.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endParaRPr lang="en-US" altLang="zh-CN"/>
          </a:p>
        </c:rich>
      </c:tx>
      <c:layout/>
      <c:overlay val="0"/>
      <c:spPr>
        <a:noFill/>
        <a:ln>
          <a:noFill/>
        </a:ln>
        <a:effectLst/>
      </c:spPr>
    </c:title>
    <c:autoTitleDeleted val="0"/>
    <c:plotArea>
      <c:layout/>
      <c:barChart>
        <c:barDir val="col"/>
        <c:grouping val="clustered"/>
        <c:varyColors val="0"/>
        <c:ser>
          <c:idx val="0"/>
          <c:order val="0"/>
          <c:tx>
            <c:strRef>
              <c:f>Sheet1!$A$2</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Sheet1!$B$1:$C$1</c:f>
              <c:strCache>
                <c:ptCount val="2"/>
                <c:pt idx="0">
                  <c:v>2022年</c:v>
                </c:pt>
                <c:pt idx="1">
                  <c:v>2021年</c:v>
                </c:pt>
              </c:strCache>
            </c:strRef>
          </c:cat>
          <c:val>
            <c:numRef>
              <c:f>Sheet1!$B$2:$C$2</c:f>
              <c:numCache>
                <c:formatCode>General</c:formatCode>
                <c:ptCount val="2"/>
                <c:pt idx="0">
                  <c:v>4567.01</c:v>
                </c:pt>
                <c:pt idx="1">
                  <c:v>6156.69</c:v>
                </c:pt>
              </c:numCache>
            </c:numRef>
          </c:val>
        </c:ser>
        <c:ser>
          <c:idx val="1"/>
          <c:order val="1"/>
          <c:tx>
            <c:strRef>
              <c:f>Sheet1!$A$3</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Sheet1!$B$1:$C$1</c:f>
              <c:strCache>
                <c:ptCount val="2"/>
                <c:pt idx="0">
                  <c:v>2022年</c:v>
                </c:pt>
                <c:pt idx="1">
                  <c:v>2021年</c:v>
                </c:pt>
              </c:strCache>
            </c:strRef>
          </c:cat>
          <c:val>
            <c:numRef>
              <c:f>Sheet1!$B$3:$C$3</c:f>
              <c:numCache>
                <c:formatCode>General</c:formatCode>
                <c:ptCount val="2"/>
                <c:pt idx="0">
                  <c:v>4620.44</c:v>
                </c:pt>
                <c:pt idx="1">
                  <c:v>3102.1</c:v>
                </c:pt>
              </c:numCache>
            </c:numRef>
          </c:val>
        </c:ser>
        <c:dLbls>
          <c:showLegendKey val="0"/>
          <c:showVal val="0"/>
          <c:showCatName val="0"/>
          <c:showSerName val="0"/>
          <c:showPercent val="0"/>
          <c:showBubbleSize val="0"/>
        </c:dLbls>
        <c:gapWidth val="219"/>
        <c:overlap val="-27"/>
        <c:axId val="389173529"/>
        <c:axId val="495718120"/>
      </c:barChart>
      <c:catAx>
        <c:axId val="38917352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5718120"/>
        <c:crosses val="autoZero"/>
        <c:auto val="1"/>
        <c:lblAlgn val="ctr"/>
        <c:lblOffset val="100"/>
        <c:noMultiLvlLbl val="0"/>
      </c:catAx>
      <c:valAx>
        <c:axId val="495718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917352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tx>
            <c:strRef>
              <c:f>Sheet1!$B$1</c:f>
              <c:strCache>
                <c:ptCount val="1"/>
                <c:pt idx="0">
                  <c:v>图2</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Sheet1!$B$2:$B$9</c:f>
              <c:numCache>
                <c:formatCode>0.00%</c:formatCode>
                <c:ptCount val="8"/>
                <c:pt idx="0">
                  <c:v>0.5755</c:v>
                </c:pt>
                <c:pt idx="1">
                  <c:v>0.4245</c:v>
                </c:pt>
                <c:pt idx="2" c:formatCode="General">
                  <c:v>0</c:v>
                </c:pt>
                <c:pt idx="3" c:formatCode="General">
                  <c:v>0</c:v>
                </c:pt>
                <c:pt idx="4" c:formatCode="General">
                  <c:v>0</c:v>
                </c:pt>
                <c:pt idx="5" c:formatCode="General">
                  <c:v>0</c:v>
                </c:pt>
                <c:pt idx="6" c:formatCode="General">
                  <c:v>0</c:v>
                </c:pt>
                <c:pt idx="7" c:formatCode="General">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152"/>
          <c:y val="0.878666666666667"/>
          <c:w val="0.821875"/>
          <c:h val="0.10133333333333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tx>
            <c:strRef>
              <c:f>Sheet1!$B$1</c:f>
              <c:strCache>
                <c:ptCount val="1"/>
                <c:pt idx="0">
                  <c:v>图3</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0"/>
              <c:layout/>
              <c:dLblPos val="bestFit"/>
              <c:showLegendKey val="0"/>
              <c:showVal val="1"/>
              <c:showCatName val="0"/>
              <c:showSerName val="0"/>
              <c:showPercent val="0"/>
              <c:showBubbleSize val="0"/>
              <c:extLst>
                <c:ext xmlns:c15="http://schemas.microsoft.com/office/drawing/2012/chart" uri="{CE6537A1-D6FC-4f65-9D91-7224C49458BB}"/>
              </c:extLst>
            </c:dLbl>
            <c:dLbl>
              <c:idx val="1"/>
              <c:layout/>
              <c:dLblPos val="bestFit"/>
              <c:showLegendKey val="0"/>
              <c:showVal val="1"/>
              <c:showCatName val="0"/>
              <c:showSerName val="0"/>
              <c:showPercent val="0"/>
              <c:showBubbleSize val="0"/>
              <c:extLst>
                <c:ext xmlns:c15="http://schemas.microsoft.com/office/drawing/2012/chart" uri="{CE6537A1-D6FC-4f65-9D91-7224C49458BB}"/>
              </c:extLst>
            </c:dLbl>
            <c:dLbl>
              <c:idx val="2"/>
              <c:delete val="1"/>
            </c:dLbl>
            <c:dLbl>
              <c:idx val="3"/>
              <c:delete val="1"/>
            </c:dLbl>
            <c:dLbl>
              <c:idx val="4"/>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0.00%</c:formatCode>
                <c:ptCount val="5"/>
                <c:pt idx="0">
                  <c:v>0.483</c:v>
                </c:pt>
                <c:pt idx="1">
                  <c:v>0.517</c:v>
                </c:pt>
                <c:pt idx="2" c:formatCode="General">
                  <c:v>0</c:v>
                </c:pt>
                <c:pt idx="3" c:formatCode="General">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2021年</c:v>
                </c:pt>
              </c:strCache>
            </c:strRef>
          </c:cat>
          <c:val>
            <c:numRef>
              <c:f>Sheet1!$B$2:$B$3</c:f>
              <c:numCache>
                <c:formatCode>General</c:formatCode>
                <c:ptCount val="2"/>
                <c:pt idx="0">
                  <c:v>4567.01</c:v>
                </c:pt>
                <c:pt idx="1">
                  <c:v>6156.69</c:v>
                </c:pt>
              </c:numCache>
            </c:numRef>
          </c:val>
        </c:ser>
        <c:ser>
          <c:idx val="1"/>
          <c:order val="1"/>
          <c:tx>
            <c:strRef>
              <c:f>Sheet1!$C$1</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2021年</c:v>
                </c:pt>
              </c:strCache>
            </c:strRef>
          </c:cat>
          <c:val>
            <c:numRef>
              <c:f>Sheet1!$C$2:$C$3</c:f>
              <c:numCache>
                <c:formatCode>General</c:formatCode>
                <c:ptCount val="2"/>
                <c:pt idx="0">
                  <c:v>4620.44</c:v>
                </c:pt>
                <c:pt idx="1">
                  <c:v>3102.1</c:v>
                </c:pt>
              </c:numCache>
            </c:numRef>
          </c:val>
        </c:ser>
        <c:dLbls>
          <c:showLegendKey val="0"/>
          <c:showVal val="1"/>
          <c:showCatName val="0"/>
          <c:showSerName val="0"/>
          <c:showPercent val="0"/>
          <c:showBubbleSize val="0"/>
        </c:dLbls>
        <c:gapWidth val="219"/>
        <c:overlap val="-27"/>
        <c:axId val="637579150"/>
        <c:axId val="366664835"/>
      </c:barChart>
      <c:catAx>
        <c:axId val="63757915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6664835"/>
        <c:crosses val="autoZero"/>
        <c:auto val="1"/>
        <c:lblAlgn val="ctr"/>
        <c:lblOffset val="100"/>
        <c:noMultiLvlLbl val="0"/>
      </c:catAx>
      <c:valAx>
        <c:axId val="36666483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375791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
                </c:pt>
              </c:strCache>
            </c:strRef>
          </c:tx>
          <c:spPr>
            <a:solidFill>
              <a:schemeClr val="accent1"/>
            </a:solidFill>
            <a:ln>
              <a:noFill/>
            </a:ln>
            <a:effectLst/>
          </c:spPr>
          <c:invertIfNegative val="0"/>
          <c:dLbls>
            <c:delete val="1"/>
          </c:dLbls>
          <c:cat>
            <c:strRef>
              <c:f>Sheet1!$A$2:$A$3</c:f>
              <c:strCache>
                <c:ptCount val="2"/>
                <c:pt idx="0">
                  <c:v>2022年</c:v>
                </c:pt>
                <c:pt idx="1">
                  <c:v>2021年</c:v>
                </c:pt>
              </c:strCache>
            </c:strRef>
          </c:cat>
          <c:val>
            <c:numRef>
              <c:f>Sheet1!$B$2:$B$3</c:f>
              <c:numCache>
                <c:formatCode>General</c:formatCode>
                <c:ptCount val="2"/>
                <c:pt idx="0">
                  <c:v>2681.65</c:v>
                </c:pt>
                <c:pt idx="1">
                  <c:v>2145.07</c:v>
                </c:pt>
              </c:numCache>
            </c:numRef>
          </c:val>
        </c:ser>
        <c:dLbls>
          <c:showLegendKey val="0"/>
          <c:showVal val="0"/>
          <c:showCatName val="0"/>
          <c:showSerName val="0"/>
          <c:showPercent val="0"/>
          <c:showBubbleSize val="0"/>
        </c:dLbls>
        <c:gapWidth val="219"/>
        <c:overlap val="-27"/>
        <c:axId val="951701143"/>
        <c:axId val="866261915"/>
      </c:barChart>
      <c:catAx>
        <c:axId val="95170114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6261915"/>
        <c:crosses val="autoZero"/>
        <c:auto val="1"/>
        <c:lblAlgn val="ctr"/>
        <c:lblOffset val="100"/>
        <c:noMultiLvlLbl val="0"/>
      </c:catAx>
      <c:valAx>
        <c:axId val="8662619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1701143"/>
        <c:crosses val="autoZero"/>
        <c:crossBetween val="between"/>
      </c:valAx>
      <c:spPr>
        <a:noFill/>
        <a:ln>
          <a:noFill/>
        </a:ln>
        <a:effectLst/>
      </c:spPr>
    </c:plotArea>
    <c:legend>
      <c:legendPos val="b"/>
      <c:layout>
        <c:manualLayout>
          <c:xMode val="edge"/>
          <c:yMode val="edge"/>
          <c:x val="0.461375"/>
          <c:y val="0.907333333333333"/>
          <c:w val="0.120625"/>
          <c:h val="0.072666666666666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4"/>
                <c:pt idx="0">
                  <c:v>第一季度</c:v>
                </c:pt>
                <c:pt idx="1">
                  <c:v>第二季度</c:v>
                </c:pt>
                <c:pt idx="2">
                  <c:v>第三季度</c:v>
                </c:pt>
                <c:pt idx="3">
                  <c:v>第四季度</c:v>
                </c:pt>
              </c:strCache>
            </c:strRef>
          </c:cat>
          <c:val>
            <c:numRef>
              <c:f>Sheet1!$B$2:$B$5</c:f>
              <c:numCache>
                <c:formatCode>General</c:formatCode>
                <c:ptCount val="4"/>
                <c:pt idx="0">
                  <c:v>8.2</c:v>
                </c:pt>
                <c:pt idx="1">
                  <c:v>3.2</c:v>
                </c:pt>
                <c:pt idx="2">
                  <c:v>1.4</c:v>
                </c:pt>
                <c:pt idx="3">
                  <c:v>1.2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a:t>
            </a:r>
            <a:r>
              <a:rPr altLang="en-US"/>
              <a:t>三公</a:t>
            </a:r>
            <a:r>
              <a:rPr lang="en-US" altLang="zh-CN"/>
              <a:t>”</a:t>
            </a:r>
            <a:r>
              <a:rPr altLang="en-US"/>
              <a:t>经费财政拨款支出结构</a:t>
            </a:r>
            <a:endParaRPr lang="en-US" altLang="zh-CN"/>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formatCode="0.00%">
                  <c:v>0.9751</c:v>
                </c:pt>
                <c:pt idx="2" c:formatCode="0.00%">
                  <c:v>0.0249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52</Pages>
  <Words>16085</Words>
  <Characters>17357</Characters>
  <Lines>71</Lines>
  <Paragraphs>20</Paragraphs>
  <TotalTime>16</TotalTime>
  <ScaleCrop>false</ScaleCrop>
  <LinksUpToDate>false</LinksUpToDate>
  <CharactersWithSpaces>17448</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USER</cp:lastModifiedBy>
  <cp:lastPrinted>2023-12-01T02:19:00Z</cp:lastPrinted>
  <dcterms:modified xsi:type="dcterms:W3CDTF">2023-12-13T07:57:18Z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y fmtid="{D5CDD505-2E9C-101B-9397-08002B2CF9AE}" pid="3" name="ICV">
    <vt:lpwstr>97251F3BEA3F4494BE56CC2F51D1100E_12</vt:lpwstr>
  </property>
</Properties>
</file>