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96597"/>
      <w:bookmarkStart w:id="1" w:name="_Toc15378441"/>
      <w:bookmarkStart w:id="2" w:name="_Toc15377425"/>
      <w:bookmarkStart w:id="3" w:name="_Toc15396475"/>
      <w:bookmarkStart w:id="4" w:name="_Toc15377193"/>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b/>
          <w:bCs/>
          <w:sz w:val="72"/>
          <w:szCs w:val="72"/>
        </w:rPr>
      </w:pPr>
      <w:r>
        <w:rPr>
          <w:rFonts w:hint="eastAsia" w:ascii="方正小标宋简体" w:hAnsi="方正小标宋简体" w:eastAsia="方正小标宋简体" w:cs="方正小标宋简体"/>
          <w:b/>
          <w:bCs/>
          <w:sz w:val="72"/>
          <w:szCs w:val="72"/>
        </w:rPr>
        <w:t>2022年度</w:t>
      </w:r>
      <w:bookmarkEnd w:id="0"/>
      <w:bookmarkEnd w:id="1"/>
      <w:bookmarkEnd w:id="2"/>
      <w:bookmarkEnd w:id="3"/>
      <w:bookmarkEnd w:id="4"/>
    </w:p>
    <w:bookmarkEnd w:id="5"/>
    <w:p>
      <w:pPr>
        <w:adjustRightInd w:val="0"/>
        <w:snapToGrid w:val="0"/>
        <w:spacing w:line="360" w:lineRule="auto"/>
        <w:jc w:val="center"/>
        <w:outlineLvl w:val="0"/>
        <w:rPr>
          <w:rFonts w:ascii="方正小标宋简体" w:hAnsi="方正小标宋简体" w:eastAsia="方正小标宋简体" w:cs="方正小标宋简体"/>
          <w:b/>
          <w:bCs/>
          <w:sz w:val="72"/>
          <w:szCs w:val="72"/>
        </w:rPr>
        <w:sectPr>
          <w:headerReference r:id="rId3" w:type="default"/>
          <w:pgSz w:w="11906" w:h="16838"/>
          <w:pgMar w:top="1440" w:right="1800" w:bottom="1440" w:left="1800" w:header="851" w:footer="992" w:gutter="0"/>
          <w:pgNumType w:start="1"/>
          <w:cols w:space="425" w:num="1"/>
          <w:titlePg/>
          <w:docGrid w:type="lines" w:linePitch="312" w:charSpace="0"/>
        </w:sectPr>
      </w:pPr>
      <w:bookmarkStart w:id="6" w:name="_Toc15396476"/>
      <w:bookmarkStart w:id="7" w:name="_Toc15377194"/>
      <w:bookmarkStart w:id="8" w:name="_Toc15306268"/>
      <w:bookmarkStart w:id="9" w:name="_Toc15396598"/>
      <w:bookmarkStart w:id="10" w:name="_Toc15378442"/>
      <w:bookmarkStart w:id="11" w:name="_Toc15377426"/>
      <w:r>
        <w:rPr>
          <w:rFonts w:hint="eastAsia" w:ascii="方正小标宋简体" w:hAnsi="方正小标宋简体" w:eastAsia="方正小标宋简体" w:cs="方正小标宋简体"/>
          <w:b/>
          <w:bCs/>
          <w:sz w:val="72"/>
          <w:szCs w:val="72"/>
        </w:rPr>
        <w:t>四川省峨眉山市交通运输局部门决算</w:t>
      </w:r>
      <w:bookmarkEnd w:id="6"/>
      <w:bookmarkEnd w:id="7"/>
      <w:bookmarkEnd w:id="8"/>
      <w:bookmarkEnd w:id="9"/>
      <w:bookmarkEnd w:id="10"/>
      <w:bookmarkEnd w:id="11"/>
    </w:p>
    <w:p>
      <w:pPr>
        <w:widowControl/>
        <w:jc w:val="center"/>
        <w:rPr>
          <w:rFonts w:ascii="黑体" w:hAnsi="黑体" w:eastAsia="黑体"/>
          <w:sz w:val="48"/>
          <w:szCs w:val="48"/>
        </w:rPr>
      </w:pP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1"/>
        <w:rPr>
          <w:sz w:val="32"/>
          <w:szCs w:val="32"/>
        </w:rPr>
      </w:pPr>
      <w:r>
        <w:rPr>
          <w:rFonts w:hint="eastAsia"/>
          <w:sz w:val="32"/>
          <w:szCs w:val="32"/>
        </w:rPr>
        <w:t>公开时间：2023年12月12日</w:t>
      </w:r>
    </w:p>
    <w:p>
      <w:pPr>
        <w:rPr>
          <w:sz w:val="32"/>
          <w:szCs w:val="32"/>
        </w:rPr>
      </w:pPr>
    </w:p>
    <w:p>
      <w:pPr>
        <w:pStyle w:val="11"/>
        <w:adjustRightInd w:val="0"/>
        <w:snapToGrid w:val="0"/>
        <w:spacing w:before="0" w:line="440" w:lineRule="exact"/>
        <w:jc w:val="left"/>
        <w:rPr>
          <w:rFonts w:cstheme="minorBidi"/>
          <w:sz w:val="32"/>
          <w:szCs w:val="32"/>
        </w:rPr>
      </w:pPr>
      <w:r>
        <w:rPr>
          <w:rFonts w:hint="eastAsia"/>
          <w:b/>
          <w:sz w:val="32"/>
          <w:szCs w:val="32"/>
        </w:rPr>
        <w:t>第一部分</w:t>
      </w:r>
      <w:r>
        <w:rPr>
          <w:b/>
          <w:sz w:val="32"/>
          <w:szCs w:val="32"/>
        </w:rPr>
        <w:t xml:space="preserve"> </w:t>
      </w:r>
      <w:r>
        <w:rPr>
          <w:rFonts w:hint="eastAsia"/>
          <w:b/>
          <w:sz w:val="32"/>
          <w:szCs w:val="32"/>
        </w:rPr>
        <w:t>部门概况</w:t>
      </w:r>
      <w:r>
        <w:rPr>
          <w:sz w:val="32"/>
          <w:szCs w:val="32"/>
        </w:rPr>
        <w:tab/>
      </w:r>
      <w:r>
        <w:rPr>
          <w:sz w:val="32"/>
          <w:szCs w:val="32"/>
        </w:rPr>
        <w:t>1</w:t>
      </w:r>
    </w:p>
    <w:p>
      <w:pPr>
        <w:pStyle w:val="12"/>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一、部门职责</w:t>
      </w:r>
      <w:r>
        <w:rPr>
          <w:rFonts w:ascii="仿宋" w:hAnsi="仿宋" w:eastAsia="仿宋"/>
          <w:sz w:val="32"/>
          <w:szCs w:val="32"/>
        </w:rPr>
        <w:tab/>
      </w:r>
      <w:r>
        <w:rPr>
          <w:rFonts w:ascii="仿宋" w:hAnsi="仿宋" w:eastAsia="仿宋"/>
          <w:sz w:val="32"/>
          <w:szCs w:val="32"/>
        </w:rPr>
        <w:t>1</w:t>
      </w:r>
    </w:p>
    <w:p>
      <w:pPr>
        <w:pStyle w:val="12"/>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二、机构设置</w:t>
      </w:r>
      <w:r>
        <w:rPr>
          <w:rFonts w:ascii="仿宋" w:hAnsi="仿宋" w:eastAsia="仿宋"/>
          <w:sz w:val="32"/>
          <w:szCs w:val="32"/>
        </w:rPr>
        <w:tab/>
      </w:r>
      <w:r>
        <w:rPr>
          <w:rFonts w:ascii="仿宋" w:hAnsi="仿宋" w:eastAsia="仿宋"/>
          <w:sz w:val="32"/>
          <w:szCs w:val="32"/>
        </w:rPr>
        <w:t>1</w:t>
      </w:r>
    </w:p>
    <w:p>
      <w:pPr>
        <w:pStyle w:val="11"/>
        <w:adjustRightInd w:val="0"/>
        <w:snapToGrid w:val="0"/>
        <w:spacing w:before="0" w:line="440" w:lineRule="exact"/>
        <w:jc w:val="left"/>
        <w:rPr>
          <w:sz w:val="32"/>
          <w:szCs w:val="32"/>
        </w:rPr>
      </w:pPr>
      <w:r>
        <w:rPr>
          <w:rFonts w:hint="eastAsia"/>
          <w:b/>
          <w:sz w:val="32"/>
          <w:szCs w:val="32"/>
        </w:rPr>
        <w:t>第二部分 2022年度部门决算情况说明</w:t>
      </w:r>
      <w:r>
        <w:rPr>
          <w:sz w:val="32"/>
          <w:szCs w:val="32"/>
        </w:rPr>
        <w:tab/>
      </w:r>
      <w:r>
        <w:rPr>
          <w:sz w:val="32"/>
          <w:szCs w:val="32"/>
        </w:rPr>
        <w:t>3</w:t>
      </w:r>
    </w:p>
    <w:p>
      <w:pPr>
        <w:pStyle w:val="12"/>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一、收入支出决算总体情况说明</w:t>
      </w:r>
      <w:r>
        <w:rPr>
          <w:rFonts w:ascii="仿宋" w:hAnsi="仿宋" w:eastAsia="仿宋"/>
          <w:sz w:val="32"/>
          <w:szCs w:val="32"/>
        </w:rPr>
        <w:tab/>
      </w:r>
      <w:r>
        <w:rPr>
          <w:rFonts w:ascii="仿宋" w:hAnsi="仿宋" w:eastAsia="仿宋"/>
          <w:sz w:val="32"/>
          <w:szCs w:val="32"/>
        </w:rPr>
        <w:t>3</w:t>
      </w:r>
    </w:p>
    <w:p>
      <w:pPr>
        <w:pStyle w:val="12"/>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二、收入决算情况说明</w:t>
      </w:r>
      <w:r>
        <w:rPr>
          <w:rFonts w:ascii="仿宋" w:hAnsi="仿宋" w:eastAsia="仿宋"/>
          <w:sz w:val="32"/>
          <w:szCs w:val="32"/>
        </w:rPr>
        <w:tab/>
      </w:r>
      <w:r>
        <w:rPr>
          <w:rFonts w:ascii="仿宋" w:hAnsi="仿宋" w:eastAsia="仿宋"/>
          <w:sz w:val="32"/>
          <w:szCs w:val="32"/>
        </w:rPr>
        <w:t>3</w:t>
      </w:r>
    </w:p>
    <w:p>
      <w:pPr>
        <w:pStyle w:val="12"/>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三、支出决算情况说明</w:t>
      </w:r>
      <w:r>
        <w:rPr>
          <w:rFonts w:ascii="仿宋" w:hAnsi="仿宋" w:eastAsia="仿宋"/>
          <w:sz w:val="32"/>
          <w:szCs w:val="32"/>
        </w:rPr>
        <w:tab/>
      </w:r>
      <w:r>
        <w:rPr>
          <w:rFonts w:ascii="仿宋" w:hAnsi="仿宋" w:eastAsia="仿宋"/>
          <w:sz w:val="32"/>
          <w:szCs w:val="32"/>
        </w:rPr>
        <w:t>4</w:t>
      </w:r>
    </w:p>
    <w:p>
      <w:pPr>
        <w:pStyle w:val="12"/>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四、财政拨款收入支出决算总体情况说明</w:t>
      </w:r>
      <w:r>
        <w:rPr>
          <w:rFonts w:ascii="仿宋" w:hAnsi="仿宋" w:eastAsia="仿宋"/>
          <w:sz w:val="32"/>
          <w:szCs w:val="32"/>
        </w:rPr>
        <w:tab/>
      </w:r>
      <w:r>
        <w:rPr>
          <w:rFonts w:ascii="仿宋" w:hAnsi="仿宋" w:eastAsia="仿宋"/>
          <w:sz w:val="32"/>
          <w:szCs w:val="32"/>
        </w:rPr>
        <w:t>5</w:t>
      </w:r>
    </w:p>
    <w:p>
      <w:pPr>
        <w:pStyle w:val="12"/>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五、一般公共预算财政拨款支出决算情况说明</w:t>
      </w:r>
      <w:r>
        <w:rPr>
          <w:rFonts w:ascii="仿宋" w:hAnsi="仿宋" w:eastAsia="仿宋"/>
          <w:sz w:val="32"/>
          <w:szCs w:val="32"/>
        </w:rPr>
        <w:tab/>
      </w:r>
      <w:r>
        <w:rPr>
          <w:rFonts w:ascii="仿宋" w:hAnsi="仿宋" w:eastAsia="仿宋"/>
          <w:sz w:val="32"/>
          <w:szCs w:val="32"/>
        </w:rPr>
        <w:t>6</w:t>
      </w:r>
    </w:p>
    <w:p>
      <w:pPr>
        <w:pStyle w:val="12"/>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六、一般公共预算财政拨款基本支出决算情况说明</w:t>
      </w:r>
      <w:r>
        <w:rPr>
          <w:rFonts w:ascii="仿宋" w:hAnsi="仿宋" w:eastAsia="仿宋"/>
          <w:sz w:val="32"/>
          <w:szCs w:val="32"/>
        </w:rPr>
        <w:tab/>
      </w:r>
      <w:r>
        <w:rPr>
          <w:rFonts w:ascii="仿宋" w:hAnsi="仿宋" w:eastAsia="仿宋"/>
          <w:sz w:val="32"/>
          <w:szCs w:val="32"/>
        </w:rPr>
        <w:t>13</w:t>
      </w:r>
    </w:p>
    <w:p>
      <w:pPr>
        <w:pStyle w:val="12"/>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七、财政拨款“三公”经费支出决算情况说明</w:t>
      </w:r>
      <w:r>
        <w:rPr>
          <w:rFonts w:ascii="仿宋" w:hAnsi="仿宋" w:eastAsia="仿宋"/>
          <w:sz w:val="32"/>
          <w:szCs w:val="32"/>
        </w:rPr>
        <w:tab/>
      </w:r>
      <w:r>
        <w:rPr>
          <w:rFonts w:ascii="仿宋" w:hAnsi="仿宋" w:eastAsia="仿宋"/>
          <w:sz w:val="32"/>
          <w:szCs w:val="32"/>
        </w:rPr>
        <w:t>13</w:t>
      </w:r>
    </w:p>
    <w:p>
      <w:pPr>
        <w:pStyle w:val="12"/>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八、政府性基金预算支出决算情况说明</w:t>
      </w:r>
      <w:r>
        <w:rPr>
          <w:rFonts w:ascii="仿宋" w:hAnsi="仿宋" w:eastAsia="仿宋"/>
          <w:sz w:val="32"/>
          <w:szCs w:val="32"/>
        </w:rPr>
        <w:tab/>
      </w:r>
      <w:r>
        <w:rPr>
          <w:rFonts w:ascii="仿宋" w:hAnsi="仿宋" w:eastAsia="仿宋"/>
          <w:sz w:val="32"/>
          <w:szCs w:val="32"/>
        </w:rPr>
        <w:t>16</w:t>
      </w:r>
    </w:p>
    <w:p>
      <w:pPr>
        <w:pStyle w:val="12"/>
        <w:adjustRightInd w:val="0"/>
        <w:snapToGrid w:val="0"/>
        <w:spacing w:line="440" w:lineRule="exact"/>
        <w:ind w:leftChars="0"/>
        <w:jc w:val="left"/>
        <w:rPr>
          <w:rFonts w:ascii="仿宋" w:hAnsi="仿宋" w:eastAsia="仿宋" w:cstheme="minorEastAsia"/>
          <w:sz w:val="32"/>
          <w:szCs w:val="32"/>
        </w:rPr>
      </w:pPr>
      <w:r>
        <w:rPr>
          <w:rFonts w:hint="eastAsia" w:ascii="仿宋" w:hAnsi="仿宋" w:eastAsia="仿宋" w:cstheme="minorEastAsia"/>
          <w:sz w:val="32"/>
          <w:szCs w:val="32"/>
        </w:rPr>
        <w:t>九、国有资本经营预算支出决算情况说明</w:t>
      </w:r>
      <w:r>
        <w:rPr>
          <w:rFonts w:ascii="仿宋" w:hAnsi="仿宋" w:eastAsia="仿宋" w:cstheme="minorEastAsia"/>
          <w:sz w:val="32"/>
          <w:szCs w:val="32"/>
        </w:rPr>
        <w:tab/>
      </w:r>
      <w:r>
        <w:rPr>
          <w:rFonts w:ascii="仿宋" w:hAnsi="仿宋" w:eastAsia="仿宋" w:cstheme="minorEastAsia"/>
          <w:sz w:val="32"/>
          <w:szCs w:val="32"/>
        </w:rPr>
        <w:t>16</w:t>
      </w:r>
    </w:p>
    <w:p>
      <w:pPr>
        <w:pStyle w:val="12"/>
        <w:adjustRightInd w:val="0"/>
        <w:snapToGrid w:val="0"/>
        <w:spacing w:line="440" w:lineRule="exact"/>
        <w:ind w:leftChars="0"/>
        <w:jc w:val="left"/>
        <w:rPr>
          <w:rFonts w:ascii="仿宋" w:hAnsi="仿宋" w:eastAsia="仿宋" w:cstheme="minorEastAsia"/>
          <w:sz w:val="32"/>
          <w:szCs w:val="32"/>
        </w:rPr>
      </w:pPr>
      <w:r>
        <w:rPr>
          <w:rFonts w:hint="eastAsia"/>
        </w:rPr>
        <w:t>十、</w:t>
      </w:r>
      <w:r>
        <w:rPr>
          <w:rFonts w:hint="eastAsia" w:ascii="仿宋" w:hAnsi="仿宋" w:eastAsia="仿宋" w:cstheme="minorEastAsia"/>
          <w:sz w:val="32"/>
          <w:szCs w:val="32"/>
        </w:rPr>
        <w:t>其他重要事项的情况说明</w:t>
      </w:r>
      <w:r>
        <w:rPr>
          <w:rFonts w:ascii="仿宋" w:hAnsi="仿宋" w:eastAsia="仿宋" w:cstheme="minorEastAsia"/>
          <w:sz w:val="32"/>
          <w:szCs w:val="32"/>
        </w:rPr>
        <w:tab/>
      </w:r>
      <w:r>
        <w:rPr>
          <w:rFonts w:ascii="仿宋" w:hAnsi="仿宋" w:eastAsia="仿宋" w:cstheme="minorEastAsia"/>
          <w:sz w:val="32"/>
          <w:szCs w:val="32"/>
        </w:rPr>
        <w:t>16</w:t>
      </w:r>
    </w:p>
    <w:p>
      <w:pPr>
        <w:pStyle w:val="11"/>
        <w:adjustRightInd w:val="0"/>
        <w:snapToGrid w:val="0"/>
        <w:spacing w:before="0" w:line="440" w:lineRule="exact"/>
        <w:jc w:val="left"/>
        <w:rPr>
          <w:rFonts w:cstheme="minorBidi"/>
          <w:b/>
          <w:sz w:val="32"/>
          <w:szCs w:val="32"/>
        </w:rPr>
      </w:pPr>
      <w:r>
        <w:rPr>
          <w:rFonts w:hint="eastAsia"/>
          <w:b/>
          <w:sz w:val="32"/>
          <w:szCs w:val="32"/>
        </w:rPr>
        <w:t>第三部分</w:t>
      </w:r>
      <w:r>
        <w:rPr>
          <w:b/>
          <w:sz w:val="32"/>
          <w:szCs w:val="32"/>
        </w:rPr>
        <w:t xml:space="preserve"> </w:t>
      </w:r>
      <w:r>
        <w:rPr>
          <w:rFonts w:hint="eastAsia"/>
          <w:b/>
          <w:sz w:val="32"/>
          <w:szCs w:val="32"/>
        </w:rPr>
        <w:t>名词解释</w:t>
      </w:r>
      <w:r>
        <w:rPr>
          <w:sz w:val="32"/>
          <w:szCs w:val="32"/>
        </w:rPr>
        <w:tab/>
      </w:r>
      <w:r>
        <w:rPr>
          <w:sz w:val="32"/>
          <w:szCs w:val="32"/>
        </w:rPr>
        <w:t>19</w:t>
      </w:r>
    </w:p>
    <w:p>
      <w:pPr>
        <w:pStyle w:val="11"/>
        <w:adjustRightInd w:val="0"/>
        <w:snapToGrid w:val="0"/>
        <w:spacing w:before="0" w:line="440" w:lineRule="exact"/>
        <w:jc w:val="left"/>
        <w:rPr>
          <w:rFonts w:cstheme="minorBidi"/>
          <w:b/>
          <w:sz w:val="32"/>
          <w:szCs w:val="32"/>
        </w:rPr>
      </w:pPr>
      <w:r>
        <w:rPr>
          <w:rFonts w:hint="eastAsia"/>
          <w:b/>
          <w:sz w:val="32"/>
          <w:szCs w:val="32"/>
        </w:rPr>
        <w:t>第四部分</w:t>
      </w:r>
      <w:r>
        <w:rPr>
          <w:b/>
          <w:sz w:val="32"/>
          <w:szCs w:val="32"/>
        </w:rPr>
        <w:t xml:space="preserve"> </w:t>
      </w:r>
      <w:r>
        <w:rPr>
          <w:rFonts w:hint="eastAsia"/>
          <w:b/>
          <w:sz w:val="32"/>
          <w:szCs w:val="32"/>
        </w:rPr>
        <w:t>附件</w:t>
      </w:r>
      <w:r>
        <w:rPr>
          <w:sz w:val="32"/>
          <w:szCs w:val="32"/>
        </w:rPr>
        <w:tab/>
      </w:r>
      <w:r>
        <w:rPr>
          <w:sz w:val="32"/>
          <w:szCs w:val="32"/>
        </w:rPr>
        <w:t>26</w:t>
      </w:r>
    </w:p>
    <w:p>
      <w:pPr>
        <w:pStyle w:val="11"/>
        <w:adjustRightInd w:val="0"/>
        <w:snapToGrid w:val="0"/>
        <w:spacing w:before="0" w:line="440" w:lineRule="exact"/>
        <w:jc w:val="left"/>
        <w:rPr>
          <w:rFonts w:cstheme="minorBidi"/>
          <w:b/>
          <w:sz w:val="32"/>
          <w:szCs w:val="32"/>
        </w:rPr>
      </w:pPr>
      <w:r>
        <w:rPr>
          <w:rFonts w:hint="eastAsia"/>
          <w:b/>
          <w:sz w:val="32"/>
          <w:szCs w:val="32"/>
        </w:rPr>
        <w:t>第五部分</w:t>
      </w:r>
      <w:r>
        <w:rPr>
          <w:b/>
          <w:sz w:val="32"/>
          <w:szCs w:val="32"/>
        </w:rPr>
        <w:t xml:space="preserve"> </w:t>
      </w:r>
      <w:r>
        <w:rPr>
          <w:rFonts w:hint="eastAsia"/>
          <w:b/>
          <w:sz w:val="32"/>
          <w:szCs w:val="32"/>
        </w:rPr>
        <w:t>附表</w:t>
      </w:r>
      <w:r>
        <w:rPr>
          <w:sz w:val="32"/>
          <w:szCs w:val="32"/>
        </w:rPr>
        <w:tab/>
      </w:r>
      <w:r>
        <w:rPr>
          <w:rFonts w:hint="eastAsia"/>
          <w:sz w:val="32"/>
          <w:szCs w:val="32"/>
        </w:rPr>
        <w:t>96</w:t>
      </w:r>
    </w:p>
    <w:p>
      <w:pPr>
        <w:pStyle w:val="12"/>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一、收入支出决算总表</w:t>
      </w:r>
      <w:r>
        <w:rPr>
          <w:rFonts w:ascii="仿宋" w:hAnsi="仿宋" w:eastAsia="仿宋"/>
          <w:sz w:val="32"/>
          <w:szCs w:val="32"/>
        </w:rPr>
        <w:tab/>
      </w:r>
      <w:r>
        <w:rPr>
          <w:rFonts w:hint="eastAsia" w:ascii="仿宋" w:hAnsi="仿宋" w:eastAsia="仿宋"/>
          <w:sz w:val="32"/>
          <w:szCs w:val="32"/>
        </w:rPr>
        <w:t>96</w:t>
      </w:r>
    </w:p>
    <w:p>
      <w:pPr>
        <w:pStyle w:val="12"/>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二、收入决算表</w:t>
      </w:r>
      <w:r>
        <w:rPr>
          <w:rFonts w:ascii="仿宋" w:hAnsi="仿宋" w:eastAsia="仿宋"/>
          <w:sz w:val="32"/>
          <w:szCs w:val="32"/>
        </w:rPr>
        <w:tab/>
      </w:r>
      <w:r>
        <w:rPr>
          <w:rFonts w:hint="eastAsia" w:ascii="仿宋" w:hAnsi="仿宋" w:eastAsia="仿宋"/>
          <w:sz w:val="32"/>
          <w:szCs w:val="32"/>
        </w:rPr>
        <w:t>96</w:t>
      </w:r>
    </w:p>
    <w:p>
      <w:pPr>
        <w:pStyle w:val="12"/>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三、支出决算表</w:t>
      </w:r>
      <w:r>
        <w:rPr>
          <w:rFonts w:ascii="仿宋" w:hAnsi="仿宋" w:eastAsia="仿宋"/>
          <w:sz w:val="32"/>
          <w:szCs w:val="32"/>
        </w:rPr>
        <w:tab/>
      </w:r>
      <w:r>
        <w:rPr>
          <w:rFonts w:hint="eastAsia" w:ascii="仿宋" w:hAnsi="仿宋" w:eastAsia="仿宋"/>
          <w:sz w:val="32"/>
          <w:szCs w:val="32"/>
        </w:rPr>
        <w:t>96</w:t>
      </w:r>
    </w:p>
    <w:p>
      <w:pPr>
        <w:pStyle w:val="12"/>
        <w:adjustRightInd w:val="0"/>
        <w:snapToGrid w:val="0"/>
        <w:spacing w:line="440" w:lineRule="exact"/>
        <w:jc w:val="left"/>
        <w:rPr>
          <w:rFonts w:ascii="仿宋" w:hAnsi="仿宋" w:eastAsia="仿宋"/>
          <w:sz w:val="32"/>
          <w:szCs w:val="32"/>
        </w:rPr>
      </w:pPr>
      <w:r>
        <w:rPr>
          <w:rFonts w:hint="eastAsia" w:ascii="仿宋" w:hAnsi="仿宋" w:eastAsia="仿宋"/>
          <w:sz w:val="32"/>
          <w:szCs w:val="32"/>
        </w:rPr>
        <w:t>四、财政拨款收入支出决算总表</w:t>
      </w:r>
      <w:r>
        <w:rPr>
          <w:rFonts w:ascii="仿宋" w:hAnsi="仿宋" w:eastAsia="仿宋"/>
          <w:sz w:val="32"/>
          <w:szCs w:val="32"/>
        </w:rPr>
        <w:tab/>
      </w:r>
      <w:r>
        <w:rPr>
          <w:rFonts w:hint="eastAsia" w:ascii="仿宋" w:hAnsi="仿宋" w:eastAsia="仿宋"/>
          <w:sz w:val="32"/>
          <w:szCs w:val="32"/>
        </w:rPr>
        <w:t>96</w:t>
      </w:r>
    </w:p>
    <w:p>
      <w:pPr>
        <w:pStyle w:val="12"/>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五、财政拨款支出决算明细表</w:t>
      </w:r>
      <w:r>
        <w:rPr>
          <w:rFonts w:ascii="仿宋" w:hAnsi="仿宋" w:eastAsia="仿宋"/>
          <w:sz w:val="32"/>
          <w:szCs w:val="32"/>
        </w:rPr>
        <w:tab/>
      </w:r>
      <w:r>
        <w:rPr>
          <w:rFonts w:hint="eastAsia" w:ascii="仿宋" w:hAnsi="仿宋" w:eastAsia="仿宋"/>
          <w:sz w:val="32"/>
          <w:szCs w:val="32"/>
        </w:rPr>
        <w:t>96</w:t>
      </w:r>
    </w:p>
    <w:p>
      <w:pPr>
        <w:pStyle w:val="12"/>
        <w:adjustRightInd w:val="0"/>
        <w:snapToGrid w:val="0"/>
        <w:spacing w:line="440" w:lineRule="exact"/>
        <w:jc w:val="left"/>
        <w:rPr>
          <w:rFonts w:ascii="仿宋" w:hAnsi="仿宋" w:eastAsia="仿宋"/>
          <w:sz w:val="32"/>
          <w:szCs w:val="32"/>
        </w:rPr>
      </w:pPr>
      <w:r>
        <w:rPr>
          <w:rFonts w:hint="eastAsia" w:ascii="仿宋" w:hAnsi="仿宋" w:eastAsia="仿宋"/>
          <w:sz w:val="32"/>
          <w:szCs w:val="32"/>
        </w:rPr>
        <w:t>六、一般公共预算财政拨款支出决算表</w:t>
      </w:r>
      <w:r>
        <w:rPr>
          <w:rFonts w:ascii="仿宋" w:hAnsi="仿宋" w:eastAsia="仿宋"/>
          <w:sz w:val="32"/>
          <w:szCs w:val="32"/>
        </w:rPr>
        <w:tab/>
      </w:r>
      <w:r>
        <w:rPr>
          <w:rFonts w:hint="eastAsia" w:ascii="仿宋" w:hAnsi="仿宋" w:eastAsia="仿宋"/>
          <w:sz w:val="32"/>
          <w:szCs w:val="32"/>
        </w:rPr>
        <w:t>96</w:t>
      </w:r>
    </w:p>
    <w:p>
      <w:pPr>
        <w:pStyle w:val="12"/>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七、一般公共预算财政拨款支出决算明细表</w:t>
      </w:r>
      <w:r>
        <w:rPr>
          <w:rFonts w:ascii="仿宋" w:hAnsi="仿宋" w:eastAsia="仿宋"/>
          <w:sz w:val="32"/>
          <w:szCs w:val="32"/>
        </w:rPr>
        <w:tab/>
      </w:r>
      <w:r>
        <w:rPr>
          <w:rFonts w:hint="eastAsia" w:ascii="仿宋" w:hAnsi="仿宋" w:eastAsia="仿宋"/>
          <w:sz w:val="32"/>
          <w:szCs w:val="32"/>
        </w:rPr>
        <w:t>96</w:t>
      </w:r>
    </w:p>
    <w:p>
      <w:pPr>
        <w:pStyle w:val="12"/>
        <w:adjustRightInd w:val="0"/>
        <w:snapToGrid w:val="0"/>
        <w:spacing w:line="440" w:lineRule="exact"/>
        <w:jc w:val="left"/>
        <w:rPr>
          <w:rFonts w:ascii="仿宋" w:hAnsi="仿宋" w:eastAsia="仿宋"/>
          <w:sz w:val="32"/>
          <w:szCs w:val="32"/>
        </w:rPr>
      </w:pPr>
      <w:r>
        <w:rPr>
          <w:rFonts w:hint="eastAsia" w:ascii="仿宋" w:hAnsi="仿宋" w:eastAsia="仿宋"/>
          <w:sz w:val="32"/>
          <w:szCs w:val="32"/>
        </w:rPr>
        <w:t>八、一般公共预算财政拨款基本支出决算明细表</w:t>
      </w:r>
      <w:r>
        <w:rPr>
          <w:rFonts w:ascii="仿宋" w:hAnsi="仿宋" w:eastAsia="仿宋"/>
          <w:sz w:val="32"/>
          <w:szCs w:val="32"/>
        </w:rPr>
        <w:tab/>
      </w:r>
      <w:r>
        <w:rPr>
          <w:rFonts w:hint="eastAsia" w:ascii="仿宋" w:hAnsi="仿宋" w:eastAsia="仿宋"/>
          <w:sz w:val="32"/>
          <w:szCs w:val="32"/>
        </w:rPr>
        <w:t>96</w:t>
      </w:r>
    </w:p>
    <w:p>
      <w:pPr>
        <w:pStyle w:val="12"/>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九、一般公共预算财政拨款项目支出决算表</w:t>
      </w:r>
      <w:r>
        <w:rPr>
          <w:rFonts w:ascii="仿宋" w:hAnsi="仿宋" w:eastAsia="仿宋"/>
          <w:sz w:val="32"/>
          <w:szCs w:val="32"/>
        </w:rPr>
        <w:tab/>
      </w:r>
      <w:r>
        <w:rPr>
          <w:rFonts w:hint="eastAsia" w:ascii="仿宋" w:hAnsi="仿宋" w:eastAsia="仿宋"/>
          <w:sz w:val="32"/>
          <w:szCs w:val="32"/>
        </w:rPr>
        <w:t>96</w:t>
      </w:r>
    </w:p>
    <w:p>
      <w:pPr>
        <w:pStyle w:val="12"/>
        <w:adjustRightInd w:val="0"/>
        <w:snapToGrid w:val="0"/>
        <w:spacing w:line="440" w:lineRule="exact"/>
        <w:jc w:val="left"/>
        <w:rPr>
          <w:rFonts w:ascii="仿宋" w:hAnsi="仿宋" w:eastAsia="仿宋"/>
          <w:sz w:val="32"/>
          <w:szCs w:val="32"/>
        </w:rPr>
      </w:pPr>
      <w:r>
        <w:rPr>
          <w:rFonts w:hint="eastAsia" w:ascii="仿宋" w:hAnsi="仿宋" w:eastAsia="仿宋"/>
          <w:sz w:val="32"/>
          <w:szCs w:val="32"/>
        </w:rPr>
        <w:t>十、政府性基金预算财政拨款收入支出决算表</w:t>
      </w:r>
      <w:r>
        <w:rPr>
          <w:rFonts w:ascii="仿宋" w:hAnsi="仿宋" w:eastAsia="仿宋"/>
          <w:sz w:val="32"/>
          <w:szCs w:val="32"/>
        </w:rPr>
        <w:tab/>
      </w:r>
      <w:r>
        <w:rPr>
          <w:rFonts w:hint="eastAsia" w:ascii="仿宋" w:hAnsi="仿宋" w:eastAsia="仿宋"/>
          <w:sz w:val="32"/>
          <w:szCs w:val="32"/>
        </w:rPr>
        <w:t>96</w:t>
      </w:r>
    </w:p>
    <w:p>
      <w:pPr>
        <w:pStyle w:val="12"/>
        <w:adjustRightInd w:val="0"/>
        <w:snapToGrid w:val="0"/>
        <w:spacing w:line="440" w:lineRule="exact"/>
        <w:jc w:val="left"/>
        <w:rPr>
          <w:rFonts w:ascii="仿宋" w:hAnsi="仿宋" w:eastAsia="仿宋"/>
          <w:sz w:val="32"/>
          <w:szCs w:val="32"/>
        </w:rPr>
      </w:pPr>
      <w:r>
        <w:rPr>
          <w:rFonts w:hint="eastAsia" w:ascii="仿宋" w:hAnsi="仿宋" w:eastAsia="仿宋"/>
          <w:sz w:val="32"/>
          <w:szCs w:val="32"/>
        </w:rPr>
        <w:t>十一、国有资本经营预算财政拨款收入支出决算表</w:t>
      </w:r>
      <w:r>
        <w:rPr>
          <w:rFonts w:ascii="仿宋" w:hAnsi="仿宋" w:eastAsia="仿宋"/>
          <w:sz w:val="32"/>
          <w:szCs w:val="32"/>
        </w:rPr>
        <w:tab/>
      </w:r>
      <w:r>
        <w:rPr>
          <w:rFonts w:hint="eastAsia" w:ascii="仿宋" w:hAnsi="仿宋" w:eastAsia="仿宋"/>
          <w:sz w:val="32"/>
          <w:szCs w:val="32"/>
        </w:rPr>
        <w:t>96</w:t>
      </w:r>
    </w:p>
    <w:p>
      <w:pPr>
        <w:pStyle w:val="12"/>
        <w:adjustRightInd w:val="0"/>
        <w:snapToGrid w:val="0"/>
        <w:spacing w:line="440" w:lineRule="exact"/>
        <w:jc w:val="left"/>
        <w:rPr>
          <w:rFonts w:ascii="仿宋" w:hAnsi="仿宋" w:eastAsia="仿宋"/>
          <w:sz w:val="32"/>
          <w:szCs w:val="32"/>
        </w:rPr>
      </w:pPr>
      <w:r>
        <w:rPr>
          <w:rFonts w:hint="eastAsia" w:ascii="仿宋" w:hAnsi="仿宋" w:eastAsia="仿宋"/>
          <w:sz w:val="32"/>
          <w:szCs w:val="32"/>
        </w:rPr>
        <w:t>十二、国有资本经营预算财政拨款支出决算表</w:t>
      </w:r>
      <w:r>
        <w:rPr>
          <w:rFonts w:ascii="仿宋" w:hAnsi="仿宋" w:eastAsia="仿宋"/>
          <w:sz w:val="32"/>
          <w:szCs w:val="32"/>
        </w:rPr>
        <w:tab/>
      </w:r>
      <w:r>
        <w:rPr>
          <w:rFonts w:hint="eastAsia" w:ascii="仿宋" w:hAnsi="仿宋" w:eastAsia="仿宋"/>
          <w:sz w:val="32"/>
          <w:szCs w:val="32"/>
        </w:rPr>
        <w:t>96</w:t>
      </w:r>
    </w:p>
    <w:p>
      <w:pPr>
        <w:pStyle w:val="12"/>
        <w:adjustRightInd w:val="0"/>
        <w:snapToGrid w:val="0"/>
        <w:spacing w:line="440" w:lineRule="exact"/>
        <w:jc w:val="left"/>
        <w:rPr>
          <w:rFonts w:ascii="仿宋" w:hAnsi="仿宋" w:eastAsia="仿宋" w:cstheme="minorEastAsia"/>
          <w:sz w:val="32"/>
          <w:szCs w:val="32"/>
        </w:rPr>
      </w:pPr>
      <w:r>
        <w:rPr>
          <w:rFonts w:hint="eastAsia" w:ascii="仿宋" w:hAnsi="仿宋" w:eastAsia="仿宋"/>
          <w:sz w:val="32"/>
          <w:szCs w:val="32"/>
        </w:rPr>
        <w:t>十三、财政拨款“三公”经费支出决算表</w:t>
      </w:r>
      <w:r>
        <w:rPr>
          <w:rFonts w:ascii="仿宋" w:hAnsi="仿宋" w:eastAsia="仿宋"/>
          <w:sz w:val="32"/>
          <w:szCs w:val="32"/>
        </w:rPr>
        <w:tab/>
      </w:r>
      <w:r>
        <w:rPr>
          <w:rFonts w:hint="eastAsia" w:ascii="仿宋" w:hAnsi="仿宋" w:eastAsia="仿宋"/>
          <w:sz w:val="32"/>
          <w:szCs w:val="32"/>
        </w:rPr>
        <w:t>96</w:t>
      </w:r>
    </w:p>
    <w:p>
      <w:pPr>
        <w:widowControl/>
        <w:adjustRightInd w:val="0"/>
        <w:snapToGrid w:val="0"/>
        <w:spacing w:line="440" w:lineRule="exact"/>
        <w:ind w:firstLine="1760" w:firstLineChars="550"/>
        <w:jc w:val="left"/>
        <w:rPr>
          <w:rFonts w:ascii="仿宋" w:hAnsi="仿宋" w:eastAsia="仿宋"/>
          <w:sz w:val="32"/>
          <w:szCs w:val="32"/>
        </w:rPr>
      </w:pPr>
      <w:r>
        <w:rPr>
          <w:rFonts w:ascii="仿宋" w:hAnsi="仿宋" w:eastAsia="仿宋"/>
          <w:sz w:val="32"/>
          <w:szCs w:val="32"/>
        </w:rPr>
        <w:t>(注：</w:t>
      </w:r>
      <w:r>
        <w:rPr>
          <w:rFonts w:hint="eastAsia" w:ascii="仿宋" w:hAnsi="仿宋" w:eastAsia="仿宋"/>
          <w:sz w:val="32"/>
          <w:szCs w:val="32"/>
        </w:rPr>
        <w:t>请部门根据实际注明页码</w:t>
      </w:r>
      <w:r>
        <w:rPr>
          <w:rFonts w:ascii="仿宋" w:hAnsi="仿宋" w:eastAsia="仿宋"/>
          <w:sz w:val="32"/>
          <w:szCs w:val="32"/>
        </w:rPr>
        <w:t>)</w:t>
      </w:r>
    </w:p>
    <w:p>
      <w:pPr>
        <w:widowControl/>
        <w:spacing w:line="440" w:lineRule="exact"/>
        <w:jc w:val="left"/>
        <w:rPr>
          <w:rFonts w:ascii="仿宋" w:hAnsi="仿宋" w:eastAsia="仿宋"/>
          <w:b/>
          <w:sz w:val="32"/>
          <w:szCs w:val="32"/>
        </w:rPr>
        <w:sectPr>
          <w:pgSz w:w="11906" w:h="16838"/>
          <w:pgMar w:top="1440" w:right="1800" w:bottom="1440" w:left="1800" w:header="851" w:footer="992" w:gutter="0"/>
          <w:pgNumType w:start="1"/>
          <w:cols w:space="425" w:num="1"/>
          <w:titlePg/>
          <w:docGrid w:type="lines" w:linePitch="312" w:charSpace="0"/>
        </w:sectPr>
      </w:pPr>
      <w:bookmarkStart w:id="12" w:name="_Toc15396599"/>
      <w:bookmarkStart w:id="13" w:name="_Toc15377196"/>
    </w:p>
    <w:p>
      <w:pPr>
        <w:pStyle w:val="3"/>
        <w:jc w:val="center"/>
        <w:rPr>
          <w:rStyle w:val="28"/>
          <w:rFonts w:ascii="黑体" w:hAnsi="黑体" w:eastAsia="黑体"/>
          <w:b/>
          <w:bCs w:val="0"/>
        </w:rPr>
      </w:pPr>
      <w:r>
        <w:rPr>
          <w:rFonts w:hint="eastAsia" w:ascii="黑体" w:hAnsi="黑体" w:eastAsia="黑体"/>
          <w:b w:val="0"/>
        </w:rPr>
        <w:t xml:space="preserve">第一部分 </w:t>
      </w:r>
      <w:r>
        <w:rPr>
          <w:rStyle w:val="28"/>
          <w:rFonts w:hint="eastAsia" w:ascii="黑体" w:hAnsi="黑体" w:eastAsia="黑体"/>
          <w:b w:val="0"/>
          <w:bCs w:val="0"/>
        </w:rPr>
        <w:t>部门概况</w:t>
      </w:r>
      <w:bookmarkEnd w:id="12"/>
      <w:bookmarkEnd w:id="13"/>
    </w:p>
    <w:p>
      <w:pPr>
        <w:widowControl/>
        <w:jc w:val="left"/>
        <w:rPr>
          <w:rFonts w:ascii="黑体" w:eastAsia="黑体"/>
          <w:sz w:val="32"/>
          <w:szCs w:val="32"/>
        </w:rPr>
      </w:pPr>
    </w:p>
    <w:p>
      <w:pPr>
        <w:pStyle w:val="4"/>
        <w:numPr>
          <w:ilvl w:val="0"/>
          <w:numId w:val="1"/>
        </w:numPr>
        <w:rPr>
          <w:rFonts w:ascii="黑体" w:hAnsi="黑体" w:eastAsia="黑体"/>
          <w:b w:val="0"/>
        </w:rPr>
      </w:pPr>
      <w:r>
        <w:rPr>
          <w:rFonts w:hint="eastAsia" w:ascii="黑体" w:hAnsi="黑体" w:eastAsia="黑体"/>
          <w:b w:val="0"/>
        </w:rPr>
        <w:t>部门职责</w:t>
      </w:r>
    </w:p>
    <w:p>
      <w:pPr>
        <w:ind w:firstLine="640" w:firstLineChars="200"/>
        <w:rPr>
          <w:rFonts w:ascii="仿宋" w:hAnsi="仿宋" w:eastAsia="仿宋"/>
          <w:kern w:val="0"/>
          <w:sz w:val="32"/>
          <w:szCs w:val="32"/>
        </w:rPr>
      </w:pPr>
      <w:r>
        <w:rPr>
          <w:rFonts w:hint="eastAsia" w:ascii="仿宋" w:hAnsi="仿宋" w:eastAsia="仿宋"/>
          <w:kern w:val="0"/>
          <w:sz w:val="32"/>
          <w:szCs w:val="32"/>
        </w:rPr>
        <w:t>贯彻执行国家和省市有关交通运输行业方针、政策和法律、法规、规章，研究拟定全市交通运输行业的规范性文件和政策措施；组织拟定全市运输业和物流业发展规划并组织实施;承担全市交通运输市场监管责任；承担交通公路工程建设及养护管理责任；承担水上交通安全监管职责；监督、指导全市经营性道路运输源头安全、公路工程建设和交通企事业单位内部安全，督促法人安全责任制的落实；负责编制交通行业预决算并监督执行；承担市人民政府交通战备任务等事项。</w:t>
      </w:r>
    </w:p>
    <w:p>
      <w:pPr>
        <w:pStyle w:val="4"/>
        <w:rPr>
          <w:rStyle w:val="29"/>
          <w:b w:val="0"/>
          <w:bCs w:val="0"/>
        </w:rPr>
      </w:pPr>
      <w:bookmarkStart w:id="14" w:name="_Toc15377200"/>
      <w:bookmarkStart w:id="15" w:name="_Toc15396601"/>
      <w:r>
        <w:rPr>
          <w:rFonts w:hint="eastAsia" w:ascii="黑体" w:eastAsia="黑体"/>
          <w:b w:val="0"/>
        </w:rPr>
        <w:t>二、</w:t>
      </w:r>
      <w:r>
        <w:rPr>
          <w:rFonts w:hint="eastAsia" w:ascii="黑体" w:hAnsi="黑体" w:eastAsia="黑体"/>
          <w:b w:val="0"/>
        </w:rPr>
        <w:t>机</w:t>
      </w:r>
      <w:r>
        <w:rPr>
          <w:rStyle w:val="29"/>
          <w:rFonts w:hint="eastAsia" w:ascii="黑体" w:hAnsi="黑体" w:eastAsia="黑体"/>
          <w:b w:val="0"/>
          <w:bCs w:val="0"/>
        </w:rPr>
        <w:t>构设置</w:t>
      </w:r>
      <w:bookmarkEnd w:id="14"/>
      <w:bookmarkEnd w:id="15"/>
    </w:p>
    <w:p>
      <w:pPr>
        <w:snapToGrid w:val="0"/>
        <w:spacing w:line="588" w:lineRule="exact"/>
        <w:ind w:firstLine="640" w:firstLineChars="200"/>
        <w:rPr>
          <w:rFonts w:ascii="仿宋_GB2312" w:hAnsi="仿宋" w:eastAsia="仿宋_GB2312"/>
          <w:sz w:val="32"/>
          <w:szCs w:val="32"/>
        </w:rPr>
      </w:pPr>
      <w:r>
        <w:rPr>
          <w:rFonts w:hint="eastAsia" w:ascii="仿宋_GB2312" w:hAnsi="仿宋" w:eastAsia="仿宋_GB2312"/>
          <w:sz w:val="32"/>
          <w:szCs w:val="32"/>
        </w:rPr>
        <w:t>2022年峨眉山市交通运输局下属二级预算单位3个，其中参照公务员法管理的事业单位1个（峨眉山市铁路服务中心），其他事业单位2个（峨眉山市交通建设和运输中心、峨眉山市交通工程质量安全中心）。局机关设办公室、综合规划股、工程建设管理股、运输管理股（峨眉山市交通战备办公室）、交通安全监督管理股等5个股室。年末人员共计238人（其中：在职127人，劳务派遣111人），退休人员269人，遗属人员26人。</w:t>
      </w:r>
    </w:p>
    <w:p>
      <w:pPr>
        <w:spacing w:line="600" w:lineRule="exact"/>
        <w:rPr>
          <w:rFonts w:ascii="仿宋_GB2312" w:hAnsi="仿宋" w:eastAsia="仿宋_GB2312"/>
          <w:sz w:val="32"/>
          <w:szCs w:val="32"/>
        </w:rPr>
      </w:pPr>
    </w:p>
    <w:p>
      <w:pPr>
        <w:pStyle w:val="2"/>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sz w:val="32"/>
          <w:szCs w:val="32"/>
        </w:rPr>
        <w:t>纳入2022年度部门决算编制范围的二级预算单位包括：</w:t>
      </w:r>
    </w:p>
    <w:p>
      <w:pPr>
        <w:pStyle w:val="2"/>
        <w:numPr>
          <w:ilvl w:val="0"/>
          <w:numId w:val="2"/>
        </w:numPr>
        <w:adjustRightInd w:val="0"/>
        <w:snapToGrid w:val="0"/>
        <w:spacing w:before="93" w:line="600" w:lineRule="exact"/>
        <w:outlineLvl w:val="2"/>
        <w:rPr>
          <w:rFonts w:ascii="仿宋" w:hAnsi="仿宋" w:eastAsia="仿宋"/>
          <w:sz w:val="32"/>
          <w:szCs w:val="32"/>
        </w:rPr>
      </w:pPr>
      <w:bookmarkStart w:id="16" w:name="_Toc15377202"/>
      <w:bookmarkStart w:id="17" w:name="_Toc15378449"/>
      <w:bookmarkStart w:id="18" w:name="_Toc15306276"/>
      <w:bookmarkStart w:id="19" w:name="_Toc15377433"/>
      <w:r>
        <w:rPr>
          <w:rFonts w:hint="eastAsia" w:hAnsi="仿宋"/>
          <w:sz w:val="32"/>
          <w:szCs w:val="32"/>
        </w:rPr>
        <w:t>峨眉山市铁路服务中心</w:t>
      </w:r>
    </w:p>
    <w:bookmarkEnd w:id="16"/>
    <w:bookmarkEnd w:id="17"/>
    <w:bookmarkEnd w:id="18"/>
    <w:bookmarkEnd w:id="19"/>
    <w:p>
      <w:pPr>
        <w:pStyle w:val="2"/>
        <w:numPr>
          <w:ilvl w:val="0"/>
          <w:numId w:val="2"/>
        </w:numPr>
        <w:adjustRightInd w:val="0"/>
        <w:snapToGrid w:val="0"/>
        <w:spacing w:before="93" w:line="600" w:lineRule="exact"/>
        <w:outlineLvl w:val="2"/>
        <w:rPr>
          <w:rFonts w:ascii="仿宋" w:hAnsi="仿宋" w:eastAsia="仿宋"/>
          <w:sz w:val="32"/>
          <w:szCs w:val="32"/>
        </w:rPr>
      </w:pPr>
      <w:bookmarkStart w:id="20" w:name="_Toc15377203"/>
      <w:bookmarkStart w:id="21" w:name="_Toc15378450"/>
      <w:bookmarkStart w:id="22" w:name="_Toc15377434"/>
      <w:bookmarkStart w:id="23" w:name="_Toc15306277"/>
      <w:r>
        <w:rPr>
          <w:rFonts w:hint="eastAsia" w:hAnsi="仿宋"/>
          <w:sz w:val="32"/>
          <w:szCs w:val="32"/>
        </w:rPr>
        <w:t>峨眉山市交通建设和运输中心</w:t>
      </w:r>
    </w:p>
    <w:bookmarkEnd w:id="20"/>
    <w:bookmarkEnd w:id="21"/>
    <w:bookmarkEnd w:id="22"/>
    <w:bookmarkEnd w:id="23"/>
    <w:p>
      <w:pPr>
        <w:pStyle w:val="2"/>
        <w:numPr>
          <w:ilvl w:val="0"/>
          <w:numId w:val="2"/>
        </w:numPr>
        <w:adjustRightInd w:val="0"/>
        <w:snapToGrid w:val="0"/>
        <w:spacing w:before="93" w:line="600" w:lineRule="exact"/>
        <w:outlineLvl w:val="2"/>
        <w:rPr>
          <w:rFonts w:hAnsi="仿宋"/>
          <w:sz w:val="32"/>
          <w:szCs w:val="32"/>
        </w:rPr>
      </w:pPr>
      <w:r>
        <w:rPr>
          <w:rFonts w:hint="eastAsia" w:hAnsi="仿宋"/>
          <w:sz w:val="32"/>
          <w:szCs w:val="32"/>
        </w:rPr>
        <w:t>峨眉山市交通工程质量安全中心</w:t>
      </w:r>
    </w:p>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8"/>
          <w:rFonts w:ascii="黑体" w:hAnsi="黑体" w:eastAsia="黑体"/>
          <w:b w:val="0"/>
          <w:bCs/>
        </w:rPr>
      </w:pPr>
      <w:bookmarkStart w:id="24" w:name="_Toc15396602"/>
      <w:bookmarkStart w:id="25" w:name="_Toc15377204"/>
      <w:r>
        <w:rPr>
          <w:rFonts w:hint="eastAsia" w:ascii="黑体" w:hAnsi="黑体" w:eastAsia="黑体"/>
          <w:b w:val="0"/>
        </w:rPr>
        <w:t>第二部分 2022年度</w:t>
      </w:r>
      <w:r>
        <w:rPr>
          <w:rStyle w:val="28"/>
          <w:rFonts w:hint="eastAsia" w:ascii="黑体" w:hAnsi="黑体" w:eastAsia="黑体"/>
          <w:b w:val="0"/>
          <w:bCs/>
        </w:rPr>
        <w:t>部门决算情况说明</w:t>
      </w:r>
      <w:bookmarkEnd w:id="24"/>
      <w:bookmarkEnd w:id="25"/>
    </w:p>
    <w:p/>
    <w:p>
      <w:pPr>
        <w:pStyle w:val="27"/>
        <w:numPr>
          <w:ilvl w:val="0"/>
          <w:numId w:val="3"/>
        </w:numPr>
        <w:spacing w:line="600" w:lineRule="exact"/>
        <w:ind w:firstLineChars="0"/>
        <w:outlineLvl w:val="1"/>
        <w:rPr>
          <w:rStyle w:val="29"/>
          <w:rFonts w:ascii="黑体" w:hAnsi="黑体" w:eastAsia="黑体"/>
          <w:b w:val="0"/>
        </w:rPr>
      </w:pPr>
      <w:bookmarkStart w:id="26" w:name="_Toc15377205"/>
      <w:bookmarkStart w:id="27" w:name="_Toc15396603"/>
      <w:r>
        <w:rPr>
          <w:rFonts w:hint="eastAsia" w:ascii="黑体" w:hAnsi="黑体" w:eastAsia="黑体"/>
          <w:sz w:val="32"/>
          <w:szCs w:val="32"/>
        </w:rPr>
        <w:t>收</w:t>
      </w:r>
      <w:r>
        <w:rPr>
          <w:rStyle w:val="29"/>
          <w:rFonts w:hint="eastAsia" w:ascii="黑体" w:hAnsi="黑体" w:eastAsia="黑体"/>
          <w:b w:val="0"/>
        </w:rPr>
        <w:t>入支出决算总体情况说明</w:t>
      </w:r>
      <w:bookmarkEnd w:id="26"/>
      <w:bookmarkEnd w:id="27"/>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w:t>
      </w:r>
      <w:r>
        <w:rPr>
          <w:rFonts w:ascii="仿宋" w:hAnsi="仿宋" w:eastAsia="仿宋"/>
          <w:sz w:val="32"/>
          <w:szCs w:val="32"/>
        </w:rPr>
        <w:t>17556.66</w:t>
      </w:r>
      <w:r>
        <w:rPr>
          <w:rFonts w:hint="eastAsia" w:ascii="仿宋" w:hAnsi="仿宋" w:eastAsia="仿宋"/>
          <w:sz w:val="32"/>
          <w:szCs w:val="32"/>
        </w:rPr>
        <w:t>万元。与2021年相比，收、支总计各减少</w:t>
      </w:r>
      <w:r>
        <w:rPr>
          <w:rFonts w:ascii="仿宋" w:hAnsi="仿宋" w:eastAsia="仿宋"/>
          <w:sz w:val="32"/>
          <w:szCs w:val="32"/>
        </w:rPr>
        <w:t>2259.34</w:t>
      </w:r>
      <w:r>
        <w:rPr>
          <w:rFonts w:hint="eastAsia" w:ascii="仿宋" w:hAnsi="仿宋" w:eastAsia="仿宋"/>
          <w:sz w:val="32"/>
          <w:szCs w:val="32"/>
        </w:rPr>
        <w:t>万元，下降</w:t>
      </w:r>
      <w:r>
        <w:rPr>
          <w:rFonts w:ascii="仿宋" w:hAnsi="仿宋" w:eastAsia="仿宋"/>
          <w:sz w:val="32"/>
          <w:szCs w:val="32"/>
        </w:rPr>
        <w:t>11.4%</w:t>
      </w:r>
      <w:r>
        <w:rPr>
          <w:rFonts w:hint="eastAsia" w:ascii="仿宋" w:hAnsi="仿宋" w:eastAsia="仿宋"/>
          <w:sz w:val="32"/>
          <w:szCs w:val="32"/>
        </w:rPr>
        <w:t>。</w:t>
      </w:r>
      <w:r>
        <w:rPr>
          <w:rFonts w:hint="eastAsia" w:ascii="仿宋_GB2312" w:hAnsi="仿宋_GB2312" w:eastAsia="仿宋_GB2312" w:cs="仿宋_GB2312"/>
          <w:sz w:val="32"/>
          <w:szCs w:val="32"/>
        </w:rPr>
        <w:t>主要变动原因是支出缩减，预算编制更加精准。</w:t>
      </w:r>
    </w:p>
    <w:p>
      <w:pPr>
        <w:pStyle w:val="2"/>
        <w:spacing w:before="93"/>
      </w:pPr>
      <w:r>
        <w:drawing>
          <wp:inline distT="0" distB="0" distL="0" distR="0">
            <wp:extent cx="5274310" cy="4391025"/>
            <wp:effectExtent l="0" t="0" r="254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274310" cy="4391025"/>
                    </a:xfrm>
                    <a:prstGeom prst="rect">
                      <a:avLst/>
                    </a:prstGeom>
                  </pic:spPr>
                </pic:pic>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_GB2312" w:eastAsia="仿宋_GB2312"/>
          <w:sz w:val="32"/>
          <w:szCs w:val="32"/>
        </w:rPr>
      </w:pPr>
    </w:p>
    <w:p>
      <w:pPr>
        <w:pStyle w:val="27"/>
        <w:numPr>
          <w:ilvl w:val="0"/>
          <w:numId w:val="3"/>
        </w:numPr>
        <w:spacing w:line="600" w:lineRule="exact"/>
        <w:ind w:firstLineChars="0"/>
        <w:outlineLvl w:val="1"/>
        <w:rPr>
          <w:rStyle w:val="29"/>
          <w:rFonts w:ascii="黑体" w:hAnsi="黑体" w:eastAsia="黑体"/>
          <w:b w:val="0"/>
        </w:rPr>
      </w:pPr>
      <w:bookmarkStart w:id="28" w:name="_Toc15377206"/>
      <w:bookmarkStart w:id="29" w:name="_Toc15396604"/>
      <w:r>
        <w:rPr>
          <w:rFonts w:hint="eastAsia" w:ascii="黑体" w:hAnsi="黑体" w:eastAsia="黑体"/>
          <w:sz w:val="32"/>
          <w:szCs w:val="32"/>
        </w:rPr>
        <w:t>收</w:t>
      </w:r>
      <w:r>
        <w:rPr>
          <w:rStyle w:val="29"/>
          <w:rFonts w:hint="eastAsia" w:ascii="黑体" w:hAnsi="黑体" w:eastAsia="黑体"/>
          <w:b w:val="0"/>
        </w:rPr>
        <w:t>入决算情况说明</w:t>
      </w:r>
      <w:bookmarkEnd w:id="28"/>
      <w:bookmarkEnd w:id="29"/>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ascii="仿宋" w:hAnsi="仿宋" w:eastAsia="仿宋"/>
          <w:sz w:val="32"/>
          <w:szCs w:val="32"/>
        </w:rPr>
        <w:t>17434.21</w:t>
      </w:r>
      <w:r>
        <w:rPr>
          <w:rFonts w:hint="eastAsia" w:ascii="仿宋" w:hAnsi="仿宋" w:eastAsia="仿宋"/>
          <w:sz w:val="32"/>
          <w:szCs w:val="32"/>
        </w:rPr>
        <w:t>万元，其中：一般公共预算财政拨款收入</w:t>
      </w:r>
      <w:r>
        <w:rPr>
          <w:rFonts w:ascii="仿宋" w:hAnsi="仿宋" w:eastAsia="仿宋"/>
          <w:sz w:val="32"/>
          <w:szCs w:val="32"/>
        </w:rPr>
        <w:t>10092.79</w:t>
      </w:r>
      <w:r>
        <w:rPr>
          <w:rFonts w:hint="eastAsia" w:ascii="仿宋" w:hAnsi="仿宋" w:eastAsia="仿宋"/>
          <w:sz w:val="32"/>
          <w:szCs w:val="32"/>
        </w:rPr>
        <w:t>万元，占</w:t>
      </w:r>
      <w:r>
        <w:rPr>
          <w:rFonts w:ascii="仿宋" w:hAnsi="仿宋" w:eastAsia="仿宋"/>
          <w:sz w:val="32"/>
          <w:szCs w:val="32"/>
        </w:rPr>
        <w:t>57.89%</w:t>
      </w:r>
      <w:r>
        <w:rPr>
          <w:rFonts w:hint="eastAsia" w:ascii="仿宋" w:hAnsi="仿宋" w:eastAsia="仿宋"/>
          <w:sz w:val="32"/>
          <w:szCs w:val="32"/>
        </w:rPr>
        <w:t>；政府性基金预算财政拨款收入</w:t>
      </w:r>
      <w:r>
        <w:rPr>
          <w:rFonts w:ascii="仿宋" w:hAnsi="仿宋" w:eastAsia="仿宋"/>
          <w:sz w:val="32"/>
          <w:szCs w:val="32"/>
        </w:rPr>
        <w:t>7341.42</w:t>
      </w:r>
      <w:r>
        <w:rPr>
          <w:rFonts w:hint="eastAsia" w:ascii="仿宋" w:hAnsi="仿宋" w:eastAsia="仿宋"/>
          <w:sz w:val="32"/>
          <w:szCs w:val="32"/>
        </w:rPr>
        <w:t>万元，占</w:t>
      </w:r>
      <w:r>
        <w:rPr>
          <w:rFonts w:ascii="仿宋" w:hAnsi="仿宋" w:eastAsia="仿宋"/>
          <w:sz w:val="32"/>
          <w:szCs w:val="32"/>
        </w:rPr>
        <w:t>42.11%</w:t>
      </w:r>
      <w:r>
        <w:rPr>
          <w:rFonts w:hint="eastAsia" w:ascii="仿宋" w:hAnsi="仿宋" w:eastAsia="仿宋"/>
          <w:sz w:val="32"/>
          <w:szCs w:val="32"/>
        </w:rPr>
        <w:t>；国有资本经营预算财政拨款收入0万元，占</w:t>
      </w:r>
      <w:r>
        <w:rPr>
          <w:rFonts w:ascii="仿宋" w:hAnsi="仿宋" w:eastAsia="仿宋"/>
          <w:sz w:val="32"/>
          <w:szCs w:val="32"/>
        </w:rPr>
        <w:t>0%</w:t>
      </w:r>
      <w:r>
        <w:rPr>
          <w:rFonts w:hint="eastAsia" w:ascii="仿宋" w:hAnsi="仿宋" w:eastAsia="仿宋"/>
          <w:sz w:val="32"/>
          <w:szCs w:val="32"/>
        </w:rPr>
        <w:t>；上级补助收入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；经营收入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；附属单位上缴收入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；其他收入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w:t>
      </w:r>
    </w:p>
    <w:p>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，仅罗列本部门涉及的收入。</w:t>
      </w:r>
      <w:r>
        <w:rPr>
          <w:rFonts w:ascii="仿宋" w:hAnsi="仿宋" w:eastAsia="仿宋"/>
          <w:b/>
          <w:sz w:val="32"/>
          <w:szCs w:val="32"/>
        </w:rPr>
        <w:t>）</w:t>
      </w:r>
    </w:p>
    <w:p>
      <w:pPr>
        <w:pStyle w:val="2"/>
        <w:spacing w:before="93"/>
        <w:ind w:firstLine="300" w:firstLineChars="100"/>
      </w:pPr>
      <w:r>
        <w:drawing>
          <wp:inline distT="0" distB="0" distL="0" distR="0">
            <wp:extent cx="5274310" cy="431228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274310" cy="4312285"/>
                    </a:xfrm>
                    <a:prstGeom prst="rect">
                      <a:avLst/>
                    </a:prstGeom>
                  </pic:spPr>
                </pic:pic>
              </a:graphicData>
            </a:graphic>
          </wp:inline>
        </w:drawing>
      </w:r>
    </w:p>
    <w:p>
      <w:pPr>
        <w:spacing w:line="600" w:lineRule="exact"/>
        <w:ind w:firstLine="1600" w:firstLineChars="500"/>
        <w:rPr>
          <w:rFonts w:ascii="仿宋" w:hAnsi="仿宋" w:eastAsia="仿宋"/>
          <w:sz w:val="32"/>
          <w:szCs w:val="32"/>
        </w:rPr>
      </w:pPr>
      <w:r>
        <w:rPr>
          <w:rFonts w:hint="eastAsia" w:ascii="仿宋" w:hAnsi="仿宋" w:eastAsia="仿宋"/>
          <w:sz w:val="32"/>
          <w:szCs w:val="32"/>
        </w:rPr>
        <w:t>（图2：收入决算结构图）（饼状图）</w:t>
      </w:r>
    </w:p>
    <w:p>
      <w:pPr>
        <w:pStyle w:val="27"/>
        <w:numPr>
          <w:ilvl w:val="0"/>
          <w:numId w:val="3"/>
        </w:numPr>
        <w:spacing w:line="600" w:lineRule="exact"/>
        <w:ind w:firstLineChars="0"/>
        <w:outlineLvl w:val="1"/>
        <w:rPr>
          <w:rStyle w:val="29"/>
          <w:rFonts w:ascii="黑体" w:hAnsi="黑体" w:eastAsia="黑体"/>
          <w:b w:val="0"/>
        </w:rPr>
      </w:pPr>
      <w:bookmarkStart w:id="30" w:name="_Toc15377207"/>
      <w:bookmarkStart w:id="31" w:name="_Toc15396605"/>
      <w:r>
        <w:rPr>
          <w:rFonts w:hint="eastAsia" w:ascii="黑体" w:hAnsi="黑体" w:eastAsia="黑体"/>
          <w:sz w:val="32"/>
          <w:szCs w:val="32"/>
        </w:rPr>
        <w:t>支</w:t>
      </w:r>
      <w:r>
        <w:rPr>
          <w:rStyle w:val="29"/>
          <w:rFonts w:hint="eastAsia" w:ascii="黑体" w:hAnsi="黑体" w:eastAsia="黑体"/>
          <w:b w:val="0"/>
        </w:rPr>
        <w:t>出决算情况说明</w:t>
      </w:r>
      <w:bookmarkEnd w:id="30"/>
      <w:bookmarkEnd w:id="3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ascii="仿宋" w:hAnsi="仿宋" w:eastAsia="仿宋"/>
          <w:sz w:val="32"/>
          <w:szCs w:val="32"/>
        </w:rPr>
        <w:t>17556.56</w:t>
      </w:r>
      <w:r>
        <w:rPr>
          <w:rFonts w:hint="eastAsia" w:ascii="仿宋" w:hAnsi="仿宋" w:eastAsia="仿宋"/>
          <w:sz w:val="32"/>
          <w:szCs w:val="32"/>
        </w:rPr>
        <w:t>万元，其中：基本支出</w:t>
      </w:r>
      <w:r>
        <w:rPr>
          <w:rFonts w:ascii="仿宋" w:hAnsi="仿宋" w:eastAsia="仿宋"/>
          <w:sz w:val="32"/>
          <w:szCs w:val="32"/>
        </w:rPr>
        <w:t>3027.03</w:t>
      </w:r>
      <w:r>
        <w:rPr>
          <w:rFonts w:hint="eastAsia" w:ascii="仿宋" w:hAnsi="仿宋" w:eastAsia="仿宋"/>
          <w:sz w:val="32"/>
          <w:szCs w:val="32"/>
        </w:rPr>
        <w:t>万元，占</w:t>
      </w:r>
      <w:r>
        <w:rPr>
          <w:rFonts w:ascii="仿宋" w:hAnsi="仿宋" w:eastAsia="仿宋"/>
          <w:sz w:val="32"/>
          <w:szCs w:val="32"/>
        </w:rPr>
        <w:t>17.24%</w:t>
      </w:r>
      <w:r>
        <w:rPr>
          <w:rFonts w:hint="eastAsia" w:ascii="仿宋" w:hAnsi="仿宋" w:eastAsia="仿宋"/>
          <w:sz w:val="32"/>
          <w:szCs w:val="32"/>
        </w:rPr>
        <w:t>；项目支出</w:t>
      </w:r>
      <w:r>
        <w:rPr>
          <w:rFonts w:ascii="仿宋" w:hAnsi="仿宋" w:eastAsia="仿宋"/>
          <w:sz w:val="32"/>
          <w:szCs w:val="32"/>
        </w:rPr>
        <w:t>14529.53</w:t>
      </w:r>
      <w:r>
        <w:rPr>
          <w:rFonts w:hint="eastAsia" w:ascii="仿宋" w:hAnsi="仿宋" w:eastAsia="仿宋"/>
          <w:sz w:val="32"/>
          <w:szCs w:val="32"/>
        </w:rPr>
        <w:t>万元，占</w:t>
      </w:r>
      <w:r>
        <w:rPr>
          <w:rFonts w:ascii="仿宋" w:hAnsi="仿宋" w:eastAsia="仿宋"/>
          <w:sz w:val="32"/>
          <w:szCs w:val="32"/>
        </w:rPr>
        <w:t>82.76%</w:t>
      </w:r>
      <w:r>
        <w:rPr>
          <w:rFonts w:hint="eastAsia" w:ascii="仿宋" w:hAnsi="仿宋" w:eastAsia="仿宋"/>
          <w:sz w:val="32"/>
          <w:szCs w:val="32"/>
        </w:rPr>
        <w:t>；上缴上级支出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；经营支出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；对附属单位补助支出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w:t>
      </w:r>
    </w:p>
    <w:p>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表，仅罗列本部门涉及的支出。）</w:t>
      </w:r>
    </w:p>
    <w:p>
      <w:pPr>
        <w:pStyle w:val="2"/>
        <w:spacing w:before="93"/>
      </w:pPr>
      <w:r>
        <w:drawing>
          <wp:inline distT="0" distB="0" distL="0" distR="0">
            <wp:extent cx="5274310" cy="4229100"/>
            <wp:effectExtent l="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tretch>
                      <a:fillRect/>
                    </a:stretch>
                  </pic:blipFill>
                  <pic:spPr>
                    <a:xfrm>
                      <a:off x="0" y="0"/>
                      <a:ext cx="5274310" cy="4229100"/>
                    </a:xfrm>
                    <a:prstGeom prst="rect">
                      <a:avLst/>
                    </a:prstGeom>
                  </pic:spPr>
                </pic:pic>
              </a:graphicData>
            </a:graphic>
          </wp:inline>
        </w:drawing>
      </w:r>
    </w:p>
    <w:p>
      <w:pPr>
        <w:spacing w:line="600" w:lineRule="exact"/>
        <w:ind w:firstLine="960" w:firstLineChars="3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9"/>
          <w:rFonts w:ascii="黑体" w:hAnsi="黑体" w:eastAsia="黑体"/>
          <w:b w:val="0"/>
        </w:rPr>
      </w:pPr>
      <w:bookmarkStart w:id="32" w:name="_Toc15377208"/>
      <w:bookmarkStart w:id="33" w:name="_Toc15396606"/>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32"/>
      <w:bookmarkEnd w:id="33"/>
    </w:p>
    <w:p>
      <w:pPr>
        <w:spacing w:line="600" w:lineRule="exact"/>
        <w:ind w:firstLine="640" w:firstLineChars="200"/>
        <w:rPr>
          <w:rFonts w:ascii="仿宋_GB2312" w:hAnsi="仿宋_GB2312" w:eastAsia="仿宋_GB2312" w:cs="仿宋_GB2312"/>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ascii="仿宋" w:hAnsi="仿宋" w:eastAsia="仿宋"/>
          <w:sz w:val="32"/>
          <w:szCs w:val="32"/>
        </w:rPr>
        <w:t>17556.56</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21年相比，财政拨款收、支总计各减少</w:t>
      </w:r>
      <w:r>
        <w:rPr>
          <w:rFonts w:ascii="仿宋" w:hAnsi="仿宋" w:eastAsia="仿宋"/>
          <w:sz w:val="32"/>
          <w:szCs w:val="32"/>
        </w:rPr>
        <w:t>2259.34</w:t>
      </w:r>
      <w:r>
        <w:rPr>
          <w:rFonts w:hint="eastAsia" w:ascii="仿宋" w:hAnsi="仿宋" w:eastAsia="仿宋"/>
          <w:sz w:val="32"/>
          <w:szCs w:val="32"/>
        </w:rPr>
        <w:t>万元，下降</w:t>
      </w:r>
      <w:r>
        <w:rPr>
          <w:rFonts w:ascii="仿宋" w:hAnsi="仿宋" w:eastAsia="仿宋"/>
          <w:sz w:val="32"/>
          <w:szCs w:val="32"/>
        </w:rPr>
        <w:t>11.4%</w:t>
      </w:r>
      <w:r>
        <w:rPr>
          <w:rFonts w:hint="eastAsia" w:ascii="仿宋" w:hAnsi="仿宋" w:eastAsia="仿宋"/>
          <w:sz w:val="32"/>
          <w:szCs w:val="32"/>
        </w:rPr>
        <w:t>。</w:t>
      </w:r>
      <w:r>
        <w:rPr>
          <w:rFonts w:hint="eastAsia" w:ascii="仿宋_GB2312" w:hAnsi="仿宋_GB2312" w:eastAsia="仿宋_GB2312" w:cs="仿宋_GB2312"/>
          <w:sz w:val="32"/>
          <w:szCs w:val="32"/>
        </w:rPr>
        <w:t>主要变动原因是支出缩减，预算编制更加精准。</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pStyle w:val="2"/>
        <w:spacing w:before="93"/>
      </w:pPr>
      <w:r>
        <w:drawing>
          <wp:inline distT="0" distB="0" distL="0" distR="0">
            <wp:extent cx="5304790" cy="419544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0"/>
                    <a:stretch>
                      <a:fillRect/>
                    </a:stretch>
                  </pic:blipFill>
                  <pic:spPr>
                    <a:xfrm>
                      <a:off x="0" y="0"/>
                      <a:ext cx="5305784" cy="4195871"/>
                    </a:xfrm>
                    <a:prstGeom prst="rect">
                      <a:avLst/>
                    </a:prstGeom>
                  </pic:spPr>
                </pic:pic>
              </a:graphicData>
            </a:graphic>
          </wp:inline>
        </w:drawing>
      </w:r>
    </w:p>
    <w:p>
      <w:pPr>
        <w:spacing w:line="600" w:lineRule="exact"/>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rPr>
          <w:rFonts w:ascii="仿宋" w:hAnsi="仿宋" w:eastAsia="仿宋"/>
          <w:b/>
          <w:sz w:val="32"/>
          <w:szCs w:val="32"/>
        </w:rPr>
      </w:pPr>
    </w:p>
    <w:p>
      <w:pPr>
        <w:spacing w:line="600" w:lineRule="exact"/>
        <w:ind w:firstLine="640" w:firstLineChars="200"/>
        <w:outlineLvl w:val="1"/>
        <w:rPr>
          <w:rStyle w:val="29"/>
          <w:rFonts w:ascii="黑体" w:hAnsi="黑体" w:eastAsia="黑体"/>
          <w:b w:val="0"/>
        </w:rPr>
      </w:pPr>
      <w:bookmarkStart w:id="34" w:name="_Toc15377209"/>
      <w:bookmarkStart w:id="35" w:name="_Toc15396607"/>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34"/>
      <w:bookmarkEnd w:id="35"/>
    </w:p>
    <w:p>
      <w:pPr>
        <w:spacing w:line="600" w:lineRule="exact"/>
        <w:ind w:firstLine="643" w:firstLineChars="200"/>
        <w:outlineLvl w:val="2"/>
        <w:rPr>
          <w:rFonts w:ascii="仿宋" w:hAnsi="仿宋" w:eastAsia="仿宋"/>
          <w:b/>
          <w:sz w:val="32"/>
          <w:szCs w:val="32"/>
        </w:rPr>
      </w:pPr>
      <w:bookmarkStart w:id="36" w:name="_Toc15377210"/>
      <w:r>
        <w:rPr>
          <w:rFonts w:hint="eastAsia" w:ascii="仿宋" w:hAnsi="仿宋" w:eastAsia="仿宋"/>
          <w:b/>
          <w:sz w:val="32"/>
          <w:szCs w:val="32"/>
        </w:rPr>
        <w:t>（一）一般公共预算财政拨款支出决算总体情况</w:t>
      </w:r>
      <w:bookmarkEnd w:id="36"/>
    </w:p>
    <w:p>
      <w:pPr>
        <w:spacing w:line="600" w:lineRule="exact"/>
        <w:ind w:firstLine="640" w:firstLineChars="200"/>
        <w:rPr>
          <w:rFonts w:ascii="仿宋_GB2312" w:hAnsi="仿宋_GB2312" w:eastAsia="仿宋_GB2312" w:cs="仿宋_GB2312"/>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ascii="仿宋" w:hAnsi="仿宋" w:eastAsia="仿宋"/>
          <w:sz w:val="32"/>
          <w:szCs w:val="32"/>
        </w:rPr>
        <w:t>10149.97</w:t>
      </w:r>
      <w:r>
        <w:rPr>
          <w:rFonts w:hint="eastAsia" w:ascii="仿宋" w:hAnsi="仿宋" w:eastAsia="仿宋"/>
          <w:sz w:val="32"/>
          <w:szCs w:val="32"/>
        </w:rPr>
        <w:t>万元，占本年支出合计的</w:t>
      </w:r>
      <w:r>
        <w:rPr>
          <w:rFonts w:ascii="仿宋" w:hAnsi="仿宋" w:eastAsia="仿宋"/>
          <w:sz w:val="32"/>
          <w:szCs w:val="32"/>
        </w:rPr>
        <w:t>57.81%</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ascii="仿宋" w:hAnsi="仿宋" w:eastAsia="仿宋"/>
          <w:sz w:val="32"/>
          <w:szCs w:val="32"/>
        </w:rPr>
        <w:t>1950.28</w:t>
      </w:r>
      <w:r>
        <w:rPr>
          <w:rFonts w:hint="eastAsia" w:ascii="仿宋" w:hAnsi="仿宋" w:eastAsia="仿宋"/>
          <w:sz w:val="32"/>
          <w:szCs w:val="32"/>
        </w:rPr>
        <w:t>万元，下降</w:t>
      </w:r>
      <w:r>
        <w:rPr>
          <w:rFonts w:ascii="仿宋" w:hAnsi="仿宋" w:eastAsia="仿宋"/>
          <w:sz w:val="32"/>
          <w:szCs w:val="32"/>
        </w:rPr>
        <w:t>16.12%</w:t>
      </w:r>
      <w:r>
        <w:rPr>
          <w:rFonts w:hint="eastAsia" w:ascii="仿宋" w:hAnsi="仿宋" w:eastAsia="仿宋"/>
          <w:sz w:val="32"/>
          <w:szCs w:val="32"/>
        </w:rPr>
        <w:t>。</w:t>
      </w:r>
      <w:r>
        <w:rPr>
          <w:rFonts w:hint="eastAsia" w:ascii="仿宋_GB2312" w:hAnsi="仿宋_GB2312" w:eastAsia="仿宋_GB2312" w:cs="仿宋_GB2312"/>
          <w:sz w:val="32"/>
          <w:szCs w:val="32"/>
        </w:rPr>
        <w:t>主要变动原因是支出缩减，预算编制更加精准。</w:t>
      </w:r>
    </w:p>
    <w:p>
      <w:pPr>
        <w:spacing w:line="600" w:lineRule="exact"/>
        <w:ind w:firstLine="640" w:firstLineChars="200"/>
        <w:rPr>
          <w:rFonts w:ascii="仿宋" w:hAnsi="仿宋" w:eastAsia="仿宋"/>
          <w:sz w:val="32"/>
          <w:szCs w:val="32"/>
        </w:rPr>
      </w:pPr>
    </w:p>
    <w:p>
      <w:pPr>
        <w:pStyle w:val="2"/>
        <w:spacing w:before="93"/>
      </w:pPr>
      <w:r>
        <w:drawing>
          <wp:inline distT="0" distB="0" distL="0" distR="0">
            <wp:extent cx="5274310" cy="4151630"/>
            <wp:effectExtent l="0" t="0" r="2540" b="127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1"/>
                    <a:stretch>
                      <a:fillRect/>
                    </a:stretch>
                  </pic:blipFill>
                  <pic:spPr>
                    <a:xfrm>
                      <a:off x="0" y="0"/>
                      <a:ext cx="5274310" cy="4151630"/>
                    </a:xfrm>
                    <a:prstGeom prst="rect">
                      <a:avLst/>
                    </a:prstGeom>
                  </pic:spPr>
                </pic:pic>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7" w:name="_Toc15377211"/>
      <w:r>
        <w:rPr>
          <w:rFonts w:hint="eastAsia" w:ascii="仿宋" w:hAnsi="仿宋" w:eastAsia="仿宋"/>
          <w:b/>
          <w:sz w:val="32"/>
          <w:szCs w:val="32"/>
        </w:rPr>
        <w:t>（二）一般公共预算财政拨款支出决算结构情况</w:t>
      </w:r>
      <w:bookmarkEnd w:id="37"/>
    </w:p>
    <w:p>
      <w:pPr>
        <w:spacing w:line="600" w:lineRule="exact"/>
        <w:ind w:firstLine="640"/>
        <w:rPr>
          <w:rFonts w:ascii="仿宋_GB2312" w:hAnsi="仿宋_GB2312" w:eastAsia="仿宋_GB2312" w:cs="仿宋_GB2312"/>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ascii="仿宋" w:hAnsi="仿宋" w:eastAsia="仿宋"/>
          <w:sz w:val="32"/>
          <w:szCs w:val="32"/>
        </w:rPr>
        <w:t>10149.97</w:t>
      </w:r>
      <w:r>
        <w:rPr>
          <w:rFonts w:hint="eastAsia" w:ascii="仿宋" w:hAnsi="仿宋" w:eastAsia="仿宋"/>
          <w:sz w:val="32"/>
          <w:szCs w:val="32"/>
        </w:rPr>
        <w:t>万元，</w:t>
      </w:r>
      <w:r>
        <w:rPr>
          <w:rFonts w:hint="eastAsia" w:ascii="仿宋_GB2312" w:hAnsi="仿宋_GB2312" w:eastAsia="仿宋_GB2312" w:cs="仿宋_GB2312"/>
          <w:sz w:val="32"/>
          <w:szCs w:val="32"/>
        </w:rPr>
        <w:t>主要用于以下方面:一般公共服务（类）支出0万元，占0%；教育支出（类）0万元，占0%；科学技术（类）支出0万元，占0%；文化旅游体育与传媒（类）支出0万元，占0%；社会保障和就业（类）支出</w:t>
      </w:r>
      <w:r>
        <w:rPr>
          <w:rFonts w:ascii="仿宋_GB2312" w:hAnsi="仿宋_GB2312" w:eastAsia="仿宋_GB2312" w:cs="仿宋_GB2312"/>
          <w:sz w:val="32"/>
          <w:szCs w:val="32"/>
        </w:rPr>
        <w:t>316</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3.11</w:t>
      </w:r>
      <w:r>
        <w:rPr>
          <w:rFonts w:hint="eastAsia" w:ascii="仿宋_GB2312" w:hAnsi="仿宋_GB2312" w:eastAsia="仿宋_GB2312" w:cs="仿宋_GB2312"/>
          <w:sz w:val="32"/>
          <w:szCs w:val="32"/>
        </w:rPr>
        <w:t>%；卫生健康支出</w:t>
      </w:r>
      <w:r>
        <w:rPr>
          <w:rFonts w:ascii="仿宋_GB2312" w:hAnsi="仿宋_GB2312" w:eastAsia="仿宋_GB2312" w:cs="仿宋_GB2312"/>
          <w:sz w:val="32"/>
          <w:szCs w:val="32"/>
        </w:rPr>
        <w:t>59.9</w:t>
      </w:r>
      <w:r>
        <w:rPr>
          <w:rFonts w:hint="eastAsia" w:ascii="仿宋_GB2312" w:hAnsi="仿宋_GB2312" w:eastAsia="仿宋_GB2312" w:cs="仿宋_GB2312"/>
          <w:sz w:val="32"/>
          <w:szCs w:val="32"/>
        </w:rPr>
        <w:t>万元，占0.5</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%；节能环保支出2</w:t>
      </w:r>
      <w:r>
        <w:rPr>
          <w:rFonts w:ascii="仿宋_GB2312" w:hAnsi="仿宋_GB2312" w:eastAsia="仿宋_GB2312" w:cs="仿宋_GB2312"/>
          <w:sz w:val="32"/>
          <w:szCs w:val="32"/>
        </w:rPr>
        <w:t>16万元，占</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.13%；</w:t>
      </w:r>
      <w:r>
        <w:rPr>
          <w:rFonts w:hint="eastAsia" w:ascii="仿宋_GB2312" w:hAnsi="仿宋_GB2312" w:eastAsia="仿宋_GB2312" w:cs="仿宋_GB2312"/>
          <w:sz w:val="32"/>
          <w:szCs w:val="32"/>
        </w:rPr>
        <w:t>农林水支出</w:t>
      </w:r>
      <w:r>
        <w:rPr>
          <w:rFonts w:ascii="仿宋_GB2312" w:hAnsi="仿宋_GB2312" w:eastAsia="仿宋_GB2312" w:cs="仿宋_GB2312"/>
          <w:sz w:val="32"/>
          <w:szCs w:val="32"/>
        </w:rPr>
        <w:t>53.1</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0.52</w:t>
      </w:r>
      <w:r>
        <w:rPr>
          <w:rFonts w:hint="eastAsia" w:ascii="仿宋_GB2312" w:hAnsi="仿宋_GB2312" w:eastAsia="仿宋_GB2312" w:cs="仿宋_GB2312"/>
          <w:sz w:val="32"/>
          <w:szCs w:val="32"/>
        </w:rPr>
        <w:t>%；交通运输支出</w:t>
      </w:r>
      <w:r>
        <w:rPr>
          <w:rFonts w:ascii="仿宋_GB2312" w:hAnsi="仿宋_GB2312" w:eastAsia="仿宋_GB2312" w:cs="仿宋_GB2312"/>
          <w:sz w:val="32"/>
          <w:szCs w:val="32"/>
        </w:rPr>
        <w:t>9,339.2</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92.01</w:t>
      </w:r>
      <w:r>
        <w:rPr>
          <w:rFonts w:hint="eastAsia" w:ascii="仿宋_GB2312" w:hAnsi="仿宋_GB2312" w:eastAsia="仿宋_GB2312" w:cs="仿宋_GB2312"/>
          <w:sz w:val="32"/>
          <w:szCs w:val="32"/>
        </w:rPr>
        <w:t>%；住房保障支出</w:t>
      </w:r>
      <w:r>
        <w:rPr>
          <w:rFonts w:ascii="仿宋_GB2312" w:hAnsi="仿宋_GB2312" w:eastAsia="仿宋_GB2312" w:cs="仿宋_GB2312"/>
          <w:sz w:val="32"/>
          <w:szCs w:val="32"/>
        </w:rPr>
        <w:t>165.77</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1.63</w:t>
      </w:r>
      <w:r>
        <w:rPr>
          <w:rFonts w:hint="eastAsia" w:ascii="仿宋_GB2312" w:hAnsi="仿宋_GB2312" w:eastAsia="仿宋_GB2312" w:cs="仿宋_GB2312"/>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（注：数据来源于财决01-1表，仅罗列本部门涉及的全部功能分类科目，至类级。）</w:t>
      </w:r>
    </w:p>
    <w:p>
      <w:pPr>
        <w:pStyle w:val="2"/>
        <w:spacing w:before="93"/>
        <w:ind w:firstLine="300" w:firstLineChars="100"/>
      </w:pPr>
      <w:r>
        <w:drawing>
          <wp:inline distT="0" distB="0" distL="0" distR="0">
            <wp:extent cx="5274310" cy="4222750"/>
            <wp:effectExtent l="0" t="0" r="2540" b="635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2"/>
                    <a:stretch>
                      <a:fillRect/>
                    </a:stretch>
                  </pic:blipFill>
                  <pic:spPr>
                    <a:xfrm>
                      <a:off x="0" y="0"/>
                      <a:ext cx="5274310" cy="4222750"/>
                    </a:xfrm>
                    <a:prstGeom prst="rect">
                      <a:avLst/>
                    </a:prstGeom>
                  </pic:spPr>
                </pic:pic>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8" w:name="_Toc15377212"/>
      <w:r>
        <w:rPr>
          <w:rFonts w:hint="eastAsia" w:ascii="仿宋" w:hAnsi="仿宋" w:eastAsia="仿宋"/>
          <w:b/>
          <w:sz w:val="32"/>
          <w:szCs w:val="32"/>
        </w:rPr>
        <w:t>（三）一般公共预算财政拨款支出决算具体情况</w:t>
      </w:r>
      <w:bookmarkEnd w:id="38"/>
    </w:p>
    <w:p>
      <w:pPr>
        <w:spacing w:line="600" w:lineRule="exact"/>
        <w:ind w:firstLine="640" w:firstLineChars="200"/>
        <w:outlineLvl w:val="2"/>
        <w:rPr>
          <w:rFonts w:ascii="仿宋" w:hAnsi="仿宋" w:eastAsia="仿宋"/>
          <w:b/>
          <w:sz w:val="32"/>
          <w:szCs w:val="32"/>
        </w:rPr>
      </w:pPr>
      <w:bookmarkStart w:id="39" w:name="_Toc15378460"/>
      <w:bookmarkStart w:id="40" w:name="_Toc15377444"/>
      <w:bookmarkStart w:id="41" w:name="_Toc15377213"/>
      <w:r>
        <w:rPr>
          <w:rFonts w:hint="eastAsia" w:ascii="仿宋" w:hAnsi="仿宋" w:eastAsia="仿宋"/>
          <w:sz w:val="32"/>
          <w:szCs w:val="32"/>
        </w:rPr>
        <w:t>2022年一般公共预算支出决算数为</w:t>
      </w:r>
      <w:r>
        <w:rPr>
          <w:rFonts w:ascii="仿宋" w:hAnsi="仿宋" w:eastAsia="仿宋"/>
          <w:sz w:val="32"/>
          <w:szCs w:val="32"/>
        </w:rPr>
        <w:t>10149.97</w:t>
      </w:r>
      <w:r>
        <w:rPr>
          <w:rFonts w:hint="eastAsia" w:ascii="仿宋" w:hAnsi="仿宋" w:eastAsia="仿宋"/>
          <w:sz w:val="32"/>
          <w:szCs w:val="32"/>
        </w:rPr>
        <w:t>，</w:t>
      </w:r>
      <w:r>
        <w:rPr>
          <w:rStyle w:val="17"/>
          <w:rFonts w:hint="eastAsia" w:ascii="仿宋" w:hAnsi="仿宋" w:eastAsia="仿宋"/>
          <w:b w:val="0"/>
          <w:bCs/>
          <w:sz w:val="32"/>
          <w:szCs w:val="32"/>
        </w:rPr>
        <w:t>完成预算</w:t>
      </w:r>
      <w:r>
        <w:rPr>
          <w:rStyle w:val="17"/>
          <w:rFonts w:ascii="仿宋" w:hAnsi="仿宋" w:eastAsia="仿宋"/>
          <w:b w:val="0"/>
          <w:bCs/>
          <w:sz w:val="32"/>
          <w:szCs w:val="32"/>
        </w:rPr>
        <w:t>100%</w:t>
      </w:r>
      <w:r>
        <w:rPr>
          <w:rStyle w:val="17"/>
          <w:rFonts w:hint="eastAsia" w:ascii="仿宋" w:hAnsi="仿宋" w:eastAsia="仿宋"/>
          <w:b w:val="0"/>
          <w:bCs/>
          <w:sz w:val="32"/>
          <w:szCs w:val="32"/>
        </w:rPr>
        <w:t>。其中：</w:t>
      </w:r>
      <w:bookmarkEnd w:id="39"/>
      <w:bookmarkEnd w:id="40"/>
      <w:bookmarkEnd w:id="41"/>
    </w:p>
    <w:p>
      <w:pPr>
        <w:spacing w:line="600" w:lineRule="exact"/>
        <w:ind w:firstLine="640" w:firstLineChars="200"/>
        <w:rPr>
          <w:rFonts w:ascii="仿宋_GB2312" w:hAnsi="仿宋_GB2312" w:eastAsia="仿宋_GB2312" w:cs="仿宋_GB2312"/>
          <w:bCs/>
          <w:sz w:val="32"/>
          <w:szCs w:val="32"/>
        </w:rPr>
      </w:pPr>
      <w:r>
        <w:rPr>
          <w:rStyle w:val="17"/>
          <w:rFonts w:hint="eastAsia" w:ascii="仿宋_GB2312" w:hAnsi="仿宋_GB2312" w:eastAsia="仿宋_GB2312" w:cs="仿宋_GB2312"/>
          <w:b w:val="0"/>
          <w:bCs/>
          <w:sz w:val="32"/>
          <w:szCs w:val="32"/>
        </w:rPr>
        <w:t>1．一般公共服务（类）***（款）***（项）: 本年无此项业务发生。</w:t>
      </w:r>
    </w:p>
    <w:p>
      <w:pPr>
        <w:spacing w:line="600" w:lineRule="exact"/>
        <w:ind w:firstLine="640" w:firstLineChars="200"/>
        <w:rPr>
          <w:rFonts w:ascii="仿宋_GB2312" w:hAnsi="仿宋_GB2312" w:eastAsia="仿宋_GB2312" w:cs="仿宋_GB2312"/>
          <w:bCs/>
          <w:sz w:val="32"/>
          <w:szCs w:val="32"/>
        </w:rPr>
      </w:pPr>
      <w:r>
        <w:rPr>
          <w:rStyle w:val="17"/>
          <w:rFonts w:hint="eastAsia" w:ascii="仿宋_GB2312" w:hAnsi="仿宋_GB2312" w:eastAsia="仿宋_GB2312" w:cs="仿宋_GB2312"/>
          <w:b w:val="0"/>
          <w:bCs/>
          <w:sz w:val="32"/>
          <w:szCs w:val="32"/>
        </w:rPr>
        <w:t>2．教育（类）***（款）***（项）: 本年无此项业务发生。</w:t>
      </w:r>
    </w:p>
    <w:p>
      <w:pPr>
        <w:spacing w:line="600" w:lineRule="exact"/>
        <w:ind w:firstLine="640" w:firstLineChars="200"/>
        <w:rPr>
          <w:rFonts w:ascii="仿宋_GB2312" w:hAnsi="仿宋_GB2312" w:eastAsia="仿宋_GB2312" w:cs="仿宋_GB2312"/>
          <w:bCs/>
          <w:sz w:val="32"/>
          <w:szCs w:val="32"/>
        </w:rPr>
      </w:pPr>
      <w:r>
        <w:rPr>
          <w:rStyle w:val="17"/>
          <w:rFonts w:hint="eastAsia" w:ascii="仿宋_GB2312" w:hAnsi="仿宋_GB2312" w:eastAsia="仿宋_GB2312" w:cs="仿宋_GB2312"/>
          <w:b w:val="0"/>
          <w:bCs/>
          <w:sz w:val="32"/>
          <w:szCs w:val="32"/>
        </w:rPr>
        <w:t>3．科学技术（类）***（款）***（项）: 本年无此项业务发生。</w:t>
      </w:r>
    </w:p>
    <w:p>
      <w:pPr>
        <w:spacing w:line="600" w:lineRule="exact"/>
        <w:ind w:firstLine="640" w:firstLineChars="200"/>
        <w:rPr>
          <w:rFonts w:ascii="仿宋_GB2312" w:hAnsi="仿宋_GB2312" w:eastAsia="仿宋_GB2312" w:cs="仿宋_GB2312"/>
          <w:bCs/>
          <w:sz w:val="32"/>
          <w:szCs w:val="32"/>
        </w:rPr>
      </w:pPr>
      <w:r>
        <w:rPr>
          <w:rStyle w:val="17"/>
          <w:rFonts w:hint="eastAsia" w:ascii="仿宋_GB2312" w:hAnsi="仿宋_GB2312" w:eastAsia="仿宋_GB2312" w:cs="仿宋_GB2312"/>
          <w:b w:val="0"/>
          <w:bCs/>
          <w:sz w:val="32"/>
          <w:szCs w:val="32"/>
        </w:rPr>
        <w:t>4．文化旅游体育与传媒（类）***（款）***（项）: 本年无此项业务发生。</w:t>
      </w:r>
    </w:p>
    <w:p>
      <w:pPr>
        <w:ind w:firstLine="640" w:firstLineChars="200"/>
        <w:rPr>
          <w:rStyle w:val="17"/>
          <w:rFonts w:ascii="仿宋_GB2312" w:hAnsi="仿宋" w:eastAsia="仿宋_GB2312"/>
          <w:b w:val="0"/>
          <w:bCs/>
          <w:color w:val="000000"/>
          <w:sz w:val="32"/>
          <w:szCs w:val="32"/>
        </w:rPr>
      </w:pPr>
      <w:r>
        <w:rPr>
          <w:rStyle w:val="17"/>
          <w:rFonts w:hint="eastAsia" w:ascii="仿宋_GB2312" w:hAnsi="仿宋" w:eastAsia="仿宋_GB2312"/>
          <w:b w:val="0"/>
          <w:bCs/>
          <w:color w:val="000000"/>
          <w:sz w:val="32"/>
          <w:szCs w:val="32"/>
        </w:rPr>
        <w:t>5.社会保障和就业（类）行政事业单位养老支出（款）机关事业单位基本养老保险缴费支出（项）: 支出决算数为</w:t>
      </w:r>
      <w:r>
        <w:rPr>
          <w:rStyle w:val="17"/>
          <w:rFonts w:ascii="仿宋_GB2312" w:hAnsi="仿宋" w:eastAsia="仿宋_GB2312"/>
          <w:b w:val="0"/>
          <w:bCs/>
          <w:color w:val="000000"/>
          <w:sz w:val="32"/>
          <w:szCs w:val="32"/>
        </w:rPr>
        <w:t>135.88</w:t>
      </w:r>
      <w:r>
        <w:rPr>
          <w:rStyle w:val="17"/>
          <w:rFonts w:hint="eastAsia" w:ascii="仿宋_GB2312" w:hAnsi="仿宋" w:eastAsia="仿宋_GB2312"/>
          <w:b w:val="0"/>
          <w:bCs/>
          <w:color w:val="000000"/>
          <w:sz w:val="32"/>
          <w:szCs w:val="32"/>
        </w:rPr>
        <w:t>万元，完成预算100%，决算数与预算数持平。</w:t>
      </w:r>
    </w:p>
    <w:p>
      <w:pPr>
        <w:ind w:firstLine="640" w:firstLineChars="200"/>
        <w:rPr>
          <w:rStyle w:val="17"/>
          <w:rFonts w:ascii="仿宋_GB2312" w:hAnsi="仿宋" w:eastAsia="仿宋_GB2312"/>
          <w:b w:val="0"/>
          <w:bCs/>
          <w:color w:val="000000"/>
          <w:sz w:val="32"/>
          <w:szCs w:val="32"/>
        </w:rPr>
      </w:pPr>
      <w:r>
        <w:rPr>
          <w:rStyle w:val="17"/>
          <w:rFonts w:hint="eastAsia" w:ascii="仿宋_GB2312" w:hAnsi="仿宋" w:eastAsia="仿宋_GB2312"/>
          <w:b w:val="0"/>
          <w:bCs/>
          <w:color w:val="000000"/>
          <w:sz w:val="32"/>
          <w:szCs w:val="32"/>
        </w:rPr>
        <w:t>6.社会保障和就业（类）行政事业单位养老支出（款）机关事业单位职业年金缴费支出（项）: 支出决算数为</w:t>
      </w:r>
      <w:r>
        <w:rPr>
          <w:rStyle w:val="17"/>
          <w:rFonts w:ascii="仿宋_GB2312" w:hAnsi="仿宋" w:eastAsia="仿宋_GB2312"/>
          <w:b w:val="0"/>
          <w:bCs/>
          <w:color w:val="000000"/>
          <w:sz w:val="32"/>
          <w:szCs w:val="32"/>
        </w:rPr>
        <w:t>67.55</w:t>
      </w:r>
      <w:r>
        <w:rPr>
          <w:rStyle w:val="17"/>
          <w:rFonts w:hint="eastAsia" w:ascii="仿宋_GB2312" w:hAnsi="仿宋" w:eastAsia="仿宋_GB2312"/>
          <w:b w:val="0"/>
          <w:bCs/>
          <w:color w:val="000000"/>
          <w:sz w:val="32"/>
          <w:szCs w:val="32"/>
        </w:rPr>
        <w:t>万元，完成预算100%，决算数与预算数持平。</w:t>
      </w:r>
    </w:p>
    <w:p>
      <w:pPr>
        <w:pStyle w:val="2"/>
        <w:spacing w:before="93"/>
        <w:ind w:firstLine="739" w:firstLineChars="231"/>
        <w:rPr>
          <w:rStyle w:val="17"/>
          <w:rFonts w:hAnsi="仿宋_GB2312" w:cs="仿宋_GB2312"/>
          <w:b w:val="0"/>
          <w:bCs/>
          <w:sz w:val="32"/>
          <w:szCs w:val="32"/>
        </w:rPr>
      </w:pPr>
      <w:r>
        <w:rPr>
          <w:rStyle w:val="17"/>
          <w:rFonts w:hint="eastAsia" w:hAnsi="仿宋_GB2312" w:cs="仿宋_GB2312"/>
          <w:b w:val="0"/>
          <w:bCs/>
          <w:sz w:val="32"/>
          <w:szCs w:val="32"/>
        </w:rPr>
        <w:t>7.社会保障和就业（类）抚恤（款）死亡抚恤（项）: 支出决算数为</w:t>
      </w:r>
      <w:r>
        <w:rPr>
          <w:rStyle w:val="17"/>
          <w:rFonts w:hAnsi="仿宋_GB2312" w:cs="仿宋_GB2312"/>
          <w:b w:val="0"/>
          <w:bCs/>
          <w:sz w:val="32"/>
          <w:szCs w:val="32"/>
        </w:rPr>
        <w:t>83.15</w:t>
      </w:r>
      <w:r>
        <w:rPr>
          <w:rStyle w:val="17"/>
          <w:rFonts w:hint="eastAsia" w:hAnsi="仿宋_GB2312" w:cs="仿宋_GB2312"/>
          <w:b w:val="0"/>
          <w:bCs/>
          <w:sz w:val="32"/>
          <w:szCs w:val="32"/>
        </w:rPr>
        <w:t>万元，</w:t>
      </w:r>
      <w:r>
        <w:rPr>
          <w:rStyle w:val="17"/>
          <w:rFonts w:hint="eastAsia" w:hAnsi="仿宋_GB2312" w:cs="仿宋_GB2312"/>
          <w:b w:val="0"/>
          <w:bCs/>
          <w:color w:val="000000"/>
          <w:sz w:val="32"/>
          <w:szCs w:val="32"/>
        </w:rPr>
        <w:t>完成预算100</w:t>
      </w:r>
      <w:r>
        <w:rPr>
          <w:rStyle w:val="17"/>
          <w:rFonts w:hAnsi="仿宋_GB2312" w:cs="仿宋_GB2312"/>
          <w:b w:val="0"/>
          <w:bCs/>
          <w:color w:val="000000"/>
          <w:sz w:val="32"/>
          <w:szCs w:val="32"/>
        </w:rPr>
        <w:t>%</w:t>
      </w:r>
      <w:r>
        <w:rPr>
          <w:rStyle w:val="17"/>
          <w:rFonts w:hint="eastAsia" w:hAnsi="仿宋_GB2312" w:cs="仿宋_GB2312"/>
          <w:b w:val="0"/>
          <w:bCs/>
          <w:color w:val="000000"/>
          <w:sz w:val="32"/>
          <w:szCs w:val="32"/>
        </w:rPr>
        <w:t>，决算数与预算数持平</w:t>
      </w:r>
      <w:r>
        <w:rPr>
          <w:rStyle w:val="17"/>
          <w:rFonts w:hint="eastAsia" w:hAnsi="仿宋_GB2312" w:cs="仿宋_GB2312"/>
          <w:b w:val="0"/>
          <w:bCs/>
          <w:sz w:val="32"/>
          <w:szCs w:val="32"/>
        </w:rPr>
        <w:t>。</w:t>
      </w:r>
    </w:p>
    <w:p>
      <w:pPr>
        <w:pStyle w:val="2"/>
        <w:spacing w:before="93"/>
        <w:ind w:firstLine="739" w:firstLineChars="231"/>
        <w:rPr>
          <w:rStyle w:val="17"/>
          <w:rFonts w:hAnsi="仿宋_GB2312" w:cs="仿宋_GB2312"/>
          <w:b w:val="0"/>
          <w:bCs/>
          <w:sz w:val="32"/>
          <w:szCs w:val="32"/>
        </w:rPr>
      </w:pPr>
      <w:r>
        <w:rPr>
          <w:rStyle w:val="17"/>
          <w:rFonts w:hint="eastAsia" w:hAnsi="仿宋_GB2312" w:cs="仿宋_GB2312"/>
          <w:b w:val="0"/>
          <w:bCs/>
          <w:sz w:val="32"/>
          <w:szCs w:val="32"/>
        </w:rPr>
        <w:t>8.社会保障和就业（类）抚恤（款）其他优抚支出（项）: 支出决算数为</w:t>
      </w:r>
      <w:r>
        <w:rPr>
          <w:rStyle w:val="17"/>
          <w:rFonts w:hAnsi="仿宋_GB2312" w:cs="仿宋_GB2312"/>
          <w:b w:val="0"/>
          <w:bCs/>
          <w:sz w:val="32"/>
          <w:szCs w:val="32"/>
        </w:rPr>
        <w:t>20.21</w:t>
      </w:r>
      <w:r>
        <w:rPr>
          <w:rStyle w:val="17"/>
          <w:rFonts w:hint="eastAsia" w:hAnsi="仿宋_GB2312" w:cs="仿宋_GB2312"/>
          <w:b w:val="0"/>
          <w:bCs/>
          <w:sz w:val="32"/>
          <w:szCs w:val="32"/>
        </w:rPr>
        <w:t>万元，</w:t>
      </w:r>
      <w:r>
        <w:rPr>
          <w:rStyle w:val="17"/>
          <w:rFonts w:hint="eastAsia" w:hAnsi="仿宋_GB2312" w:cs="仿宋_GB2312"/>
          <w:b w:val="0"/>
          <w:bCs/>
          <w:color w:val="000000"/>
          <w:sz w:val="32"/>
          <w:szCs w:val="32"/>
        </w:rPr>
        <w:t>完成预算100</w:t>
      </w:r>
      <w:r>
        <w:rPr>
          <w:rStyle w:val="17"/>
          <w:rFonts w:hAnsi="仿宋_GB2312" w:cs="仿宋_GB2312"/>
          <w:b w:val="0"/>
          <w:bCs/>
          <w:color w:val="000000"/>
          <w:sz w:val="32"/>
          <w:szCs w:val="32"/>
        </w:rPr>
        <w:t>%</w:t>
      </w:r>
      <w:r>
        <w:rPr>
          <w:rStyle w:val="17"/>
          <w:rFonts w:hint="eastAsia" w:hAnsi="仿宋_GB2312" w:cs="仿宋_GB2312"/>
          <w:b w:val="0"/>
          <w:bCs/>
          <w:color w:val="000000"/>
          <w:sz w:val="32"/>
          <w:szCs w:val="32"/>
        </w:rPr>
        <w:t>，决算数与预算数持平</w:t>
      </w:r>
      <w:r>
        <w:rPr>
          <w:rStyle w:val="17"/>
          <w:rFonts w:hint="eastAsia" w:hAnsi="仿宋_GB2312" w:cs="仿宋_GB2312"/>
          <w:b w:val="0"/>
          <w:bCs/>
          <w:sz w:val="32"/>
          <w:szCs w:val="32"/>
        </w:rPr>
        <w:t>。</w:t>
      </w:r>
    </w:p>
    <w:p>
      <w:pPr>
        <w:pStyle w:val="2"/>
        <w:spacing w:before="93"/>
        <w:ind w:firstLine="739" w:firstLineChars="231"/>
        <w:rPr>
          <w:rStyle w:val="17"/>
          <w:rFonts w:hAnsi="仿宋_GB2312" w:cs="仿宋_GB2312"/>
          <w:b w:val="0"/>
          <w:bCs/>
          <w:sz w:val="32"/>
          <w:szCs w:val="32"/>
        </w:rPr>
      </w:pPr>
      <w:r>
        <w:rPr>
          <w:rStyle w:val="17"/>
          <w:rFonts w:hint="eastAsia" w:hAnsi="仿宋_GB2312" w:cs="仿宋_GB2312"/>
          <w:b w:val="0"/>
          <w:bCs/>
          <w:sz w:val="32"/>
          <w:szCs w:val="32"/>
        </w:rPr>
        <w:t>9.社会保障和就业（类）残疾人事业（款）其他残疾人事业支出（项）: 本年无此业务发生。</w:t>
      </w:r>
    </w:p>
    <w:p>
      <w:pPr>
        <w:ind w:firstLine="640" w:firstLineChars="200"/>
        <w:rPr>
          <w:rStyle w:val="17"/>
          <w:rFonts w:ascii="仿宋_GB2312" w:hAnsi="仿宋" w:eastAsia="仿宋_GB2312"/>
          <w:b w:val="0"/>
          <w:bCs/>
          <w:color w:val="000000"/>
          <w:sz w:val="32"/>
          <w:szCs w:val="32"/>
        </w:rPr>
      </w:pPr>
      <w:r>
        <w:rPr>
          <w:rStyle w:val="17"/>
          <w:rFonts w:hint="eastAsia" w:ascii="仿宋_GB2312" w:hAnsi="仿宋" w:eastAsia="仿宋_GB2312"/>
          <w:b w:val="0"/>
          <w:bCs/>
          <w:color w:val="000000"/>
          <w:sz w:val="32"/>
          <w:szCs w:val="32"/>
        </w:rPr>
        <w:t>10.社会保障和就业（类）其他社会保障和就业支出（款）其他社会保障和就业支出（项）: 支出决算</w:t>
      </w:r>
      <w:r>
        <w:rPr>
          <w:rStyle w:val="17"/>
          <w:rFonts w:hint="eastAsia" w:hAnsi="仿宋_GB2312" w:cs="仿宋_GB2312"/>
          <w:b w:val="0"/>
          <w:bCs/>
          <w:sz w:val="32"/>
          <w:szCs w:val="32"/>
        </w:rPr>
        <w:t>数</w:t>
      </w:r>
      <w:r>
        <w:rPr>
          <w:rStyle w:val="17"/>
          <w:rFonts w:hint="eastAsia" w:ascii="仿宋_GB2312" w:hAnsi="仿宋" w:eastAsia="仿宋_GB2312"/>
          <w:b w:val="0"/>
          <w:bCs/>
          <w:color w:val="000000"/>
          <w:sz w:val="32"/>
          <w:szCs w:val="32"/>
        </w:rPr>
        <w:t>为</w:t>
      </w:r>
      <w:r>
        <w:rPr>
          <w:rStyle w:val="17"/>
          <w:rFonts w:ascii="仿宋_GB2312" w:hAnsi="仿宋" w:eastAsia="仿宋_GB2312"/>
          <w:b w:val="0"/>
          <w:bCs/>
          <w:color w:val="000000"/>
          <w:sz w:val="32"/>
          <w:szCs w:val="32"/>
        </w:rPr>
        <w:t>9.21</w:t>
      </w:r>
      <w:r>
        <w:rPr>
          <w:rStyle w:val="17"/>
          <w:rFonts w:hint="eastAsia" w:ascii="仿宋_GB2312" w:hAnsi="仿宋" w:eastAsia="仿宋_GB2312"/>
          <w:b w:val="0"/>
          <w:bCs/>
          <w:color w:val="000000"/>
          <w:sz w:val="32"/>
          <w:szCs w:val="32"/>
        </w:rPr>
        <w:t>万元，完成预算100%，决算数与预算数持平。</w:t>
      </w:r>
    </w:p>
    <w:p>
      <w:pPr>
        <w:ind w:firstLine="640" w:firstLineChars="200"/>
        <w:rPr>
          <w:rFonts w:ascii="仿宋_GB2312" w:hAnsi="仿宋" w:eastAsia="仿宋_GB2312"/>
          <w:bCs/>
          <w:color w:val="000000"/>
          <w:sz w:val="32"/>
          <w:szCs w:val="32"/>
        </w:rPr>
      </w:pPr>
      <w:r>
        <w:rPr>
          <w:rStyle w:val="17"/>
          <w:rFonts w:hint="eastAsia" w:ascii="仿宋_GB2312" w:hAnsi="仿宋" w:eastAsia="仿宋_GB2312"/>
          <w:b w:val="0"/>
          <w:bCs/>
          <w:color w:val="000000"/>
          <w:sz w:val="32"/>
          <w:szCs w:val="32"/>
        </w:rPr>
        <w:t>11.</w:t>
      </w:r>
      <w:r>
        <w:rPr>
          <w:rFonts w:hint="eastAsia" w:ascii="仿宋_GB2312" w:hAnsi="仿宋" w:eastAsia="仿宋_GB2312"/>
          <w:bCs/>
          <w:color w:val="000000"/>
          <w:sz w:val="32"/>
          <w:szCs w:val="32"/>
        </w:rPr>
        <w:t>卫生健康</w:t>
      </w:r>
      <w:r>
        <w:rPr>
          <w:rStyle w:val="17"/>
          <w:rFonts w:hint="eastAsia" w:ascii="仿宋_GB2312" w:hAnsi="仿宋" w:eastAsia="仿宋_GB2312"/>
          <w:b w:val="0"/>
          <w:bCs/>
          <w:color w:val="000000"/>
          <w:sz w:val="32"/>
          <w:szCs w:val="32"/>
        </w:rPr>
        <w:t>（类）行政事业单位医疗（款）行政单位医疗（项）:支出决算</w:t>
      </w:r>
      <w:r>
        <w:rPr>
          <w:rStyle w:val="17"/>
          <w:rFonts w:hint="eastAsia" w:hAnsi="仿宋_GB2312" w:cs="仿宋_GB2312"/>
          <w:b w:val="0"/>
          <w:bCs/>
          <w:sz w:val="32"/>
          <w:szCs w:val="32"/>
        </w:rPr>
        <w:t>数</w:t>
      </w:r>
      <w:r>
        <w:rPr>
          <w:rStyle w:val="17"/>
          <w:rFonts w:hint="eastAsia" w:ascii="仿宋_GB2312" w:hAnsi="仿宋" w:eastAsia="仿宋_GB2312"/>
          <w:b w:val="0"/>
          <w:bCs/>
          <w:color w:val="000000"/>
          <w:sz w:val="32"/>
          <w:szCs w:val="32"/>
        </w:rPr>
        <w:t>为</w:t>
      </w:r>
      <w:r>
        <w:rPr>
          <w:rStyle w:val="17"/>
          <w:rFonts w:ascii="仿宋_GB2312" w:hAnsi="仿宋" w:eastAsia="仿宋_GB2312"/>
          <w:b w:val="0"/>
          <w:bCs/>
          <w:color w:val="000000"/>
          <w:sz w:val="32"/>
          <w:szCs w:val="32"/>
        </w:rPr>
        <w:t>10.94</w:t>
      </w:r>
      <w:r>
        <w:rPr>
          <w:rStyle w:val="17"/>
          <w:rFonts w:hint="eastAsia" w:ascii="仿宋_GB2312" w:hAnsi="仿宋" w:eastAsia="仿宋_GB2312"/>
          <w:b w:val="0"/>
          <w:bCs/>
          <w:color w:val="000000"/>
          <w:sz w:val="32"/>
          <w:szCs w:val="32"/>
        </w:rPr>
        <w:t>万元，完成预算100%，决算数与预算数持平。</w:t>
      </w:r>
    </w:p>
    <w:p>
      <w:pPr>
        <w:ind w:firstLine="640" w:firstLineChars="200"/>
        <w:rPr>
          <w:rStyle w:val="17"/>
          <w:rFonts w:ascii="仿宋_GB2312" w:hAnsi="仿宋" w:eastAsia="仿宋_GB2312"/>
          <w:b w:val="0"/>
          <w:bCs/>
          <w:color w:val="000000"/>
          <w:sz w:val="32"/>
          <w:szCs w:val="32"/>
        </w:rPr>
      </w:pPr>
      <w:r>
        <w:rPr>
          <w:rStyle w:val="17"/>
          <w:rFonts w:hint="eastAsia" w:ascii="仿宋_GB2312" w:hAnsi="仿宋" w:eastAsia="仿宋_GB2312"/>
          <w:b w:val="0"/>
          <w:bCs/>
          <w:color w:val="000000"/>
          <w:sz w:val="32"/>
          <w:szCs w:val="32"/>
        </w:rPr>
        <w:t>12.</w:t>
      </w:r>
      <w:r>
        <w:rPr>
          <w:rFonts w:hint="eastAsia" w:ascii="仿宋_GB2312" w:hAnsi="仿宋" w:eastAsia="仿宋_GB2312"/>
          <w:bCs/>
          <w:color w:val="000000"/>
          <w:sz w:val="32"/>
          <w:szCs w:val="32"/>
        </w:rPr>
        <w:t>卫生健康</w:t>
      </w:r>
      <w:r>
        <w:rPr>
          <w:rStyle w:val="17"/>
          <w:rFonts w:hint="eastAsia" w:ascii="仿宋_GB2312" w:hAnsi="仿宋" w:eastAsia="仿宋_GB2312"/>
          <w:b w:val="0"/>
          <w:bCs/>
          <w:color w:val="000000"/>
          <w:sz w:val="32"/>
          <w:szCs w:val="32"/>
        </w:rPr>
        <w:t>（类）行政事业单位医疗（款）事业单位医疗（项）:支出决算</w:t>
      </w:r>
      <w:r>
        <w:rPr>
          <w:rStyle w:val="17"/>
          <w:rFonts w:hint="eastAsia" w:hAnsi="仿宋_GB2312" w:cs="仿宋_GB2312"/>
          <w:b w:val="0"/>
          <w:bCs/>
          <w:sz w:val="32"/>
          <w:szCs w:val="32"/>
        </w:rPr>
        <w:t>数</w:t>
      </w:r>
      <w:r>
        <w:rPr>
          <w:rStyle w:val="17"/>
          <w:rFonts w:hint="eastAsia" w:ascii="仿宋_GB2312" w:hAnsi="仿宋" w:eastAsia="仿宋_GB2312"/>
          <w:b w:val="0"/>
          <w:bCs/>
          <w:color w:val="000000"/>
          <w:sz w:val="32"/>
          <w:szCs w:val="32"/>
        </w:rPr>
        <w:t>为</w:t>
      </w:r>
      <w:r>
        <w:rPr>
          <w:rStyle w:val="17"/>
          <w:rFonts w:ascii="仿宋_GB2312" w:hAnsi="仿宋" w:eastAsia="仿宋_GB2312"/>
          <w:b w:val="0"/>
          <w:bCs/>
          <w:color w:val="000000"/>
          <w:sz w:val="32"/>
          <w:szCs w:val="32"/>
        </w:rPr>
        <w:t>44.01</w:t>
      </w:r>
      <w:r>
        <w:rPr>
          <w:rStyle w:val="17"/>
          <w:rFonts w:hint="eastAsia" w:ascii="仿宋_GB2312" w:hAnsi="仿宋" w:eastAsia="仿宋_GB2312"/>
          <w:b w:val="0"/>
          <w:bCs/>
          <w:color w:val="000000"/>
          <w:sz w:val="32"/>
          <w:szCs w:val="32"/>
        </w:rPr>
        <w:t>万元，完成预算100%，决算数与预算数持平。</w:t>
      </w:r>
    </w:p>
    <w:p>
      <w:pPr>
        <w:ind w:firstLine="640" w:firstLineChars="200"/>
        <w:rPr>
          <w:rStyle w:val="17"/>
          <w:rFonts w:ascii="仿宋_GB2312" w:hAnsi="仿宋" w:eastAsia="仿宋_GB2312"/>
          <w:b w:val="0"/>
          <w:bCs/>
          <w:color w:val="000000"/>
          <w:sz w:val="32"/>
          <w:szCs w:val="32"/>
        </w:rPr>
      </w:pPr>
      <w:r>
        <w:rPr>
          <w:rStyle w:val="17"/>
          <w:rFonts w:hint="eastAsia" w:ascii="仿宋_GB2312" w:hAnsi="仿宋" w:eastAsia="仿宋_GB2312"/>
          <w:b w:val="0"/>
          <w:bCs/>
          <w:color w:val="000000"/>
          <w:sz w:val="32"/>
          <w:szCs w:val="32"/>
        </w:rPr>
        <w:t>13.</w:t>
      </w:r>
      <w:r>
        <w:rPr>
          <w:rFonts w:hint="eastAsia" w:ascii="仿宋_GB2312" w:hAnsi="仿宋" w:eastAsia="仿宋_GB2312"/>
          <w:bCs/>
          <w:color w:val="000000"/>
          <w:sz w:val="32"/>
          <w:szCs w:val="32"/>
        </w:rPr>
        <w:t>卫生健康</w:t>
      </w:r>
      <w:r>
        <w:rPr>
          <w:rStyle w:val="17"/>
          <w:rFonts w:hint="eastAsia" w:ascii="仿宋_GB2312" w:hAnsi="仿宋" w:eastAsia="仿宋_GB2312"/>
          <w:b w:val="0"/>
          <w:bCs/>
          <w:color w:val="000000"/>
          <w:sz w:val="32"/>
          <w:szCs w:val="32"/>
        </w:rPr>
        <w:t>（类）行政事业单位医疗（款）公务员医疗补助（项）:支出决算</w:t>
      </w:r>
      <w:r>
        <w:rPr>
          <w:rStyle w:val="17"/>
          <w:rFonts w:hint="eastAsia" w:hAnsi="仿宋_GB2312" w:cs="仿宋_GB2312"/>
          <w:b w:val="0"/>
          <w:bCs/>
          <w:sz w:val="32"/>
          <w:szCs w:val="32"/>
        </w:rPr>
        <w:t>数</w:t>
      </w:r>
      <w:r>
        <w:rPr>
          <w:rStyle w:val="17"/>
          <w:rFonts w:hint="eastAsia" w:ascii="仿宋_GB2312" w:hAnsi="仿宋" w:eastAsia="仿宋_GB2312"/>
          <w:b w:val="0"/>
          <w:bCs/>
          <w:color w:val="000000"/>
          <w:sz w:val="32"/>
          <w:szCs w:val="32"/>
        </w:rPr>
        <w:t>为</w:t>
      </w:r>
      <w:r>
        <w:rPr>
          <w:rStyle w:val="17"/>
          <w:rFonts w:ascii="仿宋_GB2312" w:hAnsi="仿宋" w:eastAsia="仿宋_GB2312"/>
          <w:b w:val="0"/>
          <w:bCs/>
          <w:color w:val="000000"/>
          <w:sz w:val="32"/>
          <w:szCs w:val="32"/>
        </w:rPr>
        <w:t>4.95</w:t>
      </w:r>
      <w:r>
        <w:rPr>
          <w:rStyle w:val="17"/>
          <w:rFonts w:hint="eastAsia" w:ascii="仿宋_GB2312" w:hAnsi="仿宋" w:eastAsia="仿宋_GB2312"/>
          <w:b w:val="0"/>
          <w:bCs/>
          <w:color w:val="000000"/>
          <w:sz w:val="32"/>
          <w:szCs w:val="32"/>
        </w:rPr>
        <w:t>万元，完成预算100%，决算数与预算数持平。</w:t>
      </w:r>
    </w:p>
    <w:p>
      <w:pPr>
        <w:pStyle w:val="2"/>
        <w:spacing w:before="93"/>
        <w:rPr>
          <w:rFonts w:hAnsi="仿宋"/>
          <w:bCs/>
          <w:color w:val="000000"/>
          <w:sz w:val="32"/>
          <w:szCs w:val="32"/>
        </w:rPr>
      </w:pPr>
      <w:r>
        <w:t xml:space="preserve">    </w:t>
      </w:r>
      <w:r>
        <w:rPr>
          <w:rStyle w:val="17"/>
          <w:rFonts w:hint="eastAsia" w:hAnsi="仿宋"/>
          <w:b w:val="0"/>
          <w:bCs/>
          <w:color w:val="000000"/>
          <w:sz w:val="32"/>
          <w:szCs w:val="32"/>
        </w:rPr>
        <w:t>14.</w:t>
      </w:r>
      <w:r>
        <w:rPr>
          <w:rFonts w:hint="eastAsia"/>
        </w:rPr>
        <w:t xml:space="preserve"> </w:t>
      </w:r>
      <w:r>
        <w:rPr>
          <w:rFonts w:hint="eastAsia" w:hAnsi="仿宋"/>
          <w:bCs/>
          <w:color w:val="000000"/>
          <w:sz w:val="32"/>
          <w:szCs w:val="32"/>
        </w:rPr>
        <w:t>节能环保支出</w:t>
      </w:r>
      <w:r>
        <w:rPr>
          <w:rStyle w:val="17"/>
          <w:rFonts w:hint="eastAsia" w:hAnsi="仿宋"/>
          <w:b w:val="0"/>
          <w:bCs/>
          <w:color w:val="000000"/>
          <w:sz w:val="32"/>
          <w:szCs w:val="32"/>
        </w:rPr>
        <w:t>（类）能源节约利用（款）能源节约利用（项）:支出决算</w:t>
      </w:r>
      <w:r>
        <w:rPr>
          <w:rStyle w:val="17"/>
          <w:rFonts w:hint="eastAsia" w:hAnsi="仿宋_GB2312" w:cs="仿宋_GB2312"/>
          <w:b w:val="0"/>
          <w:bCs/>
          <w:sz w:val="32"/>
          <w:szCs w:val="32"/>
        </w:rPr>
        <w:t>数</w:t>
      </w:r>
      <w:r>
        <w:rPr>
          <w:rStyle w:val="17"/>
          <w:rFonts w:hint="eastAsia" w:hAnsi="仿宋"/>
          <w:b w:val="0"/>
          <w:bCs/>
          <w:color w:val="000000"/>
          <w:sz w:val="32"/>
          <w:szCs w:val="32"/>
        </w:rPr>
        <w:t>为</w:t>
      </w:r>
      <w:r>
        <w:rPr>
          <w:rStyle w:val="17"/>
          <w:rFonts w:hAnsi="仿宋"/>
          <w:b w:val="0"/>
          <w:bCs/>
          <w:color w:val="000000"/>
          <w:sz w:val="32"/>
          <w:szCs w:val="32"/>
        </w:rPr>
        <w:t>216</w:t>
      </w:r>
      <w:r>
        <w:rPr>
          <w:rStyle w:val="17"/>
          <w:rFonts w:hint="eastAsia" w:hAnsi="仿宋"/>
          <w:b w:val="0"/>
          <w:bCs/>
          <w:color w:val="000000"/>
          <w:sz w:val="32"/>
          <w:szCs w:val="32"/>
        </w:rPr>
        <w:t>万元，完成预算100%，决算数与预算数持平。</w:t>
      </w:r>
    </w:p>
    <w:p>
      <w:pPr>
        <w:pStyle w:val="2"/>
        <w:spacing w:before="93"/>
        <w:rPr>
          <w:rStyle w:val="17"/>
          <w:rFonts w:hAnsi="仿宋"/>
          <w:b w:val="0"/>
          <w:bCs/>
          <w:color w:val="000000"/>
          <w:sz w:val="32"/>
          <w:szCs w:val="32"/>
        </w:rPr>
      </w:pPr>
      <w:r>
        <w:rPr>
          <w:rStyle w:val="17"/>
          <w:rFonts w:hint="eastAsia" w:hAnsi="仿宋"/>
          <w:b w:val="0"/>
          <w:bCs/>
          <w:color w:val="000000"/>
          <w:sz w:val="32"/>
          <w:szCs w:val="32"/>
        </w:rPr>
        <w:t xml:space="preserve">    1</w:t>
      </w:r>
      <w:r>
        <w:rPr>
          <w:rStyle w:val="17"/>
          <w:rFonts w:hAnsi="仿宋"/>
          <w:b w:val="0"/>
          <w:bCs/>
          <w:color w:val="000000"/>
          <w:sz w:val="32"/>
          <w:szCs w:val="32"/>
        </w:rPr>
        <w:t>5</w:t>
      </w:r>
      <w:r>
        <w:rPr>
          <w:rStyle w:val="17"/>
          <w:rFonts w:hint="eastAsia" w:hAnsi="仿宋"/>
          <w:b w:val="0"/>
          <w:bCs/>
          <w:color w:val="000000"/>
          <w:sz w:val="32"/>
          <w:szCs w:val="32"/>
        </w:rPr>
        <w:t>.</w:t>
      </w:r>
      <w:r>
        <w:rPr>
          <w:rFonts w:hint="eastAsia" w:hAnsi="仿宋"/>
          <w:bCs/>
          <w:color w:val="000000"/>
          <w:sz w:val="32"/>
          <w:szCs w:val="32"/>
        </w:rPr>
        <w:t>农林水支出</w:t>
      </w:r>
      <w:r>
        <w:rPr>
          <w:rStyle w:val="17"/>
          <w:rFonts w:hint="eastAsia" w:hAnsi="仿宋"/>
          <w:b w:val="0"/>
          <w:bCs/>
          <w:color w:val="000000"/>
          <w:sz w:val="32"/>
          <w:szCs w:val="32"/>
        </w:rPr>
        <w:t>（类）巩固脱贫衔接乡村振兴（款）农村基础设施建设（项）:支出决算</w:t>
      </w:r>
      <w:r>
        <w:rPr>
          <w:rStyle w:val="17"/>
          <w:rFonts w:hint="eastAsia" w:hAnsi="仿宋_GB2312" w:cs="仿宋_GB2312"/>
          <w:b w:val="0"/>
          <w:bCs/>
          <w:sz w:val="32"/>
          <w:szCs w:val="32"/>
        </w:rPr>
        <w:t>数</w:t>
      </w:r>
      <w:r>
        <w:rPr>
          <w:rStyle w:val="17"/>
          <w:rFonts w:hint="eastAsia" w:hAnsi="仿宋"/>
          <w:b w:val="0"/>
          <w:bCs/>
          <w:color w:val="000000"/>
          <w:sz w:val="32"/>
          <w:szCs w:val="32"/>
        </w:rPr>
        <w:t>为</w:t>
      </w:r>
      <w:r>
        <w:rPr>
          <w:rStyle w:val="17"/>
          <w:rFonts w:hAnsi="仿宋"/>
          <w:b w:val="0"/>
          <w:bCs/>
          <w:color w:val="000000"/>
          <w:sz w:val="32"/>
          <w:szCs w:val="32"/>
        </w:rPr>
        <w:t>53.1</w:t>
      </w:r>
      <w:r>
        <w:rPr>
          <w:rStyle w:val="17"/>
          <w:rFonts w:hint="eastAsia" w:hAnsi="仿宋"/>
          <w:b w:val="0"/>
          <w:bCs/>
          <w:color w:val="000000"/>
          <w:sz w:val="32"/>
          <w:szCs w:val="32"/>
        </w:rPr>
        <w:t>万元，完成预算100%，决算数与预算数持平。</w:t>
      </w:r>
    </w:p>
    <w:p>
      <w:pPr>
        <w:pStyle w:val="2"/>
        <w:spacing w:before="93"/>
        <w:rPr>
          <w:rStyle w:val="17"/>
          <w:rFonts w:hAnsi="仿宋"/>
          <w:b w:val="0"/>
          <w:bCs/>
          <w:color w:val="000000"/>
          <w:sz w:val="32"/>
          <w:szCs w:val="32"/>
        </w:rPr>
      </w:pPr>
      <w:r>
        <w:rPr>
          <w:rFonts w:hint="eastAsia"/>
        </w:rPr>
        <w:t xml:space="preserve">   </w:t>
      </w:r>
      <w:r>
        <w:rPr>
          <w:rStyle w:val="17"/>
          <w:rFonts w:hint="eastAsia" w:hAnsi="仿宋"/>
          <w:b w:val="0"/>
          <w:bCs/>
          <w:color w:val="000000"/>
          <w:sz w:val="32"/>
          <w:szCs w:val="32"/>
        </w:rPr>
        <w:t xml:space="preserve"> 1</w:t>
      </w:r>
      <w:r>
        <w:rPr>
          <w:rStyle w:val="17"/>
          <w:rFonts w:hAnsi="仿宋"/>
          <w:b w:val="0"/>
          <w:bCs/>
          <w:color w:val="000000"/>
          <w:sz w:val="32"/>
          <w:szCs w:val="32"/>
        </w:rPr>
        <w:t>6</w:t>
      </w:r>
      <w:r>
        <w:rPr>
          <w:rStyle w:val="17"/>
          <w:rFonts w:hint="eastAsia" w:hAnsi="仿宋"/>
          <w:b w:val="0"/>
          <w:bCs/>
          <w:color w:val="000000"/>
          <w:sz w:val="32"/>
          <w:szCs w:val="32"/>
        </w:rPr>
        <w:t>.交通运输（类）公路水路运输（款）行政运行（项）：支出决算</w:t>
      </w:r>
      <w:r>
        <w:rPr>
          <w:rStyle w:val="17"/>
          <w:rFonts w:hint="eastAsia" w:hAnsi="仿宋_GB2312" w:cs="仿宋_GB2312"/>
          <w:b w:val="0"/>
          <w:bCs/>
          <w:sz w:val="32"/>
          <w:szCs w:val="32"/>
        </w:rPr>
        <w:t>数</w:t>
      </w:r>
      <w:r>
        <w:rPr>
          <w:rStyle w:val="17"/>
          <w:rFonts w:hint="eastAsia" w:hAnsi="仿宋"/>
          <w:b w:val="0"/>
          <w:bCs/>
          <w:color w:val="000000"/>
          <w:sz w:val="32"/>
          <w:szCs w:val="32"/>
        </w:rPr>
        <w:t>为</w:t>
      </w:r>
      <w:r>
        <w:rPr>
          <w:rStyle w:val="17"/>
          <w:rFonts w:hAnsi="仿宋"/>
          <w:b w:val="0"/>
          <w:bCs/>
          <w:color w:val="000000"/>
          <w:sz w:val="32"/>
          <w:szCs w:val="32"/>
        </w:rPr>
        <w:t>415.61</w:t>
      </w:r>
      <w:r>
        <w:rPr>
          <w:rStyle w:val="17"/>
          <w:rFonts w:hint="eastAsia" w:hAnsi="仿宋"/>
          <w:b w:val="0"/>
          <w:bCs/>
          <w:color w:val="000000"/>
          <w:sz w:val="32"/>
          <w:szCs w:val="32"/>
        </w:rPr>
        <w:t>万元，完成预算100%，决算数与预算数持平。</w:t>
      </w:r>
    </w:p>
    <w:p>
      <w:pPr>
        <w:pStyle w:val="2"/>
        <w:spacing w:before="93"/>
        <w:rPr>
          <w:rStyle w:val="17"/>
          <w:rFonts w:hAnsi="仿宋"/>
          <w:b w:val="0"/>
          <w:bCs/>
          <w:color w:val="000000"/>
          <w:sz w:val="32"/>
          <w:szCs w:val="32"/>
        </w:rPr>
      </w:pPr>
      <w:r>
        <w:rPr>
          <w:rStyle w:val="17"/>
          <w:rFonts w:hint="eastAsia" w:hAnsi="仿宋"/>
          <w:b w:val="0"/>
          <w:bCs/>
          <w:color w:val="000000"/>
          <w:sz w:val="32"/>
          <w:szCs w:val="32"/>
        </w:rPr>
        <w:t xml:space="preserve">    1</w:t>
      </w:r>
      <w:r>
        <w:rPr>
          <w:rStyle w:val="17"/>
          <w:rFonts w:hAnsi="仿宋"/>
          <w:b w:val="0"/>
          <w:bCs/>
          <w:color w:val="000000"/>
          <w:sz w:val="32"/>
          <w:szCs w:val="32"/>
        </w:rPr>
        <w:t>7</w:t>
      </w:r>
      <w:r>
        <w:rPr>
          <w:rStyle w:val="17"/>
          <w:rFonts w:hint="eastAsia" w:hAnsi="仿宋"/>
          <w:b w:val="0"/>
          <w:bCs/>
          <w:color w:val="000000"/>
          <w:sz w:val="32"/>
          <w:szCs w:val="32"/>
        </w:rPr>
        <w:t>.交通运输（类）公路水路运输（款）一般行政管理事务（项）：支出决算</w:t>
      </w:r>
      <w:r>
        <w:rPr>
          <w:rStyle w:val="17"/>
          <w:rFonts w:hint="eastAsia" w:hAnsi="仿宋_GB2312" w:cs="仿宋_GB2312"/>
          <w:b w:val="0"/>
          <w:bCs/>
          <w:sz w:val="32"/>
          <w:szCs w:val="32"/>
        </w:rPr>
        <w:t>数</w:t>
      </w:r>
      <w:r>
        <w:rPr>
          <w:rStyle w:val="17"/>
          <w:rFonts w:hint="eastAsia" w:hAnsi="仿宋"/>
          <w:b w:val="0"/>
          <w:bCs/>
          <w:color w:val="000000"/>
          <w:sz w:val="32"/>
          <w:szCs w:val="32"/>
        </w:rPr>
        <w:t>为</w:t>
      </w:r>
      <w:r>
        <w:rPr>
          <w:rStyle w:val="17"/>
          <w:rFonts w:hAnsi="仿宋"/>
          <w:b w:val="0"/>
          <w:bCs/>
          <w:color w:val="000000"/>
          <w:sz w:val="32"/>
          <w:szCs w:val="32"/>
        </w:rPr>
        <w:t>54.28</w:t>
      </w:r>
      <w:r>
        <w:rPr>
          <w:rStyle w:val="17"/>
          <w:rFonts w:hint="eastAsia" w:hAnsi="仿宋"/>
          <w:b w:val="0"/>
          <w:bCs/>
          <w:color w:val="000000"/>
          <w:sz w:val="32"/>
          <w:szCs w:val="32"/>
        </w:rPr>
        <w:t>万元，完成预算100%，决算数与预算数持平。</w:t>
      </w:r>
    </w:p>
    <w:p>
      <w:pPr>
        <w:pStyle w:val="2"/>
        <w:spacing w:before="93"/>
        <w:rPr>
          <w:rStyle w:val="17"/>
          <w:rFonts w:hAnsi="仿宋"/>
          <w:b w:val="0"/>
          <w:bCs/>
          <w:color w:val="000000"/>
          <w:sz w:val="32"/>
          <w:szCs w:val="32"/>
        </w:rPr>
      </w:pPr>
      <w:r>
        <w:rPr>
          <w:rStyle w:val="17"/>
          <w:rFonts w:hint="eastAsia" w:hAnsi="仿宋"/>
          <w:b w:val="0"/>
          <w:bCs/>
          <w:color w:val="000000"/>
          <w:sz w:val="32"/>
          <w:szCs w:val="32"/>
        </w:rPr>
        <w:t xml:space="preserve">    1</w:t>
      </w:r>
      <w:r>
        <w:rPr>
          <w:rStyle w:val="17"/>
          <w:rFonts w:hAnsi="仿宋"/>
          <w:b w:val="0"/>
          <w:bCs/>
          <w:color w:val="000000"/>
          <w:sz w:val="32"/>
          <w:szCs w:val="32"/>
        </w:rPr>
        <w:t>8</w:t>
      </w:r>
      <w:r>
        <w:rPr>
          <w:rStyle w:val="17"/>
          <w:rFonts w:hint="eastAsia" w:hAnsi="仿宋"/>
          <w:b w:val="0"/>
          <w:bCs/>
          <w:color w:val="000000"/>
          <w:sz w:val="32"/>
          <w:szCs w:val="32"/>
        </w:rPr>
        <w:t>.交通运输（类）公路水路运输（款）公路建设（项）：支出决算</w:t>
      </w:r>
      <w:r>
        <w:rPr>
          <w:rStyle w:val="17"/>
          <w:rFonts w:hint="eastAsia" w:hAnsi="仿宋_GB2312" w:cs="仿宋_GB2312"/>
          <w:b w:val="0"/>
          <w:bCs/>
          <w:sz w:val="32"/>
          <w:szCs w:val="32"/>
        </w:rPr>
        <w:t>数</w:t>
      </w:r>
      <w:r>
        <w:rPr>
          <w:rStyle w:val="17"/>
          <w:rFonts w:hint="eastAsia" w:hAnsi="仿宋"/>
          <w:b w:val="0"/>
          <w:bCs/>
          <w:color w:val="000000"/>
          <w:sz w:val="32"/>
          <w:szCs w:val="32"/>
        </w:rPr>
        <w:t>为</w:t>
      </w:r>
      <w:r>
        <w:rPr>
          <w:rStyle w:val="17"/>
          <w:rFonts w:hAnsi="仿宋"/>
          <w:b w:val="0"/>
          <w:bCs/>
          <w:color w:val="000000"/>
          <w:sz w:val="32"/>
          <w:szCs w:val="32"/>
        </w:rPr>
        <w:t>6,341</w:t>
      </w:r>
      <w:r>
        <w:rPr>
          <w:rStyle w:val="17"/>
          <w:rFonts w:hint="eastAsia" w:hAnsi="仿宋"/>
          <w:b w:val="0"/>
          <w:bCs/>
          <w:color w:val="000000"/>
          <w:sz w:val="32"/>
          <w:szCs w:val="32"/>
        </w:rPr>
        <w:t>万元，完成预算100%，决算数与预算数持平。</w:t>
      </w:r>
    </w:p>
    <w:p>
      <w:pPr>
        <w:pStyle w:val="2"/>
        <w:spacing w:before="93"/>
        <w:rPr>
          <w:rStyle w:val="17"/>
          <w:rFonts w:hAnsi="仿宋"/>
          <w:b w:val="0"/>
          <w:bCs/>
          <w:color w:val="000000"/>
          <w:sz w:val="32"/>
          <w:szCs w:val="32"/>
        </w:rPr>
      </w:pPr>
      <w:r>
        <w:rPr>
          <w:rStyle w:val="17"/>
          <w:rFonts w:hint="eastAsia" w:hAnsi="仿宋"/>
          <w:b w:val="0"/>
          <w:bCs/>
          <w:color w:val="000000"/>
          <w:sz w:val="32"/>
          <w:szCs w:val="32"/>
        </w:rPr>
        <w:t xml:space="preserve">    1</w:t>
      </w:r>
      <w:r>
        <w:rPr>
          <w:rStyle w:val="17"/>
          <w:rFonts w:hAnsi="仿宋"/>
          <w:b w:val="0"/>
          <w:bCs/>
          <w:color w:val="000000"/>
          <w:sz w:val="32"/>
          <w:szCs w:val="32"/>
        </w:rPr>
        <w:t>9</w:t>
      </w:r>
      <w:r>
        <w:rPr>
          <w:rStyle w:val="17"/>
          <w:rFonts w:hint="eastAsia" w:hAnsi="仿宋"/>
          <w:b w:val="0"/>
          <w:bCs/>
          <w:color w:val="000000"/>
          <w:sz w:val="32"/>
          <w:szCs w:val="32"/>
        </w:rPr>
        <w:t>.交通运输（类）公路水路运输（款）公路养护（项）：支出决算</w:t>
      </w:r>
      <w:r>
        <w:rPr>
          <w:rStyle w:val="17"/>
          <w:rFonts w:hint="eastAsia" w:hAnsi="仿宋_GB2312" w:cs="仿宋_GB2312"/>
          <w:b w:val="0"/>
          <w:bCs/>
          <w:sz w:val="32"/>
          <w:szCs w:val="32"/>
        </w:rPr>
        <w:t>数</w:t>
      </w:r>
      <w:r>
        <w:rPr>
          <w:rStyle w:val="17"/>
          <w:rFonts w:hint="eastAsia" w:hAnsi="仿宋"/>
          <w:b w:val="0"/>
          <w:bCs/>
          <w:color w:val="000000"/>
          <w:sz w:val="32"/>
          <w:szCs w:val="32"/>
        </w:rPr>
        <w:t>为</w:t>
      </w:r>
      <w:r>
        <w:rPr>
          <w:rStyle w:val="17"/>
          <w:rFonts w:hAnsi="仿宋"/>
          <w:b w:val="0"/>
          <w:bCs/>
          <w:color w:val="000000"/>
          <w:sz w:val="32"/>
          <w:szCs w:val="32"/>
        </w:rPr>
        <w:t>2,025.76</w:t>
      </w:r>
      <w:r>
        <w:rPr>
          <w:rStyle w:val="17"/>
          <w:rFonts w:hint="eastAsia" w:hAnsi="仿宋"/>
          <w:b w:val="0"/>
          <w:bCs/>
          <w:color w:val="000000"/>
          <w:sz w:val="32"/>
          <w:szCs w:val="32"/>
        </w:rPr>
        <w:t>万元，完成预算100%，决算数与预算数持平。</w:t>
      </w:r>
    </w:p>
    <w:p>
      <w:pPr>
        <w:pStyle w:val="2"/>
        <w:spacing w:before="93"/>
        <w:rPr>
          <w:rStyle w:val="17"/>
          <w:rFonts w:hAnsi="仿宋"/>
          <w:b w:val="0"/>
          <w:bCs/>
          <w:color w:val="000000"/>
          <w:sz w:val="32"/>
          <w:szCs w:val="32"/>
        </w:rPr>
      </w:pPr>
      <w:r>
        <w:rPr>
          <w:rStyle w:val="17"/>
          <w:rFonts w:hint="eastAsia" w:hAnsi="仿宋"/>
          <w:b w:val="0"/>
          <w:bCs/>
          <w:color w:val="000000"/>
          <w:sz w:val="32"/>
          <w:szCs w:val="32"/>
        </w:rPr>
        <w:t xml:space="preserve">    </w:t>
      </w:r>
      <w:r>
        <w:rPr>
          <w:rStyle w:val="17"/>
          <w:rFonts w:hAnsi="仿宋"/>
          <w:b w:val="0"/>
          <w:bCs/>
          <w:color w:val="000000"/>
          <w:sz w:val="32"/>
          <w:szCs w:val="32"/>
        </w:rPr>
        <w:t>20</w:t>
      </w:r>
      <w:r>
        <w:rPr>
          <w:rStyle w:val="17"/>
          <w:rFonts w:hint="eastAsia" w:hAnsi="仿宋"/>
          <w:b w:val="0"/>
          <w:bCs/>
          <w:color w:val="000000"/>
          <w:sz w:val="32"/>
          <w:szCs w:val="32"/>
        </w:rPr>
        <w:t>.交通运输（类）公路水路运输（款）公路和运输安全（项）：本年无此项业务发生。</w:t>
      </w:r>
    </w:p>
    <w:p>
      <w:pPr>
        <w:pStyle w:val="2"/>
        <w:spacing w:before="93"/>
        <w:rPr>
          <w:rStyle w:val="17"/>
          <w:rFonts w:hAnsi="仿宋"/>
          <w:b w:val="0"/>
          <w:bCs/>
          <w:color w:val="000000"/>
          <w:sz w:val="32"/>
          <w:szCs w:val="32"/>
        </w:rPr>
      </w:pPr>
      <w:r>
        <w:rPr>
          <w:rStyle w:val="17"/>
          <w:rFonts w:hint="eastAsia" w:hAnsi="仿宋"/>
          <w:b w:val="0"/>
          <w:bCs/>
          <w:color w:val="000000"/>
          <w:sz w:val="32"/>
          <w:szCs w:val="32"/>
        </w:rPr>
        <w:t xml:space="preserve">    2</w:t>
      </w:r>
      <w:r>
        <w:rPr>
          <w:rStyle w:val="17"/>
          <w:rFonts w:hAnsi="仿宋"/>
          <w:b w:val="0"/>
          <w:bCs/>
          <w:color w:val="000000"/>
          <w:sz w:val="32"/>
          <w:szCs w:val="32"/>
        </w:rPr>
        <w:t>1</w:t>
      </w:r>
      <w:r>
        <w:rPr>
          <w:rStyle w:val="17"/>
          <w:rFonts w:hint="eastAsia" w:hAnsi="仿宋"/>
          <w:b w:val="0"/>
          <w:bCs/>
          <w:color w:val="000000"/>
          <w:sz w:val="32"/>
          <w:szCs w:val="32"/>
        </w:rPr>
        <w:t>.交通运输（类）公路水路运输（款）公路运输管理（项）：支出决算</w:t>
      </w:r>
      <w:r>
        <w:rPr>
          <w:rStyle w:val="17"/>
          <w:rFonts w:hint="eastAsia" w:hAnsi="仿宋_GB2312" w:cs="仿宋_GB2312"/>
          <w:b w:val="0"/>
          <w:bCs/>
          <w:sz w:val="32"/>
          <w:szCs w:val="32"/>
        </w:rPr>
        <w:t>数</w:t>
      </w:r>
      <w:r>
        <w:rPr>
          <w:rStyle w:val="17"/>
          <w:rFonts w:hint="eastAsia" w:hAnsi="仿宋"/>
          <w:b w:val="0"/>
          <w:bCs/>
          <w:color w:val="000000"/>
          <w:sz w:val="32"/>
          <w:szCs w:val="32"/>
        </w:rPr>
        <w:t>为</w:t>
      </w:r>
      <w:r>
        <w:rPr>
          <w:rStyle w:val="17"/>
          <w:rFonts w:hAnsi="仿宋"/>
          <w:b w:val="0"/>
          <w:bCs/>
          <w:color w:val="000000"/>
          <w:sz w:val="32"/>
          <w:szCs w:val="32"/>
        </w:rPr>
        <w:t>1.44</w:t>
      </w:r>
      <w:r>
        <w:rPr>
          <w:rStyle w:val="17"/>
          <w:rFonts w:hint="eastAsia" w:hAnsi="仿宋"/>
          <w:b w:val="0"/>
          <w:bCs/>
          <w:color w:val="000000"/>
          <w:sz w:val="32"/>
          <w:szCs w:val="32"/>
        </w:rPr>
        <w:t>万元，完成预算100%，决算数与预算数持平。</w:t>
      </w:r>
    </w:p>
    <w:p>
      <w:pPr>
        <w:pStyle w:val="2"/>
        <w:spacing w:before="93"/>
        <w:rPr>
          <w:rStyle w:val="17"/>
          <w:rFonts w:hAnsi="仿宋"/>
          <w:b w:val="0"/>
          <w:bCs/>
          <w:color w:val="000000"/>
          <w:sz w:val="32"/>
          <w:szCs w:val="32"/>
        </w:rPr>
      </w:pPr>
      <w:r>
        <w:rPr>
          <w:rStyle w:val="17"/>
          <w:rFonts w:hint="eastAsia" w:hAnsi="仿宋"/>
          <w:b w:val="0"/>
          <w:bCs/>
          <w:color w:val="000000"/>
          <w:sz w:val="32"/>
          <w:szCs w:val="32"/>
        </w:rPr>
        <w:t xml:space="preserve">    2</w:t>
      </w:r>
      <w:r>
        <w:rPr>
          <w:rStyle w:val="17"/>
          <w:rFonts w:hAnsi="仿宋"/>
          <w:b w:val="0"/>
          <w:bCs/>
          <w:color w:val="000000"/>
          <w:sz w:val="32"/>
          <w:szCs w:val="32"/>
        </w:rPr>
        <w:t>2</w:t>
      </w:r>
      <w:r>
        <w:rPr>
          <w:rStyle w:val="17"/>
          <w:rFonts w:hint="eastAsia" w:hAnsi="仿宋"/>
          <w:b w:val="0"/>
          <w:bCs/>
          <w:color w:val="000000"/>
          <w:sz w:val="32"/>
          <w:szCs w:val="32"/>
        </w:rPr>
        <w:t>.交通运输（类）公路水路运输（款）水路运输管理（项）：本年无此业务发生。</w:t>
      </w:r>
    </w:p>
    <w:p>
      <w:pPr>
        <w:pStyle w:val="2"/>
        <w:spacing w:before="93"/>
        <w:rPr>
          <w:rStyle w:val="17"/>
          <w:rFonts w:hAnsi="仿宋"/>
          <w:b w:val="0"/>
          <w:bCs/>
          <w:color w:val="000000"/>
          <w:sz w:val="32"/>
          <w:szCs w:val="32"/>
        </w:rPr>
      </w:pPr>
      <w:r>
        <w:rPr>
          <w:rStyle w:val="17"/>
          <w:rFonts w:hint="eastAsia" w:hAnsi="仿宋"/>
          <w:b w:val="0"/>
          <w:bCs/>
          <w:color w:val="000000"/>
          <w:sz w:val="32"/>
          <w:szCs w:val="32"/>
        </w:rPr>
        <w:t xml:space="preserve">    2</w:t>
      </w:r>
      <w:r>
        <w:rPr>
          <w:rStyle w:val="17"/>
          <w:rFonts w:hAnsi="仿宋"/>
          <w:b w:val="0"/>
          <w:bCs/>
          <w:color w:val="000000"/>
          <w:sz w:val="32"/>
          <w:szCs w:val="32"/>
        </w:rPr>
        <w:t>3</w:t>
      </w:r>
      <w:r>
        <w:rPr>
          <w:rStyle w:val="17"/>
          <w:rFonts w:hint="eastAsia" w:hAnsi="仿宋"/>
          <w:b w:val="0"/>
          <w:bCs/>
          <w:color w:val="000000"/>
          <w:sz w:val="32"/>
          <w:szCs w:val="32"/>
        </w:rPr>
        <w:t>.交通运输（类）公路水路运输（款）其他公路水路运输支出（项）：支出决算</w:t>
      </w:r>
      <w:r>
        <w:rPr>
          <w:rStyle w:val="17"/>
          <w:rFonts w:hint="eastAsia" w:hAnsi="仿宋_GB2312" w:cs="仿宋_GB2312"/>
          <w:b w:val="0"/>
          <w:bCs/>
          <w:sz w:val="32"/>
          <w:szCs w:val="32"/>
        </w:rPr>
        <w:t>数</w:t>
      </w:r>
      <w:r>
        <w:rPr>
          <w:rStyle w:val="17"/>
          <w:rFonts w:hint="eastAsia" w:hAnsi="仿宋"/>
          <w:b w:val="0"/>
          <w:bCs/>
          <w:color w:val="000000"/>
          <w:sz w:val="32"/>
          <w:szCs w:val="32"/>
        </w:rPr>
        <w:t>为</w:t>
      </w:r>
      <w:r>
        <w:rPr>
          <w:rStyle w:val="17"/>
          <w:rFonts w:hAnsi="仿宋"/>
          <w:b w:val="0"/>
          <w:bCs/>
          <w:color w:val="000000"/>
          <w:sz w:val="32"/>
          <w:szCs w:val="32"/>
        </w:rPr>
        <w:t>238.57</w:t>
      </w:r>
      <w:r>
        <w:rPr>
          <w:rStyle w:val="17"/>
          <w:rFonts w:hint="eastAsia" w:hAnsi="仿宋"/>
          <w:b w:val="0"/>
          <w:bCs/>
          <w:color w:val="000000"/>
          <w:sz w:val="32"/>
          <w:szCs w:val="32"/>
        </w:rPr>
        <w:t>万元，完成预算100%，决算数与预算数持平。</w:t>
      </w:r>
    </w:p>
    <w:p>
      <w:pPr>
        <w:pStyle w:val="2"/>
        <w:spacing w:before="93"/>
        <w:rPr>
          <w:rStyle w:val="17"/>
          <w:rFonts w:hAnsi="仿宋"/>
          <w:b w:val="0"/>
          <w:bCs/>
          <w:color w:val="000000"/>
          <w:sz w:val="32"/>
          <w:szCs w:val="32"/>
        </w:rPr>
      </w:pPr>
      <w:r>
        <w:rPr>
          <w:rFonts w:hint="eastAsia"/>
        </w:rPr>
        <w:t xml:space="preserve">    </w:t>
      </w:r>
      <w:r>
        <w:rPr>
          <w:rStyle w:val="17"/>
          <w:rFonts w:hint="eastAsia" w:hAnsi="仿宋"/>
          <w:b w:val="0"/>
          <w:bCs/>
          <w:color w:val="000000"/>
          <w:sz w:val="32"/>
          <w:szCs w:val="32"/>
        </w:rPr>
        <w:t>2</w:t>
      </w:r>
      <w:r>
        <w:rPr>
          <w:rStyle w:val="17"/>
          <w:rFonts w:hAnsi="仿宋"/>
          <w:b w:val="0"/>
          <w:bCs/>
          <w:color w:val="000000"/>
          <w:sz w:val="32"/>
          <w:szCs w:val="32"/>
        </w:rPr>
        <w:t>4</w:t>
      </w:r>
      <w:r>
        <w:rPr>
          <w:rStyle w:val="17"/>
          <w:rFonts w:hint="eastAsia" w:hAnsi="仿宋"/>
          <w:b w:val="0"/>
          <w:bCs/>
          <w:color w:val="000000"/>
          <w:sz w:val="32"/>
          <w:szCs w:val="32"/>
        </w:rPr>
        <w:t>.交通运输（类）成品油价格改革对交通运输的补贴（款）对城市公交的补贴（项）：本年无此项业务发生。</w:t>
      </w:r>
    </w:p>
    <w:p>
      <w:pPr>
        <w:pStyle w:val="2"/>
        <w:spacing w:before="93"/>
        <w:rPr>
          <w:rStyle w:val="17"/>
          <w:rFonts w:hAnsi="仿宋"/>
          <w:b w:val="0"/>
          <w:bCs/>
          <w:color w:val="000000"/>
          <w:sz w:val="32"/>
          <w:szCs w:val="32"/>
        </w:rPr>
      </w:pPr>
      <w:r>
        <w:rPr>
          <w:rStyle w:val="17"/>
          <w:rFonts w:hint="eastAsia" w:hAnsi="仿宋"/>
          <w:b w:val="0"/>
          <w:bCs/>
          <w:color w:val="000000"/>
          <w:sz w:val="32"/>
          <w:szCs w:val="32"/>
        </w:rPr>
        <w:t xml:space="preserve">    2</w:t>
      </w:r>
      <w:r>
        <w:rPr>
          <w:rStyle w:val="17"/>
          <w:rFonts w:hAnsi="仿宋"/>
          <w:b w:val="0"/>
          <w:bCs/>
          <w:color w:val="000000"/>
          <w:sz w:val="32"/>
          <w:szCs w:val="32"/>
        </w:rPr>
        <w:t>5</w:t>
      </w:r>
      <w:r>
        <w:rPr>
          <w:rStyle w:val="17"/>
          <w:rFonts w:hint="eastAsia" w:hAnsi="仿宋"/>
          <w:b w:val="0"/>
          <w:bCs/>
          <w:color w:val="000000"/>
          <w:sz w:val="32"/>
          <w:szCs w:val="32"/>
        </w:rPr>
        <w:t>.交通运输（类）成品油价格改革对交通运输的补贴（款）对农村道路客运的补贴（项）：本年无此项业务发生。</w:t>
      </w:r>
    </w:p>
    <w:p>
      <w:pPr>
        <w:pStyle w:val="2"/>
        <w:spacing w:before="93"/>
        <w:rPr>
          <w:rStyle w:val="17"/>
          <w:rFonts w:hAnsi="仿宋"/>
          <w:b w:val="0"/>
          <w:bCs/>
          <w:color w:val="000000"/>
          <w:sz w:val="32"/>
          <w:szCs w:val="32"/>
        </w:rPr>
      </w:pPr>
      <w:r>
        <w:rPr>
          <w:rStyle w:val="17"/>
          <w:rFonts w:hint="eastAsia" w:hAnsi="仿宋"/>
          <w:b w:val="0"/>
          <w:bCs/>
          <w:color w:val="000000"/>
          <w:sz w:val="32"/>
          <w:szCs w:val="32"/>
        </w:rPr>
        <w:t xml:space="preserve">    2</w:t>
      </w:r>
      <w:r>
        <w:rPr>
          <w:rStyle w:val="17"/>
          <w:rFonts w:hAnsi="仿宋"/>
          <w:b w:val="0"/>
          <w:bCs/>
          <w:color w:val="000000"/>
          <w:sz w:val="32"/>
          <w:szCs w:val="32"/>
        </w:rPr>
        <w:t>6</w:t>
      </w:r>
      <w:r>
        <w:rPr>
          <w:rStyle w:val="17"/>
          <w:rFonts w:hint="eastAsia" w:hAnsi="仿宋"/>
          <w:b w:val="0"/>
          <w:bCs/>
          <w:color w:val="000000"/>
          <w:sz w:val="32"/>
          <w:szCs w:val="32"/>
        </w:rPr>
        <w:t>.交通运输（类）成品油价格改革对交通运输的补贴（款）对出租车的补贴（项）：本年无此项业务发生。</w:t>
      </w:r>
    </w:p>
    <w:p>
      <w:pPr>
        <w:pStyle w:val="2"/>
        <w:spacing w:before="93"/>
        <w:rPr>
          <w:rStyle w:val="17"/>
          <w:rFonts w:hAnsi="仿宋"/>
          <w:b w:val="0"/>
          <w:bCs/>
          <w:color w:val="000000"/>
          <w:sz w:val="32"/>
          <w:szCs w:val="32"/>
        </w:rPr>
      </w:pPr>
      <w:r>
        <w:rPr>
          <w:rStyle w:val="17"/>
          <w:rFonts w:hint="eastAsia" w:hAnsi="仿宋"/>
          <w:b w:val="0"/>
          <w:bCs/>
          <w:color w:val="000000"/>
          <w:sz w:val="32"/>
          <w:szCs w:val="32"/>
        </w:rPr>
        <w:t xml:space="preserve">    2</w:t>
      </w:r>
      <w:r>
        <w:rPr>
          <w:rStyle w:val="17"/>
          <w:rFonts w:hAnsi="仿宋"/>
          <w:b w:val="0"/>
          <w:bCs/>
          <w:color w:val="000000"/>
          <w:sz w:val="32"/>
          <w:szCs w:val="32"/>
        </w:rPr>
        <w:t>7</w:t>
      </w:r>
      <w:r>
        <w:rPr>
          <w:rStyle w:val="17"/>
          <w:rFonts w:hint="eastAsia" w:hAnsi="仿宋"/>
          <w:b w:val="0"/>
          <w:bCs/>
          <w:color w:val="000000"/>
          <w:sz w:val="32"/>
          <w:szCs w:val="32"/>
        </w:rPr>
        <w:t>.交通运输（类）成品油价格改革对交通运输的补贴（款）成品油价格改革补贴其他支出（项）：本年无此项业务发生。</w:t>
      </w:r>
    </w:p>
    <w:p>
      <w:pPr>
        <w:pStyle w:val="2"/>
        <w:spacing w:before="93"/>
        <w:rPr>
          <w:rStyle w:val="17"/>
          <w:rFonts w:hAnsi="仿宋"/>
          <w:b w:val="0"/>
          <w:bCs/>
          <w:color w:val="000000"/>
          <w:sz w:val="32"/>
          <w:szCs w:val="32"/>
        </w:rPr>
      </w:pPr>
      <w:r>
        <w:rPr>
          <w:rStyle w:val="17"/>
          <w:rFonts w:hint="eastAsia" w:hAnsi="仿宋"/>
          <w:b w:val="0"/>
          <w:bCs/>
          <w:color w:val="000000"/>
          <w:sz w:val="32"/>
          <w:szCs w:val="32"/>
        </w:rPr>
        <w:t xml:space="preserve">    2</w:t>
      </w:r>
      <w:r>
        <w:rPr>
          <w:rStyle w:val="17"/>
          <w:rFonts w:hAnsi="仿宋"/>
          <w:b w:val="0"/>
          <w:bCs/>
          <w:color w:val="000000"/>
          <w:sz w:val="32"/>
          <w:szCs w:val="32"/>
        </w:rPr>
        <w:t>8</w:t>
      </w:r>
      <w:r>
        <w:rPr>
          <w:rStyle w:val="17"/>
          <w:rFonts w:hint="eastAsia" w:hAnsi="仿宋"/>
          <w:b w:val="0"/>
          <w:bCs/>
          <w:color w:val="000000"/>
          <w:sz w:val="32"/>
          <w:szCs w:val="32"/>
        </w:rPr>
        <w:t>.交通运输（类）车辆购置税（款）车辆购置税用于公路等基础设施建设（项）：本年无此项业务发生。</w:t>
      </w:r>
    </w:p>
    <w:p>
      <w:pPr>
        <w:pStyle w:val="2"/>
        <w:spacing w:before="93"/>
        <w:rPr>
          <w:rStyle w:val="17"/>
          <w:rFonts w:hAnsi="仿宋"/>
          <w:b w:val="0"/>
          <w:bCs/>
          <w:color w:val="000000"/>
          <w:sz w:val="32"/>
          <w:szCs w:val="32"/>
        </w:rPr>
      </w:pPr>
      <w:r>
        <w:rPr>
          <w:rStyle w:val="17"/>
          <w:rFonts w:hint="eastAsia" w:hAnsi="仿宋"/>
          <w:b w:val="0"/>
          <w:bCs/>
          <w:color w:val="000000"/>
          <w:sz w:val="32"/>
          <w:szCs w:val="32"/>
        </w:rPr>
        <w:t xml:space="preserve">    2</w:t>
      </w:r>
      <w:r>
        <w:rPr>
          <w:rStyle w:val="17"/>
          <w:rFonts w:hAnsi="仿宋"/>
          <w:b w:val="0"/>
          <w:bCs/>
          <w:color w:val="000000"/>
          <w:sz w:val="32"/>
          <w:szCs w:val="32"/>
        </w:rPr>
        <w:t>9</w:t>
      </w:r>
      <w:r>
        <w:rPr>
          <w:rStyle w:val="17"/>
          <w:rFonts w:hint="eastAsia" w:hAnsi="仿宋"/>
          <w:b w:val="0"/>
          <w:bCs/>
          <w:color w:val="000000"/>
          <w:sz w:val="32"/>
          <w:szCs w:val="32"/>
        </w:rPr>
        <w:t>.交通运输（类）车辆购置税（款）车辆购置税用于农村公路建设（项）：本年无此项业务发生。</w:t>
      </w:r>
    </w:p>
    <w:p>
      <w:pPr>
        <w:pStyle w:val="2"/>
        <w:spacing w:before="93"/>
        <w:ind w:firstLine="645"/>
        <w:rPr>
          <w:rStyle w:val="17"/>
          <w:rFonts w:hAnsi="仿宋"/>
          <w:b w:val="0"/>
          <w:bCs/>
          <w:color w:val="000000"/>
          <w:sz w:val="32"/>
          <w:szCs w:val="32"/>
        </w:rPr>
      </w:pPr>
      <w:r>
        <w:rPr>
          <w:rStyle w:val="17"/>
          <w:rFonts w:hAnsi="仿宋"/>
          <w:b w:val="0"/>
          <w:bCs/>
          <w:color w:val="000000"/>
          <w:sz w:val="32"/>
          <w:szCs w:val="32"/>
        </w:rPr>
        <w:t>30</w:t>
      </w:r>
      <w:r>
        <w:rPr>
          <w:rStyle w:val="17"/>
          <w:rFonts w:hint="eastAsia" w:hAnsi="仿宋"/>
          <w:b w:val="0"/>
          <w:bCs/>
          <w:color w:val="000000"/>
          <w:sz w:val="32"/>
          <w:szCs w:val="32"/>
        </w:rPr>
        <w:t>.交通运输（类）车辆购置税（款）车辆购置税其他支出（项）：本年无此项业务发生。</w:t>
      </w:r>
    </w:p>
    <w:p>
      <w:pPr>
        <w:pStyle w:val="2"/>
        <w:spacing w:before="93"/>
        <w:ind w:firstLine="645"/>
        <w:rPr>
          <w:rStyle w:val="17"/>
          <w:rFonts w:hAnsi="仿宋"/>
          <w:b w:val="0"/>
          <w:bCs/>
          <w:color w:val="000000"/>
          <w:sz w:val="32"/>
          <w:szCs w:val="32"/>
        </w:rPr>
      </w:pPr>
      <w:r>
        <w:rPr>
          <w:rStyle w:val="17"/>
          <w:rFonts w:hAnsi="仿宋"/>
          <w:b w:val="0"/>
          <w:bCs/>
          <w:color w:val="000000"/>
          <w:sz w:val="32"/>
          <w:szCs w:val="32"/>
        </w:rPr>
        <w:t>31</w:t>
      </w:r>
      <w:r>
        <w:rPr>
          <w:rStyle w:val="17"/>
          <w:rFonts w:hint="eastAsia" w:hAnsi="仿宋"/>
          <w:b w:val="0"/>
          <w:bCs/>
          <w:color w:val="000000"/>
          <w:sz w:val="32"/>
          <w:szCs w:val="32"/>
        </w:rPr>
        <w:t>.交通运输（类）其他交通运输支出（款）其他交通运输支出（项）：支出决算</w:t>
      </w:r>
      <w:r>
        <w:rPr>
          <w:rStyle w:val="17"/>
          <w:rFonts w:hint="eastAsia" w:hAnsi="仿宋_GB2312" w:cs="仿宋_GB2312"/>
          <w:b w:val="0"/>
          <w:bCs/>
          <w:sz w:val="32"/>
          <w:szCs w:val="32"/>
        </w:rPr>
        <w:t>数</w:t>
      </w:r>
      <w:r>
        <w:rPr>
          <w:rStyle w:val="17"/>
          <w:rFonts w:hint="eastAsia" w:hAnsi="仿宋"/>
          <w:b w:val="0"/>
          <w:bCs/>
          <w:color w:val="000000"/>
          <w:sz w:val="32"/>
          <w:szCs w:val="32"/>
        </w:rPr>
        <w:t>为</w:t>
      </w:r>
      <w:r>
        <w:rPr>
          <w:rStyle w:val="17"/>
          <w:rFonts w:hAnsi="仿宋"/>
          <w:b w:val="0"/>
          <w:bCs/>
          <w:color w:val="000000"/>
          <w:sz w:val="32"/>
          <w:szCs w:val="32"/>
        </w:rPr>
        <w:t>262.54</w:t>
      </w:r>
      <w:r>
        <w:rPr>
          <w:rStyle w:val="17"/>
          <w:rFonts w:hint="eastAsia" w:hAnsi="仿宋"/>
          <w:b w:val="0"/>
          <w:bCs/>
          <w:color w:val="000000"/>
          <w:sz w:val="32"/>
          <w:szCs w:val="32"/>
        </w:rPr>
        <w:t>万元，完成预算100%，决算数与预算数持平。</w:t>
      </w:r>
    </w:p>
    <w:p>
      <w:pPr>
        <w:ind w:firstLine="640" w:firstLineChars="200"/>
        <w:rPr>
          <w:rFonts w:ascii="仿宋_GB2312" w:hAnsi="仿宋" w:eastAsia="仿宋_GB2312"/>
          <w:color w:val="FF0000"/>
          <w:sz w:val="32"/>
          <w:szCs w:val="32"/>
        </w:rPr>
      </w:pPr>
      <w:r>
        <w:rPr>
          <w:rStyle w:val="17"/>
          <w:rFonts w:hint="eastAsia" w:ascii="仿宋_GB2312" w:hAnsi="仿宋" w:eastAsia="仿宋_GB2312"/>
          <w:b w:val="0"/>
          <w:bCs/>
          <w:color w:val="000000"/>
          <w:sz w:val="32"/>
          <w:szCs w:val="32"/>
        </w:rPr>
        <w:t>3</w:t>
      </w:r>
      <w:r>
        <w:rPr>
          <w:rStyle w:val="17"/>
          <w:rFonts w:ascii="仿宋_GB2312" w:hAnsi="仿宋" w:eastAsia="仿宋_GB2312"/>
          <w:b w:val="0"/>
          <w:bCs/>
          <w:color w:val="000000"/>
          <w:sz w:val="32"/>
          <w:szCs w:val="32"/>
        </w:rPr>
        <w:t>2</w:t>
      </w:r>
      <w:r>
        <w:rPr>
          <w:rStyle w:val="17"/>
          <w:rFonts w:hint="eastAsia" w:ascii="仿宋_GB2312" w:hAnsi="仿宋" w:eastAsia="仿宋_GB2312"/>
          <w:b w:val="0"/>
          <w:bCs/>
          <w:color w:val="000000"/>
          <w:sz w:val="32"/>
          <w:szCs w:val="32"/>
        </w:rPr>
        <w:t>.</w:t>
      </w:r>
      <w:r>
        <w:rPr>
          <w:rFonts w:hint="eastAsia" w:ascii="仿宋_GB2312" w:hAnsi="仿宋" w:eastAsia="仿宋_GB2312"/>
          <w:bCs/>
          <w:color w:val="000000"/>
          <w:sz w:val="32"/>
          <w:szCs w:val="32"/>
        </w:rPr>
        <w:t>住房保障支出</w:t>
      </w:r>
      <w:r>
        <w:rPr>
          <w:rStyle w:val="17"/>
          <w:rFonts w:hint="eastAsia" w:ascii="仿宋_GB2312" w:hAnsi="仿宋" w:eastAsia="仿宋_GB2312"/>
          <w:b w:val="0"/>
          <w:bCs/>
          <w:color w:val="000000"/>
          <w:sz w:val="32"/>
          <w:szCs w:val="32"/>
        </w:rPr>
        <w:t>（类）住房改革支出（款）住房公积金（项）:支出决算数为</w:t>
      </w:r>
      <w:r>
        <w:rPr>
          <w:rStyle w:val="17"/>
          <w:rFonts w:ascii="仿宋_GB2312" w:hAnsi="仿宋" w:eastAsia="仿宋_GB2312"/>
          <w:b w:val="0"/>
          <w:bCs/>
          <w:color w:val="000000"/>
          <w:sz w:val="32"/>
          <w:szCs w:val="32"/>
        </w:rPr>
        <w:t>165.77</w:t>
      </w:r>
      <w:r>
        <w:rPr>
          <w:rStyle w:val="17"/>
          <w:rFonts w:hint="eastAsia" w:ascii="仿宋_GB2312" w:hAnsi="仿宋" w:eastAsia="仿宋_GB2312"/>
          <w:b w:val="0"/>
          <w:bCs/>
          <w:color w:val="000000"/>
          <w:sz w:val="32"/>
          <w:szCs w:val="32"/>
        </w:rPr>
        <w:t>万元，完成预算100%，决算数与预算数持平。</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1-1表和财决08表，仅罗列本部门涉及的全部功能分类科目，至项级。上述“预算”口径为全年预算数。增减变动原因为决算数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和全年预算数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比较，与预算数持平可以不写原因。）</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29"/>
        </w:rPr>
      </w:pPr>
      <w:bookmarkStart w:id="42" w:name="_Toc15396608"/>
      <w:bookmarkStart w:id="43"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42"/>
      <w:bookmarkEnd w:id="43"/>
      <w:r>
        <w:rPr>
          <w:rStyle w:val="29"/>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ascii="仿宋" w:hAnsi="仿宋" w:eastAsia="仿宋"/>
          <w:sz w:val="32"/>
          <w:szCs w:val="32"/>
        </w:rPr>
        <w:t>3027.03</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sz w:val="32"/>
          <w:szCs w:val="32"/>
        </w:rPr>
        <w:t>2181.1</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sz w:val="32"/>
          <w:szCs w:val="32"/>
        </w:rPr>
        <w:t>845.93</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7表和财决08-1表，仅罗列本部门实际支出涉及的经济分类科目。）</w:t>
      </w:r>
    </w:p>
    <w:p>
      <w:pPr>
        <w:spacing w:line="600" w:lineRule="exact"/>
        <w:ind w:firstLine="640"/>
        <w:rPr>
          <w:rFonts w:ascii="仿宋" w:hAnsi="仿宋" w:eastAsia="仿宋"/>
          <w:b/>
          <w:sz w:val="32"/>
          <w:szCs w:val="32"/>
        </w:rPr>
      </w:pPr>
    </w:p>
    <w:p>
      <w:pPr>
        <w:spacing w:line="600" w:lineRule="exact"/>
        <w:ind w:firstLine="640"/>
        <w:outlineLvl w:val="1"/>
        <w:rPr>
          <w:rStyle w:val="29"/>
          <w:rFonts w:ascii="黑体" w:hAnsi="黑体" w:eastAsia="黑体"/>
          <w:b w:val="0"/>
        </w:rPr>
      </w:pPr>
      <w:bookmarkStart w:id="44" w:name="_Toc15377215"/>
      <w:bookmarkStart w:id="45" w:name="_Toc15396609"/>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44"/>
      <w:bookmarkEnd w:id="45"/>
    </w:p>
    <w:p>
      <w:pPr>
        <w:spacing w:line="600" w:lineRule="exact"/>
        <w:ind w:firstLine="640"/>
        <w:outlineLvl w:val="2"/>
        <w:rPr>
          <w:rFonts w:ascii="仿宋" w:hAnsi="仿宋" w:eastAsia="仿宋"/>
          <w:b/>
          <w:sz w:val="32"/>
          <w:szCs w:val="32"/>
        </w:rPr>
      </w:pPr>
      <w:bookmarkStart w:id="46" w:name="_Toc15377216"/>
      <w:r>
        <w:rPr>
          <w:rFonts w:hint="eastAsia" w:ascii="仿宋" w:hAnsi="仿宋" w:eastAsia="仿宋"/>
          <w:b/>
          <w:sz w:val="32"/>
          <w:szCs w:val="32"/>
        </w:rPr>
        <w:t>（一）“三公”经费财政拨款支出决算总体情况说明</w:t>
      </w:r>
      <w:bookmarkEnd w:id="46"/>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ascii="仿宋" w:hAnsi="仿宋" w:eastAsia="仿宋"/>
          <w:sz w:val="32"/>
          <w:szCs w:val="32"/>
        </w:rPr>
        <w:t>31.51</w:t>
      </w:r>
      <w:r>
        <w:rPr>
          <w:rFonts w:hint="eastAsia" w:ascii="仿宋" w:hAnsi="仿宋" w:eastAsia="仿宋"/>
          <w:sz w:val="32"/>
          <w:szCs w:val="32"/>
        </w:rPr>
        <w:t>万元，完成预算</w:t>
      </w:r>
      <w:r>
        <w:rPr>
          <w:rFonts w:ascii="仿宋" w:hAnsi="仿宋" w:eastAsia="仿宋"/>
          <w:sz w:val="32"/>
          <w:szCs w:val="32"/>
        </w:rPr>
        <w:t>100%</w:t>
      </w:r>
      <w:r>
        <w:rPr>
          <w:rFonts w:hint="eastAsia" w:ascii="仿宋" w:hAnsi="仿宋" w:eastAsia="仿宋"/>
          <w:sz w:val="32"/>
          <w:szCs w:val="32"/>
        </w:rPr>
        <w:t>，较上年增加</w:t>
      </w:r>
      <w:r>
        <w:rPr>
          <w:rFonts w:ascii="仿宋" w:hAnsi="仿宋" w:eastAsia="仿宋"/>
          <w:sz w:val="32"/>
          <w:szCs w:val="32"/>
        </w:rPr>
        <w:t>8.86</w:t>
      </w:r>
      <w:r>
        <w:rPr>
          <w:rFonts w:hint="eastAsia" w:ascii="仿宋" w:hAnsi="仿宋" w:eastAsia="仿宋"/>
          <w:sz w:val="32"/>
          <w:szCs w:val="32"/>
        </w:rPr>
        <w:t>万元，增长</w:t>
      </w:r>
      <w:r>
        <w:rPr>
          <w:rFonts w:ascii="仿宋" w:hAnsi="仿宋" w:eastAsia="仿宋"/>
          <w:sz w:val="32"/>
          <w:szCs w:val="32"/>
        </w:rPr>
        <w:t>39.12</w:t>
      </w:r>
      <w:r>
        <w:rPr>
          <w:rFonts w:hint="eastAsia" w:ascii="仿宋" w:hAnsi="仿宋" w:eastAsia="仿宋"/>
          <w:sz w:val="32"/>
          <w:szCs w:val="32"/>
        </w:rPr>
        <w:t>%。</w:t>
      </w:r>
      <w:r>
        <w:rPr>
          <w:rFonts w:hint="eastAsia" w:ascii="仿宋_GB2312" w:hAnsi="仿宋_GB2312" w:eastAsia="仿宋_GB2312" w:cs="仿宋_GB2312"/>
          <w:sz w:val="32"/>
          <w:szCs w:val="32"/>
        </w:rPr>
        <w:t>决算数与预算数持平</w:t>
      </w:r>
      <w:r>
        <w:rPr>
          <w:rFonts w:hint="eastAsia" w:ascii="仿宋" w:hAnsi="仿宋" w:eastAsia="仿宋"/>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pPr>
        <w:spacing w:line="600" w:lineRule="exact"/>
        <w:ind w:firstLine="640"/>
        <w:outlineLvl w:val="2"/>
        <w:rPr>
          <w:rFonts w:ascii="仿宋" w:hAnsi="仿宋" w:eastAsia="仿宋"/>
          <w:b/>
          <w:sz w:val="32"/>
          <w:szCs w:val="32"/>
        </w:rPr>
      </w:pPr>
      <w:bookmarkStart w:id="47" w:name="_Toc15377217"/>
      <w:r>
        <w:rPr>
          <w:rFonts w:hint="eastAsia" w:ascii="仿宋" w:hAnsi="仿宋" w:eastAsia="仿宋"/>
          <w:b/>
          <w:sz w:val="32"/>
          <w:szCs w:val="32"/>
        </w:rPr>
        <w:t>（二）“三公”经费财政拨款支出决算具体情况说明</w:t>
      </w:r>
      <w:bookmarkEnd w:id="47"/>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；公务用车购置及运行维护费支出决算</w:t>
      </w:r>
      <w:r>
        <w:rPr>
          <w:rFonts w:ascii="仿宋" w:hAnsi="仿宋" w:eastAsia="仿宋"/>
          <w:sz w:val="32"/>
          <w:szCs w:val="32"/>
        </w:rPr>
        <w:t>31.02</w:t>
      </w:r>
      <w:r>
        <w:rPr>
          <w:rFonts w:hint="eastAsia" w:ascii="仿宋" w:hAnsi="仿宋" w:eastAsia="仿宋"/>
          <w:sz w:val="32"/>
          <w:szCs w:val="32"/>
        </w:rPr>
        <w:t>万元，占</w:t>
      </w:r>
      <w:r>
        <w:rPr>
          <w:rFonts w:ascii="仿宋" w:hAnsi="仿宋" w:eastAsia="仿宋"/>
          <w:sz w:val="32"/>
          <w:szCs w:val="32"/>
        </w:rPr>
        <w:t>98.44%</w:t>
      </w:r>
      <w:r>
        <w:rPr>
          <w:rFonts w:hint="eastAsia" w:ascii="仿宋" w:hAnsi="仿宋" w:eastAsia="仿宋"/>
          <w:sz w:val="32"/>
          <w:szCs w:val="32"/>
        </w:rPr>
        <w:t>；公务接待费支出决算0</w:t>
      </w:r>
      <w:r>
        <w:rPr>
          <w:rFonts w:ascii="仿宋" w:hAnsi="仿宋" w:eastAsia="仿宋"/>
          <w:sz w:val="32"/>
          <w:szCs w:val="32"/>
        </w:rPr>
        <w:t>.49</w:t>
      </w:r>
      <w:r>
        <w:rPr>
          <w:rFonts w:hint="eastAsia" w:ascii="仿宋" w:hAnsi="仿宋" w:eastAsia="仿宋"/>
          <w:sz w:val="32"/>
          <w:szCs w:val="32"/>
        </w:rPr>
        <w:t>万元，占</w:t>
      </w:r>
      <w:r>
        <w:rPr>
          <w:rFonts w:ascii="仿宋" w:hAnsi="仿宋" w:eastAsia="仿宋"/>
          <w:sz w:val="32"/>
          <w:szCs w:val="32"/>
        </w:rPr>
        <w:t>1.56%</w:t>
      </w:r>
      <w:r>
        <w:rPr>
          <w:rFonts w:hint="eastAsia" w:ascii="仿宋" w:hAnsi="仿宋" w:eastAsia="仿宋"/>
          <w:sz w:val="32"/>
          <w:szCs w:val="32"/>
        </w:rPr>
        <w:t>。具体情况如下：</w:t>
      </w:r>
    </w:p>
    <w:p>
      <w:pPr>
        <w:pStyle w:val="2"/>
        <w:spacing w:before="93"/>
        <w:ind w:firstLine="300" w:firstLineChars="100"/>
      </w:pPr>
      <w:r>
        <w:drawing>
          <wp:inline distT="0" distB="0" distL="0" distR="0">
            <wp:extent cx="5274310" cy="4095750"/>
            <wp:effectExtent l="0" t="0" r="254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3"/>
                    <a:stretch>
                      <a:fillRect/>
                    </a:stretch>
                  </pic:blipFill>
                  <pic:spPr>
                    <a:xfrm>
                      <a:off x="0" y="0"/>
                      <a:ext cx="5274310" cy="4095750"/>
                    </a:xfrm>
                    <a:prstGeom prst="rect">
                      <a:avLst/>
                    </a:prstGeom>
                  </pic:spPr>
                </pic:pic>
              </a:graphicData>
            </a:graphic>
          </wp:inline>
        </w:drawing>
      </w: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因公出国（境）经费支出</w:t>
      </w:r>
      <w:r>
        <w:rPr>
          <w:rFonts w:ascii="仿宋_GB2312" w:eastAsia="仿宋_GB2312"/>
          <w:sz w:val="32"/>
          <w:szCs w:val="32"/>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ascii="仿宋" w:hAnsi="仿宋" w:eastAsia="仿宋"/>
          <w:b w:val="0"/>
          <w:bCs/>
          <w:sz w:val="32"/>
          <w:szCs w:val="32"/>
        </w:rPr>
        <w:t>0%</w:t>
      </w:r>
      <w:r>
        <w:rPr>
          <w:rStyle w:val="17"/>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sz w:val="32"/>
          <w:szCs w:val="32"/>
        </w:rPr>
        <w:t>0</w:t>
      </w:r>
      <w:r>
        <w:rPr>
          <w:rFonts w:hint="eastAsia" w:ascii="仿宋_GB2312" w:eastAsia="仿宋_GB2312"/>
          <w:sz w:val="32"/>
          <w:szCs w:val="32"/>
        </w:rPr>
        <w:t>次，出国（境）</w:t>
      </w:r>
      <w:r>
        <w:rPr>
          <w:rFonts w:ascii="仿宋_GB2312" w:eastAsia="仿宋_GB2312"/>
          <w:sz w:val="32"/>
          <w:szCs w:val="32"/>
        </w:rPr>
        <w:t>0</w:t>
      </w:r>
      <w:r>
        <w:rPr>
          <w:rFonts w:hint="eastAsia" w:ascii="仿宋_GB2312" w:eastAsia="仿宋_GB2312"/>
          <w:sz w:val="32"/>
          <w:szCs w:val="32"/>
        </w:rPr>
        <w:t>人。本年无此业务发生。</w:t>
      </w:r>
    </w:p>
    <w:p>
      <w:pPr>
        <w:spacing w:line="600" w:lineRule="exact"/>
        <w:ind w:firstLine="640"/>
        <w:rPr>
          <w:rFonts w:ascii="仿宋_GB2312" w:eastAsia="仿宋_GB2312"/>
          <w:b/>
          <w:sz w:val="32"/>
          <w:szCs w:val="32"/>
        </w:rPr>
      </w:pPr>
      <w:r>
        <w:rPr>
          <w:rFonts w:ascii="仿宋_GB2312" w:eastAsia="仿宋_GB2312"/>
          <w:sz w:val="32"/>
          <w:szCs w:val="32"/>
        </w:rPr>
        <w:t>2.</w:t>
      </w:r>
      <w:r>
        <w:rPr>
          <w:rFonts w:hint="eastAsia" w:ascii="仿宋_GB2312" w:eastAsia="仿宋_GB2312"/>
          <w:sz w:val="32"/>
          <w:szCs w:val="32"/>
        </w:rPr>
        <w:t>公务用车购置及运行维护费支出</w:t>
      </w:r>
      <w:r>
        <w:rPr>
          <w:rFonts w:ascii="仿宋_GB2312" w:eastAsia="仿宋_GB2312"/>
          <w:sz w:val="32"/>
          <w:szCs w:val="32"/>
        </w:rPr>
        <w:t>31.02</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ascii="仿宋" w:hAnsi="仿宋" w:eastAsia="仿宋"/>
          <w:b w:val="0"/>
          <w:bCs/>
          <w:sz w:val="32"/>
          <w:szCs w:val="32"/>
        </w:rPr>
        <w:t>100%</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8.83</w:t>
      </w:r>
      <w:r>
        <w:rPr>
          <w:rFonts w:hint="eastAsia" w:ascii="仿宋_GB2312" w:eastAsia="仿宋_GB2312"/>
          <w:sz w:val="32"/>
          <w:szCs w:val="32"/>
        </w:rPr>
        <w:t>万元，增长3</w:t>
      </w:r>
      <w:r>
        <w:rPr>
          <w:rFonts w:ascii="仿宋_GB2312" w:eastAsia="仿宋_GB2312"/>
          <w:sz w:val="32"/>
          <w:szCs w:val="32"/>
        </w:rPr>
        <w:t>9.79%</w:t>
      </w:r>
      <w:r>
        <w:rPr>
          <w:rFonts w:hint="eastAsia" w:ascii="仿宋_GB2312" w:eastAsia="仿宋_GB2312"/>
          <w:sz w:val="32"/>
          <w:szCs w:val="32"/>
        </w:rPr>
        <w:t>。</w:t>
      </w:r>
      <w:r>
        <w:rPr>
          <w:rFonts w:hint="eastAsia" w:ascii="仿宋_GB2312" w:hAnsi="仿宋_GB2312" w:eastAsia="仿宋_GB2312" w:cs="仿宋_GB2312"/>
          <w:bCs/>
          <w:sz w:val="32"/>
          <w:szCs w:val="32"/>
        </w:rPr>
        <w:t>主要原因是全市交通重点项目建设项目增多。</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其中：公务用车购置支出</w:t>
      </w:r>
      <w:r>
        <w:rPr>
          <w:rFonts w:ascii="仿宋_GB2312" w:eastAsia="仿宋_GB2312"/>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月底，全系统共有公务用车33辆，其中：轿车5辆、越野车8辆、载客汽车5辆，其他车型15辆。</w:t>
      </w:r>
    </w:p>
    <w:p>
      <w:pPr>
        <w:spacing w:line="600" w:lineRule="exact"/>
        <w:ind w:firstLine="64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公务接待费支出</w:t>
      </w:r>
      <w:r>
        <w:rPr>
          <w:rFonts w:ascii="仿宋_GB2312" w:eastAsia="仿宋_GB2312"/>
          <w:sz w:val="32"/>
          <w:szCs w:val="32"/>
        </w:rPr>
        <w:t>0.49</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ascii="仿宋" w:hAnsi="仿宋" w:eastAsia="仿宋"/>
          <w:b w:val="0"/>
          <w:bCs/>
          <w:sz w:val="32"/>
          <w:szCs w:val="32"/>
        </w:rPr>
        <w:t>100%</w:t>
      </w:r>
      <w:r>
        <w:rPr>
          <w:rStyle w:val="17"/>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0.03</w:t>
      </w:r>
      <w:r>
        <w:rPr>
          <w:rFonts w:hint="eastAsia" w:ascii="仿宋_GB2312" w:eastAsia="仿宋_GB2312"/>
          <w:sz w:val="32"/>
          <w:szCs w:val="32"/>
        </w:rPr>
        <w:t>万元，增长</w:t>
      </w:r>
      <w:r>
        <w:rPr>
          <w:rFonts w:ascii="仿宋_GB2312" w:eastAsia="仿宋_GB2312"/>
          <w:sz w:val="32"/>
          <w:szCs w:val="32"/>
        </w:rPr>
        <w:t>6.52%</w:t>
      </w:r>
      <w:r>
        <w:rPr>
          <w:rFonts w:hint="eastAsia" w:ascii="仿宋_GB2312" w:eastAsia="仿宋_GB2312"/>
          <w:sz w:val="32"/>
          <w:szCs w:val="32"/>
        </w:rPr>
        <w:t>。</w:t>
      </w:r>
      <w:r>
        <w:rPr>
          <w:rFonts w:hint="eastAsia" w:ascii="仿宋_GB2312" w:hAnsi="仿宋_GB2312" w:eastAsia="仿宋_GB2312" w:cs="仿宋_GB2312"/>
          <w:bCs/>
          <w:sz w:val="32"/>
          <w:szCs w:val="32"/>
        </w:rPr>
        <w:t>主要原因是全市交通重点项目建设项目增多。</w:t>
      </w:r>
      <w:r>
        <w:rPr>
          <w:rFonts w:hint="eastAsia" w:ascii="仿宋_GB2312" w:eastAsia="仿宋_GB2312"/>
          <w:sz w:val="32"/>
          <w:szCs w:val="32"/>
        </w:rPr>
        <w:t>其中：</w:t>
      </w:r>
      <w:r>
        <w:rPr>
          <w:rFonts w:hint="eastAsia" w:ascii="仿宋" w:hAnsi="仿宋" w:eastAsia="仿宋"/>
          <w:sz w:val="32"/>
          <w:szCs w:val="32"/>
        </w:rPr>
        <w:t>国内公务接待支出</w:t>
      </w:r>
      <w:r>
        <w:rPr>
          <w:rFonts w:ascii="仿宋" w:hAnsi="仿宋" w:eastAsia="仿宋"/>
          <w:sz w:val="32"/>
          <w:szCs w:val="32"/>
        </w:rPr>
        <w:t>0.49</w:t>
      </w:r>
      <w:r>
        <w:rPr>
          <w:rFonts w:hint="eastAsia" w:ascii="仿宋_GB2312" w:eastAsia="仿宋_GB2312"/>
          <w:sz w:val="32"/>
          <w:szCs w:val="32"/>
        </w:rPr>
        <w:t>万元，</w:t>
      </w:r>
      <w:r>
        <w:rPr>
          <w:rFonts w:hint="eastAsia" w:ascii="仿宋_GB2312" w:hAnsi="仿宋_GB2312" w:eastAsia="仿宋_GB2312" w:cs="仿宋_GB2312"/>
          <w:sz w:val="32"/>
          <w:szCs w:val="32"/>
        </w:rPr>
        <w:t>主要用于</w:t>
      </w:r>
      <w:r>
        <w:rPr>
          <w:rFonts w:hint="eastAsia" w:ascii="仿宋_GB2312" w:hAnsi="仿宋" w:eastAsia="仿宋_GB2312"/>
          <w:sz w:val="32"/>
          <w:szCs w:val="32"/>
        </w:rPr>
        <w:t>全市交通运输市场监管，交通公路工程建设及养护管理，水上交通安全监管，监督、指导全市经营性道路运输源头安全、公路工程建设和交通企事业单位内部安全，以及完成市委市政府交的各项应急任务</w:t>
      </w:r>
      <w:r>
        <w:rPr>
          <w:rFonts w:hint="eastAsia" w:ascii="仿宋_GB2312" w:hAnsi="仿宋_GB2312" w:eastAsia="仿宋_GB2312" w:cs="仿宋_GB2312"/>
          <w:bCs/>
          <w:sz w:val="32"/>
          <w:szCs w:val="32"/>
        </w:rPr>
        <w:t>开支的交通费、住宿费、用餐费等。</w:t>
      </w:r>
      <w:r>
        <w:rPr>
          <w:rFonts w:hint="eastAsia" w:ascii="仿宋_GB2312" w:eastAsia="仿宋_GB2312"/>
          <w:sz w:val="32"/>
          <w:szCs w:val="32"/>
        </w:rPr>
        <w:t>国内公务接待</w:t>
      </w:r>
      <w:r>
        <w:rPr>
          <w:rFonts w:ascii="仿宋_GB2312" w:eastAsia="仿宋_GB2312"/>
          <w:sz w:val="32"/>
          <w:szCs w:val="32"/>
        </w:rPr>
        <w:t>7</w:t>
      </w:r>
      <w:r>
        <w:rPr>
          <w:rFonts w:hint="eastAsia" w:ascii="仿宋_GB2312" w:eastAsia="仿宋_GB2312"/>
          <w:sz w:val="32"/>
          <w:szCs w:val="32"/>
        </w:rPr>
        <w:t>批次，</w:t>
      </w:r>
      <w:r>
        <w:rPr>
          <w:rFonts w:ascii="仿宋_GB2312" w:eastAsia="仿宋_GB2312"/>
          <w:sz w:val="32"/>
          <w:szCs w:val="32"/>
        </w:rPr>
        <w:t>64</w:t>
      </w:r>
      <w:r>
        <w:rPr>
          <w:rFonts w:hint="eastAsia" w:ascii="仿宋_GB2312" w:eastAsia="仿宋_GB2312"/>
          <w:sz w:val="32"/>
          <w:szCs w:val="32"/>
        </w:rPr>
        <w:t>人次（不包括陪同人员），共计支出</w:t>
      </w:r>
      <w:r>
        <w:rPr>
          <w:rFonts w:ascii="仿宋_GB2312" w:eastAsia="仿宋_GB2312"/>
          <w:sz w:val="32"/>
          <w:szCs w:val="32"/>
        </w:rPr>
        <w:t>0.49</w:t>
      </w:r>
      <w:r>
        <w:rPr>
          <w:rFonts w:hint="eastAsia" w:ascii="仿宋_GB2312" w:eastAsia="仿宋_GB2312"/>
          <w:sz w:val="32"/>
          <w:szCs w:val="32"/>
        </w:rPr>
        <w:t>万元，具体内容包括：(1)接待乐山市交通运输局来我市开展2021年农村公路管理养护暨两项改革“后半篇”文章交通“三项工程”工作督导</w:t>
      </w:r>
      <w:r>
        <w:rPr>
          <w:rFonts w:ascii="仿宋_GB2312" w:eastAsia="仿宋_GB2312"/>
          <w:sz w:val="32"/>
          <w:szCs w:val="32"/>
        </w:rPr>
        <w:t>0.</w:t>
      </w:r>
      <w:r>
        <w:rPr>
          <w:rFonts w:hint="eastAsia" w:ascii="仿宋_GB2312" w:eastAsia="仿宋_GB2312"/>
          <w:sz w:val="32"/>
          <w:szCs w:val="32"/>
        </w:rPr>
        <w:t>085万元；(2)接待乐山市审计局会同乐山市交通局延伸审计我局2021年省补资金执行情况0.108万元、(3)接待上级2021年道路养护年终检查餐费0.05万元;(4)接待乐山市公路建设服务中心2022年一季度路况评定工作餐0.07万元;(5)接待G245路况检测工作餐费0.05万元;(6)11月3日接待乐山公路中心、省华腾公路路况检测工作餐0.06万元;(7)接待第三季度国省干线公路运行评定工作餐0.06万元。</w:t>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外事接待支出</w:t>
      </w:r>
      <w:r>
        <w:rPr>
          <w:rFonts w:ascii="仿宋" w:hAnsi="仿宋" w:eastAsia="仿宋"/>
          <w:sz w:val="32"/>
          <w:szCs w:val="32"/>
        </w:rPr>
        <w:t>0</w:t>
      </w:r>
      <w:r>
        <w:rPr>
          <w:rFonts w:hint="eastAsia" w:ascii="仿宋_GB2312" w:eastAsia="仿宋_GB2312"/>
          <w:sz w:val="32"/>
          <w:szCs w:val="32"/>
        </w:rPr>
        <w:t>万元，外事接待</w:t>
      </w:r>
      <w:r>
        <w:rPr>
          <w:rFonts w:ascii="仿宋_GB2312" w:eastAsia="仿宋_GB2312"/>
          <w:sz w:val="32"/>
          <w:szCs w:val="32"/>
        </w:rPr>
        <w:t>0</w:t>
      </w:r>
      <w:r>
        <w:rPr>
          <w:rFonts w:hint="eastAsia" w:ascii="仿宋_GB2312" w:eastAsia="仿宋_GB2312"/>
          <w:sz w:val="32"/>
          <w:szCs w:val="32"/>
        </w:rPr>
        <w:t>批次，</w:t>
      </w:r>
      <w:r>
        <w:rPr>
          <w:rFonts w:ascii="仿宋_GB2312" w:eastAsia="仿宋_GB2312"/>
          <w:sz w:val="32"/>
          <w:szCs w:val="32"/>
        </w:rPr>
        <w:t>0</w:t>
      </w:r>
      <w:r>
        <w:rPr>
          <w:rFonts w:hint="eastAsia" w:ascii="仿宋_GB2312" w:eastAsia="仿宋_GB2312"/>
          <w:sz w:val="32"/>
          <w:szCs w:val="32"/>
        </w:rPr>
        <w:t>人次，共计支出</w:t>
      </w:r>
      <w:r>
        <w:rPr>
          <w:rFonts w:ascii="仿宋_GB2312" w:eastAsia="仿宋_GB2312"/>
          <w:sz w:val="32"/>
          <w:szCs w:val="32"/>
        </w:rPr>
        <w:t>0</w:t>
      </w:r>
      <w:r>
        <w:rPr>
          <w:rFonts w:hint="eastAsia" w:ascii="仿宋_GB2312" w:eastAsia="仿宋_GB2312"/>
          <w:sz w:val="32"/>
          <w:szCs w:val="32"/>
        </w:rPr>
        <w:t>万元。</w:t>
      </w:r>
      <w:r>
        <w:rPr>
          <w:rFonts w:hint="eastAsia" w:ascii="仿宋_GB2312" w:hAnsi="仿宋_GB2312" w:eastAsia="仿宋_GB2312" w:cs="仿宋_GB2312"/>
          <w:sz w:val="32"/>
          <w:szCs w:val="32"/>
        </w:rPr>
        <w:t>本年无此项业务发生。</w:t>
      </w:r>
    </w:p>
    <w:p>
      <w:pPr>
        <w:spacing w:line="600" w:lineRule="exact"/>
        <w:ind w:firstLine="640"/>
        <w:outlineLvl w:val="1"/>
        <w:rPr>
          <w:rFonts w:ascii="黑体" w:eastAsia="黑体"/>
          <w:sz w:val="32"/>
          <w:szCs w:val="32"/>
        </w:rPr>
      </w:pPr>
      <w:bookmarkStart w:id="48" w:name="_Toc15377218"/>
      <w:bookmarkStart w:id="49" w:name="_Toc15396610"/>
    </w:p>
    <w:p>
      <w:pPr>
        <w:spacing w:line="600" w:lineRule="exact"/>
        <w:ind w:firstLine="640"/>
        <w:outlineLvl w:val="1"/>
        <w:rPr>
          <w:rStyle w:val="29"/>
          <w:rFonts w:ascii="黑体" w:hAnsi="黑体" w:eastAsia="黑体"/>
        </w:rPr>
      </w:pPr>
      <w:r>
        <w:rPr>
          <w:rFonts w:hint="eastAsia" w:ascii="黑体" w:eastAsia="黑体"/>
          <w:sz w:val="32"/>
          <w:szCs w:val="32"/>
        </w:rPr>
        <w:t>八、</w:t>
      </w:r>
      <w:r>
        <w:rPr>
          <w:rStyle w:val="29"/>
          <w:rFonts w:hint="eastAsia" w:ascii="黑体" w:hAnsi="黑体" w:eastAsia="黑体"/>
          <w:b w:val="0"/>
        </w:rPr>
        <w:t>政府性基金预算支出决算情况说明</w:t>
      </w:r>
      <w:bookmarkEnd w:id="48"/>
      <w:bookmarkEnd w:id="49"/>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ascii="仿宋_GB2312" w:eastAsia="仿宋_GB2312"/>
          <w:sz w:val="32"/>
          <w:szCs w:val="32"/>
        </w:rPr>
        <w:t>7406.59</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4"/>
        </w:numPr>
        <w:spacing w:line="600" w:lineRule="exact"/>
        <w:ind w:firstLine="640"/>
        <w:outlineLvl w:val="1"/>
        <w:rPr>
          <w:rStyle w:val="29"/>
          <w:rFonts w:ascii="黑体" w:hAnsi="黑体" w:eastAsia="黑体"/>
          <w:b w:val="0"/>
        </w:rPr>
      </w:pPr>
      <w:bookmarkStart w:id="50" w:name="_Toc15396611"/>
      <w:bookmarkStart w:id="51" w:name="_Toc15377219"/>
      <w:r>
        <w:rPr>
          <w:rStyle w:val="29"/>
          <w:rFonts w:hint="eastAsia" w:ascii="黑体" w:hAnsi="黑体" w:eastAsia="黑体"/>
          <w:b w:val="0"/>
        </w:rPr>
        <w:t>国有资本经营预算支出决算情况说明</w:t>
      </w:r>
      <w:bookmarkEnd w:id="50"/>
      <w:bookmarkEnd w:id="5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ascii="仿宋_GB2312" w:eastAsia="仿宋_GB2312"/>
          <w:sz w:val="32"/>
          <w:szCs w:val="32"/>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4"/>
        </w:numPr>
        <w:spacing w:line="600" w:lineRule="exact"/>
        <w:ind w:firstLine="640"/>
        <w:outlineLvl w:val="1"/>
        <w:rPr>
          <w:rStyle w:val="29"/>
          <w:rFonts w:ascii="黑体" w:hAnsi="黑体" w:eastAsia="黑体"/>
          <w:b w:val="0"/>
        </w:rPr>
      </w:pPr>
      <w:bookmarkStart w:id="52" w:name="_Toc15377221"/>
      <w:bookmarkStart w:id="53" w:name="_Toc15396612"/>
      <w:r>
        <w:rPr>
          <w:rStyle w:val="29"/>
          <w:rFonts w:hint="eastAsia" w:ascii="黑体" w:hAnsi="黑体" w:eastAsia="黑体"/>
          <w:b w:val="0"/>
        </w:rPr>
        <w:t>其他重要事项的情况说明</w:t>
      </w:r>
      <w:bookmarkEnd w:id="52"/>
      <w:bookmarkEnd w:id="53"/>
    </w:p>
    <w:p>
      <w:pPr>
        <w:spacing w:line="600" w:lineRule="exact"/>
        <w:ind w:firstLine="643" w:firstLineChars="200"/>
        <w:outlineLvl w:val="2"/>
        <w:rPr>
          <w:rFonts w:ascii="仿宋" w:hAnsi="仿宋" w:eastAsia="仿宋"/>
          <w:sz w:val="32"/>
          <w:szCs w:val="32"/>
        </w:rPr>
      </w:pPr>
      <w:bookmarkStart w:id="54" w:name="_Toc15377222"/>
      <w:r>
        <w:rPr>
          <w:rFonts w:hint="eastAsia" w:ascii="仿宋" w:hAnsi="仿宋" w:eastAsia="仿宋"/>
          <w:b/>
          <w:sz w:val="32"/>
          <w:szCs w:val="32"/>
        </w:rPr>
        <w:t>（一）机关运行经费支出情况</w:t>
      </w:r>
      <w:bookmarkEnd w:id="54"/>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hAnsi="仿宋_GB2312" w:eastAsia="仿宋_GB2312" w:cs="仿宋_GB2312"/>
          <w:sz w:val="32"/>
          <w:szCs w:val="32"/>
        </w:rPr>
        <w:t>峨眉山市交通运输局</w:t>
      </w:r>
      <w:r>
        <w:rPr>
          <w:rFonts w:hint="eastAsia" w:ascii="仿宋_GB2312" w:eastAsia="仿宋_GB2312"/>
          <w:sz w:val="32"/>
          <w:szCs w:val="32"/>
        </w:rPr>
        <w:t>机关运行经费支出</w:t>
      </w:r>
      <w:r>
        <w:rPr>
          <w:rFonts w:ascii="仿宋_GB2312" w:eastAsia="仿宋_GB2312"/>
          <w:sz w:val="32"/>
          <w:szCs w:val="32"/>
        </w:rPr>
        <w:t>100.77</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21.35</w:t>
      </w:r>
      <w:r>
        <w:rPr>
          <w:rFonts w:hint="eastAsia" w:ascii="仿宋_GB2312" w:eastAsia="仿宋_GB2312"/>
          <w:sz w:val="32"/>
          <w:szCs w:val="32"/>
        </w:rPr>
        <w:t>万元，增长</w:t>
      </w:r>
      <w:r>
        <w:rPr>
          <w:rFonts w:ascii="仿宋_GB2312" w:eastAsia="仿宋_GB2312"/>
          <w:sz w:val="32"/>
          <w:szCs w:val="32"/>
        </w:rPr>
        <w:t>26.88%</w:t>
      </w:r>
      <w:r>
        <w:rPr>
          <w:rFonts w:hint="eastAsia" w:ascii="仿宋_GB2312" w:eastAsia="仿宋_GB2312"/>
          <w:sz w:val="32"/>
          <w:szCs w:val="32"/>
        </w:rPr>
        <w:t>。</w:t>
      </w:r>
      <w:r>
        <w:rPr>
          <w:rFonts w:hint="eastAsia" w:ascii="仿宋_GB2312" w:hAnsi="仿宋_GB2312" w:eastAsia="仿宋_GB2312" w:cs="仿宋_GB2312"/>
          <w:bCs/>
          <w:sz w:val="32"/>
          <w:szCs w:val="32"/>
        </w:rPr>
        <w:t>主要原因是全市交通重点项目建设项目增多。</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5" w:name="_Toc15377223"/>
      <w:r>
        <w:rPr>
          <w:rFonts w:hint="eastAsia" w:ascii="仿宋" w:hAnsi="仿宋" w:eastAsia="仿宋"/>
          <w:b/>
          <w:sz w:val="32"/>
          <w:szCs w:val="32"/>
        </w:rPr>
        <w:t>（二）政府采购支出情况</w:t>
      </w:r>
      <w:bookmarkEnd w:id="55"/>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hAnsi="仿宋_GB2312" w:eastAsia="仿宋_GB2312" w:cs="仿宋_GB2312"/>
          <w:sz w:val="32"/>
          <w:szCs w:val="32"/>
        </w:rPr>
        <w:t>峨眉山市交通运输局</w:t>
      </w:r>
      <w:r>
        <w:rPr>
          <w:rFonts w:hint="eastAsia" w:ascii="仿宋_GB2312" w:eastAsia="仿宋_GB2312"/>
          <w:sz w:val="32"/>
          <w:szCs w:val="32"/>
        </w:rPr>
        <w:t>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6" w:name="_Toc15377224"/>
      <w:r>
        <w:rPr>
          <w:rFonts w:hint="eastAsia" w:ascii="仿宋" w:hAnsi="仿宋" w:eastAsia="仿宋"/>
          <w:b/>
          <w:sz w:val="32"/>
          <w:szCs w:val="32"/>
        </w:rPr>
        <w:t>（三）国有资产占有使用情况</w:t>
      </w:r>
      <w:bookmarkEnd w:id="56"/>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hAnsi="仿宋_GB2312" w:eastAsia="仿宋_GB2312" w:cs="仿宋_GB2312"/>
          <w:sz w:val="32"/>
          <w:szCs w:val="32"/>
        </w:rPr>
        <w:t>峨眉山市交通运输局</w:t>
      </w:r>
      <w:r>
        <w:rPr>
          <w:rFonts w:hint="eastAsia" w:ascii="仿宋_GB2312" w:eastAsia="仿宋_GB2312"/>
          <w:sz w:val="32"/>
          <w:szCs w:val="32"/>
        </w:rPr>
        <w:t>共有车辆</w:t>
      </w:r>
      <w:r>
        <w:rPr>
          <w:rFonts w:ascii="仿宋_GB2312" w:eastAsia="仿宋_GB2312"/>
          <w:sz w:val="32"/>
          <w:szCs w:val="32"/>
        </w:rPr>
        <w:t>33</w:t>
      </w:r>
      <w:r>
        <w:rPr>
          <w:rFonts w:hint="eastAsia" w:ascii="仿宋_GB2312" w:eastAsia="仿宋_GB2312"/>
          <w:sz w:val="32"/>
          <w:szCs w:val="32"/>
        </w:rPr>
        <w:t>辆，</w:t>
      </w:r>
      <w:r>
        <w:rPr>
          <w:rFonts w:hint="eastAsia" w:ascii="仿宋_GB2312" w:hAnsi="仿宋_GB2312" w:eastAsia="仿宋_GB2312" w:cs="仿宋_GB2312"/>
          <w:sz w:val="32"/>
          <w:szCs w:val="32"/>
        </w:rPr>
        <w:t>其中：主要领导干部用车0辆、机要通信用车1辆、应急保障用车4辆、执法执勤用车3辆、特种专业技术用车9辆，其他用车16辆，主要用于</w:t>
      </w:r>
      <w:r>
        <w:rPr>
          <w:rFonts w:hint="eastAsia" w:ascii="仿宋_GB2312" w:hAnsi="仿宋" w:eastAsia="仿宋_GB2312"/>
          <w:sz w:val="32"/>
          <w:szCs w:val="32"/>
        </w:rPr>
        <w:t>全市交通运输市场监管，交通公路工程建设及养护管理，水上交通安全监管，监督、指导全市经营性道路运输源头安全、公路工程建设和交通企事业单位内部安全，以及完成市委市政府交的各项应急任务等。</w:t>
      </w:r>
      <w:r>
        <w:rPr>
          <w:rFonts w:hint="eastAsia" w:ascii="仿宋_GB2312" w:hAnsi="仿宋_GB2312" w:eastAsia="仿宋_GB2312" w:cs="仿宋_GB2312"/>
          <w:sz w:val="32"/>
          <w:szCs w:val="32"/>
        </w:rPr>
        <w:t>单价50万元以上通用设备,0台（套），</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万元以上专用设备</w:t>
      </w:r>
      <w:r>
        <w:rPr>
          <w:rFonts w:ascii="仿宋_GB2312" w:eastAsia="仿宋_GB2312"/>
          <w:sz w:val="32"/>
          <w:szCs w:val="32"/>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表，按部门决算报表填报数据罗列车辆情况。）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widowControl/>
        <w:ind w:firstLine="640" w:firstLineChars="200"/>
        <w:jc w:val="left"/>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根据预算绩效管理要求，本部门在2022年度预算编制阶段，组织对交通建设项目工程费用、县乡村道路维护及路长制考核经费、城市公交燃气补贴、公汽司IC卡优惠政策补贴、九珠客运中心临时搬迁租金及税费、农村道路座位及天然气补贴、农村客运车辆和水运船舶保险补贴、承包班组养护经费、冰雪抢险经费、高铁站工作运行经费、全市村组道路公路测试等28个项目开展了预算事前绩效评估，对27个项目编制了绩效目标，预算执行过程中，选取27个项目开展绩效监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织对2022年度一般公共预算、政府性基金预算、国有资本经营预算、社会保险基金预算以及资本资产、债券资金等全面开展绩效自评，形成峨眉山市交通运输局部门整体（含部门预算项目）绩效自评报告、28个专项预算项目绩效自评报告，其中，峨眉山市交通运输局部门整体（含部门预算项目）绩效自评得分为98分，绩效自评综述：绩效管理情况为优秀，执行资金预算化管理，积极推进部门整体支出、项目支出绩效管理，通过资金预算编制、调整、执行、控制、绩效评价，增强财政资金投入、产出效能，达到了年初设定的各项绩效目标。28个专项预算项目绩效自评得分为97分，绩效自评综述：绩效管理情况为优良，执行资金预算化管理，积极推进部门整体支出、项目支出绩效管理，通过资金预算编制、调整、执行、控制、绩效评价，增强财政资金投入、产出效能，达到了年初设定的各项绩效目标。绩效自评报告详见附件。</w:t>
      </w:r>
    </w:p>
    <w:p>
      <w:pPr>
        <w:widowControl/>
        <w:ind w:firstLine="643" w:firstLineChars="200"/>
        <w:jc w:val="left"/>
        <w:rPr>
          <w:rFonts w:ascii="仿宋_GB2312" w:eastAsia="仿宋_GB2312"/>
          <w:b/>
          <w:sz w:val="32"/>
          <w:szCs w:val="32"/>
        </w:rPr>
      </w:pPr>
      <w:r>
        <w:rPr>
          <w:rFonts w:ascii="仿宋_GB2312" w:eastAsia="仿宋_GB2312"/>
          <w:b/>
          <w:sz w:val="32"/>
          <w:szCs w:val="32"/>
        </w:rPr>
        <w:br w:type="page"/>
      </w:r>
    </w:p>
    <w:p>
      <w:pPr>
        <w:numPr>
          <w:ilvl w:val="0"/>
          <w:numId w:val="5"/>
        </w:numPr>
        <w:spacing w:line="600" w:lineRule="exact"/>
        <w:ind w:firstLine="660" w:firstLineChars="150"/>
        <w:jc w:val="center"/>
        <w:outlineLvl w:val="0"/>
        <w:rPr>
          <w:rStyle w:val="28"/>
          <w:rFonts w:ascii="黑体" w:hAnsi="黑体" w:eastAsia="黑体"/>
          <w:b w:val="0"/>
        </w:rPr>
      </w:pPr>
      <w:bookmarkStart w:id="57" w:name="_Toc15377225"/>
      <w:bookmarkStart w:id="58" w:name="_Toc15396613"/>
      <w:r>
        <w:rPr>
          <w:rFonts w:hint="eastAsia" w:ascii="黑体" w:hAnsi="黑体" w:eastAsia="黑体"/>
          <w:sz w:val="44"/>
          <w:szCs w:val="44"/>
        </w:rPr>
        <w:t>名</w:t>
      </w:r>
      <w:r>
        <w:rPr>
          <w:rStyle w:val="28"/>
          <w:rFonts w:hint="eastAsia" w:ascii="黑体" w:hAnsi="黑体" w:eastAsia="黑体"/>
          <w:b w:val="0"/>
        </w:rPr>
        <w:t>词解释</w:t>
      </w:r>
      <w:bookmarkEnd w:id="57"/>
      <w:bookmarkEnd w:id="58"/>
    </w:p>
    <w:p>
      <w:pPr>
        <w:spacing w:line="600" w:lineRule="exact"/>
        <w:jc w:val="left"/>
        <w:rPr>
          <w:rFonts w:ascii="宋体"/>
          <w:b/>
          <w:sz w:val="44"/>
          <w:szCs w:val="44"/>
        </w:rPr>
      </w:pP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ascii="仿宋_GB2312" w:eastAsia="仿宋_GB2312"/>
          <w:sz w:val="32"/>
          <w:szCs w:val="32"/>
        </w:rPr>
      </w:pPr>
      <w:r>
        <w:rPr>
          <w:rFonts w:hint="eastAsia" w:ascii="仿宋_GB2312" w:eastAsia="仿宋_GB2312"/>
          <w:sz w:val="32"/>
          <w:szCs w:val="32"/>
        </w:rPr>
        <w:t>9.社会保障和就业（类）行政事业单位养老支出（款）机关事业单位基本养老保险缴费支出（项）：是指反映机关事业单位实施养老保险制度由单位缴纳的基本养老保险费支出。</w:t>
      </w:r>
    </w:p>
    <w:p>
      <w:pPr>
        <w:ind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社会保障和就业（类）行政事业单位养老支出（款）机关事业单位职业年金缴费支出（项）:是指反映机关事业单位实施养老保险制度由单位实际缴纳的职业年金支出。</w:t>
      </w:r>
    </w:p>
    <w:p>
      <w:pPr>
        <w:ind w:firstLine="640" w:firstLineChars="200"/>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社会保障和就业（类）抚恤（款）死亡抚恤（项）:反映按规定用于烈士和牺牲、病故人员家属的一次性和定期抚恤金以及丧葬补助费。</w:t>
      </w:r>
    </w:p>
    <w:p>
      <w:pPr>
        <w:ind w:firstLine="640" w:firstLineChars="200"/>
        <w:rPr>
          <w:rFonts w:ascii="仿宋_GB2312" w:eastAsia="仿宋_GB2312"/>
          <w:sz w:val="32"/>
          <w:szCs w:val="32"/>
        </w:rPr>
      </w:pPr>
      <w:r>
        <w:rPr>
          <w:rFonts w:ascii="仿宋_GB2312" w:eastAsia="仿宋_GB2312"/>
          <w:sz w:val="32"/>
          <w:szCs w:val="32"/>
        </w:rPr>
        <w:t>12.</w:t>
      </w:r>
      <w:r>
        <w:rPr>
          <w:rFonts w:hint="eastAsia" w:ascii="仿宋_GB2312" w:eastAsia="仿宋_GB2312"/>
          <w:sz w:val="32"/>
          <w:szCs w:val="32"/>
        </w:rPr>
        <w:t>社会保障和就业（类）抚恤（款）其他优抚支出（项）:反映除上述项目以外其他用于优抚方面的支出，包括向优抚对象发放的价格临时补贴等支出。</w:t>
      </w:r>
    </w:p>
    <w:p>
      <w:pPr>
        <w:ind w:firstLine="640" w:firstLineChars="200"/>
        <w:rPr>
          <w:rFonts w:ascii="仿宋_GB2312" w:eastAsia="仿宋_GB2312"/>
          <w:sz w:val="32"/>
          <w:szCs w:val="32"/>
        </w:rPr>
      </w:pPr>
      <w:r>
        <w:rPr>
          <w:rFonts w:ascii="仿宋_GB2312" w:eastAsia="仿宋_GB2312"/>
          <w:sz w:val="32"/>
          <w:szCs w:val="32"/>
        </w:rPr>
        <w:t>13.</w:t>
      </w:r>
      <w:r>
        <w:rPr>
          <w:rFonts w:hint="eastAsia" w:ascii="仿宋_GB2312" w:eastAsia="仿宋_GB2312"/>
          <w:sz w:val="32"/>
          <w:szCs w:val="32"/>
        </w:rPr>
        <w:t>社会保障和就业（类）残疾人事业（款）其他残疾人事业支出（项）:反映除上述项目以外其他用于残疾人事业方面的支出。</w:t>
      </w:r>
    </w:p>
    <w:p>
      <w:pPr>
        <w:ind w:firstLine="640" w:firstLineChars="200"/>
        <w:rPr>
          <w:rFonts w:ascii="仿宋_GB2312" w:eastAsia="仿宋_GB2312"/>
          <w:sz w:val="32"/>
          <w:szCs w:val="32"/>
        </w:rPr>
      </w:pPr>
      <w:r>
        <w:rPr>
          <w:rFonts w:ascii="仿宋_GB2312" w:eastAsia="仿宋_GB2312"/>
          <w:sz w:val="32"/>
          <w:szCs w:val="32"/>
        </w:rPr>
        <w:t>14.</w:t>
      </w:r>
      <w:r>
        <w:rPr>
          <w:rFonts w:hint="eastAsia" w:ascii="仿宋_GB2312" w:eastAsia="仿宋_GB2312"/>
          <w:sz w:val="32"/>
          <w:szCs w:val="32"/>
        </w:rPr>
        <w:t>社会保障和就业（类）其他社会保障和就业支出（款）其他社会保障和就业支出（项）:是指反映除上述项目以外其他用于社会保障和就业方面的支出。</w:t>
      </w:r>
    </w:p>
    <w:p>
      <w:pPr>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5.</w:t>
      </w:r>
      <w:r>
        <w:rPr>
          <w:rFonts w:hint="eastAsia" w:ascii="仿宋_GB2312" w:eastAsia="仿宋_GB2312"/>
          <w:sz w:val="32"/>
          <w:szCs w:val="32"/>
        </w:rPr>
        <w:t>卫生健康（类）行政事业单位医疗（款）行政单位医疗（项）:反映财政部门安排的行政单位（包括实行公务员管理的事业单位，下同）基本医疗保险缴费经费，未参加医疗保险的行政单位的公费医疗经费，按国家规定享受离退休人员、红军老战士待遇人员的医疗经费。</w:t>
      </w:r>
    </w:p>
    <w:p>
      <w:pPr>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6.</w:t>
      </w:r>
      <w:r>
        <w:rPr>
          <w:rFonts w:hint="eastAsia" w:ascii="仿宋_GB2312" w:eastAsia="仿宋_GB2312"/>
          <w:sz w:val="32"/>
          <w:szCs w:val="32"/>
        </w:rPr>
        <w:t>卫生健康（类）行政事业单位医疗（款）事业单位医疗（项）: 反映财政部门安排的事业单位基本医疗保险缴费经费，未参加医疗保险的事业单位的公费医疗经费，按国家规定享受离休人员待遇的医疗经费。</w:t>
      </w:r>
    </w:p>
    <w:p>
      <w:pPr>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7</w:t>
      </w:r>
      <w:r>
        <w:rPr>
          <w:rFonts w:hint="eastAsia" w:ascii="仿宋_GB2312" w:eastAsia="仿宋_GB2312"/>
          <w:sz w:val="32"/>
          <w:szCs w:val="32"/>
        </w:rPr>
        <w:t>.卫生健康（类）行政事业单位医疗（款）公务员医疗补助（项）:反映财政部安排的公务员医疗补助经费。</w:t>
      </w:r>
    </w:p>
    <w:p>
      <w:pPr>
        <w:pStyle w:val="2"/>
        <w:spacing w:before="93"/>
        <w:ind w:firstLine="640" w:firstLineChars="200"/>
      </w:pPr>
      <w:r>
        <w:rPr>
          <w:kern w:val="2"/>
          <w:sz w:val="32"/>
          <w:szCs w:val="32"/>
        </w:rPr>
        <w:t>18</w:t>
      </w:r>
      <w:r>
        <w:rPr>
          <w:rFonts w:hint="eastAsia"/>
          <w:kern w:val="2"/>
          <w:sz w:val="32"/>
          <w:szCs w:val="32"/>
        </w:rPr>
        <w:t>.节能环保支出（类）能源节约利用（款）能源节约利用（项）：反映用于能源节约利用方面的支出。</w:t>
      </w:r>
    </w:p>
    <w:p>
      <w:pPr>
        <w:ind w:firstLine="640" w:firstLineChars="200"/>
        <w:rPr>
          <w:rFonts w:ascii="仿宋_GB2312" w:eastAsia="仿宋_GB2312"/>
          <w:sz w:val="32"/>
          <w:szCs w:val="32"/>
        </w:rPr>
      </w:pPr>
      <w:r>
        <w:rPr>
          <w:rFonts w:ascii="仿宋_GB2312" w:eastAsia="仿宋_GB2312"/>
          <w:sz w:val="32"/>
          <w:szCs w:val="32"/>
        </w:rPr>
        <w:t>19.</w:t>
      </w:r>
      <w:r>
        <w:rPr>
          <w:rFonts w:hint="eastAsia" w:ascii="仿宋_GB2312" w:eastAsia="仿宋_GB2312"/>
          <w:sz w:val="32"/>
          <w:szCs w:val="32"/>
        </w:rPr>
        <w:t>城乡社区支出（类）国有土地使用权出让收入安排的支出（款）土地开发支出（项）：反映新疆生产建设兵团和地方政府用于前期土地开发性支出以及与前期土地开发相关的费用等支出。</w:t>
      </w:r>
    </w:p>
    <w:p>
      <w:pPr>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0.</w:t>
      </w:r>
      <w:r>
        <w:rPr>
          <w:rFonts w:hint="eastAsia" w:ascii="仿宋_GB2312" w:eastAsia="仿宋_GB2312"/>
          <w:sz w:val="32"/>
          <w:szCs w:val="32"/>
        </w:rPr>
        <w:t>城乡社区支出（类）国有土地使用权出让收入安排的支出（款）农村基础设施建设支出（项）：反映土地出让收入用于农村供水保障、村庄公共设施建设和管护以及与农业农村直接相关的以工代赈等方面的支出。</w:t>
      </w:r>
    </w:p>
    <w:p>
      <w:pPr>
        <w:pStyle w:val="2"/>
        <w:spacing w:before="93"/>
        <w:ind w:firstLine="640" w:firstLineChars="200"/>
        <w:rPr>
          <w:sz w:val="32"/>
          <w:szCs w:val="32"/>
        </w:rPr>
      </w:pPr>
      <w:r>
        <w:rPr>
          <w:rFonts w:hint="eastAsia"/>
          <w:sz w:val="32"/>
          <w:szCs w:val="32"/>
        </w:rPr>
        <w:t>2</w:t>
      </w:r>
      <w:r>
        <w:rPr>
          <w:sz w:val="32"/>
          <w:szCs w:val="32"/>
        </w:rPr>
        <w:t>1.</w:t>
      </w:r>
      <w:r>
        <w:rPr>
          <w:rFonts w:hint="eastAsia"/>
          <w:sz w:val="32"/>
          <w:szCs w:val="32"/>
        </w:rPr>
        <w:t>城乡社区支出（类）国有土地使用权出让收入安排的支出（款）城市建设支出（项）：反映土地出让收入用于完善国有土地使用功能的配套设施建设和城市基础设施建设支出。</w:t>
      </w:r>
    </w:p>
    <w:p>
      <w:pPr>
        <w:pStyle w:val="2"/>
        <w:spacing w:before="93"/>
        <w:ind w:firstLine="640" w:firstLineChars="200"/>
      </w:pPr>
      <w:r>
        <w:rPr>
          <w:rFonts w:hint="eastAsia"/>
          <w:sz w:val="32"/>
          <w:szCs w:val="32"/>
        </w:rPr>
        <w:t>2</w:t>
      </w:r>
      <w:r>
        <w:rPr>
          <w:sz w:val="32"/>
          <w:szCs w:val="32"/>
        </w:rPr>
        <w:t>2.</w:t>
      </w:r>
      <w:r>
        <w:rPr>
          <w:rFonts w:hint="eastAsia"/>
          <w:sz w:val="32"/>
          <w:szCs w:val="32"/>
        </w:rPr>
        <w:t>城乡社区支出（类）国有土地使用权出让收入安排的支出（款）补助被征地农民支出（项）：反映土地出让收入用于补助被征地农民社会保障支出以及保持被征地农民原有生活水平支出。</w:t>
      </w:r>
    </w:p>
    <w:p>
      <w:pPr>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3.</w:t>
      </w:r>
      <w:r>
        <w:rPr>
          <w:rFonts w:hint="eastAsia" w:ascii="仿宋_GB2312" w:eastAsia="仿宋_GB2312"/>
          <w:sz w:val="32"/>
          <w:szCs w:val="32"/>
        </w:rPr>
        <w:t>城乡社区支出（类）国有土地使用权出让收入安排的支出（款）其他国有土地使用权出让收入安排的支出（项）：反映土地出让收入用于其他方面的支出。不包括市县级政府当年按规定用于土地出让收入向中央和省级政府缴纳的新增建设用地土地有偿使用费的支出</w:t>
      </w:r>
    </w:p>
    <w:p>
      <w:pPr>
        <w:pStyle w:val="2"/>
        <w:spacing w:before="93"/>
        <w:ind w:firstLine="640" w:firstLineChars="200"/>
      </w:pPr>
      <w:r>
        <w:rPr>
          <w:rFonts w:hint="eastAsia"/>
          <w:sz w:val="32"/>
          <w:szCs w:val="32"/>
        </w:rPr>
        <w:t>2</w:t>
      </w:r>
      <w:r>
        <w:rPr>
          <w:sz w:val="32"/>
          <w:szCs w:val="32"/>
        </w:rPr>
        <w:t>4</w:t>
      </w:r>
      <w:r>
        <w:rPr>
          <w:rFonts w:hint="eastAsia"/>
          <w:sz w:val="32"/>
          <w:szCs w:val="32"/>
        </w:rPr>
        <w:t>.城乡社区支出（类）国有土地收益基金安排的支出（款）其他国有土地收益基金支出（项）反映从国有土地收益基金安排用于其他支出。</w:t>
      </w:r>
    </w:p>
    <w:p>
      <w:pPr>
        <w:ind w:firstLine="640" w:firstLineChars="200"/>
        <w:rPr>
          <w:rFonts w:ascii="仿宋_GB2312" w:eastAsia="仿宋_GB2312"/>
          <w:sz w:val="32"/>
          <w:szCs w:val="32"/>
        </w:rPr>
      </w:pPr>
      <w:r>
        <w:rPr>
          <w:rFonts w:ascii="仿宋_GB2312" w:eastAsia="仿宋_GB2312"/>
          <w:sz w:val="32"/>
          <w:szCs w:val="32"/>
        </w:rPr>
        <w:t>25.</w:t>
      </w:r>
      <w:r>
        <w:rPr>
          <w:rFonts w:hint="eastAsia" w:ascii="仿宋_GB2312" w:eastAsia="仿宋_GB2312"/>
          <w:sz w:val="32"/>
          <w:szCs w:val="32"/>
        </w:rPr>
        <w:t>农林水支出（类）巩固脱贫衔接乡村振兴（款）农村基础设施建设（项）：反映用于农村欠发达地区乡村道路、住房、基本农田、水利设施、人畜饮水、生态环境保护等生产生活条件改善方面的支出。</w:t>
      </w:r>
    </w:p>
    <w:p>
      <w:pPr>
        <w:ind w:firstLine="640" w:firstLineChars="200"/>
        <w:rPr>
          <w:rFonts w:ascii="仿宋_GB2312" w:eastAsia="仿宋_GB2312"/>
          <w:sz w:val="32"/>
          <w:szCs w:val="32"/>
        </w:rPr>
      </w:pPr>
      <w:r>
        <w:rPr>
          <w:rFonts w:ascii="仿宋_GB2312" w:eastAsia="仿宋_GB2312"/>
          <w:sz w:val="32"/>
          <w:szCs w:val="32"/>
        </w:rPr>
        <w:t>26.</w:t>
      </w:r>
      <w:r>
        <w:rPr>
          <w:rFonts w:hint="eastAsia" w:ascii="仿宋_GB2312" w:eastAsia="仿宋_GB2312"/>
          <w:sz w:val="32"/>
          <w:szCs w:val="32"/>
        </w:rPr>
        <w:t>交通运输支出（类）公路水路运输（款）行政运行（项）：反映与公路、水路运输相关的行政单（包括实行公务员管理的事业单位）的基本支出。</w:t>
      </w:r>
    </w:p>
    <w:p>
      <w:pPr>
        <w:ind w:firstLine="640" w:firstLineChars="200"/>
        <w:rPr>
          <w:rFonts w:ascii="仿宋_GB2312" w:eastAsia="仿宋_GB2312"/>
          <w:sz w:val="32"/>
          <w:szCs w:val="32"/>
        </w:rPr>
      </w:pPr>
      <w:r>
        <w:rPr>
          <w:rFonts w:ascii="仿宋_GB2312" w:eastAsia="仿宋_GB2312"/>
          <w:sz w:val="32"/>
          <w:szCs w:val="32"/>
        </w:rPr>
        <w:t>27.</w:t>
      </w:r>
      <w:r>
        <w:rPr>
          <w:rFonts w:hint="eastAsia" w:ascii="仿宋_GB2312" w:eastAsia="仿宋_GB2312"/>
          <w:sz w:val="32"/>
          <w:szCs w:val="32"/>
        </w:rPr>
        <w:t>交通运输支出（类）公路水路运输（款）一般行政管理事务（项）：反映行政单位（包括实行公务员管理的事业单位）未单独设置项级科目的其他项目支出。</w:t>
      </w:r>
    </w:p>
    <w:p>
      <w:pPr>
        <w:ind w:firstLine="640" w:firstLineChars="200"/>
        <w:rPr>
          <w:rFonts w:ascii="仿宋_GB2312" w:eastAsia="仿宋_GB2312"/>
          <w:sz w:val="32"/>
          <w:szCs w:val="32"/>
        </w:rPr>
      </w:pPr>
      <w:r>
        <w:rPr>
          <w:rFonts w:ascii="仿宋_GB2312" w:eastAsia="仿宋_GB2312"/>
          <w:sz w:val="32"/>
          <w:szCs w:val="32"/>
        </w:rPr>
        <w:t>28.</w:t>
      </w:r>
      <w:r>
        <w:rPr>
          <w:rFonts w:hint="eastAsia" w:ascii="仿宋_GB2312" w:eastAsia="仿宋_GB2312"/>
          <w:sz w:val="32"/>
          <w:szCs w:val="32"/>
        </w:rPr>
        <w:t>交通运输支出（类）公路水路运输（款）公路建设（项）：反映新建公路支出，公路改建支出，特大型桥梁建设支出，公路客货运站（场）建设支出。</w:t>
      </w:r>
    </w:p>
    <w:p>
      <w:pPr>
        <w:ind w:firstLine="640" w:firstLineChars="200"/>
        <w:rPr>
          <w:rFonts w:ascii="仿宋_GB2312" w:eastAsia="仿宋_GB2312"/>
          <w:sz w:val="32"/>
          <w:szCs w:val="32"/>
        </w:rPr>
      </w:pPr>
      <w:r>
        <w:rPr>
          <w:rFonts w:ascii="仿宋_GB2312" w:eastAsia="仿宋_GB2312"/>
          <w:sz w:val="32"/>
          <w:szCs w:val="32"/>
        </w:rPr>
        <w:t>29.</w:t>
      </w:r>
      <w:r>
        <w:rPr>
          <w:rFonts w:hint="eastAsia" w:ascii="仿宋_GB2312" w:eastAsia="仿宋_GB2312"/>
          <w:sz w:val="32"/>
          <w:szCs w:val="32"/>
        </w:rPr>
        <w:t>交通运输支出（类）公路水路运输（款）公路养护（项）：反映公路养护支出。</w:t>
      </w:r>
    </w:p>
    <w:p>
      <w:pPr>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交通运输支出（类）公路水路运输（款）公路和运输安全（项）：反映公路和运输安全支出。</w:t>
      </w:r>
    </w:p>
    <w:p>
      <w:pPr>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交通运输支出（类）公路水路运输（款）公路运输管理（项）：反映公路运输管理支出和公路路政管理支出。</w:t>
      </w:r>
    </w:p>
    <w:p>
      <w:pPr>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交通运输支出（类）公路水路运输（款）水路运输管理（项）：反映水路运输管理支方面的支出。</w:t>
      </w:r>
    </w:p>
    <w:p>
      <w:pPr>
        <w:ind w:firstLine="640" w:firstLineChars="200"/>
        <w:rPr>
          <w:rFonts w:ascii="仿宋_GB2312" w:eastAsia="仿宋_GB2312"/>
          <w:sz w:val="32"/>
          <w:szCs w:val="32"/>
        </w:rPr>
      </w:pPr>
      <w:r>
        <w:rPr>
          <w:rFonts w:ascii="仿宋_GB2312" w:eastAsia="仿宋_GB2312"/>
          <w:sz w:val="32"/>
          <w:szCs w:val="32"/>
        </w:rPr>
        <w:t>33.</w:t>
      </w:r>
      <w:r>
        <w:rPr>
          <w:rFonts w:hint="eastAsia" w:ascii="仿宋_GB2312" w:eastAsia="仿宋_GB2312"/>
          <w:sz w:val="32"/>
          <w:szCs w:val="32"/>
        </w:rPr>
        <w:t>交通运输支出（类）公路水路运输（款）其他公路水路运输支出（项）：反映除上述项目以外其他用于公路水路运输方面的支出。</w:t>
      </w:r>
    </w:p>
    <w:p>
      <w:pPr>
        <w:ind w:firstLine="640" w:firstLineChars="200"/>
        <w:rPr>
          <w:rFonts w:ascii="仿宋_GB2312" w:eastAsia="仿宋_GB2312"/>
          <w:sz w:val="32"/>
          <w:szCs w:val="32"/>
        </w:rPr>
      </w:pPr>
      <w:r>
        <w:rPr>
          <w:rFonts w:ascii="仿宋_GB2312" w:eastAsia="仿宋_GB2312"/>
          <w:sz w:val="32"/>
          <w:szCs w:val="32"/>
        </w:rPr>
        <w:t>34.</w:t>
      </w:r>
      <w:r>
        <w:rPr>
          <w:rFonts w:hint="eastAsia" w:ascii="仿宋_GB2312" w:eastAsia="仿宋_GB2312"/>
          <w:sz w:val="32"/>
          <w:szCs w:val="32"/>
        </w:rPr>
        <w:t>交通运输支出（类）其他交通运输支出（款）其他交通运输支出（项）：反映其他交通运输支出中除对公共交通运营补助以外的其他支出。</w:t>
      </w:r>
    </w:p>
    <w:p>
      <w:pPr>
        <w:ind w:firstLine="640" w:firstLineChars="200"/>
        <w:rPr>
          <w:rFonts w:ascii="仿宋_GB2312" w:eastAsia="仿宋_GB2312"/>
          <w:sz w:val="32"/>
          <w:szCs w:val="32"/>
        </w:rPr>
      </w:pPr>
      <w:r>
        <w:rPr>
          <w:rFonts w:ascii="仿宋_GB2312" w:eastAsia="仿宋_GB2312"/>
          <w:sz w:val="32"/>
          <w:szCs w:val="32"/>
        </w:rPr>
        <w:t>35.</w:t>
      </w:r>
      <w:r>
        <w:rPr>
          <w:rFonts w:hint="eastAsia" w:ascii="仿宋_GB2312" w:eastAsia="仿宋_GB2312"/>
          <w:sz w:val="32"/>
          <w:szCs w:val="32"/>
        </w:rPr>
        <w:t>交通运输支出（类）成品油价格改革对交通运输的补贴（款）对农村道路客运的补贴（项）：反映成品油价格改革财政对农村道路客运的补贴。</w:t>
      </w:r>
    </w:p>
    <w:p>
      <w:pPr>
        <w:ind w:firstLine="640" w:firstLineChars="200"/>
        <w:rPr>
          <w:rFonts w:ascii="仿宋_GB2312" w:eastAsia="仿宋_GB2312"/>
          <w:sz w:val="32"/>
          <w:szCs w:val="32"/>
        </w:rPr>
      </w:pPr>
      <w:r>
        <w:rPr>
          <w:rFonts w:ascii="仿宋_GB2312" w:eastAsia="仿宋_GB2312"/>
          <w:sz w:val="32"/>
          <w:szCs w:val="32"/>
        </w:rPr>
        <w:t>36.</w:t>
      </w:r>
      <w:r>
        <w:rPr>
          <w:rFonts w:hint="eastAsia" w:ascii="仿宋_GB2312" w:eastAsia="仿宋_GB2312"/>
          <w:sz w:val="32"/>
          <w:szCs w:val="32"/>
        </w:rPr>
        <w:t>交通运输支出（类）成品油价格改革对交通运输的补贴（款）对出租车的补贴（项）：反映成品油价格改革财政对出租车的补贴。</w:t>
      </w:r>
    </w:p>
    <w:p>
      <w:pPr>
        <w:ind w:firstLine="640" w:firstLineChars="200"/>
        <w:rPr>
          <w:rFonts w:ascii="仿宋_GB2312" w:eastAsia="仿宋_GB2312"/>
          <w:sz w:val="32"/>
          <w:szCs w:val="32"/>
        </w:rPr>
      </w:pPr>
      <w:r>
        <w:rPr>
          <w:rFonts w:ascii="仿宋_GB2312" w:eastAsia="仿宋_GB2312"/>
          <w:sz w:val="32"/>
          <w:szCs w:val="32"/>
        </w:rPr>
        <w:t>37.</w:t>
      </w:r>
      <w:r>
        <w:rPr>
          <w:rFonts w:hint="eastAsia" w:ascii="仿宋_GB2312" w:eastAsia="仿宋_GB2312"/>
          <w:sz w:val="32"/>
          <w:szCs w:val="32"/>
        </w:rPr>
        <w:t>交通运输支出（类）成品油价格改革对交通运输的补贴（款）成品油价格改革补贴其他支出（项）：反映成品油价格改革财政补贴对其他方面的支出。</w:t>
      </w:r>
    </w:p>
    <w:p>
      <w:pPr>
        <w:ind w:firstLine="640" w:firstLineChars="200"/>
        <w:rPr>
          <w:rFonts w:ascii="仿宋_GB2312" w:eastAsia="仿宋_GB2312"/>
          <w:sz w:val="32"/>
          <w:szCs w:val="32"/>
        </w:rPr>
      </w:pPr>
      <w:r>
        <w:rPr>
          <w:rFonts w:ascii="仿宋_GB2312" w:eastAsia="仿宋_GB2312"/>
          <w:sz w:val="32"/>
          <w:szCs w:val="32"/>
        </w:rPr>
        <w:t>38.</w:t>
      </w:r>
      <w:r>
        <w:rPr>
          <w:rFonts w:hint="eastAsia" w:ascii="仿宋_GB2312" w:eastAsia="仿宋_GB2312"/>
          <w:sz w:val="32"/>
          <w:szCs w:val="32"/>
        </w:rPr>
        <w:t>交通运输支出（类）车辆购置税支出（款）车辆购置税用于公路等基础设施建设支出（项）：反映车辆购置税收入安排用于公路等基础设施建设的支出。</w:t>
      </w:r>
    </w:p>
    <w:p>
      <w:pPr>
        <w:ind w:firstLine="640" w:firstLineChars="200"/>
        <w:rPr>
          <w:rFonts w:ascii="仿宋_GB2312" w:eastAsia="仿宋_GB2312"/>
          <w:sz w:val="32"/>
          <w:szCs w:val="32"/>
        </w:rPr>
      </w:pPr>
      <w:r>
        <w:rPr>
          <w:rFonts w:ascii="仿宋_GB2312" w:eastAsia="仿宋_GB2312"/>
          <w:sz w:val="32"/>
          <w:szCs w:val="32"/>
        </w:rPr>
        <w:t>39.</w:t>
      </w:r>
      <w:r>
        <w:rPr>
          <w:rFonts w:hint="eastAsia" w:ascii="仿宋_GB2312" w:eastAsia="仿宋_GB2312"/>
          <w:sz w:val="32"/>
          <w:szCs w:val="32"/>
        </w:rPr>
        <w:t>交通运输支出（类）车辆购置税支出（款）车辆购置税用于农村公路建设支出（项）：反映车辆购置税收入安排用于农村公路建设的支出。</w:t>
      </w:r>
    </w:p>
    <w:p>
      <w:pPr>
        <w:ind w:firstLine="640" w:firstLineChars="200"/>
        <w:rPr>
          <w:rFonts w:ascii="仿宋_GB2312" w:eastAsia="仿宋_GB2312"/>
          <w:sz w:val="32"/>
          <w:szCs w:val="32"/>
        </w:rPr>
      </w:pPr>
      <w:r>
        <w:rPr>
          <w:rFonts w:ascii="仿宋_GB2312" w:eastAsia="仿宋_GB2312"/>
          <w:sz w:val="32"/>
          <w:szCs w:val="32"/>
        </w:rPr>
        <w:t>40.</w:t>
      </w:r>
      <w:r>
        <w:rPr>
          <w:rFonts w:hint="eastAsia" w:ascii="仿宋_GB2312" w:eastAsia="仿宋_GB2312"/>
          <w:sz w:val="32"/>
          <w:szCs w:val="32"/>
        </w:rPr>
        <w:t>交通运输支出（类）车辆购置税支出（款）车辆购置税其他支出（项）：反映车辆购置税收入安排用于除上述项目以外的其他支出。</w:t>
      </w:r>
    </w:p>
    <w:p>
      <w:pPr>
        <w:ind w:firstLine="640" w:firstLineChars="200"/>
        <w:rPr>
          <w:rFonts w:ascii="仿宋_GB2312" w:eastAsia="仿宋_GB2312"/>
          <w:sz w:val="32"/>
          <w:szCs w:val="32"/>
        </w:rPr>
      </w:pPr>
      <w:r>
        <w:rPr>
          <w:rFonts w:ascii="仿宋_GB2312" w:eastAsia="仿宋_GB2312"/>
          <w:sz w:val="32"/>
          <w:szCs w:val="32"/>
        </w:rPr>
        <w:t>41.</w:t>
      </w:r>
      <w:r>
        <w:rPr>
          <w:rFonts w:hint="eastAsia" w:ascii="仿宋_GB2312" w:eastAsia="仿宋_GB2312"/>
          <w:sz w:val="32"/>
          <w:szCs w:val="32"/>
        </w:rPr>
        <w:t>住房保障（类）住房改革支出（款）住房公积金（项）:是指反映行政事业单位按人力资源和社会保障部、财政部规定的基本工资和津贴补贴以及规定比例为职工缴纳的住房公积金。</w:t>
      </w:r>
    </w:p>
    <w:p>
      <w:pPr>
        <w:ind w:firstLine="640" w:firstLineChars="200"/>
        <w:rPr>
          <w:rFonts w:ascii="仿宋_GB2312" w:eastAsia="仿宋_GB2312"/>
          <w:sz w:val="32"/>
          <w:szCs w:val="32"/>
        </w:rPr>
      </w:pPr>
      <w:r>
        <w:rPr>
          <w:rFonts w:ascii="仿宋_GB2312" w:eastAsia="仿宋_GB2312"/>
          <w:sz w:val="32"/>
          <w:szCs w:val="32"/>
        </w:rPr>
        <w:t>42.</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sz w:val="32"/>
          <w:szCs w:val="32"/>
        </w:rPr>
        <w:t>43.</w:t>
      </w:r>
      <w:r>
        <w:rPr>
          <w:rFonts w:hint="eastAsia" w:ascii="仿宋_GB2312" w:eastAsia="仿宋_GB2312"/>
          <w:sz w:val="32"/>
          <w:szCs w:val="32"/>
        </w:rPr>
        <w:t>项目支出：指在基本支出之外为完成特定行政任务和事业发展目标所发生的支出。</w:t>
      </w:r>
    </w:p>
    <w:p>
      <w:pPr>
        <w:ind w:firstLine="640" w:firstLineChars="200"/>
        <w:rPr>
          <w:rFonts w:ascii="仿宋_GB2312" w:eastAsia="仿宋_GB2312"/>
          <w:sz w:val="32"/>
          <w:szCs w:val="32"/>
        </w:rPr>
      </w:pPr>
      <w:r>
        <w:rPr>
          <w:rFonts w:ascii="仿宋_GB2312" w:eastAsia="仿宋_GB2312"/>
          <w:sz w:val="32"/>
          <w:szCs w:val="32"/>
        </w:rPr>
        <w:t>44.</w:t>
      </w:r>
      <w:r>
        <w:rPr>
          <w:rFonts w:hint="eastAsia" w:ascii="仿宋_GB2312" w:eastAsia="仿宋_GB2312"/>
          <w:sz w:val="32"/>
          <w:szCs w:val="32"/>
        </w:rPr>
        <w:t>经营支出：指事业单位在专业业务活动及其辅助活动之外开展非独立核算经营活动发生的支出。</w:t>
      </w:r>
    </w:p>
    <w:p>
      <w:pPr>
        <w:ind w:firstLine="640" w:firstLineChars="200"/>
        <w:rPr>
          <w:rFonts w:ascii="仿宋_GB2312" w:eastAsia="仿宋_GB2312"/>
          <w:sz w:val="32"/>
          <w:szCs w:val="32"/>
        </w:rPr>
      </w:pPr>
      <w:r>
        <w:rPr>
          <w:rFonts w:ascii="仿宋_GB2312" w:eastAsia="仿宋_GB2312"/>
          <w:sz w:val="32"/>
          <w:szCs w:val="32"/>
        </w:rPr>
        <w:t>45.</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rPr>
          <w:rFonts w:ascii="仿宋_GB2312" w:eastAsia="仿宋_GB2312"/>
          <w:sz w:val="32"/>
          <w:szCs w:val="32"/>
        </w:rPr>
      </w:pPr>
      <w:r>
        <w:rPr>
          <w:rFonts w:ascii="仿宋_GB2312" w:eastAsia="仿宋_GB2312"/>
          <w:sz w:val="32"/>
          <w:szCs w:val="32"/>
        </w:rPr>
        <w:t>46.</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rPr>
          <w:rFonts w:ascii="仿宋" w:hAnsi="仿宋" w:eastAsia="仿宋"/>
          <w:b/>
          <w:sz w:val="32"/>
          <w:szCs w:val="32"/>
        </w:rPr>
      </w:pPr>
      <w:r>
        <w:rPr>
          <w:rFonts w:hint="eastAsia" w:ascii="仿宋" w:hAnsi="仿宋" w:eastAsia="仿宋"/>
          <w:b/>
          <w:sz w:val="32"/>
          <w:szCs w:val="32"/>
        </w:rPr>
        <w:t>（名词解释部分请根据各部门实际列支情况罗列，并根据本部门职责职能增减名词解释内容。）</w:t>
      </w:r>
    </w:p>
    <w:p>
      <w:pPr>
        <w:pStyle w:val="2"/>
        <w:spacing w:before="93"/>
      </w:pPr>
    </w:p>
    <w:p>
      <w:pPr>
        <w:pStyle w:val="2"/>
        <w:spacing w:before="93"/>
      </w:pPr>
    </w:p>
    <w:p>
      <w:pPr>
        <w:pStyle w:val="2"/>
        <w:spacing w:before="93"/>
      </w:pPr>
    </w:p>
    <w:p>
      <w:pPr>
        <w:pStyle w:val="2"/>
        <w:spacing w:before="93"/>
      </w:pPr>
    </w:p>
    <w:p>
      <w:pPr>
        <w:spacing w:line="600" w:lineRule="exact"/>
        <w:outlineLvl w:val="0"/>
        <w:rPr>
          <w:rStyle w:val="28"/>
          <w:rFonts w:ascii="方正小标宋_GBK" w:hAnsi="方正小标宋_GBK" w:eastAsia="方正小标宋_GBK" w:cs="方正小标宋_GBK"/>
        </w:rPr>
      </w:pPr>
      <w:bookmarkStart w:id="59" w:name="_Toc15377226"/>
    </w:p>
    <w:p>
      <w:pPr>
        <w:spacing w:line="600" w:lineRule="exact"/>
        <w:jc w:val="center"/>
        <w:outlineLvl w:val="0"/>
        <w:rPr>
          <w:rStyle w:val="28"/>
          <w:rFonts w:ascii="方正小标宋_GBK" w:hAnsi="方正小标宋_GBK" w:eastAsia="方正小标宋_GBK" w:cs="方正小标宋_GBK"/>
        </w:rPr>
      </w:pPr>
    </w:p>
    <w:p>
      <w:pPr>
        <w:spacing w:line="600" w:lineRule="exact"/>
        <w:jc w:val="center"/>
        <w:outlineLvl w:val="0"/>
        <w:rPr>
          <w:rStyle w:val="28"/>
          <w:rFonts w:ascii="方正小标宋_GBK" w:hAnsi="方正小标宋_GBK" w:eastAsia="方正小标宋_GBK" w:cs="方正小标宋_GBK"/>
          <w:b w:val="0"/>
          <w:bCs w:val="0"/>
        </w:rPr>
      </w:pPr>
      <w:r>
        <w:rPr>
          <w:rStyle w:val="28"/>
          <w:rFonts w:hint="eastAsia" w:ascii="方正小标宋_GBK" w:hAnsi="方正小标宋_GBK" w:eastAsia="方正小标宋_GBK" w:cs="方正小标宋_GBK"/>
        </w:rPr>
        <w:t>第四部分 附件</w:t>
      </w:r>
    </w:p>
    <w:p>
      <w:pPr>
        <w:pStyle w:val="2"/>
        <w:spacing w:before="93"/>
      </w:pPr>
    </w:p>
    <w:p>
      <w:pPr>
        <w:widowControl/>
        <w:spacing w:line="540" w:lineRule="exact"/>
        <w:rPr>
          <w:rFonts w:ascii="宋体" w:hAnsi="宋体" w:eastAsia="方正小标宋_GBK"/>
          <w:b/>
          <w:sz w:val="32"/>
          <w:szCs w:val="32"/>
          <w:shd w:val="clear" w:color="auto" w:fill="FFFFFF"/>
        </w:rPr>
      </w:pPr>
      <w:r>
        <w:rPr>
          <w:rStyle w:val="28"/>
          <w:rFonts w:hint="eastAsia" w:ascii="方正小标宋_GBK" w:hAnsi="方正小标宋_GBK" w:eastAsia="方正小标宋_GBK" w:cs="方正小标宋_GBK"/>
          <w:sz w:val="32"/>
          <w:szCs w:val="32"/>
        </w:rPr>
        <w:t>附件1</w:t>
      </w:r>
    </w:p>
    <w:p>
      <w:pPr>
        <w:widowControl/>
        <w:spacing w:line="540" w:lineRule="exact"/>
        <w:jc w:val="center"/>
        <w:rPr>
          <w:rFonts w:ascii="宋体" w:hAnsi="宋体"/>
          <w:b/>
          <w:sz w:val="44"/>
          <w:szCs w:val="44"/>
          <w:shd w:val="clear" w:color="auto" w:fill="FFFFFF"/>
        </w:rPr>
      </w:pPr>
    </w:p>
    <w:p>
      <w:pPr>
        <w:widowControl/>
        <w:spacing w:line="540" w:lineRule="exact"/>
        <w:jc w:val="center"/>
        <w:rPr>
          <w:rFonts w:ascii="宋体" w:hAnsi="宋体"/>
          <w:b/>
          <w:sz w:val="44"/>
          <w:szCs w:val="44"/>
          <w:shd w:val="clear" w:color="auto" w:fill="FFFFFF"/>
        </w:rPr>
      </w:pPr>
      <w:r>
        <w:rPr>
          <w:rFonts w:hint="eastAsia" w:ascii="宋体" w:hAnsi="宋体"/>
          <w:b/>
          <w:sz w:val="44"/>
          <w:szCs w:val="44"/>
          <w:shd w:val="clear" w:color="auto" w:fill="FFFFFF"/>
        </w:rPr>
        <w:t>峨眉山市交通运输局（本级）</w:t>
      </w:r>
    </w:p>
    <w:p>
      <w:pPr>
        <w:widowControl/>
        <w:spacing w:line="540" w:lineRule="exact"/>
        <w:jc w:val="center"/>
        <w:rPr>
          <w:rFonts w:ascii="宋体" w:hAnsi="宋体"/>
          <w:b/>
          <w:sz w:val="44"/>
          <w:szCs w:val="44"/>
          <w:shd w:val="clear" w:color="auto" w:fill="FFFFFF"/>
        </w:rPr>
      </w:pPr>
      <w:r>
        <w:rPr>
          <w:rFonts w:ascii="宋体" w:hAnsi="宋体"/>
          <w:b/>
          <w:sz w:val="44"/>
          <w:szCs w:val="44"/>
          <w:shd w:val="clear" w:color="auto" w:fill="FFFFFF"/>
        </w:rPr>
        <w:t>202</w:t>
      </w:r>
      <w:r>
        <w:rPr>
          <w:rFonts w:hint="eastAsia" w:ascii="宋体" w:hAnsi="宋体"/>
          <w:b/>
          <w:sz w:val="44"/>
          <w:szCs w:val="44"/>
          <w:shd w:val="clear" w:color="auto" w:fill="FFFFFF"/>
        </w:rPr>
        <w:t>2年部门整体支出绩效评价报告</w:t>
      </w:r>
    </w:p>
    <w:p>
      <w:pPr>
        <w:widowControl/>
        <w:adjustRightInd w:val="0"/>
        <w:snapToGrid w:val="0"/>
        <w:spacing w:line="540" w:lineRule="exact"/>
        <w:ind w:firstLine="720"/>
        <w:jc w:val="left"/>
        <w:rPr>
          <w:rFonts w:ascii="黑体" w:hAnsi="宋体" w:eastAsia="黑体" w:cs="宋体"/>
          <w:color w:val="000000"/>
          <w:kern w:val="0"/>
          <w:sz w:val="24"/>
          <w:szCs w:val="32"/>
          <w:shd w:val="clear" w:color="auto" w:fill="FFFFFF"/>
        </w:rPr>
      </w:pP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spacing w:line="600" w:lineRule="exact"/>
        <w:ind w:firstLine="640" w:firstLineChars="200"/>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（一）机构组成。</w:t>
      </w:r>
    </w:p>
    <w:p>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2023年峨眉山市交通运输局下属二级预算单位3个，其中参照公务员法管理的事业单位1个（峨眉山市铁路服务中心），其他事业单位2个（峨眉山市交通建设和运输中心、峨眉山市交通工程质量安全中心）。</w:t>
      </w:r>
    </w:p>
    <w:p>
      <w:pPr>
        <w:widowControl/>
        <w:adjustRightInd w:val="0"/>
        <w:snapToGrid w:val="0"/>
        <w:spacing w:line="600" w:lineRule="exact"/>
        <w:ind w:firstLine="640" w:firstLineChars="200"/>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（二）机构职能</w:t>
      </w:r>
      <w:r>
        <w:rPr>
          <w:rFonts w:hint="eastAsia" w:ascii="仿宋_GB2312" w:hAnsi="Calibri" w:eastAsia="仿宋_GB2312" w:cs="仿宋"/>
          <w:kern w:val="0"/>
          <w:sz w:val="32"/>
          <w:szCs w:val="32"/>
        </w:rPr>
        <w:t>和人员概况</w:t>
      </w:r>
      <w:r>
        <w:rPr>
          <w:rFonts w:hint="eastAsia" w:ascii="仿宋_GB2312" w:hAnsi="Calibri" w:eastAsia="仿宋_GB2312" w:cs="仿宋"/>
          <w:kern w:val="0"/>
          <w:sz w:val="32"/>
          <w:szCs w:val="32"/>
          <w:lang w:val="zh-CN"/>
        </w:rPr>
        <w:t>。</w:t>
      </w:r>
    </w:p>
    <w:p>
      <w:pPr>
        <w:snapToGrid w:val="0"/>
        <w:spacing w:line="588" w:lineRule="exact"/>
        <w:ind w:firstLine="640" w:firstLineChars="200"/>
        <w:rPr>
          <w:rFonts w:ascii="仿宋_GB2312" w:hAnsi="仿宋" w:eastAsia="仿宋_GB2312"/>
          <w:sz w:val="32"/>
          <w:szCs w:val="32"/>
        </w:rPr>
      </w:pPr>
      <w:r>
        <w:rPr>
          <w:rFonts w:hint="eastAsia" w:ascii="仿宋_GB2312" w:hAnsi="Calibri" w:eastAsia="仿宋_GB2312" w:cs="仿宋"/>
          <w:kern w:val="0"/>
          <w:sz w:val="32"/>
          <w:szCs w:val="32"/>
        </w:rPr>
        <w:t>贯彻执行国家和省市有关交通运输行业方针、政策和法律、法规、规章，研究拟定全市交通运输行业的规范性文件和政策措施；组织拟定全市运输业和物流业发展规划并组织实施;承担全市交通运输市场监管责任；承担交通公路工程建设及养护管理责任；承担水上交通安全监管职责；监督、指导全市经营性道路运输源头安全、公路工程建设和交通企事业单位内部安全，督促法人安全责任制的落实；负责编制交通行业预决算并监督执行；承担市人民政府交通战备任务等事项。峨眉山市交通运输局局机关设办公室、规划股、运管股、安办、工程股（农建办）等股室。</w:t>
      </w:r>
      <w:r>
        <w:rPr>
          <w:rFonts w:hint="eastAsia" w:ascii="仿宋_GB2312" w:hAnsi="仿宋" w:eastAsia="仿宋_GB2312"/>
          <w:sz w:val="32"/>
          <w:szCs w:val="32"/>
        </w:rPr>
        <w:t>2022年末人员共计238人（其中：在职127人，劳务派遣111人），退休人员269人，遗属人员26人。</w:t>
      </w:r>
    </w:p>
    <w:p>
      <w:pPr>
        <w:widowControl/>
        <w:adjustRightInd w:val="0"/>
        <w:snapToGrid w:val="0"/>
        <w:spacing w:line="600" w:lineRule="exact"/>
        <w:ind w:firstLine="640" w:firstLineChars="200"/>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w:t>
      </w:r>
      <w:r>
        <w:rPr>
          <w:rFonts w:hint="eastAsia" w:ascii="仿宋_GB2312" w:hAnsi="Calibri" w:eastAsia="仿宋_GB2312" w:cs="仿宋"/>
          <w:kern w:val="0"/>
          <w:sz w:val="32"/>
          <w:szCs w:val="32"/>
        </w:rPr>
        <w:t>三</w:t>
      </w:r>
      <w:r>
        <w:rPr>
          <w:rFonts w:hint="eastAsia" w:ascii="仿宋_GB2312" w:hAnsi="Calibri" w:eastAsia="仿宋_GB2312" w:cs="仿宋"/>
          <w:kern w:val="0"/>
          <w:sz w:val="32"/>
          <w:szCs w:val="32"/>
          <w:lang w:val="zh-CN"/>
        </w:rPr>
        <w:t>）</w:t>
      </w:r>
      <w:r>
        <w:rPr>
          <w:rFonts w:hint="eastAsia" w:ascii="仿宋_GB2312" w:hAnsi="Calibri" w:eastAsia="仿宋_GB2312" w:cs="仿宋"/>
          <w:kern w:val="0"/>
          <w:sz w:val="32"/>
          <w:szCs w:val="32"/>
        </w:rPr>
        <w:t>年度工作开展情况</w:t>
      </w:r>
      <w:r>
        <w:rPr>
          <w:rFonts w:hint="eastAsia" w:ascii="仿宋_GB2312" w:hAnsi="Calibri" w:eastAsia="仿宋_GB2312" w:cs="仿宋"/>
          <w:kern w:val="0"/>
          <w:sz w:val="32"/>
          <w:szCs w:val="32"/>
          <w:lang w:val="zh-CN"/>
        </w:rPr>
        <w:t>。</w:t>
      </w:r>
    </w:p>
    <w:p>
      <w:pPr>
        <w:widowControl/>
        <w:adjustRightInd w:val="0"/>
        <w:snapToGrid w:val="0"/>
        <w:spacing w:line="6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1、积极推进重点项目建设</w:t>
      </w:r>
    </w:p>
    <w:p>
      <w:pPr>
        <w:widowControl/>
        <w:adjustRightInd w:val="0"/>
        <w:snapToGrid w:val="0"/>
        <w:spacing w:line="6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ascii="仿宋_GB2312" w:hAnsi="Calibri" w:eastAsia="仿宋_GB2312" w:cs="仿宋"/>
          <w:kern w:val="0"/>
          <w:sz w:val="32"/>
          <w:szCs w:val="32"/>
        </w:rPr>
        <w:t>.铁路建设项目。</w:t>
      </w:r>
      <w:r>
        <w:rPr>
          <w:rFonts w:hint="eastAsia" w:ascii="仿宋_GB2312" w:hAnsi="Calibri" w:eastAsia="仿宋_GB2312" w:cs="仿宋"/>
          <w:kern w:val="0"/>
          <w:sz w:val="32"/>
          <w:szCs w:val="32"/>
        </w:rPr>
        <w:t>成昆复线在我市共分为2期建设，一期为成峨段，二期为峨米段。成峨段已于2018年1月8日通车营运，现正在完善涉及地方道路、水渠、清概结算等收尾工作。峨米段计划今年开通；连乐铁路杆管线产权单位8家均已在实施迁改，部分弱电已完成迁改，主体工程已完工。</w:t>
      </w:r>
    </w:p>
    <w:p>
      <w:pPr>
        <w:widowControl/>
        <w:adjustRightInd w:val="0"/>
        <w:snapToGrid w:val="0"/>
        <w:spacing w:line="6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（2）.高速公路建设项目。</w:t>
      </w:r>
      <w:r>
        <w:rPr>
          <w:rFonts w:ascii="仿宋_GB2312" w:hAnsi="Calibri" w:eastAsia="仿宋_GB2312" w:cs="仿宋"/>
          <w:kern w:val="0"/>
          <w:sz w:val="32"/>
          <w:szCs w:val="32"/>
        </w:rPr>
        <w:t>成乐高速扩容（峨眉段）已完成全线征地拆迁、杆管线搬迁，综合协调保障项目工作，目前项目桥梁工程完成97%，路基工程完成90%，确保实现年底贯通目标</w:t>
      </w:r>
      <w:r>
        <w:rPr>
          <w:rFonts w:hint="eastAsia" w:ascii="仿宋_GB2312" w:hAnsi="Calibri" w:eastAsia="仿宋_GB2312" w:cs="仿宋"/>
          <w:kern w:val="0"/>
          <w:sz w:val="32"/>
          <w:szCs w:val="32"/>
        </w:rPr>
        <w:t>；</w:t>
      </w:r>
      <w:r>
        <w:rPr>
          <w:rFonts w:ascii="仿宋_GB2312" w:hAnsi="Calibri" w:eastAsia="仿宋_GB2312" w:cs="仿宋"/>
          <w:kern w:val="0"/>
          <w:sz w:val="32"/>
          <w:szCs w:val="32"/>
        </w:rPr>
        <w:t>乐西高速（乐山至马边段）已完成征地拆迁、杆管线搬迁，综合协调保障项目工作，目前项目进展顺利，桥梁工程已完成65%，路基工程完成90%</w:t>
      </w:r>
      <w:r>
        <w:rPr>
          <w:rFonts w:hint="eastAsia" w:ascii="仿宋_GB2312" w:hAnsi="Calibri" w:eastAsia="仿宋_GB2312" w:cs="仿宋"/>
          <w:kern w:val="0"/>
          <w:sz w:val="32"/>
          <w:szCs w:val="32"/>
        </w:rPr>
        <w:t>；峨汉高速南山站已基本修建完成，待手续完善后将开通该站。沙溪互通、龙池互通和龙池服务区目前正在建设中。</w:t>
      </w:r>
    </w:p>
    <w:p>
      <w:pPr>
        <w:widowControl/>
        <w:adjustRightInd w:val="0"/>
        <w:snapToGrid w:val="0"/>
        <w:spacing w:line="6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（3）.国省干线建设项目。</w:t>
      </w:r>
      <w:r>
        <w:rPr>
          <w:rFonts w:ascii="仿宋_GB2312" w:hAnsi="Calibri" w:eastAsia="仿宋_GB2312" w:cs="仿宋"/>
          <w:kern w:val="0"/>
          <w:sz w:val="32"/>
          <w:szCs w:val="32"/>
        </w:rPr>
        <w:t>G245线K697+000-K721+996公路路面中修工程，已完成施工招标，计划本月进场施工，年内主体工程完工</w:t>
      </w:r>
      <w:r>
        <w:rPr>
          <w:rFonts w:hint="eastAsia" w:ascii="仿宋_GB2312" w:hAnsi="Calibri" w:eastAsia="仿宋_GB2312" w:cs="仿宋"/>
          <w:kern w:val="0"/>
          <w:sz w:val="32"/>
          <w:szCs w:val="32"/>
        </w:rPr>
        <w:t>；</w:t>
      </w:r>
      <w:r>
        <w:rPr>
          <w:rFonts w:ascii="仿宋_GB2312" w:hAnsi="Calibri" w:eastAsia="仿宋_GB2312" w:cs="仿宋"/>
          <w:kern w:val="0"/>
          <w:sz w:val="32"/>
          <w:szCs w:val="32"/>
        </w:rPr>
        <w:t>G245隆汉高速大为出口至万金路段路面中修工程已进场施工</w:t>
      </w:r>
      <w:r>
        <w:rPr>
          <w:rFonts w:hint="eastAsia" w:ascii="仿宋_GB2312" w:hAnsi="Calibri" w:eastAsia="仿宋_GB2312" w:cs="仿宋"/>
          <w:kern w:val="0"/>
          <w:sz w:val="32"/>
          <w:szCs w:val="32"/>
        </w:rPr>
        <w:t>；</w:t>
      </w:r>
      <w:r>
        <w:rPr>
          <w:rFonts w:ascii="仿宋_GB2312" w:hAnsi="Calibri" w:eastAsia="仿宋_GB2312" w:cs="仿宋"/>
          <w:kern w:val="0"/>
          <w:sz w:val="32"/>
          <w:szCs w:val="32"/>
        </w:rPr>
        <w:t>峨眉山市川桃路交通加旅游（生态修复）工程，已进场施工。项目已基本完成地灾整治项目，其余工程内容由于土地、资金拨付等原因，目前暂无法实施</w:t>
      </w:r>
      <w:r>
        <w:rPr>
          <w:rFonts w:hint="eastAsia" w:ascii="仿宋_GB2312" w:hAnsi="Calibri" w:eastAsia="仿宋_GB2312" w:cs="仿宋"/>
          <w:kern w:val="0"/>
          <w:sz w:val="32"/>
          <w:szCs w:val="32"/>
        </w:rPr>
        <w:t>；</w:t>
      </w:r>
      <w:r>
        <w:rPr>
          <w:rFonts w:ascii="仿宋_GB2312" w:hAnsi="Calibri" w:eastAsia="仿宋_GB2312" w:cs="仿宋"/>
          <w:kern w:val="0"/>
          <w:sz w:val="32"/>
          <w:szCs w:val="32"/>
        </w:rPr>
        <w:t>G245峨眉山市大为镇射箭坪至交界处段大修工程，已完成施工图设计工作，并报省交通厅公路局审批，由于受沙湾龚嘴大桥维修加固工程施工影响，无法断道，我局已向省交通运输厅公路局、乐山市交通运输局申请延期实施</w:t>
      </w:r>
      <w:r>
        <w:rPr>
          <w:rFonts w:hint="eastAsia" w:ascii="仿宋_GB2312" w:hAnsi="Calibri" w:eastAsia="仿宋_GB2312" w:cs="仿宋"/>
          <w:kern w:val="0"/>
          <w:sz w:val="32"/>
          <w:szCs w:val="32"/>
        </w:rPr>
        <w:t>；</w:t>
      </w:r>
      <w:r>
        <w:rPr>
          <w:rFonts w:ascii="仿宋_GB2312" w:hAnsi="Calibri" w:eastAsia="仿宋_GB2312" w:cs="仿宋"/>
          <w:kern w:val="0"/>
          <w:sz w:val="32"/>
          <w:szCs w:val="32"/>
        </w:rPr>
        <w:t>G245峨眉山市大为镇（双河村至射箭坪村）段中修工程，已拟文报市政府开展前期工作。</w:t>
      </w:r>
    </w:p>
    <w:p>
      <w:pPr>
        <w:widowControl/>
        <w:adjustRightInd w:val="0"/>
        <w:snapToGrid w:val="0"/>
        <w:spacing w:line="6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2、建好管好农村公路</w:t>
      </w:r>
    </w:p>
    <w:p>
      <w:pPr>
        <w:widowControl/>
        <w:adjustRightInd w:val="0"/>
        <w:snapToGrid w:val="0"/>
        <w:spacing w:line="6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一是</w:t>
      </w:r>
      <w:r>
        <w:rPr>
          <w:rFonts w:ascii="仿宋_GB2312" w:hAnsi="Calibri" w:eastAsia="仿宋_GB2312" w:cs="仿宋"/>
          <w:kern w:val="0"/>
          <w:sz w:val="32"/>
          <w:szCs w:val="32"/>
        </w:rPr>
        <w:t>加快幸福美丽乡村路建设。推进农村地区主要旅游景区、资源产地、农业示范区、产业园区等主要经济节点的对外连接公路建设。今年整合各级资金，开工建设美丽乡村路98.5公里（其中建成符溪—桂花桥—九里美丽乡村旅游产业道路26.4公里，正在全力推进龙池镇南山村至苦蒿坪村幸福美丽乡村路20公里、大为镇双河村至龙池镇苦蒿坪村（黑垭口）段幸福美丽乡村路35公里、高桥镇至九里镇段幸福美丽乡村路17.1公里）。完成新改建村组道路50余公里，不断提升和改造农村公路路网，为沿线村民出行和产业发展提供强有力保障。</w:t>
      </w:r>
    </w:p>
    <w:p>
      <w:pPr>
        <w:widowControl/>
        <w:adjustRightInd w:val="0"/>
        <w:snapToGrid w:val="0"/>
        <w:spacing w:line="6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二是全力完成农村公路安防建设。今年，</w:t>
      </w:r>
      <w:r>
        <w:rPr>
          <w:rFonts w:ascii="仿宋_GB2312" w:hAnsi="Calibri" w:eastAsia="仿宋_GB2312" w:cs="仿宋"/>
          <w:kern w:val="0"/>
          <w:sz w:val="32"/>
          <w:szCs w:val="32"/>
        </w:rPr>
        <w:t>省下达我市村道交安</w:t>
      </w:r>
      <w:r>
        <w:rPr>
          <w:rFonts w:hint="eastAsia" w:ascii="仿宋_GB2312" w:hAnsi="Calibri" w:eastAsia="仿宋_GB2312" w:cs="仿宋"/>
          <w:kern w:val="0"/>
          <w:sz w:val="32"/>
          <w:szCs w:val="32"/>
        </w:rPr>
        <w:t>任务</w:t>
      </w:r>
      <w:r>
        <w:rPr>
          <w:rFonts w:ascii="仿宋_GB2312" w:hAnsi="Calibri" w:eastAsia="仿宋_GB2312" w:cs="仿宋"/>
          <w:kern w:val="0"/>
          <w:sz w:val="32"/>
          <w:szCs w:val="32"/>
        </w:rPr>
        <w:t>6.694公里，项目已全部进场，截至目前已完成4.23公里，其余项目正抓紧推进，预计11月底前完工。</w:t>
      </w:r>
    </w:p>
    <w:p>
      <w:pPr>
        <w:widowControl/>
        <w:adjustRightInd w:val="0"/>
        <w:snapToGrid w:val="0"/>
        <w:spacing w:line="6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三</w:t>
      </w:r>
      <w:r>
        <w:rPr>
          <w:rFonts w:ascii="仿宋_GB2312" w:hAnsi="Calibri" w:eastAsia="仿宋_GB2312" w:cs="仿宋"/>
          <w:kern w:val="0"/>
          <w:sz w:val="32"/>
          <w:szCs w:val="32"/>
        </w:rPr>
        <w:t>是</w:t>
      </w:r>
      <w:r>
        <w:rPr>
          <w:rFonts w:hint="eastAsia" w:ascii="仿宋_GB2312" w:hAnsi="Calibri" w:eastAsia="仿宋_GB2312" w:cs="仿宋"/>
          <w:kern w:val="0"/>
          <w:sz w:val="32"/>
          <w:szCs w:val="32"/>
        </w:rPr>
        <w:t>建设</w:t>
      </w:r>
      <w:r>
        <w:rPr>
          <w:rFonts w:ascii="仿宋_GB2312" w:hAnsi="Calibri" w:eastAsia="仿宋_GB2312" w:cs="仿宋"/>
          <w:kern w:val="0"/>
          <w:sz w:val="32"/>
          <w:szCs w:val="32"/>
        </w:rPr>
        <w:t>撤并建制村畅通工程。省交通运输厅下达我市撤并建制村畅通工程建设任务9条29.9公里，该任务涉及大为、高桥、龙门、罗目、九里5个镇乡。我局于2022年3月11日下达建设计划，项目总投资1495万元。截</w:t>
      </w:r>
      <w:r>
        <w:rPr>
          <w:rFonts w:hint="eastAsia" w:ascii="仿宋_GB2312" w:hAnsi="Calibri" w:eastAsia="仿宋_GB2312" w:cs="仿宋"/>
          <w:kern w:val="0"/>
          <w:sz w:val="32"/>
          <w:szCs w:val="32"/>
          <w:lang w:eastAsia="zh-CN"/>
        </w:rPr>
        <w:t>至</w:t>
      </w:r>
      <w:r>
        <w:rPr>
          <w:rFonts w:ascii="仿宋_GB2312" w:hAnsi="Calibri" w:eastAsia="仿宋_GB2312" w:cs="仿宋"/>
          <w:kern w:val="0"/>
          <w:sz w:val="32"/>
          <w:szCs w:val="32"/>
        </w:rPr>
        <w:t>目前项目已基本完工。撤并建制村项目建成后将大大改善撤并村村民出行和办事需求。</w:t>
      </w:r>
    </w:p>
    <w:p>
      <w:pPr>
        <w:widowControl/>
        <w:adjustRightInd w:val="0"/>
        <w:snapToGrid w:val="0"/>
        <w:spacing w:line="6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3、扎实开展公路养护管理</w:t>
      </w:r>
    </w:p>
    <w:p>
      <w:pPr>
        <w:widowControl/>
        <w:adjustRightInd w:val="0"/>
        <w:snapToGrid w:val="0"/>
        <w:spacing w:line="6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一是创新工作方式，转变管养模式。</w:t>
      </w:r>
      <w:r>
        <w:rPr>
          <w:rFonts w:ascii="仿宋_GB2312" w:hAnsi="Calibri" w:eastAsia="仿宋_GB2312" w:cs="仿宋"/>
          <w:kern w:val="0"/>
          <w:sz w:val="32"/>
          <w:szCs w:val="32"/>
        </w:rPr>
        <w:t>继续在养护站推行养护责任制，养护站长实行聘任制，与各养护站中标养护服务公司签订养护目标责任书和养护服务合同，采取定里程、定人员、定任务、定经费的管理模式。节假日、双休日各养护站安排人员上岗加强巡查，加大清扫保洁、洒水降尘力度，处置公路突发情况。加强道路及附属设施养护，定期清洗警示桩、波形护栏和标示标牌，剃除标牌遮挡物。</w:t>
      </w:r>
    </w:p>
    <w:p>
      <w:pPr>
        <w:widowControl/>
        <w:adjustRightInd w:val="0"/>
        <w:snapToGrid w:val="0"/>
        <w:spacing w:line="6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二是扎实开展道路扬尘防治工作。</w:t>
      </w:r>
      <w:r>
        <w:rPr>
          <w:rFonts w:ascii="仿宋_GB2312" w:hAnsi="Calibri" w:eastAsia="仿宋_GB2312" w:cs="仿宋"/>
          <w:kern w:val="0"/>
          <w:sz w:val="32"/>
          <w:szCs w:val="32"/>
        </w:rPr>
        <w:t>每天投入路面保洁人员120余人次，清扫路面、路肩共计5000余万平方米，疏通边沟、排水沟共计16万余米，清理桥梁伸缩缝共计3000余米，疏通涵洞共计64道，清洗百米桩、里程碑3800余个，清洗标志标牌5000余块。平均每天投入洒水车、扫地车9台次，投入清运车共计800余台次，清运垃圾1800余吨，清洗波形护栏、警示墩50万余米。拨打举报电话举报公路污染行为50次。</w:t>
      </w:r>
    </w:p>
    <w:p>
      <w:pPr>
        <w:widowControl/>
        <w:adjustRightInd w:val="0"/>
        <w:snapToGrid w:val="0"/>
        <w:spacing w:line="6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三是持续有序推进公路“八清”行动专项行动。</w:t>
      </w:r>
      <w:r>
        <w:rPr>
          <w:rFonts w:ascii="仿宋_GB2312" w:hAnsi="Calibri" w:eastAsia="仿宋_GB2312" w:cs="仿宋"/>
          <w:kern w:val="0"/>
          <w:sz w:val="32"/>
          <w:szCs w:val="32"/>
        </w:rPr>
        <w:t>2022年累计投入人工5500人次、投入机械车辆3000台次，修补路面坑凼11000㎡，路面灌缝50000米；清理边沟水沟16万米；清理桥涵64座，累计清理伸缩缝3000米、清理泄水孔200个、清洗桥梁防撞墙1600㎡；清理挡墙180米，清理边坡48800米，清理护栏400公里；清理服务设施、站所8处；累计清理塌方300立方。及时清运水沟、涵洞淤泥约3000余吨，对公路绿化修剪、施肥、除草6次，补植了国省干线公路树木绿化带。</w:t>
      </w:r>
    </w:p>
    <w:p>
      <w:pPr>
        <w:widowControl/>
        <w:adjustRightInd w:val="0"/>
        <w:snapToGrid w:val="0"/>
        <w:spacing w:line="6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4、大力强化交通运输行业管理</w:t>
      </w:r>
    </w:p>
    <w:p>
      <w:pPr>
        <w:widowControl/>
        <w:adjustRightInd w:val="0"/>
        <w:snapToGrid w:val="0"/>
        <w:spacing w:line="6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交通运输系统各单位主动作为，加强行业监管。制定了峨眉山市巡游出租车客运秩序专项行动方案，全年检查出租车辆7469台次、公交车147台次，抄送综合行政执法局违规出租车20辆，抄送综合行政执法局违规出租车20辆，受理出租汽车、客运车辆投诉155起，处理率为100%；开展水上交通安</w:t>
      </w:r>
      <w:r>
        <w:rPr>
          <w:rFonts w:ascii="仿宋_GB2312" w:hAnsi="Calibri" w:eastAsia="仿宋_GB2312" w:cs="仿宋"/>
          <w:kern w:val="0"/>
          <w:sz w:val="32"/>
          <w:szCs w:val="32"/>
        </w:rPr>
        <w:t>全检查</w:t>
      </w:r>
      <w:r>
        <w:rPr>
          <w:rFonts w:hint="eastAsia" w:ascii="仿宋_GB2312" w:hAnsi="Calibri" w:eastAsia="仿宋_GB2312" w:cs="仿宋"/>
          <w:kern w:val="0"/>
          <w:sz w:val="32"/>
          <w:szCs w:val="32"/>
        </w:rPr>
        <w:t>30次，</w:t>
      </w:r>
      <w:r>
        <w:rPr>
          <w:rFonts w:ascii="仿宋_GB2312" w:hAnsi="Calibri" w:eastAsia="仿宋_GB2312" w:cs="仿宋"/>
          <w:kern w:val="0"/>
          <w:sz w:val="32"/>
          <w:szCs w:val="32"/>
        </w:rPr>
        <w:t>发现问题20个，发出风险提示函1次</w:t>
      </w:r>
      <w:r>
        <w:rPr>
          <w:rFonts w:hint="eastAsia" w:ascii="仿宋_GB2312" w:hAnsi="Calibri" w:eastAsia="仿宋_GB2312" w:cs="仿宋"/>
          <w:kern w:val="0"/>
          <w:sz w:val="32"/>
          <w:szCs w:val="32"/>
        </w:rPr>
        <w:t>；</w:t>
      </w:r>
      <w:r>
        <w:rPr>
          <w:rFonts w:ascii="仿宋_GB2312" w:hAnsi="Calibri" w:eastAsia="仿宋_GB2312" w:cs="仿宋"/>
          <w:kern w:val="0"/>
          <w:sz w:val="32"/>
          <w:szCs w:val="32"/>
        </w:rPr>
        <w:t>制定了峨眉山市道路货运专项整治工作方案</w:t>
      </w:r>
      <w:r>
        <w:rPr>
          <w:rFonts w:hint="eastAsia" w:ascii="仿宋_GB2312" w:hAnsi="Calibri" w:eastAsia="仿宋_GB2312" w:cs="仿宋"/>
          <w:kern w:val="0"/>
          <w:sz w:val="32"/>
          <w:szCs w:val="32"/>
        </w:rPr>
        <w:t>，</w:t>
      </w:r>
      <w:r>
        <w:rPr>
          <w:rFonts w:ascii="仿宋_GB2312" w:hAnsi="Calibri" w:eastAsia="仿宋_GB2312" w:cs="仿宋"/>
          <w:kern w:val="0"/>
          <w:sz w:val="32"/>
          <w:szCs w:val="32"/>
        </w:rPr>
        <w:t>严把道路运输经营许可证到期年审关，严格落实</w:t>
      </w:r>
      <w:r>
        <w:rPr>
          <w:rFonts w:hint="eastAsia" w:ascii="仿宋_GB2312" w:hAnsi="Calibri" w:eastAsia="仿宋_GB2312" w:cs="仿宋"/>
          <w:kern w:val="0"/>
          <w:sz w:val="32"/>
          <w:szCs w:val="32"/>
        </w:rPr>
        <w:t>“</w:t>
      </w:r>
      <w:r>
        <w:rPr>
          <w:rFonts w:ascii="仿宋_GB2312" w:hAnsi="Calibri" w:eastAsia="仿宋_GB2312" w:cs="仿宋"/>
          <w:kern w:val="0"/>
          <w:sz w:val="32"/>
          <w:szCs w:val="32"/>
        </w:rPr>
        <w:t>一超四罚</w:t>
      </w:r>
      <w:r>
        <w:rPr>
          <w:rFonts w:hint="eastAsia" w:ascii="仿宋_GB2312" w:hAnsi="Calibri" w:eastAsia="仿宋_GB2312" w:cs="仿宋"/>
          <w:kern w:val="0"/>
          <w:sz w:val="32"/>
          <w:szCs w:val="32"/>
        </w:rPr>
        <w:t>”</w:t>
      </w:r>
      <w:r>
        <w:rPr>
          <w:rFonts w:ascii="仿宋_GB2312" w:hAnsi="Calibri" w:eastAsia="仿宋_GB2312" w:cs="仿宋"/>
          <w:kern w:val="0"/>
          <w:sz w:val="32"/>
          <w:szCs w:val="32"/>
        </w:rPr>
        <w:t>制度。收到交警部门、行政执法部门违法超载超限抄告函75件，对涉及的42家违规超载超限货运企业开展了警示约谈，对45名驾驶员依据《四川省道路营运驾驶员记分管理办法》对</w:t>
      </w:r>
      <w:bookmarkStart w:id="74" w:name="_GoBack"/>
      <w:bookmarkEnd w:id="74"/>
      <w:r>
        <w:rPr>
          <w:rFonts w:ascii="仿宋_GB2312" w:hAnsi="Calibri" w:eastAsia="仿宋_GB2312" w:cs="仿宋"/>
          <w:kern w:val="0"/>
          <w:sz w:val="32"/>
          <w:szCs w:val="32"/>
        </w:rPr>
        <w:t>从业资格证记分，抄送综合行政执法部门案件25件，审核经营许可到期货运企业31家</w:t>
      </w:r>
      <w:r>
        <w:rPr>
          <w:rFonts w:hint="eastAsia" w:ascii="仿宋_GB2312" w:hAnsi="Calibri" w:eastAsia="仿宋_GB2312" w:cs="仿宋"/>
          <w:kern w:val="0"/>
          <w:sz w:val="32"/>
          <w:szCs w:val="32"/>
        </w:rPr>
        <w:t>；</w:t>
      </w:r>
      <w:r>
        <w:rPr>
          <w:rFonts w:ascii="仿宋_GB2312" w:hAnsi="Calibri" w:eastAsia="仿宋_GB2312" w:cs="仿宋"/>
          <w:kern w:val="0"/>
          <w:sz w:val="32"/>
          <w:szCs w:val="32"/>
        </w:rPr>
        <w:t>深入开展机动车维修市场专项整治</w:t>
      </w:r>
      <w:r>
        <w:rPr>
          <w:rFonts w:hint="eastAsia" w:ascii="仿宋_GB2312" w:hAnsi="Calibri" w:eastAsia="仿宋_GB2312" w:cs="仿宋"/>
          <w:kern w:val="0"/>
          <w:sz w:val="32"/>
          <w:szCs w:val="32"/>
        </w:rPr>
        <w:t>，</w:t>
      </w:r>
      <w:r>
        <w:rPr>
          <w:rFonts w:ascii="仿宋_GB2312" w:hAnsi="Calibri" w:eastAsia="仿宋_GB2312" w:cs="仿宋"/>
          <w:kern w:val="0"/>
          <w:sz w:val="32"/>
          <w:szCs w:val="32"/>
        </w:rPr>
        <w:t>审验营运车辆8344辆，备案维修企业51家，整改危废处置不达标准维修企业9家。</w:t>
      </w:r>
    </w:p>
    <w:p>
      <w:pPr>
        <w:widowControl/>
        <w:adjustRightInd w:val="0"/>
        <w:snapToGrid w:val="0"/>
        <w:spacing w:line="6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5、抓好疫情防控工作</w:t>
      </w:r>
    </w:p>
    <w:p>
      <w:pPr>
        <w:widowControl/>
        <w:adjustRightInd w:val="0"/>
        <w:snapToGrid w:val="0"/>
        <w:spacing w:line="6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一是</w:t>
      </w:r>
      <w:r>
        <w:rPr>
          <w:rFonts w:ascii="仿宋_GB2312" w:hAnsi="Calibri" w:eastAsia="仿宋_GB2312" w:cs="仿宋"/>
          <w:kern w:val="0"/>
          <w:sz w:val="32"/>
          <w:szCs w:val="32"/>
        </w:rPr>
        <w:t>制定了《关于印发&lt;峨眉山市交通运输局常态化疫情防控工作方案&gt;的通知》《疫情防控应急演练工作预案》《峨眉山市应对新型冠状病毒肺炎疫情静态管控交通运输工作方案》等疫情防控工作预案，每月采用机动方式组织交通运输企业召开疫情防控会。</w:t>
      </w:r>
    </w:p>
    <w:p>
      <w:pPr>
        <w:widowControl/>
        <w:adjustRightInd w:val="0"/>
        <w:snapToGrid w:val="0"/>
        <w:spacing w:line="6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二是</w:t>
      </w:r>
      <w:r>
        <w:rPr>
          <w:rFonts w:ascii="仿宋_GB2312" w:hAnsi="Calibri" w:eastAsia="仿宋_GB2312" w:cs="仿宋"/>
          <w:kern w:val="0"/>
          <w:sz w:val="32"/>
          <w:szCs w:val="32"/>
        </w:rPr>
        <w:t>加强交通场站和公共交通工具的防疫措施。要求交通场站严格落实</w:t>
      </w:r>
      <w:r>
        <w:rPr>
          <w:rFonts w:hint="eastAsia" w:ascii="仿宋_GB2312" w:hAnsi="Calibri" w:eastAsia="仿宋_GB2312" w:cs="仿宋"/>
          <w:kern w:val="0"/>
          <w:sz w:val="32"/>
          <w:szCs w:val="32"/>
        </w:rPr>
        <w:t>“</w:t>
      </w:r>
      <w:r>
        <w:rPr>
          <w:rFonts w:ascii="仿宋_GB2312" w:hAnsi="Calibri" w:eastAsia="仿宋_GB2312" w:cs="仿宋"/>
          <w:kern w:val="0"/>
          <w:sz w:val="32"/>
          <w:szCs w:val="32"/>
        </w:rPr>
        <w:t>四个100%</w:t>
      </w:r>
      <w:r>
        <w:rPr>
          <w:rFonts w:hint="eastAsia" w:ascii="仿宋_GB2312" w:hAnsi="Calibri" w:eastAsia="仿宋_GB2312" w:cs="仿宋"/>
          <w:kern w:val="0"/>
          <w:sz w:val="32"/>
          <w:szCs w:val="32"/>
        </w:rPr>
        <w:t>”</w:t>
      </w:r>
      <w:r>
        <w:rPr>
          <w:rFonts w:ascii="仿宋_GB2312" w:hAnsi="Calibri" w:eastAsia="仿宋_GB2312" w:cs="仿宋"/>
          <w:kern w:val="0"/>
          <w:sz w:val="32"/>
          <w:szCs w:val="32"/>
        </w:rPr>
        <w:t>（体温检测、通风消毒、口罩防护、扫码验码）措施，每天进行场站消杀；全面落实</w:t>
      </w:r>
      <w:r>
        <w:rPr>
          <w:rFonts w:hint="eastAsia" w:ascii="仿宋_GB2312" w:hAnsi="Calibri" w:eastAsia="仿宋_GB2312" w:cs="仿宋"/>
          <w:kern w:val="0"/>
          <w:sz w:val="32"/>
          <w:szCs w:val="32"/>
        </w:rPr>
        <w:t>“</w:t>
      </w:r>
      <w:r>
        <w:rPr>
          <w:rFonts w:ascii="仿宋_GB2312" w:hAnsi="Calibri" w:eastAsia="仿宋_GB2312" w:cs="仿宋"/>
          <w:kern w:val="0"/>
          <w:sz w:val="32"/>
          <w:szCs w:val="32"/>
        </w:rPr>
        <w:t>天府健康通</w:t>
      </w:r>
      <w:r>
        <w:rPr>
          <w:rFonts w:hint="eastAsia" w:ascii="仿宋_GB2312" w:hAnsi="Calibri" w:eastAsia="仿宋_GB2312" w:cs="仿宋"/>
          <w:kern w:val="0"/>
          <w:sz w:val="32"/>
          <w:szCs w:val="32"/>
        </w:rPr>
        <w:t>”</w:t>
      </w:r>
      <w:r>
        <w:rPr>
          <w:rFonts w:ascii="仿宋_GB2312" w:hAnsi="Calibri" w:eastAsia="仿宋_GB2312" w:cs="仿宋"/>
          <w:kern w:val="0"/>
          <w:sz w:val="32"/>
          <w:szCs w:val="32"/>
        </w:rPr>
        <w:t>健康码和</w:t>
      </w:r>
      <w:r>
        <w:rPr>
          <w:rFonts w:hint="eastAsia" w:ascii="仿宋_GB2312" w:hAnsi="Calibri" w:eastAsia="仿宋_GB2312" w:cs="仿宋"/>
          <w:kern w:val="0"/>
          <w:sz w:val="32"/>
          <w:szCs w:val="32"/>
        </w:rPr>
        <w:t>“</w:t>
      </w:r>
      <w:r>
        <w:rPr>
          <w:rFonts w:ascii="仿宋_GB2312" w:hAnsi="Calibri" w:eastAsia="仿宋_GB2312" w:cs="仿宋"/>
          <w:kern w:val="0"/>
          <w:sz w:val="32"/>
          <w:szCs w:val="32"/>
        </w:rPr>
        <w:t>双码</w:t>
      </w:r>
      <w:r>
        <w:rPr>
          <w:rFonts w:hint="eastAsia" w:ascii="仿宋_GB2312" w:hAnsi="Calibri" w:eastAsia="仿宋_GB2312" w:cs="仿宋"/>
          <w:kern w:val="0"/>
          <w:sz w:val="32"/>
          <w:szCs w:val="32"/>
        </w:rPr>
        <w:t>”</w:t>
      </w:r>
      <w:r>
        <w:rPr>
          <w:rFonts w:ascii="仿宋_GB2312" w:hAnsi="Calibri" w:eastAsia="仿宋_GB2312" w:cs="仿宋"/>
          <w:kern w:val="0"/>
          <w:sz w:val="32"/>
          <w:szCs w:val="32"/>
        </w:rPr>
        <w:t>联查，截至目前，</w:t>
      </w:r>
      <w:r>
        <w:rPr>
          <w:rFonts w:hint="eastAsia" w:ascii="仿宋_GB2312" w:hAnsi="Calibri" w:eastAsia="仿宋_GB2312" w:cs="仿宋"/>
          <w:kern w:val="0"/>
          <w:sz w:val="32"/>
          <w:szCs w:val="32"/>
        </w:rPr>
        <w:t>“</w:t>
      </w:r>
      <w:r>
        <w:rPr>
          <w:rFonts w:ascii="仿宋_GB2312" w:hAnsi="Calibri" w:eastAsia="仿宋_GB2312" w:cs="仿宋"/>
          <w:kern w:val="0"/>
          <w:sz w:val="32"/>
          <w:szCs w:val="32"/>
        </w:rPr>
        <w:t>双码</w:t>
      </w:r>
      <w:r>
        <w:rPr>
          <w:rFonts w:hint="eastAsia" w:ascii="仿宋_GB2312" w:hAnsi="Calibri" w:eastAsia="仿宋_GB2312" w:cs="仿宋"/>
          <w:kern w:val="0"/>
          <w:sz w:val="32"/>
          <w:szCs w:val="32"/>
        </w:rPr>
        <w:t>”</w:t>
      </w:r>
      <w:r>
        <w:rPr>
          <w:rFonts w:ascii="仿宋_GB2312" w:hAnsi="Calibri" w:eastAsia="仿宋_GB2312" w:cs="仿宋"/>
          <w:kern w:val="0"/>
          <w:sz w:val="32"/>
          <w:szCs w:val="32"/>
        </w:rPr>
        <w:t>联查50万人次；坚持每天对司机测温及运营车辆定时消毒，确保车辆卫生安全、车内整洁，今年以来，每天消杀车辆四百余台，每周组织从业人员进行核酸检测，截至目前核酸</w:t>
      </w:r>
      <w:r>
        <w:rPr>
          <w:rFonts w:hint="eastAsia" w:ascii="仿宋_GB2312" w:hAnsi="Calibri" w:eastAsia="仿宋_GB2312" w:cs="仿宋"/>
          <w:kern w:val="0"/>
          <w:sz w:val="32"/>
          <w:szCs w:val="32"/>
          <w:lang w:eastAsia="zh-CN"/>
        </w:rPr>
        <w:t>检测</w:t>
      </w:r>
      <w:r>
        <w:rPr>
          <w:rFonts w:ascii="仿宋_GB2312" w:hAnsi="Calibri" w:eastAsia="仿宋_GB2312" w:cs="仿宋"/>
          <w:kern w:val="0"/>
          <w:sz w:val="32"/>
          <w:szCs w:val="32"/>
        </w:rPr>
        <w:t>40901余人。</w:t>
      </w:r>
    </w:p>
    <w:p>
      <w:pPr>
        <w:widowControl/>
        <w:adjustRightInd w:val="0"/>
        <w:snapToGrid w:val="0"/>
        <w:spacing w:line="6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三是</w:t>
      </w:r>
      <w:r>
        <w:rPr>
          <w:rFonts w:ascii="仿宋_GB2312" w:hAnsi="Calibri" w:eastAsia="仿宋_GB2312" w:cs="仿宋"/>
          <w:kern w:val="0"/>
          <w:sz w:val="32"/>
          <w:szCs w:val="32"/>
        </w:rPr>
        <w:t>做好了</w:t>
      </w:r>
      <w:r>
        <w:rPr>
          <w:rFonts w:hint="eastAsia" w:ascii="仿宋_GB2312" w:hAnsi="Calibri" w:eastAsia="仿宋_GB2312" w:cs="仿宋"/>
          <w:kern w:val="0"/>
          <w:sz w:val="32"/>
          <w:szCs w:val="32"/>
        </w:rPr>
        <w:t>“</w:t>
      </w:r>
      <w:r>
        <w:rPr>
          <w:rFonts w:ascii="仿宋_GB2312" w:hAnsi="Calibri" w:eastAsia="仿宋_GB2312" w:cs="仿宋"/>
          <w:kern w:val="0"/>
          <w:sz w:val="32"/>
          <w:szCs w:val="32"/>
        </w:rPr>
        <w:t>入川即检</w:t>
      </w:r>
      <w:r>
        <w:rPr>
          <w:rFonts w:hint="eastAsia" w:ascii="仿宋_GB2312" w:hAnsi="Calibri" w:eastAsia="仿宋_GB2312" w:cs="仿宋"/>
          <w:kern w:val="0"/>
          <w:sz w:val="32"/>
          <w:szCs w:val="32"/>
        </w:rPr>
        <w:t>”</w:t>
      </w:r>
      <w:r>
        <w:rPr>
          <w:rFonts w:ascii="仿宋_GB2312" w:hAnsi="Calibri" w:eastAsia="仿宋_GB2312" w:cs="仿宋"/>
          <w:kern w:val="0"/>
          <w:sz w:val="32"/>
          <w:szCs w:val="32"/>
        </w:rPr>
        <w:t>工作。根据</w:t>
      </w:r>
      <w:r>
        <w:rPr>
          <w:rFonts w:hint="eastAsia" w:ascii="仿宋_GB2312" w:hAnsi="Calibri" w:eastAsia="仿宋_GB2312" w:cs="仿宋"/>
          <w:kern w:val="0"/>
          <w:sz w:val="32"/>
          <w:szCs w:val="32"/>
        </w:rPr>
        <w:t>“</w:t>
      </w:r>
      <w:r>
        <w:rPr>
          <w:rFonts w:ascii="仿宋_GB2312" w:hAnsi="Calibri" w:eastAsia="仿宋_GB2312" w:cs="仿宋"/>
          <w:kern w:val="0"/>
          <w:sz w:val="32"/>
          <w:szCs w:val="32"/>
        </w:rPr>
        <w:t>入川即检</w:t>
      </w:r>
      <w:r>
        <w:rPr>
          <w:rFonts w:hint="eastAsia" w:ascii="仿宋_GB2312" w:hAnsi="Calibri" w:eastAsia="仿宋_GB2312" w:cs="仿宋"/>
          <w:kern w:val="0"/>
          <w:sz w:val="32"/>
          <w:szCs w:val="32"/>
        </w:rPr>
        <w:t>”</w:t>
      </w:r>
      <w:r>
        <w:rPr>
          <w:rFonts w:ascii="仿宋_GB2312" w:hAnsi="Calibri" w:eastAsia="仿宋_GB2312" w:cs="仿宋"/>
          <w:kern w:val="0"/>
          <w:sz w:val="32"/>
          <w:szCs w:val="32"/>
        </w:rPr>
        <w:t>工作安排，我市从4月18日开始，由我局牵头在彭桥高速出口、符溪高速出口、大为高速出口、峨眉火车站、高铁峨眉山站设置了5个防疫便民服务点，对所有来（返）川人员和车辆进行</w:t>
      </w:r>
      <w:r>
        <w:rPr>
          <w:rFonts w:hint="eastAsia" w:ascii="仿宋_GB2312" w:hAnsi="Calibri" w:eastAsia="仿宋_GB2312" w:cs="仿宋"/>
          <w:kern w:val="0"/>
          <w:sz w:val="32"/>
          <w:szCs w:val="32"/>
        </w:rPr>
        <w:t>“</w:t>
      </w:r>
      <w:r>
        <w:rPr>
          <w:rFonts w:ascii="仿宋_GB2312" w:hAnsi="Calibri" w:eastAsia="仿宋_GB2312" w:cs="仿宋"/>
          <w:kern w:val="0"/>
          <w:sz w:val="32"/>
          <w:szCs w:val="32"/>
        </w:rPr>
        <w:t>入川即检</w:t>
      </w:r>
      <w:r>
        <w:rPr>
          <w:rFonts w:hint="eastAsia" w:ascii="仿宋_GB2312" w:hAnsi="Calibri" w:eastAsia="仿宋_GB2312" w:cs="仿宋"/>
          <w:kern w:val="0"/>
          <w:sz w:val="32"/>
          <w:szCs w:val="32"/>
        </w:rPr>
        <w:t>”</w:t>
      </w:r>
      <w:r>
        <w:rPr>
          <w:rFonts w:ascii="仿宋_GB2312" w:hAnsi="Calibri" w:eastAsia="仿宋_GB2312" w:cs="仿宋"/>
          <w:kern w:val="0"/>
          <w:sz w:val="32"/>
          <w:szCs w:val="32"/>
        </w:rPr>
        <w:t>检查。截至11月13日，彭桥高速出口、符溪高速出口、大为高速出口防疫便民服务点共排查外省车辆64075台次，人员138732人次，人员主要来自重庆、贵州、云南等地，其中高风险地区1408人，中风险地区1329人。峨眉山火车站、高铁峨眉山站来（返）峨人员544982人次，省外人员24628人次，人员主要来自重庆、广东、西安等地，其中高风险地区96人，中风险地区552人。</w:t>
      </w:r>
    </w:p>
    <w:p>
      <w:pPr>
        <w:widowControl/>
        <w:adjustRightInd w:val="0"/>
        <w:snapToGrid w:val="0"/>
        <w:spacing w:line="6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四是按照上级要求，做好了接收重点地区滞留人员工作。2022年11月5日至11月14日，共接返西藏、新疆人员128人（西藏接返74人，新疆接返54人）。</w:t>
      </w:r>
    </w:p>
    <w:p>
      <w:pPr>
        <w:widowControl/>
        <w:adjustRightInd w:val="0"/>
        <w:snapToGrid w:val="0"/>
        <w:spacing w:line="6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6、抓好安全生产工作</w:t>
      </w:r>
    </w:p>
    <w:p>
      <w:pPr>
        <w:widowControl/>
        <w:adjustRightInd w:val="0"/>
        <w:snapToGrid w:val="0"/>
        <w:spacing w:line="6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一是加强源头监管力度。</w:t>
      </w:r>
      <w:r>
        <w:rPr>
          <w:rFonts w:ascii="仿宋_GB2312" w:hAnsi="Calibri" w:eastAsia="仿宋_GB2312" w:cs="仿宋"/>
          <w:kern w:val="0"/>
          <w:sz w:val="32"/>
          <w:szCs w:val="32"/>
        </w:rPr>
        <w:t>进一步加大了各运输企业、客运站、驾校维修企业安全检查，检查采取明查和暗访，对存在问题的企业责令立即进行整改。联合市相关部门印发了《峨眉山市道路客货运车辆专项整治实施方案》《峨眉山市交通运输系统贯彻落实国务院安委会安全生产15条措施工作方案》《2022年全市交通运输行业安全生产大检查工作方案》等文件，开展联合执法检查出租车辆7469台次、公交车147台次，企业143家次，排查安全隐患58项，警示约谈违规超载超限货运企业42家，依据《四川省道路营运驾驶员记分管理办法》对45名驾驶员从业资格证记分，抄送综合行政执法部门案件25件。</w:t>
      </w:r>
    </w:p>
    <w:p>
      <w:pPr>
        <w:widowControl/>
        <w:adjustRightInd w:val="0"/>
        <w:snapToGrid w:val="0"/>
        <w:spacing w:line="6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二是加强道路隐患排查整治。</w:t>
      </w:r>
      <w:r>
        <w:rPr>
          <w:rFonts w:ascii="仿宋_GB2312" w:hAnsi="Calibri" w:eastAsia="仿宋_GB2312" w:cs="仿宋"/>
          <w:kern w:val="0"/>
          <w:sz w:val="32"/>
          <w:szCs w:val="32"/>
        </w:rPr>
        <w:t>结合市森林防灭火通道保通保畅工作，认真开展道路、桥梁安全隐患排查整治，组织2000余人次定期对国省干线和县乡农村公路的桥梁、道路使用状况，交安设施、地质灾害隐患等进行排查300余次，累计排查道路一般隐患18处，消除整改隐患18处，修补路面坑凼5000㎡，路面裂缝灌缝90000余米，维修恢复波形护栏3000余米，安装更新标志标牌120套，补划道路标线3800平方米。</w:t>
      </w:r>
    </w:p>
    <w:p>
      <w:pPr>
        <w:widowControl/>
        <w:adjustRightInd w:val="0"/>
        <w:snapToGrid w:val="0"/>
        <w:spacing w:line="6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三是做好应急管理工作。</w:t>
      </w:r>
      <w:r>
        <w:rPr>
          <w:rFonts w:ascii="仿宋_GB2312" w:hAnsi="Calibri" w:eastAsia="仿宋_GB2312" w:cs="仿宋"/>
          <w:kern w:val="0"/>
          <w:sz w:val="32"/>
          <w:szCs w:val="32"/>
        </w:rPr>
        <w:t>组织系统各单位开展消防应急演练和汛期应急演练11次，参加了市组织的地质灾害和消防应急演练。准备了10辆客车、5辆货车作为应急保障车辆和2家应急保障维修企业随时待命。在G245线、九沙路设置冰雪观测点4个，融雪盐存储点4个，储备融雪盐10吨，安排应急人员30人，做好了冬季冰雪天气道路安全保障工作。</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snapToGrid w:val="0"/>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（一）部门总体收支情况。</w:t>
      </w:r>
    </w:p>
    <w:p>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1.部门总体收入情况</w:t>
      </w:r>
    </w:p>
    <w:p>
      <w:pPr>
        <w:spacing w:line="600" w:lineRule="exact"/>
        <w:ind w:firstLine="640" w:firstLineChars="200"/>
        <w:rPr>
          <w:rFonts w:ascii="仿宋_GB2312" w:hAnsi="Calibri" w:eastAsia="仿宋_GB2312" w:cs="仿宋"/>
          <w:kern w:val="0"/>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ascii="仿宋" w:hAnsi="仿宋" w:eastAsia="仿宋"/>
          <w:sz w:val="32"/>
          <w:szCs w:val="32"/>
        </w:rPr>
        <w:t>17434.21</w:t>
      </w:r>
      <w:r>
        <w:rPr>
          <w:rFonts w:hint="eastAsia" w:ascii="仿宋" w:hAnsi="仿宋" w:eastAsia="仿宋"/>
          <w:sz w:val="32"/>
          <w:szCs w:val="32"/>
        </w:rPr>
        <w:t>万元，其中：一般公共预算财政拨款收入</w:t>
      </w:r>
      <w:r>
        <w:rPr>
          <w:rFonts w:ascii="仿宋" w:hAnsi="仿宋" w:eastAsia="仿宋"/>
          <w:sz w:val="32"/>
          <w:szCs w:val="32"/>
        </w:rPr>
        <w:t>10092.79</w:t>
      </w:r>
      <w:r>
        <w:rPr>
          <w:rFonts w:hint="eastAsia" w:ascii="仿宋" w:hAnsi="仿宋" w:eastAsia="仿宋"/>
          <w:sz w:val="32"/>
          <w:szCs w:val="32"/>
        </w:rPr>
        <w:t>万元，占</w:t>
      </w:r>
      <w:r>
        <w:rPr>
          <w:rFonts w:ascii="仿宋" w:hAnsi="仿宋" w:eastAsia="仿宋"/>
          <w:sz w:val="32"/>
          <w:szCs w:val="32"/>
        </w:rPr>
        <w:t>57.89%</w:t>
      </w:r>
      <w:r>
        <w:rPr>
          <w:rFonts w:hint="eastAsia" w:ascii="仿宋" w:hAnsi="仿宋" w:eastAsia="仿宋"/>
          <w:sz w:val="32"/>
          <w:szCs w:val="32"/>
        </w:rPr>
        <w:t>；政府性基金预算财政拨款收入</w:t>
      </w:r>
      <w:r>
        <w:rPr>
          <w:rFonts w:ascii="仿宋" w:hAnsi="仿宋" w:eastAsia="仿宋"/>
          <w:sz w:val="32"/>
          <w:szCs w:val="32"/>
        </w:rPr>
        <w:t>7341.42</w:t>
      </w:r>
      <w:r>
        <w:rPr>
          <w:rFonts w:hint="eastAsia" w:ascii="仿宋" w:hAnsi="仿宋" w:eastAsia="仿宋"/>
          <w:sz w:val="32"/>
          <w:szCs w:val="32"/>
        </w:rPr>
        <w:t>万元，占</w:t>
      </w:r>
      <w:r>
        <w:rPr>
          <w:rFonts w:ascii="仿宋" w:hAnsi="仿宋" w:eastAsia="仿宋"/>
          <w:sz w:val="32"/>
          <w:szCs w:val="32"/>
        </w:rPr>
        <w:t>42.11%</w:t>
      </w:r>
      <w:r>
        <w:rPr>
          <w:rFonts w:hint="eastAsia" w:ascii="仿宋_GB2312" w:hAnsi="Calibri" w:eastAsia="仿宋_GB2312" w:cs="仿宋"/>
          <w:kern w:val="0"/>
          <w:sz w:val="32"/>
          <w:szCs w:val="32"/>
        </w:rPr>
        <w:t>。</w:t>
      </w:r>
    </w:p>
    <w:p>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2.部门总体支出情况</w:t>
      </w:r>
    </w:p>
    <w:p>
      <w:pPr>
        <w:spacing w:line="600" w:lineRule="exact"/>
        <w:ind w:firstLine="640" w:firstLineChars="200"/>
        <w:rPr>
          <w:rFonts w:ascii="仿宋_GB2312" w:hAnsi="Calibri" w:eastAsia="仿宋_GB2312" w:cs="仿宋"/>
          <w:kern w:val="0"/>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ascii="仿宋" w:hAnsi="仿宋" w:eastAsia="仿宋"/>
          <w:sz w:val="32"/>
          <w:szCs w:val="32"/>
        </w:rPr>
        <w:t>17556.56</w:t>
      </w:r>
      <w:r>
        <w:rPr>
          <w:rFonts w:hint="eastAsia" w:ascii="仿宋" w:hAnsi="仿宋" w:eastAsia="仿宋"/>
          <w:sz w:val="32"/>
          <w:szCs w:val="32"/>
        </w:rPr>
        <w:t>万元，其中：基本支出</w:t>
      </w:r>
      <w:r>
        <w:rPr>
          <w:rFonts w:ascii="仿宋" w:hAnsi="仿宋" w:eastAsia="仿宋"/>
          <w:sz w:val="32"/>
          <w:szCs w:val="32"/>
        </w:rPr>
        <w:t>3027.03</w:t>
      </w:r>
      <w:r>
        <w:rPr>
          <w:rFonts w:hint="eastAsia" w:ascii="仿宋" w:hAnsi="仿宋" w:eastAsia="仿宋"/>
          <w:sz w:val="32"/>
          <w:szCs w:val="32"/>
        </w:rPr>
        <w:t>万元，占</w:t>
      </w:r>
      <w:r>
        <w:rPr>
          <w:rFonts w:ascii="仿宋" w:hAnsi="仿宋" w:eastAsia="仿宋"/>
          <w:sz w:val="32"/>
          <w:szCs w:val="32"/>
        </w:rPr>
        <w:t>17.24%</w:t>
      </w:r>
      <w:r>
        <w:rPr>
          <w:rFonts w:hint="eastAsia" w:ascii="仿宋" w:hAnsi="仿宋" w:eastAsia="仿宋"/>
          <w:sz w:val="32"/>
          <w:szCs w:val="32"/>
        </w:rPr>
        <w:t>；项目支出</w:t>
      </w:r>
      <w:r>
        <w:rPr>
          <w:rFonts w:ascii="仿宋" w:hAnsi="仿宋" w:eastAsia="仿宋"/>
          <w:sz w:val="32"/>
          <w:szCs w:val="32"/>
        </w:rPr>
        <w:t>14529.53</w:t>
      </w:r>
      <w:r>
        <w:rPr>
          <w:rFonts w:hint="eastAsia" w:ascii="仿宋" w:hAnsi="仿宋" w:eastAsia="仿宋"/>
          <w:sz w:val="32"/>
          <w:szCs w:val="32"/>
        </w:rPr>
        <w:t>万元，占</w:t>
      </w:r>
      <w:r>
        <w:rPr>
          <w:rFonts w:ascii="仿宋" w:hAnsi="仿宋" w:eastAsia="仿宋"/>
          <w:sz w:val="32"/>
          <w:szCs w:val="32"/>
        </w:rPr>
        <w:t>82.76%</w:t>
      </w:r>
      <w:r>
        <w:rPr>
          <w:rFonts w:hint="eastAsia" w:ascii="仿宋_GB2312" w:hAnsi="Calibri" w:eastAsia="仿宋_GB2312" w:cs="仿宋"/>
          <w:kern w:val="0"/>
          <w:sz w:val="32"/>
          <w:szCs w:val="32"/>
        </w:rPr>
        <w:t>。</w:t>
      </w:r>
    </w:p>
    <w:p>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3.部门总体结转结余情况</w:t>
      </w:r>
    </w:p>
    <w:p>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根据财政局对财政拨款结转和结余资金的管理要求，我单位加强财政结转结余资金管理，加快财政支出进度，在用好财政资金的同时，不断提高财政资金使用效益。因此，本单位2022年度结转和结余资金为0元。</w:t>
      </w:r>
    </w:p>
    <w:p>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（二）部门财政资金收支情况。</w:t>
      </w:r>
    </w:p>
    <w:p>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1.部门财政拨款收入情况</w:t>
      </w:r>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ascii="仿宋" w:hAnsi="仿宋" w:eastAsia="仿宋"/>
          <w:sz w:val="32"/>
          <w:szCs w:val="32"/>
        </w:rPr>
        <w:t>17434.21</w:t>
      </w:r>
      <w:r>
        <w:rPr>
          <w:rFonts w:hint="eastAsia" w:ascii="仿宋" w:hAnsi="仿宋" w:eastAsia="仿宋"/>
          <w:sz w:val="32"/>
          <w:szCs w:val="32"/>
        </w:rPr>
        <w:t>万元，其中：一般公共预算财政拨款收入</w:t>
      </w:r>
      <w:r>
        <w:rPr>
          <w:rFonts w:ascii="仿宋" w:hAnsi="仿宋" w:eastAsia="仿宋"/>
          <w:sz w:val="32"/>
          <w:szCs w:val="32"/>
        </w:rPr>
        <w:t>10092.79</w:t>
      </w:r>
      <w:r>
        <w:rPr>
          <w:rFonts w:hint="eastAsia" w:ascii="仿宋" w:hAnsi="仿宋" w:eastAsia="仿宋"/>
          <w:sz w:val="32"/>
          <w:szCs w:val="32"/>
        </w:rPr>
        <w:t>万元，占</w:t>
      </w:r>
      <w:r>
        <w:rPr>
          <w:rFonts w:ascii="仿宋" w:hAnsi="仿宋" w:eastAsia="仿宋"/>
          <w:sz w:val="32"/>
          <w:szCs w:val="32"/>
        </w:rPr>
        <w:t>57.89%</w:t>
      </w:r>
      <w:r>
        <w:rPr>
          <w:rFonts w:hint="eastAsia" w:ascii="仿宋" w:hAnsi="仿宋" w:eastAsia="仿宋"/>
          <w:sz w:val="32"/>
          <w:szCs w:val="32"/>
        </w:rPr>
        <w:t>；政府性基金预算财政拨款收入</w:t>
      </w:r>
      <w:r>
        <w:rPr>
          <w:rFonts w:ascii="仿宋" w:hAnsi="仿宋" w:eastAsia="仿宋"/>
          <w:sz w:val="32"/>
          <w:szCs w:val="32"/>
        </w:rPr>
        <w:t>7341.42</w:t>
      </w:r>
      <w:r>
        <w:rPr>
          <w:rFonts w:hint="eastAsia" w:ascii="仿宋" w:hAnsi="仿宋" w:eastAsia="仿宋"/>
          <w:sz w:val="32"/>
          <w:szCs w:val="32"/>
        </w:rPr>
        <w:t>万元，占</w:t>
      </w:r>
      <w:r>
        <w:rPr>
          <w:rFonts w:ascii="仿宋" w:hAnsi="仿宋" w:eastAsia="仿宋"/>
          <w:sz w:val="32"/>
          <w:szCs w:val="32"/>
        </w:rPr>
        <w:t>42.11%</w:t>
      </w:r>
      <w:r>
        <w:rPr>
          <w:rFonts w:hint="eastAsia" w:ascii="仿宋" w:hAnsi="仿宋" w:eastAsia="仿宋"/>
          <w:sz w:val="32"/>
          <w:szCs w:val="32"/>
        </w:rPr>
        <w:t>；国有资本经营预算财政拨款收入0万元，占</w:t>
      </w:r>
      <w:r>
        <w:rPr>
          <w:rFonts w:ascii="仿宋" w:hAnsi="仿宋" w:eastAsia="仿宋"/>
          <w:sz w:val="32"/>
          <w:szCs w:val="32"/>
        </w:rPr>
        <w:t>0%</w:t>
      </w:r>
      <w:r>
        <w:rPr>
          <w:rFonts w:hint="eastAsia" w:ascii="仿宋" w:hAnsi="仿宋" w:eastAsia="仿宋"/>
          <w:sz w:val="32"/>
          <w:szCs w:val="32"/>
        </w:rPr>
        <w:t>；上级补助收入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；经营收入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；附属单位上缴收入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；其他收入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w:t>
      </w:r>
    </w:p>
    <w:p>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2.部门财政拨款支出情况</w:t>
      </w:r>
    </w:p>
    <w:p>
      <w:pPr>
        <w:spacing w:line="600" w:lineRule="exact"/>
        <w:ind w:firstLine="640" w:firstLineChars="200"/>
        <w:rPr>
          <w:rFonts w:ascii="仿宋_GB2312" w:hAnsi="仿宋_GB2312" w:eastAsia="仿宋_GB2312" w:cs="仿宋_GB2312"/>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ascii="仿宋" w:hAnsi="仿宋" w:eastAsia="仿宋"/>
          <w:sz w:val="32"/>
          <w:szCs w:val="32"/>
        </w:rPr>
        <w:t>10149.97</w:t>
      </w:r>
      <w:r>
        <w:rPr>
          <w:rFonts w:hint="eastAsia" w:ascii="仿宋" w:hAnsi="仿宋" w:eastAsia="仿宋"/>
          <w:sz w:val="32"/>
          <w:szCs w:val="32"/>
        </w:rPr>
        <w:t>万元，占本年支出合计的</w:t>
      </w:r>
      <w:r>
        <w:rPr>
          <w:rFonts w:ascii="仿宋" w:hAnsi="仿宋" w:eastAsia="仿宋"/>
          <w:sz w:val="32"/>
          <w:szCs w:val="32"/>
        </w:rPr>
        <w:t>57.81%</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ascii="仿宋" w:hAnsi="仿宋" w:eastAsia="仿宋"/>
          <w:sz w:val="32"/>
          <w:szCs w:val="32"/>
        </w:rPr>
        <w:t>1950.28</w:t>
      </w:r>
      <w:r>
        <w:rPr>
          <w:rFonts w:hint="eastAsia" w:ascii="仿宋" w:hAnsi="仿宋" w:eastAsia="仿宋"/>
          <w:sz w:val="32"/>
          <w:szCs w:val="32"/>
        </w:rPr>
        <w:t>万元，下降</w:t>
      </w:r>
      <w:r>
        <w:rPr>
          <w:rFonts w:ascii="仿宋" w:hAnsi="仿宋" w:eastAsia="仿宋"/>
          <w:sz w:val="32"/>
          <w:szCs w:val="32"/>
        </w:rPr>
        <w:t>16.12%</w:t>
      </w:r>
      <w:r>
        <w:rPr>
          <w:rFonts w:hint="eastAsia" w:ascii="仿宋" w:hAnsi="仿宋" w:eastAsia="仿宋"/>
          <w:sz w:val="32"/>
          <w:szCs w:val="32"/>
        </w:rPr>
        <w:t>。</w:t>
      </w:r>
      <w:r>
        <w:rPr>
          <w:rFonts w:hint="eastAsia" w:ascii="仿宋_GB2312" w:hAnsi="仿宋_GB2312" w:eastAsia="仿宋_GB2312" w:cs="仿宋_GB2312"/>
          <w:sz w:val="32"/>
          <w:szCs w:val="32"/>
        </w:rPr>
        <w:t>主要变动原因是支出缩减，预算编制更加精准。</w:t>
      </w:r>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ascii="仿宋_GB2312" w:eastAsia="仿宋_GB2312"/>
          <w:sz w:val="32"/>
          <w:szCs w:val="32"/>
        </w:rPr>
        <w:t>7406.59</w:t>
      </w:r>
      <w:r>
        <w:rPr>
          <w:rFonts w:hint="eastAsia" w:ascii="仿宋_GB2312" w:eastAsia="仿宋_GB2312"/>
          <w:sz w:val="32"/>
          <w:szCs w:val="32"/>
        </w:rPr>
        <w:t>万元。</w:t>
      </w:r>
    </w:p>
    <w:p>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3.部门财政拨款结转结余情况</w:t>
      </w:r>
    </w:p>
    <w:p>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根据财政局对财政拨款结转和结余资金的管理要求，我单位加强财政结转结余资金管理，加快财政支出进度，在用好财政资金的同时，不断提高财政资金使用效益。因此，本单位2022年度结转和结余资金为0元。</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600" w:lineRule="exact"/>
        <w:ind w:firstLine="640" w:firstLineChars="200"/>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（一）部门预算项目绩效管理。</w:t>
      </w:r>
    </w:p>
    <w:p>
      <w:pPr>
        <w:snapToGrid w:val="0"/>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1.绩效目标制定</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严格按照市财政部门预算编制通知和有关要求，制定了基本支出、项目支出和整体支出的绩效目标，对重点项目目标进行了量化，并严格按照绩效目标管理实施项目、使用资金，实现了部门整体绩效目标编制完整、合理，项目绩效目标编制明确、量化。</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2.绩效目标实现</w:t>
      </w:r>
    </w:p>
    <w:p>
      <w:pPr>
        <w:snapToGrid w:val="0"/>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2022年全局人员类经费支出共计361.18万元，主要包括：基本工资、津贴补贴、奖金、伙食补助费、绩效工资、机关事业单位基本养老保险缴费、职业年金缴费、其他社会保障缴费、其他工资福利支出等，占总支出的2.96%。</w:t>
      </w:r>
      <w:r>
        <w:rPr>
          <w:rFonts w:hint="eastAsia" w:ascii="仿宋_GB2312" w:hAnsi="Calibri" w:eastAsia="仿宋_GB2312" w:cs="仿宋"/>
          <w:kern w:val="0"/>
          <w:sz w:val="32"/>
          <w:szCs w:val="32"/>
        </w:rPr>
        <w:br w:type="textWrapping"/>
      </w:r>
      <w:r>
        <w:rPr>
          <w:rFonts w:hint="eastAsia" w:ascii="仿宋_GB2312" w:hAnsi="Calibri" w:eastAsia="仿宋_GB2312" w:cs="仿宋"/>
          <w:kern w:val="0"/>
          <w:sz w:val="32"/>
          <w:szCs w:val="32"/>
        </w:rPr>
        <w:t>　　2022年全局运转类经费支出共计83.77万元，主要包括：办公费、印刷费、咨询费、手续费、水费、电费、邮电费、物业管理费、差旅费、因公出国（境）费用、维修（护）费、租赁费、会议费、培训费、工会经费等，占总支出的0.68%。</w:t>
      </w:r>
      <w:r>
        <w:rPr>
          <w:rFonts w:hint="eastAsia" w:ascii="仿宋_GB2312" w:hAnsi="Calibri" w:eastAsia="仿宋_GB2312" w:cs="仿宋"/>
          <w:kern w:val="0"/>
          <w:sz w:val="32"/>
          <w:szCs w:val="32"/>
        </w:rPr>
        <w:br w:type="textWrapping"/>
      </w:r>
      <w:r>
        <w:rPr>
          <w:rFonts w:hint="eastAsia" w:ascii="仿宋_GB2312" w:hAnsi="Calibri" w:eastAsia="仿宋_GB2312" w:cs="仿宋"/>
          <w:kern w:val="0"/>
          <w:sz w:val="32"/>
          <w:szCs w:val="32"/>
        </w:rPr>
        <w:t xml:space="preserve">    2022年全局项目类经费支出共计11769.76万元，包括交通重点建设项目工程费用、县乡村道养护及路长制考核经费、交通项目社保预存款、九珠客运中心搬迁租金及税费、全市疫情服务点工作经费、农村客运车辆和水运船舶保险补贴、公路建设项目工程费用、国省县乡道道路修补工程、农村公路管理养护资金等，占总支出的96.36%。</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 xml:space="preserve">  3.部门支出控制</w:t>
      </w:r>
    </w:p>
    <w:p>
      <w:pPr>
        <w:pStyle w:val="13"/>
        <w:widowControl/>
        <w:shd w:val="clear" w:color="auto" w:fill="FFFFFF"/>
        <w:spacing w:before="0" w:beforeAutospacing="0" w:after="0" w:afterAutospacing="0" w:line="600" w:lineRule="exact"/>
        <w:ind w:firstLine="640" w:firstLineChars="200"/>
        <w:jc w:val="both"/>
        <w:rPr>
          <w:rFonts w:ascii="仿宋_GB2312" w:hAnsi="Calibri" w:eastAsia="仿宋_GB2312" w:cs="仿宋"/>
          <w:sz w:val="32"/>
          <w:szCs w:val="32"/>
        </w:rPr>
      </w:pPr>
      <w:r>
        <w:rPr>
          <w:rFonts w:hint="eastAsia" w:ascii="仿宋_GB2312" w:hAnsi="Calibri" w:eastAsia="仿宋_GB2312" w:cs="仿宋"/>
          <w:sz w:val="32"/>
          <w:szCs w:val="32"/>
        </w:rPr>
        <w:t>一是建立健全单位管理制度，强化财务制度约束。按照国家财经法律法规和市财政财经管理制度规定，建章立制，完善《峨眉山市交通运输局内控手册》，形成依制度议事、按制度办事、用制度规范行为的长效机制。进一步细化完善国内公务接待、办公费、差旅费、培训费、奖金、补贴等项目开支制度，并对财务公开与监督检查作出公开承诺。所有的经济事项在制度的框架内运行，使单位管理制度、财务管理、会计核算进一步规范。</w:t>
      </w:r>
    </w:p>
    <w:p>
      <w:pPr>
        <w:pStyle w:val="13"/>
        <w:widowControl/>
        <w:shd w:val="clear" w:color="auto" w:fill="FFFFFF"/>
        <w:spacing w:before="0" w:beforeAutospacing="0" w:after="0" w:afterAutospacing="0" w:line="600" w:lineRule="exact"/>
        <w:ind w:firstLine="640" w:firstLineChars="200"/>
        <w:jc w:val="both"/>
        <w:rPr>
          <w:rFonts w:ascii="仿宋_GB2312" w:hAnsi="Calibri" w:eastAsia="仿宋_GB2312" w:cs="仿宋"/>
          <w:sz w:val="32"/>
          <w:szCs w:val="32"/>
        </w:rPr>
      </w:pPr>
      <w:r>
        <w:rPr>
          <w:rFonts w:hint="eastAsia" w:ascii="仿宋_GB2312" w:hAnsi="Calibri" w:eastAsia="仿宋_GB2312" w:cs="仿宋"/>
          <w:sz w:val="32"/>
          <w:szCs w:val="32"/>
        </w:rPr>
        <w:t>二是成立以局长为组长、副局长为副组长、各科室负责人为成员的单位内部控制领导小组，具体负责本单位内控制度的建设、落实，在对财务风险自查评估的基础上，发现薄弱环节，确立风险应对策略。</w:t>
      </w:r>
    </w:p>
    <w:p>
      <w:pPr>
        <w:pStyle w:val="13"/>
        <w:widowControl/>
        <w:shd w:val="clear" w:color="auto" w:fill="FFFFFF"/>
        <w:spacing w:before="0" w:beforeAutospacing="0" w:after="0" w:afterAutospacing="0" w:line="600" w:lineRule="exact"/>
        <w:ind w:firstLine="640" w:firstLineChars="200"/>
        <w:jc w:val="both"/>
        <w:rPr>
          <w:rFonts w:ascii="仿宋_GB2312" w:hAnsi="Calibri" w:eastAsia="仿宋_GB2312" w:cs="仿宋"/>
          <w:sz w:val="32"/>
          <w:szCs w:val="32"/>
        </w:rPr>
      </w:pPr>
      <w:r>
        <w:rPr>
          <w:rFonts w:hint="eastAsia" w:ascii="仿宋_GB2312" w:hAnsi="Calibri" w:eastAsia="仿宋_GB2312" w:cs="仿宋"/>
          <w:sz w:val="32"/>
          <w:szCs w:val="32"/>
        </w:rPr>
        <w:t>三是执行资金预算化管理，积极推进部门整体支出、项目支出绩效管理。财务部门负责组织、协调各部门预算绩效管理，根据绩效评价结果改进预算绩效管理，通过资金预算编制、调整、执行、控制、绩效评价，增强财政资金投入、产出效能，提高财政资金使用效益。</w:t>
      </w:r>
    </w:p>
    <w:p>
      <w:pPr>
        <w:pStyle w:val="13"/>
        <w:widowControl/>
        <w:shd w:val="clear" w:color="auto" w:fill="FFFFFF"/>
        <w:spacing w:before="0" w:beforeAutospacing="0" w:after="0" w:afterAutospacing="0" w:line="600" w:lineRule="exact"/>
        <w:ind w:firstLine="640" w:firstLineChars="200"/>
        <w:jc w:val="both"/>
        <w:rPr>
          <w:rFonts w:ascii="仿宋_GB2312" w:hAnsi="Calibri" w:eastAsia="仿宋_GB2312" w:cs="仿宋"/>
          <w:sz w:val="32"/>
          <w:szCs w:val="32"/>
        </w:rPr>
      </w:pPr>
      <w:r>
        <w:rPr>
          <w:rFonts w:hint="eastAsia" w:ascii="仿宋_GB2312" w:hAnsi="Calibri" w:eastAsia="仿宋_GB2312" w:cs="仿宋"/>
          <w:sz w:val="32"/>
          <w:szCs w:val="32"/>
        </w:rPr>
        <w:t>4.资金结余率情况</w:t>
      </w:r>
    </w:p>
    <w:p>
      <w:pPr>
        <w:pStyle w:val="13"/>
        <w:widowControl/>
        <w:shd w:val="clear" w:color="auto" w:fill="FFFFFF"/>
        <w:spacing w:before="0" w:beforeAutospacing="0" w:after="0" w:afterAutospacing="0" w:line="600" w:lineRule="exact"/>
        <w:ind w:firstLine="640" w:firstLineChars="200"/>
        <w:jc w:val="both"/>
        <w:rPr>
          <w:rFonts w:ascii="仿宋_GB2312" w:hAnsi="Calibri" w:eastAsia="仿宋_GB2312" w:cs="仿宋"/>
          <w:sz w:val="32"/>
          <w:szCs w:val="32"/>
        </w:rPr>
      </w:pPr>
      <w:r>
        <w:rPr>
          <w:rFonts w:hint="eastAsia" w:ascii="仿宋_GB2312" w:hAnsi="Calibri" w:eastAsia="仿宋_GB2312" w:cs="仿宋"/>
          <w:sz w:val="32"/>
          <w:szCs w:val="32"/>
        </w:rPr>
        <w:t>年末无结转结余资金。</w:t>
      </w:r>
    </w:p>
    <w:p>
      <w:pPr>
        <w:widowControl/>
        <w:numPr>
          <w:ilvl w:val="0"/>
          <w:numId w:val="6"/>
        </w:numPr>
        <w:adjustRightInd w:val="0"/>
        <w:snapToGrid w:val="0"/>
        <w:spacing w:line="600" w:lineRule="exact"/>
        <w:ind w:firstLine="640" w:firstLineChars="200"/>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rPr>
        <w:t>结果运用情况</w:t>
      </w:r>
    </w:p>
    <w:p>
      <w:pPr>
        <w:pStyle w:val="13"/>
        <w:widowControl/>
        <w:shd w:val="clear" w:color="auto" w:fill="FFFFFF"/>
        <w:spacing w:before="0" w:beforeAutospacing="0" w:after="0" w:afterAutospacing="0" w:line="600" w:lineRule="exact"/>
        <w:ind w:firstLine="640" w:firstLineChars="200"/>
        <w:jc w:val="both"/>
        <w:rPr>
          <w:rFonts w:ascii="仿宋_GB2312" w:hAnsi="Calibri" w:eastAsia="仿宋_GB2312" w:cs="仿宋"/>
          <w:sz w:val="32"/>
          <w:szCs w:val="32"/>
        </w:rPr>
      </w:pPr>
      <w:r>
        <w:rPr>
          <w:rFonts w:hint="eastAsia" w:ascii="仿宋_GB2312" w:hAnsi="Calibri" w:eastAsia="仿宋_GB2312" w:cs="仿宋"/>
          <w:sz w:val="32"/>
          <w:szCs w:val="32"/>
        </w:rPr>
        <w:t xml:space="preserve"> 2022年全局严格执行中央八项规定精神和省、市、区相关规定，从严控制“三公”经费预算支出，“三公”经费的使用严格按照年初预算执行，根据“过紧日子”十条措施，不存在超支或违规支出的行为。属于政府集中采购目录的事项严格执行政府采购相关规定。年度预决算信息按照财政部门相关要求在政府门户网站按时合规予以公开。</w:t>
      </w:r>
    </w:p>
    <w:p>
      <w:pPr>
        <w:pStyle w:val="13"/>
        <w:widowControl/>
        <w:shd w:val="clear" w:color="auto" w:fill="FFFFFF"/>
        <w:spacing w:before="0" w:beforeAutospacing="0" w:after="0" w:afterAutospacing="0" w:line="600" w:lineRule="exact"/>
        <w:ind w:firstLine="640" w:firstLineChars="200"/>
        <w:jc w:val="both"/>
        <w:rPr>
          <w:rFonts w:ascii="仿宋_GB2312" w:hAnsi="Calibri" w:eastAsia="仿宋_GB2312" w:cs="仿宋"/>
          <w:sz w:val="32"/>
          <w:szCs w:val="32"/>
        </w:rPr>
      </w:pPr>
      <w:r>
        <w:rPr>
          <w:rFonts w:hint="eastAsia" w:ascii="仿宋_GB2312" w:hAnsi="Calibri" w:eastAsia="仿宋_GB2312" w:cs="仿宋"/>
          <w:sz w:val="32"/>
          <w:szCs w:val="32"/>
        </w:rPr>
        <w:t>全面实施了预算绩效目标管理，以绩效目标实现为导向，进一步加强制度建设，提升自评质量，预算绩效管理取得新成效。一是抓好绩效目标编制，及时报送绩效目标；二是探索绩效跟踪监控，要求加强过程监控；三是深入开展财政支出绩效评价，对专项资金实施绩效自评和项目核查，在此基础上形成自评报告；四是强化评价结果应用，组织绩效自评和绩效跟踪监控，对发现的问题及时改进，加强评价结果与项目资金安排的衔接；五是健全绩效管理工作机制，明确职责分工，努力提高了绩效管理工作水平。</w:t>
      </w:r>
    </w:p>
    <w:p>
      <w:pPr>
        <w:widowControl/>
        <w:numPr>
          <w:ilvl w:val="0"/>
          <w:numId w:val="6"/>
        </w:numPr>
        <w:adjustRightInd w:val="0"/>
        <w:snapToGrid w:val="0"/>
        <w:spacing w:line="600" w:lineRule="exact"/>
        <w:ind w:firstLine="640" w:firstLineChars="200"/>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rPr>
        <w:t>自评质量</w:t>
      </w:r>
    </w:p>
    <w:p>
      <w:pPr>
        <w:pStyle w:val="2"/>
        <w:spacing w:before="93" w:line="600" w:lineRule="exact"/>
        <w:ind w:firstLine="640" w:firstLineChars="200"/>
        <w:rPr>
          <w:rFonts w:hAnsi="Calibri" w:cs="仿宋"/>
          <w:sz w:val="32"/>
          <w:szCs w:val="32"/>
        </w:rPr>
      </w:pPr>
      <w:r>
        <w:rPr>
          <w:rFonts w:hint="eastAsia" w:hAnsi="Calibri" w:cs="仿宋"/>
          <w:sz w:val="32"/>
          <w:szCs w:val="32"/>
        </w:rPr>
        <w:t xml:space="preserve">  2022年全局部门整体支出绩效自评得分为98分，结果显示绩效管理情况为优秀，达到了年初设定的各项绩效目标。所有资金使用严格按审批程序办理、操作规范，会计核算结果真实、准确，各项支出严格按照各项制度执行。</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（一）评价结论</w:t>
      </w:r>
    </w:p>
    <w:p>
      <w:pPr>
        <w:pStyle w:val="2"/>
        <w:spacing w:before="93" w:line="600" w:lineRule="exact"/>
        <w:ind w:firstLine="640" w:firstLineChars="200"/>
        <w:rPr>
          <w:rFonts w:hAnsi="Calibri" w:cs="仿宋"/>
          <w:sz w:val="32"/>
          <w:szCs w:val="32"/>
        </w:rPr>
      </w:pPr>
      <w:r>
        <w:rPr>
          <w:rFonts w:hint="eastAsia" w:hAnsi="Calibri" w:cs="仿宋"/>
          <w:sz w:val="32"/>
          <w:szCs w:val="32"/>
        </w:rPr>
        <w:t>2022年，全局财政资金的使用本着量入为出的原则，合理使用财政资金，保人员支出，保重点工作急需的支出，紧紧围绕全市交通中心工作，狠抓交通重点项目建设，提升公路养护管理水平，加强交通运输客货行业监管，抓好疫情防控工作和安全生产工作等，圆满完成了年初各项工作目标任务和市领导交办的各类应急工作任务。</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（二）存在问题</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1.预算编制工作有待细化。预算编制不够明确和细化，预算编制的合理性需要提高，预算执行力度还要进一步加强。</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2.财政预算资金到位比较迟缓，不能严格按照项目建设合同支付相关费用，存在一定的维稳隐患。</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（三）改进建议</w:t>
      </w:r>
    </w:p>
    <w:p>
      <w:pPr>
        <w:widowControl/>
        <w:adjustRightInd w:val="0"/>
        <w:snapToGrid w:val="0"/>
        <w:spacing w:line="60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1.优化预算编制，加强预算执行力。</w:t>
      </w:r>
    </w:p>
    <w:p>
      <w:pPr>
        <w:widowControl/>
        <w:adjustRightInd w:val="0"/>
        <w:snapToGrid w:val="0"/>
        <w:spacing w:line="600" w:lineRule="exact"/>
        <w:ind w:firstLine="640" w:firstLineChars="200"/>
        <w:jc w:val="left"/>
        <w:rPr>
          <w:rFonts w:ascii="方正小标宋简体" w:hAnsi="方正小标宋简体" w:eastAsia="方正小标宋简体" w:cs="方正小标宋简体"/>
          <w:b/>
          <w:bCs/>
          <w:sz w:val="36"/>
          <w:szCs w:val="36"/>
        </w:rPr>
      </w:pPr>
      <w:r>
        <w:rPr>
          <w:rFonts w:hint="eastAsia" w:ascii="仿宋_GB2312" w:hAnsi="Calibri" w:eastAsia="仿宋_GB2312" w:cs="仿宋"/>
          <w:kern w:val="0"/>
          <w:sz w:val="32"/>
          <w:szCs w:val="32"/>
        </w:rPr>
        <w:t>2. 加强项目开展进度的跟踪，做好与市财政资金支付对接工作，</w:t>
      </w:r>
      <w:r>
        <w:rPr>
          <w:rFonts w:hint="eastAsia" w:ascii="仿宋_GB2312" w:hAnsi="Calibri" w:eastAsia="仿宋_GB2312" w:cs="仿宋"/>
          <w:kern w:val="0"/>
          <w:sz w:val="32"/>
          <w:szCs w:val="32"/>
          <w:lang w:val="zh-CN"/>
        </w:rPr>
        <w:t>及时解决交通项目建设资金</w:t>
      </w:r>
      <w:r>
        <w:rPr>
          <w:rFonts w:hint="eastAsia" w:ascii="仿宋_GB2312" w:hAnsi="Calibri" w:eastAsia="仿宋_GB2312" w:cs="仿宋"/>
          <w:kern w:val="0"/>
          <w:sz w:val="32"/>
          <w:szCs w:val="32"/>
        </w:rPr>
        <w:t>拨付</w:t>
      </w:r>
      <w:r>
        <w:rPr>
          <w:rFonts w:hint="eastAsia" w:ascii="仿宋_GB2312" w:hAnsi="Calibri" w:eastAsia="仿宋_GB2312" w:cs="仿宋"/>
          <w:kern w:val="0"/>
          <w:sz w:val="32"/>
          <w:szCs w:val="32"/>
          <w:lang w:val="zh-CN"/>
        </w:rPr>
        <w:t>力度，为我市各项交通建设提供</w:t>
      </w:r>
      <w:r>
        <w:rPr>
          <w:rFonts w:hint="eastAsia" w:ascii="仿宋_GB2312" w:hAnsi="Calibri" w:eastAsia="仿宋_GB2312" w:cs="仿宋"/>
          <w:kern w:val="0"/>
          <w:sz w:val="32"/>
          <w:szCs w:val="32"/>
        </w:rPr>
        <w:t>强</w:t>
      </w:r>
      <w:r>
        <w:rPr>
          <w:rFonts w:hint="eastAsia" w:ascii="仿宋_GB2312" w:hAnsi="Calibri" w:eastAsia="仿宋_GB2312" w:cs="仿宋"/>
          <w:kern w:val="0"/>
          <w:sz w:val="32"/>
          <w:szCs w:val="32"/>
          <w:lang w:val="zh-CN"/>
        </w:rPr>
        <w:t>有力</w:t>
      </w:r>
      <w:r>
        <w:rPr>
          <w:rFonts w:hint="eastAsia" w:ascii="仿宋_GB2312" w:hAnsi="Calibri" w:eastAsia="仿宋_GB2312" w:cs="仿宋"/>
          <w:kern w:val="0"/>
          <w:sz w:val="32"/>
          <w:szCs w:val="32"/>
        </w:rPr>
        <w:t>的</w:t>
      </w:r>
      <w:r>
        <w:rPr>
          <w:rFonts w:hint="eastAsia" w:ascii="仿宋_GB2312" w:hAnsi="Calibri" w:eastAsia="仿宋_GB2312" w:cs="仿宋"/>
          <w:kern w:val="0"/>
          <w:sz w:val="32"/>
          <w:szCs w:val="32"/>
          <w:lang w:val="zh-CN"/>
        </w:rPr>
        <w:t>保障。</w:t>
      </w:r>
    </w:p>
    <w:p>
      <w:pPr>
        <w:widowControl/>
        <w:spacing w:line="540" w:lineRule="exact"/>
        <w:ind w:firstLine="1084" w:firstLineChars="300"/>
        <w:rPr>
          <w:rStyle w:val="28"/>
          <w:rFonts w:ascii="方正小标宋_GBK" w:hAnsi="方正小标宋_GBK" w:eastAsia="方正小标宋_GBK" w:cs="方正小标宋_GBK"/>
          <w:sz w:val="36"/>
          <w:szCs w:val="36"/>
        </w:rPr>
      </w:pPr>
      <w:r>
        <w:rPr>
          <w:rFonts w:hint="eastAsia" w:ascii="方正小标宋简体" w:hAnsi="方正小标宋简体" w:eastAsia="方正小标宋简体" w:cs="方正小标宋简体"/>
          <w:b/>
          <w:bCs/>
          <w:sz w:val="36"/>
          <w:szCs w:val="36"/>
        </w:rPr>
        <w:t>2022年省级专项资金预算项目绩效自评报告</w:t>
      </w: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r>
        <w:rPr>
          <w:rStyle w:val="28"/>
          <w:rFonts w:hint="eastAsia" w:ascii="方正小标宋_GBK" w:hAnsi="方正小标宋_GBK" w:eastAsia="方正小标宋_GBK" w:cs="方正小标宋_GBK"/>
          <w:sz w:val="32"/>
          <w:szCs w:val="32"/>
        </w:rPr>
        <w:t>附件2-1</w:t>
      </w:r>
    </w:p>
    <w:p>
      <w:pPr>
        <w:jc w:val="center"/>
        <w:rPr>
          <w:rFonts w:ascii="Arial" w:hAnsi="Arial" w:cs="Arial"/>
          <w:b/>
          <w:sz w:val="36"/>
          <w:szCs w:val="44"/>
        </w:rPr>
      </w:pPr>
    </w:p>
    <w:p>
      <w:pPr>
        <w:jc w:val="center"/>
        <w:rPr>
          <w:rFonts w:ascii="宋体" w:hAnsi="宋体" w:cs="宋体"/>
          <w:b/>
          <w:sz w:val="36"/>
          <w:szCs w:val="44"/>
        </w:rPr>
      </w:pPr>
      <w:r>
        <w:rPr>
          <w:rFonts w:hint="eastAsia" w:ascii="Arial" w:hAnsi="Arial" w:cs="Arial"/>
          <w:b/>
          <w:sz w:val="36"/>
          <w:szCs w:val="44"/>
        </w:rPr>
        <w:t>2022年峨眉山市高桥汪坎至寨子村幸福美丽乡村路建设转移支付</w:t>
      </w:r>
      <w:r>
        <w:rPr>
          <w:rFonts w:hint="eastAsia" w:ascii="宋体" w:hAnsi="宋体" w:cs="宋体"/>
          <w:b/>
          <w:sz w:val="36"/>
          <w:szCs w:val="44"/>
        </w:rPr>
        <w:t>绩效自评报告</w:t>
      </w:r>
    </w:p>
    <w:p>
      <w:pPr>
        <w:jc w:val="center"/>
        <w:rPr>
          <w:rFonts w:ascii="仿宋_GB2312"/>
          <w:szCs w:val="32"/>
        </w:rPr>
      </w:pP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一、项目情况</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（一）项目资金申报及批复情况</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根据《乐山市财政局关于下达2020年度四川省交通建设领域真抓实干成效显著激励资金的通知》（乐市财政建【2022】12号）和《峨眉山市财政局关于转下达2020年度四川省交通建设领域真抓实干成效显著激励资金的通知》（峨财建【2022】6号）文件，下达我单位2020年度四川省交通建设领域真抓实干成效显著激励资金260万元，专项用于C116高桥汪坎至寨子村幸福美丽乡村路建设。</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（二）项目绩效目标</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该项目绩效目标为加快高桥汪坎至寨子村幸福美丽乡村路建设，改善人民群众出行环境，促进全市乡村振兴。</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（三）项目资金申报相符性</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 xml:space="preserve"> 该项目申报内容与具体实施内容相符，申报目标合理可行。</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二、项目实施及管理情况</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（一）资金计划、到位及使用情况。</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1.资金计划及到位情况。</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2020年度四川省交通建设领域真抓实干成效显著激励资金260万元，资金已于2022年2月9日全部到位。</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2.资金使用情况。</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2020年度四川省交通建设领域真抓实干成效显著激励资金260万元，执行率达100%，用于高桥汪坎至寨子村幸福美丽乡村路建设。</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（二）项目财务管理情况。</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严格按照《政府会计准则制度》等相关文件规定管理、使用资金，保证项目资金使用公开、公正，接受社会公共监督。建立健全内部财务管理制度和会计核算等相关制度，专项核算，强化资金管理。完善《峨眉山市交通运输局内控手册》，形成依制度议事、按制度办事、用制度规范行为的长效机制。</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（三）项目组织实施情况。</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我局严格按项目预算安排积极开展高桥汪坎至寨子村幸福美丽乡村路建设转移支付上报工作，做到严格审批、及时上报、专款专用，没有滞留、截留、挤占和挪用的现象，确保企业补贴资金及时到位。成立项目实施推进领导小组，由一把手亲自领导，分管领导直接抓，负责该项目的工作落实，在对项目实施进度自查评估的基础上，发现薄弱环节，立即整改完善应对措施。</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三、项目绩效情况</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（一）项目完成情况</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1.数量指标。</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完成1公里高桥汪坎至寨子村幸福美丽乡村路建设。</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2.质量指标。</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按沥青</w:t>
      </w:r>
      <w:r>
        <w:rPr>
          <w:rFonts w:hint="eastAsia" w:ascii="仿宋_GB2312" w:hAnsi="Calibri" w:eastAsia="仿宋_GB2312" w:cs="仿宋"/>
          <w:sz w:val="32"/>
          <w:szCs w:val="32"/>
          <w:lang w:eastAsia="zh-CN"/>
        </w:rPr>
        <w:t>混凝土</w:t>
      </w:r>
      <w:r>
        <w:rPr>
          <w:rFonts w:hint="eastAsia" w:ascii="仿宋_GB2312" w:hAnsi="Calibri" w:eastAsia="仿宋_GB2312" w:cs="仿宋"/>
          <w:sz w:val="32"/>
          <w:szCs w:val="32"/>
        </w:rPr>
        <w:t>标准建设，项目完工验收合格率达100%。</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3.时效指标。</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2022年内上级资金使用率达100%。</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4.成本指标。</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将成本控制在合理的范围，本年度将260万元顺利支付完毕。</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（二）项目效益情况</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1.经济效益。</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通过该项目的实施，促进峨眉山第二批国家农村产业融合发展示范园建设，促进全市乡村振兴。</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2.社会效益。</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通过该项目的实施，促进城市建设全方位发展，路网布局更加合理，公路通行安全进一步提高。</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3.生态效益。</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高桥汪坎至寨子村幸福美丽乡村路建设符合环评审批要求，人民群众生活出行环境得到改善，生态效益显著提升。</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4.可持续影响。</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通过项目实施，让广大人民群众感受到党和政府的温暖，提升幸福感，取得了良好的社会效益。</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5.满意度指标完成情况分析。</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改善农村道路通行服务水平，群众满意度达到90%以上，得到广大人民群众和社会的好评。</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四、问题及建议</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（一）存在的问题</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 xml:space="preserve">       无</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（二）相关建议</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加强项目开展进度的跟踪，做好与市财政资金支付对接工作，</w:t>
      </w:r>
      <w:r>
        <w:rPr>
          <w:rFonts w:hint="eastAsia" w:ascii="仿宋_GB2312" w:hAnsi="Calibri" w:eastAsia="仿宋_GB2312" w:cs="仿宋"/>
          <w:sz w:val="32"/>
          <w:szCs w:val="32"/>
          <w:lang w:val="zh-CN"/>
        </w:rPr>
        <w:t>及时解决交通项目建设资金</w:t>
      </w:r>
      <w:r>
        <w:rPr>
          <w:rFonts w:hint="eastAsia" w:ascii="仿宋_GB2312" w:hAnsi="Calibri" w:eastAsia="仿宋_GB2312" w:cs="仿宋"/>
          <w:sz w:val="32"/>
          <w:szCs w:val="32"/>
        </w:rPr>
        <w:t>拨付</w:t>
      </w:r>
      <w:r>
        <w:rPr>
          <w:rFonts w:hint="eastAsia" w:ascii="仿宋_GB2312" w:hAnsi="Calibri" w:eastAsia="仿宋_GB2312" w:cs="仿宋"/>
          <w:sz w:val="32"/>
          <w:szCs w:val="32"/>
          <w:lang w:val="zh-CN"/>
        </w:rPr>
        <w:t>力度，为我市交通建设提供</w:t>
      </w:r>
      <w:r>
        <w:rPr>
          <w:rFonts w:hint="eastAsia" w:ascii="仿宋_GB2312" w:hAnsi="Calibri" w:eastAsia="仿宋_GB2312" w:cs="仿宋"/>
          <w:sz w:val="32"/>
          <w:szCs w:val="32"/>
        </w:rPr>
        <w:t>强</w:t>
      </w:r>
      <w:r>
        <w:rPr>
          <w:rFonts w:hint="eastAsia" w:ascii="仿宋_GB2312" w:hAnsi="Calibri" w:eastAsia="仿宋_GB2312" w:cs="仿宋"/>
          <w:sz w:val="32"/>
          <w:szCs w:val="32"/>
          <w:lang w:val="zh-CN"/>
        </w:rPr>
        <w:t>有力</w:t>
      </w:r>
      <w:r>
        <w:rPr>
          <w:rFonts w:hint="eastAsia" w:ascii="仿宋_GB2312" w:hAnsi="Calibri" w:eastAsia="仿宋_GB2312" w:cs="仿宋"/>
          <w:sz w:val="32"/>
          <w:szCs w:val="32"/>
        </w:rPr>
        <w:t>的</w:t>
      </w:r>
      <w:r>
        <w:rPr>
          <w:rFonts w:hint="eastAsia" w:ascii="仿宋_GB2312" w:hAnsi="Calibri" w:eastAsia="仿宋_GB2312" w:cs="仿宋"/>
          <w:sz w:val="32"/>
          <w:szCs w:val="32"/>
          <w:lang w:val="zh-CN"/>
        </w:rPr>
        <w:t>保障。</w:t>
      </w:r>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r>
        <w:rPr>
          <w:rStyle w:val="28"/>
          <w:rFonts w:hint="eastAsia" w:ascii="方正小标宋_GBK" w:hAnsi="方正小标宋_GBK" w:eastAsia="方正小标宋_GBK" w:cs="方正小标宋_GBK"/>
          <w:sz w:val="32"/>
          <w:szCs w:val="32"/>
        </w:rPr>
        <w:t>附件2-2</w:t>
      </w:r>
    </w:p>
    <w:p>
      <w:pPr>
        <w:spacing w:line="600" w:lineRule="exact"/>
        <w:jc w:val="left"/>
        <w:outlineLvl w:val="0"/>
        <w:rPr>
          <w:rFonts w:ascii="黑体" w:hAnsi="黑体" w:eastAsia="黑体" w:cs="黑体"/>
          <w:sz w:val="32"/>
          <w:szCs w:val="32"/>
        </w:rPr>
      </w:pPr>
    </w:p>
    <w:p>
      <w:pPr>
        <w:jc w:val="center"/>
        <w:rPr>
          <w:rFonts w:ascii="宋体" w:hAnsi="宋体" w:cs="宋体"/>
          <w:b/>
          <w:sz w:val="36"/>
          <w:szCs w:val="44"/>
        </w:rPr>
      </w:pPr>
      <w:r>
        <w:rPr>
          <w:rFonts w:hint="eastAsia" w:ascii="Arial" w:hAnsi="Arial" w:cs="Arial"/>
          <w:b/>
          <w:sz w:val="36"/>
          <w:szCs w:val="44"/>
        </w:rPr>
        <w:t xml:space="preserve"> 2022年峨眉山市农村客运出租车成品油价格补助资金</w:t>
      </w:r>
      <w:r>
        <w:rPr>
          <w:rFonts w:hint="eastAsia" w:ascii="宋体" w:hAnsi="宋体" w:cs="宋体"/>
          <w:b/>
          <w:sz w:val="36"/>
          <w:szCs w:val="44"/>
        </w:rPr>
        <w:t>绩效自评报告</w:t>
      </w:r>
    </w:p>
    <w:p>
      <w:pPr>
        <w:jc w:val="center"/>
        <w:rPr>
          <w:rFonts w:ascii="仿宋_GB2312"/>
          <w:szCs w:val="32"/>
        </w:rPr>
      </w:pP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一、项目情况</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（一）项目资金申报及批复情况</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根据《四川省财政厅、四川省交通运输厅关于预下达中央财政2020年度农村客运出租车成品油价格补助资金的通知》（川财建〔2022〕91号）和《峨眉山市财政局关于预下达2020年度农村客运出租车成品油价格补助资金的通知》（峨财建【2022】24号）文件，下达我单位2020年农村客运出租车成品油价格补助资金196.53万元，专项用于用于发放我市2020年度农村客运、农村水路客运、城市出租车等行业油价补贴。</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（二）项目绩效目标</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该项目绩效目标为加快农村客运和出租车市场建设，切实维护农村客运和出租车市场良好秩序，努力为人民群众提供多元化、舒适化、便捷化、人性化的交通运输服务。</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（三）项目资金申报相符性</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 xml:space="preserve"> 该项目申报内容与具体实施内容相符，申报目标合理可行。</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二、项目实施及管理情况</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（一）资金计划、到位及使用情况。</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1.资金计划及到位情况。</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2020年农村客运出租车成品油价格补助资金196.53万元，资金已于2022年5月17日全部到位。</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2.资金使用情况。</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（1）补贴资金的核定</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根据川财建〔2022〕91号，预下达我市2020年度农村客运、出租车成品油价格补助资金196.53万元，其中：费改税补贴58.66万元，涨价补贴137.87万元。</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按照川财建〔2016〕178号文件精神，逐年减少其油价补贴资金中的涨价补助资金规模。参照该文件中2019年度成品油补贴中涨价补贴调减退坡系数60%计算，应调减2020年度成品油价格补贴中涨价补贴资金82.722万元（137.87万元×60%），统筹用于我市公共交通发展。经调整后本次油价补贴实际应发放资金为113.808万元（196.53万元-82.722万元），其中：农村道路客运补贴资金77.86万元，农村水路客运补贴资金30.372万元，出租车补贴资金5.576万元。</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（2）资金实际支付情况</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 xml:space="preserve"> 2020年农村客运出租车成品油价格补助资金196.53万元，通过成品油补贴中涨价补贴调减退坡和年度补贴资金清算后实际发放补贴资金共计110.494万元，执行率为56.22%。</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（二）项目财务管理情况。</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严格按照《政府会计准则制度》等相关文件规定管理、使用资金，保证项目资金使用公开、公正，接受社会公共监督。建立健全内部财务管理制度和会计核算等相关制度，专项核算，强化资金管理。完善《峨眉山市交通运输局内控手册》，形成依制度议事、按制度办事、用制度规范行为的长效机制。</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（三）项目组织实施情况。</w:t>
      </w:r>
    </w:p>
    <w:p>
      <w:pPr>
        <w:pStyle w:val="13"/>
        <w:widowControl/>
        <w:shd w:val="clear" w:color="auto" w:fill="FFFFFF"/>
        <w:spacing w:before="0" w:beforeAutospacing="0" w:after="0" w:afterAutospacing="0" w:line="600" w:lineRule="exact"/>
        <w:ind w:firstLine="640" w:firstLineChars="200"/>
        <w:rPr>
          <w:rFonts w:ascii="仿宋_GB2312" w:hAnsi="Calibri" w:eastAsia="仿宋_GB2312" w:cs="仿宋"/>
          <w:sz w:val="32"/>
          <w:szCs w:val="32"/>
        </w:rPr>
      </w:pPr>
      <w:r>
        <w:rPr>
          <w:rFonts w:hint="eastAsia" w:ascii="仿宋_GB2312" w:hAnsi="Calibri" w:eastAsia="仿宋_GB2312" w:cs="仿宋"/>
          <w:sz w:val="32"/>
          <w:szCs w:val="32"/>
        </w:rPr>
        <w:t>我局严格按项目预算安排积极开展2020年农村客运出租车成品油价格补助资金上报工作，做到严格审批、及时上报、专款专用，没有滞留、截留、挤占和挪用的现象，确保企业补贴资金及时到位。成立项目实施推进领导小组，由一把手亲自领导，分管领导直接抓，负责该项目的工作落实，在对项目实施进度自查评估的基础上，发现薄弱环节，立即整改完善应对措施。</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三、项目绩效情况</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（一）项目完成情况</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1.数量指标。</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用于农村客运道路客运补助资金共计77.86万元，农村水路客运补助资金共计30.372万元，用于出租车油价补贴资金共计2.262万元。</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2.质量指标。</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2020年度农村客运、农村水路客运、城市出租车等行业油价补贴资金到位率达100%。</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3.时效指标。</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该上级资金在2022年内执行完毕。</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4.成本指标。</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将补贴资金成本控制196.53万元以内。</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（二）项目效益情况</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1.经济效益。</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通过该项目的实施，加快农村客运和出租车市场建设，保障人民群众出行安全，加快经济快速发展。</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2.社会效益。</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通过该项目的实施，切实维护农村客运和出租车市场良好秩序，努力为人民群众提供多元化、舒适化、便捷化、人性化的交通运输服务。</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3.生态效益。</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保障农村客运和出租车市场良好秩序，人民群众生活出行环境得到改善，生态效益显著提升。</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4.可持续影响。</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通过项目实施，让广大人民群众感受到党和政府的温暖，提升幸福感，取得了良好的社会效益。</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5.满意度指标完成情况分析。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改善农村客运和出租车市场服务水平，群众满意度达到90%以上，得到广大人民群众和社会的好评。</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四、问题及建议</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（一）存在的问题</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 xml:space="preserve">       无</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（二）相关建议</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加强项目开展进度的跟踪，做好与市财政资金支付对接工作，</w:t>
      </w:r>
      <w:r>
        <w:rPr>
          <w:rFonts w:hint="eastAsia" w:ascii="仿宋_GB2312" w:hAnsi="Calibri" w:eastAsia="仿宋_GB2312" w:cs="仿宋"/>
          <w:kern w:val="0"/>
          <w:sz w:val="32"/>
          <w:szCs w:val="32"/>
          <w:lang w:val="zh-CN"/>
        </w:rPr>
        <w:t>及时解决</w:t>
      </w:r>
      <w:r>
        <w:rPr>
          <w:rFonts w:hint="eastAsia" w:ascii="仿宋_GB2312" w:hAnsi="Calibri" w:eastAsia="仿宋_GB2312" w:cs="仿宋"/>
          <w:kern w:val="0"/>
          <w:sz w:val="32"/>
          <w:szCs w:val="32"/>
        </w:rPr>
        <w:t>农村客运和出租车市场建设中存在的难点</w:t>
      </w:r>
      <w:r>
        <w:rPr>
          <w:rFonts w:hint="eastAsia" w:ascii="仿宋_GB2312" w:hAnsi="Calibri" w:eastAsia="仿宋_GB2312" w:cs="仿宋"/>
          <w:kern w:val="0"/>
          <w:sz w:val="32"/>
          <w:szCs w:val="32"/>
          <w:lang w:val="zh-CN"/>
        </w:rPr>
        <w:t>，为我市交通建设提供</w:t>
      </w:r>
      <w:r>
        <w:rPr>
          <w:rFonts w:hint="eastAsia" w:ascii="仿宋_GB2312" w:hAnsi="Calibri" w:eastAsia="仿宋_GB2312" w:cs="仿宋"/>
          <w:kern w:val="0"/>
          <w:sz w:val="32"/>
          <w:szCs w:val="32"/>
        </w:rPr>
        <w:t>强</w:t>
      </w:r>
      <w:r>
        <w:rPr>
          <w:rFonts w:hint="eastAsia" w:ascii="仿宋_GB2312" w:hAnsi="Calibri" w:eastAsia="仿宋_GB2312" w:cs="仿宋"/>
          <w:kern w:val="0"/>
          <w:sz w:val="32"/>
          <w:szCs w:val="32"/>
          <w:lang w:val="zh-CN"/>
        </w:rPr>
        <w:t>有力</w:t>
      </w:r>
      <w:r>
        <w:rPr>
          <w:rFonts w:hint="eastAsia" w:ascii="仿宋_GB2312" w:hAnsi="Calibri" w:eastAsia="仿宋_GB2312" w:cs="仿宋"/>
          <w:kern w:val="0"/>
          <w:sz w:val="32"/>
          <w:szCs w:val="32"/>
        </w:rPr>
        <w:t>的</w:t>
      </w:r>
      <w:r>
        <w:rPr>
          <w:rFonts w:hint="eastAsia" w:ascii="仿宋_GB2312" w:hAnsi="Calibri" w:eastAsia="仿宋_GB2312" w:cs="仿宋"/>
          <w:kern w:val="0"/>
          <w:sz w:val="32"/>
          <w:szCs w:val="32"/>
          <w:lang w:val="zh-CN"/>
        </w:rPr>
        <w:t>保障。</w:t>
      </w:r>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p>
    <w:p>
      <w:pPr>
        <w:spacing w:line="600" w:lineRule="exact"/>
        <w:jc w:val="left"/>
        <w:outlineLvl w:val="0"/>
        <w:rPr>
          <w:rFonts w:ascii="黑体" w:hAnsi="黑体" w:eastAsia="黑体" w:cs="黑体"/>
          <w:sz w:val="32"/>
          <w:szCs w:val="32"/>
        </w:rPr>
      </w:pPr>
    </w:p>
    <w:p>
      <w:pPr>
        <w:pStyle w:val="2"/>
        <w:spacing w:before="93"/>
        <w:rPr>
          <w:rFonts w:ascii="黑体" w:hAnsi="黑体" w:eastAsia="黑体" w:cs="黑体"/>
          <w:sz w:val="32"/>
          <w:szCs w:val="32"/>
        </w:rPr>
      </w:pPr>
    </w:p>
    <w:p>
      <w:pPr>
        <w:rPr>
          <w:rFonts w:ascii="黑体" w:hAnsi="黑体" w:eastAsia="黑体" w:cs="黑体"/>
          <w:sz w:val="32"/>
          <w:szCs w:val="32"/>
        </w:rPr>
      </w:pPr>
    </w:p>
    <w:p>
      <w:pPr>
        <w:pStyle w:val="2"/>
        <w:spacing w:before="93"/>
        <w:rPr>
          <w:rFonts w:ascii="黑体" w:hAnsi="黑体" w:eastAsia="黑体" w:cs="黑体"/>
          <w:sz w:val="32"/>
          <w:szCs w:val="32"/>
        </w:rPr>
      </w:pPr>
    </w:p>
    <w:p>
      <w:pPr>
        <w:rPr>
          <w:rFonts w:ascii="黑体" w:hAnsi="黑体" w:eastAsia="黑体" w:cs="黑体"/>
          <w:sz w:val="32"/>
          <w:szCs w:val="32"/>
        </w:rPr>
      </w:pPr>
    </w:p>
    <w:p>
      <w:pPr>
        <w:pStyle w:val="2"/>
        <w:spacing w:before="93"/>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r>
        <w:rPr>
          <w:rStyle w:val="28"/>
          <w:rFonts w:hint="eastAsia" w:ascii="方正小标宋_GBK" w:hAnsi="方正小标宋_GBK" w:eastAsia="方正小标宋_GBK" w:cs="方正小标宋_GBK"/>
          <w:sz w:val="32"/>
          <w:szCs w:val="32"/>
        </w:rPr>
        <w:t>附件2-3</w:t>
      </w:r>
    </w:p>
    <w:p>
      <w:pPr>
        <w:rPr>
          <w:rFonts w:ascii="Arial" w:hAnsi="Arial" w:cs="Arial"/>
          <w:b/>
          <w:sz w:val="36"/>
          <w:szCs w:val="44"/>
        </w:rPr>
      </w:pPr>
    </w:p>
    <w:p>
      <w:pPr>
        <w:jc w:val="center"/>
        <w:rPr>
          <w:rFonts w:ascii="宋体" w:hAnsi="宋体" w:cs="宋体"/>
          <w:b/>
          <w:sz w:val="36"/>
          <w:szCs w:val="44"/>
        </w:rPr>
      </w:pPr>
      <w:r>
        <w:rPr>
          <w:rFonts w:hint="eastAsia" w:ascii="Arial" w:hAnsi="Arial" w:cs="Arial"/>
          <w:b/>
          <w:sz w:val="36"/>
          <w:szCs w:val="44"/>
        </w:rPr>
        <w:t>四川省峨眉山市农村公路水运“以奖代补”转移支付2022</w:t>
      </w:r>
      <w:r>
        <w:rPr>
          <w:rFonts w:hint="eastAsia" w:ascii="宋体" w:hAnsi="宋体" w:cs="宋体"/>
          <w:b/>
          <w:sz w:val="36"/>
          <w:szCs w:val="44"/>
        </w:rPr>
        <w:t>年度绩效自评报告</w:t>
      </w:r>
    </w:p>
    <w:p>
      <w:pPr>
        <w:jc w:val="center"/>
        <w:rPr>
          <w:rFonts w:ascii="仿宋_GB2312"/>
          <w:szCs w:val="32"/>
        </w:rPr>
      </w:pP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一、绩效目标分解下达情况</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根据《四川省财政厅、四川省交通运输厅关于下达2022年第二批交通专项资金的通知》（川财建【2022】360号）和《峨眉山市财政局关于转下达2022年第二批交通专项资金的通知》（峨财建【2022】55号）文件，下达我单位2022年第二批交通专项资金。其中农村公路水运“以奖代补”资金221.96万元，包括峨眉山市撤并建制村畅通工程52.1万元，村道生命安全防护工程114.09万元，农村公路交通事故易发路段整治55.77万元。</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2022年总体绩效目标为加快峨眉山市撤并建制村村通公路网建设，消除农村公路通行隐患，提升村道交通安全出行水平，改善人民群众出行环境，促进全市乡村振兴。</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二、绩效情况分析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（一）资金投入情况分析。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1.转移支付资金到位情况分析。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2022年第二批交通专项资金农村公路水运“以奖代补”资金221.96万元，资金已全部到位。</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资金管理情况分析。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1.转移支付资金执行情况分析。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2022年第二批交通专项资金农村公路水运“以奖代补”资金221.96万元，实际支付0元，执行率为0%，原因是农村公路水运“以奖代补”资金用于我市撤并建制村畅通工程、村道生命安全防护工程、农村公路交通事故易发路段整治等三个项目，目前还暂不具备支付条件。</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2.转移支付资金管理情况分析。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2022年，峨眉山市交通运输局严格按预算安排资金执行，积极落实项目专项资金，严格按照制度规定进行资金管理，做到专款专用，没有滞留、截留、挤占和挪用的现象。</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（三）总体绩效目标完成情况分析。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2022年，峨眉山市交通运输局严格按照上级文件精神，完善工作机制，根据峨眉山市农村公路水运“以奖代补”资金项目建设特点，合理安排使用好上级转移资金，做到专款专用，加快峨眉山市撤并建制村畅通工程、村道生命安全防护工程、农村公路交通事故易发路段整治，改善人民群众出行环境，促进全市乡村振兴。</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（四）绩效指标完成情况分析。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1.产出指标完成情况分析。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（1）数量指标。</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完成不少于2公里撤并建制村畅通工程建设、完成不少于5公里村道生命安全防护工程建设、完成不少于17公里农村公路交通事故易发路段整治建设。</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（2）质量指标。</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工程质量验收合格率达100%。</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（3）时效指标。</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按期完成该项上级资金的投入使用。</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（4）成本指标。</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按市财政要求，将峨眉山市撤并建制村畅通工程、村道生命安全防护工程、农村公路交通事故易发路段整治成本分别控制在52.1、114.09、55.77万元以下，用好管好财政资金。</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2.效益指标完成情况分析。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（1）经济效益。</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通过三个项目的实施，促进峨眉山市撤并建制村村通公路网建设，消除农村公路通行隐患，提升村道交通安全出行水平，改善人民群众出行环境，促进全市乡村振兴。</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（2）社会效益。</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通过三个项目的实施，促进农村公路建设，路网布局更加合理，改善人民群众出行环境，提升生活幸福感，取得良好的社会效益。</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（3）生态效益。</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峨眉山市撤并建制村畅通工程、村道生命安全防护工程、农村公路交通事故易发路段整治建设项目符合环评审批要求，人民群众生活出行环境得到改善，生态效益显著提升。</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（4）可持续影响。</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通过项目实施，促进峨眉山市农村公路水运“以奖代补”工作长期稳定发展。</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3.满意度指标完成情况分析。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改善全市农村道路通行安全水平，群众满意度达到90%以上，得到广大人民群众和社会的好评。</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三、偏离绩效目标的原因和下一步改进措施</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峨眉山市撤并建制村畅通工程、村道生命安全防护工程、农村公路交通事故易发路段整治建设项目符合年初绩效总体目标，无超过指标值较多的数据，未偏离原定计划。下一步工作将继续按照总体绩效目标要求，不断完善制度，落实政策，推动乡村振兴建设。</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四、绩效自评结果拟应用和公开情况</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我局对峨眉山市撤并建制村畅通工程、村道生命安全防护工程、农村公路交通事故易发路段整治转移支付资金认真开展了绩效自评，按文件计划较好地完成了2022年度项目支出目标任务。同时，该项上级转移支付2022年度绩效自评报告拟在峨眉山市人民政府门户网站上公开，同时自评结果作为2023年资金分配和使用依据。</w:t>
      </w:r>
    </w:p>
    <w:p>
      <w:pPr>
        <w:widowControl/>
        <w:adjustRightInd w:val="0"/>
        <w:snapToGrid w:val="0"/>
        <w:spacing w:line="600" w:lineRule="exact"/>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五、其他需要说明的问题</w:t>
      </w:r>
    </w:p>
    <w:p>
      <w:pPr>
        <w:tabs>
          <w:tab w:val="left" w:pos="7080"/>
        </w:tabs>
        <w:ind w:firstLine="640" w:firstLineChars="200"/>
        <w:outlineLvl w:val="0"/>
      </w:pPr>
      <w:r>
        <w:rPr>
          <w:rFonts w:hint="eastAsia" w:ascii="仿宋_GB2312" w:hAnsi="Calibri" w:eastAsia="仿宋_GB2312" w:cs="仿宋"/>
          <w:kern w:val="0"/>
          <w:sz w:val="32"/>
          <w:szCs w:val="32"/>
        </w:rPr>
        <w:t>无。</w:t>
      </w: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r>
        <w:rPr>
          <w:rStyle w:val="28"/>
          <w:rFonts w:hint="eastAsia" w:ascii="方正小标宋_GBK" w:hAnsi="方正小标宋_GBK" w:eastAsia="方正小标宋_GBK" w:cs="方正小标宋_GBK"/>
          <w:sz w:val="32"/>
          <w:szCs w:val="32"/>
        </w:rPr>
        <w:t>附件2-4</w:t>
      </w:r>
    </w:p>
    <w:p>
      <w:pPr>
        <w:jc w:val="center"/>
        <w:rPr>
          <w:rFonts w:ascii="Arial" w:hAnsi="Arial" w:cs="Arial"/>
          <w:b/>
          <w:sz w:val="36"/>
          <w:szCs w:val="44"/>
        </w:rPr>
      </w:pPr>
    </w:p>
    <w:p>
      <w:pPr>
        <w:jc w:val="center"/>
        <w:rPr>
          <w:rFonts w:ascii="宋体" w:hAnsi="宋体" w:cs="宋体"/>
          <w:b/>
          <w:sz w:val="36"/>
          <w:szCs w:val="44"/>
        </w:rPr>
      </w:pPr>
      <w:r>
        <w:rPr>
          <w:rFonts w:hint="eastAsia" w:ascii="Arial" w:hAnsi="Arial" w:cs="Arial"/>
          <w:b/>
          <w:sz w:val="36"/>
          <w:szCs w:val="44"/>
        </w:rPr>
        <w:t>四川省峨眉山市龙池镇南山村至苦蒿坪村等四条幸福美丽乡村路转移支付2022</w:t>
      </w:r>
      <w:r>
        <w:rPr>
          <w:rFonts w:hint="eastAsia" w:ascii="宋体" w:hAnsi="宋体" w:cs="宋体"/>
          <w:b/>
          <w:sz w:val="36"/>
          <w:szCs w:val="44"/>
        </w:rPr>
        <w:t>年度绩效自评报告</w:t>
      </w:r>
    </w:p>
    <w:p>
      <w:pPr>
        <w:jc w:val="center"/>
        <w:rPr>
          <w:rFonts w:ascii="仿宋_GB2312"/>
          <w:szCs w:val="32"/>
        </w:rPr>
      </w:pP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一、绩效目标分解下达情况</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根据《四川省财政厅、四川省交通运输厅关于下达2022年第二批交通专项资金的通知》（川财建【2022】360号）和《峨眉山市财政局关于转下达2022年第二批交通专项资金的通知》（峨财建【2022】55号）文件，下达我单位2022年第二批交通专项资金。其中幸福美丽乡村路补助资金8270万元，包括峨眉山市Y013龙池镇南山村至苦蒿坪村、大为镇双河村至龙池镇苦蒿坪村（黑垭口）段、绥山镇顺河村至黄湾镇龙洞村新农村道路建设工程龙洞村段和峨眉山景区第二救援疏散通道（木瓜至太阳段）公路工程等四条幸福美丽乡村路。</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2022年总体绩效目标为加快峨眉山市龙池镇南山村至苦蒿坪村等四条幸福美丽乡村路建设，用好专项资金，改善人民群众出行环境，促进全市乡村振兴。</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二、绩效情况分析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（一）资金投入情况分析。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1.转移支付资金到位情况分析。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2022年第二批交通专项资金（幸福美丽乡村路）8270万元，资金已全部到位。</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资金管理情况分析。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1.转移支付资金执行情况分析。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2022年第二批交通专项资金（幸福美丽乡村路）8270万元，实际支出6081万元，执行率达73.53%。</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2.转移支付资金管理情况分析。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2022年，峨眉山市交通运输局严格按预算安排资金执行，积极落实项目专项资金，严格按照制度规定进行资金管理，做到了专款专用，没有滞留、截留、挤占和挪用的现象。</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（三）总体绩效目标完成情况分析。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2022年，峨眉山市交通运输局严格按照上级文件精神，完善工作机制，根据峨眉山市幸福美丽乡村路建设项目特点，合理安排使用好上级转移资金，做到专款专用，加快峨眉山市Y013龙池镇南山村至苦蒿坪村等四条幸福美丽乡村路建设，改善人民群众出行环境，促进全市乡村振兴。</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（四）绩效指标完成情况分析。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1.产出指标完成情况分析。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（1）数量指标。</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完成47.5公里龙池镇南山村至苦蒿坪村和大为镇双河村至龙池镇苦蒿坪村（黑垭口）段幸福美丽乡村路建设，完成11公里绥山镇顺河村至黄湾镇龙洞村新农村道路建设工程龙洞村段和峨眉山景区第二救援疏散通道（木瓜至太阳段）幸福美丽乡村路建设。</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质量指标。</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按三级公路标准设计，沥青砼路面建设，工程质量验收合格率达100%。</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时效指标。</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按期完成该项目上级资金使用。</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（4）成本指标。</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按市财政要求，将峨眉山市Y013龙池镇南山村至苦蒿坪村、大为镇双河村至龙池镇苦蒿坪村（黑垭口）段、绥山镇顺河村至黄湾镇龙洞村新农村道路建设工程龙洞村段和峨眉山景区第二救援疏散通道（木瓜至太阳段）公路工程上级转移资金成本控制8270万元以下。</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2.效益指标完成情况分析。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（1）经济效益。</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通过该项目的实施，促进峨眉山市幸福美丽乡村路建设，促进全市乡村振兴。</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（2）社会效益。</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通过该项目的实施，农村公路网布局更加合理，让广大人民群众感受到党和政府的温暖，提升生活幸福感，取得了良好的社会效益。</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（3）生态效益。</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峨眉山市Y013龙池镇南山村至苦蒿坪村等四条幸福美丽乡村路建设符合环评审批要求，人民群众生活出行环境得到改善，生态效益显著提升。</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（4）可持续影响。</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通过项目实施，促进峨眉山市幸福美丽乡村路建设工作长期稳定发展。</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3.满意度指标完成情况分析。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改善全市农村道路通行服务水平，群众满意度达到90%以上，得到广大人民群众和社会的好评。</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三、偏离绩效目标的原因和下一步改进措施</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峨眉山市Y013龙池镇南山村至苦蒿坪村等四条幸福美丽乡村路建设项目符合年初绩效总体目标，无超过指标值较多的数据，未偏离原定计划。下一步工作将继续按照总体绩效目标要求，不断完善制度，落实政策，推动乡村振兴建设。</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四、绩效自评结果拟应用和公开情况</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我局对峨眉山市Y013龙池镇南山村至苦蒿坪村等四条幸福美丽乡村路建设转移支付资金认真开展了绩效自评，按文件计划完成了2022年度项目支出目标任务。该项上级转移支付资金2022年度绩效自评报告拟在峨眉山市人民政府门户网站上公开，同时自评结果作为2023年资金分配和使用依据。</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五、其他需要说明的问题</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无。</w:t>
      </w: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r>
        <w:rPr>
          <w:rStyle w:val="28"/>
          <w:rFonts w:hint="eastAsia" w:ascii="方正小标宋_GBK" w:hAnsi="方正小标宋_GBK" w:eastAsia="方正小标宋_GBK" w:cs="方正小标宋_GBK"/>
          <w:sz w:val="32"/>
          <w:szCs w:val="32"/>
        </w:rPr>
        <w:t>附件2-5</w:t>
      </w:r>
    </w:p>
    <w:p>
      <w:pPr>
        <w:jc w:val="center"/>
        <w:rPr>
          <w:rFonts w:ascii="Arial" w:hAnsi="Arial" w:cs="Arial"/>
          <w:b/>
          <w:sz w:val="36"/>
          <w:szCs w:val="44"/>
        </w:rPr>
      </w:pPr>
    </w:p>
    <w:p>
      <w:pPr>
        <w:jc w:val="center"/>
        <w:rPr>
          <w:rFonts w:ascii="宋体" w:hAnsi="宋体" w:cs="宋体"/>
          <w:b/>
          <w:sz w:val="36"/>
          <w:szCs w:val="44"/>
        </w:rPr>
      </w:pPr>
      <w:r>
        <w:rPr>
          <w:rFonts w:hint="eastAsia" w:ascii="Arial" w:hAnsi="Arial" w:cs="Arial"/>
          <w:b/>
          <w:sz w:val="36"/>
          <w:szCs w:val="44"/>
        </w:rPr>
        <w:t>四川省峨眉山市政府还贷二级公路取消收费后补助资金转移支付2022</w:t>
      </w:r>
      <w:r>
        <w:rPr>
          <w:rFonts w:hint="eastAsia" w:ascii="宋体" w:hAnsi="宋体" w:cs="宋体"/>
          <w:b/>
          <w:sz w:val="36"/>
          <w:szCs w:val="44"/>
        </w:rPr>
        <w:t>年度绩效自评报告</w:t>
      </w:r>
    </w:p>
    <w:p>
      <w:pPr>
        <w:jc w:val="center"/>
        <w:rPr>
          <w:rFonts w:ascii="仿宋_GB2312"/>
          <w:szCs w:val="32"/>
        </w:rPr>
      </w:pP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一、绩效目标分解下达情况</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根据《乐山市财政局、乐山市交通运输局关于下达2022年第二批交通专项资金的通知》（乐市财政建【2023】10号）和《峨眉山市财政局关于转下达2022年第二批交通专项资金的通知》（峨财建【2023】5号）文件，下达我单位2022年第二批交通专项资金，政府还贷二级公路取消收费后补助资金308.75万元，用于峨眉山市国省道交通事故易发路段整治。</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2022年总体绩效目标为加快峨眉山市国省道交通事故易发路段整治，消除国省道公路通行隐患，提升交通安全出行水平，改善人民群众出行环境，促进全市经济快速发展。</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二、绩效情况分析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（一）资金投入情况分析。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1.转移支付资金到位情况分析。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2022年第二批交通专项资金（政府还贷二级公路取消收费后补助资金）308.75万元，资金未到位。</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资金管理情况分析。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1.转移支付资金执行情况分析。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2022年第二批交通专项资金（政府还贷二级公路取消收费后补助资金）308.75万元，实际支付0元，执行率为0%，原因是该项上级资金还未到位，不具备支付条件。</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2.转移支付资金管理情况分析。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2022年，峨眉山市交通运输局严格按预算安排资金执行，积极落实项目专项资金，严格按照制度规定进行资金管理，做到专款专用，没有滞留、截留、挤占和挪用的现象。</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（三）总体绩效目标完成情况分析。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2022年，峨眉山市交通运输局严格按照上级文件精神，完善工作机制，根据峨眉山市国省道交通事故易发路段整治项目建设特点，合理安排使用好上级转移资金，做到专款专用，加快峨眉山市国省道交通事故易发路段整治，改善人民群众出行环境，促进全市乡村振兴。</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（四）绩效指标完成情况分析。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1.产出指标完成情况分析。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（1）数量指标。</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完成不少于23.75公里国省道交通事故易发路段整治。</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质量指标。</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工程质量验收合格率达100%。</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时效指标。</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按期完成该项上级资金的投入使用。</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（4）成本指标。</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按市财政要求，将峨眉山市国省道交通事故易发路段整治成本分别控制在308.75万元以下，用好管好财政资金。</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2.效益指标完成情况分析。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（1）经济效益。</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通过该项目的实施，消除国省道公路通行隐患，提升交通安全出行水平，改善人民群众出行环境，促进全市经济快速发展。</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（2）社会效益。</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通过该项目的实施，消除国省道公路通行隐患，改善人民群众出行环境，提升生活幸福感，取得良好的社会效益。。</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（3）生态效益。</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该项目符合环评审批要求，人民群众生活出行环境得到改善，生态效益显著提升。</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（4）可持续影响。</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通过项目实施，促进峨眉山市国省道交通事故易发路段整治工作长期稳定发展。</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3.满意度指标完成情况分析。</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改善全市农村道路通行安全水平，群众满意度达到90%以上，得到广大人民群众和社会的好评。</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三、偏离绩效目标的原因和下一步改进措施</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峨眉山市国省道交通事故易发路段整治项目符合年初绩效总体目标，无超过指标值较多的数据，未偏离原定计划。下一步工作将继续按照总体绩效目标要求，不断完善制度，落实政策，促进全市经济快速发展。</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四、绩效自评结果拟应用和公开情况</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我局对政府还贷二级公路取消收费后补助资金（峨眉山市国省道交通事故易发路段整治项转移支付认真开展了绩效自评。同时，该项上级转移支付2022年度绩效自评报告拟在峨眉山市人民政府门户网站上公开，同时自评结果作为2023年资金分配和使用依据。</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五、其他需要说明的问题</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无。</w:t>
      </w:r>
    </w:p>
    <w:p>
      <w:pPr>
        <w:pStyle w:val="2"/>
        <w:spacing w:before="93"/>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
    <w:p/>
    <w:p>
      <w:pPr>
        <w:widowControl/>
        <w:spacing w:line="540" w:lineRule="exact"/>
        <w:jc w:val="center"/>
        <w:rPr>
          <w:rStyle w:val="28"/>
          <w:rFonts w:ascii="方正小标宋_GBK" w:hAnsi="方正小标宋_GBK" w:eastAsia="方正小标宋_GBK" w:cs="方正小标宋_GBK"/>
          <w:sz w:val="36"/>
          <w:szCs w:val="36"/>
        </w:rPr>
      </w:pPr>
      <w:r>
        <w:rPr>
          <w:rFonts w:hint="eastAsia" w:ascii="方正小标宋简体" w:hAnsi="方正小标宋简体" w:eastAsia="方正小标宋简体" w:cs="方正小标宋简体"/>
          <w:b/>
          <w:bCs/>
          <w:sz w:val="36"/>
          <w:szCs w:val="36"/>
        </w:rPr>
        <w:t>2022年部门预算项目绩效自评报告</w:t>
      </w:r>
    </w:p>
    <w:p/>
    <w:p>
      <w:pPr>
        <w:widowControl/>
        <w:spacing w:line="540" w:lineRule="exact"/>
        <w:rPr>
          <w:rStyle w:val="28"/>
          <w:rFonts w:ascii="方正小标宋_GBK" w:hAnsi="方正小标宋_GBK" w:eastAsia="方正小标宋_GBK" w:cs="方正小标宋_GBK"/>
          <w:sz w:val="32"/>
          <w:szCs w:val="32"/>
        </w:rPr>
      </w:pPr>
      <w:r>
        <w:rPr>
          <w:rStyle w:val="28"/>
          <w:rFonts w:hint="eastAsia" w:ascii="方正小标宋_GBK" w:hAnsi="方正小标宋_GBK" w:eastAsia="方正小标宋_GBK" w:cs="方正小标宋_GBK"/>
          <w:sz w:val="32"/>
          <w:szCs w:val="32"/>
        </w:rPr>
        <w:t>附件3-1</w:t>
      </w:r>
    </w:p>
    <w:p/>
    <w:p>
      <w:pPr>
        <w:ind w:firstLine="720"/>
        <w:jc w:val="center"/>
        <w:rPr>
          <w:rFonts w:ascii="宋体" w:hAnsi="宋体" w:cs="宋体"/>
          <w:b/>
          <w:sz w:val="36"/>
          <w:szCs w:val="44"/>
        </w:rPr>
      </w:pPr>
      <w:r>
        <w:rPr>
          <w:rFonts w:hint="eastAsia" w:ascii="Arial" w:hAnsi="Arial" w:cs="Arial"/>
          <w:b/>
          <w:sz w:val="36"/>
          <w:szCs w:val="44"/>
        </w:rPr>
        <w:t>2022年</w:t>
      </w:r>
      <w:r>
        <w:rPr>
          <w:rFonts w:hint="eastAsia" w:ascii="宋体" w:hAnsi="宋体" w:cs="宋体"/>
          <w:b/>
          <w:sz w:val="36"/>
          <w:szCs w:val="44"/>
        </w:rPr>
        <w:t>峨眉山市城市公交燃气补帖资金绩效</w:t>
      </w:r>
    </w:p>
    <w:p>
      <w:pPr>
        <w:ind w:firstLine="720"/>
        <w:jc w:val="center"/>
        <w:rPr>
          <w:rFonts w:ascii="宋体" w:hAnsi="宋体" w:cs="宋体"/>
          <w:b/>
          <w:sz w:val="36"/>
          <w:szCs w:val="44"/>
        </w:rPr>
      </w:pPr>
      <w:r>
        <w:rPr>
          <w:rFonts w:hint="eastAsia" w:ascii="宋体" w:hAnsi="宋体" w:cs="宋体"/>
          <w:b/>
          <w:sz w:val="36"/>
          <w:szCs w:val="44"/>
        </w:rPr>
        <w:t>自评报告</w:t>
      </w:r>
    </w:p>
    <w:p>
      <w:pPr>
        <w:jc w:val="center"/>
        <w:rPr>
          <w:rFonts w:ascii="仿宋_GB2312"/>
          <w:szCs w:val="32"/>
        </w:rPr>
      </w:pP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一、项目情况</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（一）项目资金申报及批复情况</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为缓解峨眉山市公交企业运营压力，确保我市城市公交运营正常，我局依据峨府议〔2010〕40号会议纪要精神，于2022年初向市财政提出城市公交燃气补贴预算项目申请。根据峨财经投[2022]01号文件，2022年峨眉山市财政局共下达城市公交燃气补贴预算额度资金100万元。</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（二）项目绩效目标</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该项目绩效目标为缓解峨眉山市公交企业运营压力，保障公交车辆正常运行，方便广大人民群众便捷畅通出行，促进全市经济快速发展。</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（三）项目资金申报相符性</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 xml:space="preserve"> 该项目申报内容与具体实施内容相符，申报目标合理可行。</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二、项目实施及管理情况</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（一）资金计划、到位及使用情况。</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1.资金计划及到位情况。</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2022年初峨眉山市财政局共下达100万元城市公交燃气补贴资金计划。因财政资金困难，实际支付了27.85万元，执行率为27.85%。</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2.资金使用情况。</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为了确保城市公交燃气补贴资金申报工作的严谨和数据的真实、客观以及填报工作的及时、准确，我局结合实际情况，制定了峨眉山市城市公交燃气补贴资金发放实施方案，并逐级对公交企业提供的燃气使用数据进行审核，确认无误后签字盖章，并向市财政上报每月补贴计划申请。</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（二）项目财务管理情况。</w:t>
      </w:r>
    </w:p>
    <w:p>
      <w:pPr>
        <w:tabs>
          <w:tab w:val="left" w:pos="7080"/>
        </w:tabs>
        <w:ind w:firstLine="640" w:firstLineChars="200"/>
        <w:outlineLvl w:val="0"/>
        <w:rPr>
          <w:rFonts w:ascii="仿宋" w:hAnsi="仿宋" w:eastAsia="仿宋" w:cs="仿宋"/>
          <w:sz w:val="30"/>
          <w:szCs w:val="32"/>
        </w:rPr>
      </w:pPr>
      <w:r>
        <w:rPr>
          <w:rFonts w:hint="eastAsia" w:ascii="仿宋_GB2312" w:hAnsi="Calibri" w:eastAsia="仿宋_GB2312" w:cs="仿宋"/>
          <w:kern w:val="0"/>
          <w:sz w:val="32"/>
          <w:szCs w:val="32"/>
        </w:rPr>
        <w:t>严格按照《政府会计准则制度》等相关文件规定管理、使用资金，保证项目资金使用公开、公正，接受社会公共监督。建立</w:t>
      </w:r>
      <w:r>
        <w:rPr>
          <w:rFonts w:hint="eastAsia" w:ascii="仿宋" w:hAnsi="仿宋" w:eastAsia="仿宋" w:cs="仿宋"/>
          <w:sz w:val="30"/>
          <w:szCs w:val="32"/>
        </w:rPr>
        <w:t>健全内部财务管理制度和会计核算等相关制度，专项核算，强化资金管理。完善《峨眉山市交通运输局内控手册》，形成依制度议事、按制度办事、用制度规范行为的长效机制。</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（三）项目组织实施情况。</w:t>
      </w:r>
    </w:p>
    <w:p>
      <w:pPr>
        <w:tabs>
          <w:tab w:val="left" w:pos="7080"/>
        </w:tabs>
        <w:ind w:firstLine="640" w:firstLineChars="200"/>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我局严格按项目预算安排积极开展城市公交燃气补贴审核上报工作，做到严格审批、及时上报、专款专用，没有滞留、截留、挤占和挪用的现象，确保企业补贴资金及时到位。成立项目实施推进领导小组，由一把手亲自领导，分管领导直接抓，负责该项目的工作落实，在对项目实施进度自查评估的基础上，发现薄弱环节，立即整改完善应对措施。</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三、项目绩效情况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（一）项目完成情况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1.数量指标。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用于峨眉山市公共汽车有限责任公司106台城市公交车辆的燃气补贴。其中新能源公交车90辆，油气混动社区小巴车16辆，绿色公交车比重达到84.9%。</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2.质量指标。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我市新能源公交车规模化推广应用总体符合工信部“新能源汽车推广应用工程推荐车型目录”要求，车辆质量符合国家规定。</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3.时效指标。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在2022年完成该项目补贴资金的发放。</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4.成本指标。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将城市公交燃气补贴资金发放成本控制100万元以内。</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（二）项目效益情况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1.经济效益。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公交企业属于公益性行业，实行低票价，公交企业普遍处于亏损状态，公交企业运营压力较大，专项资金政策实施后，减轻了公交企业经营压力。</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2.社会效益。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公交燃气补助资金助推我市公交企业的发展，极大地提高道路运输的通行效率，降低了人流运输成本。我市城区交通通行条件得到显著提高，方便城乡居民出行，提升城乡居民幸福感，缓解和改善日常的交通压力。</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3.生态效益。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截止到2022年底，峨眉山市共有公交车106辆，其中新能源公交车90辆，油气混动社区小巴车16辆，绿色公交车比重达到84.9%。大大提高了环保型公交车的比例，减少了车辆尾气对环境的污染，生态效益显著提升。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4.可持续影响。</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通过项目实施，适应未来一段时间广大人民群众交通出行需求，推动该项工作长期稳定可持续发展。</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5.满意度指标完成情况分析。</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群众满意度达到90%以上，得到广大人民群众和社会的好评，取得了良好的社会效益。</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四、问题及建议</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（一）存在的问题</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因财政资金困难，该项目补贴资金不能按期足额发放，企业运营有一定的压力。</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（二）相关建议</w:t>
      </w:r>
    </w:p>
    <w:p>
      <w:pPr>
        <w:tabs>
          <w:tab w:val="left" w:pos="7080"/>
        </w:tabs>
        <w:ind w:firstLine="600" w:firstLineChars="200"/>
        <w:outlineLvl w:val="0"/>
        <w:rPr>
          <w:lang w:val="zh-CN"/>
        </w:rPr>
      </w:pPr>
      <w:r>
        <w:rPr>
          <w:rFonts w:hint="eastAsia" w:ascii="仿宋" w:hAnsi="仿宋" w:eastAsia="仿宋" w:cs="仿宋"/>
          <w:sz w:val="30"/>
          <w:szCs w:val="32"/>
        </w:rPr>
        <w:t>加强项目开展进度的跟踪，做好与市财政补贴资金支付对接工作，</w:t>
      </w:r>
      <w:r>
        <w:rPr>
          <w:rFonts w:hint="eastAsia" w:ascii="仿宋" w:hAnsi="仿宋" w:eastAsia="仿宋" w:cs="仿宋"/>
          <w:sz w:val="30"/>
          <w:szCs w:val="32"/>
          <w:lang w:val="zh-CN"/>
        </w:rPr>
        <w:t>及时解决</w:t>
      </w:r>
      <w:r>
        <w:rPr>
          <w:rFonts w:hint="eastAsia" w:ascii="仿宋" w:hAnsi="仿宋" w:eastAsia="仿宋" w:cs="仿宋"/>
          <w:sz w:val="30"/>
          <w:szCs w:val="32"/>
        </w:rPr>
        <w:t>城市公交燃气补贴资金发放中存在的困难</w:t>
      </w:r>
      <w:r>
        <w:rPr>
          <w:rFonts w:hint="eastAsia" w:ascii="仿宋" w:hAnsi="仿宋" w:eastAsia="仿宋" w:cs="仿宋"/>
          <w:sz w:val="30"/>
          <w:szCs w:val="32"/>
          <w:lang w:val="zh-CN"/>
        </w:rPr>
        <w:t>，</w:t>
      </w:r>
      <w:r>
        <w:rPr>
          <w:rFonts w:hint="eastAsia" w:ascii="仿宋" w:hAnsi="仿宋" w:eastAsia="仿宋" w:cs="仿宋"/>
          <w:sz w:val="30"/>
          <w:szCs w:val="32"/>
        </w:rPr>
        <w:t>建设平安和谐有序的城市公交</w:t>
      </w:r>
      <w:r>
        <w:rPr>
          <w:rFonts w:hint="eastAsia" w:ascii="仿宋" w:hAnsi="仿宋" w:eastAsia="仿宋" w:cs="仿宋"/>
          <w:sz w:val="30"/>
          <w:szCs w:val="32"/>
          <w:lang w:val="zh-CN"/>
        </w:rPr>
        <w:t>。</w:t>
      </w: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r>
        <w:rPr>
          <w:rStyle w:val="28"/>
          <w:rFonts w:hint="eastAsia" w:ascii="方正小标宋_GBK" w:hAnsi="方正小标宋_GBK" w:eastAsia="方正小标宋_GBK" w:cs="方正小标宋_GBK"/>
          <w:sz w:val="32"/>
          <w:szCs w:val="32"/>
        </w:rPr>
        <w:t>附件3-2</w:t>
      </w:r>
    </w:p>
    <w:p>
      <w:pPr>
        <w:jc w:val="center"/>
        <w:rPr>
          <w:rFonts w:ascii="Arial" w:hAnsi="Arial" w:cs="Arial"/>
          <w:b/>
          <w:sz w:val="36"/>
          <w:szCs w:val="44"/>
        </w:rPr>
      </w:pPr>
      <w:r>
        <w:rPr>
          <w:rFonts w:hint="eastAsia" w:ascii="Arial" w:hAnsi="Arial" w:cs="Arial"/>
          <w:b/>
          <w:sz w:val="36"/>
          <w:szCs w:val="44"/>
        </w:rPr>
        <w:t xml:space="preserve"> </w:t>
      </w:r>
    </w:p>
    <w:p>
      <w:pPr>
        <w:jc w:val="center"/>
        <w:rPr>
          <w:rFonts w:ascii="宋体" w:hAnsi="宋体" w:cs="宋体"/>
          <w:b/>
          <w:sz w:val="36"/>
          <w:szCs w:val="44"/>
        </w:rPr>
      </w:pPr>
      <w:r>
        <w:rPr>
          <w:rFonts w:hint="eastAsia" w:ascii="Arial" w:hAnsi="Arial" w:cs="Arial"/>
          <w:b/>
          <w:sz w:val="36"/>
          <w:szCs w:val="44"/>
        </w:rPr>
        <w:t>2022年峨眉山市县乡村道养护及路长制考核经费</w:t>
      </w:r>
      <w:r>
        <w:rPr>
          <w:rFonts w:hint="eastAsia" w:ascii="宋体" w:hAnsi="宋体" w:cs="宋体"/>
          <w:b/>
          <w:sz w:val="36"/>
          <w:szCs w:val="44"/>
        </w:rPr>
        <w:t>绩效自评报告</w:t>
      </w:r>
    </w:p>
    <w:p>
      <w:pPr>
        <w:tabs>
          <w:tab w:val="left" w:pos="7080"/>
        </w:tabs>
        <w:ind w:firstLine="600" w:firstLineChars="200"/>
        <w:outlineLvl w:val="0"/>
        <w:rPr>
          <w:rFonts w:ascii="仿宋" w:hAnsi="仿宋" w:eastAsia="仿宋" w:cs="仿宋"/>
          <w:sz w:val="30"/>
          <w:szCs w:val="32"/>
        </w:rPr>
      </w:pP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一、项目情况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（一）项目资金申报及批复情况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根据《四川省人民政府关于进一步促进四川省农村公路建管养运协调发展的意见&gt;川府发【2015】5号和中共峨眉山委农村工作办公室《关于做好全省乡村振兴实绩考核迎检相关准备工作的通知》文件精神，于2022年初向市财政提出县乡村道养护及路长制考核经费预算项目申请。根据峨财经投[2022]01号文件，2022年峨眉山市财政局共下达县乡村道养护及路长制考核经费预算额度230万元。</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（二）项目绩效目标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该项目绩效目标为消除道路安全隐患，提高公路通行服务水平，确保客货运安全运输，促进乡村振兴，确保我市农村公路建管养运工作长期稳定可持续发展。</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（三）项目资金申报相符性</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 xml:space="preserve"> 该项目申报内容与具体实施内容相符，申报目标合理可行。</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二、项目实施及管理情况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（一）资金计划、到位及使用情况。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1.资金计划及到位情况。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2022年初峨眉山市财政局共下达230万元县乡村道养护及路长制考核经费计划，实际支付了230万元，执行率为100%。</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2.资金使用情况。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为了确保县乡村道养护及路长制考核经费申报工作的严谨和数据的真实、客观，我局结合实际情况，落实专人负责实施，对照《四川省人民政府关于进一步促进四川省农村公路建管养运协调发展的意见&gt;川府发【2015】5号文件要求，其中本级配套养护资金为50%，按县、乡、村道每公里养护费用1、0.5、0.3万元/公里，测算出各乡镇公路养护管理经费，并逐级对各乡镇公路养护管理经费数据进行审核，并向市财政上报经费计划申请。</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（二）项目财务管理情况。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严格按照《政府会计准则制度》等相关文件规定管理、使用资金，保证项目资金使用公开、公正，接受社会公共监督。建立健全内部财务管理制度和会计核算等相关制度，专项核算，强化资金管理。完善《峨眉山市交通运输局内控手册》，形成依制度议事、按制度办事、用制度规范行为的长效机制。</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（三）项目组织实施情况。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我局严格按项目预算安排积极开展2022年县乡村道养护及路长制考核经费上报工作，做到严格审批、及时上报、专款专用，没有滞留、截留、挤占和挪用的现象，确保各乡镇县乡村道养护资金及时到位。成立项目实施推进领导小组，由一把手亲自领导，分管领导直接抓，负责该项目的工作落实，在对项目实施进度自查评估的基础上，发现薄弱环节，立即整改完善应对措施。</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三、项目绩效情况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（一）项目完成情况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1.数量指标。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用于2022年县乡村道养护及路长制考核本级配套资金共计230万元，用于13个乡镇县乡村道养护。</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2.质量指标。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公路养护质量验收合格率100%。</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3.时效指标。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该上级资金在2022年内执行完毕。</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4.成本指标。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将县乡村道养护及路长制考核本级配套资金成本控制230万元以内。</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（二）项目效益情况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1.经济效益。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消除道路安全隐患，提高公路通行服务水平，确保客货运安全运输，促进经济快速发展。</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2.社会效益。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通过该项目的实施，保障人民群众出行安全，促进乡村振兴，加快经济快速发展。</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3.生态效益。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通过县乡村道养护工作的实施，人民群众生活出行环境得到改善，生态效益显著提升。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4.可持续影响。</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通过项目实施，适应未来一段时间广大人民群众交通出行需求，推动该项工作长期稳定可持续发展。</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5.满意度指标完成情况分析。</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群众满意度达到90%以上，得到广大人民群众和社会的好评，取得了良好的社会效益。</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四、问题及建议</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（一）存在的问题</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 xml:space="preserve">       无</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（二）相关建议</w:t>
      </w:r>
    </w:p>
    <w:p>
      <w:pPr>
        <w:tabs>
          <w:tab w:val="left" w:pos="7080"/>
        </w:tabs>
        <w:ind w:firstLine="600" w:firstLineChars="200"/>
        <w:outlineLvl w:val="0"/>
        <w:rPr>
          <w:rFonts w:ascii="仿宋" w:hAnsi="仿宋" w:eastAsia="仿宋" w:cs="仿宋"/>
          <w:sz w:val="30"/>
          <w:szCs w:val="32"/>
          <w:lang w:val="zh-CN"/>
        </w:rPr>
      </w:pPr>
      <w:r>
        <w:rPr>
          <w:rFonts w:hint="eastAsia" w:ascii="仿宋" w:hAnsi="仿宋" w:eastAsia="仿宋" w:cs="仿宋"/>
          <w:sz w:val="30"/>
          <w:szCs w:val="32"/>
        </w:rPr>
        <w:t>加强项目开展进度的跟踪，做好与市财政资金支付对接工作，</w:t>
      </w:r>
      <w:r>
        <w:rPr>
          <w:rFonts w:hint="eastAsia" w:ascii="仿宋" w:hAnsi="仿宋" w:eastAsia="仿宋" w:cs="仿宋"/>
          <w:sz w:val="30"/>
          <w:szCs w:val="32"/>
          <w:lang w:val="zh-CN"/>
        </w:rPr>
        <w:t>及时解决</w:t>
      </w:r>
      <w:r>
        <w:rPr>
          <w:rFonts w:hint="eastAsia" w:ascii="仿宋" w:hAnsi="仿宋" w:eastAsia="仿宋" w:cs="仿宋"/>
          <w:sz w:val="30"/>
          <w:szCs w:val="32"/>
        </w:rPr>
        <w:t>县乡村道养护及路长制考核本级配套资金发放中存在的难点</w:t>
      </w:r>
      <w:r>
        <w:rPr>
          <w:rFonts w:hint="eastAsia" w:ascii="仿宋" w:hAnsi="仿宋" w:eastAsia="仿宋" w:cs="仿宋"/>
          <w:sz w:val="30"/>
          <w:szCs w:val="32"/>
          <w:lang w:val="zh-CN"/>
        </w:rPr>
        <w:t>，为我市交通建设提供</w:t>
      </w:r>
      <w:r>
        <w:rPr>
          <w:rFonts w:hint="eastAsia" w:ascii="仿宋" w:hAnsi="仿宋" w:eastAsia="仿宋" w:cs="仿宋"/>
          <w:sz w:val="30"/>
          <w:szCs w:val="32"/>
        </w:rPr>
        <w:t>强</w:t>
      </w:r>
      <w:r>
        <w:rPr>
          <w:rFonts w:hint="eastAsia" w:ascii="仿宋" w:hAnsi="仿宋" w:eastAsia="仿宋" w:cs="仿宋"/>
          <w:sz w:val="30"/>
          <w:szCs w:val="32"/>
          <w:lang w:val="zh-CN"/>
        </w:rPr>
        <w:t>有力</w:t>
      </w:r>
      <w:r>
        <w:rPr>
          <w:rFonts w:hint="eastAsia" w:ascii="仿宋" w:hAnsi="仿宋" w:eastAsia="仿宋" w:cs="仿宋"/>
          <w:sz w:val="30"/>
          <w:szCs w:val="32"/>
        </w:rPr>
        <w:t>的</w:t>
      </w:r>
      <w:r>
        <w:rPr>
          <w:rFonts w:hint="eastAsia" w:ascii="仿宋" w:hAnsi="仿宋" w:eastAsia="仿宋" w:cs="仿宋"/>
          <w:sz w:val="30"/>
          <w:szCs w:val="32"/>
          <w:lang w:val="zh-CN"/>
        </w:rPr>
        <w:t>保障。</w:t>
      </w:r>
    </w:p>
    <w:p>
      <w:pPr>
        <w:pStyle w:val="2"/>
        <w:spacing w:before="93"/>
        <w:rPr>
          <w:rFonts w:ascii="仿宋" w:hAnsi="仿宋" w:eastAsia="仿宋" w:cs="仿宋"/>
          <w:kern w:val="2"/>
          <w:szCs w:val="32"/>
          <w:lang w:val="zh-CN"/>
        </w:rPr>
      </w:pPr>
    </w:p>
    <w:p>
      <w:pPr>
        <w:rPr>
          <w:rFonts w:ascii="仿宋" w:hAnsi="仿宋" w:eastAsia="仿宋" w:cs="仿宋"/>
          <w:sz w:val="30"/>
          <w:szCs w:val="32"/>
          <w:lang w:val="zh-CN"/>
        </w:rPr>
      </w:pPr>
    </w:p>
    <w:p>
      <w:pPr>
        <w:pStyle w:val="2"/>
        <w:spacing w:before="93"/>
        <w:rPr>
          <w:rFonts w:ascii="仿宋" w:hAnsi="仿宋" w:eastAsia="仿宋" w:cs="仿宋"/>
          <w:kern w:val="2"/>
          <w:szCs w:val="32"/>
          <w:lang w:val="zh-CN"/>
        </w:rPr>
      </w:pPr>
    </w:p>
    <w:p>
      <w:pPr>
        <w:rPr>
          <w:rFonts w:ascii="仿宋" w:hAnsi="仿宋" w:eastAsia="仿宋" w:cs="仿宋"/>
          <w:sz w:val="30"/>
          <w:szCs w:val="32"/>
          <w:lang w:val="zh-CN"/>
        </w:rPr>
      </w:pPr>
    </w:p>
    <w:p>
      <w:pPr>
        <w:pStyle w:val="2"/>
        <w:spacing w:before="93"/>
        <w:rPr>
          <w:rFonts w:ascii="仿宋" w:hAnsi="仿宋" w:eastAsia="仿宋" w:cs="仿宋"/>
          <w:szCs w:val="32"/>
          <w:lang w:val="zh-CN"/>
        </w:rPr>
      </w:pPr>
    </w:p>
    <w:p>
      <w:pPr>
        <w:pStyle w:val="2"/>
        <w:spacing w:before="93"/>
        <w:rPr>
          <w:lang w:val="zh-CN"/>
        </w:rPr>
      </w:pPr>
    </w:p>
    <w:p>
      <w:pPr>
        <w:widowControl/>
        <w:spacing w:line="540" w:lineRule="exact"/>
        <w:rPr>
          <w:rStyle w:val="28"/>
          <w:rFonts w:ascii="方正小标宋_GBK" w:hAnsi="方正小标宋_GBK" w:eastAsia="方正小标宋_GBK" w:cs="方正小标宋_GBK"/>
          <w:sz w:val="32"/>
          <w:szCs w:val="32"/>
        </w:rPr>
      </w:pPr>
      <w:r>
        <w:rPr>
          <w:rStyle w:val="28"/>
          <w:rFonts w:hint="eastAsia" w:ascii="方正小标宋_GBK" w:hAnsi="方正小标宋_GBK" w:eastAsia="方正小标宋_GBK" w:cs="方正小标宋_GBK"/>
          <w:sz w:val="32"/>
          <w:szCs w:val="32"/>
        </w:rPr>
        <w:t>附件3-3</w:t>
      </w:r>
    </w:p>
    <w:p>
      <w:pPr>
        <w:ind w:firstLine="720"/>
        <w:jc w:val="center"/>
        <w:rPr>
          <w:rFonts w:ascii="Arial" w:hAnsi="Arial" w:cs="Arial"/>
          <w:b/>
          <w:sz w:val="36"/>
          <w:szCs w:val="44"/>
        </w:rPr>
      </w:pPr>
    </w:p>
    <w:p>
      <w:pPr>
        <w:ind w:firstLine="720"/>
        <w:jc w:val="center"/>
        <w:rPr>
          <w:rFonts w:ascii="宋体" w:hAnsi="宋体" w:cs="宋体"/>
          <w:b/>
          <w:sz w:val="36"/>
          <w:szCs w:val="44"/>
        </w:rPr>
      </w:pPr>
      <w:r>
        <w:rPr>
          <w:rFonts w:hint="eastAsia" w:ascii="Arial" w:hAnsi="Arial" w:cs="Arial"/>
          <w:b/>
          <w:sz w:val="36"/>
          <w:szCs w:val="44"/>
        </w:rPr>
        <w:t>2022年</w:t>
      </w:r>
      <w:r>
        <w:rPr>
          <w:rFonts w:hint="eastAsia" w:ascii="宋体" w:hAnsi="宋体" w:cs="宋体"/>
          <w:b/>
          <w:sz w:val="36"/>
          <w:szCs w:val="44"/>
        </w:rPr>
        <w:t>峨眉山市公汽司IC卡刷卡优惠性政策补贴资金绩效自评报告</w:t>
      </w:r>
    </w:p>
    <w:p>
      <w:pPr>
        <w:jc w:val="center"/>
        <w:rPr>
          <w:rFonts w:ascii="仿宋_GB2312"/>
          <w:szCs w:val="32"/>
        </w:rPr>
      </w:pP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一、项目情况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（一）项目资金申报及批复情况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为缓解峨眉山市公交企业运营压力，确保我市城市公交运营正常，我局依据依据《乐山市人民政府关于优先发展城市公共交通的意见》乐府发【2012】4号文件精神，于2022年初向市财政提出公汽司IC卡刷卡优惠性政策补贴预算项目申请。根据峨财经投[2022]01号文件，2022年峨眉山市财政局共下达公汽司IC卡刷卡优惠性政策补贴预算额度资金570万元。</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（二）项目绩效目标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该项目绩效目标为缓解峨眉山市公交企业运营压力，保障公交车辆正常运行，方便广大人民群众便捷畅通出行，促进全市经济快速发展。</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（三）项目资金申报相符性</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 xml:space="preserve"> 该项目申报内容与具体实施内容相符，申报目标合理可行。</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二、项目实施及管理情况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（一）资金计划、到位及使用情况。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1.资金计划及到位情况。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2022年初峨眉山市财政局共下达570万元公汽司IC卡刷卡优惠性政策补贴资金计划。因财政资金困难，实际支付了289.7万元，执行率为50.82%。</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2.资金使用情况。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为了确保公汽司IC卡刷卡优惠性政策补贴资金申报工作的严谨和数据的真实、客观以及填报工作的及时、准确，我局结合实际情况，并逐级对公交企业提供的公汽司IC卡刷卡数据进行审核，确认无误后签字盖章，并向市财政上报每月补贴计划申请。</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（二）项目财务管理情况。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严格按照《政府会计准则制度》等相关文件规定管理、使用资金，保证项目资金使用公开、公正，接受社会公共监督。建立健全内部财务管理制度和会计核算等相关制度，专项核算，强化资金管理。完善《峨眉山市交通运输局内控手册》，形成依制度议事、按制度办事、用制度规范行为的长效机制。</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（三）项目组织实施情况。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我局严格按项目预算安排积极开展公汽司IC卡刷卡优惠性政策补贴审核上报工作，做到严格审批、及时上报、专款专用，没有滞留、截留、挤占和挪用的现象，确保企业补贴资金及时到位。成立项目实施推进领导小组，由一把手亲自领导，分管领导直接抓，负责该项目的工作落实，在对项目实施进度自查评估的基础上，发现薄弱环节，立即整改完善应对措施。</w:t>
      </w:r>
    </w:p>
    <w:p>
      <w:pPr>
        <w:widowControl/>
        <w:adjustRightInd w:val="0"/>
        <w:snapToGrid w:val="0"/>
        <w:spacing w:line="60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三、项目绩效情况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（一）项目完成情况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1.数量指标。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用于峨眉山市公共汽车有限责任公司106台城市公交公汽司IC卡刷卡优惠性政策补贴。其中2022年学生卡刷卡次数为1000716次，普通卡刷卡次数为2991128次，老年卡刷卡次数为3344328次，支付宝刷卡次数为1783758次，军残、现役军人、残疾人免费乘车次数为309772次。</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2.质量指标。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我市新能源公交车规模化推广应用总体符合工信部“新能源汽车推广应用工程推荐车型目录”要求，车辆质量符合国家规定。</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3.时效指标。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在2022年完成该项目补贴资金的发放。</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4.成本指标。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将公汽司IC卡刷卡优惠性政策补贴资金发放成本控制570万元以内。</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（二）项目效益情况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1.经济效益。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公交企业属于公益性行业，实行低票价，公交企业普遍处于亏损状态，公交企业运营压力较大，专项资金政策实施后，减轻了公交企业经营压力。</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2.社会效益。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公汽司IC卡刷卡优惠性政策补贴资金助推我市公交企业的发展，极大地提高道路运输的通行效率，降低了人流运输成本。我市城区交通通行条件得到显著提高，方便城乡居民出行，提升城乡居民幸福感，缓解和改善日常的交通压力。</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3.生态效益。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截止到2022年底，峨眉山市共有公交车106辆，其中新能源公交车90辆，油气混动社区小巴车16辆，绿色公交车比重达到84.9%。大大提高了环保型公交车的比例，减少了车辆尾气对环境的污染，生态效益显著提升。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4.可持续影响。</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通过项目实施，适应未来一段时间广大人民群众交通出行需求，推动该项工作长期稳定可持续发展。</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5.满意度指标完成情况分析。</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群众满意度达到90%以上，得到广大人民群众和社会的好评，取得了良好的社会效益。</w:t>
      </w:r>
    </w:p>
    <w:p>
      <w:pPr>
        <w:tabs>
          <w:tab w:val="left" w:pos="7080"/>
        </w:tabs>
        <w:ind w:firstLine="640" w:firstLineChars="200"/>
        <w:outlineLvl w:val="0"/>
        <w:rPr>
          <w:rFonts w:ascii="仿宋" w:hAnsi="仿宋" w:eastAsia="仿宋" w:cs="仿宋"/>
          <w:sz w:val="30"/>
          <w:szCs w:val="32"/>
        </w:rPr>
      </w:pPr>
      <w:r>
        <w:rPr>
          <w:rFonts w:hint="eastAsia" w:ascii="黑体" w:hAnsi="宋体" w:eastAsia="黑体" w:cs="宋体"/>
          <w:color w:val="000000"/>
          <w:kern w:val="0"/>
          <w:sz w:val="32"/>
          <w:szCs w:val="32"/>
          <w:shd w:val="clear" w:color="auto" w:fill="FFFFFF"/>
        </w:rPr>
        <w:t>四、问题及建议</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（一）存在的问题</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因财政资金困难，该项目补贴资金不能按期足额发放，企业运营有一定的压力。</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（二）相关建议</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加强项目开展进度的跟踪，做好与市财政补贴资金支付对接工作，</w:t>
      </w:r>
      <w:r>
        <w:rPr>
          <w:rFonts w:hint="eastAsia" w:ascii="仿宋" w:hAnsi="仿宋" w:eastAsia="仿宋" w:cs="仿宋"/>
          <w:sz w:val="30"/>
          <w:szCs w:val="32"/>
          <w:lang w:val="zh-CN"/>
        </w:rPr>
        <w:t>及时解决</w:t>
      </w:r>
      <w:r>
        <w:rPr>
          <w:rFonts w:hint="eastAsia" w:ascii="仿宋" w:hAnsi="仿宋" w:eastAsia="仿宋" w:cs="仿宋"/>
          <w:sz w:val="30"/>
          <w:szCs w:val="32"/>
        </w:rPr>
        <w:t>公汽司IC卡刷卡优惠性政策补贴资金发放中存在的困难</w:t>
      </w:r>
      <w:r>
        <w:rPr>
          <w:rFonts w:hint="eastAsia" w:ascii="仿宋" w:hAnsi="仿宋" w:eastAsia="仿宋" w:cs="仿宋"/>
          <w:sz w:val="30"/>
          <w:szCs w:val="32"/>
          <w:lang w:val="zh-CN"/>
        </w:rPr>
        <w:t>，</w:t>
      </w:r>
      <w:r>
        <w:rPr>
          <w:rFonts w:hint="eastAsia" w:ascii="仿宋" w:hAnsi="仿宋" w:eastAsia="仿宋" w:cs="仿宋"/>
          <w:sz w:val="30"/>
          <w:szCs w:val="32"/>
        </w:rPr>
        <w:t>建设平安和谐有序的城市公交</w:t>
      </w:r>
      <w:r>
        <w:rPr>
          <w:rFonts w:hint="eastAsia" w:ascii="仿宋" w:hAnsi="仿宋" w:eastAsia="仿宋" w:cs="仿宋"/>
          <w:sz w:val="30"/>
          <w:szCs w:val="32"/>
          <w:lang w:val="zh-CN"/>
        </w:rPr>
        <w:t>。</w:t>
      </w: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r>
        <w:rPr>
          <w:rStyle w:val="28"/>
          <w:rFonts w:hint="eastAsia" w:ascii="方正小标宋_GBK" w:hAnsi="方正小标宋_GBK" w:eastAsia="方正小标宋_GBK" w:cs="方正小标宋_GBK"/>
          <w:sz w:val="32"/>
          <w:szCs w:val="32"/>
        </w:rPr>
        <w:t>附件3-4</w:t>
      </w:r>
    </w:p>
    <w:p>
      <w:pPr>
        <w:tabs>
          <w:tab w:val="left" w:pos="7080"/>
        </w:tabs>
        <w:outlineLvl w:val="0"/>
        <w:rPr>
          <w:rFonts w:ascii="仿宋" w:hAnsi="仿宋" w:eastAsia="仿宋" w:cs="仿宋"/>
          <w:sz w:val="30"/>
          <w:szCs w:val="32"/>
        </w:rPr>
      </w:pPr>
    </w:p>
    <w:p>
      <w:pPr>
        <w:ind w:firstLine="720"/>
        <w:jc w:val="center"/>
        <w:rPr>
          <w:rFonts w:ascii="宋体" w:hAnsi="宋体" w:cs="宋体"/>
          <w:b/>
          <w:sz w:val="36"/>
          <w:szCs w:val="44"/>
        </w:rPr>
      </w:pPr>
      <w:r>
        <w:rPr>
          <w:rFonts w:hint="eastAsia" w:ascii="Arial" w:hAnsi="Arial" w:cs="Arial"/>
          <w:b/>
          <w:sz w:val="36"/>
          <w:szCs w:val="44"/>
        </w:rPr>
        <w:t>2022年</w:t>
      </w:r>
      <w:r>
        <w:rPr>
          <w:rFonts w:hint="eastAsia" w:ascii="宋体" w:hAnsi="宋体" w:cs="宋体"/>
          <w:b/>
          <w:sz w:val="36"/>
          <w:szCs w:val="44"/>
        </w:rPr>
        <w:t>峨眉山市九珠客运中心搬迁租金及税费绩效自评报告</w:t>
      </w:r>
    </w:p>
    <w:p>
      <w:pPr>
        <w:jc w:val="center"/>
        <w:rPr>
          <w:rFonts w:ascii="仿宋_GB2312"/>
          <w:szCs w:val="32"/>
        </w:rPr>
      </w:pPr>
    </w:p>
    <w:p>
      <w:pPr>
        <w:tabs>
          <w:tab w:val="left" w:pos="7080"/>
        </w:tabs>
        <w:ind w:firstLine="640" w:firstLineChars="200"/>
        <w:outlineLvl w:val="0"/>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一、项目情况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（一）项目资金申报及批复情况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因2014年我市举办旅博会需要，九珠客运中心元经营场地被市政府永久占用。经市政府协调，九珠客运中心临时搬迁至市二汽司城北客运站，其租金税费由市财政支付。项目经市财政局审核，市人大预算批复确定。我局依据依据峨交〔2018〕76号文件精神，于2022年初向市财政提出九珠客运中心搬迁租金及税费预算项目申请。根据峨财经投[2022]01号文件，2022年峨眉山市财政局共下达九珠客运中心搬迁租金及税费资金预算额度123.48万元。</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（二）项目绩效目标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该项目绩效目标为缓解相关客运企业运营压力，保障我市旅博会的举办，提高旅游城市知名度，促进全市旅游经济快速发展。</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（三）项目资金申报相符性</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 xml:space="preserve"> 该项目申报内容与具体实施内容相符，申报目标合理可行。</w:t>
      </w:r>
    </w:p>
    <w:p>
      <w:pPr>
        <w:tabs>
          <w:tab w:val="left" w:pos="7080"/>
        </w:tabs>
        <w:ind w:firstLine="640" w:firstLineChars="200"/>
        <w:outlineLvl w:val="0"/>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二、项目实施及管理情况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（一）资金计划、到位及使用情况。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1.资金计划及到位情况。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2022年初峨眉山市财政局共下达123.48万元九珠客运中心搬迁租金及税费资金计划。因财政资金困难，实际支付了74万元，执行率为59.93%。</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2.资金使用情况。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为了确保九珠客运中心搬迁租金及税费资金申报工作的严谨和数据的真实、客观以及填报工作的及时、准确，我局结合实际 情况，并逐级对涉及九珠客运中心搬迁租金及税费资金的企业运营情况进行审核，并向市财政上报九珠客运中心搬迁租金及税费计划申请。</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（二）项目财务管理情况。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严格按照《政府会计准则制度》等相关文件规定管理、使用资金，保证项目资金使用公开、公正，接受社会公共监督。建立健全内部财务管理制度和会计核算等相关制度，专项核算，强化资金管理。完善《峨眉山市交通运输局内控手册》，形成依制度议事、按制度办事、用制度规范行为的长效机制。</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（三）项目组织实施情况。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我局严格按项目预算安排积极开展九珠客运中心搬迁租金及税费资金计划申报工作，做到严格审批、及时上报、专款专用，没有滞留、截留、挤占和挪用的现象，确保企业补贴资金及时到位。成立项目实施推进领导小组，由一把手亲自领导，分管领导直接抓，负责该项目的工作落实，在对项目实施进度自查评估的基础上，发现薄弱环节，立即整改完善应对措施。</w:t>
      </w:r>
    </w:p>
    <w:p>
      <w:pPr>
        <w:tabs>
          <w:tab w:val="left" w:pos="7080"/>
        </w:tabs>
        <w:ind w:firstLine="640" w:firstLineChars="200"/>
        <w:outlineLvl w:val="0"/>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三、项目绩效情况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（一）项目完成情况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1.数量指标。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用于峨眉山市第二汽车运输有限公司九珠客运中心搬迁租金及税费资金。</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2.质量指标。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在确保旅博会每年如期举办的情况下，不影响九珠客运中心的正常运转，客运站正常运转率达100%。</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3.时效指标。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在2022年完成该项目补贴资金的发放。</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4.成本指标。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将九珠客运中心搬迁租金及税费资金发放成本控制123.48万元以内。</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（二）项目效益情况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1.经济效益。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通过该项目的实施，缓解相关客运企业运营压力，促进全市旅游经济快速发展。</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2.社会效益。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通过旅博会的举办，提高我市旅游城市知名度，扩大城市影响力。</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3.生态效益。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通过该项目的实施，扩大旅游招商引资，推动旅游城市和风景区建设，生态效益显著提升。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4.可持续影响。</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通过项目实施，适应未来一段时间广大游客旅行出行需求，推动该项工作长期稳定可持续发展。</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5.满意度指标完成情况分析。</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群众满意度达到90%以上，得到广大游客和社会的好评，取得了良好的社会效益。</w:t>
      </w:r>
    </w:p>
    <w:p>
      <w:pPr>
        <w:tabs>
          <w:tab w:val="left" w:pos="7080"/>
        </w:tabs>
        <w:ind w:firstLine="640" w:firstLineChars="200"/>
        <w:outlineLvl w:val="0"/>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四、问题及建议</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（一）存在的问题</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 xml:space="preserve"> 因财政资金困难，该项目补贴资金不能按期足额发放，企业运营有一定的压力。</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（二）相关建议</w:t>
      </w:r>
    </w:p>
    <w:p>
      <w:pPr>
        <w:tabs>
          <w:tab w:val="left" w:pos="7080"/>
        </w:tabs>
        <w:ind w:firstLine="600" w:firstLineChars="200"/>
        <w:outlineLvl w:val="0"/>
        <w:rPr>
          <w:rFonts w:ascii="仿宋" w:hAnsi="仿宋" w:eastAsia="仿宋" w:cs="仿宋"/>
          <w:sz w:val="30"/>
          <w:szCs w:val="32"/>
          <w:lang w:val="zh-CN"/>
        </w:rPr>
      </w:pPr>
      <w:r>
        <w:rPr>
          <w:rFonts w:hint="eastAsia" w:ascii="仿宋" w:hAnsi="仿宋" w:eastAsia="仿宋" w:cs="仿宋"/>
          <w:sz w:val="30"/>
          <w:szCs w:val="32"/>
        </w:rPr>
        <w:t>加强项目开展进度的跟踪，做好与市财政补贴资金支付对接工作，</w:t>
      </w:r>
      <w:r>
        <w:rPr>
          <w:rFonts w:hint="eastAsia" w:ascii="仿宋" w:hAnsi="仿宋" w:eastAsia="仿宋" w:cs="仿宋"/>
          <w:sz w:val="30"/>
          <w:szCs w:val="32"/>
          <w:lang w:val="zh-CN"/>
        </w:rPr>
        <w:t>及时解决</w:t>
      </w:r>
      <w:r>
        <w:rPr>
          <w:rFonts w:hint="eastAsia" w:ascii="仿宋" w:hAnsi="仿宋" w:eastAsia="仿宋" w:cs="仿宋"/>
          <w:sz w:val="30"/>
          <w:szCs w:val="32"/>
        </w:rPr>
        <w:t>九珠客运中心搬迁租金及税费资金发放中存在的困难</w:t>
      </w:r>
      <w:r>
        <w:rPr>
          <w:rFonts w:hint="eastAsia" w:ascii="仿宋" w:hAnsi="仿宋" w:eastAsia="仿宋" w:cs="仿宋"/>
          <w:sz w:val="30"/>
          <w:szCs w:val="32"/>
          <w:lang w:val="zh-CN"/>
        </w:rPr>
        <w:t>，</w:t>
      </w:r>
      <w:r>
        <w:rPr>
          <w:rFonts w:hint="eastAsia" w:ascii="仿宋" w:hAnsi="仿宋" w:eastAsia="仿宋" w:cs="仿宋"/>
          <w:sz w:val="30"/>
          <w:szCs w:val="32"/>
        </w:rPr>
        <w:t>建设平安和谐有序的旅游城市</w:t>
      </w:r>
      <w:r>
        <w:rPr>
          <w:rFonts w:hint="eastAsia" w:ascii="仿宋" w:hAnsi="仿宋" w:eastAsia="仿宋" w:cs="仿宋"/>
          <w:sz w:val="30"/>
          <w:szCs w:val="32"/>
          <w:lang w:val="zh-CN"/>
        </w:rPr>
        <w:t>。</w:t>
      </w:r>
    </w:p>
    <w:p>
      <w:pPr>
        <w:tabs>
          <w:tab w:val="left" w:pos="7080"/>
        </w:tabs>
        <w:ind w:firstLine="600" w:firstLineChars="200"/>
        <w:outlineLvl w:val="0"/>
        <w:rPr>
          <w:rFonts w:ascii="仿宋" w:hAnsi="仿宋" w:eastAsia="仿宋" w:cs="仿宋"/>
          <w:sz w:val="30"/>
          <w:szCs w:val="32"/>
          <w:lang w:val="zh-CN"/>
        </w:rPr>
      </w:pPr>
    </w:p>
    <w:p>
      <w:pPr>
        <w:pStyle w:val="2"/>
        <w:spacing w:before="93"/>
        <w:rPr>
          <w:lang w:val="zh-CN"/>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r>
        <w:rPr>
          <w:rStyle w:val="28"/>
          <w:rFonts w:hint="eastAsia" w:ascii="方正小标宋_GBK" w:hAnsi="方正小标宋_GBK" w:eastAsia="方正小标宋_GBK" w:cs="方正小标宋_GBK"/>
          <w:sz w:val="32"/>
          <w:szCs w:val="32"/>
        </w:rPr>
        <w:t>附件3-5</w:t>
      </w:r>
    </w:p>
    <w:p>
      <w:pPr>
        <w:tabs>
          <w:tab w:val="left" w:pos="7080"/>
        </w:tabs>
        <w:outlineLvl w:val="0"/>
        <w:rPr>
          <w:rFonts w:ascii="仿宋" w:hAnsi="仿宋" w:eastAsia="仿宋" w:cs="仿宋"/>
          <w:sz w:val="30"/>
          <w:szCs w:val="32"/>
        </w:rPr>
      </w:pPr>
    </w:p>
    <w:p>
      <w:pPr>
        <w:ind w:firstLine="720"/>
        <w:jc w:val="center"/>
        <w:rPr>
          <w:rFonts w:ascii="宋体" w:hAnsi="宋体" w:cs="宋体"/>
          <w:b/>
          <w:sz w:val="36"/>
          <w:szCs w:val="44"/>
        </w:rPr>
      </w:pPr>
      <w:r>
        <w:rPr>
          <w:rFonts w:hint="eastAsia" w:ascii="Arial" w:hAnsi="Arial" w:cs="Arial"/>
          <w:b/>
          <w:sz w:val="36"/>
          <w:szCs w:val="44"/>
        </w:rPr>
        <w:t>2022年</w:t>
      </w:r>
      <w:r>
        <w:rPr>
          <w:rFonts w:hint="eastAsia" w:ascii="宋体" w:hAnsi="宋体" w:cs="宋体"/>
          <w:b/>
          <w:sz w:val="36"/>
          <w:szCs w:val="44"/>
        </w:rPr>
        <w:t>峨眉山市农村客运车辆和水运船舶保险补贴绩效自评报告</w:t>
      </w:r>
    </w:p>
    <w:p>
      <w:pPr>
        <w:jc w:val="center"/>
        <w:rPr>
          <w:rFonts w:ascii="仿宋_GB2312"/>
          <w:szCs w:val="32"/>
        </w:rPr>
      </w:pPr>
    </w:p>
    <w:p>
      <w:pPr>
        <w:tabs>
          <w:tab w:val="left" w:pos="7080"/>
        </w:tabs>
        <w:ind w:firstLine="640" w:firstLineChars="200"/>
        <w:outlineLvl w:val="0"/>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一、项目情况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（一）项目资金申报及批复情况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为缓解峨眉山市农村客运车辆和水运船舶运营压力，确保我市农村客运和水运船舶运营正常，我局依据峨委常定〔2010〕64号会议纪要精神，于2022年初向市财政提出农村客运车辆和水运船舶保险补贴预算项目申请。根据峨财经投[2022]01号文件，2022年峨眉山市财政局共下达农村客运车辆和水运船舶保险补贴资金预算额度180万元。</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（二）项目绩效目标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该项目绩效目标为缓解峨眉山市农村客运和水运企业运营压力，确保我市农村客运和水运船舶运营正常，方便广大人民群众便捷畅通出行，促进全市经济快速发展。</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（三）项目资金申报相符性</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 xml:space="preserve"> 该项目申报内容与具体实施内容相符，申报目标合理可行。</w:t>
      </w:r>
    </w:p>
    <w:p>
      <w:pPr>
        <w:tabs>
          <w:tab w:val="left" w:pos="7080"/>
        </w:tabs>
        <w:ind w:firstLine="640" w:firstLineChars="200"/>
        <w:outlineLvl w:val="0"/>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二、项目实施及管理情况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（一）资金计划、到位及使用情况。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1.资金计划及到位情况。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2022年峨眉山市财政局共下达180万元农村客运车辆和水运船舶保险补贴资金计划。因财政资金困难，实际支付了137.59万元，执行率为76.44%。</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2.资金使用情况。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为了确保农村客运车辆和水运船舶保险补贴资金申报工作的严谨和数据的真实、客观以及填报工作的及时、准确，我局结合实际情况，逐级对客运企业提供的村客运车辆和水运船舶保险补贴数据进行审核，确认无误后签字盖章，并向市财政上报每月补贴计划申请。</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（二）项目财务管理情况。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严格按照《政府会计准则制度》等相关文件规定管理、使用资金，保证项目资金使用公开、公正，接受社会公共监督。建立健全内部财务管理制度和会计核算等相关制度，专项核算，强化资金管理。完善《峨眉山市交通运输局内控手册》，形成依制度议事、按制度办事、用制度规范行为的长效机制。</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（三）项目组织实施情况。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我局严格按项目预算安排积极开展农村客运车辆和水运船舶保险补贴审核上报工作，做到严格审批、及时上报、专款专用，没有滞留、截留、挤占和挪用的现象，确保企业补贴资金及时到位。成立项目实施推进领导小组，由一把手亲自领导，分管领导直接抓，负责该项目的工作落实，在对项目实施进度自查评估的基础上，发现薄弱环节，立即整改完善应对措施。</w:t>
      </w:r>
    </w:p>
    <w:p>
      <w:pPr>
        <w:tabs>
          <w:tab w:val="left" w:pos="7080"/>
        </w:tabs>
        <w:ind w:firstLine="640" w:firstLineChars="200"/>
        <w:outlineLvl w:val="0"/>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三、项目绩效情况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（一）项目完成情况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1.数量指标。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用于峨眉山市130台农村客运车辆和水运船舶保险补贴的发放。</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2.质量指标。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我市新能源客运车辆规模化推广应用总体符合工信部“新能源汽车推广应用工程推荐车型目录”要求，车辆质量符合国家规定。</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3.时效指标。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在2022年完成该项目补贴资金的发放。</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4.成本指标。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将农村客运车辆和水运船舶保险补贴资金发放成本控制180万元以内。</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（二）项目效益情况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1.经济效益。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缓解峨眉山市农村客运车辆和水运船舶运营压力，确保我市农村客运和水运船舶运营正常，促进全市经济快速发展。</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2.社会效益。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我市交通通行条件得到显著提高，人民群众出行得到了保障，提升城乡居民幸福感。</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3.生态效益。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提高农村客运车辆天燃气运营比例，减少了车辆尾气对环境的污染，生态效益显著提升。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4.可持续影响。</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通过项目实施，适应未来一段时间广大人民群众交通出行需求，推动该项工作长期稳定可持续发展。</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5.满意度指标完成情况分析。</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群众满意度达到90%以上，得到广大人民群众和社会的好评，取得了良好的社会效益。</w:t>
      </w:r>
    </w:p>
    <w:p>
      <w:pPr>
        <w:tabs>
          <w:tab w:val="left" w:pos="7080"/>
        </w:tabs>
        <w:ind w:firstLine="640" w:firstLineChars="200"/>
        <w:outlineLvl w:val="0"/>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四、问题及建议</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（一）存在的问题</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因财政资金困难，该项目补贴资金不能按期足额发放，客运企业运营有一定的压力。</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（一）相关建议</w:t>
      </w:r>
    </w:p>
    <w:p>
      <w:pPr>
        <w:tabs>
          <w:tab w:val="left" w:pos="7080"/>
        </w:tabs>
        <w:ind w:firstLine="600" w:firstLineChars="200"/>
        <w:outlineLvl w:val="0"/>
        <w:rPr>
          <w:rFonts w:ascii="仿宋" w:hAnsi="仿宋" w:eastAsia="仿宋" w:cs="仿宋"/>
          <w:sz w:val="30"/>
          <w:szCs w:val="32"/>
          <w:lang w:val="zh-CN"/>
        </w:rPr>
      </w:pPr>
      <w:r>
        <w:rPr>
          <w:rFonts w:hint="eastAsia" w:ascii="仿宋" w:hAnsi="仿宋" w:eastAsia="仿宋" w:cs="仿宋"/>
          <w:sz w:val="30"/>
          <w:szCs w:val="32"/>
        </w:rPr>
        <w:t>加强项目开展进度的跟踪，做好与市财政补贴资金支付对接工作，</w:t>
      </w:r>
      <w:r>
        <w:rPr>
          <w:rFonts w:hint="eastAsia" w:ascii="仿宋" w:hAnsi="仿宋" w:eastAsia="仿宋" w:cs="仿宋"/>
          <w:sz w:val="30"/>
          <w:szCs w:val="32"/>
          <w:lang w:val="zh-CN"/>
        </w:rPr>
        <w:t>及时解决</w:t>
      </w:r>
      <w:r>
        <w:rPr>
          <w:rFonts w:hint="eastAsia" w:ascii="仿宋" w:hAnsi="仿宋" w:eastAsia="仿宋" w:cs="仿宋"/>
          <w:sz w:val="30"/>
          <w:szCs w:val="32"/>
        </w:rPr>
        <w:t>农村客运车辆和水运船舶运营补贴资金发放中存在的困难</w:t>
      </w:r>
      <w:r>
        <w:rPr>
          <w:rFonts w:hint="eastAsia" w:ascii="仿宋" w:hAnsi="仿宋" w:eastAsia="仿宋" w:cs="仿宋"/>
          <w:sz w:val="30"/>
          <w:szCs w:val="32"/>
          <w:lang w:val="zh-CN"/>
        </w:rPr>
        <w:t>，</w:t>
      </w:r>
      <w:r>
        <w:rPr>
          <w:rFonts w:hint="eastAsia" w:ascii="仿宋" w:hAnsi="仿宋" w:eastAsia="仿宋" w:cs="仿宋"/>
          <w:sz w:val="30"/>
          <w:szCs w:val="32"/>
        </w:rPr>
        <w:t>建设平安和谐有序的峨眉交通</w:t>
      </w:r>
      <w:r>
        <w:rPr>
          <w:rFonts w:hint="eastAsia" w:ascii="仿宋" w:hAnsi="仿宋" w:eastAsia="仿宋" w:cs="仿宋"/>
          <w:sz w:val="30"/>
          <w:szCs w:val="32"/>
          <w:lang w:val="zh-CN"/>
        </w:rPr>
        <w:t>。</w:t>
      </w:r>
    </w:p>
    <w:p>
      <w:pPr>
        <w:tabs>
          <w:tab w:val="left" w:pos="7080"/>
        </w:tabs>
        <w:ind w:firstLine="600" w:firstLineChars="200"/>
        <w:outlineLvl w:val="0"/>
        <w:rPr>
          <w:rFonts w:ascii="仿宋" w:hAnsi="仿宋" w:eastAsia="仿宋" w:cs="仿宋"/>
          <w:sz w:val="30"/>
          <w:szCs w:val="32"/>
          <w:lang w:val="zh-CN"/>
        </w:rPr>
      </w:pPr>
    </w:p>
    <w:p>
      <w:pPr>
        <w:pStyle w:val="2"/>
        <w:spacing w:before="93"/>
        <w:rPr>
          <w:lang w:val="zh-CN"/>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r>
        <w:rPr>
          <w:rStyle w:val="28"/>
          <w:rFonts w:hint="eastAsia" w:ascii="方正小标宋_GBK" w:hAnsi="方正小标宋_GBK" w:eastAsia="方正小标宋_GBK" w:cs="方正小标宋_GBK"/>
          <w:sz w:val="32"/>
          <w:szCs w:val="32"/>
        </w:rPr>
        <w:t>附件3-6</w:t>
      </w:r>
    </w:p>
    <w:p>
      <w:pPr>
        <w:tabs>
          <w:tab w:val="left" w:pos="7080"/>
        </w:tabs>
        <w:outlineLvl w:val="0"/>
        <w:rPr>
          <w:rFonts w:ascii="仿宋" w:hAnsi="仿宋" w:eastAsia="仿宋" w:cs="仿宋"/>
          <w:sz w:val="30"/>
          <w:szCs w:val="32"/>
        </w:rPr>
      </w:pPr>
    </w:p>
    <w:p/>
    <w:p>
      <w:pPr>
        <w:ind w:firstLine="720"/>
        <w:jc w:val="center"/>
        <w:rPr>
          <w:rFonts w:ascii="宋体" w:hAnsi="宋体" w:cs="宋体"/>
          <w:b/>
          <w:sz w:val="36"/>
          <w:szCs w:val="44"/>
        </w:rPr>
      </w:pPr>
      <w:r>
        <w:rPr>
          <w:rFonts w:hint="eastAsia" w:ascii="Arial" w:hAnsi="Arial" w:cs="Arial"/>
          <w:b/>
          <w:sz w:val="36"/>
          <w:szCs w:val="44"/>
        </w:rPr>
        <w:t>2022年</w:t>
      </w:r>
      <w:r>
        <w:rPr>
          <w:rFonts w:hint="eastAsia" w:ascii="宋体" w:hAnsi="宋体" w:cs="宋体"/>
          <w:b/>
          <w:sz w:val="36"/>
          <w:szCs w:val="44"/>
        </w:rPr>
        <w:t>峨眉山市农村道路座位及天燃气补贴绩效自评报告</w:t>
      </w:r>
    </w:p>
    <w:p>
      <w:pPr>
        <w:jc w:val="center"/>
        <w:rPr>
          <w:rFonts w:ascii="仿宋_GB2312"/>
          <w:szCs w:val="32"/>
        </w:rPr>
      </w:pPr>
    </w:p>
    <w:p>
      <w:pPr>
        <w:tabs>
          <w:tab w:val="left" w:pos="7080"/>
        </w:tabs>
        <w:ind w:firstLine="640" w:firstLineChars="200"/>
        <w:outlineLvl w:val="0"/>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一、项目情况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（一）项目资金申报及批复情况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为缓解峨眉山市农村客运车辆运营压力，确保我市农村客运车辆运营正常，我局依据峨府议〔2010〕40号会议纪要精神，于2022年初向市财政提出农村道路座位及天燃气补贴预算项目申请。根据峨财经投[2022]01号文件，2022年峨眉山市财政局共下达农村道路座位及天燃气补贴资金预算额度130万元。</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（二）项目绩效目标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该项目绩效目标为缓解峨眉山市农村客运企业运营压力，确保我市农村客运车辆运营正常，方便广大人民群众便捷畅通出行，促进全市经济快速发展。</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（三）项目资金申报相符性</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 xml:space="preserve"> 该项目申报内容与具体实施内容相符，申报目标合理可行。</w:t>
      </w:r>
    </w:p>
    <w:p>
      <w:pPr>
        <w:tabs>
          <w:tab w:val="left" w:pos="7080"/>
        </w:tabs>
        <w:ind w:firstLine="640" w:firstLineChars="200"/>
        <w:outlineLvl w:val="0"/>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二、项目实施及管理情况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（一）资金计划、到位及使用情况。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1.资金计划及到位情况。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2022年峨眉山市财政局共下达130万元农村道路座位及天燃气补贴资金计划。实际支付了125.05万元，执行率为96.2%。</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2.资金使用情况。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为了确保农村道路座位及天燃气补贴资金申报工作的严谨和数据的真实、客观以及填报工作的及时、准确，我局结合实际情况，逐级对客运企业提供的农村道路座位及天燃气补贴数据进行审核，确认无误后签字盖章，并向市财政上报每月补贴计划申请。</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（二）项目财务管理情况。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严格按照《政府会计准则制度》等相关文件规定管理、使用资金，保证项目资金使用公开、公正，接受社会公共监督。建立健全内部财务管理制度和会计核算等相关制度，专项核算，强化资金管理。完善《峨眉山市交通运输局内控手册》，形成依制度议事、按制度办事、用制度规范行为的长效机制。</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（三）项目组织实施情况。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我局严格按项目预算安排积极开展农村道路座位及天燃气补贴数据审核上报工作，做到严格审批、及时上报、专款专用，没有滞留、截留、挤占和挪用的现象，确保企业补贴资金及时到位。成立项目实施推进领导小组，由一把手亲自领导，分管领导直接抓，负责该项目的工作落实，在对项目实施进度自查评估的基础上，发现薄弱环节，立即整改完善应对措施。</w:t>
      </w:r>
    </w:p>
    <w:p>
      <w:pPr>
        <w:tabs>
          <w:tab w:val="left" w:pos="7080"/>
        </w:tabs>
        <w:ind w:firstLine="640" w:firstLineChars="200"/>
        <w:outlineLvl w:val="0"/>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三、项目绩效情况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（一）项目完成情况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1.数量指标。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用于峨眉山市41台农村客运车辆道路座位补贴和71台农村客运车辆天燃气补贴的发放。</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2.质量指标。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我市新能源客运车辆规模化推广应用总体符合工信部“新能源汽车推广应用工程推荐车型目录”要求，车辆质量符合国家规定。</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3.时效指标。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在2022年完成该项目补贴资金的发放。</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4.成本指标。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将农村道路座位及天燃气补贴资金发放成本控制130万元以内。</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（二）项目效益情况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1.经济效益。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缓解峨眉山市农村客运车辆运营压力，确保我市农村客运车辆运营正常，促进全市经济快速发展。</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2.社会效益。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我市交通通行条件得到显著提高，人民群众出行得到了保障，提升城乡居民幸福感。</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3.生态效益。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提高农村客运车辆天燃气运营比例，减少了车辆尾气对环境的污染，生态效益显著提升。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4.可持续影响。</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通过项目实施，适应未来一段时间广大人民群众交通出行需求，推动该项工作长期稳定可持续发展。</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5.满意度指标完成情况分析。</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群众满意度达到90%以上，得到广大人民群众和社会的好评，取得了良好的社会效益。</w:t>
      </w:r>
    </w:p>
    <w:p>
      <w:pPr>
        <w:tabs>
          <w:tab w:val="left" w:pos="7080"/>
        </w:tabs>
        <w:ind w:firstLine="640" w:firstLineChars="200"/>
        <w:outlineLvl w:val="0"/>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四、问题及建议</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（一）存在的问题</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 xml:space="preserve"> 每月补贴资金拨付不够及时，企业运营有一定的压力。</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（二）相关建议</w:t>
      </w:r>
    </w:p>
    <w:p>
      <w:pPr>
        <w:tabs>
          <w:tab w:val="left" w:pos="7080"/>
        </w:tabs>
        <w:ind w:firstLine="600" w:firstLineChars="200"/>
        <w:outlineLvl w:val="0"/>
        <w:rPr>
          <w:rFonts w:ascii="仿宋" w:hAnsi="仿宋" w:eastAsia="仿宋" w:cs="仿宋"/>
          <w:sz w:val="30"/>
          <w:szCs w:val="32"/>
          <w:lang w:val="zh-CN"/>
        </w:rPr>
      </w:pPr>
      <w:r>
        <w:rPr>
          <w:rFonts w:hint="eastAsia" w:ascii="仿宋" w:hAnsi="仿宋" w:eastAsia="仿宋" w:cs="仿宋"/>
          <w:sz w:val="30"/>
          <w:szCs w:val="32"/>
        </w:rPr>
        <w:t>加强项目开展进度的跟踪，做好与市财政补贴资金支付对接工作，</w:t>
      </w:r>
      <w:r>
        <w:rPr>
          <w:rFonts w:hint="eastAsia" w:ascii="仿宋" w:hAnsi="仿宋" w:eastAsia="仿宋" w:cs="仿宋"/>
          <w:sz w:val="30"/>
          <w:szCs w:val="32"/>
          <w:lang w:val="zh-CN"/>
        </w:rPr>
        <w:t>及时解决</w:t>
      </w:r>
      <w:r>
        <w:rPr>
          <w:rFonts w:hint="eastAsia" w:ascii="仿宋" w:hAnsi="仿宋" w:eastAsia="仿宋" w:cs="仿宋"/>
          <w:sz w:val="30"/>
          <w:szCs w:val="32"/>
        </w:rPr>
        <w:t>农农村道路座位及天燃气补贴资金发放中存在的困难</w:t>
      </w:r>
      <w:r>
        <w:rPr>
          <w:rFonts w:hint="eastAsia" w:ascii="仿宋" w:hAnsi="仿宋" w:eastAsia="仿宋" w:cs="仿宋"/>
          <w:sz w:val="30"/>
          <w:szCs w:val="32"/>
          <w:lang w:val="zh-CN"/>
        </w:rPr>
        <w:t>，</w:t>
      </w:r>
      <w:r>
        <w:rPr>
          <w:rFonts w:hint="eastAsia" w:ascii="仿宋" w:hAnsi="仿宋" w:eastAsia="仿宋" w:cs="仿宋"/>
          <w:sz w:val="30"/>
          <w:szCs w:val="32"/>
        </w:rPr>
        <w:t>建设平安和谐有序的峨眉交通</w:t>
      </w:r>
      <w:r>
        <w:rPr>
          <w:rFonts w:hint="eastAsia" w:ascii="仿宋" w:hAnsi="仿宋" w:eastAsia="仿宋" w:cs="仿宋"/>
          <w:sz w:val="30"/>
          <w:szCs w:val="32"/>
          <w:lang w:val="zh-CN"/>
        </w:rPr>
        <w:t>。</w:t>
      </w:r>
    </w:p>
    <w:p>
      <w:pPr>
        <w:tabs>
          <w:tab w:val="left" w:pos="7080"/>
        </w:tabs>
        <w:ind w:firstLine="600" w:firstLineChars="200"/>
        <w:outlineLvl w:val="0"/>
        <w:rPr>
          <w:rFonts w:ascii="仿宋" w:hAnsi="仿宋" w:eastAsia="仿宋" w:cs="仿宋"/>
          <w:sz w:val="30"/>
          <w:szCs w:val="32"/>
          <w:lang w:val="zh-CN"/>
        </w:rPr>
      </w:pPr>
    </w:p>
    <w:p>
      <w:pPr>
        <w:tabs>
          <w:tab w:val="left" w:pos="7080"/>
        </w:tabs>
        <w:ind w:firstLine="600" w:firstLineChars="200"/>
        <w:outlineLvl w:val="0"/>
        <w:rPr>
          <w:rFonts w:ascii="仿宋" w:hAnsi="仿宋" w:eastAsia="仿宋" w:cs="仿宋"/>
          <w:sz w:val="30"/>
          <w:szCs w:val="32"/>
          <w:lang w:val="zh-CN"/>
        </w:rPr>
      </w:pPr>
    </w:p>
    <w:p>
      <w:pPr>
        <w:tabs>
          <w:tab w:val="left" w:pos="7080"/>
        </w:tabs>
        <w:ind w:firstLine="600" w:firstLineChars="200"/>
        <w:outlineLvl w:val="0"/>
        <w:rPr>
          <w:rFonts w:ascii="仿宋" w:hAnsi="仿宋" w:eastAsia="仿宋" w:cs="仿宋"/>
          <w:sz w:val="30"/>
          <w:szCs w:val="32"/>
          <w:lang w:val="zh-CN"/>
        </w:rPr>
      </w:pPr>
    </w:p>
    <w:p>
      <w:pPr>
        <w:tabs>
          <w:tab w:val="left" w:pos="7080"/>
        </w:tabs>
        <w:ind w:firstLine="600" w:firstLineChars="200"/>
        <w:outlineLvl w:val="0"/>
        <w:rPr>
          <w:rFonts w:ascii="仿宋" w:hAnsi="仿宋" w:eastAsia="仿宋" w:cs="仿宋"/>
          <w:sz w:val="30"/>
          <w:szCs w:val="32"/>
          <w:lang w:val="zh-CN"/>
        </w:rPr>
      </w:pPr>
    </w:p>
    <w:p>
      <w:pPr>
        <w:tabs>
          <w:tab w:val="left" w:pos="7080"/>
        </w:tabs>
        <w:ind w:firstLine="600" w:firstLineChars="200"/>
        <w:outlineLvl w:val="0"/>
        <w:rPr>
          <w:rFonts w:ascii="仿宋" w:hAnsi="仿宋" w:eastAsia="仿宋" w:cs="仿宋"/>
          <w:sz w:val="30"/>
          <w:szCs w:val="32"/>
          <w:lang w:val="zh-CN"/>
        </w:rPr>
      </w:pPr>
    </w:p>
    <w:p>
      <w:pPr>
        <w:tabs>
          <w:tab w:val="left" w:pos="7080"/>
        </w:tabs>
        <w:ind w:firstLine="600" w:firstLineChars="200"/>
        <w:outlineLvl w:val="0"/>
        <w:rPr>
          <w:rFonts w:ascii="仿宋" w:hAnsi="仿宋" w:eastAsia="仿宋" w:cs="仿宋"/>
          <w:sz w:val="30"/>
          <w:szCs w:val="32"/>
          <w:lang w:val="zh-CN"/>
        </w:rPr>
      </w:pPr>
    </w:p>
    <w:p>
      <w:pPr>
        <w:tabs>
          <w:tab w:val="left" w:pos="7080"/>
        </w:tabs>
        <w:ind w:firstLine="600" w:firstLineChars="200"/>
        <w:outlineLvl w:val="0"/>
        <w:rPr>
          <w:rFonts w:ascii="仿宋" w:hAnsi="仿宋" w:eastAsia="仿宋" w:cs="仿宋"/>
          <w:sz w:val="30"/>
          <w:szCs w:val="32"/>
          <w:lang w:val="zh-CN"/>
        </w:rPr>
      </w:pPr>
    </w:p>
    <w:p>
      <w:pPr>
        <w:tabs>
          <w:tab w:val="left" w:pos="7080"/>
        </w:tabs>
        <w:ind w:firstLine="600" w:firstLineChars="200"/>
        <w:outlineLvl w:val="0"/>
        <w:rPr>
          <w:rFonts w:ascii="仿宋" w:hAnsi="仿宋" w:eastAsia="仿宋" w:cs="仿宋"/>
          <w:sz w:val="30"/>
          <w:szCs w:val="32"/>
          <w:lang w:val="zh-CN"/>
        </w:rPr>
      </w:pPr>
    </w:p>
    <w:p>
      <w:pPr>
        <w:tabs>
          <w:tab w:val="left" w:pos="7080"/>
        </w:tabs>
        <w:ind w:firstLine="600" w:firstLineChars="200"/>
        <w:outlineLvl w:val="0"/>
        <w:rPr>
          <w:rFonts w:ascii="仿宋" w:hAnsi="仿宋" w:eastAsia="仿宋" w:cs="仿宋"/>
          <w:sz w:val="30"/>
          <w:szCs w:val="32"/>
          <w:lang w:val="zh-CN"/>
        </w:rPr>
      </w:pPr>
    </w:p>
    <w:p>
      <w:pPr>
        <w:widowControl/>
        <w:spacing w:line="540" w:lineRule="exact"/>
        <w:rPr>
          <w:rStyle w:val="28"/>
          <w:rFonts w:ascii="方正小标宋_GBK" w:hAnsi="方正小标宋_GBK" w:eastAsia="方正小标宋_GBK" w:cs="方正小标宋_GBK"/>
          <w:sz w:val="32"/>
          <w:szCs w:val="32"/>
        </w:rPr>
      </w:pPr>
      <w:r>
        <w:rPr>
          <w:rStyle w:val="28"/>
          <w:rFonts w:hint="eastAsia" w:ascii="方正小标宋_GBK" w:hAnsi="方正小标宋_GBK" w:eastAsia="方正小标宋_GBK" w:cs="方正小标宋_GBK"/>
          <w:sz w:val="32"/>
          <w:szCs w:val="32"/>
        </w:rPr>
        <w:t>附件3-7</w:t>
      </w:r>
    </w:p>
    <w:p/>
    <w:p>
      <w:pPr>
        <w:ind w:firstLine="720"/>
        <w:jc w:val="center"/>
        <w:rPr>
          <w:rFonts w:ascii="宋体" w:hAnsi="宋体" w:cs="宋体"/>
          <w:b/>
          <w:sz w:val="36"/>
          <w:szCs w:val="44"/>
        </w:rPr>
      </w:pPr>
      <w:r>
        <w:rPr>
          <w:rFonts w:hint="eastAsia" w:ascii="Arial" w:hAnsi="Arial" w:cs="Arial"/>
          <w:b/>
          <w:sz w:val="36"/>
          <w:szCs w:val="44"/>
        </w:rPr>
        <w:t>2022年</w:t>
      </w:r>
      <w:r>
        <w:rPr>
          <w:rFonts w:hint="eastAsia" w:ascii="宋体" w:hAnsi="宋体" w:cs="宋体"/>
          <w:b/>
          <w:sz w:val="36"/>
          <w:szCs w:val="44"/>
        </w:rPr>
        <w:t>峨眉山市全市疫情便民服务点工作经费</w:t>
      </w:r>
    </w:p>
    <w:p>
      <w:pPr>
        <w:ind w:firstLine="720"/>
        <w:jc w:val="center"/>
        <w:rPr>
          <w:rFonts w:ascii="宋体" w:hAnsi="宋体" w:cs="宋体"/>
          <w:b/>
          <w:sz w:val="36"/>
          <w:szCs w:val="44"/>
        </w:rPr>
      </w:pPr>
      <w:r>
        <w:rPr>
          <w:rFonts w:hint="eastAsia" w:ascii="宋体" w:hAnsi="宋体" w:cs="宋体"/>
          <w:b/>
          <w:sz w:val="36"/>
          <w:szCs w:val="44"/>
        </w:rPr>
        <w:t>绩效自评报告</w:t>
      </w:r>
    </w:p>
    <w:p>
      <w:pPr>
        <w:jc w:val="center"/>
        <w:rPr>
          <w:rFonts w:ascii="仿宋_GB2312"/>
          <w:szCs w:val="32"/>
        </w:rPr>
      </w:pPr>
    </w:p>
    <w:p>
      <w:pPr>
        <w:tabs>
          <w:tab w:val="left" w:pos="7080"/>
        </w:tabs>
        <w:ind w:firstLine="640" w:firstLineChars="200"/>
        <w:outlineLvl w:val="0"/>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一、项目情况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（一）项目资金申报及批复情况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根据《乐山市应对新型冠状病毒肺炎疫情应急指挥部关于进一步从严从紧做好疫情防控工作的通知》（乐肺炎指发【2022】5号）文件，为有效阻断新型冠状病毒传播途径，按市疫情防控指挥部“关口前移”要求，我局于4月1日起，牵头在我市高速路口、铁路站场出口、客运站出口、国省干线节点设置了防疫便民服务点。依据市领导对《峨眉山市交通运输局关于申请拨付防疫便民服务点工作经费的请示》（峨交发【2022】66号）的批复意见，向市财政提出了全市疫情便民服务点工作经费项目申请。根据峨财预[2022]0387号、0388号、0544号文件，2022年峨眉山市财政局共下达全市疫情便民服务点工作经费预算额度150万元。</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（二）项目绩效目标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该项目绩效目标为进一步从严从紧做好疫情防控工作，有效阻断新型冠状病毒传播途径，尽早实现疫情“动态清零”，确保我市经济快速恢复发展。</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（三）项目资金申报相符性</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 xml:space="preserve"> 该项目申报内容与具体实施内容相符，申报目标合理可行。</w:t>
      </w:r>
    </w:p>
    <w:p>
      <w:pPr>
        <w:tabs>
          <w:tab w:val="left" w:pos="7080"/>
        </w:tabs>
        <w:ind w:firstLine="640" w:firstLineChars="200"/>
        <w:outlineLvl w:val="0"/>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二、项目实施及管理情况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（一）资金计划、到位及使用情况。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1.资金计划及到位情况。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2022年峨眉山市财政局共下达150万元全市疫情便民服务点工作经费资金计划，实际支付80.58万元，执行率为53.72%。</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2.资金使用情况。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为了确保全市疫情便民服务点工作经费申报工作的严谨和数据的真实、客观以及申报工作的及时、准确，我局结合实际情况，制定了《峨眉山市设置防疫便民服务点工作方案》，并落实专人负责，逐级对各防疫便民服务点经费开展情况进行审核，并及时向市财政上报防疫便民服务点经费计划申请。</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（二）项目财务管理情况。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严格按照《政府会计准则制度》等相关文件规定管理、使用资金，保证项目资金使用公开、公正，接受社会公共监督。建立健全内部财务管理制度和会计核算等相关制度，专项核算，强化资金管理。完善《峨眉山市交通运输局内控手册》，形成依制度议事、按制度办事、用制度规范行为的长效机制。</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（三）项目组织实施情况。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我局严格按项目预算安排积极开展全市疫情便民服务点工作经费审核上报工作，做到严格审批、及时上报、专款专用，没有滞留、截留、挤占和挪用的现象，确保全市疫情便民服务点工作经费得到保障。成立项目实施推进领导小组，由一把手亲自领导，分管领导直接抓，负责该项目的工作落实，在对项目实施进度自查评估的基础上，发现薄弱环节，立即整改完善应对措施。</w:t>
      </w:r>
    </w:p>
    <w:p>
      <w:pPr>
        <w:tabs>
          <w:tab w:val="left" w:pos="7080"/>
        </w:tabs>
        <w:ind w:firstLine="640" w:firstLineChars="200"/>
        <w:outlineLvl w:val="0"/>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三、项目绩效情况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（一）项目完成情况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1.数量指标。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用于峨眉山市6个疫情便民服务点工作经费。</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2.质量指标。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有效阻断新型冠状病毒传播途径，尽早实现疫情“动态清零”。</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3.时效指标。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在2022年完成该项目工作经费的发放。</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4.成本指标。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将疫情便民服务点工作经费成本控制150万元以内。</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（二）项目效益情况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1.经济效益。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进一步从严从紧做好疫情防控工作，有效阻断新型冠状病毒传播途径，尽早实现疫情“动态清零”，确保我市经济快速恢复发展。</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2.社会效益。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通过该项目的实施，有效阻断新型冠状病毒传播途径，确保城乡居民安全出行，取得了良好的社会效益。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3.生态效益。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通过该项目的实施，有效阻断新型冠状病毒传播途径，减少新型冠状病毒对环境的污染，生态效益显著提升。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4.可持续影响。</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通过项目实施，恢复广大人民群众安全出行的需求，尽早实现疫情防控工作的全面胜利。</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5.满意度指标完成情况分析。</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群众满意度达到90%以上，得到广大人民群众和社会的好评。</w:t>
      </w:r>
    </w:p>
    <w:p>
      <w:pPr>
        <w:tabs>
          <w:tab w:val="left" w:pos="7080"/>
        </w:tabs>
        <w:ind w:firstLine="640" w:firstLineChars="200"/>
        <w:outlineLvl w:val="0"/>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四、问题及建议</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 xml:space="preserve">     无</w:t>
      </w:r>
    </w:p>
    <w:p>
      <w:pPr>
        <w:spacing w:line="580" w:lineRule="exact"/>
        <w:rPr>
          <w:rStyle w:val="28"/>
          <w:rFonts w:ascii="黑体" w:hAnsi="黑体" w:eastAsia="黑体"/>
          <w:b w:val="0"/>
        </w:rPr>
      </w:pPr>
    </w:p>
    <w:p>
      <w:pPr>
        <w:widowControl/>
        <w:jc w:val="left"/>
        <w:rPr>
          <w:rStyle w:val="28"/>
          <w:rFonts w:ascii="黑体" w:hAnsi="黑体" w:eastAsia="黑体"/>
          <w:b w:val="0"/>
        </w:rPr>
      </w:pPr>
    </w:p>
    <w:p>
      <w:pPr>
        <w:widowControl/>
        <w:jc w:val="left"/>
        <w:rPr>
          <w:rStyle w:val="28"/>
          <w:rFonts w:ascii="黑体" w:hAnsi="黑体" w:eastAsia="黑体"/>
          <w:b w:val="0"/>
        </w:rPr>
      </w:pPr>
    </w:p>
    <w:p>
      <w:pPr>
        <w:widowControl/>
        <w:jc w:val="left"/>
        <w:rPr>
          <w:rStyle w:val="28"/>
          <w:rFonts w:ascii="黑体" w:hAnsi="黑体" w:eastAsia="黑体"/>
          <w:b w:val="0"/>
        </w:rPr>
      </w:pPr>
    </w:p>
    <w:p>
      <w:pPr>
        <w:widowControl/>
        <w:jc w:val="left"/>
        <w:rPr>
          <w:rStyle w:val="28"/>
          <w:rFonts w:ascii="黑体" w:hAnsi="黑体" w:eastAsia="黑体"/>
          <w:b w:val="0"/>
        </w:rPr>
      </w:pPr>
    </w:p>
    <w:p>
      <w:pPr>
        <w:widowControl/>
        <w:jc w:val="left"/>
        <w:rPr>
          <w:rStyle w:val="28"/>
          <w:rFonts w:ascii="黑体" w:hAnsi="黑体" w:eastAsia="黑体"/>
          <w:b w:val="0"/>
        </w:rPr>
      </w:pPr>
    </w:p>
    <w:p>
      <w:pPr>
        <w:widowControl/>
        <w:jc w:val="left"/>
        <w:rPr>
          <w:rStyle w:val="28"/>
          <w:rFonts w:ascii="黑体" w:hAnsi="黑体" w:eastAsia="黑体"/>
          <w:b w:val="0"/>
        </w:rPr>
      </w:pPr>
    </w:p>
    <w:p>
      <w:pPr>
        <w:widowControl/>
        <w:jc w:val="left"/>
        <w:rPr>
          <w:rStyle w:val="28"/>
          <w:rFonts w:ascii="黑体" w:hAnsi="黑体" w:eastAsia="黑体"/>
          <w:b w:val="0"/>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p>
    <w:p>
      <w:pPr>
        <w:widowControl/>
        <w:spacing w:line="540" w:lineRule="exact"/>
        <w:rPr>
          <w:rStyle w:val="28"/>
          <w:rFonts w:ascii="方正小标宋_GBK" w:hAnsi="方正小标宋_GBK" w:eastAsia="方正小标宋_GBK" w:cs="方正小标宋_GBK"/>
          <w:sz w:val="32"/>
          <w:szCs w:val="32"/>
        </w:rPr>
      </w:pPr>
      <w:r>
        <w:rPr>
          <w:rStyle w:val="28"/>
          <w:rFonts w:hint="eastAsia" w:ascii="方正小标宋_GBK" w:hAnsi="方正小标宋_GBK" w:eastAsia="方正小标宋_GBK" w:cs="方正小标宋_GBK"/>
          <w:sz w:val="32"/>
          <w:szCs w:val="32"/>
        </w:rPr>
        <w:t>附件3-8</w:t>
      </w:r>
    </w:p>
    <w:p>
      <w:pPr>
        <w:widowControl/>
        <w:jc w:val="left"/>
        <w:rPr>
          <w:rStyle w:val="28"/>
          <w:rFonts w:ascii="黑体" w:hAnsi="黑体" w:eastAsia="黑体"/>
          <w:b w:val="0"/>
        </w:rPr>
      </w:pPr>
    </w:p>
    <w:p>
      <w:pPr>
        <w:jc w:val="center"/>
        <w:rPr>
          <w:rFonts w:ascii="宋体" w:hAnsi="宋体" w:cs="宋体"/>
          <w:b/>
          <w:sz w:val="36"/>
          <w:szCs w:val="44"/>
        </w:rPr>
      </w:pPr>
      <w:r>
        <w:rPr>
          <w:rFonts w:hint="eastAsia" w:ascii="Arial" w:hAnsi="Arial" w:cs="Arial"/>
          <w:b/>
          <w:sz w:val="36"/>
          <w:szCs w:val="44"/>
        </w:rPr>
        <w:t>2022年峨眉山市交通运输局交通重点建设项目工程费用</w:t>
      </w:r>
      <w:r>
        <w:rPr>
          <w:rFonts w:hint="eastAsia" w:ascii="宋体" w:hAnsi="宋体" w:cs="宋体"/>
          <w:b/>
          <w:sz w:val="36"/>
          <w:szCs w:val="44"/>
        </w:rPr>
        <w:t>绩效自评报告</w:t>
      </w:r>
    </w:p>
    <w:p>
      <w:pPr>
        <w:jc w:val="center"/>
        <w:rPr>
          <w:rFonts w:ascii="仿宋_GB2312"/>
          <w:szCs w:val="32"/>
        </w:rPr>
      </w:pPr>
    </w:p>
    <w:p>
      <w:pPr>
        <w:tabs>
          <w:tab w:val="left" w:pos="7080"/>
        </w:tabs>
        <w:ind w:firstLine="640" w:firstLineChars="200"/>
        <w:outlineLvl w:val="0"/>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一、项目情况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（一）项目资金申报及批复情况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根据我局的职能职责，年初向市财政提出申报2022年交通重点建设项目工程费用（含全市工程款及征地拆迁款、交通建设工程经费）2496.22万元，结合工作所需，市财政局全年累计下达我局全市工程款及征地拆迁款1314.17万元，交通建设工程费用1182.05万元。</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（二）项目绩效目标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2022年交通重点建设项目工程费用（含全市工程款及征地拆迁款、交通建设工程经费）总体绩效目标为通过交通运输和物流业规划、交通运输市场、交通建设市场、水上交通安全监管等项目的实施，深入落实上级各项方针政策，做好我市交通全面发展规划，建设稳定有序客货运市场，提升我市交通基础设施硬环境，为人民群众创造良好出行环境，促进全市经济快速发展。</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（三）项目资金申报相符性</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该项目申报内容与具体实施内容相符，申报目标合理可行。</w:t>
      </w:r>
    </w:p>
    <w:p>
      <w:pPr>
        <w:tabs>
          <w:tab w:val="left" w:pos="7080"/>
        </w:tabs>
        <w:ind w:firstLine="640" w:firstLineChars="200"/>
        <w:outlineLvl w:val="0"/>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二、项目实施及管理情况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（一）资金计划、到位及使用情况。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1.资金计划及到位情况。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2022年初峨眉山市财政局共下达2496.22万元交通重点建设项目工程费用（含全市工程款及征地拆迁款、交通建设工程经费），实际支付了2496.22万元，执行率为100%。</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2.资金使用情况。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为了确保交通重点建设项目工程费用（含全市工程款及征地拆迁款、交通建设工程经费）申报工作的严谨和数据的真实、客观以及申报工作的及时、准确，我局结合实际情况，逐级对通重点建设项目工程费用使用进行审核，并据实向财政上报每月资金用款计划。</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（二）项目财务管理情况。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严格按照《政府会计准则制度》等相关文件规定管理、使用资金，保证项目资金使用公开、公正，接受社会公共监督。建立健全内部财务管理制度和会计核算等相关制度，专项核算，强化资金管理。完善《峨眉山市交通运输局内控手册》，形成依制度议事、按制度办事、用制度规范行为的长效机制。</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（三）项目组织实施情况。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我局严格按市财政项目预算安排，积极开展2022年交通重点建设项目工程费用（含全市工程款及征地拆迁款、交通建设工程经费）项目上报工作，做到严格审批、及时上报、专款专用，没有滞留、截留、挤占和挪用的现象，确保交通重点建设项目工程费用项目资金及时到位。成立项目推进领导小组，由一把手亲自领导，分管领导直接抓，负责该项目的工作落实，在对项目实施进度自查评估的基础上，发现薄弱环节，立即整改完善应对措施。</w:t>
      </w:r>
    </w:p>
    <w:p>
      <w:pPr>
        <w:tabs>
          <w:tab w:val="left" w:pos="7080"/>
        </w:tabs>
        <w:ind w:firstLine="640" w:firstLineChars="200"/>
        <w:outlineLvl w:val="0"/>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三、项目绩效情况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（一）项目完成情况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1.数量指标。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交通重点建设项目工程费用项目共计2个，包括全市工程款及征地拆迁款、交通建设工程经费。</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2.质量指标。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各项建设工程质量验收率100%。</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3.时效指标。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在2022年内完成相关工作。</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4.成本指标。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2022年交通重点建设项目工程费用（含全市工程款及征地拆迁款、交通建设工程经费）成本控制在2496.22万元内。</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（二）项目效益情况</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1.经济效益。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通过项目实施，进一步完善交通基础设施建设，搞好客货运市场监管，方便广大人民群众便捷畅通出行，促进全市经济快速发展。</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2.社会效益。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通过项目的实施，极大地提高交通运输的通行条件，缓解和改善交通压力，消除安全隐患，取得了良好的社会效益。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3.生态效益。</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倡导绿色出行，减少对环境的污染，人民群众生活出行环境得到改善，生态效益显著提升。</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4.可持续影响。</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通过项目实施，适应未来一段时间交通发展的需要，推动该项工作长期稳定可持续发展。</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5.满意度指标完成情况分析。</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群众满意度达到90%以上，得到广大人民群众和社会的好评，取得了良好的社会效益。</w:t>
      </w:r>
    </w:p>
    <w:p>
      <w:pPr>
        <w:tabs>
          <w:tab w:val="left" w:pos="7080"/>
        </w:tabs>
        <w:ind w:firstLine="640" w:firstLineChars="200"/>
        <w:outlineLvl w:val="0"/>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四、问题及建议</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t>加快2022年交通重点建设项目工程费用（含全市工程款及征地拆迁款、交通建设工程经费）项目的预算执行，做好与市财政资金支付对接工作，</w:t>
      </w:r>
      <w:r>
        <w:rPr>
          <w:rFonts w:hint="eastAsia" w:ascii="仿宋" w:hAnsi="仿宋" w:eastAsia="仿宋" w:cs="仿宋"/>
          <w:sz w:val="30"/>
          <w:szCs w:val="32"/>
          <w:lang w:val="zh-CN"/>
        </w:rPr>
        <w:t>及时解决</w:t>
      </w:r>
      <w:r>
        <w:rPr>
          <w:rFonts w:hint="eastAsia" w:ascii="仿宋" w:hAnsi="仿宋" w:eastAsia="仿宋" w:cs="仿宋"/>
          <w:sz w:val="30"/>
          <w:szCs w:val="32"/>
        </w:rPr>
        <w:t>项目建设推进中存在的难点</w:t>
      </w:r>
      <w:r>
        <w:rPr>
          <w:rFonts w:hint="eastAsia" w:ascii="仿宋" w:hAnsi="仿宋" w:eastAsia="仿宋" w:cs="仿宋"/>
          <w:sz w:val="30"/>
          <w:szCs w:val="32"/>
          <w:lang w:val="zh-CN"/>
        </w:rPr>
        <w:t>，</w:t>
      </w:r>
      <w:r>
        <w:rPr>
          <w:rFonts w:hint="eastAsia" w:ascii="仿宋" w:hAnsi="仿宋" w:eastAsia="仿宋" w:cs="仿宋"/>
          <w:sz w:val="30"/>
          <w:szCs w:val="32"/>
        </w:rPr>
        <w:t>想办法，添措施，</w:t>
      </w:r>
      <w:r>
        <w:rPr>
          <w:rFonts w:hint="eastAsia" w:ascii="仿宋" w:hAnsi="仿宋" w:eastAsia="仿宋" w:cs="仿宋"/>
          <w:sz w:val="30"/>
          <w:szCs w:val="32"/>
          <w:lang w:val="zh-CN"/>
        </w:rPr>
        <w:t>为我市交通建设提供</w:t>
      </w:r>
      <w:r>
        <w:rPr>
          <w:rFonts w:hint="eastAsia" w:ascii="仿宋" w:hAnsi="仿宋" w:eastAsia="仿宋" w:cs="仿宋"/>
          <w:sz w:val="30"/>
          <w:szCs w:val="32"/>
        </w:rPr>
        <w:t>强</w:t>
      </w:r>
      <w:r>
        <w:rPr>
          <w:rFonts w:hint="eastAsia" w:ascii="仿宋" w:hAnsi="仿宋" w:eastAsia="仿宋" w:cs="仿宋"/>
          <w:sz w:val="30"/>
          <w:szCs w:val="32"/>
          <w:lang w:val="zh-CN"/>
        </w:rPr>
        <w:t>有力</w:t>
      </w:r>
      <w:r>
        <w:rPr>
          <w:rFonts w:hint="eastAsia" w:ascii="仿宋" w:hAnsi="仿宋" w:eastAsia="仿宋" w:cs="仿宋"/>
          <w:sz w:val="30"/>
          <w:szCs w:val="32"/>
        </w:rPr>
        <w:t>的</w:t>
      </w:r>
      <w:r>
        <w:rPr>
          <w:rFonts w:hint="eastAsia" w:ascii="仿宋" w:hAnsi="仿宋" w:eastAsia="仿宋" w:cs="仿宋"/>
          <w:sz w:val="30"/>
          <w:szCs w:val="32"/>
          <w:lang w:val="zh-CN"/>
        </w:rPr>
        <w:t>保障。</w:t>
      </w:r>
    </w:p>
    <w:p>
      <w:pPr>
        <w:tabs>
          <w:tab w:val="left" w:pos="7080"/>
        </w:tabs>
        <w:ind w:firstLine="600" w:firstLineChars="200"/>
        <w:outlineLvl w:val="0"/>
        <w:rPr>
          <w:rFonts w:ascii="仿宋" w:hAnsi="仿宋" w:eastAsia="仿宋" w:cs="仿宋"/>
          <w:sz w:val="30"/>
          <w:szCs w:val="32"/>
        </w:rPr>
      </w:pPr>
      <w:r>
        <w:rPr>
          <w:rFonts w:hint="eastAsia" w:ascii="仿宋" w:hAnsi="仿宋" w:eastAsia="仿宋" w:cs="仿宋"/>
          <w:sz w:val="30"/>
          <w:szCs w:val="32"/>
        </w:rPr>
        <w:br w:type="page"/>
      </w:r>
    </w:p>
    <w:p>
      <w:pPr>
        <w:spacing w:line="600" w:lineRule="exact"/>
        <w:jc w:val="center"/>
        <w:outlineLvl w:val="0"/>
        <w:rPr>
          <w:rFonts w:ascii="仿宋" w:hAnsi="仿宋" w:eastAsia="仿宋"/>
        </w:rPr>
      </w:pPr>
      <w:bookmarkStart w:id="60" w:name="_Toc15396618"/>
      <w:r>
        <w:rPr>
          <w:rFonts w:hint="eastAsia" w:ascii="黑体" w:hAnsi="黑体" w:eastAsia="黑体"/>
          <w:sz w:val="44"/>
          <w:szCs w:val="44"/>
        </w:rPr>
        <w:t>第</w:t>
      </w:r>
      <w:r>
        <w:rPr>
          <w:rStyle w:val="28"/>
          <w:rFonts w:hint="eastAsia" w:ascii="黑体" w:hAnsi="黑体" w:eastAsia="黑体"/>
          <w:b w:val="0"/>
        </w:rPr>
        <w:t>五部分 附表</w:t>
      </w:r>
      <w:bookmarkEnd w:id="59"/>
      <w:bookmarkEnd w:id="60"/>
      <w:bookmarkStart w:id="61" w:name="_Toc15396619"/>
    </w:p>
    <w:p>
      <w:pPr>
        <w:pStyle w:val="4"/>
        <w:rPr>
          <w:rFonts w:ascii="仿宋" w:hAnsi="仿宋" w:eastAsia="仿宋"/>
        </w:rPr>
      </w:pPr>
      <w:r>
        <w:rPr>
          <w:rFonts w:hint="eastAsia" w:ascii="仿宋" w:hAnsi="仿宋" w:eastAsia="仿宋"/>
          <w:b w:val="0"/>
        </w:rPr>
        <w:t>一、收</w:t>
      </w:r>
      <w:r>
        <w:rPr>
          <w:rStyle w:val="29"/>
          <w:rFonts w:hint="eastAsia" w:ascii="仿宋" w:hAnsi="仿宋" w:eastAsia="仿宋"/>
          <w:b w:val="0"/>
          <w:bCs w:val="0"/>
        </w:rPr>
        <w:t>入支出决算总表</w:t>
      </w:r>
      <w:bookmarkEnd w:id="61"/>
    </w:p>
    <w:p>
      <w:pPr>
        <w:pStyle w:val="4"/>
        <w:rPr>
          <w:rFonts w:ascii="仿宋" w:hAnsi="仿宋" w:eastAsia="仿宋"/>
        </w:rPr>
      </w:pPr>
      <w:bookmarkStart w:id="62" w:name="_Toc15396620"/>
      <w:r>
        <w:rPr>
          <w:rFonts w:hint="eastAsia" w:ascii="仿宋" w:hAnsi="仿宋" w:eastAsia="仿宋"/>
          <w:b w:val="0"/>
        </w:rPr>
        <w:t>二、收</w:t>
      </w:r>
      <w:r>
        <w:rPr>
          <w:rStyle w:val="29"/>
          <w:rFonts w:hint="eastAsia" w:ascii="仿宋" w:hAnsi="仿宋" w:eastAsia="仿宋"/>
          <w:b w:val="0"/>
          <w:bCs w:val="0"/>
        </w:rPr>
        <w:t>入决算表</w:t>
      </w:r>
      <w:bookmarkEnd w:id="62"/>
    </w:p>
    <w:p>
      <w:pPr>
        <w:pStyle w:val="4"/>
        <w:rPr>
          <w:rFonts w:ascii="仿宋" w:hAnsi="仿宋" w:eastAsia="仿宋"/>
        </w:rPr>
      </w:pPr>
      <w:bookmarkStart w:id="63"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63"/>
    </w:p>
    <w:p>
      <w:pPr>
        <w:pStyle w:val="4"/>
        <w:rPr>
          <w:rFonts w:ascii="仿宋" w:hAnsi="仿宋" w:eastAsia="仿宋"/>
          <w:b w:val="0"/>
        </w:rPr>
      </w:pPr>
      <w:bookmarkStart w:id="64"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64"/>
    </w:p>
    <w:p>
      <w:pPr>
        <w:pStyle w:val="4"/>
        <w:rPr>
          <w:rStyle w:val="29"/>
          <w:rFonts w:ascii="仿宋" w:hAnsi="仿宋" w:eastAsia="仿宋"/>
          <w:b w:val="0"/>
          <w:bCs w:val="0"/>
        </w:rPr>
      </w:pPr>
      <w:bookmarkStart w:id="65"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65"/>
      <w:bookmarkStart w:id="66" w:name="_Toc15396624"/>
    </w:p>
    <w:p>
      <w:pPr>
        <w:pStyle w:val="4"/>
        <w:rPr>
          <w:rFonts w:ascii="仿宋" w:hAnsi="仿宋" w:eastAsia="仿宋"/>
        </w:rPr>
      </w:pPr>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66"/>
    </w:p>
    <w:p>
      <w:pPr>
        <w:pStyle w:val="4"/>
        <w:rPr>
          <w:rFonts w:ascii="仿宋" w:hAnsi="仿宋" w:eastAsia="仿宋"/>
        </w:rPr>
      </w:pPr>
      <w:bookmarkStart w:id="67"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67"/>
    </w:p>
    <w:p>
      <w:pPr>
        <w:pStyle w:val="4"/>
        <w:rPr>
          <w:rFonts w:ascii="仿宋" w:hAnsi="仿宋" w:eastAsia="仿宋"/>
        </w:rPr>
      </w:pPr>
      <w:bookmarkStart w:id="68"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68"/>
    </w:p>
    <w:p>
      <w:pPr>
        <w:pStyle w:val="4"/>
        <w:rPr>
          <w:rFonts w:ascii="仿宋" w:hAnsi="仿宋" w:eastAsia="仿宋"/>
        </w:rPr>
      </w:pPr>
      <w:bookmarkStart w:id="69"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69"/>
    </w:p>
    <w:p>
      <w:pPr>
        <w:pStyle w:val="4"/>
        <w:rPr>
          <w:rFonts w:ascii="仿宋" w:hAnsi="仿宋" w:eastAsia="仿宋"/>
        </w:rPr>
      </w:pPr>
      <w:bookmarkStart w:id="70" w:name="_Toc15396628"/>
      <w:r>
        <w:rPr>
          <w:rStyle w:val="29"/>
          <w:rFonts w:hint="eastAsia" w:ascii="仿宋" w:hAnsi="仿宋" w:eastAsia="仿宋"/>
          <w:b w:val="0"/>
          <w:bCs w:val="0"/>
        </w:rPr>
        <w:t>十、</w:t>
      </w:r>
      <w:bookmarkEnd w:id="70"/>
      <w:r>
        <w:rPr>
          <w:rFonts w:hint="eastAsia" w:ascii="仿宋" w:hAnsi="仿宋" w:eastAsia="仿宋"/>
          <w:b w:val="0"/>
        </w:rPr>
        <w:t>政</w:t>
      </w:r>
      <w:r>
        <w:rPr>
          <w:rStyle w:val="29"/>
          <w:rFonts w:hint="eastAsia" w:ascii="仿宋" w:hAnsi="仿宋" w:eastAsia="仿宋"/>
          <w:b w:val="0"/>
          <w:bCs w:val="0"/>
        </w:rPr>
        <w:t>府性基金预算财政拨款收入支出决算表</w:t>
      </w:r>
    </w:p>
    <w:p>
      <w:pPr>
        <w:pStyle w:val="4"/>
        <w:rPr>
          <w:rFonts w:ascii="仿宋" w:hAnsi="仿宋" w:eastAsia="仿宋"/>
        </w:rPr>
      </w:pPr>
      <w:bookmarkStart w:id="71" w:name="_Toc15396629"/>
      <w:r>
        <w:rPr>
          <w:rStyle w:val="29"/>
          <w:rFonts w:hint="eastAsia" w:ascii="仿宋" w:hAnsi="仿宋" w:eastAsia="仿宋"/>
          <w:b w:val="0"/>
          <w:bCs w:val="0"/>
        </w:rPr>
        <w:t>十一、</w:t>
      </w:r>
      <w:bookmarkEnd w:id="71"/>
      <w:r>
        <w:rPr>
          <w:rFonts w:hint="eastAsia" w:ascii="仿宋" w:hAnsi="仿宋" w:eastAsia="仿宋"/>
          <w:b w:val="0"/>
        </w:rPr>
        <w:t>国</w:t>
      </w:r>
      <w:r>
        <w:rPr>
          <w:rStyle w:val="29"/>
          <w:rFonts w:hint="eastAsia" w:ascii="仿宋" w:hAnsi="仿宋" w:eastAsia="仿宋"/>
          <w:b w:val="0"/>
          <w:bCs w:val="0"/>
        </w:rPr>
        <w:t>有资本经营预算财政拨款收入支出决算表</w:t>
      </w:r>
    </w:p>
    <w:p>
      <w:pPr>
        <w:pStyle w:val="4"/>
        <w:rPr>
          <w:rFonts w:ascii="仿宋" w:hAnsi="仿宋" w:eastAsia="仿宋"/>
        </w:rPr>
      </w:pPr>
      <w:bookmarkStart w:id="72" w:name="_Toc15396630"/>
      <w:r>
        <w:rPr>
          <w:rStyle w:val="29"/>
          <w:rFonts w:hint="eastAsia" w:ascii="仿宋" w:hAnsi="仿宋" w:eastAsia="仿宋"/>
          <w:b w:val="0"/>
          <w:bCs w:val="0"/>
        </w:rPr>
        <w:t>十二、</w:t>
      </w:r>
      <w:bookmarkEnd w:id="72"/>
      <w:r>
        <w:rPr>
          <w:rStyle w:val="29"/>
          <w:rFonts w:hint="eastAsia" w:ascii="仿宋" w:hAnsi="仿宋" w:eastAsia="仿宋"/>
          <w:b w:val="0"/>
          <w:bCs w:val="0"/>
        </w:rPr>
        <w:t>国有资本经营预算财政拨款支出决算表</w:t>
      </w:r>
    </w:p>
    <w:p>
      <w:pPr>
        <w:pStyle w:val="4"/>
        <w:rPr>
          <w:rFonts w:eastAsia="仿宋"/>
        </w:rPr>
      </w:pPr>
      <w:bookmarkStart w:id="73" w:name="_Toc15396631"/>
      <w:r>
        <w:rPr>
          <w:rStyle w:val="29"/>
          <w:rFonts w:hint="eastAsia" w:ascii="仿宋" w:hAnsi="仿宋" w:eastAsia="仿宋"/>
          <w:b w:val="0"/>
          <w:bCs w:val="0"/>
        </w:rPr>
        <w:t>十三、</w:t>
      </w:r>
      <w:bookmarkEnd w:id="73"/>
      <w:r>
        <w:rPr>
          <w:rStyle w:val="29"/>
          <w:rFonts w:hint="eastAsia" w:ascii="仿宋" w:hAnsi="仿宋" w:eastAsia="仿宋"/>
          <w:b w:val="0"/>
          <w:bCs w:val="0"/>
        </w:rPr>
        <w:t>财政拨款“三公”经费支出决算表</w:t>
      </w:r>
    </w:p>
    <w:sectPr>
      <w:footerReference r:id="rId5" w:type="firs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
    <w:altName w:val="Times New Roman"/>
    <w:panose1 w:val="00000000000000000000"/>
    <w:charset w:val="00"/>
    <w:family w:val="roman"/>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8199078"/>
    </w:sdtPr>
    <w:sdtEndPr>
      <w:rPr>
        <w:sz w:val="32"/>
        <w:szCs w:val="32"/>
      </w:rPr>
    </w:sdtEndPr>
    <w:sdtContent>
      <w:p>
        <w:pPr>
          <w:pStyle w:val="9"/>
          <w:jc w:val="center"/>
          <w:rPr>
            <w:sz w:val="32"/>
            <w:szCs w:val="32"/>
          </w:rPr>
        </w:pPr>
        <w:r>
          <w:rPr>
            <w:sz w:val="32"/>
            <w:szCs w:val="32"/>
          </w:rPr>
          <w:fldChar w:fldCharType="begin"/>
        </w:r>
        <w:r>
          <w:rPr>
            <w:sz w:val="32"/>
            <w:szCs w:val="32"/>
          </w:rPr>
          <w:instrText xml:space="preserve">PAGE   \* MERGEFORMAT</w:instrText>
        </w:r>
        <w:r>
          <w:rPr>
            <w:sz w:val="32"/>
            <w:szCs w:val="32"/>
          </w:rPr>
          <w:fldChar w:fldCharType="separate"/>
        </w:r>
        <w:r>
          <w:rPr>
            <w:sz w:val="32"/>
            <w:szCs w:val="32"/>
            <w:lang w:val="zh-CN"/>
          </w:rPr>
          <w:t>3</w:t>
        </w:r>
        <w:r>
          <w:rPr>
            <w:sz w:val="32"/>
            <w:szCs w:val="32"/>
          </w:rPr>
          <w:fldChar w:fldCharType="end"/>
        </w:r>
      </w:p>
    </w:sdtContent>
  </w:sdt>
  <w:p>
    <w:pPr>
      <w:pStyle w:val="9"/>
      <w:rPr>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8102279"/>
    </w:sdtPr>
    <w:sdtEndPr>
      <w:rPr>
        <w:sz w:val="32"/>
        <w:szCs w:val="32"/>
      </w:rPr>
    </w:sdtEndPr>
    <w:sdtContent>
      <w:p>
        <w:pPr>
          <w:pStyle w:val="9"/>
          <w:jc w:val="center"/>
          <w:rPr>
            <w:sz w:val="32"/>
            <w:szCs w:val="32"/>
          </w:rPr>
        </w:pPr>
        <w:r>
          <w:rPr>
            <w:sz w:val="32"/>
            <w:szCs w:val="32"/>
          </w:rPr>
          <w:fldChar w:fldCharType="begin"/>
        </w:r>
        <w:r>
          <w:rPr>
            <w:sz w:val="32"/>
            <w:szCs w:val="32"/>
          </w:rPr>
          <w:instrText xml:space="preserve">PAGE   \* MERGEFORMAT</w:instrText>
        </w:r>
        <w:r>
          <w:rPr>
            <w:sz w:val="32"/>
            <w:szCs w:val="32"/>
          </w:rPr>
          <w:fldChar w:fldCharType="separate"/>
        </w:r>
        <w:r>
          <w:rPr>
            <w:sz w:val="32"/>
            <w:szCs w:val="32"/>
            <w:lang w:val="zh-CN"/>
          </w:rPr>
          <w:t>1</w:t>
        </w:r>
        <w:r>
          <w:rPr>
            <w:sz w:val="32"/>
            <w:szCs w:val="32"/>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0EE38E"/>
    <w:multiLevelType w:val="singleLevel"/>
    <w:tmpl w:val="AF0EE38E"/>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62621CDC"/>
    <w:multiLevelType w:val="multilevel"/>
    <w:tmpl w:val="62621CDC"/>
    <w:lvl w:ilvl="0" w:tentative="0">
      <w:start w:val="1"/>
      <w:numFmt w:val="decimal"/>
      <w:lvlText w:val="%1."/>
      <w:lvlJc w:val="left"/>
      <w:pPr>
        <w:ind w:left="1047"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abstractNum w:abstractNumId="5">
    <w:nsid w:val="71E1109D"/>
    <w:multiLevelType w:val="multilevel"/>
    <w:tmpl w:val="71E1109D"/>
    <w:lvl w:ilvl="0" w:tentative="0">
      <w:start w:val="1"/>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2MzhjNjMxY2VjYjcxMDNlY2M2ZTk5YmNlYTNmYzUifQ=="/>
  </w:docVars>
  <w:rsids>
    <w:rsidRoot w:val="00F1361C"/>
    <w:rsid w:val="00005BD6"/>
    <w:rsid w:val="000222C6"/>
    <w:rsid w:val="0002549F"/>
    <w:rsid w:val="000468DB"/>
    <w:rsid w:val="000559D4"/>
    <w:rsid w:val="0006487A"/>
    <w:rsid w:val="00065F8F"/>
    <w:rsid w:val="00070A43"/>
    <w:rsid w:val="000768F2"/>
    <w:rsid w:val="0009184B"/>
    <w:rsid w:val="00094236"/>
    <w:rsid w:val="0009593C"/>
    <w:rsid w:val="00096BCB"/>
    <w:rsid w:val="00097322"/>
    <w:rsid w:val="000A6A92"/>
    <w:rsid w:val="000B047F"/>
    <w:rsid w:val="000B5923"/>
    <w:rsid w:val="000B5A48"/>
    <w:rsid w:val="000B6FF3"/>
    <w:rsid w:val="000C3467"/>
    <w:rsid w:val="000C3CA6"/>
    <w:rsid w:val="000C44FF"/>
    <w:rsid w:val="000C5FC5"/>
    <w:rsid w:val="000D1267"/>
    <w:rsid w:val="000D1D50"/>
    <w:rsid w:val="000D5782"/>
    <w:rsid w:val="000E6613"/>
    <w:rsid w:val="000E7119"/>
    <w:rsid w:val="00114E9B"/>
    <w:rsid w:val="00142216"/>
    <w:rsid w:val="00144D6A"/>
    <w:rsid w:val="0014729F"/>
    <w:rsid w:val="00157BAB"/>
    <w:rsid w:val="0016050C"/>
    <w:rsid w:val="001654D1"/>
    <w:rsid w:val="00174518"/>
    <w:rsid w:val="0018106D"/>
    <w:rsid w:val="001877A7"/>
    <w:rsid w:val="00191536"/>
    <w:rsid w:val="00196687"/>
    <w:rsid w:val="001C0962"/>
    <w:rsid w:val="001C3168"/>
    <w:rsid w:val="001D7531"/>
    <w:rsid w:val="001E737D"/>
    <w:rsid w:val="001F0592"/>
    <w:rsid w:val="001F7506"/>
    <w:rsid w:val="002006CD"/>
    <w:rsid w:val="00200F5B"/>
    <w:rsid w:val="00202B36"/>
    <w:rsid w:val="00204B7A"/>
    <w:rsid w:val="00204CDE"/>
    <w:rsid w:val="0021101A"/>
    <w:rsid w:val="00220536"/>
    <w:rsid w:val="00235629"/>
    <w:rsid w:val="00260C38"/>
    <w:rsid w:val="002616C0"/>
    <w:rsid w:val="00265372"/>
    <w:rsid w:val="002662AA"/>
    <w:rsid w:val="00280496"/>
    <w:rsid w:val="00281B31"/>
    <w:rsid w:val="00294DC9"/>
    <w:rsid w:val="00295495"/>
    <w:rsid w:val="002A31DE"/>
    <w:rsid w:val="002B2613"/>
    <w:rsid w:val="002D6D05"/>
    <w:rsid w:val="002F1818"/>
    <w:rsid w:val="002F567B"/>
    <w:rsid w:val="003216A9"/>
    <w:rsid w:val="0032553B"/>
    <w:rsid w:val="003338F9"/>
    <w:rsid w:val="00335A74"/>
    <w:rsid w:val="00344658"/>
    <w:rsid w:val="0036561B"/>
    <w:rsid w:val="0037013F"/>
    <w:rsid w:val="00371BAB"/>
    <w:rsid w:val="00380C92"/>
    <w:rsid w:val="003A3715"/>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22ED"/>
    <w:rsid w:val="00443880"/>
    <w:rsid w:val="004464F4"/>
    <w:rsid w:val="00471401"/>
    <w:rsid w:val="00473F31"/>
    <w:rsid w:val="0048263A"/>
    <w:rsid w:val="00487E5D"/>
    <w:rsid w:val="00490DAD"/>
    <w:rsid w:val="004A711F"/>
    <w:rsid w:val="004B199D"/>
    <w:rsid w:val="004B4690"/>
    <w:rsid w:val="004E0A2D"/>
    <w:rsid w:val="004E206B"/>
    <w:rsid w:val="004E3154"/>
    <w:rsid w:val="004E6DF7"/>
    <w:rsid w:val="004F0FBD"/>
    <w:rsid w:val="00505A47"/>
    <w:rsid w:val="00512FDA"/>
    <w:rsid w:val="00520DA0"/>
    <w:rsid w:val="005664BB"/>
    <w:rsid w:val="00566FFA"/>
    <w:rsid w:val="0057481D"/>
    <w:rsid w:val="0058486E"/>
    <w:rsid w:val="00585B33"/>
    <w:rsid w:val="0059014D"/>
    <w:rsid w:val="005B5C64"/>
    <w:rsid w:val="005C2E0E"/>
    <w:rsid w:val="005C5337"/>
    <w:rsid w:val="005C6BD0"/>
    <w:rsid w:val="005D1C8B"/>
    <w:rsid w:val="005D468D"/>
    <w:rsid w:val="005D5CED"/>
    <w:rsid w:val="005E034A"/>
    <w:rsid w:val="005F1A4C"/>
    <w:rsid w:val="00605688"/>
    <w:rsid w:val="006070AF"/>
    <w:rsid w:val="00607E6C"/>
    <w:rsid w:val="006101B1"/>
    <w:rsid w:val="00614E44"/>
    <w:rsid w:val="00620F5B"/>
    <w:rsid w:val="0062270A"/>
    <w:rsid w:val="00622830"/>
    <w:rsid w:val="00623DA0"/>
    <w:rsid w:val="00630AEF"/>
    <w:rsid w:val="006325F8"/>
    <w:rsid w:val="00633463"/>
    <w:rsid w:val="00634C9A"/>
    <w:rsid w:val="00640494"/>
    <w:rsid w:val="006440E4"/>
    <w:rsid w:val="006579E5"/>
    <w:rsid w:val="0066343B"/>
    <w:rsid w:val="00664777"/>
    <w:rsid w:val="006748A4"/>
    <w:rsid w:val="00681A31"/>
    <w:rsid w:val="00683E73"/>
    <w:rsid w:val="00686116"/>
    <w:rsid w:val="006A3141"/>
    <w:rsid w:val="006A5E34"/>
    <w:rsid w:val="006B2422"/>
    <w:rsid w:val="006B2B9A"/>
    <w:rsid w:val="006C1937"/>
    <w:rsid w:val="006C2CB0"/>
    <w:rsid w:val="006F020C"/>
    <w:rsid w:val="007127B7"/>
    <w:rsid w:val="00714D91"/>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E6921"/>
    <w:rsid w:val="007E7371"/>
    <w:rsid w:val="007F1991"/>
    <w:rsid w:val="007F2C2F"/>
    <w:rsid w:val="007F55FC"/>
    <w:rsid w:val="007F5665"/>
    <w:rsid w:val="00800112"/>
    <w:rsid w:val="00805373"/>
    <w:rsid w:val="00813348"/>
    <w:rsid w:val="008253BB"/>
    <w:rsid w:val="0083706E"/>
    <w:rsid w:val="008408F6"/>
    <w:rsid w:val="008423A5"/>
    <w:rsid w:val="00850625"/>
    <w:rsid w:val="00853718"/>
    <w:rsid w:val="00855221"/>
    <w:rsid w:val="00860645"/>
    <w:rsid w:val="008608B4"/>
    <w:rsid w:val="00871F71"/>
    <w:rsid w:val="00872FD8"/>
    <w:rsid w:val="00885AF4"/>
    <w:rsid w:val="008939CD"/>
    <w:rsid w:val="008B768C"/>
    <w:rsid w:val="008C4DB1"/>
    <w:rsid w:val="008C4EAF"/>
    <w:rsid w:val="008C5176"/>
    <w:rsid w:val="008C7FD0"/>
    <w:rsid w:val="008E1DE7"/>
    <w:rsid w:val="008E707C"/>
    <w:rsid w:val="008F5D14"/>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A5ABC"/>
    <w:rsid w:val="009B2C43"/>
    <w:rsid w:val="009B4EAE"/>
    <w:rsid w:val="009B7573"/>
    <w:rsid w:val="009C22F4"/>
    <w:rsid w:val="009C2A4B"/>
    <w:rsid w:val="009C2E98"/>
    <w:rsid w:val="009D1CFB"/>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43B5"/>
    <w:rsid w:val="00A56DF2"/>
    <w:rsid w:val="00A56E6E"/>
    <w:rsid w:val="00A67AB5"/>
    <w:rsid w:val="00A733B2"/>
    <w:rsid w:val="00A741C2"/>
    <w:rsid w:val="00A91760"/>
    <w:rsid w:val="00A93B00"/>
    <w:rsid w:val="00A93C21"/>
    <w:rsid w:val="00AA2838"/>
    <w:rsid w:val="00AB64C9"/>
    <w:rsid w:val="00AC3C6A"/>
    <w:rsid w:val="00AD5620"/>
    <w:rsid w:val="00AD656B"/>
    <w:rsid w:val="00AD7C1B"/>
    <w:rsid w:val="00AE16BA"/>
    <w:rsid w:val="00AE1EBE"/>
    <w:rsid w:val="00B03C9D"/>
    <w:rsid w:val="00B060AE"/>
    <w:rsid w:val="00B10517"/>
    <w:rsid w:val="00B12D91"/>
    <w:rsid w:val="00B13CE6"/>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5A46"/>
    <w:rsid w:val="00B87BB9"/>
    <w:rsid w:val="00B944D6"/>
    <w:rsid w:val="00BB4DF0"/>
    <w:rsid w:val="00BC289F"/>
    <w:rsid w:val="00BC2D50"/>
    <w:rsid w:val="00BC5361"/>
    <w:rsid w:val="00BC5460"/>
    <w:rsid w:val="00BC6B50"/>
    <w:rsid w:val="00BD0E25"/>
    <w:rsid w:val="00BF31B8"/>
    <w:rsid w:val="00BF5BD6"/>
    <w:rsid w:val="00C006D7"/>
    <w:rsid w:val="00C03E31"/>
    <w:rsid w:val="00C33E72"/>
    <w:rsid w:val="00C340A1"/>
    <w:rsid w:val="00C354B2"/>
    <w:rsid w:val="00C35554"/>
    <w:rsid w:val="00C42709"/>
    <w:rsid w:val="00C533CC"/>
    <w:rsid w:val="00C5751C"/>
    <w:rsid w:val="00C61BFC"/>
    <w:rsid w:val="00C62B85"/>
    <w:rsid w:val="00C65438"/>
    <w:rsid w:val="00C87FD8"/>
    <w:rsid w:val="00C91381"/>
    <w:rsid w:val="00C91CBB"/>
    <w:rsid w:val="00CA65CC"/>
    <w:rsid w:val="00CB0142"/>
    <w:rsid w:val="00CB4E70"/>
    <w:rsid w:val="00CC09B6"/>
    <w:rsid w:val="00CC666F"/>
    <w:rsid w:val="00CD1E3F"/>
    <w:rsid w:val="00CD1FC8"/>
    <w:rsid w:val="00CE44F6"/>
    <w:rsid w:val="00CE49DA"/>
    <w:rsid w:val="00CE7B61"/>
    <w:rsid w:val="00CF30AF"/>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B7674"/>
    <w:rsid w:val="00DC410D"/>
    <w:rsid w:val="00DC5A81"/>
    <w:rsid w:val="00DC68CA"/>
    <w:rsid w:val="00DC7CBA"/>
    <w:rsid w:val="00DD73B7"/>
    <w:rsid w:val="00DF28BC"/>
    <w:rsid w:val="00DF34B9"/>
    <w:rsid w:val="00E01053"/>
    <w:rsid w:val="00E07ACF"/>
    <w:rsid w:val="00E22BB1"/>
    <w:rsid w:val="00E331A1"/>
    <w:rsid w:val="00E33202"/>
    <w:rsid w:val="00E336A9"/>
    <w:rsid w:val="00E472B1"/>
    <w:rsid w:val="00E50624"/>
    <w:rsid w:val="00E568DF"/>
    <w:rsid w:val="00E64269"/>
    <w:rsid w:val="00E732B8"/>
    <w:rsid w:val="00E82267"/>
    <w:rsid w:val="00E853CE"/>
    <w:rsid w:val="00E867B6"/>
    <w:rsid w:val="00EA010F"/>
    <w:rsid w:val="00EB5442"/>
    <w:rsid w:val="00ED1B63"/>
    <w:rsid w:val="00ED3C1F"/>
    <w:rsid w:val="00ED4085"/>
    <w:rsid w:val="00ED420E"/>
    <w:rsid w:val="00ED6103"/>
    <w:rsid w:val="00ED6FBE"/>
    <w:rsid w:val="00EE2F57"/>
    <w:rsid w:val="00EF4C34"/>
    <w:rsid w:val="00EF77C6"/>
    <w:rsid w:val="00F05438"/>
    <w:rsid w:val="00F12DE2"/>
    <w:rsid w:val="00F1361C"/>
    <w:rsid w:val="00F156F0"/>
    <w:rsid w:val="00F160C7"/>
    <w:rsid w:val="00F2408F"/>
    <w:rsid w:val="00F240E9"/>
    <w:rsid w:val="00F36D8F"/>
    <w:rsid w:val="00F417B1"/>
    <w:rsid w:val="00F45853"/>
    <w:rsid w:val="00F602DF"/>
    <w:rsid w:val="00F754A1"/>
    <w:rsid w:val="00F77088"/>
    <w:rsid w:val="00F81FD9"/>
    <w:rsid w:val="00F841AA"/>
    <w:rsid w:val="00F84A94"/>
    <w:rsid w:val="00F87E96"/>
    <w:rsid w:val="00FA23E8"/>
    <w:rsid w:val="00FC7855"/>
    <w:rsid w:val="00FD3CC1"/>
    <w:rsid w:val="00FF1E02"/>
    <w:rsid w:val="00FF30B4"/>
    <w:rsid w:val="015975B8"/>
    <w:rsid w:val="02143E91"/>
    <w:rsid w:val="02641C78"/>
    <w:rsid w:val="049F51EA"/>
    <w:rsid w:val="04F632B0"/>
    <w:rsid w:val="06456265"/>
    <w:rsid w:val="066E0107"/>
    <w:rsid w:val="06DA4BFF"/>
    <w:rsid w:val="07996F6E"/>
    <w:rsid w:val="0A2032A3"/>
    <w:rsid w:val="0B460AB5"/>
    <w:rsid w:val="0B6947A3"/>
    <w:rsid w:val="0C0F534B"/>
    <w:rsid w:val="0C607954"/>
    <w:rsid w:val="0C7D22B4"/>
    <w:rsid w:val="0F36499C"/>
    <w:rsid w:val="0F98263C"/>
    <w:rsid w:val="101860EC"/>
    <w:rsid w:val="10C055FF"/>
    <w:rsid w:val="118107EC"/>
    <w:rsid w:val="12B66520"/>
    <w:rsid w:val="13D50BC4"/>
    <w:rsid w:val="16BB723D"/>
    <w:rsid w:val="1865086B"/>
    <w:rsid w:val="18BC23B6"/>
    <w:rsid w:val="19D11E91"/>
    <w:rsid w:val="19DB1CCA"/>
    <w:rsid w:val="19DE010A"/>
    <w:rsid w:val="1A5320ED"/>
    <w:rsid w:val="1BBA19E9"/>
    <w:rsid w:val="1BE8440E"/>
    <w:rsid w:val="1C9F621F"/>
    <w:rsid w:val="1D155CEE"/>
    <w:rsid w:val="1FF35744"/>
    <w:rsid w:val="206C021E"/>
    <w:rsid w:val="20C22EE1"/>
    <w:rsid w:val="21723F5A"/>
    <w:rsid w:val="231352C9"/>
    <w:rsid w:val="23860B96"/>
    <w:rsid w:val="23B10A3C"/>
    <w:rsid w:val="240371BF"/>
    <w:rsid w:val="27D33279"/>
    <w:rsid w:val="291853E7"/>
    <w:rsid w:val="29FD04D3"/>
    <w:rsid w:val="2A2B739C"/>
    <w:rsid w:val="2C8A61B5"/>
    <w:rsid w:val="2CE657FC"/>
    <w:rsid w:val="2DF04E50"/>
    <w:rsid w:val="2E5F5866"/>
    <w:rsid w:val="2F040D46"/>
    <w:rsid w:val="2F10229A"/>
    <w:rsid w:val="317C228B"/>
    <w:rsid w:val="319F7F4E"/>
    <w:rsid w:val="32050F48"/>
    <w:rsid w:val="3304709D"/>
    <w:rsid w:val="343C3F54"/>
    <w:rsid w:val="351151E0"/>
    <w:rsid w:val="36AA5135"/>
    <w:rsid w:val="37046FAB"/>
    <w:rsid w:val="376D39B2"/>
    <w:rsid w:val="37E16F03"/>
    <w:rsid w:val="38341A0A"/>
    <w:rsid w:val="38D469F0"/>
    <w:rsid w:val="3A345DF9"/>
    <w:rsid w:val="3B5A188F"/>
    <w:rsid w:val="3B915597"/>
    <w:rsid w:val="3D98207C"/>
    <w:rsid w:val="3E78745D"/>
    <w:rsid w:val="3F8769CB"/>
    <w:rsid w:val="3FD61700"/>
    <w:rsid w:val="41BC4053"/>
    <w:rsid w:val="430622FC"/>
    <w:rsid w:val="44E268DA"/>
    <w:rsid w:val="44E4666D"/>
    <w:rsid w:val="45C55FAA"/>
    <w:rsid w:val="466730B2"/>
    <w:rsid w:val="47750A43"/>
    <w:rsid w:val="479506E9"/>
    <w:rsid w:val="49A308A5"/>
    <w:rsid w:val="4A1470AD"/>
    <w:rsid w:val="4A627F82"/>
    <w:rsid w:val="4B0E749A"/>
    <w:rsid w:val="4B4F25DA"/>
    <w:rsid w:val="4BE068DB"/>
    <w:rsid w:val="4C4243A5"/>
    <w:rsid w:val="4D577224"/>
    <w:rsid w:val="4EAB630A"/>
    <w:rsid w:val="4ECE2238"/>
    <w:rsid w:val="4F710AFD"/>
    <w:rsid w:val="50502E09"/>
    <w:rsid w:val="52E066C6"/>
    <w:rsid w:val="537E6D0A"/>
    <w:rsid w:val="566A38E5"/>
    <w:rsid w:val="590D7AE9"/>
    <w:rsid w:val="59184A67"/>
    <w:rsid w:val="5A08073D"/>
    <w:rsid w:val="5AA12BDF"/>
    <w:rsid w:val="5AF92295"/>
    <w:rsid w:val="5B7420A1"/>
    <w:rsid w:val="5B983EE3"/>
    <w:rsid w:val="5C29540E"/>
    <w:rsid w:val="5CD71FC4"/>
    <w:rsid w:val="61C6117D"/>
    <w:rsid w:val="62DF24F6"/>
    <w:rsid w:val="646031C3"/>
    <w:rsid w:val="64CB6CDA"/>
    <w:rsid w:val="66546D57"/>
    <w:rsid w:val="66716818"/>
    <w:rsid w:val="67193AFD"/>
    <w:rsid w:val="671B7875"/>
    <w:rsid w:val="697414BE"/>
    <w:rsid w:val="6A5D01A4"/>
    <w:rsid w:val="6C4A05C8"/>
    <w:rsid w:val="6E7E3605"/>
    <w:rsid w:val="6FA80114"/>
    <w:rsid w:val="6FF5CC65"/>
    <w:rsid w:val="702825D4"/>
    <w:rsid w:val="715C0E4B"/>
    <w:rsid w:val="717E2EDA"/>
    <w:rsid w:val="72734D90"/>
    <w:rsid w:val="73AD73D5"/>
    <w:rsid w:val="73B6EB34"/>
    <w:rsid w:val="73F15E96"/>
    <w:rsid w:val="744731E5"/>
    <w:rsid w:val="74E96E42"/>
    <w:rsid w:val="76E3355F"/>
    <w:rsid w:val="76F77999"/>
    <w:rsid w:val="778769C8"/>
    <w:rsid w:val="784A620C"/>
    <w:rsid w:val="79EE5BA4"/>
    <w:rsid w:val="7A7C6425"/>
    <w:rsid w:val="7A894339"/>
    <w:rsid w:val="7AB12572"/>
    <w:rsid w:val="7BAE0860"/>
    <w:rsid w:val="7BEC6822"/>
    <w:rsid w:val="7D6C2781"/>
    <w:rsid w:val="7EEF11D3"/>
    <w:rsid w:val="7F8F0A74"/>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5"/>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spacing w:before="100" w:beforeAutospacing="1" w:after="100" w:afterAutospacing="1"/>
      <w:jc w:val="left"/>
    </w:pPr>
    <w:rPr>
      <w:kern w:val="0"/>
      <w:sz w:val="24"/>
    </w:rPr>
  </w:style>
  <w:style w:type="paragraph" w:styleId="14">
    <w:name w:val="Body Text First Indent 2"/>
    <w:basedOn w:val="6"/>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0"/>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9"/>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6"/>
    <w:link w:val="8"/>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99</Pages>
  <Words>34373</Words>
  <Characters>36764</Characters>
  <Lines>30</Lines>
  <Paragraphs>75</Paragraphs>
  <TotalTime>28</TotalTime>
  <ScaleCrop>false</ScaleCrop>
  <LinksUpToDate>false</LinksUpToDate>
  <CharactersWithSpaces>36937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2023-11-23T11:56:00Z</dcterms:created>
  <dc:creator>曹颖</dc:creator>
  <cp:lastModifiedBy>Administrator</cp:lastModifiedBy>
  <cp:lastPrinted>2023-12-12T09:44:00Z</cp:lastPrinted>
  <dcterms:modified xsi:type="dcterms:W3CDTF">2025-03-18T01:40:47Z</dcterms:modified>
  <dc:title>四川省***</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C9331697C893454596AED5DD181FFEE6_13</vt:lpwstr>
  </property>
</Properties>
</file>