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hint="eastAsia"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9477"/>
      <w:bookmarkStart w:id="3" w:name="_Toc15396597"/>
      <w:bookmarkStart w:id="4" w:name="_Toc15378441"/>
      <w:bookmarkStart w:id="5" w:name="_Toc15377193"/>
      <w:bookmarkStart w:id="6"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7" w:name="_Toc27832"/>
      <w:bookmarkStart w:id="8" w:name="_Toc15396476"/>
      <w:bookmarkStart w:id="9" w:name="_Toc15396598"/>
      <w:bookmarkStart w:id="10" w:name="_Toc15378442"/>
      <w:bookmarkStart w:id="11" w:name="_Toc15377194"/>
      <w:bookmarkStart w:id="12" w:name="_Toc15377426"/>
      <w:r>
        <w:rPr>
          <w:rFonts w:hint="eastAsia" w:ascii="方正小标宋简体" w:hAnsi="方正小标宋简体" w:eastAsia="方正小标宋简体" w:cs="方正小标宋简体"/>
          <w:sz w:val="72"/>
          <w:szCs w:val="72"/>
        </w:rPr>
        <w:t>四川省</w:t>
      </w:r>
      <w:bookmarkEnd w:id="0"/>
      <w:bookmarkStart w:id="13" w:name="_Toc15306268"/>
      <w:r>
        <w:rPr>
          <w:rFonts w:hint="eastAsia" w:ascii="方正小标宋简体" w:hAnsi="方正小标宋简体" w:eastAsia="方正小标宋简体" w:cs="方正小标宋简体"/>
          <w:sz w:val="72"/>
          <w:szCs w:val="72"/>
          <w:lang w:eastAsia="zh-CN"/>
        </w:rPr>
        <w:t>峨眉山市</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30491"/>
      <w:r>
        <w:rPr>
          <w:rFonts w:hint="eastAsia" w:ascii="方正小标宋简体" w:hAnsi="方正小标宋简体" w:eastAsia="方正小标宋简体" w:cs="方正小标宋简体"/>
          <w:sz w:val="72"/>
          <w:szCs w:val="72"/>
          <w:lang w:eastAsia="zh-CN"/>
        </w:rPr>
        <w:t>财政投资评审中心</w:t>
      </w:r>
      <w:r>
        <w:rPr>
          <w:rFonts w:hint="eastAsia" w:ascii="方正小标宋简体" w:hAnsi="方正小标宋简体" w:eastAsia="方正小标宋简体" w:cs="方正小标宋简体"/>
          <w:sz w:val="72"/>
          <w:szCs w:val="72"/>
        </w:rPr>
        <w:t>决算</w:t>
      </w:r>
      <w:bookmarkEnd w:id="8"/>
      <w:bookmarkEnd w:id="9"/>
      <w:bookmarkEnd w:id="10"/>
      <w:bookmarkEnd w:id="11"/>
      <w:bookmarkEnd w:id="12"/>
      <w:bookmarkEnd w:id="13"/>
      <w:bookmarkEnd w:id="14"/>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12</w:t>
      </w:r>
      <w:r>
        <w:rPr>
          <w:rFonts w:hint="eastAsia"/>
        </w:rPr>
        <w:t>月</w:t>
      </w:r>
      <w:r>
        <w:rPr>
          <w:rFonts w:hint="eastAsia"/>
          <w:lang w:val="en-US" w:eastAsia="zh-CN"/>
        </w:rPr>
        <w:t>14</w:t>
      </w:r>
      <w:bookmarkStart w:id="107" w:name="_GoBack"/>
      <w:bookmarkEnd w:id="107"/>
      <w:r>
        <w:rPr>
          <w:rFonts w:hint="eastAsia"/>
        </w:rPr>
        <w:t>日</w:t>
      </w:r>
    </w:p>
    <w:p/>
    <w:sdt>
      <w:sdtPr>
        <w:rPr>
          <w:rFonts w:ascii="宋体" w:hAnsi="宋体" w:eastAsia="宋体" w:cs="Times New Roman"/>
          <w:kern w:val="2"/>
          <w:sz w:val="21"/>
          <w:szCs w:val="24"/>
          <w:lang w:val="en-US" w:eastAsia="zh-CN" w:bidi="ar-SA"/>
        </w:rPr>
        <w:id w:val="147454894"/>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5" w:name="_Toc15396599"/>
          <w:bookmarkStart w:id="16" w:name="_Toc15377196"/>
          <w:r>
            <w:rPr>
              <w:rFonts w:ascii="宋体" w:hAnsi="宋体" w:eastAsia="宋体"/>
              <w:sz w:val="21"/>
            </w:rPr>
            <w:t>目录</w:t>
          </w:r>
        </w:p>
        <w:p>
          <w:pPr>
            <w:pStyle w:val="30"/>
            <w:tabs>
              <w:tab w:val="right" w:leader="dot" w:pos="8306"/>
            </w:tabs>
            <w:rPr>
              <w:b/>
            </w:rPr>
          </w:pPr>
          <w:r>
            <w:fldChar w:fldCharType="begin"/>
          </w:r>
          <w:r>
            <w:instrText xml:space="preserve">TOC \o "1-2" \h \u </w:instrText>
          </w:r>
          <w:r>
            <w:fldChar w:fldCharType="separate"/>
          </w:r>
        </w:p>
        <w:p>
          <w:pPr>
            <w:pStyle w:val="30"/>
            <w:tabs>
              <w:tab w:val="right" w:leader="dot" w:pos="8306"/>
            </w:tabs>
            <w:rPr>
              <w:b/>
            </w:rPr>
          </w:pPr>
          <w:r>
            <w:rPr>
              <w:b/>
            </w:rPr>
            <w:fldChar w:fldCharType="begin"/>
          </w:r>
          <w:r>
            <w:rPr>
              <w:b/>
            </w:rPr>
            <w:instrText xml:space="preserve"> HYPERLINK \l _Toc14521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_Toc14521 </w:instrText>
          </w:r>
          <w:r>
            <w:rPr>
              <w:b/>
            </w:rPr>
            <w:fldChar w:fldCharType="separate"/>
          </w:r>
          <w:r>
            <w:rPr>
              <w:b/>
            </w:rPr>
            <w:t>3</w:t>
          </w:r>
          <w:r>
            <w:rPr>
              <w:b/>
            </w:rPr>
            <w:fldChar w:fldCharType="end"/>
          </w:r>
          <w:r>
            <w:rPr>
              <w:b/>
            </w:rPr>
            <w:fldChar w:fldCharType="end"/>
          </w:r>
        </w:p>
        <w:p>
          <w:pPr>
            <w:pStyle w:val="31"/>
            <w:tabs>
              <w:tab w:val="right" w:leader="dot" w:pos="8306"/>
            </w:tabs>
            <w:rPr>
              <w:rFonts w:hint="eastAsia" w:ascii="仿宋" w:hAnsi="仿宋" w:eastAsia="仿宋"/>
            </w:rPr>
          </w:pPr>
          <w:r>
            <w:rPr>
              <w:rFonts w:hint="eastAsia" w:ascii="仿宋" w:hAnsi="仿宋" w:eastAsia="仿宋"/>
            </w:rPr>
            <w:fldChar w:fldCharType="begin"/>
          </w:r>
          <w:r>
            <w:rPr>
              <w:rFonts w:hint="eastAsia" w:ascii="仿宋" w:hAnsi="仿宋" w:eastAsia="仿宋"/>
            </w:rPr>
            <w:instrText xml:space="preserve"> HYPERLINK \l _Toc8316 </w:instrText>
          </w:r>
          <w:r>
            <w:rPr>
              <w:rFonts w:hint="eastAsia" w:ascii="仿宋" w:hAnsi="仿宋" w:eastAsia="仿宋"/>
            </w:rPr>
            <w:fldChar w:fldCharType="separate"/>
          </w:r>
          <w:r>
            <w:rPr>
              <w:rFonts w:hint="eastAsia" w:ascii="仿宋" w:hAnsi="仿宋" w:eastAsia="仿宋"/>
            </w:rPr>
            <w:t>一、 主要职责</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PAGEREF _Toc8316 </w:instrText>
          </w:r>
          <w:r>
            <w:rPr>
              <w:rFonts w:hint="eastAsia" w:ascii="仿宋" w:hAnsi="仿宋" w:eastAsia="仿宋"/>
            </w:rPr>
            <w:fldChar w:fldCharType="separate"/>
          </w:r>
          <w:r>
            <w:rPr>
              <w:rFonts w:hint="eastAsia" w:ascii="仿宋" w:hAnsi="仿宋" w:eastAsia="仿宋"/>
            </w:rPr>
            <w:t>3</w:t>
          </w:r>
          <w:r>
            <w:rPr>
              <w:rFonts w:hint="eastAsia" w:ascii="仿宋" w:hAnsi="仿宋" w:eastAsia="仿宋"/>
            </w:rPr>
            <w:fldChar w:fldCharType="end"/>
          </w:r>
          <w:r>
            <w:rPr>
              <w:rFonts w:hint="eastAsia" w:ascii="仿宋" w:hAnsi="仿宋" w:eastAsia="仿宋"/>
            </w:rPr>
            <w:fldChar w:fldCharType="end"/>
          </w:r>
        </w:p>
        <w:p>
          <w:pPr>
            <w:pStyle w:val="31"/>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_Toc13970 </w:instrText>
          </w:r>
          <w:r>
            <w:rPr>
              <w:rFonts w:hint="eastAsia" w:ascii="仿宋" w:hAnsi="仿宋" w:eastAsia="仿宋"/>
            </w:rPr>
            <w:fldChar w:fldCharType="separate"/>
          </w:r>
          <w:r>
            <w:rPr>
              <w:rFonts w:hint="eastAsia" w:ascii="仿宋" w:hAnsi="仿宋" w:eastAsia="仿宋"/>
            </w:rPr>
            <w:t>二、机构设置</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PAGEREF _Toc13970 </w:instrText>
          </w:r>
          <w:r>
            <w:rPr>
              <w:rFonts w:hint="eastAsia" w:ascii="仿宋" w:hAnsi="仿宋" w:eastAsia="仿宋"/>
            </w:rPr>
            <w:fldChar w:fldCharType="separate"/>
          </w:r>
          <w:r>
            <w:rPr>
              <w:rFonts w:hint="eastAsia" w:ascii="仿宋" w:hAnsi="仿宋" w:eastAsia="仿宋"/>
            </w:rPr>
            <w:t>3</w:t>
          </w:r>
          <w:r>
            <w:rPr>
              <w:rFonts w:hint="eastAsia" w:ascii="仿宋" w:hAnsi="仿宋" w:eastAsia="仿宋"/>
            </w:rPr>
            <w:fldChar w:fldCharType="end"/>
          </w:r>
          <w:r>
            <w:rPr>
              <w:rFonts w:hint="eastAsia" w:ascii="仿宋" w:hAnsi="仿宋" w:eastAsia="仿宋"/>
            </w:rPr>
            <w:fldChar w:fldCharType="end"/>
          </w:r>
        </w:p>
        <w:p>
          <w:pPr>
            <w:pStyle w:val="30"/>
            <w:tabs>
              <w:tab w:val="right" w:leader="dot" w:pos="8306"/>
            </w:tabs>
            <w:rPr>
              <w:b/>
            </w:rPr>
          </w:pPr>
          <w:r>
            <w:rPr>
              <w:b/>
            </w:rPr>
            <w:fldChar w:fldCharType="begin"/>
          </w:r>
          <w:r>
            <w:rPr>
              <w:b/>
            </w:rPr>
            <w:instrText xml:space="preserve"> HYPERLINK \l _Toc21153 </w:instrText>
          </w:r>
          <w:r>
            <w:rPr>
              <w:b/>
            </w:rPr>
            <w:fldChar w:fldCharType="separate"/>
          </w:r>
          <w:r>
            <w:rPr>
              <w:rFonts w:hint="eastAsia" w:ascii="黑体" w:hAnsi="黑体" w:eastAsia="黑体"/>
              <w:b/>
            </w:rPr>
            <w:t>第二部分 2022年度</w:t>
          </w:r>
          <w:r>
            <w:rPr>
              <w:rFonts w:hint="eastAsia" w:ascii="黑体" w:hAnsi="黑体" w:eastAsia="黑体"/>
              <w:b/>
              <w:bCs/>
            </w:rPr>
            <w:t>单位决算情况说明</w:t>
          </w:r>
          <w:r>
            <w:rPr>
              <w:b/>
            </w:rPr>
            <w:tab/>
          </w:r>
          <w:r>
            <w:rPr>
              <w:b/>
            </w:rPr>
            <w:fldChar w:fldCharType="begin"/>
          </w:r>
          <w:r>
            <w:rPr>
              <w:b/>
            </w:rPr>
            <w:instrText xml:space="preserve"> PAGEREF _Toc21153 </w:instrText>
          </w:r>
          <w:r>
            <w:rPr>
              <w:b/>
            </w:rPr>
            <w:fldChar w:fldCharType="separate"/>
          </w:r>
          <w:r>
            <w:rPr>
              <w:b/>
            </w:rPr>
            <w:t>4</w:t>
          </w:r>
          <w:r>
            <w:rPr>
              <w:b/>
            </w:rPr>
            <w:fldChar w:fldCharType="end"/>
          </w:r>
          <w:r>
            <w:rPr>
              <w:b/>
            </w:rPr>
            <w:fldChar w:fldCharType="end"/>
          </w:r>
        </w:p>
        <w:p>
          <w:pPr>
            <w:pStyle w:val="31"/>
            <w:tabs>
              <w:tab w:val="right" w:leader="dot" w:pos="8306"/>
            </w:tabs>
            <w:rPr>
              <w:rFonts w:hint="eastAsia" w:ascii="仿宋" w:hAnsi="仿宋" w:eastAsia="仿宋"/>
            </w:rPr>
          </w:pPr>
          <w:r>
            <w:rPr>
              <w:rFonts w:hint="eastAsia" w:ascii="仿宋" w:hAnsi="仿宋" w:eastAsia="仿宋"/>
            </w:rPr>
            <w:fldChar w:fldCharType="begin"/>
          </w:r>
          <w:r>
            <w:rPr>
              <w:rFonts w:hint="eastAsia" w:ascii="仿宋" w:hAnsi="仿宋" w:eastAsia="仿宋"/>
            </w:rPr>
            <w:instrText xml:space="preserve"> HYPERLINK \l _Toc20522 </w:instrText>
          </w:r>
          <w:r>
            <w:rPr>
              <w:rFonts w:hint="eastAsia" w:ascii="仿宋" w:hAnsi="仿宋" w:eastAsia="仿宋"/>
            </w:rPr>
            <w:fldChar w:fldCharType="separate"/>
          </w:r>
          <w:r>
            <w:rPr>
              <w:rFonts w:hint="default" w:ascii="仿宋" w:hAnsi="仿宋" w:eastAsia="仿宋"/>
            </w:rPr>
            <w:t xml:space="preserve">一、 </w:t>
          </w:r>
          <w:r>
            <w:rPr>
              <w:rFonts w:hint="eastAsia" w:ascii="仿宋" w:hAnsi="仿宋" w:eastAsia="仿宋"/>
            </w:rPr>
            <w:t>收入支出决算总体情况说明</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PAGEREF _Toc20522 </w:instrText>
          </w:r>
          <w:r>
            <w:rPr>
              <w:rFonts w:hint="eastAsia" w:ascii="仿宋" w:hAnsi="仿宋" w:eastAsia="仿宋"/>
            </w:rPr>
            <w:fldChar w:fldCharType="separate"/>
          </w:r>
          <w:r>
            <w:rPr>
              <w:rFonts w:hint="eastAsia" w:ascii="仿宋" w:hAnsi="仿宋" w:eastAsia="仿宋"/>
            </w:rPr>
            <w:t>4</w:t>
          </w:r>
          <w:r>
            <w:rPr>
              <w:rFonts w:hint="eastAsia" w:ascii="仿宋" w:hAnsi="仿宋" w:eastAsia="仿宋"/>
            </w:rPr>
            <w:fldChar w:fldCharType="end"/>
          </w:r>
          <w:r>
            <w:rPr>
              <w:rFonts w:hint="eastAsia" w:ascii="仿宋" w:hAnsi="仿宋" w:eastAsia="仿宋"/>
            </w:rPr>
            <w:fldChar w:fldCharType="end"/>
          </w:r>
        </w:p>
        <w:p>
          <w:pPr>
            <w:pStyle w:val="31"/>
            <w:tabs>
              <w:tab w:val="right" w:leader="dot" w:pos="8306"/>
            </w:tabs>
            <w:rPr>
              <w:rFonts w:hint="eastAsia" w:ascii="仿宋" w:hAnsi="仿宋" w:eastAsia="仿宋"/>
            </w:rPr>
          </w:pPr>
          <w:r>
            <w:rPr>
              <w:rFonts w:hint="eastAsia" w:ascii="仿宋" w:hAnsi="仿宋" w:eastAsia="仿宋"/>
            </w:rPr>
            <w:fldChar w:fldCharType="begin"/>
          </w:r>
          <w:r>
            <w:rPr>
              <w:rFonts w:hint="eastAsia" w:ascii="仿宋" w:hAnsi="仿宋" w:eastAsia="仿宋"/>
            </w:rPr>
            <w:instrText xml:space="preserve"> HYPERLINK \l _Toc23647 </w:instrText>
          </w:r>
          <w:r>
            <w:rPr>
              <w:rFonts w:hint="eastAsia" w:ascii="仿宋" w:hAnsi="仿宋" w:eastAsia="仿宋"/>
            </w:rPr>
            <w:fldChar w:fldCharType="separate"/>
          </w:r>
          <w:r>
            <w:rPr>
              <w:rFonts w:hint="default" w:ascii="仿宋" w:hAnsi="仿宋" w:eastAsia="仿宋"/>
            </w:rPr>
            <w:t xml:space="preserve">二、 </w:t>
          </w:r>
          <w:r>
            <w:rPr>
              <w:rFonts w:hint="eastAsia" w:ascii="仿宋" w:hAnsi="仿宋" w:eastAsia="仿宋"/>
            </w:rPr>
            <w:t>收入决算情况说明</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PAGEREF _Toc23647 </w:instrText>
          </w:r>
          <w:r>
            <w:rPr>
              <w:rFonts w:hint="eastAsia" w:ascii="仿宋" w:hAnsi="仿宋" w:eastAsia="仿宋"/>
            </w:rPr>
            <w:fldChar w:fldCharType="separate"/>
          </w:r>
          <w:r>
            <w:rPr>
              <w:rFonts w:hint="eastAsia" w:ascii="仿宋" w:hAnsi="仿宋" w:eastAsia="仿宋"/>
            </w:rPr>
            <w:t>4</w:t>
          </w:r>
          <w:r>
            <w:rPr>
              <w:rFonts w:hint="eastAsia" w:ascii="仿宋" w:hAnsi="仿宋" w:eastAsia="仿宋"/>
            </w:rPr>
            <w:fldChar w:fldCharType="end"/>
          </w:r>
          <w:r>
            <w:rPr>
              <w:rFonts w:hint="eastAsia" w:ascii="仿宋" w:hAnsi="仿宋" w:eastAsia="仿宋"/>
            </w:rPr>
            <w:fldChar w:fldCharType="end"/>
          </w:r>
        </w:p>
        <w:p>
          <w:pPr>
            <w:pStyle w:val="31"/>
            <w:tabs>
              <w:tab w:val="right" w:leader="dot" w:pos="8306"/>
            </w:tabs>
            <w:rPr>
              <w:rFonts w:hint="eastAsia" w:ascii="仿宋" w:hAnsi="仿宋" w:eastAsia="仿宋"/>
            </w:rPr>
          </w:pPr>
          <w:r>
            <w:rPr>
              <w:rFonts w:hint="eastAsia" w:ascii="仿宋" w:hAnsi="仿宋" w:eastAsia="仿宋"/>
            </w:rPr>
            <w:fldChar w:fldCharType="begin"/>
          </w:r>
          <w:r>
            <w:rPr>
              <w:rFonts w:hint="eastAsia" w:ascii="仿宋" w:hAnsi="仿宋" w:eastAsia="仿宋"/>
            </w:rPr>
            <w:instrText xml:space="preserve"> HYPERLINK \l _Toc7230 </w:instrText>
          </w:r>
          <w:r>
            <w:rPr>
              <w:rFonts w:hint="eastAsia" w:ascii="仿宋" w:hAnsi="仿宋" w:eastAsia="仿宋"/>
            </w:rPr>
            <w:fldChar w:fldCharType="separate"/>
          </w:r>
          <w:r>
            <w:rPr>
              <w:rFonts w:hint="default" w:ascii="仿宋" w:hAnsi="仿宋" w:eastAsia="仿宋"/>
            </w:rPr>
            <w:t xml:space="preserve">三、 </w:t>
          </w:r>
          <w:r>
            <w:rPr>
              <w:rFonts w:hint="eastAsia" w:ascii="仿宋" w:hAnsi="仿宋" w:eastAsia="仿宋"/>
            </w:rPr>
            <w:t>支出决算情况说明</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PAGEREF _Toc7230 </w:instrText>
          </w:r>
          <w:r>
            <w:rPr>
              <w:rFonts w:hint="eastAsia" w:ascii="仿宋" w:hAnsi="仿宋" w:eastAsia="仿宋"/>
            </w:rPr>
            <w:fldChar w:fldCharType="separate"/>
          </w:r>
          <w:r>
            <w:rPr>
              <w:rFonts w:hint="eastAsia" w:ascii="仿宋" w:hAnsi="仿宋" w:eastAsia="仿宋"/>
            </w:rPr>
            <w:t>5</w:t>
          </w:r>
          <w:r>
            <w:rPr>
              <w:rFonts w:hint="eastAsia" w:ascii="仿宋" w:hAnsi="仿宋" w:eastAsia="仿宋"/>
            </w:rPr>
            <w:fldChar w:fldCharType="end"/>
          </w:r>
          <w:r>
            <w:rPr>
              <w:rFonts w:hint="eastAsia" w:ascii="仿宋" w:hAnsi="仿宋" w:eastAsia="仿宋"/>
            </w:rPr>
            <w:fldChar w:fldCharType="end"/>
          </w:r>
        </w:p>
        <w:p>
          <w:pPr>
            <w:pStyle w:val="31"/>
            <w:tabs>
              <w:tab w:val="right" w:leader="dot" w:pos="8306"/>
            </w:tabs>
            <w:rPr>
              <w:rFonts w:hint="eastAsia" w:ascii="仿宋" w:hAnsi="仿宋" w:eastAsia="仿宋"/>
            </w:rPr>
          </w:pPr>
          <w:r>
            <w:rPr>
              <w:rFonts w:hint="eastAsia" w:ascii="仿宋" w:hAnsi="仿宋" w:eastAsia="仿宋"/>
            </w:rPr>
            <w:fldChar w:fldCharType="begin"/>
          </w:r>
          <w:r>
            <w:rPr>
              <w:rFonts w:hint="eastAsia" w:ascii="仿宋" w:hAnsi="仿宋" w:eastAsia="仿宋"/>
            </w:rPr>
            <w:instrText xml:space="preserve"> HYPERLINK \l _Toc26452 </w:instrText>
          </w:r>
          <w:r>
            <w:rPr>
              <w:rFonts w:hint="eastAsia" w:ascii="仿宋" w:hAnsi="仿宋" w:eastAsia="仿宋"/>
            </w:rPr>
            <w:fldChar w:fldCharType="separate"/>
          </w:r>
          <w:r>
            <w:rPr>
              <w:rFonts w:hint="eastAsia" w:ascii="仿宋" w:hAnsi="仿宋" w:eastAsia="仿宋"/>
            </w:rPr>
            <w:t>四、财政拨款收入支出决算总体情况说明</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PAGEREF _Toc26452 </w:instrText>
          </w:r>
          <w:r>
            <w:rPr>
              <w:rFonts w:hint="eastAsia" w:ascii="仿宋" w:hAnsi="仿宋" w:eastAsia="仿宋"/>
            </w:rPr>
            <w:fldChar w:fldCharType="separate"/>
          </w:r>
          <w:r>
            <w:rPr>
              <w:rFonts w:hint="eastAsia" w:ascii="仿宋" w:hAnsi="仿宋" w:eastAsia="仿宋"/>
            </w:rPr>
            <w:t>5</w:t>
          </w:r>
          <w:r>
            <w:rPr>
              <w:rFonts w:hint="eastAsia" w:ascii="仿宋" w:hAnsi="仿宋" w:eastAsia="仿宋"/>
            </w:rPr>
            <w:fldChar w:fldCharType="end"/>
          </w:r>
          <w:r>
            <w:rPr>
              <w:rFonts w:hint="eastAsia" w:ascii="仿宋" w:hAnsi="仿宋" w:eastAsia="仿宋"/>
            </w:rPr>
            <w:fldChar w:fldCharType="end"/>
          </w:r>
        </w:p>
        <w:p>
          <w:pPr>
            <w:pStyle w:val="31"/>
            <w:tabs>
              <w:tab w:val="right" w:leader="dot" w:pos="8306"/>
            </w:tabs>
            <w:rPr>
              <w:rFonts w:hint="eastAsia" w:ascii="仿宋" w:hAnsi="仿宋" w:eastAsia="仿宋"/>
            </w:rPr>
          </w:pPr>
          <w:r>
            <w:rPr>
              <w:rFonts w:hint="eastAsia" w:ascii="仿宋" w:hAnsi="仿宋" w:eastAsia="仿宋"/>
            </w:rPr>
            <w:fldChar w:fldCharType="begin"/>
          </w:r>
          <w:r>
            <w:rPr>
              <w:rFonts w:hint="eastAsia" w:ascii="仿宋" w:hAnsi="仿宋" w:eastAsia="仿宋"/>
            </w:rPr>
            <w:instrText xml:space="preserve"> HYPERLINK \l _Toc28612 </w:instrText>
          </w:r>
          <w:r>
            <w:rPr>
              <w:rFonts w:hint="eastAsia" w:ascii="仿宋" w:hAnsi="仿宋" w:eastAsia="仿宋"/>
            </w:rPr>
            <w:fldChar w:fldCharType="separate"/>
          </w:r>
          <w:r>
            <w:rPr>
              <w:rFonts w:hint="eastAsia" w:ascii="仿宋" w:hAnsi="仿宋" w:eastAsia="仿宋"/>
            </w:rPr>
            <w:t>六、一般公共预算财政拨款基本支出决算情况说明</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PAGEREF _Toc28612 </w:instrText>
          </w:r>
          <w:r>
            <w:rPr>
              <w:rFonts w:hint="eastAsia" w:ascii="仿宋" w:hAnsi="仿宋" w:eastAsia="仿宋"/>
            </w:rPr>
            <w:fldChar w:fldCharType="separate"/>
          </w:r>
          <w:r>
            <w:rPr>
              <w:rFonts w:hint="eastAsia" w:ascii="仿宋" w:hAnsi="仿宋" w:eastAsia="仿宋"/>
            </w:rPr>
            <w:t>8</w:t>
          </w:r>
          <w:r>
            <w:rPr>
              <w:rFonts w:hint="eastAsia" w:ascii="仿宋" w:hAnsi="仿宋" w:eastAsia="仿宋"/>
            </w:rPr>
            <w:fldChar w:fldCharType="end"/>
          </w:r>
          <w:r>
            <w:rPr>
              <w:rFonts w:hint="eastAsia" w:ascii="仿宋" w:hAnsi="仿宋" w:eastAsia="仿宋"/>
            </w:rPr>
            <w:fldChar w:fldCharType="end"/>
          </w:r>
        </w:p>
        <w:p>
          <w:pPr>
            <w:pStyle w:val="31"/>
            <w:tabs>
              <w:tab w:val="right" w:leader="dot" w:pos="8306"/>
            </w:tabs>
            <w:rPr>
              <w:rFonts w:hint="eastAsia" w:ascii="仿宋" w:hAnsi="仿宋" w:eastAsia="仿宋"/>
            </w:rPr>
          </w:pPr>
          <w:r>
            <w:rPr>
              <w:rFonts w:hint="eastAsia" w:ascii="仿宋" w:hAnsi="仿宋" w:eastAsia="仿宋"/>
            </w:rPr>
            <w:fldChar w:fldCharType="begin"/>
          </w:r>
          <w:r>
            <w:rPr>
              <w:rFonts w:hint="eastAsia" w:ascii="仿宋" w:hAnsi="仿宋" w:eastAsia="仿宋"/>
            </w:rPr>
            <w:instrText xml:space="preserve"> HYPERLINK \l _Toc19254 </w:instrText>
          </w:r>
          <w:r>
            <w:rPr>
              <w:rFonts w:hint="eastAsia" w:ascii="仿宋" w:hAnsi="仿宋" w:eastAsia="仿宋"/>
            </w:rPr>
            <w:fldChar w:fldCharType="separate"/>
          </w:r>
          <w:r>
            <w:rPr>
              <w:rFonts w:hint="eastAsia" w:ascii="仿宋" w:hAnsi="仿宋" w:eastAsia="仿宋"/>
            </w:rPr>
            <w:t>七、财政拨款“三公”经费支出决算情况说明</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PAGEREF _Toc19254 </w:instrText>
          </w:r>
          <w:r>
            <w:rPr>
              <w:rFonts w:hint="eastAsia" w:ascii="仿宋" w:hAnsi="仿宋" w:eastAsia="仿宋"/>
            </w:rPr>
            <w:fldChar w:fldCharType="separate"/>
          </w:r>
          <w:r>
            <w:rPr>
              <w:rFonts w:hint="eastAsia" w:ascii="仿宋" w:hAnsi="仿宋" w:eastAsia="仿宋"/>
            </w:rPr>
            <w:t>9</w:t>
          </w:r>
          <w:r>
            <w:rPr>
              <w:rFonts w:hint="eastAsia" w:ascii="仿宋" w:hAnsi="仿宋" w:eastAsia="仿宋"/>
            </w:rPr>
            <w:fldChar w:fldCharType="end"/>
          </w:r>
          <w:r>
            <w:rPr>
              <w:rFonts w:hint="eastAsia" w:ascii="仿宋" w:hAnsi="仿宋" w:eastAsia="仿宋"/>
            </w:rPr>
            <w:fldChar w:fldCharType="end"/>
          </w:r>
        </w:p>
        <w:p>
          <w:pPr>
            <w:pStyle w:val="31"/>
            <w:tabs>
              <w:tab w:val="right" w:leader="dot" w:pos="8306"/>
            </w:tabs>
            <w:rPr>
              <w:rFonts w:hint="eastAsia" w:ascii="仿宋" w:hAnsi="仿宋" w:eastAsia="仿宋"/>
            </w:rPr>
          </w:pPr>
          <w:r>
            <w:rPr>
              <w:rFonts w:hint="eastAsia" w:ascii="仿宋" w:hAnsi="仿宋" w:eastAsia="仿宋"/>
            </w:rPr>
            <w:fldChar w:fldCharType="begin"/>
          </w:r>
          <w:r>
            <w:rPr>
              <w:rFonts w:hint="eastAsia" w:ascii="仿宋" w:hAnsi="仿宋" w:eastAsia="仿宋"/>
            </w:rPr>
            <w:instrText xml:space="preserve"> HYPERLINK \l _Toc28762 </w:instrText>
          </w:r>
          <w:r>
            <w:rPr>
              <w:rFonts w:hint="eastAsia" w:ascii="仿宋" w:hAnsi="仿宋" w:eastAsia="仿宋"/>
            </w:rPr>
            <w:fldChar w:fldCharType="separate"/>
          </w:r>
          <w:r>
            <w:rPr>
              <w:rFonts w:hint="eastAsia" w:ascii="仿宋" w:hAnsi="仿宋" w:eastAsia="仿宋"/>
            </w:rPr>
            <w:t>八、政府性基金预算支出决算情况说明</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PAGEREF _Toc28762 </w:instrText>
          </w:r>
          <w:r>
            <w:rPr>
              <w:rFonts w:hint="eastAsia" w:ascii="仿宋" w:hAnsi="仿宋" w:eastAsia="仿宋"/>
            </w:rPr>
            <w:fldChar w:fldCharType="separate"/>
          </w:r>
          <w:r>
            <w:rPr>
              <w:rFonts w:hint="eastAsia" w:ascii="仿宋" w:hAnsi="仿宋" w:eastAsia="仿宋"/>
            </w:rPr>
            <w:t>11</w:t>
          </w:r>
          <w:r>
            <w:rPr>
              <w:rFonts w:hint="eastAsia" w:ascii="仿宋" w:hAnsi="仿宋" w:eastAsia="仿宋"/>
            </w:rPr>
            <w:fldChar w:fldCharType="end"/>
          </w:r>
          <w:r>
            <w:rPr>
              <w:rFonts w:hint="eastAsia" w:ascii="仿宋" w:hAnsi="仿宋" w:eastAsia="仿宋"/>
            </w:rPr>
            <w:fldChar w:fldCharType="end"/>
          </w:r>
        </w:p>
        <w:p>
          <w:pPr>
            <w:pStyle w:val="31"/>
            <w:tabs>
              <w:tab w:val="right" w:leader="dot" w:pos="8306"/>
            </w:tabs>
            <w:rPr>
              <w:rFonts w:hint="eastAsia" w:ascii="仿宋" w:hAnsi="仿宋" w:eastAsia="仿宋"/>
            </w:rPr>
          </w:pPr>
          <w:r>
            <w:rPr>
              <w:rFonts w:hint="eastAsia" w:ascii="仿宋" w:hAnsi="仿宋" w:eastAsia="仿宋"/>
            </w:rPr>
            <w:fldChar w:fldCharType="begin"/>
          </w:r>
          <w:r>
            <w:rPr>
              <w:rFonts w:hint="eastAsia" w:ascii="仿宋" w:hAnsi="仿宋" w:eastAsia="仿宋"/>
            </w:rPr>
            <w:instrText xml:space="preserve"> HYPERLINK \l _Toc15024 </w:instrText>
          </w:r>
          <w:r>
            <w:rPr>
              <w:rFonts w:hint="eastAsia" w:ascii="仿宋" w:hAnsi="仿宋" w:eastAsia="仿宋"/>
            </w:rPr>
            <w:fldChar w:fldCharType="separate"/>
          </w:r>
          <w:r>
            <w:rPr>
              <w:rFonts w:hint="eastAsia" w:ascii="仿宋" w:hAnsi="仿宋" w:eastAsia="仿宋"/>
            </w:rPr>
            <w:t>九、 国有资本经营预算支出决算情况说明</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PAGEREF _Toc15024 </w:instrText>
          </w:r>
          <w:r>
            <w:rPr>
              <w:rFonts w:hint="eastAsia" w:ascii="仿宋" w:hAnsi="仿宋" w:eastAsia="仿宋"/>
            </w:rPr>
            <w:fldChar w:fldCharType="separate"/>
          </w:r>
          <w:r>
            <w:rPr>
              <w:rFonts w:hint="eastAsia" w:ascii="仿宋" w:hAnsi="仿宋" w:eastAsia="仿宋"/>
            </w:rPr>
            <w:t>11</w:t>
          </w:r>
          <w:r>
            <w:rPr>
              <w:rFonts w:hint="eastAsia" w:ascii="仿宋" w:hAnsi="仿宋" w:eastAsia="仿宋"/>
            </w:rPr>
            <w:fldChar w:fldCharType="end"/>
          </w:r>
          <w:r>
            <w:rPr>
              <w:rFonts w:hint="eastAsia" w:ascii="仿宋" w:hAnsi="仿宋" w:eastAsia="仿宋"/>
            </w:rPr>
            <w:fldChar w:fldCharType="end"/>
          </w:r>
        </w:p>
        <w:p>
          <w:pPr>
            <w:pStyle w:val="31"/>
            <w:tabs>
              <w:tab w:val="right" w:leader="dot" w:pos="8306"/>
            </w:tabs>
          </w:pPr>
          <w:r>
            <w:rPr>
              <w:rFonts w:hint="eastAsia" w:ascii="仿宋" w:hAnsi="仿宋" w:eastAsia="仿宋"/>
            </w:rPr>
            <w:fldChar w:fldCharType="begin"/>
          </w:r>
          <w:r>
            <w:rPr>
              <w:rFonts w:hint="eastAsia" w:ascii="仿宋" w:hAnsi="仿宋" w:eastAsia="仿宋"/>
            </w:rPr>
            <w:instrText xml:space="preserve"> HYPERLINK \l _Toc19932 </w:instrText>
          </w:r>
          <w:r>
            <w:rPr>
              <w:rFonts w:hint="eastAsia" w:ascii="仿宋" w:hAnsi="仿宋" w:eastAsia="仿宋"/>
            </w:rPr>
            <w:fldChar w:fldCharType="separate"/>
          </w:r>
          <w:r>
            <w:rPr>
              <w:rFonts w:hint="eastAsia" w:ascii="仿宋" w:hAnsi="仿宋" w:eastAsia="仿宋"/>
            </w:rPr>
            <w:t>十、 其他重要事项的情况说明</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PAGEREF _Toc19932 </w:instrText>
          </w:r>
          <w:r>
            <w:rPr>
              <w:rFonts w:hint="eastAsia" w:ascii="仿宋" w:hAnsi="仿宋" w:eastAsia="仿宋"/>
            </w:rPr>
            <w:fldChar w:fldCharType="separate"/>
          </w:r>
          <w:r>
            <w:rPr>
              <w:rFonts w:hint="eastAsia" w:ascii="仿宋" w:hAnsi="仿宋" w:eastAsia="仿宋"/>
            </w:rPr>
            <w:t>11</w:t>
          </w:r>
          <w:r>
            <w:rPr>
              <w:rFonts w:hint="eastAsia" w:ascii="仿宋" w:hAnsi="仿宋" w:eastAsia="仿宋"/>
            </w:rPr>
            <w:fldChar w:fldCharType="end"/>
          </w:r>
          <w:r>
            <w:rPr>
              <w:rFonts w:hint="eastAsia" w:ascii="仿宋" w:hAnsi="仿宋" w:eastAsia="仿宋"/>
            </w:rPr>
            <w:fldChar w:fldCharType="end"/>
          </w:r>
        </w:p>
        <w:p>
          <w:pPr>
            <w:pStyle w:val="30"/>
            <w:tabs>
              <w:tab w:val="right" w:leader="dot" w:pos="8306"/>
            </w:tabs>
            <w:rPr>
              <w:b/>
            </w:rPr>
          </w:pPr>
          <w:r>
            <w:rPr>
              <w:b/>
            </w:rPr>
            <w:fldChar w:fldCharType="begin"/>
          </w:r>
          <w:r>
            <w:rPr>
              <w:b/>
            </w:rPr>
            <w:instrText xml:space="preserve"> HYPERLINK \l _Toc8065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_Toc8065 </w:instrText>
          </w:r>
          <w:r>
            <w:rPr>
              <w:b/>
            </w:rPr>
            <w:fldChar w:fldCharType="separate"/>
          </w:r>
          <w:r>
            <w:rPr>
              <w:b/>
            </w:rPr>
            <w:t>13</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_Toc9221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_Toc9221 </w:instrText>
          </w:r>
          <w:r>
            <w:rPr>
              <w:b/>
            </w:rPr>
            <w:fldChar w:fldCharType="separate"/>
          </w:r>
          <w:r>
            <w:rPr>
              <w:b/>
            </w:rPr>
            <w:t>15</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_Toc6483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_Toc6483 </w:instrText>
          </w:r>
          <w:r>
            <w:rPr>
              <w:b/>
            </w:rPr>
            <w:fldChar w:fldCharType="separate"/>
          </w:r>
          <w:r>
            <w:rPr>
              <w:b/>
            </w:rPr>
            <w:t>17</w:t>
          </w:r>
          <w:r>
            <w:rPr>
              <w:b/>
            </w:rPr>
            <w:fldChar w:fldCharType="end"/>
          </w:r>
          <w:r>
            <w:rPr>
              <w:b/>
            </w:rPr>
            <w:fldChar w:fldCharType="end"/>
          </w:r>
        </w:p>
        <w:p>
          <w:pPr>
            <w:pStyle w:val="31"/>
            <w:tabs>
              <w:tab w:val="right" w:leader="dot" w:pos="8306"/>
            </w:tabs>
          </w:pPr>
          <w:r>
            <w:fldChar w:fldCharType="begin"/>
          </w:r>
          <w:r>
            <w:instrText xml:space="preserve"> HYPERLINK \l _Toc9034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_Toc9034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_Toc12397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_Toc12397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_Toc3547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_Toc3547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_Toc5441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_Toc5441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_Toc21875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_Toc21875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_Toc12640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_Toc12640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_Toc10493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_Toc10493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_Toc15654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_Toc15654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_Toc30748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_Toc30748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_Toc26518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_Toc26518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_Toc25610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_Toc25610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_Toc19002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_Toc19002 </w:instrText>
          </w:r>
          <w:r>
            <w:fldChar w:fldCharType="separate"/>
          </w:r>
          <w:r>
            <w:t>17</w:t>
          </w:r>
          <w:r>
            <w:fldChar w:fldCharType="end"/>
          </w:r>
          <w:r>
            <w:fldChar w:fldCharType="end"/>
          </w:r>
        </w:p>
        <w:p>
          <w:pPr>
            <w:pStyle w:val="31"/>
            <w:tabs>
              <w:tab w:val="right" w:leader="dot" w:pos="8306"/>
            </w:tabs>
          </w:pPr>
          <w:r>
            <w:fldChar w:fldCharType="begin"/>
          </w:r>
          <w:r>
            <w:instrText xml:space="preserve"> HYPERLINK \l _Toc4212 </w:instrText>
          </w:r>
          <w:r>
            <w:fldChar w:fldCharType="separate"/>
          </w:r>
          <w:r>
            <w:rPr>
              <w:rFonts w:hint="eastAsia" w:ascii="仿宋" w:hAnsi="仿宋" w:eastAsia="仿宋"/>
              <w:bCs w:val="0"/>
            </w:rPr>
            <w:t>十三、财政拨款“三公”经费支出决算表</w:t>
          </w:r>
          <w:r>
            <w:tab/>
          </w:r>
          <w:r>
            <w:fldChar w:fldCharType="begin"/>
          </w:r>
          <w:r>
            <w:instrText xml:space="preserve"> PAGEREF _Toc4212 </w:instrText>
          </w:r>
          <w:r>
            <w:fldChar w:fldCharType="separate"/>
          </w:r>
          <w:r>
            <w:t>17</w:t>
          </w:r>
          <w:r>
            <w:fldChar w:fldCharType="end"/>
          </w:r>
          <w:r>
            <w:fldChar w:fldCharType="end"/>
          </w:r>
        </w:p>
        <w:p>
          <w:r>
            <w:rPr>
              <w:b/>
            </w:rP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Fonts w:ascii="黑体" w:eastAsia="黑体"/>
          <w:sz w:val="32"/>
          <w:szCs w:val="32"/>
        </w:rPr>
      </w:pPr>
      <w:bookmarkStart w:id="17" w:name="_Toc14521"/>
      <w:bookmarkStart w:id="18" w:name="_Hlk146544157"/>
      <w:r>
        <w:rPr>
          <w:rFonts w:hint="eastAsia" w:ascii="黑体" w:hAnsi="黑体" w:eastAsia="黑体"/>
          <w:b w:val="0"/>
        </w:rPr>
        <w:t>第一部分 单位</w:t>
      </w:r>
      <w:r>
        <w:rPr>
          <w:rStyle w:val="24"/>
          <w:rFonts w:hint="eastAsia" w:ascii="黑体" w:hAnsi="黑体" w:eastAsia="黑体"/>
          <w:b w:val="0"/>
          <w:bCs w:val="0"/>
        </w:rPr>
        <w:t>概况</w:t>
      </w:r>
      <w:bookmarkEnd w:id="15"/>
      <w:bookmarkEnd w:id="16"/>
      <w:bookmarkEnd w:id="17"/>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416" w:lineRule="auto"/>
        <w:ind w:firstLine="640" w:firstLineChars="200"/>
        <w:textAlignment w:val="auto"/>
        <w:rPr>
          <w:rStyle w:val="25"/>
          <w:rFonts w:ascii="黑体" w:hAnsi="黑体" w:eastAsia="黑体"/>
          <w:b w:val="0"/>
          <w:bCs w:val="0"/>
        </w:rPr>
      </w:pPr>
      <w:bookmarkStart w:id="19" w:name="_Toc8316"/>
      <w:bookmarkStart w:id="20" w:name="_Toc15377197"/>
      <w:bookmarkStart w:id="21" w:name="_Toc15396600"/>
      <w:r>
        <w:rPr>
          <w:rStyle w:val="25"/>
          <w:rFonts w:hint="eastAsia" w:ascii="黑体" w:hAnsi="黑体" w:eastAsia="黑体"/>
          <w:b w:val="0"/>
          <w:bCs w:val="0"/>
        </w:rPr>
        <w:t>主要职责</w:t>
      </w:r>
      <w:bookmarkEnd w:id="19"/>
    </w:p>
    <w:p>
      <w:pPr>
        <w:pStyle w:val="2"/>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000000"/>
          <w:sz w:val="32"/>
          <w:szCs w:val="32"/>
          <w:lang w:eastAsia="zh-CN"/>
        </w:rPr>
      </w:pPr>
      <w:bookmarkStart w:id="22" w:name="_Toc15378445"/>
      <w:bookmarkStart w:id="23" w:name="_Toc15377198"/>
      <w:r>
        <w:rPr>
          <w:rFonts w:hint="eastAsia" w:hAnsi="仿宋_GB2312" w:cs="仿宋_GB2312"/>
          <w:bCs/>
          <w:color w:val="000000"/>
          <w:sz w:val="32"/>
          <w:szCs w:val="32"/>
          <w:lang w:eastAsia="zh-CN"/>
        </w:rPr>
        <w:t>评审中心</w:t>
      </w:r>
      <w:r>
        <w:rPr>
          <w:rFonts w:hint="eastAsia" w:ascii="仿宋_GB2312" w:hAnsi="仿宋_GB2312" w:eastAsia="仿宋_GB2312" w:cs="仿宋_GB2312"/>
          <w:bCs/>
          <w:color w:val="000000"/>
          <w:sz w:val="32"/>
          <w:szCs w:val="32"/>
        </w:rPr>
        <w:t>主要职能</w:t>
      </w:r>
      <w:bookmarkEnd w:id="22"/>
      <w:bookmarkEnd w:id="23"/>
      <w:r>
        <w:rPr>
          <w:rFonts w:hint="eastAsia" w:hAnsi="仿宋_GB2312" w:cs="仿宋_GB2312"/>
          <w:bCs/>
          <w:color w:val="000000"/>
          <w:sz w:val="32"/>
          <w:szCs w:val="32"/>
          <w:lang w:eastAsia="zh-CN"/>
        </w:rPr>
        <w:t>：</w:t>
      </w:r>
    </w:p>
    <w:p>
      <w:pPr>
        <w:pStyle w:val="2"/>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pPr>
      <w:bookmarkStart w:id="24" w:name="_Toc15378446"/>
      <w:bookmarkStart w:id="25" w:name="_Toc15377199"/>
      <w:r>
        <w:rPr>
          <w:rFonts w:hint="eastAsia" w:hAnsi="仿宋_GB2312" w:cs="仿宋_GB2312"/>
          <w:bCs/>
          <w:color w:val="000000"/>
          <w:sz w:val="32"/>
          <w:szCs w:val="32"/>
        </w:rPr>
        <w:t>负责政府投资建设项目的预算评审；负责对政府投资工程项目招标文件、施工合同进行符合性审核；协助市财政局对工程进度及资金拨付情况进行监管；协助市财政局参与政府投资建设项目绩效评价和监督检查；完成市委、市政府交办的其他事项。</w:t>
      </w:r>
      <w:bookmarkEnd w:id="24"/>
      <w:bookmarkEnd w:id="25"/>
    </w:p>
    <w:p>
      <w:pPr>
        <w:pStyle w:val="4"/>
        <w:pageBreakBefore w:val="0"/>
        <w:widowControl w:val="0"/>
        <w:kinsoku/>
        <w:wordWrap/>
        <w:overflowPunct/>
        <w:topLinePunct w:val="0"/>
        <w:autoSpaceDE/>
        <w:autoSpaceDN/>
        <w:bidi w:val="0"/>
        <w:spacing w:before="0" w:after="0"/>
        <w:ind w:firstLine="640" w:firstLineChars="200"/>
        <w:textAlignment w:val="auto"/>
        <w:rPr>
          <w:rFonts w:ascii="黑体" w:hAnsi="黑体" w:eastAsia="黑体"/>
          <w:b w:val="0"/>
        </w:rPr>
      </w:pPr>
      <w:bookmarkStart w:id="26" w:name="_Toc13970"/>
      <w:r>
        <w:rPr>
          <w:rFonts w:hint="eastAsia" w:ascii="黑体" w:hAnsi="黑体" w:eastAsia="黑体"/>
          <w:b w:val="0"/>
        </w:rPr>
        <w:t>二、机构设置</w:t>
      </w:r>
      <w:bookmarkEnd w:id="26"/>
    </w:p>
    <w:p>
      <w:pPr>
        <w:pageBreakBefore w:val="0"/>
        <w:widowControl w:val="0"/>
        <w:kinsoku/>
        <w:wordWrap/>
        <w:overflowPunct/>
        <w:topLinePunct w:val="0"/>
        <w:autoSpaceDE/>
        <w:autoSpaceDN/>
        <w:bidi w:val="0"/>
        <w:ind w:firstLine="707" w:firstLineChars="221"/>
        <w:textAlignment w:val="auto"/>
        <w:rPr>
          <w:rFonts w:ascii="仿宋" w:hAnsi="仿宋" w:eastAsia="仿宋"/>
          <w:sz w:val="32"/>
          <w:szCs w:val="32"/>
        </w:rPr>
      </w:pPr>
      <w:r>
        <w:rPr>
          <w:rFonts w:hint="eastAsia" w:ascii="仿宋" w:hAnsi="仿宋" w:eastAsia="仿宋"/>
          <w:sz w:val="32"/>
          <w:szCs w:val="32"/>
          <w:lang w:eastAsia="zh-CN"/>
        </w:rPr>
        <w:t>峨眉山市财政投资评审中心</w:t>
      </w:r>
      <w:r>
        <w:rPr>
          <w:rFonts w:hint="eastAsia" w:ascii="仿宋" w:hAnsi="仿宋" w:eastAsia="仿宋"/>
          <w:sz w:val="32"/>
          <w:szCs w:val="32"/>
        </w:rPr>
        <w:t>属于</w:t>
      </w:r>
      <w:r>
        <w:rPr>
          <w:rFonts w:hint="eastAsia" w:ascii="仿宋" w:hAnsi="仿宋" w:eastAsia="仿宋"/>
          <w:sz w:val="32"/>
          <w:szCs w:val="32"/>
          <w:lang w:eastAsia="zh-CN"/>
        </w:rPr>
        <w:t>峨眉山市财政局</w:t>
      </w:r>
      <w:r>
        <w:rPr>
          <w:rFonts w:hint="eastAsia" w:ascii="仿宋" w:hAnsi="仿宋" w:eastAsia="仿宋"/>
          <w:sz w:val="32"/>
          <w:szCs w:val="32"/>
        </w:rPr>
        <w:t>下属的二级预算单位，下设独立编制机构</w:t>
      </w:r>
      <w:r>
        <w:rPr>
          <w:rFonts w:hint="eastAsia" w:ascii="仿宋" w:hAnsi="仿宋" w:eastAsia="仿宋"/>
          <w:sz w:val="32"/>
          <w:szCs w:val="32"/>
          <w:lang w:val="en-US" w:eastAsia="zh-CN"/>
        </w:rPr>
        <w:t>1</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1</w:t>
      </w:r>
      <w:r>
        <w:rPr>
          <w:rFonts w:hint="eastAsia" w:ascii="仿宋" w:hAnsi="仿宋" w:eastAsia="仿宋"/>
          <w:sz w:val="32"/>
          <w:szCs w:val="32"/>
        </w:rPr>
        <w:t>个。</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kern w:val="2"/>
          <w:sz w:val="32"/>
          <w:szCs w:val="32"/>
          <w:shd w:val="clear" w:color="auto" w:fill="FFFF00"/>
          <w:lang w:val="en-US" w:eastAsia="zh-CN"/>
        </w:rPr>
      </w:pPr>
      <w:r>
        <w:rPr>
          <w:rFonts w:hint="eastAsia" w:ascii="仿宋_GB2312" w:hAnsi="仿宋_GB2312" w:eastAsia="仿宋_GB2312" w:cs="仿宋_GB2312"/>
          <w:sz w:val="32"/>
          <w:szCs w:val="32"/>
          <w:lang w:val="en-US" w:eastAsia="zh-CN"/>
        </w:rPr>
        <w:t>峨眉山市财政投资评审中心设1个主任办公室，1个综合办公室，3个评审小组，1个总工办，1个监管组。</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 xml:space="preserve">2022年12月底事业人员编制数为19人，实际人数为16人。另有编制外专业技术人员14人，劳务派遣人员1人。                      </w:t>
      </w:r>
      <w:r>
        <w:rPr>
          <w:rFonts w:ascii="仿宋" w:hAnsi="仿宋" w:eastAsia="仿宋"/>
          <w:kern w:val="2"/>
          <w:sz w:val="32"/>
          <w:szCs w:val="32"/>
          <w:shd w:val="clear" w:color="auto" w:fill="FFFF00"/>
        </w:rPr>
        <w:t xml:space="preserve">                                                                                                                                                                                                                                                                                                                                                                                                                                                                                                                                                                                                                                                                                                                                                                                                                                                                                                                                                                                                                                                                                                                                                                                                                                                                                                                                                                                                                                                                                                                                                                                                                                                                                                                                                                                                                                                                                                                                                                                                                                                                                                                                                                                                                                                                                                                                                                                                                                                                                                                                                                                                                                                                                                                                                                                                                                                                                                                                                                                                                                                                                                                                                                                                                                                                                                                                                                                                                                                                                                                                                                                                                                                                                                                                                                                                                                  </w:t>
      </w:r>
      <w:r>
        <w:rPr>
          <w:rFonts w:hint="eastAsia" w:ascii="仿宋" w:hAnsi="仿宋" w:eastAsia="仿宋"/>
          <w:kern w:val="2"/>
          <w:sz w:val="32"/>
          <w:szCs w:val="32"/>
          <w:shd w:val="clear" w:color="auto" w:fill="FFFF00"/>
          <w:lang w:val="en-US" w:eastAsia="zh-CN"/>
        </w:rPr>
        <w:t xml:space="preserve">      </w:t>
      </w:r>
    </w:p>
    <w:p>
      <w:pPr>
        <w:pStyle w:val="2"/>
        <w:ind w:left="319" w:leftChars="152" w:firstLine="320" w:firstLineChars="100"/>
      </w:pPr>
      <w:r>
        <w:rPr>
          <w:rFonts w:hint="eastAsia" w:ascii="仿宋_GB2312" w:hAnsi="仿宋_GB2312" w:eastAsia="仿宋_GB2312" w:cs="仿宋_GB2312"/>
          <w:sz w:val="32"/>
          <w:szCs w:val="32"/>
          <w:lang w:val="en-US" w:eastAsia="zh-CN"/>
        </w:rPr>
        <w:t>纳入202</w:t>
      </w:r>
      <w:r>
        <w:rPr>
          <w:rFonts w:hint="eastAsia" w:hAnsi="仿宋_GB2312" w:cs="仿宋_GB2312"/>
          <w:sz w:val="32"/>
          <w:szCs w:val="32"/>
          <w:lang w:val="en-US" w:eastAsia="zh-CN"/>
        </w:rPr>
        <w:t>2</w:t>
      </w:r>
      <w:r>
        <w:rPr>
          <w:rFonts w:hint="eastAsia" w:ascii="仿宋_GB2312" w:hAnsi="仿宋_GB2312" w:eastAsia="仿宋_GB2312" w:cs="仿宋_GB2312"/>
          <w:sz w:val="32"/>
          <w:szCs w:val="32"/>
          <w:lang w:val="en-US" w:eastAsia="zh-CN"/>
        </w:rPr>
        <w:t>年度单位决算编制范围的独立编制机构包括：</w:t>
      </w:r>
    </w:p>
    <w:p>
      <w:pPr>
        <w:pStyle w:val="2"/>
        <w:spacing w:before="93"/>
        <w:ind w:firstLine="707" w:firstLineChars="221"/>
        <w:rPr>
          <w:rFonts w:ascii="仿宋" w:hAnsi="仿宋" w:eastAsia="仿宋"/>
          <w:sz w:val="32"/>
          <w:szCs w:val="32"/>
        </w:rPr>
      </w:pPr>
      <w:r>
        <w:rPr>
          <w:rFonts w:hint="eastAsia" w:ascii="仿宋" w:hAnsi="仿宋" w:eastAsia="仿宋"/>
          <w:kern w:val="2"/>
          <w:sz w:val="32"/>
          <w:szCs w:val="32"/>
        </w:rPr>
        <w:t>1</w:t>
      </w:r>
      <w:r>
        <w:rPr>
          <w:rFonts w:ascii="仿宋" w:hAnsi="仿宋" w:eastAsia="仿宋"/>
          <w:kern w:val="2"/>
          <w:sz w:val="32"/>
          <w:szCs w:val="32"/>
        </w:rPr>
        <w:t>.</w:t>
      </w:r>
      <w:r>
        <w:rPr>
          <w:rFonts w:hint="eastAsia" w:ascii="仿宋_GB2312" w:hAnsi="仿宋_GB2312" w:eastAsia="仿宋_GB2312" w:cs="仿宋_GB2312"/>
          <w:sz w:val="32"/>
          <w:szCs w:val="32"/>
          <w:lang w:val="en-US" w:eastAsia="zh-CN"/>
        </w:rPr>
        <w:t>峨眉山市财政投资评审中心</w:t>
      </w:r>
      <w:bookmarkEnd w:id="18"/>
      <w:bookmarkEnd w:id="20"/>
      <w:bookmarkEnd w:id="21"/>
      <w:r>
        <w:rPr>
          <w:rFonts w:ascii="仿宋" w:hAnsi="仿宋" w:eastAsia="仿宋"/>
          <w:sz w:val="32"/>
          <w:szCs w:val="32"/>
        </w:rPr>
        <w:br w:type="page"/>
      </w:r>
    </w:p>
    <w:p>
      <w:pPr>
        <w:pStyle w:val="3"/>
        <w:ind w:right="440"/>
        <w:jc w:val="center"/>
        <w:rPr>
          <w:rStyle w:val="24"/>
          <w:rFonts w:ascii="黑体" w:hAnsi="黑体" w:eastAsia="黑体"/>
          <w:b w:val="0"/>
          <w:bCs/>
        </w:rPr>
      </w:pPr>
      <w:bookmarkStart w:id="27" w:name="_Toc21153"/>
      <w:bookmarkStart w:id="28" w:name="_Toc15377204"/>
      <w:bookmarkStart w:id="29"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27"/>
      <w:bookmarkEnd w:id="28"/>
      <w:bookmarkEnd w:id="29"/>
    </w:p>
    <w:p/>
    <w:p>
      <w:pPr>
        <w:pStyle w:val="23"/>
        <w:numPr>
          <w:ilvl w:val="0"/>
          <w:numId w:val="2"/>
        </w:numPr>
        <w:spacing w:line="600" w:lineRule="exact"/>
        <w:ind w:firstLineChars="0"/>
        <w:outlineLvl w:val="1"/>
        <w:rPr>
          <w:rStyle w:val="25"/>
          <w:rFonts w:ascii="黑体" w:hAnsi="黑体" w:eastAsia="黑体"/>
          <w:b w:val="0"/>
        </w:rPr>
      </w:pPr>
      <w:bookmarkStart w:id="30" w:name="_Toc15396603"/>
      <w:bookmarkStart w:id="31" w:name="_Toc15377205"/>
      <w:bookmarkStart w:id="32" w:name="_Toc20522"/>
      <w:r>
        <w:rPr>
          <w:rFonts w:hint="eastAsia" w:ascii="黑体" w:hAnsi="黑体" w:eastAsia="黑体"/>
          <w:sz w:val="32"/>
          <w:szCs w:val="32"/>
        </w:rPr>
        <w:t>收</w:t>
      </w:r>
      <w:r>
        <w:rPr>
          <w:rStyle w:val="25"/>
          <w:rFonts w:hint="eastAsia" w:ascii="黑体" w:hAnsi="黑体" w:eastAsia="黑体"/>
          <w:b w:val="0"/>
        </w:rPr>
        <w:t>入支出决算总体情况说明</w:t>
      </w:r>
      <w:bookmarkEnd w:id="30"/>
      <w:bookmarkEnd w:id="31"/>
      <w:bookmarkEnd w:id="32"/>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、支总计</w:t>
      </w:r>
      <w:r>
        <w:rPr>
          <w:rFonts w:hint="eastAsia" w:ascii="仿宋" w:hAnsi="仿宋" w:eastAsia="仿宋"/>
          <w:sz w:val="32"/>
          <w:szCs w:val="32"/>
          <w:lang w:val="en-US" w:eastAsia="zh-CN"/>
        </w:rPr>
        <w:t>575.16万元</w:t>
      </w:r>
      <w:r>
        <w:rPr>
          <w:rFonts w:hint="eastAsia" w:ascii="仿宋" w:hAnsi="仿宋" w:eastAsia="仿宋"/>
          <w:sz w:val="32"/>
          <w:szCs w:val="32"/>
        </w:rPr>
        <w:t>。与2021年相比，收</w:t>
      </w:r>
      <w:r>
        <w:rPr>
          <w:rFonts w:hint="eastAsia" w:ascii="仿宋" w:hAnsi="仿宋" w:eastAsia="仿宋"/>
          <w:sz w:val="32"/>
          <w:szCs w:val="32"/>
          <w:lang w:eastAsia="zh-CN"/>
        </w:rPr>
        <w:t>、支总计</w:t>
      </w:r>
      <w:r>
        <w:rPr>
          <w:rFonts w:hint="eastAsia" w:ascii="仿宋" w:hAnsi="仿宋" w:eastAsia="仿宋"/>
          <w:sz w:val="32"/>
          <w:szCs w:val="32"/>
        </w:rPr>
        <w:t>增加</w:t>
      </w:r>
      <w:r>
        <w:rPr>
          <w:rFonts w:hint="eastAsia" w:ascii="仿宋" w:hAnsi="仿宋" w:eastAsia="仿宋"/>
          <w:sz w:val="32"/>
          <w:szCs w:val="32"/>
          <w:lang w:val="en-US" w:eastAsia="zh-CN"/>
        </w:rPr>
        <w:t>94.91万元</w:t>
      </w:r>
      <w:r>
        <w:rPr>
          <w:rFonts w:hint="eastAsia" w:ascii="仿宋" w:hAnsi="仿宋" w:eastAsia="仿宋"/>
          <w:sz w:val="32"/>
          <w:szCs w:val="32"/>
        </w:rPr>
        <w:t>，增长</w:t>
      </w:r>
      <w:r>
        <w:rPr>
          <w:rFonts w:hint="eastAsia" w:ascii="仿宋" w:hAnsi="仿宋" w:eastAsia="仿宋"/>
          <w:sz w:val="32"/>
          <w:szCs w:val="32"/>
          <w:lang w:val="en-US" w:eastAsia="zh-CN"/>
        </w:rPr>
        <w:t>19.76%</w:t>
      </w:r>
      <w:r>
        <w:rPr>
          <w:rFonts w:hint="eastAsia" w:ascii="仿宋" w:hAnsi="仿宋" w:eastAsia="仿宋"/>
          <w:sz w:val="32"/>
          <w:szCs w:val="32"/>
        </w:rPr>
        <w:t>。主要变动原因是</w:t>
      </w:r>
      <w:r>
        <w:rPr>
          <w:rFonts w:hint="eastAsia" w:ascii="仿宋" w:hAnsi="仿宋" w:eastAsia="仿宋"/>
          <w:sz w:val="32"/>
          <w:szCs w:val="32"/>
          <w:lang w:val="en-US" w:eastAsia="zh-CN"/>
        </w:rPr>
        <w:t>1、人员经费增加，表现为：</w:t>
      </w:r>
      <w:r>
        <w:rPr>
          <w:rFonts w:hint="eastAsia" w:ascii="仿宋_GB2312" w:hAnsi="仿宋" w:eastAsia="仿宋_GB2312"/>
          <w:sz w:val="32"/>
          <w:szCs w:val="32"/>
          <w:lang w:val="en-US" w:eastAsia="zh-CN"/>
        </w:rPr>
        <w:t>补发2021年度事业人员目标奖及评审人员2021年度目标考核奖；新增编制人员1名，事业人员工资福利支出增加；预、结算项目增加，评审人员经费增加；2、以调拨方式增加公务用车2辆，公务用车运行维护费增加。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420" w:firstLineChars="200"/>
        <w:jc w:val="left"/>
        <w:rPr>
          <w:rFonts w:ascii="仿宋_GB2312" w:eastAsia="仿宋_GB2312"/>
          <w:sz w:val="32"/>
          <w:szCs w:val="32"/>
        </w:rPr>
      </w:pPr>
      <w:r>
        <w:drawing>
          <wp:anchor distT="0" distB="0" distL="114300" distR="114300" simplePos="0" relativeHeight="251659264" behindDoc="1" locked="0" layoutInCell="1" allowOverlap="1">
            <wp:simplePos x="0" y="0"/>
            <wp:positionH relativeFrom="column">
              <wp:posOffset>513080</wp:posOffset>
            </wp:positionH>
            <wp:positionV relativeFrom="paragraph">
              <wp:posOffset>184150</wp:posOffset>
            </wp:positionV>
            <wp:extent cx="3924300" cy="1723390"/>
            <wp:effectExtent l="4445" t="4445" r="52705" b="62865"/>
            <wp:wrapTight wrapText="bothSides">
              <wp:wrapPolygon>
                <wp:start x="-24" y="-56"/>
                <wp:lineTo x="-24" y="21433"/>
                <wp:lineTo x="21576" y="21433"/>
                <wp:lineTo x="21576" y="-56"/>
                <wp:lineTo x="-24" y="-56"/>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3"/>
        <w:numPr>
          <w:ilvl w:val="0"/>
          <w:numId w:val="2"/>
        </w:numPr>
        <w:spacing w:line="600" w:lineRule="exact"/>
        <w:ind w:firstLineChars="0"/>
        <w:outlineLvl w:val="1"/>
        <w:rPr>
          <w:rStyle w:val="25"/>
          <w:rFonts w:ascii="黑体" w:hAnsi="黑体" w:eastAsia="黑体"/>
          <w:b w:val="0"/>
        </w:rPr>
      </w:pPr>
      <w:bookmarkStart w:id="33" w:name="_Toc15396604"/>
      <w:bookmarkStart w:id="34" w:name="_Toc15377206"/>
      <w:bookmarkStart w:id="35" w:name="_Toc23647"/>
      <w:r>
        <w:rPr>
          <w:rFonts w:hint="eastAsia" w:ascii="黑体" w:hAnsi="黑体" w:eastAsia="黑体"/>
          <w:sz w:val="32"/>
          <w:szCs w:val="32"/>
        </w:rPr>
        <w:t>收</w:t>
      </w:r>
      <w:r>
        <w:rPr>
          <w:rStyle w:val="25"/>
          <w:rFonts w:hint="eastAsia" w:ascii="黑体" w:hAnsi="黑体" w:eastAsia="黑体"/>
          <w:b w:val="0"/>
        </w:rPr>
        <w:t>入决算情况说明</w:t>
      </w:r>
      <w:bookmarkEnd w:id="33"/>
      <w:bookmarkEnd w:id="34"/>
      <w:bookmarkEnd w:id="35"/>
    </w:p>
    <w:p>
      <w:pPr>
        <w:spacing w:line="600" w:lineRule="exact"/>
        <w:ind w:firstLine="640" w:firstLineChars="200"/>
        <w:outlineLvl w:val="1"/>
        <w:rPr>
          <w:rFonts w:ascii="仿宋" w:hAnsi="仿宋" w:eastAsia="仿宋"/>
          <w:sz w:val="32"/>
          <w:szCs w:val="32"/>
        </w:rPr>
      </w:pPr>
      <w:bookmarkStart w:id="36" w:name="_Toc31618"/>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575.16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575.16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bookmarkEnd w:id="36"/>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420" w:firstLineChars="200"/>
        <w:rPr>
          <w:rFonts w:ascii="仿宋_GB2312" w:eastAsia="仿宋_GB2312"/>
          <w:sz w:val="32"/>
          <w:szCs w:val="32"/>
        </w:rPr>
      </w:pPr>
      <w:r>
        <w:drawing>
          <wp:anchor distT="0" distB="0" distL="114300" distR="114300" simplePos="0" relativeHeight="251660288" behindDoc="0" locked="0" layoutInCell="1" allowOverlap="1">
            <wp:simplePos x="0" y="0"/>
            <wp:positionH relativeFrom="column">
              <wp:posOffset>403225</wp:posOffset>
            </wp:positionH>
            <wp:positionV relativeFrom="paragraph">
              <wp:posOffset>71755</wp:posOffset>
            </wp:positionV>
            <wp:extent cx="4345305" cy="1982470"/>
            <wp:effectExtent l="4445" t="4445" r="12700" b="13335"/>
            <wp:wrapTopAndBottom/>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3"/>
        <w:numPr>
          <w:ilvl w:val="0"/>
          <w:numId w:val="2"/>
        </w:numPr>
        <w:spacing w:line="600" w:lineRule="exact"/>
        <w:ind w:firstLineChars="0"/>
        <w:outlineLvl w:val="1"/>
        <w:rPr>
          <w:rStyle w:val="25"/>
          <w:rFonts w:ascii="黑体" w:hAnsi="黑体" w:eastAsia="黑体"/>
          <w:b w:val="0"/>
        </w:rPr>
      </w:pPr>
      <w:bookmarkStart w:id="37" w:name="_Toc15377207"/>
      <w:bookmarkStart w:id="38" w:name="_Toc7230"/>
      <w:bookmarkStart w:id="39" w:name="_Toc15396605"/>
      <w:r>
        <w:rPr>
          <w:rFonts w:hint="eastAsia" w:ascii="黑体" w:hAnsi="黑体" w:eastAsia="黑体"/>
          <w:sz w:val="32"/>
          <w:szCs w:val="32"/>
        </w:rPr>
        <w:t>支</w:t>
      </w:r>
      <w:r>
        <w:rPr>
          <w:rStyle w:val="25"/>
          <w:rFonts w:hint="eastAsia" w:ascii="黑体" w:hAnsi="黑体" w:eastAsia="黑体"/>
          <w:b w:val="0"/>
        </w:rPr>
        <w:t>出决算情况说明</w:t>
      </w:r>
      <w:bookmarkEnd w:id="37"/>
      <w:bookmarkEnd w:id="38"/>
      <w:bookmarkEnd w:id="39"/>
    </w:p>
    <w:p>
      <w:pPr>
        <w:spacing w:line="600" w:lineRule="exact"/>
        <w:ind w:firstLine="640" w:firstLineChars="200"/>
        <w:outlineLvl w:val="1"/>
        <w:rPr>
          <w:rFonts w:ascii="仿宋" w:hAnsi="仿宋" w:eastAsia="仿宋"/>
          <w:sz w:val="32"/>
          <w:szCs w:val="32"/>
        </w:rPr>
      </w:pPr>
      <w:bookmarkStart w:id="40" w:name="_Toc9035"/>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575.16</w:t>
      </w:r>
      <w:r>
        <w:rPr>
          <w:rFonts w:hint="eastAsia" w:ascii="仿宋" w:hAnsi="仿宋" w:eastAsia="仿宋"/>
          <w:sz w:val="32"/>
          <w:szCs w:val="32"/>
        </w:rPr>
        <w:t>万元，其中：基本支出</w:t>
      </w:r>
      <w:r>
        <w:rPr>
          <w:rFonts w:hint="eastAsia" w:ascii="仿宋" w:hAnsi="仿宋" w:eastAsia="仿宋"/>
          <w:sz w:val="32"/>
          <w:szCs w:val="32"/>
          <w:lang w:val="en-US" w:eastAsia="zh-CN"/>
        </w:rPr>
        <w:t>528.07</w:t>
      </w:r>
      <w:r>
        <w:rPr>
          <w:rFonts w:hint="eastAsia" w:ascii="仿宋" w:hAnsi="仿宋" w:eastAsia="仿宋"/>
          <w:sz w:val="32"/>
          <w:szCs w:val="32"/>
        </w:rPr>
        <w:t>万元，占</w:t>
      </w:r>
      <w:r>
        <w:rPr>
          <w:rFonts w:hint="eastAsia" w:ascii="仿宋" w:hAnsi="仿宋" w:eastAsia="仿宋"/>
          <w:sz w:val="32"/>
          <w:szCs w:val="32"/>
          <w:lang w:val="en-US" w:eastAsia="zh-CN"/>
        </w:rPr>
        <w:t>91.81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47.09</w:t>
      </w:r>
      <w:r>
        <w:rPr>
          <w:rFonts w:hint="eastAsia" w:ascii="仿宋" w:hAnsi="仿宋" w:eastAsia="仿宋"/>
          <w:sz w:val="32"/>
          <w:szCs w:val="32"/>
        </w:rPr>
        <w:t>万元，占</w:t>
      </w:r>
      <w:r>
        <w:rPr>
          <w:rFonts w:hint="eastAsia" w:ascii="仿宋" w:hAnsi="仿宋" w:eastAsia="仿宋"/>
          <w:sz w:val="32"/>
          <w:szCs w:val="32"/>
          <w:lang w:val="en-US" w:eastAsia="zh-CN"/>
        </w:rPr>
        <w:t>8.19</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bookmarkEnd w:id="40"/>
    </w:p>
    <w:p>
      <w:pPr>
        <w:spacing w:line="600" w:lineRule="exact"/>
        <w:ind w:firstLine="420" w:firstLineChars="200"/>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505460</wp:posOffset>
            </wp:positionH>
            <wp:positionV relativeFrom="paragraph">
              <wp:posOffset>485775</wp:posOffset>
            </wp:positionV>
            <wp:extent cx="4177030" cy="1659255"/>
            <wp:effectExtent l="5080" t="4445" r="8890" b="12700"/>
            <wp:wrapTopAndBottom/>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41" w:name="_Toc26452"/>
      <w:bookmarkStart w:id="42" w:name="_Toc15396606"/>
      <w:bookmarkStart w:id="43"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41"/>
      <w:bookmarkEnd w:id="42"/>
      <w:bookmarkEnd w:id="43"/>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575.16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w:t>
      </w:r>
      <w:r>
        <w:rPr>
          <w:rFonts w:hint="eastAsia" w:ascii="仿宋" w:hAnsi="仿宋" w:eastAsia="仿宋"/>
          <w:sz w:val="32"/>
          <w:szCs w:val="32"/>
          <w:lang w:eastAsia="zh-CN"/>
        </w:rPr>
        <w:t>入</w:t>
      </w:r>
      <w:r>
        <w:rPr>
          <w:rFonts w:hint="eastAsia" w:ascii="仿宋" w:hAnsi="仿宋" w:eastAsia="仿宋"/>
          <w:sz w:val="32"/>
          <w:szCs w:val="32"/>
        </w:rPr>
        <w:t>增加</w:t>
      </w:r>
      <w:r>
        <w:rPr>
          <w:rFonts w:hint="eastAsia" w:ascii="仿宋" w:hAnsi="仿宋" w:eastAsia="仿宋"/>
          <w:sz w:val="32"/>
          <w:szCs w:val="32"/>
          <w:lang w:val="en-US" w:eastAsia="zh-CN"/>
        </w:rPr>
        <w:t>100.02</w:t>
      </w:r>
      <w:r>
        <w:rPr>
          <w:rFonts w:hint="eastAsia" w:ascii="仿宋" w:hAnsi="仿宋" w:eastAsia="仿宋"/>
          <w:sz w:val="32"/>
          <w:szCs w:val="32"/>
        </w:rPr>
        <w:t>万元，增长</w:t>
      </w:r>
      <w:r>
        <w:rPr>
          <w:rFonts w:hint="eastAsia" w:ascii="仿宋" w:hAnsi="仿宋" w:eastAsia="仿宋"/>
          <w:sz w:val="32"/>
          <w:szCs w:val="32"/>
          <w:lang w:val="en-US" w:eastAsia="zh-CN"/>
        </w:rPr>
        <w:t>21.05</w:t>
      </w:r>
      <w:r>
        <w:rPr>
          <w:rFonts w:ascii="仿宋" w:hAnsi="仿宋" w:eastAsia="仿宋"/>
          <w:sz w:val="32"/>
          <w:szCs w:val="32"/>
        </w:rPr>
        <w:t>%</w:t>
      </w:r>
      <w:r>
        <w:rPr>
          <w:rFonts w:hint="eastAsia" w:ascii="仿宋" w:hAnsi="仿宋" w:eastAsia="仿宋"/>
          <w:sz w:val="32"/>
          <w:szCs w:val="32"/>
          <w:lang w:eastAsia="zh-CN"/>
        </w:rPr>
        <w:t>；财政拨款支出增加</w:t>
      </w:r>
      <w:r>
        <w:rPr>
          <w:rFonts w:hint="eastAsia" w:ascii="仿宋" w:hAnsi="仿宋" w:eastAsia="仿宋"/>
          <w:sz w:val="32"/>
          <w:szCs w:val="32"/>
          <w:lang w:val="en-US" w:eastAsia="zh-CN"/>
        </w:rPr>
        <w:t>99.82万元，增长21%</w:t>
      </w:r>
      <w:r>
        <w:rPr>
          <w:rFonts w:hint="eastAsia" w:ascii="仿宋" w:hAnsi="仿宋" w:eastAsia="仿宋"/>
          <w:sz w:val="32"/>
          <w:szCs w:val="32"/>
        </w:rPr>
        <w:t>。主要变动原因是</w:t>
      </w:r>
      <w:r>
        <w:rPr>
          <w:rFonts w:hint="eastAsia" w:ascii="仿宋" w:hAnsi="仿宋" w:eastAsia="仿宋"/>
          <w:sz w:val="32"/>
          <w:szCs w:val="32"/>
          <w:lang w:val="en-US" w:eastAsia="zh-CN"/>
        </w:rPr>
        <w:t>1、人员经费增加，表现为：</w:t>
      </w:r>
      <w:r>
        <w:rPr>
          <w:rFonts w:hint="eastAsia" w:ascii="仿宋_GB2312" w:hAnsi="仿宋" w:eastAsia="仿宋_GB2312"/>
          <w:sz w:val="32"/>
          <w:szCs w:val="32"/>
          <w:lang w:val="en-US" w:eastAsia="zh-CN"/>
        </w:rPr>
        <w:t>补发2021年度事业人员目标奖及评审人员2021年度目标考核奖；新增编制人员1名，事业人员工资福利支出增加；预、结算项目增加，评审人员经费增加；2、以调拨方式增加公务用车2辆，公务用车运行维护费增加。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Style w:val="25"/>
          <w:rFonts w:ascii="黑体" w:hAnsi="黑体" w:eastAsia="黑体"/>
          <w:b w:val="0"/>
        </w:rPr>
      </w:pPr>
      <w:r>
        <w:drawing>
          <wp:anchor distT="0" distB="0" distL="114300" distR="114300" simplePos="0" relativeHeight="251662336" behindDoc="0" locked="0" layoutInCell="1" allowOverlap="1">
            <wp:simplePos x="0" y="0"/>
            <wp:positionH relativeFrom="column">
              <wp:posOffset>755650</wp:posOffset>
            </wp:positionH>
            <wp:positionV relativeFrom="paragraph">
              <wp:posOffset>118110</wp:posOffset>
            </wp:positionV>
            <wp:extent cx="3879215" cy="2158365"/>
            <wp:effectExtent l="4445" t="4445" r="21590" b="8890"/>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44" w:name="_Toc15396607"/>
      <w:bookmarkStart w:id="45"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44"/>
      <w:bookmarkEnd w:id="45"/>
    </w:p>
    <w:p>
      <w:pPr>
        <w:spacing w:line="600" w:lineRule="exact"/>
        <w:ind w:firstLine="643" w:firstLineChars="200"/>
        <w:outlineLvl w:val="2"/>
        <w:rPr>
          <w:rFonts w:ascii="仿宋" w:hAnsi="仿宋" w:eastAsia="仿宋"/>
          <w:b/>
          <w:sz w:val="32"/>
          <w:szCs w:val="32"/>
        </w:rPr>
      </w:pPr>
      <w:bookmarkStart w:id="46" w:name="_Toc15377210"/>
      <w:r>
        <w:rPr>
          <w:rFonts w:hint="eastAsia" w:ascii="仿宋" w:hAnsi="仿宋" w:eastAsia="仿宋"/>
          <w:b/>
          <w:sz w:val="32"/>
          <w:szCs w:val="32"/>
        </w:rPr>
        <w:t>（一）一般公共预算财政拨款支出决算总体情况</w:t>
      </w:r>
      <w:bookmarkEnd w:id="4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575.16</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99.82</w:t>
      </w:r>
      <w:r>
        <w:rPr>
          <w:rFonts w:hint="eastAsia" w:ascii="仿宋" w:hAnsi="仿宋" w:eastAsia="仿宋"/>
          <w:sz w:val="32"/>
          <w:szCs w:val="32"/>
        </w:rPr>
        <w:t>万元，增长</w:t>
      </w:r>
      <w:r>
        <w:rPr>
          <w:rFonts w:hint="eastAsia" w:ascii="仿宋" w:hAnsi="仿宋" w:eastAsia="仿宋"/>
          <w:sz w:val="32"/>
          <w:szCs w:val="32"/>
          <w:lang w:val="en-US" w:eastAsia="zh-CN"/>
        </w:rPr>
        <w:t>21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1、人员经费增加，表现为：</w:t>
      </w:r>
      <w:r>
        <w:rPr>
          <w:rFonts w:hint="eastAsia" w:ascii="仿宋_GB2312" w:hAnsi="仿宋" w:eastAsia="仿宋_GB2312"/>
          <w:sz w:val="32"/>
          <w:szCs w:val="32"/>
          <w:lang w:val="en-US" w:eastAsia="zh-CN"/>
        </w:rPr>
        <w:t>补发2021年度事业人员目标奖及评审人员2021年度目标考核奖；新增编制人员1名，事业人员工资福利支出增加；预、结算项目增加，评审人员经费增加；2、以调拨方式增加公务用车2辆，公务用车运行维护费增加。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420" w:firstLineChars="200"/>
        <w:rPr>
          <w:rFonts w:ascii="仿宋" w:hAnsi="仿宋" w:eastAsia="仿宋"/>
          <w:b/>
          <w:sz w:val="32"/>
          <w:szCs w:val="32"/>
        </w:rPr>
      </w:pPr>
      <w:r>
        <w:drawing>
          <wp:anchor distT="0" distB="0" distL="114300" distR="114300" simplePos="0" relativeHeight="251663360" behindDoc="0" locked="0" layoutInCell="1" allowOverlap="1">
            <wp:simplePos x="0" y="0"/>
            <wp:positionH relativeFrom="column">
              <wp:posOffset>1090930</wp:posOffset>
            </wp:positionH>
            <wp:positionV relativeFrom="paragraph">
              <wp:posOffset>175260</wp:posOffset>
            </wp:positionV>
            <wp:extent cx="3205480" cy="1830070"/>
            <wp:effectExtent l="4445" t="4445" r="9525" b="13335"/>
            <wp:wrapTopAndBottom/>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47" w:name="_Toc15377211"/>
      <w:r>
        <w:rPr>
          <w:rFonts w:hint="eastAsia" w:ascii="仿宋" w:hAnsi="仿宋" w:eastAsia="仿宋"/>
          <w:b/>
          <w:sz w:val="32"/>
          <w:szCs w:val="32"/>
        </w:rPr>
        <w:t>（二）一般公共预算财政拨款支出决算结构情况</w:t>
      </w:r>
      <w:bookmarkEnd w:id="4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575.16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522.92</w:t>
      </w:r>
      <w:r>
        <w:rPr>
          <w:rFonts w:hint="eastAsia" w:ascii="仿宋" w:hAnsi="仿宋" w:eastAsia="仿宋"/>
          <w:sz w:val="32"/>
          <w:szCs w:val="32"/>
        </w:rPr>
        <w:t>万元，占</w:t>
      </w:r>
      <w:r>
        <w:rPr>
          <w:rFonts w:hint="eastAsia" w:ascii="仿宋" w:hAnsi="仿宋" w:eastAsia="仿宋"/>
          <w:sz w:val="32"/>
          <w:szCs w:val="32"/>
          <w:lang w:val="en-US" w:eastAsia="zh-CN"/>
        </w:rPr>
        <w:t>90.92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b w:val="0"/>
          <w:bCs w:val="0"/>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val="0"/>
          <w:bCs w:val="0"/>
          <w:sz w:val="32"/>
          <w:szCs w:val="32"/>
          <w:lang w:val="en-US" w:eastAsia="zh-CN"/>
        </w:rPr>
        <w:t>0</w:t>
      </w:r>
      <w:r>
        <w:rPr>
          <w:rFonts w:hint="eastAsia" w:ascii="仿宋" w:hAnsi="仿宋" w:eastAsia="仿宋"/>
          <w:b/>
          <w:bCs/>
          <w:sz w:val="32"/>
          <w:szCs w:val="32"/>
        </w:rPr>
        <w:t>万元，占</w:t>
      </w:r>
      <w:r>
        <w:rPr>
          <w:rFonts w:hint="eastAsia" w:ascii="仿宋" w:hAnsi="仿宋" w:eastAsia="仿宋"/>
          <w:b w:val="0"/>
          <w:bCs w:val="0"/>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25.42</w:t>
      </w:r>
      <w:r>
        <w:rPr>
          <w:rFonts w:hint="eastAsia" w:ascii="仿宋" w:hAnsi="仿宋" w:eastAsia="仿宋"/>
          <w:sz w:val="32"/>
          <w:szCs w:val="32"/>
        </w:rPr>
        <w:t>万元，占</w:t>
      </w:r>
      <w:r>
        <w:rPr>
          <w:rFonts w:hint="eastAsia" w:ascii="仿宋" w:hAnsi="仿宋" w:eastAsia="仿宋"/>
          <w:sz w:val="32"/>
          <w:szCs w:val="32"/>
          <w:lang w:val="en-US" w:eastAsia="zh-CN"/>
        </w:rPr>
        <w:t>4.42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6.79</w:t>
      </w:r>
      <w:r>
        <w:rPr>
          <w:rFonts w:hint="eastAsia" w:ascii="仿宋" w:hAnsi="仿宋" w:eastAsia="仿宋"/>
          <w:sz w:val="32"/>
          <w:szCs w:val="32"/>
        </w:rPr>
        <w:t>万元，占</w:t>
      </w:r>
      <w:r>
        <w:rPr>
          <w:rFonts w:hint="eastAsia" w:ascii="仿宋" w:hAnsi="仿宋" w:eastAsia="仿宋"/>
          <w:sz w:val="32"/>
          <w:szCs w:val="32"/>
          <w:lang w:val="en-US" w:eastAsia="zh-CN"/>
        </w:rPr>
        <w:t>1.18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val="0"/>
          <w:bCs w:val="0"/>
          <w:sz w:val="32"/>
          <w:szCs w:val="32"/>
          <w:lang w:val="en-US" w:eastAsia="zh-CN"/>
        </w:rPr>
        <w:t>20.02</w:t>
      </w:r>
      <w:r>
        <w:rPr>
          <w:rFonts w:hint="eastAsia" w:ascii="仿宋" w:hAnsi="仿宋" w:eastAsia="仿宋"/>
          <w:sz w:val="32"/>
          <w:szCs w:val="32"/>
        </w:rPr>
        <w:t>万元，占</w:t>
      </w:r>
      <w:r>
        <w:rPr>
          <w:rFonts w:hint="eastAsia" w:ascii="仿宋" w:hAnsi="仿宋" w:eastAsia="仿宋"/>
          <w:sz w:val="32"/>
          <w:szCs w:val="32"/>
          <w:lang w:val="en-US" w:eastAsia="zh-CN"/>
        </w:rPr>
        <w:t>3.48</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420" w:firstLineChars="20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965835</wp:posOffset>
            </wp:positionH>
            <wp:positionV relativeFrom="paragraph">
              <wp:posOffset>98425</wp:posOffset>
            </wp:positionV>
            <wp:extent cx="4074795" cy="1953895"/>
            <wp:effectExtent l="4445" t="4445" r="16510" b="2286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仿宋" w:hAnsi="仿宋" w:eastAsia="仿宋"/>
          <w:b/>
          <w:sz w:val="32"/>
          <w:szCs w:val="32"/>
        </w:rPr>
      </w:pPr>
      <w:bookmarkStart w:id="48" w:name="_Toc15377212"/>
      <w:r>
        <w:rPr>
          <w:rFonts w:hint="eastAsia" w:ascii="仿宋" w:hAnsi="仿宋" w:eastAsia="仿宋"/>
          <w:b/>
          <w:sz w:val="32"/>
          <w:szCs w:val="32"/>
        </w:rPr>
        <w:t>（三）一般公共预算财政拨款支出决算具体情况</w:t>
      </w:r>
      <w:bookmarkEnd w:id="48"/>
    </w:p>
    <w:p>
      <w:pPr>
        <w:spacing w:line="600" w:lineRule="exact"/>
        <w:ind w:firstLine="643" w:firstLineChars="200"/>
        <w:outlineLvl w:val="2"/>
        <w:rPr>
          <w:rFonts w:ascii="仿宋" w:hAnsi="仿宋" w:eastAsia="仿宋"/>
          <w:sz w:val="32"/>
          <w:szCs w:val="32"/>
        </w:rPr>
      </w:pPr>
      <w:bookmarkStart w:id="49" w:name="_Toc15377213"/>
      <w:bookmarkStart w:id="50" w:name="_Toc15378460"/>
      <w:bookmarkStart w:id="51"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575.16万元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49"/>
      <w:bookmarkEnd w:id="50"/>
      <w:bookmarkEnd w:id="51"/>
    </w:p>
    <w:p>
      <w:pPr>
        <w:numPr>
          <w:ilvl w:val="0"/>
          <w:numId w:val="3"/>
        </w:numPr>
        <w:spacing w:line="600" w:lineRule="exact"/>
        <w:ind w:firstLine="643" w:firstLineChars="200"/>
        <w:rPr>
          <w:rStyle w:val="14"/>
          <w:rFonts w:hint="eastAsia" w:ascii="仿宋" w:hAnsi="仿宋" w:eastAsia="仿宋"/>
          <w:b w:val="0"/>
          <w:bCs/>
          <w:sz w:val="32"/>
          <w:szCs w:val="32"/>
        </w:rPr>
      </w:pPr>
      <w:r>
        <w:rPr>
          <w:rStyle w:val="14"/>
          <w:rFonts w:hint="eastAsia" w:ascii="仿宋_GB2312" w:hAnsi="仿宋_GB2312" w:eastAsia="仿宋_GB2312" w:cs="仿宋_GB2312"/>
          <w:bCs/>
          <w:color w:val="000000"/>
          <w:sz w:val="32"/>
          <w:szCs w:val="32"/>
        </w:rPr>
        <w:t>一般公共服务（类）财政事务（款）事业运行（项）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475.83</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420" w:firstLineChars="200"/>
        <w:rPr>
          <w:rStyle w:val="14"/>
          <w:rFonts w:ascii="仿宋_GB2312" w:hAnsi="仿宋_GB2312" w:eastAsia="仿宋_GB2312" w:cs="仿宋_GB2312"/>
          <w:b w:val="0"/>
          <w:color w:val="000000"/>
          <w:sz w:val="32"/>
          <w:szCs w:val="32"/>
        </w:rPr>
      </w:pPr>
      <w:r>
        <w:rPr>
          <w:rFonts w:hint="eastAsia"/>
          <w:lang w:val="en-US" w:eastAsia="zh-CN"/>
        </w:rPr>
        <w:t xml:space="preserve">  </w:t>
      </w:r>
      <w:r>
        <w:rPr>
          <w:rStyle w:val="14"/>
          <w:rFonts w:hint="eastAsia" w:ascii="仿宋_GB2312" w:hAnsi="仿宋_GB2312" w:eastAsia="仿宋_GB2312" w:cs="仿宋_GB2312"/>
          <w:bCs/>
          <w:color w:val="000000"/>
          <w:sz w:val="32"/>
          <w:szCs w:val="32"/>
        </w:rPr>
        <w:t>2.一般公共服务（类）财政事务（款）其他财政事务支出（项）：</w:t>
      </w:r>
      <w:r>
        <w:rPr>
          <w:rStyle w:val="14"/>
          <w:rFonts w:hint="eastAsia" w:ascii="仿宋_GB2312" w:hAnsi="仿宋_GB2312" w:eastAsia="仿宋_GB2312" w:cs="仿宋_GB2312"/>
          <w:b w:val="0"/>
          <w:color w:val="000000"/>
          <w:sz w:val="32"/>
          <w:szCs w:val="32"/>
        </w:rPr>
        <w:t>支出决算为</w:t>
      </w:r>
      <w:r>
        <w:rPr>
          <w:rStyle w:val="14"/>
          <w:rFonts w:hint="eastAsia" w:ascii="仿宋_GB2312" w:hAnsi="仿宋_GB2312" w:eastAsia="仿宋_GB2312" w:cs="仿宋_GB2312"/>
          <w:b w:val="0"/>
          <w:color w:val="000000"/>
          <w:sz w:val="32"/>
          <w:szCs w:val="32"/>
          <w:lang w:val="en-US" w:eastAsia="zh-CN"/>
        </w:rPr>
        <w:t>47.09</w:t>
      </w:r>
      <w:r>
        <w:rPr>
          <w:rStyle w:val="14"/>
          <w:rFonts w:hint="eastAsia" w:ascii="仿宋_GB2312" w:hAnsi="仿宋_GB2312" w:eastAsia="仿宋_GB2312" w:cs="仿宋_GB2312"/>
          <w:b w:val="0"/>
          <w:color w:val="000000"/>
          <w:sz w:val="32"/>
          <w:szCs w:val="32"/>
        </w:rPr>
        <w:t>万元，完成预算100%。</w:t>
      </w:r>
    </w:p>
    <w:p>
      <w:pPr>
        <w:spacing w:line="600" w:lineRule="exact"/>
        <w:ind w:firstLine="643" w:firstLineChars="20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Cs/>
          <w:color w:val="000000"/>
          <w:sz w:val="32"/>
          <w:szCs w:val="32"/>
        </w:rPr>
        <w:t>3.社会保障和就业（类）行政事业单位离退休（款）机关事业单位基本养老保险缴费支出（项）: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16.48</w:t>
      </w:r>
      <w:r>
        <w:rPr>
          <w:rStyle w:val="14"/>
          <w:rFonts w:hint="eastAsia" w:ascii="仿宋_GB2312" w:hAnsi="仿宋_GB2312" w:eastAsia="仿宋_GB2312" w:cs="仿宋_GB2312"/>
          <w:b w:val="0"/>
          <w:bCs/>
          <w:color w:val="000000"/>
          <w:sz w:val="32"/>
          <w:szCs w:val="32"/>
        </w:rPr>
        <w:t>万元，完成预算100%</w:t>
      </w:r>
      <w:r>
        <w:rPr>
          <w:rStyle w:val="14"/>
          <w:rFonts w:hint="eastAsia" w:ascii="仿宋_GB2312" w:hAnsi="仿宋_GB2312" w:eastAsia="仿宋_GB2312" w:cs="仿宋_GB2312"/>
          <w:b w:val="0"/>
          <w:bCs/>
          <w:color w:val="000000"/>
          <w:sz w:val="32"/>
          <w:szCs w:val="32"/>
          <w:lang w:eastAsia="zh-CN"/>
        </w:rPr>
        <w:t>。</w:t>
      </w:r>
    </w:p>
    <w:p>
      <w:pPr>
        <w:spacing w:line="60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4.社会保障和就业（类）行政事业单位离退休（款）机关事业单位职业年金缴费支出（项）: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8.24</w:t>
      </w:r>
      <w:r>
        <w:rPr>
          <w:rStyle w:val="14"/>
          <w:rFonts w:hint="eastAsia" w:ascii="仿宋_GB2312" w:hAnsi="仿宋_GB2312" w:eastAsia="仿宋_GB2312" w:cs="仿宋_GB2312"/>
          <w:b w:val="0"/>
          <w:bCs/>
          <w:color w:val="000000"/>
          <w:sz w:val="32"/>
          <w:szCs w:val="32"/>
        </w:rPr>
        <w:t>万元，完成预算100%。</w:t>
      </w:r>
    </w:p>
    <w:p>
      <w:pPr>
        <w:spacing w:line="600" w:lineRule="exact"/>
        <w:ind w:firstLine="643" w:firstLineChars="20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bCs w:val="0"/>
          <w:color w:val="000000"/>
          <w:sz w:val="32"/>
          <w:szCs w:val="32"/>
          <w:lang w:val="en-US" w:eastAsia="zh-CN"/>
        </w:rPr>
        <w:t>5.</w:t>
      </w:r>
      <w:r>
        <w:rPr>
          <w:rStyle w:val="14"/>
          <w:rFonts w:hint="eastAsia" w:ascii="仿宋_GB2312" w:hAnsi="仿宋_GB2312" w:eastAsia="仿宋_GB2312" w:cs="仿宋_GB2312"/>
          <w:bCs/>
          <w:color w:val="000000"/>
          <w:sz w:val="32"/>
          <w:szCs w:val="32"/>
        </w:rPr>
        <w:t>社会保障和就业（类）</w:t>
      </w:r>
      <w:r>
        <w:rPr>
          <w:rStyle w:val="14"/>
          <w:rFonts w:hint="eastAsia" w:ascii="仿宋_GB2312" w:hAnsi="仿宋_GB2312" w:eastAsia="仿宋_GB2312" w:cs="仿宋_GB2312"/>
          <w:bCs/>
          <w:color w:val="000000"/>
          <w:sz w:val="32"/>
          <w:szCs w:val="32"/>
          <w:lang w:eastAsia="zh-CN"/>
        </w:rPr>
        <w:t>其他社会保障和就业支出</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款</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其他社会保障和就业支出</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项</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0.7</w:t>
      </w:r>
      <w:r>
        <w:rPr>
          <w:rStyle w:val="14"/>
          <w:rFonts w:hint="eastAsia" w:ascii="仿宋_GB2312" w:hAnsi="仿宋_GB2312" w:eastAsia="仿宋_GB2312" w:cs="仿宋_GB2312"/>
          <w:b w:val="0"/>
          <w:bCs/>
          <w:color w:val="000000"/>
          <w:sz w:val="32"/>
          <w:szCs w:val="32"/>
        </w:rPr>
        <w:t>万元，完成预算100%。</w:t>
      </w:r>
    </w:p>
    <w:p>
      <w:pPr>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bCs/>
          <w:color w:val="000000"/>
          <w:sz w:val="32"/>
          <w:szCs w:val="32"/>
        </w:rPr>
        <w:t>.卫生健康</w:t>
      </w:r>
      <w:r>
        <w:rPr>
          <w:rStyle w:val="14"/>
          <w:rFonts w:hint="eastAsia" w:ascii="仿宋_GB2312" w:hAnsi="仿宋_GB2312" w:eastAsia="仿宋_GB2312" w:cs="仿宋_GB2312"/>
          <w:bCs/>
          <w:color w:val="000000"/>
          <w:sz w:val="32"/>
          <w:szCs w:val="32"/>
        </w:rPr>
        <w:t>（类）行政事业单位医疗（款）事业单位医疗（项）: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6.79</w:t>
      </w:r>
      <w:r>
        <w:rPr>
          <w:rStyle w:val="14"/>
          <w:rFonts w:hint="eastAsia" w:ascii="仿宋_GB2312" w:hAnsi="仿宋_GB2312" w:eastAsia="仿宋_GB2312" w:cs="仿宋_GB2312"/>
          <w:b w:val="0"/>
          <w:bCs/>
          <w:color w:val="000000"/>
          <w:sz w:val="32"/>
          <w:szCs w:val="32"/>
        </w:rPr>
        <w:t>万元，完成预算100%。</w:t>
      </w:r>
    </w:p>
    <w:p>
      <w:pPr>
        <w:tabs>
          <w:tab w:val="right" w:pos="8306"/>
        </w:tabs>
        <w:spacing w:line="600" w:lineRule="exact"/>
        <w:ind w:firstLine="640"/>
        <w:outlineLvl w:val="1"/>
        <w:rPr>
          <w:rFonts w:ascii="仿宋_GB2312" w:hAnsi="仿宋_GB2312" w:eastAsia="仿宋_GB2312" w:cs="仿宋_GB2312"/>
          <w:color w:val="000000"/>
          <w:sz w:val="32"/>
          <w:szCs w:val="32"/>
        </w:rPr>
      </w:pPr>
      <w:bookmarkStart w:id="52" w:name="_Toc4317"/>
      <w:r>
        <w:rPr>
          <w:rFonts w:hint="eastAsia" w:ascii="仿宋_GB2312" w:hAnsi="仿宋_GB2312" w:eastAsia="仿宋_GB2312" w:cs="仿宋_GB2312"/>
          <w:b/>
          <w:bCs/>
          <w:color w:val="000000"/>
          <w:sz w:val="32"/>
          <w:szCs w:val="32"/>
          <w:lang w:val="en-US" w:eastAsia="zh-CN"/>
        </w:rPr>
        <w:t>7</w:t>
      </w:r>
      <w:r>
        <w:rPr>
          <w:rFonts w:hint="eastAsia" w:ascii="仿宋_GB2312" w:hAnsi="仿宋_GB2312" w:eastAsia="仿宋_GB2312" w:cs="仿宋_GB2312"/>
          <w:b/>
          <w:bCs/>
          <w:color w:val="000000"/>
          <w:sz w:val="32"/>
          <w:szCs w:val="32"/>
        </w:rPr>
        <w:t>.住房保障（类）住房改革支出（款）住房公积金（项）：</w:t>
      </w:r>
      <w:r>
        <w:rPr>
          <w:rFonts w:hint="eastAsia" w:ascii="仿宋_GB2312" w:hAnsi="仿宋_GB2312" w:eastAsia="仿宋_GB2312" w:cs="仿宋_GB2312"/>
          <w:color w:val="000000"/>
          <w:sz w:val="32"/>
          <w:szCs w:val="32"/>
        </w:rPr>
        <w:t>支出决算为</w:t>
      </w:r>
      <w:r>
        <w:rPr>
          <w:rFonts w:hint="eastAsia" w:ascii="仿宋_GB2312" w:hAnsi="仿宋_GB2312" w:eastAsia="仿宋_GB2312" w:cs="仿宋_GB2312"/>
          <w:color w:val="000000"/>
          <w:sz w:val="32"/>
          <w:szCs w:val="32"/>
          <w:lang w:val="en-US" w:eastAsia="zh-CN"/>
        </w:rPr>
        <w:t>20.02</w:t>
      </w:r>
      <w:r>
        <w:rPr>
          <w:rFonts w:hint="eastAsia" w:ascii="仿宋_GB2312" w:hAnsi="仿宋_GB2312" w:eastAsia="仿宋_GB2312" w:cs="仿宋_GB2312"/>
          <w:color w:val="000000"/>
          <w:sz w:val="32"/>
          <w:szCs w:val="32"/>
        </w:rPr>
        <w:t>万元，完成预算100%。</w:t>
      </w:r>
      <w:bookmarkEnd w:id="52"/>
    </w:p>
    <w:p>
      <w:pPr>
        <w:tabs>
          <w:tab w:val="right" w:pos="8306"/>
        </w:tabs>
        <w:spacing w:line="600" w:lineRule="exact"/>
        <w:ind w:firstLine="640"/>
        <w:outlineLvl w:val="1"/>
        <w:rPr>
          <w:rStyle w:val="25"/>
        </w:rPr>
      </w:pPr>
      <w:bookmarkStart w:id="53" w:name="_Toc28612"/>
      <w:bookmarkStart w:id="54" w:name="_Toc15396608"/>
      <w:bookmarkStart w:id="5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53"/>
      <w:bookmarkEnd w:id="54"/>
      <w:bookmarkEnd w:id="55"/>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528.07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513.91</w:t>
      </w:r>
      <w:r>
        <w:rPr>
          <w:rFonts w:hint="eastAsia" w:ascii="仿宋" w:hAnsi="仿宋" w:eastAsia="仿宋"/>
          <w:sz w:val="32"/>
          <w:szCs w:val="32"/>
        </w:rPr>
        <w:t>万元，主要包括：基本工资、津贴补贴、绩效工资、机关事业单位基本养老保险缴费、职业年金缴费、其他社会保障缴费、其他工资福利支出、</w:t>
      </w:r>
      <w:r>
        <w:rPr>
          <w:rFonts w:hint="eastAsia" w:ascii="仿宋_GB2312" w:hAnsi="仿宋_GB2312" w:eastAsia="仿宋_GB2312" w:cs="仿宋_GB2312"/>
          <w:sz w:val="32"/>
          <w:szCs w:val="32"/>
        </w:rPr>
        <w:t>奖励金、</w:t>
      </w:r>
      <w:r>
        <w:rPr>
          <w:rFonts w:hint="eastAsia" w:ascii="仿宋" w:hAnsi="仿宋" w:eastAsia="仿宋"/>
          <w:sz w:val="32"/>
          <w:szCs w:val="32"/>
        </w:rPr>
        <w:t>住房公积金等。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14.16</w:t>
      </w:r>
      <w:r>
        <w:rPr>
          <w:rFonts w:hint="eastAsia" w:ascii="仿宋" w:hAnsi="仿宋" w:eastAsia="仿宋"/>
          <w:sz w:val="32"/>
          <w:szCs w:val="32"/>
        </w:rPr>
        <w:t>万元，主要包括：办公费</w:t>
      </w:r>
      <w:r>
        <w:rPr>
          <w:rFonts w:hint="eastAsia" w:ascii="仿宋" w:hAnsi="仿宋" w:eastAsia="仿宋"/>
          <w:sz w:val="32"/>
          <w:szCs w:val="32"/>
          <w:lang w:eastAsia="zh-CN"/>
        </w:rPr>
        <w:t>、</w:t>
      </w:r>
      <w:r>
        <w:rPr>
          <w:rFonts w:hint="eastAsia" w:ascii="仿宋" w:hAnsi="仿宋" w:eastAsia="仿宋"/>
          <w:sz w:val="32"/>
          <w:szCs w:val="32"/>
        </w:rPr>
        <w:t>邮电费、差旅费、劳务费、工会经费、公务用车运行维护费、其他商品和服务支出等。</w:t>
      </w:r>
    </w:p>
    <w:p>
      <w:pPr>
        <w:spacing w:line="600" w:lineRule="exact"/>
        <w:ind w:firstLine="640"/>
        <w:outlineLvl w:val="1"/>
        <w:rPr>
          <w:rStyle w:val="25"/>
          <w:rFonts w:ascii="黑体" w:hAnsi="黑体" w:eastAsia="黑体"/>
          <w:b w:val="0"/>
        </w:rPr>
      </w:pPr>
      <w:bookmarkStart w:id="56" w:name="_Toc15396609"/>
      <w:bookmarkStart w:id="57" w:name="_Toc15377215"/>
      <w:bookmarkStart w:id="58" w:name="_Toc19254"/>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56"/>
      <w:bookmarkEnd w:id="57"/>
      <w:bookmarkEnd w:id="58"/>
    </w:p>
    <w:p>
      <w:pPr>
        <w:spacing w:line="600" w:lineRule="exact"/>
        <w:ind w:firstLine="640"/>
        <w:outlineLvl w:val="2"/>
        <w:rPr>
          <w:rFonts w:ascii="仿宋" w:hAnsi="仿宋" w:eastAsia="仿宋"/>
          <w:b/>
          <w:sz w:val="32"/>
          <w:szCs w:val="32"/>
        </w:rPr>
      </w:pPr>
      <w:bookmarkStart w:id="59" w:name="_Toc15377216"/>
      <w:r>
        <w:rPr>
          <w:rFonts w:hint="eastAsia" w:ascii="仿宋" w:hAnsi="仿宋" w:eastAsia="仿宋"/>
          <w:b/>
          <w:sz w:val="32"/>
          <w:szCs w:val="32"/>
        </w:rPr>
        <w:t>（一）“三公”经费财政拨款支出决算总体情况说明</w:t>
      </w:r>
      <w:bookmarkEnd w:id="5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7.95</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0.88</w:t>
      </w:r>
      <w:r>
        <w:rPr>
          <w:rFonts w:hint="eastAsia" w:ascii="仿宋" w:hAnsi="仿宋" w:eastAsia="仿宋"/>
          <w:sz w:val="32"/>
          <w:szCs w:val="32"/>
        </w:rPr>
        <w:t>万元，增长</w:t>
      </w:r>
      <w:r>
        <w:rPr>
          <w:rFonts w:hint="eastAsia" w:ascii="仿宋" w:hAnsi="仿宋" w:eastAsia="仿宋"/>
          <w:sz w:val="32"/>
          <w:szCs w:val="32"/>
          <w:lang w:val="en-US" w:eastAsia="zh-CN"/>
        </w:rPr>
        <w:t>12.45</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60" w:name="_Toc15377217"/>
      <w:r>
        <w:rPr>
          <w:rFonts w:hint="eastAsia" w:ascii="仿宋" w:hAnsi="仿宋" w:eastAsia="仿宋"/>
          <w:b/>
          <w:sz w:val="32"/>
          <w:szCs w:val="32"/>
        </w:rPr>
        <w:t>（二）“三公”经费财政拨款支出决算具体情况说明</w:t>
      </w:r>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7.95</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drawing>
          <wp:anchor distT="0" distB="0" distL="114300" distR="114300" simplePos="0" relativeHeight="251665408" behindDoc="0" locked="0" layoutInCell="1" allowOverlap="1">
            <wp:simplePos x="0" y="0"/>
            <wp:positionH relativeFrom="column">
              <wp:posOffset>634365</wp:posOffset>
            </wp:positionH>
            <wp:positionV relativeFrom="paragraph">
              <wp:posOffset>147320</wp:posOffset>
            </wp:positionV>
            <wp:extent cx="4374515" cy="1893570"/>
            <wp:effectExtent l="4445" t="4445" r="21590" b="698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7.95</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0.88</w:t>
      </w:r>
      <w:r>
        <w:rPr>
          <w:rFonts w:hint="eastAsia" w:ascii="仿宋_GB2312" w:eastAsia="仿宋_GB2312"/>
          <w:sz w:val="32"/>
          <w:szCs w:val="32"/>
        </w:rPr>
        <w:t>万元，增长</w:t>
      </w:r>
      <w:r>
        <w:rPr>
          <w:rFonts w:hint="eastAsia" w:ascii="仿宋_GB2312" w:eastAsia="仿宋_GB2312"/>
          <w:sz w:val="32"/>
          <w:szCs w:val="32"/>
          <w:lang w:val="en-US" w:eastAsia="zh-CN"/>
        </w:rPr>
        <w:t>12.45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2022年以调拨方式新增公务用车2辆，公务用车运行维护费增加</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2</w:t>
      </w:r>
      <w:r>
        <w:rPr>
          <w:rFonts w:hint="eastAsia" w:ascii="仿宋_GB2312" w:eastAsia="仿宋_GB2312"/>
          <w:sz w:val="32"/>
          <w:szCs w:val="32"/>
        </w:rPr>
        <w:t>辆、越野车</w:t>
      </w:r>
      <w:r>
        <w:rPr>
          <w:rFonts w:hint="eastAsia" w:ascii="仿宋_GB2312" w:eastAsia="仿宋_GB2312"/>
          <w:sz w:val="32"/>
          <w:szCs w:val="32"/>
          <w:lang w:val="en-US" w:eastAsia="zh-CN"/>
        </w:rPr>
        <w:t>2</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7.95</w:t>
      </w:r>
      <w:r>
        <w:rPr>
          <w:rFonts w:hint="eastAsia" w:ascii="仿宋_GB2312" w:eastAsia="仿宋_GB2312"/>
          <w:sz w:val="32"/>
          <w:szCs w:val="32"/>
        </w:rPr>
        <w:t>万元。主要用于</w:t>
      </w:r>
      <w:r>
        <w:rPr>
          <w:rFonts w:hint="eastAsia" w:ascii="仿宋_GB2312" w:hAnsi="仿宋_GB2312" w:eastAsia="仿宋_GB2312" w:cs="仿宋_GB2312"/>
          <w:color w:val="000000"/>
          <w:sz w:val="32"/>
          <w:szCs w:val="32"/>
        </w:rPr>
        <w:t>评审</w:t>
      </w:r>
      <w:r>
        <w:rPr>
          <w:rFonts w:hint="eastAsia" w:ascii="仿宋_GB2312" w:hAnsi="仿宋_GB2312" w:eastAsia="仿宋_GB2312" w:cs="仿宋_GB2312"/>
          <w:color w:val="000000"/>
          <w:sz w:val="32"/>
          <w:szCs w:val="32"/>
          <w:lang w:eastAsia="zh-CN"/>
        </w:rPr>
        <w:t>人员项目评审现场勘察、项目进度</w:t>
      </w:r>
      <w:r>
        <w:rPr>
          <w:rFonts w:hint="eastAsia" w:ascii="仿宋_GB2312" w:hAnsi="仿宋_GB2312" w:eastAsia="仿宋_GB2312" w:cs="仿宋_GB2312"/>
          <w:color w:val="000000"/>
          <w:sz w:val="32"/>
          <w:szCs w:val="32"/>
        </w:rPr>
        <w:t>监管</w:t>
      </w:r>
      <w:r>
        <w:rPr>
          <w:rFonts w:hint="eastAsia" w:ascii="仿宋_GB2312" w:hAnsi="仿宋_GB2312" w:eastAsia="仿宋_GB2312" w:cs="仿宋_GB2312"/>
          <w:color w:val="000000"/>
          <w:sz w:val="32"/>
          <w:szCs w:val="32"/>
          <w:lang w:eastAsia="zh-CN"/>
        </w:rPr>
        <w:t>；日常工作外出</w:t>
      </w:r>
      <w:r>
        <w:rPr>
          <w:rFonts w:hint="eastAsia" w:ascii="仿宋_GB2312" w:hAnsi="仿宋_GB2312" w:eastAsia="仿宋_GB2312" w:cs="仿宋_GB2312"/>
          <w:color w:val="000000"/>
          <w:sz w:val="32"/>
          <w:szCs w:val="32"/>
        </w:rPr>
        <w:t>等所需的公务用车燃料费、维修费、过路过桥费、保险费等支出。</w:t>
      </w:r>
    </w:p>
    <w:p>
      <w:pPr>
        <w:spacing w:line="600" w:lineRule="exact"/>
        <w:ind w:firstLine="640"/>
        <w:rPr>
          <w:rFonts w:hint="eastAsia"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bookmarkStart w:id="61" w:name="_Toc15377218"/>
      <w:bookmarkStart w:id="62" w:name="_Toc15396610"/>
    </w:p>
    <w:p>
      <w:pPr>
        <w:spacing w:line="600" w:lineRule="exact"/>
        <w:ind w:firstLine="640"/>
        <w:outlineLvl w:val="1"/>
        <w:rPr>
          <w:rStyle w:val="25"/>
          <w:rFonts w:ascii="黑体" w:hAnsi="黑体" w:eastAsia="黑体"/>
        </w:rPr>
      </w:pPr>
      <w:bookmarkStart w:id="63" w:name="_Toc28762"/>
      <w:r>
        <w:rPr>
          <w:rFonts w:hint="eastAsia" w:ascii="黑体" w:eastAsia="黑体"/>
          <w:sz w:val="32"/>
          <w:szCs w:val="32"/>
        </w:rPr>
        <w:t>八、</w:t>
      </w:r>
      <w:r>
        <w:rPr>
          <w:rStyle w:val="25"/>
          <w:rFonts w:hint="eastAsia" w:ascii="黑体" w:hAnsi="黑体" w:eastAsia="黑体"/>
          <w:b w:val="0"/>
        </w:rPr>
        <w:t>政府性基金预算支出决算情况说明</w:t>
      </w:r>
      <w:bookmarkEnd w:id="61"/>
      <w:bookmarkEnd w:id="62"/>
      <w:bookmarkEnd w:id="6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25"/>
          <w:rFonts w:ascii="黑体" w:hAnsi="黑体" w:eastAsia="黑体"/>
          <w:b w:val="0"/>
        </w:rPr>
      </w:pPr>
      <w:bookmarkStart w:id="64" w:name="_Toc15377219"/>
      <w:bookmarkStart w:id="65" w:name="_Toc15396611"/>
      <w:bookmarkStart w:id="66" w:name="_Toc15024"/>
      <w:r>
        <w:rPr>
          <w:rStyle w:val="25"/>
          <w:rFonts w:hint="eastAsia" w:ascii="黑体" w:hAnsi="黑体" w:eastAsia="黑体"/>
          <w:b w:val="0"/>
        </w:rPr>
        <w:t>国有资本经营预算支出决算情况说明</w:t>
      </w:r>
      <w:bookmarkEnd w:id="64"/>
      <w:bookmarkEnd w:id="65"/>
      <w:bookmarkEnd w:id="66"/>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25"/>
          <w:rFonts w:ascii="黑体" w:hAnsi="黑体" w:eastAsia="黑体"/>
          <w:b w:val="0"/>
        </w:rPr>
      </w:pPr>
      <w:bookmarkStart w:id="67" w:name="_Toc15396612"/>
      <w:bookmarkStart w:id="68" w:name="_Toc15377221"/>
      <w:bookmarkStart w:id="69" w:name="_Toc19932"/>
      <w:r>
        <w:rPr>
          <w:rStyle w:val="25"/>
          <w:rFonts w:hint="eastAsia" w:ascii="黑体" w:hAnsi="黑体" w:eastAsia="黑体"/>
          <w:b w:val="0"/>
        </w:rPr>
        <w:t>其他重要事项的情况说明</w:t>
      </w:r>
      <w:bookmarkEnd w:id="67"/>
      <w:bookmarkEnd w:id="68"/>
      <w:bookmarkEnd w:id="69"/>
    </w:p>
    <w:p>
      <w:pPr>
        <w:spacing w:line="600" w:lineRule="exact"/>
        <w:ind w:firstLine="643" w:firstLineChars="200"/>
        <w:outlineLvl w:val="2"/>
        <w:rPr>
          <w:rFonts w:ascii="仿宋" w:hAnsi="仿宋" w:eastAsia="仿宋"/>
          <w:sz w:val="32"/>
          <w:szCs w:val="32"/>
        </w:rPr>
      </w:pPr>
      <w:bookmarkStart w:id="70" w:name="_Toc15377222"/>
      <w:r>
        <w:rPr>
          <w:rFonts w:hint="eastAsia" w:ascii="仿宋" w:hAnsi="仿宋" w:eastAsia="仿宋"/>
          <w:b/>
          <w:sz w:val="32"/>
          <w:szCs w:val="32"/>
        </w:rPr>
        <w:t>（一）机关运行经费支出情况</w:t>
      </w:r>
      <w:bookmarkEnd w:id="70"/>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评审中心</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r>
        <w:rPr>
          <w:rFonts w:hint="eastAsia" w:ascii="仿宋_GB2312" w:eastAsia="仿宋_GB2312"/>
          <w:sz w:val="32"/>
          <w:szCs w:val="32"/>
          <w:lang w:eastAsia="zh-CN"/>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1" w:name="_Toc15377223"/>
      <w:r>
        <w:rPr>
          <w:rFonts w:hint="eastAsia" w:ascii="仿宋" w:hAnsi="仿宋" w:eastAsia="仿宋"/>
          <w:b/>
          <w:sz w:val="32"/>
          <w:szCs w:val="32"/>
        </w:rPr>
        <w:t>（二）政府采购支出情况</w:t>
      </w:r>
      <w:bookmarkEnd w:id="7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评审中心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2" w:name="_Toc15377224"/>
      <w:r>
        <w:rPr>
          <w:rFonts w:hint="eastAsia" w:ascii="仿宋" w:hAnsi="仿宋" w:eastAsia="仿宋"/>
          <w:b/>
          <w:sz w:val="32"/>
          <w:szCs w:val="32"/>
        </w:rPr>
        <w:t>（三）国有资产占有使用情况</w:t>
      </w:r>
      <w:bookmarkEnd w:id="7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评审中心</w:t>
      </w:r>
      <w:r>
        <w:rPr>
          <w:rFonts w:hint="eastAsia" w:ascii="仿宋_GB2312" w:eastAsia="仿宋_GB2312"/>
          <w:sz w:val="32"/>
          <w:szCs w:val="32"/>
        </w:rPr>
        <w:t>共有车辆</w:t>
      </w:r>
      <w:r>
        <w:rPr>
          <w:rFonts w:hint="eastAsia" w:ascii="仿宋_GB2312" w:eastAsia="仿宋_GB2312"/>
          <w:sz w:val="32"/>
          <w:szCs w:val="32"/>
          <w:lang w:val="en-US" w:eastAsia="zh-CN"/>
        </w:rPr>
        <w:t>4</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w:t>
      </w:r>
      <w:r>
        <w:rPr>
          <w:rFonts w:hint="eastAsia" w:ascii="仿宋_GB2312" w:eastAsia="仿宋_GB2312"/>
          <w:sz w:val="32"/>
          <w:szCs w:val="32"/>
          <w:lang w:eastAsia="zh-CN"/>
        </w:rPr>
        <w:t>财政局机关集中调配使用以及</w:t>
      </w:r>
      <w:r>
        <w:rPr>
          <w:rFonts w:hint="eastAsia" w:ascii="仿宋_GB2312" w:hAnsi="仿宋_GB2312" w:eastAsia="仿宋_GB2312" w:cs="仿宋_GB2312"/>
          <w:color w:val="000000"/>
          <w:sz w:val="32"/>
          <w:szCs w:val="32"/>
        </w:rPr>
        <w:t>评审</w:t>
      </w:r>
      <w:r>
        <w:rPr>
          <w:rFonts w:hint="eastAsia" w:ascii="仿宋_GB2312" w:hAnsi="仿宋_GB2312" w:eastAsia="仿宋_GB2312" w:cs="仿宋_GB2312"/>
          <w:color w:val="000000"/>
          <w:sz w:val="32"/>
          <w:szCs w:val="32"/>
          <w:lang w:eastAsia="zh-CN"/>
        </w:rPr>
        <w:t>人员项目评审现场勘察、项目进度</w:t>
      </w:r>
      <w:r>
        <w:rPr>
          <w:rFonts w:hint="eastAsia" w:ascii="仿宋_GB2312" w:hAnsi="仿宋_GB2312" w:eastAsia="仿宋_GB2312" w:cs="仿宋_GB2312"/>
          <w:color w:val="000000"/>
          <w:sz w:val="32"/>
          <w:szCs w:val="32"/>
        </w:rPr>
        <w:t>监管等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评审专项业务经费</w:t>
      </w:r>
      <w:r>
        <w:rPr>
          <w:rFonts w:hint="eastAsia" w:hAnsi="仿宋_GB2312" w:cs="仿宋_GB2312"/>
          <w:sz w:val="32"/>
          <w:szCs w:val="32"/>
        </w:rPr>
        <w:t>项目</w:t>
      </w:r>
      <w:r>
        <w:rPr>
          <w:rFonts w:hint="eastAsia" w:hAnsi="仿宋_GB2312" w:cs="仿宋_GB2312"/>
          <w:sz w:val="32"/>
          <w:szCs w:val="32"/>
          <w:lang w:eastAsia="zh-CN"/>
        </w:rPr>
        <w:t>这</w:t>
      </w:r>
      <w:r>
        <w:rPr>
          <w:rFonts w:hint="eastAsia" w:hAnsi="仿宋_GB2312" w:cs="仿宋_GB2312"/>
          <w:sz w:val="32"/>
          <w:szCs w:val="32"/>
          <w:lang w:val="en-US" w:eastAsia="zh-CN"/>
        </w:rPr>
        <w:t>1个项目</w:t>
      </w:r>
      <w:r>
        <w:rPr>
          <w:rFonts w:hint="eastAsia" w:hAnsi="仿宋_GB2312" w:cs="仿宋_GB2312"/>
          <w:sz w:val="32"/>
          <w:szCs w:val="32"/>
        </w:rPr>
        <w:t>开展了预算事前绩效评估，对</w:t>
      </w:r>
      <w:r>
        <w:rPr>
          <w:rFonts w:hint="eastAsia" w:hAnsi="仿宋_GB2312" w:cs="仿宋_GB2312"/>
          <w:sz w:val="32"/>
          <w:szCs w:val="32"/>
          <w:lang w:val="en-US" w:eastAsia="zh-CN"/>
        </w:rPr>
        <w:t>1</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w:t>
      </w:r>
      <w:r>
        <w:rPr>
          <w:rFonts w:hint="eastAsia" w:hAnsi="仿宋_GB2312" w:cs="仿宋_GB2312"/>
          <w:sz w:val="32"/>
          <w:szCs w:val="32"/>
        </w:rPr>
        <w:t>个项目开展绩效监控，组织对</w:t>
      </w:r>
      <w:r>
        <w:rPr>
          <w:rFonts w:hint="eastAsia" w:hAnsi="仿宋_GB2312" w:cs="仿宋_GB2312"/>
          <w:sz w:val="32"/>
          <w:szCs w:val="32"/>
          <w:lang w:val="en-US" w:eastAsia="zh-CN"/>
        </w:rPr>
        <w:t>1</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73" w:name="_Toc15377225"/>
      <w:bookmarkStart w:id="74" w:name="_Toc8065"/>
      <w:bookmarkStart w:id="75" w:name="_Toc15396613"/>
      <w:r>
        <w:rPr>
          <w:rFonts w:hint="eastAsia" w:ascii="黑体" w:hAnsi="黑体" w:eastAsia="黑体"/>
          <w:sz w:val="44"/>
          <w:szCs w:val="44"/>
        </w:rPr>
        <w:t>名</w:t>
      </w:r>
      <w:r>
        <w:rPr>
          <w:rStyle w:val="24"/>
          <w:rFonts w:hint="eastAsia" w:ascii="黑体" w:hAnsi="黑体" w:eastAsia="黑体"/>
          <w:b w:val="0"/>
        </w:rPr>
        <w:t>词解释</w:t>
      </w:r>
      <w:bookmarkEnd w:id="73"/>
      <w:bookmarkEnd w:id="74"/>
      <w:bookmarkEnd w:id="75"/>
    </w:p>
    <w:p>
      <w:pPr>
        <w:spacing w:line="600" w:lineRule="exact"/>
        <w:jc w:val="left"/>
        <w:rPr>
          <w:rFonts w:ascii="宋体"/>
          <w:b/>
          <w:sz w:val="44"/>
          <w:szCs w:val="44"/>
        </w:rPr>
      </w:pPr>
    </w:p>
    <w:p>
      <w:pPr>
        <w:pStyle w:val="22"/>
        <w:numPr>
          <w:ilvl w:val="0"/>
          <w:numId w:val="6"/>
        </w:num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一般公共服务（类）</w:t>
      </w:r>
      <w:r>
        <w:rPr>
          <w:rStyle w:val="14"/>
          <w:rFonts w:hint="eastAsia" w:ascii="仿宋_GB2312" w:hAnsi="仿宋_GB2312" w:eastAsia="仿宋_GB2312" w:cs="仿宋_GB2312"/>
          <w:b w:val="0"/>
          <w:bCs w:val="0"/>
          <w:color w:val="000000"/>
          <w:sz w:val="32"/>
          <w:szCs w:val="32"/>
        </w:rPr>
        <w:t>财政事务（款）事业运行（项）</w:t>
      </w:r>
      <w:r>
        <w:rPr>
          <w:rFonts w:hint="eastAsia" w:ascii="仿宋_GB2312" w:eastAsia="仿宋_GB2312"/>
          <w:b w:val="0"/>
          <w:bCs w:val="0"/>
          <w:sz w:val="32"/>
          <w:szCs w:val="32"/>
        </w:rPr>
        <w:t>：</w:t>
      </w:r>
      <w:r>
        <w:rPr>
          <w:rFonts w:hint="eastAsia" w:ascii="仿宋_GB2312" w:eastAsia="仿宋_GB2312"/>
          <w:sz w:val="32"/>
          <w:szCs w:val="32"/>
        </w:rPr>
        <w:t>指</w:t>
      </w:r>
      <w:r>
        <w:rPr>
          <w:rFonts w:hint="eastAsia" w:ascii="仿宋_GB2312" w:eastAsia="仿宋_GB2312"/>
          <w:sz w:val="32"/>
          <w:szCs w:val="32"/>
          <w:lang w:eastAsia="zh-CN"/>
        </w:rPr>
        <w:t>事业单位的基本支出，不包括行政单位（包括实行公务员管理的事业单位）后勤服务中心、医务室等附属事业单位</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Style w:val="14"/>
          <w:rFonts w:hint="eastAsia" w:ascii="仿宋_GB2312" w:hAnsi="仿宋_GB2312" w:eastAsia="仿宋_GB2312" w:cs="仿宋_GB2312"/>
          <w:b w:val="0"/>
          <w:bCs w:val="0"/>
          <w:color w:val="000000"/>
          <w:sz w:val="32"/>
          <w:szCs w:val="32"/>
        </w:rPr>
        <w:t>一般公共服务（类）财政事务（款）其他财政事务支出（项）</w:t>
      </w:r>
      <w:r>
        <w:rPr>
          <w:rFonts w:hint="eastAsia" w:ascii="仿宋_GB2312" w:eastAsia="仿宋_GB2312"/>
          <w:sz w:val="32"/>
          <w:szCs w:val="32"/>
        </w:rPr>
        <w:t>：指</w:t>
      </w:r>
      <w:r>
        <w:rPr>
          <w:rFonts w:hint="eastAsia" w:ascii="仿宋_GB2312" w:eastAsia="仿宋_GB2312"/>
          <w:sz w:val="32"/>
          <w:szCs w:val="32"/>
          <w:lang w:eastAsia="zh-CN"/>
        </w:rPr>
        <w:t>事业单位基本支出以外其他财政事务方面的支出</w:t>
      </w:r>
      <w:r>
        <w:rPr>
          <w:rFonts w:hint="eastAsia" w:ascii="仿宋_GB2312" w:eastAsia="仿宋_GB2312"/>
          <w:sz w:val="32"/>
          <w:szCs w:val="32"/>
        </w:rPr>
        <w:t>。</w:t>
      </w:r>
    </w:p>
    <w:p>
      <w:pPr>
        <w:ind w:firstLine="640" w:firstLineChars="200"/>
        <w:rPr>
          <w:rFonts w:ascii="仿宋_GB2312" w:eastAsia="仿宋_GB2312"/>
          <w:sz w:val="32"/>
          <w:szCs w:val="32"/>
        </w:rPr>
      </w:pPr>
      <w:r>
        <w:rPr>
          <w:rStyle w:val="14"/>
          <w:rFonts w:hint="eastAsia" w:ascii="仿宋_GB2312" w:hAnsi="仿宋_GB2312" w:eastAsia="仿宋_GB2312" w:cs="仿宋_GB2312"/>
          <w:b w:val="0"/>
          <w:bCs w:val="0"/>
          <w:color w:val="000000"/>
          <w:sz w:val="32"/>
          <w:szCs w:val="32"/>
          <w:lang w:val="en-US" w:eastAsia="zh-CN"/>
        </w:rPr>
        <w:t>6.</w:t>
      </w:r>
      <w:r>
        <w:rPr>
          <w:rStyle w:val="14"/>
          <w:rFonts w:hint="eastAsia" w:ascii="仿宋_GB2312" w:hAnsi="仿宋_GB2312" w:eastAsia="仿宋_GB2312" w:cs="仿宋_GB2312"/>
          <w:b w:val="0"/>
          <w:bCs w:val="0"/>
          <w:color w:val="000000"/>
          <w:sz w:val="32"/>
          <w:szCs w:val="32"/>
        </w:rPr>
        <w:t>社会保障和就业（类）行政事业单位离退休（款）机关事业单位基本养老保险缴费支出（项）:</w:t>
      </w:r>
      <w:r>
        <w:rPr>
          <w:rFonts w:hint="eastAsia" w:ascii="仿宋_GB2312" w:eastAsia="仿宋_GB2312"/>
          <w:sz w:val="32"/>
          <w:szCs w:val="32"/>
        </w:rPr>
        <w:t>指</w:t>
      </w:r>
      <w:r>
        <w:rPr>
          <w:rFonts w:hint="eastAsia" w:ascii="仿宋_GB2312" w:eastAsia="仿宋_GB2312"/>
          <w:sz w:val="32"/>
          <w:szCs w:val="32"/>
          <w:lang w:eastAsia="zh-CN"/>
        </w:rPr>
        <w:t>机关事业单位实施养老保险制度由单位缴纳的基本养老保险费支出</w:t>
      </w:r>
      <w:r>
        <w:rPr>
          <w:rFonts w:hint="eastAsia" w:ascii="仿宋_GB2312" w:eastAsia="仿宋_GB2312"/>
          <w:sz w:val="32"/>
          <w:szCs w:val="32"/>
        </w:rPr>
        <w:t>。</w:t>
      </w:r>
    </w:p>
    <w:p>
      <w:pPr>
        <w:ind w:firstLine="640" w:firstLineChars="200"/>
        <w:rPr>
          <w:rFonts w:hint="eastAsia" w:ascii="仿宋_GB2312" w:eastAsia="仿宋_GB2312"/>
          <w:sz w:val="32"/>
          <w:szCs w:val="32"/>
        </w:rPr>
      </w:pPr>
      <w:r>
        <w:rPr>
          <w:rStyle w:val="14"/>
          <w:rFonts w:hint="eastAsia" w:ascii="仿宋_GB2312" w:hAnsi="仿宋_GB2312" w:eastAsia="仿宋_GB2312" w:cs="仿宋_GB2312"/>
          <w:b w:val="0"/>
          <w:bCs w:val="0"/>
          <w:color w:val="000000"/>
          <w:sz w:val="32"/>
          <w:szCs w:val="32"/>
          <w:lang w:val="en-US" w:eastAsia="zh-CN"/>
        </w:rPr>
        <w:t>7.</w:t>
      </w:r>
      <w:r>
        <w:rPr>
          <w:rStyle w:val="14"/>
          <w:rFonts w:hint="eastAsia" w:ascii="仿宋_GB2312" w:hAnsi="仿宋_GB2312" w:eastAsia="仿宋_GB2312" w:cs="仿宋_GB2312"/>
          <w:b w:val="0"/>
          <w:bCs w:val="0"/>
          <w:color w:val="000000"/>
          <w:sz w:val="32"/>
          <w:szCs w:val="32"/>
        </w:rPr>
        <w:t>社会保障和就业（类）行政事业单位离退休（款）机关事业单位职业年金缴费支出（项）</w:t>
      </w:r>
      <w:r>
        <w:rPr>
          <w:rFonts w:hint="eastAsia" w:ascii="仿宋_GB2312" w:eastAsia="仿宋_GB2312"/>
          <w:sz w:val="32"/>
          <w:szCs w:val="32"/>
        </w:rPr>
        <w:t>：指</w:t>
      </w:r>
      <w:r>
        <w:rPr>
          <w:rFonts w:hint="eastAsia" w:ascii="仿宋_GB2312" w:eastAsia="仿宋_GB2312"/>
          <w:sz w:val="32"/>
          <w:szCs w:val="32"/>
          <w:lang w:eastAsia="zh-CN"/>
        </w:rPr>
        <w:t>机关事业单位实施养老保险制度由单位实际缴纳的职业年金支出</w:t>
      </w:r>
      <w:r>
        <w:rPr>
          <w:rFonts w:hint="eastAsia" w:ascii="仿宋_GB2312" w:eastAsia="仿宋_GB2312"/>
          <w:sz w:val="32"/>
          <w:szCs w:val="32"/>
        </w:rPr>
        <w:t>。</w:t>
      </w:r>
    </w:p>
    <w:p>
      <w:pPr>
        <w:pStyle w:val="2"/>
        <w:ind w:firstLine="640"/>
        <w:rPr>
          <w:rStyle w:val="14"/>
          <w:rFonts w:hint="eastAsia" w:hAnsi="仿宋_GB2312" w:cs="仿宋_GB2312"/>
          <w:b w:val="0"/>
          <w:bCs w:val="0"/>
          <w:color w:val="000000"/>
          <w:sz w:val="32"/>
          <w:szCs w:val="32"/>
          <w:lang w:eastAsia="zh-CN"/>
        </w:rPr>
      </w:pPr>
      <w:r>
        <w:rPr>
          <w:rFonts w:hint="eastAsia"/>
          <w:sz w:val="32"/>
          <w:szCs w:val="32"/>
          <w:lang w:val="en-US" w:eastAsia="zh-CN"/>
        </w:rPr>
        <w:t>8.</w:t>
      </w:r>
      <w:r>
        <w:rPr>
          <w:rStyle w:val="14"/>
          <w:rFonts w:hint="eastAsia" w:ascii="仿宋_GB2312" w:hAnsi="仿宋_GB2312" w:eastAsia="仿宋_GB2312" w:cs="仿宋_GB2312"/>
          <w:b w:val="0"/>
          <w:bCs w:val="0"/>
          <w:color w:val="000000"/>
          <w:sz w:val="32"/>
          <w:szCs w:val="32"/>
        </w:rPr>
        <w:t>社会保障和就业（类）</w:t>
      </w:r>
      <w:r>
        <w:rPr>
          <w:rStyle w:val="14"/>
          <w:rFonts w:hint="eastAsia" w:ascii="仿宋_GB2312" w:hAnsi="仿宋_GB2312" w:eastAsia="仿宋_GB2312" w:cs="仿宋_GB2312"/>
          <w:b w:val="0"/>
          <w:bCs w:val="0"/>
          <w:color w:val="000000"/>
          <w:sz w:val="32"/>
          <w:szCs w:val="32"/>
          <w:lang w:eastAsia="zh-CN"/>
        </w:rPr>
        <w:t>其他社会保障和就业支出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其他社会保障和就业支出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hint="eastAsia" w:hAnsi="仿宋_GB2312" w:cs="仿宋_GB2312"/>
          <w:b w:val="0"/>
          <w:bCs w:val="0"/>
          <w:color w:val="000000"/>
          <w:sz w:val="32"/>
          <w:szCs w:val="32"/>
          <w:lang w:eastAsia="zh-CN"/>
        </w:rPr>
        <w:t>：指除上述项目以外其他用于社会保障和就业方面的支出。</w:t>
      </w:r>
    </w:p>
    <w:p>
      <w:pPr>
        <w:pStyle w:val="2"/>
        <w:ind w:firstLine="640"/>
        <w:rPr>
          <w:rStyle w:val="14"/>
          <w:rFonts w:hint="eastAsia" w:hAnsi="仿宋_GB2312" w:cs="仿宋_GB2312"/>
          <w:b w:val="0"/>
          <w:bCs w:val="0"/>
          <w:color w:val="000000"/>
          <w:sz w:val="32"/>
          <w:szCs w:val="32"/>
          <w:lang w:eastAsia="zh-CN"/>
        </w:rPr>
      </w:pPr>
      <w:r>
        <w:rPr>
          <w:rStyle w:val="14"/>
          <w:rFonts w:hint="eastAsia" w:hAnsi="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卫生健康</w:t>
      </w:r>
      <w:r>
        <w:rPr>
          <w:rStyle w:val="14"/>
          <w:rFonts w:hint="eastAsia" w:ascii="仿宋_GB2312" w:hAnsi="仿宋_GB2312" w:eastAsia="仿宋_GB2312" w:cs="仿宋_GB2312"/>
          <w:b w:val="0"/>
          <w:bCs w:val="0"/>
          <w:color w:val="000000"/>
          <w:sz w:val="32"/>
          <w:szCs w:val="32"/>
        </w:rPr>
        <w:t>（类）行政事业单位医疗（款）事业单位医疗（项）</w:t>
      </w:r>
      <w:r>
        <w:rPr>
          <w:rStyle w:val="14"/>
          <w:rFonts w:hint="eastAsia" w:hAnsi="仿宋_GB2312" w:cs="仿宋_GB2312"/>
          <w:b w:val="0"/>
          <w:bCs w:val="0"/>
          <w:color w:val="000000"/>
          <w:sz w:val="32"/>
          <w:szCs w:val="32"/>
          <w:lang w:eastAsia="zh-CN"/>
        </w:rPr>
        <w:t>：指财政部门安排的事业单位基本医疗保险缴费经费，未参加医疗保险的事业单位的公费医疗经费，按国家规定享受离休人员待遇的医疗经费。</w:t>
      </w:r>
    </w:p>
    <w:p>
      <w:pPr>
        <w:pStyle w:val="2"/>
        <w:ind w:firstLine="640"/>
        <w:rPr>
          <w:rStyle w:val="14"/>
          <w:rFonts w:hint="eastAsia" w:hAnsi="仿宋_GB2312" w:eastAsia="仿宋_GB2312" w:cs="仿宋_GB2312"/>
          <w:b w:val="0"/>
          <w:bCs w:val="0"/>
          <w:color w:val="000000"/>
          <w:sz w:val="32"/>
          <w:szCs w:val="32"/>
          <w:lang w:val="en-US" w:eastAsia="zh-CN"/>
        </w:rPr>
      </w:pPr>
      <w:r>
        <w:rPr>
          <w:rStyle w:val="14"/>
          <w:rFonts w:hint="eastAsia" w:hAnsi="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rPr>
        <w:t>住房保障（类）住房改革支出（款）住房公积金（项）</w:t>
      </w:r>
      <w:r>
        <w:rPr>
          <w:rFonts w:hint="eastAsia" w:hAnsi="仿宋_GB2312" w:cs="仿宋_GB2312"/>
          <w:b w:val="0"/>
          <w:bCs w:val="0"/>
          <w:color w:val="000000"/>
          <w:sz w:val="32"/>
          <w:szCs w:val="32"/>
          <w:lang w:eastAsia="zh-CN"/>
        </w:rPr>
        <w:t>：指行政事业单位按人力资源和社会保障部、财政部规定的基本工资和津贴补贴以及规定比例为职工缴纳的住房公积金。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2"/>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lang w:val="en-US" w:eastAsia="zh-CN"/>
        </w:rPr>
        <w:t>13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hint="eastAsia" w:ascii="黑体" w:hAnsi="黑体" w:eastAsia="黑体"/>
          <w:b w:val="0"/>
        </w:rPr>
      </w:pPr>
      <w:bookmarkStart w:id="76" w:name="_Toc15377226"/>
      <w:r>
        <w:rPr>
          <w:rFonts w:ascii="宋体"/>
          <w:b/>
          <w:sz w:val="44"/>
          <w:szCs w:val="44"/>
        </w:rPr>
        <w:br w:type="page"/>
      </w:r>
      <w:bookmarkStart w:id="77" w:name="_Toc9221"/>
      <w:bookmarkStart w:id="78" w:name="_Toc15396614"/>
      <w:r>
        <w:rPr>
          <w:rFonts w:hint="eastAsia" w:ascii="黑体" w:hAnsi="黑体" w:eastAsia="黑体"/>
          <w:sz w:val="44"/>
          <w:szCs w:val="44"/>
        </w:rPr>
        <w:t>第</w:t>
      </w:r>
      <w:r>
        <w:rPr>
          <w:rStyle w:val="24"/>
          <w:rFonts w:hint="eastAsia" w:ascii="黑体" w:hAnsi="黑体" w:eastAsia="黑体"/>
          <w:b w:val="0"/>
        </w:rPr>
        <w:t>四部分 附件</w:t>
      </w:r>
      <w:bookmarkEnd w:id="77"/>
      <w:bookmarkEnd w:id="78"/>
      <w:bookmarkStart w:id="79" w:name="_Toc15396618"/>
    </w:p>
    <w:p>
      <w:pPr>
        <w:pStyle w:val="2"/>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7"/>
        <w:gridCol w:w="853"/>
        <w:gridCol w:w="1201"/>
        <w:gridCol w:w="401"/>
        <w:gridCol w:w="740"/>
        <w:gridCol w:w="399"/>
        <w:gridCol w:w="854"/>
        <w:gridCol w:w="573"/>
        <w:gridCol w:w="573"/>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51118122T000000342722-评审专项业务经费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50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峨眉山市财政投资评审中心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为持续政府投资项目评审，进一步强化项目现场监管力度，保障财政投资评审工作顺利开展。</w:t>
            </w:r>
          </w:p>
        </w:tc>
        <w:tc>
          <w:tcPr>
            <w:tcW w:w="19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2022年，完成项目评审743个。送审金额17.42亿元，审定金额15.60亿元，审减金额1.82亿元，审减率10.45%。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根据评审工作需要进行软件更新、评审业务费用支出，保障评审业务顺利开展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47.09</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47.09</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47.09</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47.09</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工程进度核查</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电力项目评审</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83</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结算详审</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472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合同审查</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招标文件审查</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预算评审</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271</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客观性</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准确性</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审减率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10.45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及时完成项目评审</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送审满意度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严格按照预算安排，在规定范围内安排支出。预算数与执行数一致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项目负责人：曾诚</w:t>
            </w:r>
          </w:p>
        </w:tc>
        <w:tc>
          <w:tcPr>
            <w:tcW w:w="262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财务负责人：葛敏</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hint="eastAsia" w:ascii="黑体" w:hAnsi="黑体" w:eastAsia="黑体"/>
          <w:sz w:val="44"/>
          <w:szCs w:val="44"/>
        </w:rPr>
      </w:pPr>
      <w:bookmarkStart w:id="80" w:name="_Toc6483"/>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76"/>
      <w:bookmarkEnd w:id="79"/>
      <w:bookmarkEnd w:id="80"/>
      <w:bookmarkStart w:id="81" w:name="_Toc15396619"/>
    </w:p>
    <w:p>
      <w:pPr>
        <w:pStyle w:val="4"/>
        <w:rPr>
          <w:rFonts w:ascii="仿宋" w:hAnsi="仿宋" w:eastAsia="仿宋"/>
        </w:rPr>
      </w:pPr>
      <w:bookmarkStart w:id="82" w:name="_Toc9034"/>
      <w:r>
        <w:rPr>
          <w:rFonts w:hint="eastAsia" w:ascii="仿宋" w:hAnsi="仿宋" w:eastAsia="仿宋"/>
          <w:b w:val="0"/>
        </w:rPr>
        <w:t>一、收</w:t>
      </w:r>
      <w:r>
        <w:rPr>
          <w:rStyle w:val="25"/>
          <w:rFonts w:hint="eastAsia" w:ascii="仿宋" w:hAnsi="仿宋" w:eastAsia="仿宋"/>
          <w:b w:val="0"/>
          <w:bCs w:val="0"/>
        </w:rPr>
        <w:t>入支出决算总表</w:t>
      </w:r>
      <w:bookmarkEnd w:id="81"/>
      <w:bookmarkEnd w:id="82"/>
    </w:p>
    <w:p>
      <w:pPr>
        <w:pStyle w:val="4"/>
        <w:rPr>
          <w:rFonts w:ascii="仿宋" w:hAnsi="仿宋" w:eastAsia="仿宋"/>
        </w:rPr>
      </w:pPr>
      <w:bookmarkStart w:id="83" w:name="_Toc15396620"/>
      <w:bookmarkStart w:id="84" w:name="_Toc12397"/>
      <w:r>
        <w:rPr>
          <w:rFonts w:hint="eastAsia" w:ascii="仿宋" w:hAnsi="仿宋" w:eastAsia="仿宋"/>
          <w:b w:val="0"/>
        </w:rPr>
        <w:t>二、收</w:t>
      </w:r>
      <w:r>
        <w:rPr>
          <w:rStyle w:val="25"/>
          <w:rFonts w:hint="eastAsia" w:ascii="仿宋" w:hAnsi="仿宋" w:eastAsia="仿宋"/>
          <w:b w:val="0"/>
          <w:bCs w:val="0"/>
        </w:rPr>
        <w:t>入决算表</w:t>
      </w:r>
      <w:bookmarkEnd w:id="83"/>
      <w:bookmarkEnd w:id="84"/>
    </w:p>
    <w:p>
      <w:pPr>
        <w:pStyle w:val="4"/>
        <w:rPr>
          <w:rFonts w:ascii="仿宋" w:hAnsi="仿宋" w:eastAsia="仿宋"/>
        </w:rPr>
      </w:pPr>
      <w:bookmarkStart w:id="85" w:name="_Toc15396621"/>
      <w:bookmarkStart w:id="86" w:name="_Toc3547"/>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85"/>
      <w:bookmarkEnd w:id="86"/>
    </w:p>
    <w:p>
      <w:pPr>
        <w:pStyle w:val="4"/>
        <w:rPr>
          <w:rFonts w:ascii="仿宋" w:hAnsi="仿宋" w:eastAsia="仿宋"/>
          <w:b w:val="0"/>
        </w:rPr>
      </w:pPr>
      <w:bookmarkStart w:id="87" w:name="_Toc15396622"/>
      <w:bookmarkStart w:id="88" w:name="_Toc5441"/>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87"/>
      <w:bookmarkEnd w:id="88"/>
    </w:p>
    <w:p>
      <w:pPr>
        <w:pStyle w:val="4"/>
        <w:rPr>
          <w:rStyle w:val="25"/>
          <w:rFonts w:ascii="仿宋" w:hAnsi="仿宋" w:eastAsia="仿宋"/>
          <w:b w:val="0"/>
          <w:bCs w:val="0"/>
        </w:rPr>
      </w:pPr>
      <w:bookmarkStart w:id="89" w:name="_Toc15396623"/>
      <w:bookmarkStart w:id="90" w:name="_Toc21875"/>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89"/>
      <w:bookmarkEnd w:id="90"/>
      <w:bookmarkStart w:id="91" w:name="_Toc15396624"/>
    </w:p>
    <w:p>
      <w:pPr>
        <w:pStyle w:val="4"/>
        <w:rPr>
          <w:rFonts w:ascii="仿宋" w:hAnsi="仿宋" w:eastAsia="仿宋"/>
        </w:rPr>
      </w:pPr>
      <w:bookmarkStart w:id="92" w:name="_Toc12640"/>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91"/>
      <w:bookmarkEnd w:id="92"/>
    </w:p>
    <w:p>
      <w:pPr>
        <w:pStyle w:val="4"/>
        <w:rPr>
          <w:rFonts w:ascii="仿宋" w:hAnsi="仿宋" w:eastAsia="仿宋"/>
        </w:rPr>
      </w:pPr>
      <w:bookmarkStart w:id="93" w:name="_Toc15396625"/>
      <w:bookmarkStart w:id="94" w:name="_Toc10493"/>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93"/>
      <w:bookmarkEnd w:id="94"/>
    </w:p>
    <w:p>
      <w:pPr>
        <w:pStyle w:val="4"/>
        <w:rPr>
          <w:rFonts w:ascii="仿宋" w:hAnsi="仿宋" w:eastAsia="仿宋"/>
        </w:rPr>
      </w:pPr>
      <w:bookmarkStart w:id="95" w:name="_Toc15396626"/>
      <w:bookmarkStart w:id="96" w:name="_Toc15654"/>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95"/>
      <w:bookmarkEnd w:id="96"/>
    </w:p>
    <w:p>
      <w:pPr>
        <w:pStyle w:val="4"/>
        <w:rPr>
          <w:rFonts w:ascii="仿宋" w:hAnsi="仿宋" w:eastAsia="仿宋"/>
        </w:rPr>
      </w:pPr>
      <w:bookmarkStart w:id="97" w:name="_Toc15396627"/>
      <w:bookmarkStart w:id="98" w:name="_Toc30748"/>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97"/>
      <w:bookmarkEnd w:id="98"/>
    </w:p>
    <w:p>
      <w:pPr>
        <w:pStyle w:val="4"/>
        <w:rPr>
          <w:rFonts w:ascii="仿宋" w:hAnsi="仿宋" w:eastAsia="仿宋"/>
        </w:rPr>
      </w:pPr>
      <w:bookmarkStart w:id="99" w:name="_Toc15396628"/>
      <w:bookmarkStart w:id="100" w:name="_Toc26518"/>
      <w:r>
        <w:rPr>
          <w:rStyle w:val="25"/>
          <w:rFonts w:hint="eastAsia" w:ascii="仿宋" w:hAnsi="仿宋" w:eastAsia="仿宋"/>
          <w:b w:val="0"/>
          <w:bCs w:val="0"/>
        </w:rPr>
        <w:t>十、</w:t>
      </w:r>
      <w:bookmarkEnd w:id="99"/>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100"/>
    </w:p>
    <w:p>
      <w:pPr>
        <w:pStyle w:val="4"/>
        <w:rPr>
          <w:rFonts w:ascii="仿宋" w:hAnsi="仿宋" w:eastAsia="仿宋"/>
        </w:rPr>
      </w:pPr>
      <w:bookmarkStart w:id="101" w:name="_Toc15396629"/>
      <w:bookmarkStart w:id="102" w:name="_Toc25610"/>
      <w:r>
        <w:rPr>
          <w:rStyle w:val="25"/>
          <w:rFonts w:hint="eastAsia" w:ascii="仿宋" w:hAnsi="仿宋" w:eastAsia="仿宋"/>
          <w:b w:val="0"/>
          <w:bCs w:val="0"/>
        </w:rPr>
        <w:t>十一、</w:t>
      </w:r>
      <w:bookmarkEnd w:id="101"/>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102"/>
    </w:p>
    <w:p>
      <w:pPr>
        <w:pStyle w:val="4"/>
        <w:rPr>
          <w:rFonts w:ascii="仿宋" w:hAnsi="仿宋" w:eastAsia="仿宋"/>
        </w:rPr>
      </w:pPr>
      <w:bookmarkStart w:id="103" w:name="_Toc15396630"/>
      <w:bookmarkStart w:id="104" w:name="_Toc19002"/>
      <w:r>
        <w:rPr>
          <w:rStyle w:val="25"/>
          <w:rFonts w:hint="eastAsia" w:ascii="仿宋" w:hAnsi="仿宋" w:eastAsia="仿宋"/>
          <w:b w:val="0"/>
          <w:bCs w:val="0"/>
        </w:rPr>
        <w:t>十二、</w:t>
      </w:r>
      <w:bookmarkEnd w:id="103"/>
      <w:r>
        <w:rPr>
          <w:rStyle w:val="25"/>
          <w:rFonts w:hint="eastAsia" w:ascii="仿宋" w:hAnsi="仿宋" w:eastAsia="仿宋"/>
          <w:b w:val="0"/>
          <w:bCs w:val="0"/>
        </w:rPr>
        <w:t>国有资本经营预算财政拨款支出决算表</w:t>
      </w:r>
      <w:bookmarkEnd w:id="104"/>
    </w:p>
    <w:p>
      <w:pPr>
        <w:pStyle w:val="4"/>
        <w:rPr>
          <w:rFonts w:eastAsia="仿宋"/>
        </w:rPr>
      </w:pPr>
      <w:bookmarkStart w:id="105" w:name="_Toc15396631"/>
      <w:bookmarkStart w:id="106" w:name="_Toc4212"/>
      <w:r>
        <w:rPr>
          <w:rStyle w:val="25"/>
          <w:rFonts w:hint="eastAsia" w:ascii="仿宋" w:hAnsi="仿宋" w:eastAsia="仿宋"/>
          <w:b w:val="0"/>
          <w:bCs w:val="0"/>
        </w:rPr>
        <w:t>十三、</w:t>
      </w:r>
      <w:bookmarkEnd w:id="105"/>
      <w:r>
        <w:rPr>
          <w:rStyle w:val="25"/>
          <w:rFonts w:hint="eastAsia" w:ascii="仿宋" w:hAnsi="仿宋" w:eastAsia="仿宋"/>
          <w:b w:val="0"/>
          <w:bCs w:val="0"/>
        </w:rPr>
        <w:t>财政拨款“三公”经费支出决算表</w:t>
      </w:r>
      <w:bookmarkEnd w:id="10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5F1EDD3"/>
    <w:multiLevelType w:val="singleLevel"/>
    <w:tmpl w:val="D5F1EDD3"/>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0C1A4DF0"/>
    <w:multiLevelType w:val="singleLevel"/>
    <w:tmpl w:val="0C1A4DF0"/>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NjNzhiOTkyZTlkNzZmOGY5ODQ3MGJmODIxYjU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0D411534"/>
    <w:rsid w:val="10C055FF"/>
    <w:rsid w:val="118107EC"/>
    <w:rsid w:val="11DD6519"/>
    <w:rsid w:val="132B3ED0"/>
    <w:rsid w:val="157953BC"/>
    <w:rsid w:val="16BB723D"/>
    <w:rsid w:val="18015F3F"/>
    <w:rsid w:val="1BE8440E"/>
    <w:rsid w:val="1C293912"/>
    <w:rsid w:val="1D155CEE"/>
    <w:rsid w:val="20F57F95"/>
    <w:rsid w:val="240371BF"/>
    <w:rsid w:val="25711CC6"/>
    <w:rsid w:val="25C741E6"/>
    <w:rsid w:val="27842671"/>
    <w:rsid w:val="283C0A8A"/>
    <w:rsid w:val="29D07FF1"/>
    <w:rsid w:val="29FD04D3"/>
    <w:rsid w:val="2AA22FED"/>
    <w:rsid w:val="2ABE7A3E"/>
    <w:rsid w:val="2B133951"/>
    <w:rsid w:val="2BF42DE4"/>
    <w:rsid w:val="2CA234A8"/>
    <w:rsid w:val="2EFA178C"/>
    <w:rsid w:val="2F3445FD"/>
    <w:rsid w:val="30B46D73"/>
    <w:rsid w:val="315A7E0A"/>
    <w:rsid w:val="319F7F4E"/>
    <w:rsid w:val="327F4E79"/>
    <w:rsid w:val="383D272C"/>
    <w:rsid w:val="39AE70AB"/>
    <w:rsid w:val="3C0C0783"/>
    <w:rsid w:val="3C37397E"/>
    <w:rsid w:val="3EA87D07"/>
    <w:rsid w:val="3F9F3A96"/>
    <w:rsid w:val="3FDD4102"/>
    <w:rsid w:val="48BF60AB"/>
    <w:rsid w:val="493C27E9"/>
    <w:rsid w:val="496F39ED"/>
    <w:rsid w:val="49FF41D3"/>
    <w:rsid w:val="4B7342A7"/>
    <w:rsid w:val="4BE068DB"/>
    <w:rsid w:val="4BF6002B"/>
    <w:rsid w:val="4ECE2238"/>
    <w:rsid w:val="4FFD6D88"/>
    <w:rsid w:val="517335E6"/>
    <w:rsid w:val="51DB4B86"/>
    <w:rsid w:val="528F04B6"/>
    <w:rsid w:val="533151C8"/>
    <w:rsid w:val="55333C3E"/>
    <w:rsid w:val="5E4A70E9"/>
    <w:rsid w:val="64CA39A1"/>
    <w:rsid w:val="69630ADE"/>
    <w:rsid w:val="6A535A52"/>
    <w:rsid w:val="6B980A47"/>
    <w:rsid w:val="6C4A05C8"/>
    <w:rsid w:val="6D3B1A89"/>
    <w:rsid w:val="71BF4EC2"/>
    <w:rsid w:val="71E85F1E"/>
    <w:rsid w:val="72734D90"/>
    <w:rsid w:val="72C277C9"/>
    <w:rsid w:val="7412278C"/>
    <w:rsid w:val="756A5A1C"/>
    <w:rsid w:val="796E1A86"/>
    <w:rsid w:val="79E5333F"/>
    <w:rsid w:val="79E7B28D"/>
    <w:rsid w:val="79F97DF4"/>
    <w:rsid w:val="7F62471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uiPriority w:val="0"/>
    <w:pPr>
      <w:ind w:leftChars="0"/>
    </w:pPr>
    <w:rPr>
      <w:rFonts w:ascii="Times New Roman" w:hAnsi="Times New Roman" w:eastAsia="宋体" w:cs="Times New Roman"/>
      <w:sz w:val="20"/>
      <w:szCs w:val="20"/>
    </w:rPr>
  </w:style>
  <w:style w:type="paragraph" w:customStyle="1" w:styleId="31">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2&#24180;&#20915;&#31639;&#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2&#24180;&#20915;&#31639;&#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2&#24180;&#20915;&#31639;&#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2&#24180;&#20915;&#31639;&#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2&#24180;&#20915;&#31639;&#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2&#24180;&#20915;&#31639;&#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2&#24180;&#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收、支决算总计变动表</a:t>
            </a:r>
          </a:p>
        </c:rich>
      </c:tx>
      <c:layout>
        <c:manualLayout>
          <c:xMode val="edge"/>
          <c:yMode val="edge"/>
          <c:x val="0.297777777777778"/>
          <c:y val="0.0243055555555556"/>
        </c:manualLayout>
      </c:layout>
      <c:overlay val="0"/>
      <c:spPr>
        <a:noFill/>
        <a:ln>
          <a:noFill/>
        </a:ln>
        <a:effectLst/>
      </c:spPr>
    </c:title>
    <c:autoTitleDeleted val="0"/>
    <c:plotArea>
      <c:layout/>
      <c:barChart>
        <c:barDir val="col"/>
        <c:grouping val="clustered"/>
        <c:varyColors val="0"/>
        <c:ser>
          <c:idx val="0"/>
          <c:order val="0"/>
          <c:tx>
            <c:strRef>
              <c:f>[2022年决算图表.xlsx]Sheet2!$A$3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[2022年决算图表.xlsx]Sheet2!$B$2:$C$2</c:f>
              <c:strCache>
                <c:ptCount val="2"/>
                <c:pt idx="0">
                  <c:v>收入</c:v>
                </c:pt>
                <c:pt idx="1">
                  <c:v>支出</c:v>
                </c:pt>
              </c:strCache>
            </c:strRef>
          </c:cat>
          <c:val>
            <c:numRef>
              <c:f>[2022年决算图表.xlsx]Sheet2!$B$3:$C$3</c:f>
              <c:numCache>
                <c:formatCode>General</c:formatCode>
                <c:ptCount val="2"/>
                <c:pt idx="0">
                  <c:v>575.16</c:v>
                </c:pt>
                <c:pt idx="1">
                  <c:v>575.16</c:v>
                </c:pt>
              </c:numCache>
            </c:numRef>
          </c:val>
        </c:ser>
        <c:ser>
          <c:idx val="1"/>
          <c:order val="1"/>
          <c:tx>
            <c:strRef>
              <c:f>[2022年决算图表.xlsx]Sheet2!$A$4</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[2022年决算图表.xlsx]Sheet2!$B$2:$C$2</c:f>
              <c:strCache>
                <c:ptCount val="2"/>
                <c:pt idx="0">
                  <c:v>收入</c:v>
                </c:pt>
                <c:pt idx="1">
                  <c:v>支出</c:v>
                </c:pt>
              </c:strCache>
            </c:strRef>
          </c:cat>
          <c:val>
            <c:numRef>
              <c:f>[2022年决算图表.xlsx]Sheet2!$B$4:$C$4</c:f>
              <c:numCache>
                <c:formatCode>General</c:formatCode>
                <c:ptCount val="2"/>
                <c:pt idx="0">
                  <c:v>480.25</c:v>
                </c:pt>
                <c:pt idx="1">
                  <c:v>480.25</c:v>
                </c:pt>
              </c:numCache>
            </c:numRef>
          </c:val>
        </c:ser>
        <c:dLbls>
          <c:showLegendKey val="0"/>
          <c:showVal val="1"/>
          <c:showCatName val="0"/>
          <c:showSerName val="0"/>
          <c:showPercent val="0"/>
          <c:showBubbleSize val="0"/>
        </c:dLbls>
        <c:gapWidth val="219"/>
        <c:overlap val="-27"/>
        <c:axId val="556322692"/>
        <c:axId val="710187275"/>
      </c:barChart>
      <c:catAx>
        <c:axId val="5563226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0187275"/>
        <c:crosses val="autoZero"/>
        <c:auto val="1"/>
        <c:lblAlgn val="ctr"/>
        <c:lblOffset val="100"/>
        <c:noMultiLvlLbl val="0"/>
      </c:catAx>
      <c:valAx>
        <c:axId val="7101872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3226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solidFill>
                  <a:schemeClr val="tx1">
                    <a:lumMod val="65000"/>
                    <a:lumOff val="35000"/>
                  </a:schemeClr>
                </a:solidFill>
                <a:uFillTx/>
              </a:rPr>
              <a:t>收入决算结构图</a:t>
            </a:r>
            <a:endParaRPr sz="1200">
              <a:solidFill>
                <a:schemeClr val="tx1">
                  <a:lumMod val="65000"/>
                  <a:lumOff val="35000"/>
                </a:schemeClr>
              </a:solidFill>
              <a:uFillTx/>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[2022年决算图表.xlsx]Sheet2!$A$20:$B$27</c15:sqref>
                  </c15:fullRef>
                  <c15:levelRef>
                    <c15:sqref>[2022年决算图表.xlsx]Sheet2!$B$20:$B$27</c15:sqref>
                  </c15:levelRef>
                </c:ext>
              </c:extLst>
              <c:f>[2022年决算图表.xlsx]Sheet2!$B$20:$B$27</c:f>
              <c:strCache>
                <c:ptCount val="8"/>
                <c:pt idx="1">
                  <c:v>一般公共预算财政拨收入</c:v>
                </c:pt>
                <c:pt idx="2">
                  <c:v>政府性基金预算财政拨款收入</c:v>
                </c:pt>
                <c:pt idx="3">
                  <c:v>上级补助收入</c:v>
                </c:pt>
                <c:pt idx="4">
                  <c:v>事业收入</c:v>
                </c:pt>
                <c:pt idx="5">
                  <c:v>经营收入</c:v>
                </c:pt>
                <c:pt idx="6">
                  <c:v>附属单位上缴收入</c:v>
                </c:pt>
                <c:pt idx="7">
                  <c:v>其他收入</c:v>
                </c:pt>
              </c:strCache>
            </c:strRef>
          </c:cat>
          <c:val>
            <c:numRef>
              <c:f>[2022年决算图表.xlsx]Sheet2!$C$20:$C$27</c:f>
              <c:numCache>
                <c:formatCode>General</c:formatCode>
                <c:ptCount val="8"/>
                <c:pt idx="1">
                  <c:v>575.16</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3"/>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4"/>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5"/>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6"/>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7"/>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a:t>
            </a:r>
            <a:r>
              <a:rPr sz="1200">
                <a:solidFill>
                  <a:schemeClr val="tx1">
                    <a:lumMod val="65000"/>
                    <a:lumOff val="35000"/>
                  </a:schemeClr>
                </a:solidFill>
                <a:uFillTx/>
              </a:rPr>
              <a:t>结构</a:t>
            </a:r>
            <a:r>
              <a:t>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[2022年决算图表.xlsx]Sheet2!$A$43:$B$48</c15:sqref>
                  </c15:fullRef>
                  <c15:levelRef>
                    <c15:sqref>[2022年决算图表.xlsx]Sheet2!$B$43:$B$48</c15:sqref>
                  </c15:levelRef>
                </c:ext>
              </c:extLst>
              <c:f>[2022年决算图表.xlsx]Sheet2!$B$43:$B$48</c:f>
              <c:strCache>
                <c:ptCount val="6"/>
                <c:pt idx="1">
                  <c:v>基本支出</c:v>
                </c:pt>
                <c:pt idx="2">
                  <c:v>项目支出</c:v>
                </c:pt>
                <c:pt idx="3">
                  <c:v>上缴上级支出</c:v>
                </c:pt>
                <c:pt idx="4">
                  <c:v>经营支出</c:v>
                </c:pt>
                <c:pt idx="5">
                  <c:v>对附属单位补助支出</c:v>
                </c:pt>
              </c:strCache>
            </c:strRef>
          </c:cat>
          <c:val>
            <c:numRef>
              <c:f>[2022年决算图表.xlsx]Sheet2!$C$43:$C$48</c:f>
              <c:numCache>
                <c:formatCode>General</c:formatCode>
                <c:ptCount val="6"/>
                <c:pt idx="1">
                  <c:v>528.07</c:v>
                </c:pt>
                <c:pt idx="2">
                  <c:v>47.09</c:v>
                </c:pt>
                <c:pt idx="3">
                  <c:v>0</c:v>
                </c:pt>
                <c:pt idx="4">
                  <c:v>0</c:v>
                </c:pt>
                <c:pt idx="5">
                  <c:v>0</c:v>
                </c:pt>
              </c:numCache>
            </c:numRef>
          </c:val>
        </c:ser>
        <c:dLbls>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[2022年决算图表.xlsx]Sheet2!$A$43:$B$48</c15:sqref>
                        </c15:fullRef>
                        <c15:levelRef>
                          <c15:sqref>[2022年决算图表.xlsx]Sheet2!$B$43:$B$48</c15:sqref>
                        </c15:levelRef>
                        <c15:formulaRef>
                          <c15:sqref>[2022年决算图表.xlsx]Sheet2!$B$43:$B$48</c15:sqref>
                        </c15:formulaRef>
                      </c:ext>
                    </c:extLst>
                    <c:strCache>
                      <c:ptCount val="6"/>
                      <c:pt idx="1">
                        <c:v>基本支出</c:v>
                      </c:pt>
                      <c:pt idx="2">
                        <c:v>项目支出</c:v>
                      </c:pt>
                      <c:pt idx="3">
                        <c:v>上缴上级支出</c:v>
                      </c:pt>
                      <c:pt idx="4">
                        <c:v>经营支出</c:v>
                      </c:pt>
                      <c:pt idx="5">
                        <c:v>对附属单位补助支出</c:v>
                      </c:pt>
                    </c:strCache>
                  </c:strRef>
                </c:cat>
                <c:val>
                  <c:numRef>
                    <c:extLst>
                      <c:ext uri="{02D57815-91ED-43cb-92C2-25804820EDAC}">
                        <c15:formulaRef>
                          <c15:sqref>{#N/A,0.9181,0.0819,#N/A,#N/A,#N/A}</c15:sqref>
                        </c15:formulaRef>
                      </c:ext>
                    </c:extLst>
                    <c:numCache>
                      <c:formatCode>General</c:formatCode>
                      <c:ptCount val="6"/>
                      <c:pt idx="1" c:formatCode="0.00%">
                        <c:v>0.9181</c:v>
                      </c:pt>
                      <c:pt idx="2" c:formatCode="0.00%">
                        <c:v>0.0819</c:v>
                      </c:pt>
                    </c:numCache>
                  </c:numRef>
                </c:val>
              </c15:ser>
            </c15:filteredPieSeries>
          </c:ext>
        </c:extLst>
      </c:pieChart>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3"/>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4"/>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5"/>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财政拨款收、支决算总计情况变动表</a:t>
            </a:r>
          </a:p>
        </c:rich>
      </c:tx>
      <c:layout>
        <c:manualLayout>
          <c:xMode val="edge"/>
          <c:yMode val="edge"/>
          <c:x val="0.151872246696035"/>
          <c:y val="0.0342592592592593"/>
        </c:manualLayout>
      </c:layout>
      <c:overlay val="0"/>
      <c:spPr>
        <a:noFill/>
        <a:ln>
          <a:noFill/>
        </a:ln>
        <a:effectLst/>
      </c:spPr>
    </c:title>
    <c:autoTitleDeleted val="0"/>
    <c:plotArea>
      <c:layout>
        <c:manualLayout>
          <c:layoutTarget val="inner"/>
          <c:xMode val="edge"/>
          <c:yMode val="edge"/>
          <c:x val="0.0655800293685756"/>
          <c:y val="0.346040334481062"/>
          <c:w val="0.888604992657856"/>
          <c:h val="0.582242990654206"/>
        </c:manualLayout>
      </c:layout>
      <c:barChart>
        <c:barDir val="col"/>
        <c:grouping val="clustered"/>
        <c:varyColors val="0"/>
        <c:ser>
          <c:idx val="0"/>
          <c:order val="0"/>
          <c:tx>
            <c:strRef>
              <c:f>[2022年决算图表.xlsx]Sheet2!$A$63</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[2022年决算图表.xlsx]Sheet2!$B$61:$C$62</c:f>
              <c:multiLvlStrCache>
                <c:ptCount val="2"/>
                <c:lvl>
                  <c:pt idx="0">
                    <c:v>财政拨款收入</c:v>
                  </c:pt>
                  <c:pt idx="1">
                    <c:v>财政拨款支出</c:v>
                  </c:pt>
                </c:lvl>
                <c:lvl/>
              </c:multiLvlStrCache>
            </c:multiLvlStrRef>
          </c:cat>
          <c:val>
            <c:numRef>
              <c:f>[2022年决算图表.xlsx]Sheet2!$B$63:$C$63</c:f>
              <c:numCache>
                <c:formatCode>General</c:formatCode>
                <c:ptCount val="2"/>
                <c:pt idx="0">
                  <c:v>575.16</c:v>
                </c:pt>
                <c:pt idx="1">
                  <c:v>575.16</c:v>
                </c:pt>
              </c:numCache>
            </c:numRef>
          </c:val>
        </c:ser>
        <c:ser>
          <c:idx val="1"/>
          <c:order val="1"/>
          <c:tx>
            <c:strRef>
              <c:f>[2022年决算图表.xlsx]Sheet2!$A$64</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[2022年决算图表.xlsx]Sheet2!$B$61:$C$62</c:f>
              <c:multiLvlStrCache>
                <c:ptCount val="2"/>
                <c:lvl>
                  <c:pt idx="0">
                    <c:v>财政拨款收入</c:v>
                  </c:pt>
                  <c:pt idx="1">
                    <c:v>财政拨款支出</c:v>
                  </c:pt>
                </c:lvl>
                <c:lvl/>
              </c:multiLvlStrCache>
            </c:multiLvlStrRef>
          </c:cat>
          <c:val>
            <c:numRef>
              <c:f>[2022年决算图表.xlsx]Sheet2!$B$64:$C$64</c:f>
              <c:numCache>
                <c:formatCode>General</c:formatCode>
                <c:ptCount val="2"/>
                <c:pt idx="0">
                  <c:v>475.14</c:v>
                </c:pt>
                <c:pt idx="1">
                  <c:v>475.34</c:v>
                </c:pt>
              </c:numCache>
            </c:numRef>
          </c:val>
        </c:ser>
        <c:dLbls>
          <c:showLegendKey val="0"/>
          <c:showVal val="1"/>
          <c:showCatName val="0"/>
          <c:showSerName val="0"/>
          <c:showPercent val="0"/>
          <c:showBubbleSize val="0"/>
        </c:dLbls>
        <c:gapWidth val="219"/>
        <c:overlap val="-27"/>
        <c:axId val="953952931"/>
        <c:axId val="833753765"/>
      </c:barChart>
      <c:catAx>
        <c:axId val="9539529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3753765"/>
        <c:crosses val="autoZero"/>
        <c:auto val="1"/>
        <c:lblAlgn val="ctr"/>
        <c:lblOffset val="100"/>
        <c:noMultiLvlLbl val="0"/>
      </c:catAx>
      <c:valAx>
        <c:axId val="8337537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39529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solidFill>
                  <a:schemeClr val="tx1">
                    <a:lumMod val="65000"/>
                    <a:lumOff val="35000"/>
                  </a:schemeClr>
                </a:solidFill>
                <a:uFillTx/>
              </a:rPr>
              <a:t>一般公共预算财政拨款支出决算变动情况表</a:t>
            </a:r>
            <a:endParaRPr sz="1200">
              <a:solidFill>
                <a:schemeClr val="tx1">
                  <a:lumMod val="65000"/>
                  <a:lumOff val="35000"/>
                </a:schemeClr>
              </a:solidFill>
              <a:uFillTx/>
            </a:endParaRPr>
          </a:p>
        </c:rich>
      </c:tx>
      <c:layout>
        <c:manualLayout>
          <c:xMode val="edge"/>
          <c:yMode val="edge"/>
          <c:x val="0.11916256243669"/>
          <c:y val="0.0145528394746546"/>
        </c:manualLayout>
      </c:layout>
      <c:overlay val="0"/>
      <c:spPr>
        <a:noFill/>
        <a:ln>
          <a:noFill/>
        </a:ln>
        <a:effectLst/>
      </c:spPr>
    </c:title>
    <c:autoTitleDeleted val="0"/>
    <c:plotArea>
      <c:layout>
        <c:manualLayout>
          <c:layoutTarget val="inner"/>
          <c:xMode val="edge"/>
          <c:yMode val="edge"/>
          <c:x val="0.0810436969506445"/>
          <c:y val="0.328823078886903"/>
          <c:w val="0.880760767054385"/>
          <c:h val="0.596221598161859"/>
        </c:manualLayout>
      </c:layout>
      <c:barChart>
        <c:barDir val="col"/>
        <c:grouping val="clustered"/>
        <c:varyColors val="0"/>
        <c:ser>
          <c:idx val="0"/>
          <c:order val="0"/>
          <c:tx>
            <c:strRef>
              <c:f>[2022年决算图表.xlsx]Sheet2!$B$78:$B$79</c:f>
              <c:strCache>
                <c:ptCount val="1"/>
                <c:pt idx="0">
                  <c:v>一般公共预算财政拨款支出决算变动情况表</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[2022年决算图表.xlsx]Sheet2!$A$80:$A$81</c:f>
              <c:strCache>
                <c:ptCount val="2"/>
                <c:pt idx="0">
                  <c:v>2022年</c:v>
                </c:pt>
                <c:pt idx="1">
                  <c:v>2021年</c:v>
                </c:pt>
              </c:strCache>
            </c:strRef>
          </c:cat>
          <c:val>
            <c:numRef>
              <c:f>[2022年决算图表.xlsx]Sheet2!$B$80:$B$81</c:f>
              <c:numCache>
                <c:formatCode>General</c:formatCode>
                <c:ptCount val="2"/>
                <c:pt idx="0">
                  <c:v>575.16</c:v>
                </c:pt>
                <c:pt idx="1">
                  <c:v>475.34</c:v>
                </c:pt>
              </c:numCache>
            </c:numRef>
          </c:val>
        </c:ser>
        <c:dLbls>
          <c:showLegendKey val="0"/>
          <c:showVal val="1"/>
          <c:showCatName val="0"/>
          <c:showSerName val="0"/>
          <c:showPercent val="0"/>
          <c:showBubbleSize val="0"/>
        </c:dLbls>
        <c:gapWidth val="219"/>
        <c:overlap val="-27"/>
        <c:axId val="181583707"/>
        <c:axId val="347327502"/>
      </c:barChart>
      <c:catAx>
        <c:axId val="1815837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7327502"/>
        <c:crosses val="autoZero"/>
        <c:auto val="1"/>
        <c:lblAlgn val="ctr"/>
        <c:lblOffset val="100"/>
        <c:noMultiLvlLbl val="0"/>
      </c:catAx>
      <c:valAx>
        <c:axId val="34732750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5837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solidFill>
                  <a:schemeClr val="tx1">
                    <a:lumMod val="65000"/>
                    <a:lumOff val="35000"/>
                  </a:schemeClr>
                </a:solidFill>
                <a:uFillTx/>
              </a:rPr>
              <a:t>一般公共预算财政拨款支出决算结构表</a:t>
            </a:r>
            <a:endParaRPr sz="1200">
              <a:solidFill>
                <a:schemeClr val="tx1">
                  <a:lumMod val="65000"/>
                  <a:lumOff val="35000"/>
                </a:schemeClr>
              </a:solidFill>
              <a:uFillTx/>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3"/>
              <c:layout>
                <c:manualLayout>
                  <c:x val="0.0596052679788183"/>
                  <c:y val="0.09952438234283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652639731011418"/>
                  <c:y val="0.015348580812401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[2022年决算图表.xlsx]Sheet2!$A$95:$B$99</c15:sqref>
                  </c15:fullRef>
                  <c15:levelRef>
                    <c15:sqref>[2022年决算图表.xlsx]Sheet2!$B$95:$B$99</c15:sqref>
                  </c15:levelRef>
                </c:ext>
              </c:extLst>
              <c:f>[2022年决算图表.xlsx]Sheet2!$B$95:$B$99</c:f>
              <c:strCache>
                <c:ptCount val="5"/>
                <c:pt idx="1">
                  <c:v>一般公共服务（类）支出</c:v>
                </c:pt>
                <c:pt idx="2">
                  <c:v>社会保障和就业（类）支出</c:v>
                </c:pt>
                <c:pt idx="3">
                  <c:v>卫生健康支出</c:v>
                </c:pt>
                <c:pt idx="4">
                  <c:v>住房保障支出</c:v>
                </c:pt>
              </c:strCache>
            </c:strRef>
          </c:cat>
          <c:val>
            <c:numRef>
              <c:f>[2022年决算图表.xlsx]Sheet2!$C$95:$C$99</c:f>
              <c:numCache>
                <c:formatCode>General</c:formatCode>
                <c:ptCount val="5"/>
                <c:pt idx="1">
                  <c:v>522.92</c:v>
                </c:pt>
                <c:pt idx="2">
                  <c:v>25.43</c:v>
                </c:pt>
                <c:pt idx="3">
                  <c:v>6.79</c:v>
                </c:pt>
                <c:pt idx="4">
                  <c:v>20.02</c:v>
                </c:pt>
              </c:numCache>
            </c:numRef>
          </c:val>
        </c:ser>
        <c:dLbls>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[2022年决算图表.xlsx]Sheet2!$A$95:$B$99</c15:sqref>
                        </c15:fullRef>
                        <c15:levelRef>
                          <c15:sqref>[2022年决算图表.xlsx]Sheet2!$B$95:$B$99</c15:sqref>
                        </c15:levelRef>
                        <c15:formulaRef>
                          <c15:sqref>[2022年决算图表.xlsx]Sheet2!$B$95:$B$99</c15:sqref>
                        </c15:formulaRef>
                      </c:ext>
                    </c:extLst>
                    <c:strCache>
                      <c:ptCount val="5"/>
                      <c:pt idx="1">
                        <c:v>一般公共服务（类）支出</c:v>
                      </c:pt>
                      <c:pt idx="2">
                        <c:v>社会保障和就业（类）支出</c:v>
                      </c:pt>
                      <c:pt idx="3">
                        <c:v>卫生健康支出</c:v>
                      </c:pt>
                      <c:pt idx="4">
                        <c:v>住房保障支出</c:v>
                      </c:pt>
                    </c:strCache>
                  </c:strRef>
                </c:cat>
                <c:val>
                  <c:numRef>
                    <c:extLst>
                      <c:ext uri="{02D57815-91ED-43cb-92C2-25804820EDAC}">
                        <c15:formulaRef>
                          <c15:sqref>{#N/A,90.92,4.42,1.18,3.48}</c15:sqref>
                        </c15:formulaRef>
                      </c:ext>
                    </c:extLst>
                    <c:numCache>
                      <c:formatCode>General</c:formatCode>
                      <c:ptCount val="5"/>
                      <c:pt idx="1">
                        <c:v>90.92</c:v>
                      </c:pt>
                      <c:pt idx="2">
                        <c:v>4.42</c:v>
                      </c:pt>
                      <c:pt idx="3">
                        <c:v>1.18</c:v>
                      </c:pt>
                      <c:pt idx="4">
                        <c:v>3.48</c:v>
                      </c:pt>
                    </c:numCache>
                  </c:numRef>
                </c:val>
              </c15:ser>
            </c15:filteredPieSeries>
          </c:ext>
        </c:extLst>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a:solidFill>
                  <a:schemeClr val="tx1">
                    <a:lumMod val="65000"/>
                    <a:lumOff val="35000"/>
                  </a:schemeClr>
                </a:solidFill>
                <a:uFillTx/>
              </a:rPr>
              <a:t>“</a:t>
            </a:r>
            <a:r>
              <a:rPr altLang="en-US" sz="1200">
                <a:solidFill>
                  <a:schemeClr val="tx1">
                    <a:lumMod val="65000"/>
                    <a:lumOff val="35000"/>
                  </a:schemeClr>
                </a:solidFill>
                <a:uFillTx/>
              </a:rPr>
              <a:t>三公</a:t>
            </a:r>
            <a:r>
              <a:rPr lang="en-US" altLang="zh-CN" sz="1200">
                <a:solidFill>
                  <a:schemeClr val="tx1">
                    <a:lumMod val="65000"/>
                    <a:lumOff val="35000"/>
                  </a:schemeClr>
                </a:solidFill>
                <a:uFillTx/>
              </a:rPr>
              <a:t>”</a:t>
            </a:r>
            <a:r>
              <a:rPr altLang="en-US" sz="1200">
                <a:solidFill>
                  <a:schemeClr val="tx1">
                    <a:lumMod val="65000"/>
                    <a:lumOff val="35000"/>
                  </a:schemeClr>
                </a:solidFill>
                <a:uFillTx/>
              </a:rPr>
              <a:t>经费财政拨款支出结构</a:t>
            </a:r>
            <a:endParaRPr altLang="en-US" sz="1200">
              <a:solidFill>
                <a:schemeClr val="tx1">
                  <a:lumMod val="65000"/>
                  <a:lumOff val="35000"/>
                </a:schemeClr>
              </a:solidFill>
              <a:uFillTx/>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[2022年决算图表.xlsx]Sheet2!$A$112:$B$116</c15:sqref>
                  </c15:fullRef>
                  <c15:levelRef>
                    <c15:sqref>[2022年决算图表.xlsx]Sheet2!$B$112:$B$116</c15:sqref>
                  </c15:levelRef>
                </c:ext>
              </c:extLst>
              <c:f>[2022年决算图表.xlsx]Sheet2!$B$112:$B$116</c:f>
              <c:strCache>
                <c:ptCount val="5"/>
                <c:pt idx="2">
                  <c:v>因公出国（境）经费支出</c:v>
                </c:pt>
                <c:pt idx="3">
                  <c:v>公务用车购置及运行维护费支出</c:v>
                </c:pt>
                <c:pt idx="4">
                  <c:v>公务接待费支出</c:v>
                </c:pt>
              </c:strCache>
            </c:strRef>
          </c:cat>
          <c:val>
            <c:numRef>
              <c:f>[2022年决算图表.xlsx]Sheet2!$C$112:$C$116</c:f>
              <c:numCache>
                <c:formatCode>General</c:formatCode>
                <c:ptCount val="5"/>
                <c:pt idx="2">
                  <c:v>0</c:v>
                </c:pt>
                <c:pt idx="3">
                  <c:v>7.95</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1496</Words>
  <Characters>8531</Characters>
  <Lines>71</Lines>
  <Paragraphs>20</Paragraphs>
  <TotalTime>9</TotalTime>
  <ScaleCrop>false</ScaleCrop>
  <LinksUpToDate>false</LinksUpToDate>
  <CharactersWithSpaces>10007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2023-12-12T02:21:18Z</cp:lastPrinted>
  <dcterms:modified xsi:type="dcterms:W3CDTF">2023-12-12T02:24:34Z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4A917DBD89F747E7AF9378FC3C89F4D1_12</vt:lpwstr>
  </property>
</Properties>
</file>