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DF5897">
      <w:pPr>
        <w:spacing w:line="600" w:lineRule="exact"/>
        <w:jc w:val="center"/>
        <w:outlineLvl w:val="9"/>
        <w:rPr>
          <w:rFonts w:ascii="方正小标宋简体" w:hAnsi="宋体" w:eastAsia="方正小标宋简体"/>
          <w:sz w:val="72"/>
          <w:szCs w:val="72"/>
        </w:rPr>
      </w:pPr>
      <w:bookmarkStart w:id="0" w:name="_Toc15377193"/>
      <w:bookmarkStart w:id="1" w:name="_Toc15396597"/>
      <w:bookmarkStart w:id="2" w:name="_Toc15377425"/>
      <w:bookmarkStart w:id="3" w:name="_Toc15378441"/>
      <w:bookmarkStart w:id="4" w:name="_Toc15396475"/>
      <w:bookmarkStart w:id="5" w:name="_Toc15306267"/>
    </w:p>
    <w:p w14:paraId="5D5A1726">
      <w:pPr>
        <w:spacing w:line="600" w:lineRule="exact"/>
        <w:jc w:val="center"/>
        <w:outlineLvl w:val="9"/>
        <w:rPr>
          <w:rFonts w:ascii="方正小标宋简体" w:hAnsi="宋体" w:eastAsia="方正小标宋简体"/>
          <w:sz w:val="72"/>
          <w:szCs w:val="72"/>
        </w:rPr>
      </w:pPr>
    </w:p>
    <w:p w14:paraId="51509F39">
      <w:pPr>
        <w:spacing w:line="600" w:lineRule="exact"/>
        <w:jc w:val="center"/>
        <w:outlineLvl w:val="9"/>
        <w:rPr>
          <w:rFonts w:ascii="方正小标宋简体" w:hAnsi="宋体" w:eastAsia="方正小标宋简体"/>
          <w:sz w:val="72"/>
          <w:szCs w:val="72"/>
        </w:rPr>
      </w:pPr>
    </w:p>
    <w:p w14:paraId="0C33E272">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6" w:name="_Toc21439"/>
      <w:r>
        <w:rPr>
          <w:rFonts w:hint="eastAsia" w:ascii="方正小标宋简体" w:hAnsi="方正小标宋简体" w:eastAsia="方正小标宋简体" w:cs="方正小标宋简体"/>
          <w:sz w:val="72"/>
          <w:szCs w:val="72"/>
        </w:rPr>
        <w:t>2022年度</w:t>
      </w:r>
      <w:bookmarkEnd w:id="0"/>
      <w:bookmarkEnd w:id="1"/>
      <w:bookmarkEnd w:id="2"/>
      <w:bookmarkEnd w:id="3"/>
      <w:bookmarkEnd w:id="4"/>
      <w:bookmarkEnd w:id="6"/>
    </w:p>
    <w:bookmarkEnd w:id="5"/>
    <w:p w14:paraId="7076B81A">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7" w:name="_Toc20003"/>
      <w:bookmarkStart w:id="8" w:name="_Toc15377426"/>
      <w:bookmarkStart w:id="9" w:name="_Toc15306268"/>
      <w:bookmarkStart w:id="10" w:name="_Toc15377194"/>
      <w:bookmarkStart w:id="11" w:name="_Toc15378442"/>
      <w:bookmarkStart w:id="12" w:name="_Toc15396598"/>
      <w:bookmarkStart w:id="13" w:name="_Toc15396476"/>
      <w:r>
        <w:rPr>
          <w:rFonts w:hint="eastAsia" w:ascii="方正小标宋简体" w:hAnsi="方正小标宋简体" w:eastAsia="方正小标宋简体" w:cs="方正小标宋简体"/>
          <w:sz w:val="72"/>
          <w:szCs w:val="72"/>
          <w:lang w:val="en-US" w:eastAsia="zh-CN"/>
        </w:rPr>
        <w:t>峨眉山市财政局</w:t>
      </w:r>
      <w:r>
        <w:rPr>
          <w:rFonts w:hint="eastAsia" w:ascii="方正小标宋简体" w:hAnsi="方正小标宋简体" w:eastAsia="方正小标宋简体" w:cs="方正小标宋简体"/>
          <w:sz w:val="72"/>
          <w:szCs w:val="72"/>
        </w:rPr>
        <w:t>部门决算</w:t>
      </w:r>
      <w:bookmarkEnd w:id="7"/>
      <w:bookmarkEnd w:id="8"/>
      <w:bookmarkEnd w:id="9"/>
      <w:bookmarkEnd w:id="10"/>
      <w:bookmarkEnd w:id="11"/>
      <w:bookmarkEnd w:id="12"/>
      <w:bookmarkEnd w:id="13"/>
    </w:p>
    <w:p w14:paraId="4261AF19">
      <w:pPr>
        <w:adjustRightInd w:val="0"/>
        <w:snapToGrid w:val="0"/>
        <w:spacing w:line="360" w:lineRule="auto"/>
        <w:jc w:val="center"/>
        <w:outlineLvl w:val="0"/>
        <w:rPr>
          <w:rFonts w:hint="eastAsia" w:ascii="方正小标宋简体" w:hAnsi="宋体" w:eastAsia="方正小标宋简体"/>
          <w:sz w:val="52"/>
          <w:szCs w:val="52"/>
        </w:rPr>
      </w:pPr>
      <w:bookmarkStart w:id="14" w:name="_Toc31274"/>
      <w:r>
        <w:rPr>
          <w:rFonts w:hint="eastAsia" w:ascii="方正小标宋简体" w:hAnsi="宋体" w:eastAsia="方正小标宋简体"/>
          <w:sz w:val="52"/>
          <w:szCs w:val="52"/>
        </w:rPr>
        <w:t>(</w:t>
      </w:r>
      <w:r>
        <w:rPr>
          <w:rFonts w:hint="eastAsia" w:ascii="方正小标宋简体" w:hAnsi="宋体" w:eastAsia="方正小标宋简体"/>
          <w:sz w:val="52"/>
          <w:szCs w:val="52"/>
          <w:lang w:val="en-US" w:eastAsia="zh-CN"/>
        </w:rPr>
        <w:t>汇总</w:t>
      </w:r>
      <w:r>
        <w:rPr>
          <w:rFonts w:hint="eastAsia" w:ascii="方正小标宋简体" w:hAnsi="宋体" w:eastAsia="方正小标宋简体"/>
          <w:sz w:val="52"/>
          <w:szCs w:val="52"/>
        </w:rPr>
        <w:t>)</w:t>
      </w:r>
      <w:bookmarkEnd w:id="14"/>
    </w:p>
    <w:p w14:paraId="46BEEEEA">
      <w:pPr>
        <w:pStyle w:val="9"/>
        <w:rPr>
          <w:rFonts w:hint="eastAsia" w:ascii="方正小标宋简体" w:hAnsi="宋体" w:eastAsia="方正小标宋简体"/>
          <w:sz w:val="52"/>
          <w:szCs w:val="52"/>
        </w:rPr>
      </w:pPr>
    </w:p>
    <w:p w14:paraId="2F680F18">
      <w:pPr>
        <w:pStyle w:val="9"/>
        <w:rPr>
          <w:rFonts w:hint="eastAsia" w:ascii="方正小标宋简体" w:hAnsi="宋体" w:eastAsia="方正小标宋简体"/>
          <w:sz w:val="52"/>
          <w:szCs w:val="52"/>
        </w:rPr>
      </w:pPr>
    </w:p>
    <w:p w14:paraId="3D9CBCF0">
      <w:pPr>
        <w:pStyle w:val="9"/>
        <w:rPr>
          <w:rFonts w:hint="eastAsia" w:ascii="方正小标宋简体" w:hAnsi="宋体" w:eastAsia="方正小标宋简体"/>
          <w:sz w:val="52"/>
          <w:szCs w:val="52"/>
        </w:rPr>
      </w:pPr>
    </w:p>
    <w:p w14:paraId="73145E0A">
      <w:pPr>
        <w:pStyle w:val="9"/>
        <w:rPr>
          <w:rFonts w:hint="eastAsia" w:ascii="方正小标宋简体" w:hAnsi="宋体" w:eastAsia="方正小标宋简体"/>
          <w:sz w:val="52"/>
          <w:szCs w:val="52"/>
        </w:rPr>
      </w:pPr>
    </w:p>
    <w:p w14:paraId="1B9A265C">
      <w:pPr>
        <w:pStyle w:val="9"/>
        <w:rPr>
          <w:rFonts w:hint="eastAsia" w:ascii="方正小标宋简体" w:hAnsi="宋体" w:eastAsia="方正小标宋简体"/>
          <w:sz w:val="52"/>
          <w:szCs w:val="52"/>
        </w:rPr>
      </w:pPr>
    </w:p>
    <w:p w14:paraId="2A63C7B4">
      <w:pPr>
        <w:pStyle w:val="9"/>
        <w:rPr>
          <w:rFonts w:hint="eastAsia" w:ascii="方正小标宋简体" w:hAnsi="宋体" w:eastAsia="方正小标宋简体"/>
          <w:sz w:val="52"/>
          <w:szCs w:val="52"/>
        </w:rPr>
      </w:pPr>
    </w:p>
    <w:p w14:paraId="413C470D">
      <w:pPr>
        <w:pStyle w:val="13"/>
        <w:rPr>
          <w:rFonts w:hint="eastAsia" w:ascii="楷体" w:hAnsi="楷体" w:eastAsia="楷体" w:cs="楷体"/>
          <w:b w:val="0"/>
          <w:bCs w:val="0"/>
          <w:sz w:val="32"/>
          <w:szCs w:val="32"/>
          <w:lang w:val="en-US" w:eastAsia="zh-CN"/>
        </w:rPr>
      </w:pPr>
      <w:r>
        <w:rPr>
          <w:rFonts w:hint="eastAsia" w:ascii="楷体_GB2312" w:hAnsi="楷体_GB2312" w:eastAsia="楷体_GB2312" w:cs="楷体_GB2312"/>
          <w:sz w:val="32"/>
          <w:szCs w:val="32"/>
        </w:rPr>
        <w:t>公开时间：</w:t>
      </w:r>
      <w:r>
        <w:rPr>
          <w:rFonts w:hint="eastAsia" w:ascii="楷体" w:hAnsi="楷体" w:eastAsia="楷体" w:cs="楷体"/>
          <w:b w:val="0"/>
          <w:bCs w:val="0"/>
          <w:sz w:val="32"/>
          <w:szCs w:val="32"/>
          <w:lang w:val="en-US" w:eastAsia="zh-CN"/>
        </w:rPr>
        <w:t>2023年12月15日</w:t>
      </w:r>
    </w:p>
    <w:p w14:paraId="76A6D822">
      <w:pPr>
        <w:widowControl/>
        <w:jc w:val="center"/>
        <w:rPr>
          <w:rFonts w:ascii="黑体" w:hAnsi="黑体" w:eastAsia="黑体"/>
          <w:sz w:val="44"/>
          <w:szCs w:val="44"/>
        </w:rPr>
      </w:pPr>
      <w:r>
        <w:rPr>
          <w:rFonts w:ascii="方正小标宋简体" w:hAnsi="宋体" w:eastAsia="方正小标宋简体"/>
          <w:sz w:val="36"/>
          <w:szCs w:val="36"/>
        </w:rPr>
        <w:br w:type="page"/>
      </w:r>
      <w:r>
        <w:rPr>
          <w:rFonts w:hint="eastAsia" w:ascii="黑体" w:hAnsi="黑体" w:eastAsia="黑体"/>
          <w:sz w:val="44"/>
          <w:szCs w:val="44"/>
        </w:rPr>
        <w:t>目</w:t>
      </w:r>
      <w:r>
        <w:rPr>
          <w:rFonts w:hint="eastAsia" w:ascii="黑体" w:hAnsi="黑体" w:eastAsia="黑体"/>
          <w:sz w:val="44"/>
          <w:szCs w:val="44"/>
          <w:lang w:val="en-US" w:eastAsia="zh-CN"/>
        </w:rPr>
        <w:t xml:space="preserve">  </w:t>
      </w:r>
      <w:r>
        <w:rPr>
          <w:rFonts w:hint="eastAsia" w:ascii="黑体" w:hAnsi="黑体" w:eastAsia="黑体"/>
          <w:sz w:val="44"/>
          <w:szCs w:val="44"/>
        </w:rPr>
        <w:t>录</w:t>
      </w:r>
    </w:p>
    <w:sdt>
      <w:sdtPr>
        <w:rPr>
          <w:rFonts w:ascii="宋体" w:hAnsi="宋体" w:eastAsia="宋体" w:cs="Times New Roman"/>
          <w:kern w:val="2"/>
          <w:sz w:val="21"/>
          <w:szCs w:val="24"/>
          <w:lang w:val="en-US" w:eastAsia="zh-CN" w:bidi="ar-SA"/>
        </w:rPr>
        <w:id w:val="147458636"/>
        <w15:color w:val="DBDBDB"/>
        <w:docPartObj>
          <w:docPartGallery w:val="Table of Contents"/>
          <w:docPartUnique/>
        </w:docPartObj>
      </w:sdtPr>
      <w:sdtEndPr>
        <w:rPr>
          <w:rFonts w:hint="eastAsia" w:ascii="宋体" w:hAnsi="宋体" w:eastAsia="宋体" w:cs="Times New Roman"/>
          <w:kern w:val="2"/>
          <w:sz w:val="21"/>
          <w:szCs w:val="24"/>
          <w:lang w:val="en-US" w:eastAsia="zh-CN" w:bidi="ar-SA"/>
        </w:rPr>
      </w:sdtEndPr>
      <w:sdtContent>
        <w:p w14:paraId="1C637D02">
          <w:pPr>
            <w:pStyle w:val="40"/>
            <w:keepNext w:val="0"/>
            <w:keepLines w:val="0"/>
            <w:pageBreakBefore w:val="0"/>
            <w:tabs>
              <w:tab w:val="right" w:leader="dot" w:pos="8306"/>
            </w:tabs>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TOC \o "1-2" \h \u </w:instrText>
          </w:r>
          <w:r>
            <w:rPr>
              <w:rFonts w:hint="eastAsia" w:ascii="仿宋_GB2312" w:hAnsi="仿宋_GB2312" w:eastAsia="仿宋_GB2312" w:cs="仿宋_GB2312"/>
              <w:b w:val="0"/>
              <w:bCs w:val="0"/>
              <w:sz w:val="24"/>
              <w:szCs w:val="24"/>
            </w:rPr>
            <w:fldChar w:fldCharType="separate"/>
          </w:r>
        </w:p>
        <w:p w14:paraId="4F04EACE">
          <w:pPr>
            <w:pStyle w:val="40"/>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_Toc18414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第一部分 部门概况</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_Toc18414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2</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14:paraId="5C64FE71">
          <w:pPr>
            <w:pStyle w:val="4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HYPERLINK \l _Toc16071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一、 部门职责</w:t>
          </w:r>
          <w:r>
            <w:rPr>
              <w:rFonts w:hint="eastAsia" w:ascii="仿宋_GB2312" w:hAnsi="仿宋_GB2312" w:eastAsia="仿宋_GB2312" w:cs="仿宋_GB2312"/>
              <w:b w:val="0"/>
              <w:bCs w:val="0"/>
              <w:sz w:val="24"/>
              <w:szCs w:val="24"/>
            </w:rPr>
            <w:tab/>
          </w: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PAGEREF _Toc16071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3</w:t>
          </w:r>
          <w:r>
            <w:rPr>
              <w:rFonts w:hint="eastAsia" w:ascii="仿宋_GB2312" w:hAnsi="仿宋_GB2312" w:eastAsia="仿宋_GB2312" w:cs="仿宋_GB2312"/>
              <w:b w:val="0"/>
              <w:bCs w:val="0"/>
              <w:sz w:val="24"/>
              <w:szCs w:val="24"/>
            </w:rPr>
            <w:fldChar w:fldCharType="end"/>
          </w:r>
          <w:r>
            <w:rPr>
              <w:rFonts w:hint="eastAsia" w:ascii="仿宋_GB2312" w:hAnsi="仿宋_GB2312" w:eastAsia="仿宋_GB2312" w:cs="仿宋_GB2312"/>
              <w:b w:val="0"/>
              <w:bCs w:val="0"/>
              <w:sz w:val="24"/>
              <w:szCs w:val="24"/>
            </w:rPr>
            <w:fldChar w:fldCharType="end"/>
          </w:r>
        </w:p>
        <w:p w14:paraId="132210CA">
          <w:pPr>
            <w:pStyle w:val="4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HYPERLINK \l _Toc30915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二、机构设置</w:t>
          </w:r>
          <w:r>
            <w:rPr>
              <w:rFonts w:hint="eastAsia" w:ascii="仿宋_GB2312" w:hAnsi="仿宋_GB2312" w:eastAsia="仿宋_GB2312" w:cs="仿宋_GB2312"/>
              <w:b w:val="0"/>
              <w:bCs w:val="0"/>
              <w:sz w:val="24"/>
              <w:szCs w:val="24"/>
            </w:rPr>
            <w:tab/>
          </w: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PAGEREF _Toc30915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3</w:t>
          </w:r>
          <w:r>
            <w:rPr>
              <w:rFonts w:hint="eastAsia" w:ascii="仿宋_GB2312" w:hAnsi="仿宋_GB2312" w:eastAsia="仿宋_GB2312" w:cs="仿宋_GB2312"/>
              <w:b w:val="0"/>
              <w:bCs w:val="0"/>
              <w:sz w:val="24"/>
              <w:szCs w:val="24"/>
            </w:rPr>
            <w:fldChar w:fldCharType="end"/>
          </w:r>
          <w:r>
            <w:rPr>
              <w:rFonts w:hint="eastAsia" w:ascii="仿宋_GB2312" w:hAnsi="仿宋_GB2312" w:eastAsia="仿宋_GB2312" w:cs="仿宋_GB2312"/>
              <w:b w:val="0"/>
              <w:bCs w:val="0"/>
              <w:sz w:val="24"/>
              <w:szCs w:val="24"/>
            </w:rPr>
            <w:fldChar w:fldCharType="end"/>
          </w:r>
        </w:p>
        <w:p w14:paraId="3D414848">
          <w:pPr>
            <w:pStyle w:val="40"/>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_Toc29289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第二部分 2022年度部门决算情况说明</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_Toc29289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4</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14:paraId="46C79131">
          <w:pPr>
            <w:pStyle w:val="4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HYPERLINK \l _Toc17685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一、 收入支出决算总体情况说明</w:t>
          </w:r>
          <w:r>
            <w:rPr>
              <w:rFonts w:hint="eastAsia" w:ascii="仿宋_GB2312" w:hAnsi="仿宋_GB2312" w:eastAsia="仿宋_GB2312" w:cs="仿宋_GB2312"/>
              <w:b w:val="0"/>
              <w:bCs w:val="0"/>
              <w:sz w:val="24"/>
              <w:szCs w:val="24"/>
            </w:rPr>
            <w:tab/>
          </w: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PAGEREF _Toc17685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4</w:t>
          </w:r>
          <w:r>
            <w:rPr>
              <w:rFonts w:hint="eastAsia" w:ascii="仿宋_GB2312" w:hAnsi="仿宋_GB2312" w:eastAsia="仿宋_GB2312" w:cs="仿宋_GB2312"/>
              <w:b w:val="0"/>
              <w:bCs w:val="0"/>
              <w:sz w:val="24"/>
              <w:szCs w:val="24"/>
            </w:rPr>
            <w:fldChar w:fldCharType="end"/>
          </w:r>
          <w:r>
            <w:rPr>
              <w:rFonts w:hint="eastAsia" w:ascii="仿宋_GB2312" w:hAnsi="仿宋_GB2312" w:eastAsia="仿宋_GB2312" w:cs="仿宋_GB2312"/>
              <w:b w:val="0"/>
              <w:bCs w:val="0"/>
              <w:sz w:val="24"/>
              <w:szCs w:val="24"/>
            </w:rPr>
            <w:fldChar w:fldCharType="end"/>
          </w:r>
        </w:p>
        <w:p w14:paraId="275741B6">
          <w:pPr>
            <w:pStyle w:val="4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HYPERLINK \l _Toc10980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二、 收入决算情况说明</w:t>
          </w:r>
          <w:r>
            <w:rPr>
              <w:rFonts w:hint="eastAsia" w:ascii="仿宋_GB2312" w:hAnsi="仿宋_GB2312" w:eastAsia="仿宋_GB2312" w:cs="仿宋_GB2312"/>
              <w:b w:val="0"/>
              <w:bCs w:val="0"/>
              <w:sz w:val="24"/>
              <w:szCs w:val="24"/>
            </w:rPr>
            <w:tab/>
          </w: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PAGEREF _Toc10980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4</w:t>
          </w:r>
          <w:r>
            <w:rPr>
              <w:rFonts w:hint="eastAsia" w:ascii="仿宋_GB2312" w:hAnsi="仿宋_GB2312" w:eastAsia="仿宋_GB2312" w:cs="仿宋_GB2312"/>
              <w:b w:val="0"/>
              <w:bCs w:val="0"/>
              <w:sz w:val="24"/>
              <w:szCs w:val="24"/>
            </w:rPr>
            <w:fldChar w:fldCharType="end"/>
          </w:r>
          <w:r>
            <w:rPr>
              <w:rFonts w:hint="eastAsia" w:ascii="仿宋_GB2312" w:hAnsi="仿宋_GB2312" w:eastAsia="仿宋_GB2312" w:cs="仿宋_GB2312"/>
              <w:b w:val="0"/>
              <w:bCs w:val="0"/>
              <w:sz w:val="24"/>
              <w:szCs w:val="24"/>
            </w:rPr>
            <w:fldChar w:fldCharType="end"/>
          </w:r>
        </w:p>
        <w:p w14:paraId="72F87ABD">
          <w:pPr>
            <w:pStyle w:val="4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HYPERLINK \l _Toc32139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三、 支出决算情况说明</w:t>
          </w:r>
          <w:r>
            <w:rPr>
              <w:rFonts w:hint="eastAsia" w:ascii="仿宋_GB2312" w:hAnsi="仿宋_GB2312" w:eastAsia="仿宋_GB2312" w:cs="仿宋_GB2312"/>
              <w:b w:val="0"/>
              <w:bCs w:val="0"/>
              <w:sz w:val="24"/>
              <w:szCs w:val="24"/>
            </w:rPr>
            <w:tab/>
          </w: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PAGEREF _Toc32139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5</w:t>
          </w:r>
          <w:r>
            <w:rPr>
              <w:rFonts w:hint="eastAsia" w:ascii="仿宋_GB2312" w:hAnsi="仿宋_GB2312" w:eastAsia="仿宋_GB2312" w:cs="仿宋_GB2312"/>
              <w:b w:val="0"/>
              <w:bCs w:val="0"/>
              <w:sz w:val="24"/>
              <w:szCs w:val="24"/>
            </w:rPr>
            <w:fldChar w:fldCharType="end"/>
          </w:r>
          <w:r>
            <w:rPr>
              <w:rFonts w:hint="eastAsia" w:ascii="仿宋_GB2312" w:hAnsi="仿宋_GB2312" w:eastAsia="仿宋_GB2312" w:cs="仿宋_GB2312"/>
              <w:b w:val="0"/>
              <w:bCs w:val="0"/>
              <w:sz w:val="24"/>
              <w:szCs w:val="24"/>
            </w:rPr>
            <w:fldChar w:fldCharType="end"/>
          </w:r>
        </w:p>
        <w:p w14:paraId="404FAD74">
          <w:pPr>
            <w:pStyle w:val="4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HYPERLINK \l _Toc8928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四、财政拨款收入支出决算总体情况说明</w:t>
          </w:r>
          <w:r>
            <w:rPr>
              <w:rFonts w:hint="eastAsia" w:ascii="仿宋_GB2312" w:hAnsi="仿宋_GB2312" w:eastAsia="仿宋_GB2312" w:cs="仿宋_GB2312"/>
              <w:b w:val="0"/>
              <w:bCs w:val="0"/>
              <w:sz w:val="24"/>
              <w:szCs w:val="24"/>
            </w:rPr>
            <w:tab/>
          </w: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PAGEREF _Toc8928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6</w:t>
          </w:r>
          <w:r>
            <w:rPr>
              <w:rFonts w:hint="eastAsia" w:ascii="仿宋_GB2312" w:hAnsi="仿宋_GB2312" w:eastAsia="仿宋_GB2312" w:cs="仿宋_GB2312"/>
              <w:b w:val="0"/>
              <w:bCs w:val="0"/>
              <w:sz w:val="24"/>
              <w:szCs w:val="24"/>
            </w:rPr>
            <w:fldChar w:fldCharType="end"/>
          </w:r>
          <w:r>
            <w:rPr>
              <w:rFonts w:hint="eastAsia" w:ascii="仿宋_GB2312" w:hAnsi="仿宋_GB2312" w:eastAsia="仿宋_GB2312" w:cs="仿宋_GB2312"/>
              <w:b w:val="0"/>
              <w:bCs w:val="0"/>
              <w:sz w:val="24"/>
              <w:szCs w:val="24"/>
            </w:rPr>
            <w:fldChar w:fldCharType="end"/>
          </w:r>
        </w:p>
        <w:p w14:paraId="17E4480C">
          <w:pPr>
            <w:pStyle w:val="4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HYPERLINK \l _Toc677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五、一般公共预算财政拨款支出决算情况说明</w:t>
          </w:r>
          <w:r>
            <w:rPr>
              <w:rFonts w:hint="eastAsia" w:ascii="仿宋_GB2312" w:hAnsi="仿宋_GB2312" w:eastAsia="仿宋_GB2312" w:cs="仿宋_GB2312"/>
              <w:b w:val="0"/>
              <w:bCs w:val="0"/>
              <w:sz w:val="24"/>
              <w:szCs w:val="24"/>
            </w:rPr>
            <w:tab/>
          </w: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PAGEREF _Toc677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6</w:t>
          </w:r>
          <w:r>
            <w:rPr>
              <w:rFonts w:hint="eastAsia" w:ascii="仿宋_GB2312" w:hAnsi="仿宋_GB2312" w:eastAsia="仿宋_GB2312" w:cs="仿宋_GB2312"/>
              <w:b w:val="0"/>
              <w:bCs w:val="0"/>
              <w:sz w:val="24"/>
              <w:szCs w:val="24"/>
            </w:rPr>
            <w:fldChar w:fldCharType="end"/>
          </w:r>
          <w:r>
            <w:rPr>
              <w:rFonts w:hint="eastAsia" w:ascii="仿宋_GB2312" w:hAnsi="仿宋_GB2312" w:eastAsia="仿宋_GB2312" w:cs="仿宋_GB2312"/>
              <w:b w:val="0"/>
              <w:bCs w:val="0"/>
              <w:sz w:val="24"/>
              <w:szCs w:val="24"/>
            </w:rPr>
            <w:fldChar w:fldCharType="end"/>
          </w:r>
        </w:p>
        <w:p w14:paraId="07442F4E">
          <w:pPr>
            <w:pStyle w:val="4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HYPERLINK \l _Toc29879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六、一般公共预算财政拨款基本支出决算情况说明</w:t>
          </w:r>
          <w:r>
            <w:rPr>
              <w:rFonts w:hint="eastAsia" w:ascii="仿宋_GB2312" w:hAnsi="仿宋_GB2312" w:eastAsia="仿宋_GB2312" w:cs="仿宋_GB2312"/>
              <w:b w:val="0"/>
              <w:bCs w:val="0"/>
              <w:sz w:val="24"/>
              <w:szCs w:val="24"/>
            </w:rPr>
            <w:tab/>
          </w: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PAGEREF _Toc29879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9</w:t>
          </w:r>
          <w:r>
            <w:rPr>
              <w:rFonts w:hint="eastAsia" w:ascii="仿宋_GB2312" w:hAnsi="仿宋_GB2312" w:eastAsia="仿宋_GB2312" w:cs="仿宋_GB2312"/>
              <w:b w:val="0"/>
              <w:bCs w:val="0"/>
              <w:sz w:val="24"/>
              <w:szCs w:val="24"/>
            </w:rPr>
            <w:fldChar w:fldCharType="end"/>
          </w:r>
          <w:r>
            <w:rPr>
              <w:rFonts w:hint="eastAsia" w:ascii="仿宋_GB2312" w:hAnsi="仿宋_GB2312" w:eastAsia="仿宋_GB2312" w:cs="仿宋_GB2312"/>
              <w:b w:val="0"/>
              <w:bCs w:val="0"/>
              <w:sz w:val="24"/>
              <w:szCs w:val="24"/>
            </w:rPr>
            <w:fldChar w:fldCharType="end"/>
          </w:r>
        </w:p>
        <w:p w14:paraId="504BC640">
          <w:pPr>
            <w:pStyle w:val="4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HYPERLINK \l _Toc5840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七、财政拨款“三公”经费支出决算情况说明</w:t>
          </w:r>
          <w:r>
            <w:rPr>
              <w:rFonts w:hint="eastAsia" w:ascii="仿宋_GB2312" w:hAnsi="仿宋_GB2312" w:eastAsia="仿宋_GB2312" w:cs="仿宋_GB2312"/>
              <w:b w:val="0"/>
              <w:bCs w:val="0"/>
              <w:sz w:val="24"/>
              <w:szCs w:val="24"/>
            </w:rPr>
            <w:tab/>
          </w: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PAGEREF _Toc5840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9</w:t>
          </w:r>
          <w:r>
            <w:rPr>
              <w:rFonts w:hint="eastAsia" w:ascii="仿宋_GB2312" w:hAnsi="仿宋_GB2312" w:eastAsia="仿宋_GB2312" w:cs="仿宋_GB2312"/>
              <w:b w:val="0"/>
              <w:bCs w:val="0"/>
              <w:sz w:val="24"/>
              <w:szCs w:val="24"/>
            </w:rPr>
            <w:fldChar w:fldCharType="end"/>
          </w:r>
          <w:r>
            <w:rPr>
              <w:rFonts w:hint="eastAsia" w:ascii="仿宋_GB2312" w:hAnsi="仿宋_GB2312" w:eastAsia="仿宋_GB2312" w:cs="仿宋_GB2312"/>
              <w:b w:val="0"/>
              <w:bCs w:val="0"/>
              <w:sz w:val="24"/>
              <w:szCs w:val="24"/>
            </w:rPr>
            <w:fldChar w:fldCharType="end"/>
          </w:r>
        </w:p>
        <w:p w14:paraId="0E8B9DE8">
          <w:pPr>
            <w:pStyle w:val="4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HYPERLINK \l _Toc23172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八、政府性基金预算支出决算情况说明</w:t>
          </w:r>
          <w:r>
            <w:rPr>
              <w:rFonts w:hint="eastAsia" w:ascii="仿宋_GB2312" w:hAnsi="仿宋_GB2312" w:eastAsia="仿宋_GB2312" w:cs="仿宋_GB2312"/>
              <w:b w:val="0"/>
              <w:bCs w:val="0"/>
              <w:sz w:val="24"/>
              <w:szCs w:val="24"/>
            </w:rPr>
            <w:tab/>
          </w: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PAGEREF _Toc23172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11</w:t>
          </w:r>
          <w:r>
            <w:rPr>
              <w:rFonts w:hint="eastAsia" w:ascii="仿宋_GB2312" w:hAnsi="仿宋_GB2312" w:eastAsia="仿宋_GB2312" w:cs="仿宋_GB2312"/>
              <w:b w:val="0"/>
              <w:bCs w:val="0"/>
              <w:sz w:val="24"/>
              <w:szCs w:val="24"/>
            </w:rPr>
            <w:fldChar w:fldCharType="end"/>
          </w:r>
          <w:r>
            <w:rPr>
              <w:rFonts w:hint="eastAsia" w:ascii="仿宋_GB2312" w:hAnsi="仿宋_GB2312" w:eastAsia="仿宋_GB2312" w:cs="仿宋_GB2312"/>
              <w:b w:val="0"/>
              <w:bCs w:val="0"/>
              <w:sz w:val="24"/>
              <w:szCs w:val="24"/>
            </w:rPr>
            <w:fldChar w:fldCharType="end"/>
          </w:r>
        </w:p>
        <w:p w14:paraId="7D1EBA45">
          <w:pPr>
            <w:pStyle w:val="4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HYPERLINK \l _Toc4623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九、 国有资本经营预算支出决算情况说明</w:t>
          </w:r>
          <w:r>
            <w:rPr>
              <w:rFonts w:hint="eastAsia" w:ascii="仿宋_GB2312" w:hAnsi="仿宋_GB2312" w:eastAsia="仿宋_GB2312" w:cs="仿宋_GB2312"/>
              <w:b w:val="0"/>
              <w:bCs w:val="0"/>
              <w:sz w:val="24"/>
              <w:szCs w:val="24"/>
            </w:rPr>
            <w:tab/>
          </w: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PAGEREF _Toc4623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11</w:t>
          </w:r>
          <w:r>
            <w:rPr>
              <w:rFonts w:hint="eastAsia" w:ascii="仿宋_GB2312" w:hAnsi="仿宋_GB2312" w:eastAsia="仿宋_GB2312" w:cs="仿宋_GB2312"/>
              <w:b w:val="0"/>
              <w:bCs w:val="0"/>
              <w:sz w:val="24"/>
              <w:szCs w:val="24"/>
            </w:rPr>
            <w:fldChar w:fldCharType="end"/>
          </w:r>
          <w:r>
            <w:rPr>
              <w:rFonts w:hint="eastAsia" w:ascii="仿宋_GB2312" w:hAnsi="仿宋_GB2312" w:eastAsia="仿宋_GB2312" w:cs="仿宋_GB2312"/>
              <w:b w:val="0"/>
              <w:bCs w:val="0"/>
              <w:sz w:val="24"/>
              <w:szCs w:val="24"/>
            </w:rPr>
            <w:fldChar w:fldCharType="end"/>
          </w:r>
        </w:p>
        <w:p w14:paraId="725C82A1">
          <w:pPr>
            <w:pStyle w:val="4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HYPERLINK \l _Toc14887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十、 其他重要事项的情况说明</w:t>
          </w:r>
          <w:r>
            <w:rPr>
              <w:rFonts w:hint="eastAsia" w:ascii="仿宋_GB2312" w:hAnsi="仿宋_GB2312" w:eastAsia="仿宋_GB2312" w:cs="仿宋_GB2312"/>
              <w:b w:val="0"/>
              <w:bCs w:val="0"/>
              <w:sz w:val="24"/>
              <w:szCs w:val="24"/>
            </w:rPr>
            <w:tab/>
          </w: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PAGEREF _Toc14887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11</w:t>
          </w:r>
          <w:r>
            <w:rPr>
              <w:rFonts w:hint="eastAsia" w:ascii="仿宋_GB2312" w:hAnsi="仿宋_GB2312" w:eastAsia="仿宋_GB2312" w:cs="仿宋_GB2312"/>
              <w:b w:val="0"/>
              <w:bCs w:val="0"/>
              <w:sz w:val="24"/>
              <w:szCs w:val="24"/>
            </w:rPr>
            <w:fldChar w:fldCharType="end"/>
          </w:r>
          <w:r>
            <w:rPr>
              <w:rFonts w:hint="eastAsia" w:ascii="仿宋_GB2312" w:hAnsi="仿宋_GB2312" w:eastAsia="仿宋_GB2312" w:cs="仿宋_GB2312"/>
              <w:b w:val="0"/>
              <w:bCs w:val="0"/>
              <w:sz w:val="24"/>
              <w:szCs w:val="24"/>
            </w:rPr>
            <w:fldChar w:fldCharType="end"/>
          </w:r>
        </w:p>
        <w:p w14:paraId="094ABD66">
          <w:pPr>
            <w:pStyle w:val="40"/>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_Toc26471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lang w:eastAsia="zh-CN"/>
            </w:rPr>
            <w:t>第三部分</w:t>
          </w:r>
          <w:r>
            <w:rPr>
              <w:rFonts w:hint="eastAsia" w:ascii="黑体" w:hAnsi="黑体" w:eastAsia="黑体" w:cs="黑体"/>
              <w:b w:val="0"/>
              <w:bCs w:val="0"/>
              <w:sz w:val="24"/>
              <w:szCs w:val="24"/>
              <w:lang w:val="en-US" w:eastAsia="zh-CN"/>
            </w:rPr>
            <w:t xml:space="preserve"> </w:t>
          </w:r>
          <w:r>
            <w:rPr>
              <w:rFonts w:hint="eastAsia" w:ascii="黑体" w:hAnsi="黑体" w:eastAsia="黑体" w:cs="黑体"/>
              <w:b w:val="0"/>
              <w:bCs w:val="0"/>
              <w:sz w:val="24"/>
              <w:szCs w:val="24"/>
            </w:rPr>
            <w:t>名词解释</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_Toc26471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15</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14:paraId="465C4D4C">
          <w:pPr>
            <w:pStyle w:val="40"/>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_Toc31237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第四部分 附件</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_Toc31237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18</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14:paraId="351F0FE0">
          <w:pPr>
            <w:pStyle w:val="40"/>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_Toc15291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第五部分 附表</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_Toc15291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58</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14:paraId="24844313">
          <w:pPr>
            <w:pStyle w:val="4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HYPERLINK \l _Toc368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一、收入支出决算总表</w:t>
          </w:r>
          <w:r>
            <w:rPr>
              <w:rFonts w:hint="eastAsia" w:ascii="仿宋_GB2312" w:hAnsi="仿宋_GB2312" w:eastAsia="仿宋_GB2312" w:cs="仿宋_GB2312"/>
              <w:b w:val="0"/>
              <w:bCs w:val="0"/>
              <w:sz w:val="24"/>
              <w:szCs w:val="24"/>
            </w:rPr>
            <w:tab/>
          </w: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PAGEREF _Toc368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58</w:t>
          </w:r>
          <w:r>
            <w:rPr>
              <w:rFonts w:hint="eastAsia" w:ascii="仿宋_GB2312" w:hAnsi="仿宋_GB2312" w:eastAsia="仿宋_GB2312" w:cs="仿宋_GB2312"/>
              <w:b w:val="0"/>
              <w:bCs w:val="0"/>
              <w:sz w:val="24"/>
              <w:szCs w:val="24"/>
            </w:rPr>
            <w:fldChar w:fldCharType="end"/>
          </w:r>
          <w:r>
            <w:rPr>
              <w:rFonts w:hint="eastAsia" w:ascii="仿宋_GB2312" w:hAnsi="仿宋_GB2312" w:eastAsia="仿宋_GB2312" w:cs="仿宋_GB2312"/>
              <w:b w:val="0"/>
              <w:bCs w:val="0"/>
              <w:sz w:val="24"/>
              <w:szCs w:val="24"/>
            </w:rPr>
            <w:fldChar w:fldCharType="end"/>
          </w:r>
        </w:p>
        <w:p w14:paraId="349C75D6">
          <w:pPr>
            <w:pStyle w:val="4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HYPERLINK \l _Toc24530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二、收入决算表</w:t>
          </w:r>
          <w:r>
            <w:rPr>
              <w:rFonts w:hint="eastAsia" w:ascii="仿宋_GB2312" w:hAnsi="仿宋_GB2312" w:eastAsia="仿宋_GB2312" w:cs="仿宋_GB2312"/>
              <w:b w:val="0"/>
              <w:bCs w:val="0"/>
              <w:sz w:val="24"/>
              <w:szCs w:val="24"/>
            </w:rPr>
            <w:tab/>
          </w: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PAGEREF _Toc24530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58</w:t>
          </w:r>
          <w:r>
            <w:rPr>
              <w:rFonts w:hint="eastAsia" w:ascii="仿宋_GB2312" w:hAnsi="仿宋_GB2312" w:eastAsia="仿宋_GB2312" w:cs="仿宋_GB2312"/>
              <w:b w:val="0"/>
              <w:bCs w:val="0"/>
              <w:sz w:val="24"/>
              <w:szCs w:val="24"/>
            </w:rPr>
            <w:fldChar w:fldCharType="end"/>
          </w:r>
          <w:r>
            <w:rPr>
              <w:rFonts w:hint="eastAsia" w:ascii="仿宋_GB2312" w:hAnsi="仿宋_GB2312" w:eastAsia="仿宋_GB2312" w:cs="仿宋_GB2312"/>
              <w:b w:val="0"/>
              <w:bCs w:val="0"/>
              <w:sz w:val="24"/>
              <w:szCs w:val="24"/>
            </w:rPr>
            <w:fldChar w:fldCharType="end"/>
          </w:r>
        </w:p>
        <w:p w14:paraId="3E7908F5">
          <w:pPr>
            <w:pStyle w:val="4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HYPERLINK \l _Toc5208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三、支出决算表</w:t>
          </w:r>
          <w:r>
            <w:rPr>
              <w:rFonts w:hint="eastAsia" w:ascii="仿宋_GB2312" w:hAnsi="仿宋_GB2312" w:eastAsia="仿宋_GB2312" w:cs="仿宋_GB2312"/>
              <w:b w:val="0"/>
              <w:bCs w:val="0"/>
              <w:sz w:val="24"/>
              <w:szCs w:val="24"/>
            </w:rPr>
            <w:tab/>
          </w: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PAGEREF _Toc5208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58</w:t>
          </w:r>
          <w:r>
            <w:rPr>
              <w:rFonts w:hint="eastAsia" w:ascii="仿宋_GB2312" w:hAnsi="仿宋_GB2312" w:eastAsia="仿宋_GB2312" w:cs="仿宋_GB2312"/>
              <w:b w:val="0"/>
              <w:bCs w:val="0"/>
              <w:sz w:val="24"/>
              <w:szCs w:val="24"/>
            </w:rPr>
            <w:fldChar w:fldCharType="end"/>
          </w:r>
          <w:r>
            <w:rPr>
              <w:rFonts w:hint="eastAsia" w:ascii="仿宋_GB2312" w:hAnsi="仿宋_GB2312" w:eastAsia="仿宋_GB2312" w:cs="仿宋_GB2312"/>
              <w:b w:val="0"/>
              <w:bCs w:val="0"/>
              <w:sz w:val="24"/>
              <w:szCs w:val="24"/>
            </w:rPr>
            <w:fldChar w:fldCharType="end"/>
          </w:r>
        </w:p>
        <w:p w14:paraId="31D1E470">
          <w:pPr>
            <w:pStyle w:val="4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HYPERLINK \l _Toc11573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四、财政拨款收入支出决算总表</w:t>
          </w:r>
          <w:r>
            <w:rPr>
              <w:rFonts w:hint="eastAsia" w:ascii="仿宋_GB2312" w:hAnsi="仿宋_GB2312" w:eastAsia="仿宋_GB2312" w:cs="仿宋_GB2312"/>
              <w:b w:val="0"/>
              <w:bCs w:val="0"/>
              <w:sz w:val="24"/>
              <w:szCs w:val="24"/>
            </w:rPr>
            <w:tab/>
          </w: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PAGEREF _Toc11573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58</w:t>
          </w:r>
          <w:r>
            <w:rPr>
              <w:rFonts w:hint="eastAsia" w:ascii="仿宋_GB2312" w:hAnsi="仿宋_GB2312" w:eastAsia="仿宋_GB2312" w:cs="仿宋_GB2312"/>
              <w:b w:val="0"/>
              <w:bCs w:val="0"/>
              <w:sz w:val="24"/>
              <w:szCs w:val="24"/>
            </w:rPr>
            <w:fldChar w:fldCharType="end"/>
          </w:r>
          <w:r>
            <w:rPr>
              <w:rFonts w:hint="eastAsia" w:ascii="仿宋_GB2312" w:hAnsi="仿宋_GB2312" w:eastAsia="仿宋_GB2312" w:cs="仿宋_GB2312"/>
              <w:b w:val="0"/>
              <w:bCs w:val="0"/>
              <w:sz w:val="24"/>
              <w:szCs w:val="24"/>
            </w:rPr>
            <w:fldChar w:fldCharType="end"/>
          </w:r>
        </w:p>
        <w:p w14:paraId="196592E9">
          <w:pPr>
            <w:pStyle w:val="4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HYPERLINK \l _Toc3839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五、财政拨款支出决算明细表</w:t>
          </w:r>
          <w:r>
            <w:rPr>
              <w:rFonts w:hint="eastAsia" w:ascii="仿宋_GB2312" w:hAnsi="仿宋_GB2312" w:eastAsia="仿宋_GB2312" w:cs="仿宋_GB2312"/>
              <w:b w:val="0"/>
              <w:bCs w:val="0"/>
              <w:sz w:val="24"/>
              <w:szCs w:val="24"/>
            </w:rPr>
            <w:tab/>
          </w: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PAGEREF _Toc3839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58</w:t>
          </w:r>
          <w:r>
            <w:rPr>
              <w:rFonts w:hint="eastAsia" w:ascii="仿宋_GB2312" w:hAnsi="仿宋_GB2312" w:eastAsia="仿宋_GB2312" w:cs="仿宋_GB2312"/>
              <w:b w:val="0"/>
              <w:bCs w:val="0"/>
              <w:sz w:val="24"/>
              <w:szCs w:val="24"/>
            </w:rPr>
            <w:fldChar w:fldCharType="end"/>
          </w:r>
          <w:r>
            <w:rPr>
              <w:rFonts w:hint="eastAsia" w:ascii="仿宋_GB2312" w:hAnsi="仿宋_GB2312" w:eastAsia="仿宋_GB2312" w:cs="仿宋_GB2312"/>
              <w:b w:val="0"/>
              <w:bCs w:val="0"/>
              <w:sz w:val="24"/>
              <w:szCs w:val="24"/>
            </w:rPr>
            <w:fldChar w:fldCharType="end"/>
          </w:r>
        </w:p>
        <w:p w14:paraId="130432AA">
          <w:pPr>
            <w:pStyle w:val="4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HYPERLINK \l _Toc13681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六、一般公共预算财政拨款支出决算表</w:t>
          </w:r>
          <w:r>
            <w:rPr>
              <w:rFonts w:hint="eastAsia" w:ascii="仿宋_GB2312" w:hAnsi="仿宋_GB2312" w:eastAsia="仿宋_GB2312" w:cs="仿宋_GB2312"/>
              <w:b w:val="0"/>
              <w:bCs w:val="0"/>
              <w:sz w:val="24"/>
              <w:szCs w:val="24"/>
            </w:rPr>
            <w:tab/>
          </w: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PAGEREF _Toc13681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58</w:t>
          </w:r>
          <w:r>
            <w:rPr>
              <w:rFonts w:hint="eastAsia" w:ascii="仿宋_GB2312" w:hAnsi="仿宋_GB2312" w:eastAsia="仿宋_GB2312" w:cs="仿宋_GB2312"/>
              <w:b w:val="0"/>
              <w:bCs w:val="0"/>
              <w:sz w:val="24"/>
              <w:szCs w:val="24"/>
            </w:rPr>
            <w:fldChar w:fldCharType="end"/>
          </w:r>
          <w:r>
            <w:rPr>
              <w:rFonts w:hint="eastAsia" w:ascii="仿宋_GB2312" w:hAnsi="仿宋_GB2312" w:eastAsia="仿宋_GB2312" w:cs="仿宋_GB2312"/>
              <w:b w:val="0"/>
              <w:bCs w:val="0"/>
              <w:sz w:val="24"/>
              <w:szCs w:val="24"/>
            </w:rPr>
            <w:fldChar w:fldCharType="end"/>
          </w:r>
        </w:p>
        <w:p w14:paraId="37491149">
          <w:pPr>
            <w:pStyle w:val="4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HYPERLINK \l _Toc11225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七、一般公共预算财政拨款支出决算明细表</w:t>
          </w:r>
          <w:r>
            <w:rPr>
              <w:rFonts w:hint="eastAsia" w:ascii="仿宋_GB2312" w:hAnsi="仿宋_GB2312" w:eastAsia="仿宋_GB2312" w:cs="仿宋_GB2312"/>
              <w:b w:val="0"/>
              <w:bCs w:val="0"/>
              <w:sz w:val="24"/>
              <w:szCs w:val="24"/>
            </w:rPr>
            <w:tab/>
          </w: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PAGEREF _Toc11225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58</w:t>
          </w:r>
          <w:r>
            <w:rPr>
              <w:rFonts w:hint="eastAsia" w:ascii="仿宋_GB2312" w:hAnsi="仿宋_GB2312" w:eastAsia="仿宋_GB2312" w:cs="仿宋_GB2312"/>
              <w:b w:val="0"/>
              <w:bCs w:val="0"/>
              <w:sz w:val="24"/>
              <w:szCs w:val="24"/>
            </w:rPr>
            <w:fldChar w:fldCharType="end"/>
          </w:r>
          <w:r>
            <w:rPr>
              <w:rFonts w:hint="eastAsia" w:ascii="仿宋_GB2312" w:hAnsi="仿宋_GB2312" w:eastAsia="仿宋_GB2312" w:cs="仿宋_GB2312"/>
              <w:b w:val="0"/>
              <w:bCs w:val="0"/>
              <w:sz w:val="24"/>
              <w:szCs w:val="24"/>
            </w:rPr>
            <w:fldChar w:fldCharType="end"/>
          </w:r>
        </w:p>
        <w:p w14:paraId="46DFFEEE">
          <w:pPr>
            <w:pStyle w:val="4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HYPERLINK \l _Toc25567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八、一般公共预算财政拨款基本支出决算表</w:t>
          </w:r>
          <w:r>
            <w:rPr>
              <w:rFonts w:hint="eastAsia" w:ascii="仿宋_GB2312" w:hAnsi="仿宋_GB2312" w:eastAsia="仿宋_GB2312" w:cs="仿宋_GB2312"/>
              <w:b w:val="0"/>
              <w:bCs w:val="0"/>
              <w:sz w:val="24"/>
              <w:szCs w:val="24"/>
            </w:rPr>
            <w:tab/>
          </w: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PAGEREF _Toc25567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58</w:t>
          </w:r>
          <w:r>
            <w:rPr>
              <w:rFonts w:hint="eastAsia" w:ascii="仿宋_GB2312" w:hAnsi="仿宋_GB2312" w:eastAsia="仿宋_GB2312" w:cs="仿宋_GB2312"/>
              <w:b w:val="0"/>
              <w:bCs w:val="0"/>
              <w:sz w:val="24"/>
              <w:szCs w:val="24"/>
            </w:rPr>
            <w:fldChar w:fldCharType="end"/>
          </w:r>
          <w:r>
            <w:rPr>
              <w:rFonts w:hint="eastAsia" w:ascii="仿宋_GB2312" w:hAnsi="仿宋_GB2312" w:eastAsia="仿宋_GB2312" w:cs="仿宋_GB2312"/>
              <w:b w:val="0"/>
              <w:bCs w:val="0"/>
              <w:sz w:val="24"/>
              <w:szCs w:val="24"/>
            </w:rPr>
            <w:fldChar w:fldCharType="end"/>
          </w:r>
        </w:p>
        <w:p w14:paraId="614435F1">
          <w:pPr>
            <w:pStyle w:val="4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HYPERLINK \l _Toc8387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九、一般公共预算财政拨款项目支出决算表</w:t>
          </w:r>
          <w:r>
            <w:rPr>
              <w:rFonts w:hint="eastAsia" w:ascii="仿宋_GB2312" w:hAnsi="仿宋_GB2312" w:eastAsia="仿宋_GB2312" w:cs="仿宋_GB2312"/>
              <w:b w:val="0"/>
              <w:bCs w:val="0"/>
              <w:sz w:val="24"/>
              <w:szCs w:val="24"/>
            </w:rPr>
            <w:tab/>
          </w: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PAGEREF _Toc8387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58</w:t>
          </w:r>
          <w:r>
            <w:rPr>
              <w:rFonts w:hint="eastAsia" w:ascii="仿宋_GB2312" w:hAnsi="仿宋_GB2312" w:eastAsia="仿宋_GB2312" w:cs="仿宋_GB2312"/>
              <w:b w:val="0"/>
              <w:bCs w:val="0"/>
              <w:sz w:val="24"/>
              <w:szCs w:val="24"/>
            </w:rPr>
            <w:fldChar w:fldCharType="end"/>
          </w:r>
          <w:r>
            <w:rPr>
              <w:rFonts w:hint="eastAsia" w:ascii="仿宋_GB2312" w:hAnsi="仿宋_GB2312" w:eastAsia="仿宋_GB2312" w:cs="仿宋_GB2312"/>
              <w:b w:val="0"/>
              <w:bCs w:val="0"/>
              <w:sz w:val="24"/>
              <w:szCs w:val="24"/>
            </w:rPr>
            <w:fldChar w:fldCharType="end"/>
          </w:r>
        </w:p>
        <w:p w14:paraId="11409073">
          <w:pPr>
            <w:pStyle w:val="4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HYPERLINK \l _Toc22307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十、政府性基金预算财政拨款收入支出决算表</w:t>
          </w:r>
          <w:r>
            <w:rPr>
              <w:rFonts w:hint="eastAsia" w:ascii="仿宋_GB2312" w:hAnsi="仿宋_GB2312" w:eastAsia="仿宋_GB2312" w:cs="仿宋_GB2312"/>
              <w:b w:val="0"/>
              <w:bCs w:val="0"/>
              <w:sz w:val="24"/>
              <w:szCs w:val="24"/>
            </w:rPr>
            <w:tab/>
          </w: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PAGEREF _Toc22307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58</w:t>
          </w:r>
          <w:r>
            <w:rPr>
              <w:rFonts w:hint="eastAsia" w:ascii="仿宋_GB2312" w:hAnsi="仿宋_GB2312" w:eastAsia="仿宋_GB2312" w:cs="仿宋_GB2312"/>
              <w:b w:val="0"/>
              <w:bCs w:val="0"/>
              <w:sz w:val="24"/>
              <w:szCs w:val="24"/>
            </w:rPr>
            <w:fldChar w:fldCharType="end"/>
          </w:r>
          <w:r>
            <w:rPr>
              <w:rFonts w:hint="eastAsia" w:ascii="仿宋_GB2312" w:hAnsi="仿宋_GB2312" w:eastAsia="仿宋_GB2312" w:cs="仿宋_GB2312"/>
              <w:b w:val="0"/>
              <w:bCs w:val="0"/>
              <w:sz w:val="24"/>
              <w:szCs w:val="24"/>
            </w:rPr>
            <w:fldChar w:fldCharType="end"/>
          </w:r>
        </w:p>
        <w:p w14:paraId="078A7B2F">
          <w:pPr>
            <w:pStyle w:val="4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HYPERLINK \l _Toc22795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十一、国有资本经营预算财政拨款收入支出决算表</w:t>
          </w:r>
          <w:r>
            <w:rPr>
              <w:rFonts w:hint="eastAsia" w:ascii="仿宋_GB2312" w:hAnsi="仿宋_GB2312" w:eastAsia="仿宋_GB2312" w:cs="仿宋_GB2312"/>
              <w:b w:val="0"/>
              <w:bCs w:val="0"/>
              <w:sz w:val="24"/>
              <w:szCs w:val="24"/>
            </w:rPr>
            <w:tab/>
          </w: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PAGEREF _Toc22795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58</w:t>
          </w:r>
          <w:r>
            <w:rPr>
              <w:rFonts w:hint="eastAsia" w:ascii="仿宋_GB2312" w:hAnsi="仿宋_GB2312" w:eastAsia="仿宋_GB2312" w:cs="仿宋_GB2312"/>
              <w:b w:val="0"/>
              <w:bCs w:val="0"/>
              <w:sz w:val="24"/>
              <w:szCs w:val="24"/>
            </w:rPr>
            <w:fldChar w:fldCharType="end"/>
          </w:r>
          <w:r>
            <w:rPr>
              <w:rFonts w:hint="eastAsia" w:ascii="仿宋_GB2312" w:hAnsi="仿宋_GB2312" w:eastAsia="仿宋_GB2312" w:cs="仿宋_GB2312"/>
              <w:b w:val="0"/>
              <w:bCs w:val="0"/>
              <w:sz w:val="24"/>
              <w:szCs w:val="24"/>
            </w:rPr>
            <w:fldChar w:fldCharType="end"/>
          </w:r>
        </w:p>
        <w:p w14:paraId="518F437E">
          <w:pPr>
            <w:pStyle w:val="4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HYPERLINK \l _Toc24491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十二、国有资本经营预算财政拨款支出决算表</w:t>
          </w:r>
          <w:r>
            <w:rPr>
              <w:rFonts w:hint="eastAsia" w:ascii="仿宋_GB2312" w:hAnsi="仿宋_GB2312" w:eastAsia="仿宋_GB2312" w:cs="仿宋_GB2312"/>
              <w:b w:val="0"/>
              <w:bCs w:val="0"/>
              <w:sz w:val="24"/>
              <w:szCs w:val="24"/>
            </w:rPr>
            <w:tab/>
          </w: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PAGEREF _Toc24491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58</w:t>
          </w:r>
          <w:r>
            <w:rPr>
              <w:rFonts w:hint="eastAsia" w:ascii="仿宋_GB2312" w:hAnsi="仿宋_GB2312" w:eastAsia="仿宋_GB2312" w:cs="仿宋_GB2312"/>
              <w:b w:val="0"/>
              <w:bCs w:val="0"/>
              <w:sz w:val="24"/>
              <w:szCs w:val="24"/>
            </w:rPr>
            <w:fldChar w:fldCharType="end"/>
          </w:r>
          <w:r>
            <w:rPr>
              <w:rFonts w:hint="eastAsia" w:ascii="仿宋_GB2312" w:hAnsi="仿宋_GB2312" w:eastAsia="仿宋_GB2312" w:cs="仿宋_GB2312"/>
              <w:b w:val="0"/>
              <w:bCs w:val="0"/>
              <w:sz w:val="24"/>
              <w:szCs w:val="24"/>
            </w:rPr>
            <w:fldChar w:fldCharType="end"/>
          </w:r>
        </w:p>
        <w:p w14:paraId="42B6D9A1">
          <w:pPr>
            <w:pStyle w:val="4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HYPERLINK \l _Toc29812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十三、财政拨款“三公”经费支出决算表</w:t>
          </w:r>
          <w:r>
            <w:rPr>
              <w:rFonts w:hint="eastAsia" w:ascii="仿宋_GB2312" w:hAnsi="仿宋_GB2312" w:eastAsia="仿宋_GB2312" w:cs="仿宋_GB2312"/>
              <w:b w:val="0"/>
              <w:bCs w:val="0"/>
              <w:sz w:val="24"/>
              <w:szCs w:val="24"/>
            </w:rPr>
            <w:tab/>
          </w: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PAGEREF _Toc29812 </w:instrText>
          </w:r>
          <w:r>
            <w:rPr>
              <w:rFonts w:hint="eastAsia" w:ascii="仿宋_GB2312" w:hAnsi="仿宋_GB2312" w:eastAsia="仿宋_GB2312" w:cs="仿宋_GB2312"/>
              <w:b w:val="0"/>
              <w:bCs w:val="0"/>
              <w:sz w:val="24"/>
              <w:szCs w:val="24"/>
            </w:rPr>
            <w:fldChar w:fldCharType="separate"/>
          </w:r>
          <w:r>
            <w:rPr>
              <w:rFonts w:hint="eastAsia" w:ascii="仿宋_GB2312" w:hAnsi="仿宋_GB2312" w:eastAsia="仿宋_GB2312" w:cs="仿宋_GB2312"/>
              <w:b w:val="0"/>
              <w:bCs w:val="0"/>
              <w:sz w:val="24"/>
              <w:szCs w:val="24"/>
            </w:rPr>
            <w:t>58</w:t>
          </w:r>
          <w:r>
            <w:rPr>
              <w:rFonts w:hint="eastAsia" w:ascii="仿宋_GB2312" w:hAnsi="仿宋_GB2312" w:eastAsia="仿宋_GB2312" w:cs="仿宋_GB2312"/>
              <w:b w:val="0"/>
              <w:bCs w:val="0"/>
              <w:sz w:val="24"/>
              <w:szCs w:val="24"/>
            </w:rPr>
            <w:fldChar w:fldCharType="end"/>
          </w:r>
          <w:r>
            <w:rPr>
              <w:rFonts w:hint="eastAsia" w:ascii="仿宋_GB2312" w:hAnsi="仿宋_GB2312" w:eastAsia="仿宋_GB2312" w:cs="仿宋_GB2312"/>
              <w:b w:val="0"/>
              <w:bCs w:val="0"/>
              <w:sz w:val="24"/>
              <w:szCs w:val="24"/>
            </w:rPr>
            <w:fldChar w:fldCharType="end"/>
          </w:r>
        </w:p>
        <w:p w14:paraId="4589AAAE">
          <w:pPr>
            <w:keepNext w:val="0"/>
            <w:keepLines w:val="0"/>
            <w:pageBreakBefore w:val="0"/>
            <w:widowControl w:val="0"/>
            <w:kinsoku/>
            <w:wordWrap/>
            <w:overflowPunct/>
            <w:topLinePunct w:val="0"/>
            <w:autoSpaceDE/>
            <w:autoSpaceDN/>
            <w:bidi w:val="0"/>
            <w:adjustRightInd/>
            <w:snapToGrid/>
            <w:spacing w:line="20" w:lineRule="exact"/>
            <w:textAlignment w:val="auto"/>
          </w:pPr>
          <w:r>
            <w:rPr>
              <w:rFonts w:hint="eastAsia" w:ascii="仿宋_GB2312" w:hAnsi="仿宋_GB2312" w:eastAsia="仿宋_GB2312" w:cs="仿宋_GB2312"/>
              <w:b w:val="0"/>
              <w:bCs w:val="0"/>
              <w:sz w:val="24"/>
              <w:szCs w:val="24"/>
            </w:rPr>
            <w:fldChar w:fldCharType="end"/>
          </w:r>
          <w:bookmarkStart w:id="15" w:name="_Toc18414"/>
          <w:bookmarkStart w:id="16" w:name="_Toc15377196"/>
          <w:bookmarkStart w:id="17" w:name="_Toc15396599"/>
        </w:p>
      </w:sdtContent>
    </w:sdt>
    <w:p w14:paraId="72CE6E82">
      <w:pPr>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第一部分 部门概况</w:t>
      </w:r>
      <w:bookmarkEnd w:id="15"/>
      <w:bookmarkEnd w:id="16"/>
      <w:bookmarkEnd w:id="17"/>
    </w:p>
    <w:p w14:paraId="6E996A96"/>
    <w:p w14:paraId="13EEE831">
      <w:pPr>
        <w:ind w:firstLine="640" w:firstLineChars="200"/>
        <w:rPr>
          <w:rFonts w:hint="eastAsia" w:ascii="黑体" w:hAnsi="黑体" w:eastAsia="黑体" w:cs="黑体"/>
          <w:sz w:val="32"/>
          <w:szCs w:val="32"/>
        </w:rPr>
      </w:pPr>
      <w:bookmarkStart w:id="18" w:name="_Toc16071"/>
      <w:r>
        <w:rPr>
          <w:rFonts w:hint="eastAsia" w:ascii="黑体" w:hAnsi="黑体" w:eastAsia="黑体" w:cs="黑体"/>
          <w:sz w:val="32"/>
          <w:szCs w:val="32"/>
          <w:lang w:eastAsia="zh-CN"/>
        </w:rPr>
        <w:t>一、</w:t>
      </w:r>
      <w:r>
        <w:rPr>
          <w:rFonts w:hint="eastAsia" w:ascii="黑体" w:hAnsi="黑体" w:eastAsia="黑体" w:cs="黑体"/>
          <w:sz w:val="32"/>
          <w:szCs w:val="32"/>
        </w:rPr>
        <w:t>部门职责</w:t>
      </w:r>
      <w:bookmarkEnd w:id="18"/>
    </w:p>
    <w:p w14:paraId="06F87171">
      <w:pPr>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市财政局基本职能为贯彻执行国家、省财税方面的方针、政策和法律、法规，按照管理权限管理全市税政事项，拟订全市财税（含财政、预算、税收、非税收入、财务、会计、国有资产等）发展战略、规划、政策和改革方案并组织实施，分析预测宏观经济形势，参与制定各项宏观经济政策。承担各项财政收支管理的责任，按规定开展国库现金管理工作。负责制定政府采购制度，监督管理全市政府采购工作。组织实施企业财务制度。负责管理政府债务，防范财政风险。负责管理全市的会计工作，组织和管理全市财政业务培训，监督和规范会计行为，协助指导和管理社会审计。依法查处违反财经法纪的行为。</w:t>
      </w:r>
    </w:p>
    <w:p w14:paraId="4DB68D7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bookmarkStart w:id="19" w:name="_Toc30915"/>
      <w:bookmarkStart w:id="20" w:name="_Toc15396601"/>
      <w:bookmarkStart w:id="21" w:name="_Toc15377200"/>
      <w:r>
        <w:rPr>
          <w:rFonts w:hint="eastAsia" w:ascii="黑体" w:hAnsi="黑体" w:eastAsia="黑体" w:cs="黑体"/>
          <w:sz w:val="32"/>
          <w:szCs w:val="32"/>
        </w:rPr>
        <w:t>二、机构设置</w:t>
      </w:r>
      <w:bookmarkEnd w:id="19"/>
      <w:bookmarkEnd w:id="20"/>
      <w:bookmarkEnd w:id="21"/>
    </w:p>
    <w:p w14:paraId="655ABA7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峨眉山市财政局</w:t>
      </w:r>
      <w:r>
        <w:rPr>
          <w:rFonts w:hint="eastAsia" w:ascii="仿宋_GB2312" w:hAnsi="仿宋_GB2312" w:eastAsia="仿宋_GB2312" w:cs="仿宋_GB2312"/>
          <w:sz w:val="32"/>
          <w:szCs w:val="32"/>
        </w:rPr>
        <w:t>下属二级预算单位</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个，其中行政单位</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个，参照公务员法管理的事业单位</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个，其他事业单位</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个。</w:t>
      </w:r>
    </w:p>
    <w:p w14:paraId="13EB114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纳入</w:t>
      </w:r>
      <w:r>
        <w:rPr>
          <w:rFonts w:hint="eastAsia" w:ascii="仿宋_GB2312" w:hAnsi="仿宋_GB2312" w:eastAsia="仿宋_GB2312" w:cs="仿宋_GB2312"/>
          <w:sz w:val="32"/>
          <w:szCs w:val="32"/>
          <w:lang w:val="en-US" w:eastAsia="zh-CN"/>
        </w:rPr>
        <w:t>峨眉山市财政局</w:t>
      </w:r>
      <w:r>
        <w:rPr>
          <w:rFonts w:hint="eastAsia" w:ascii="仿宋_GB2312" w:hAnsi="仿宋_GB2312" w:eastAsia="仿宋_GB2312" w:cs="仿宋_GB2312"/>
          <w:sz w:val="32"/>
          <w:szCs w:val="32"/>
        </w:rPr>
        <w:t>2022年度部门决算编制范围的二级预算单位包括：</w:t>
      </w:r>
    </w:p>
    <w:p w14:paraId="37129F1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（一）峨眉山市财政局（本级）</w:t>
      </w:r>
    </w:p>
    <w:p w14:paraId="7CB3F9F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（二）峨眉山市财政服务中心</w:t>
      </w:r>
    </w:p>
    <w:p w14:paraId="6D09720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（三）峨眉山市财政投资评审中心</w:t>
      </w:r>
    </w:p>
    <w:p w14:paraId="18C114F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（四）峨眉山市会计服务中心</w:t>
      </w:r>
    </w:p>
    <w:p w14:paraId="7BFEE121">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315BEEB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rPr>
      </w:pPr>
      <w:bookmarkStart w:id="22" w:name="_Toc15396602"/>
      <w:bookmarkStart w:id="23" w:name="_Toc29289"/>
      <w:bookmarkStart w:id="24" w:name="_Toc15377204"/>
      <w:r>
        <w:rPr>
          <w:rFonts w:hint="eastAsia" w:ascii="方正小标宋_GBK" w:hAnsi="方正小标宋_GBK" w:eastAsia="方正小标宋_GBK" w:cs="方正小标宋_GBK"/>
          <w:sz w:val="44"/>
          <w:szCs w:val="44"/>
        </w:rPr>
        <w:t>第二部分 2022年度部门决算情况说明</w:t>
      </w:r>
      <w:bookmarkEnd w:id="22"/>
      <w:bookmarkEnd w:id="23"/>
      <w:bookmarkEnd w:id="24"/>
    </w:p>
    <w:p w14:paraId="60F8F2FA">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7F7296E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rPr>
      </w:pPr>
      <w:bookmarkStart w:id="25" w:name="_Toc17685"/>
      <w:bookmarkStart w:id="26" w:name="_Toc15396603"/>
      <w:bookmarkStart w:id="27" w:name="_Toc15377205"/>
      <w:r>
        <w:rPr>
          <w:rFonts w:hint="eastAsia" w:ascii="黑体" w:hAnsi="黑体" w:eastAsia="黑体" w:cs="黑体"/>
          <w:b w:val="0"/>
          <w:bCs w:val="0"/>
          <w:sz w:val="32"/>
          <w:szCs w:val="32"/>
          <w:lang w:eastAsia="zh-CN"/>
        </w:rPr>
        <w:t>一、</w:t>
      </w:r>
      <w:r>
        <w:rPr>
          <w:rFonts w:hint="eastAsia" w:ascii="黑体" w:hAnsi="黑体" w:eastAsia="黑体" w:cs="黑体"/>
          <w:b w:val="0"/>
          <w:bCs w:val="0"/>
          <w:sz w:val="32"/>
          <w:szCs w:val="32"/>
        </w:rPr>
        <w:t>收入支出决算总体情况说明</w:t>
      </w:r>
      <w:bookmarkEnd w:id="25"/>
      <w:bookmarkEnd w:id="26"/>
      <w:bookmarkEnd w:id="27"/>
    </w:p>
    <w:p w14:paraId="46C51CA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2022年度收、支</w:t>
      </w:r>
      <w:r>
        <w:rPr>
          <w:rFonts w:hint="eastAsia" w:ascii="仿宋_GB2312" w:hAnsi="仿宋_GB2312" w:eastAsia="仿宋_GB2312" w:cs="仿宋_GB2312"/>
          <w:sz w:val="32"/>
          <w:szCs w:val="32"/>
          <w:lang w:val="en-US" w:eastAsia="zh-CN"/>
        </w:rPr>
        <w:t>各</w:t>
      </w:r>
      <w:r>
        <w:rPr>
          <w:rFonts w:hint="eastAsia" w:ascii="仿宋_GB2312" w:hAnsi="仿宋_GB2312" w:eastAsia="仿宋_GB2312" w:cs="仿宋_GB2312"/>
          <w:sz w:val="32"/>
          <w:szCs w:val="32"/>
        </w:rPr>
        <w:t>总计</w:t>
      </w:r>
      <w:r>
        <w:rPr>
          <w:rFonts w:hint="eastAsia" w:ascii="仿宋_GB2312" w:hAnsi="仿宋_GB2312" w:eastAsia="仿宋_GB2312" w:cs="仿宋_GB2312"/>
          <w:sz w:val="32"/>
          <w:szCs w:val="32"/>
          <w:lang w:val="en-US" w:eastAsia="zh-CN"/>
        </w:rPr>
        <w:t>2025.91</w:t>
      </w:r>
      <w:r>
        <w:rPr>
          <w:rFonts w:hint="eastAsia" w:ascii="仿宋_GB2312" w:hAnsi="仿宋_GB2312" w:eastAsia="仿宋_GB2312" w:cs="仿宋_GB2312"/>
          <w:sz w:val="32"/>
          <w:szCs w:val="32"/>
        </w:rPr>
        <w:t>万元。与2021年相比，收、支</w:t>
      </w:r>
      <w:r>
        <w:rPr>
          <w:rFonts w:hint="eastAsia" w:ascii="仿宋_GB2312" w:hAnsi="仿宋_GB2312" w:eastAsia="仿宋_GB2312" w:cs="仿宋_GB2312"/>
          <w:sz w:val="32"/>
          <w:szCs w:val="32"/>
          <w:lang w:val="en-US" w:eastAsia="zh-CN"/>
        </w:rPr>
        <w:t>各</w:t>
      </w:r>
      <w:r>
        <w:rPr>
          <w:rFonts w:hint="eastAsia" w:ascii="仿宋_GB2312" w:hAnsi="仿宋_GB2312" w:eastAsia="仿宋_GB2312" w:cs="仿宋_GB2312"/>
          <w:sz w:val="32"/>
          <w:szCs w:val="32"/>
        </w:rPr>
        <w:t>总计增加</w:t>
      </w:r>
      <w:r>
        <w:rPr>
          <w:rFonts w:hint="eastAsia" w:ascii="仿宋_GB2312" w:hAnsi="仿宋_GB2312" w:eastAsia="仿宋_GB2312" w:cs="仿宋_GB2312"/>
          <w:sz w:val="32"/>
          <w:szCs w:val="32"/>
          <w:lang w:val="en-US" w:eastAsia="zh-CN"/>
        </w:rPr>
        <w:t>67.54</w:t>
      </w:r>
      <w:r>
        <w:rPr>
          <w:rFonts w:hint="eastAsia" w:ascii="仿宋_GB2312" w:hAnsi="仿宋_GB2312" w:eastAsia="仿宋_GB2312" w:cs="仿宋_GB2312"/>
          <w:sz w:val="32"/>
          <w:szCs w:val="32"/>
        </w:rPr>
        <w:t>万元，增长</w:t>
      </w:r>
      <w:r>
        <w:rPr>
          <w:rFonts w:hint="eastAsia" w:ascii="仿宋_GB2312" w:hAnsi="仿宋_GB2312" w:eastAsia="仿宋_GB2312" w:cs="仿宋_GB2312"/>
          <w:sz w:val="32"/>
          <w:szCs w:val="32"/>
          <w:lang w:val="en-US" w:eastAsia="zh-CN"/>
        </w:rPr>
        <w:t>3.45</w:t>
      </w:r>
      <w:r>
        <w:rPr>
          <w:rFonts w:hint="eastAsia" w:ascii="仿宋_GB2312" w:hAnsi="仿宋_GB2312" w:eastAsia="仿宋_GB2312" w:cs="仿宋_GB2312"/>
          <w:sz w:val="32"/>
          <w:szCs w:val="32"/>
        </w:rPr>
        <w:t>%。主要变动原因是</w:t>
      </w:r>
      <w:r>
        <w:rPr>
          <w:rFonts w:hint="eastAsia" w:ascii="仿宋_GB2312" w:hAnsi="仿宋_GB2312" w:eastAsia="仿宋_GB2312" w:cs="仿宋_GB2312"/>
          <w:sz w:val="32"/>
          <w:szCs w:val="32"/>
          <w:lang w:val="en-US" w:eastAsia="zh-CN"/>
        </w:rPr>
        <w:t>有新增人员</w:t>
      </w:r>
      <w:r>
        <w:rPr>
          <w:rFonts w:hint="eastAsia" w:ascii="仿宋_GB2312" w:hAnsi="仿宋_GB2312" w:eastAsia="仿宋_GB2312" w:cs="仿宋_GB2312"/>
          <w:sz w:val="32"/>
          <w:szCs w:val="32"/>
        </w:rPr>
        <w:t>。</w:t>
      </w:r>
    </w:p>
    <w:p w14:paraId="253031CA">
      <w:pPr>
        <w:pStyle w:val="6"/>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sz w:val="32"/>
          <w:szCs w:val="32"/>
        </w:rPr>
      </w:pPr>
      <w:r>
        <w:rPr>
          <w:rFonts w:hint="eastAsia" w:ascii="仿宋" w:hAnsi="仿宋" w:eastAsia="仿宋"/>
          <w:sz w:val="32"/>
          <w:szCs w:val="32"/>
          <w:lang w:eastAsia="zh-CN"/>
        </w:rPr>
        <w:drawing>
          <wp:anchor distT="0" distB="0" distL="114300" distR="114300" simplePos="0" relativeHeight="251659264" behindDoc="0" locked="0" layoutInCell="1" allowOverlap="1">
            <wp:simplePos x="0" y="0"/>
            <wp:positionH relativeFrom="column">
              <wp:posOffset>699770</wp:posOffset>
            </wp:positionH>
            <wp:positionV relativeFrom="paragraph">
              <wp:posOffset>19050</wp:posOffset>
            </wp:positionV>
            <wp:extent cx="4657090" cy="2892425"/>
            <wp:effectExtent l="4445" t="4445" r="5715" b="17780"/>
            <wp:wrapNone/>
            <wp:docPr id="1027"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58EC39AA">
      <w:pPr>
        <w:pStyle w:val="6"/>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sz w:val="32"/>
          <w:szCs w:val="32"/>
        </w:rPr>
      </w:pPr>
    </w:p>
    <w:p w14:paraId="25FB5BBA">
      <w:pPr>
        <w:pStyle w:val="6"/>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sz w:val="32"/>
          <w:szCs w:val="32"/>
        </w:rPr>
      </w:pPr>
    </w:p>
    <w:p w14:paraId="17993E13">
      <w:pPr>
        <w:pStyle w:val="6"/>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sz w:val="32"/>
          <w:szCs w:val="32"/>
        </w:rPr>
      </w:pPr>
    </w:p>
    <w:p w14:paraId="1381C820">
      <w:pPr>
        <w:pStyle w:val="6"/>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sz w:val="32"/>
          <w:szCs w:val="32"/>
        </w:rPr>
      </w:pPr>
    </w:p>
    <w:p w14:paraId="0731C153">
      <w:pPr>
        <w:pStyle w:val="6"/>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sz w:val="32"/>
          <w:szCs w:val="32"/>
        </w:rPr>
      </w:pPr>
    </w:p>
    <w:p w14:paraId="4128C6E9">
      <w:pPr>
        <w:pStyle w:val="6"/>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sz w:val="32"/>
          <w:szCs w:val="32"/>
        </w:rPr>
      </w:pPr>
    </w:p>
    <w:p w14:paraId="1EE7DA3E">
      <w:pPr>
        <w:pStyle w:val="6"/>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sz w:val="32"/>
          <w:szCs w:val="32"/>
        </w:rPr>
      </w:pPr>
    </w:p>
    <w:p w14:paraId="04EE0B07">
      <w:pPr>
        <w:spacing w:line="600" w:lineRule="exact"/>
        <w:jc w:val="center"/>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仿宋_GB2312" w:hAnsi="仿宋_GB2312" w:eastAsia="仿宋_GB2312" w:cs="仿宋_GB2312"/>
          <w:sz w:val="32"/>
          <w:szCs w:val="32"/>
          <w:lang w:eastAsia="zh-CN"/>
        </w:rPr>
        <w:t>图</w:t>
      </w:r>
      <w:r>
        <w:rPr>
          <w:rFonts w:hint="eastAsia" w:ascii="仿宋_GB2312" w:hAnsi="仿宋_GB2312" w:eastAsia="仿宋_GB2312" w:cs="仿宋_GB2312"/>
          <w:sz w:val="32"/>
          <w:szCs w:val="32"/>
          <w:lang w:val="en-US" w:eastAsia="zh-CN"/>
        </w:rPr>
        <w:t>1：收、支决算总计变动情况图</w:t>
      </w:r>
      <w:r>
        <w:rPr>
          <w:rFonts w:hint="eastAsia" w:ascii="楷体_GB2312" w:hAnsi="楷体_GB2312" w:eastAsia="楷体_GB2312" w:cs="楷体_GB2312"/>
          <w:sz w:val="32"/>
          <w:szCs w:val="32"/>
        </w:rPr>
        <w:t>）</w:t>
      </w:r>
    </w:p>
    <w:p w14:paraId="01E9CAB4">
      <w:pPr>
        <w:pStyle w:val="29"/>
        <w:keepNext w:val="0"/>
        <w:keepLines w:val="0"/>
        <w:pageBreakBefore w:val="0"/>
        <w:widowControl w:val="0"/>
        <w:numPr>
          <w:ilvl w:val="0"/>
          <w:numId w:val="0"/>
        </w:numPr>
        <w:kinsoku/>
        <w:wordWrap/>
        <w:overflowPunct/>
        <w:topLinePunct w:val="0"/>
        <w:autoSpaceDE/>
        <w:autoSpaceDN/>
        <w:bidi w:val="0"/>
        <w:adjustRightInd/>
        <w:snapToGrid/>
        <w:spacing w:line="600" w:lineRule="exact"/>
        <w:ind w:left="640" w:leftChars="0"/>
        <w:textAlignment w:val="auto"/>
        <w:outlineLvl w:val="1"/>
        <w:rPr>
          <w:rStyle w:val="31"/>
          <w:rFonts w:hint="eastAsia" w:ascii="黑体" w:hAnsi="黑体" w:eastAsia="黑体" w:cs="黑体"/>
          <w:b w:val="0"/>
          <w:bCs w:val="0"/>
        </w:rPr>
      </w:pPr>
      <w:bookmarkStart w:id="28" w:name="_Toc15396604"/>
      <w:bookmarkStart w:id="29" w:name="_Toc15377206"/>
      <w:bookmarkStart w:id="30" w:name="_Toc10980"/>
      <w:r>
        <w:rPr>
          <w:rFonts w:hint="eastAsia" w:ascii="黑体" w:hAnsi="黑体" w:eastAsia="黑体" w:cs="黑体"/>
          <w:b w:val="0"/>
          <w:bCs w:val="0"/>
          <w:sz w:val="32"/>
          <w:szCs w:val="32"/>
          <w:lang w:eastAsia="zh-CN"/>
        </w:rPr>
        <w:t>二、</w:t>
      </w:r>
      <w:r>
        <w:rPr>
          <w:rFonts w:hint="eastAsia" w:ascii="黑体" w:hAnsi="黑体" w:eastAsia="黑体" w:cs="黑体"/>
          <w:b w:val="0"/>
          <w:bCs w:val="0"/>
          <w:sz w:val="32"/>
          <w:szCs w:val="32"/>
        </w:rPr>
        <w:t>收</w:t>
      </w:r>
      <w:r>
        <w:rPr>
          <w:rStyle w:val="31"/>
          <w:rFonts w:hint="eastAsia" w:ascii="黑体" w:hAnsi="黑体" w:eastAsia="黑体" w:cs="黑体"/>
          <w:b w:val="0"/>
          <w:bCs w:val="0"/>
        </w:rPr>
        <w:t>入决算情况说明</w:t>
      </w:r>
      <w:bookmarkEnd w:id="28"/>
      <w:bookmarkEnd w:id="29"/>
      <w:bookmarkEnd w:id="30"/>
    </w:p>
    <w:p w14:paraId="1A9241E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仿宋_GB2312" w:hAnsi="仿宋_GB2312" w:eastAsia="仿宋_GB2312" w:cs="仿宋_GB2312"/>
          <w:sz w:val="32"/>
          <w:szCs w:val="32"/>
          <w:lang w:val="en-US" w:eastAsia="zh-CN"/>
        </w:rPr>
      </w:pPr>
      <w:bookmarkStart w:id="31" w:name="_Toc18929"/>
      <w:r>
        <w:rPr>
          <w:rFonts w:hint="eastAsia" w:ascii="仿宋_GB2312" w:hAnsi="仿宋_GB2312" w:eastAsia="仿宋_GB2312" w:cs="仿宋_GB2312"/>
          <w:sz w:val="32"/>
          <w:szCs w:val="32"/>
        </w:rPr>
        <w:t>2022年本年收入合计</w:t>
      </w:r>
      <w:r>
        <w:rPr>
          <w:rFonts w:hint="eastAsia" w:ascii="仿宋_GB2312" w:hAnsi="仿宋_GB2312" w:eastAsia="仿宋_GB2312" w:cs="仿宋_GB2312"/>
          <w:sz w:val="32"/>
          <w:szCs w:val="32"/>
          <w:lang w:val="en-US" w:eastAsia="zh-CN"/>
        </w:rPr>
        <w:t>2018.76</w:t>
      </w:r>
      <w:r>
        <w:rPr>
          <w:rFonts w:hint="eastAsia" w:ascii="仿宋_GB2312" w:hAnsi="仿宋_GB2312" w:eastAsia="仿宋_GB2312" w:cs="仿宋_GB2312"/>
          <w:sz w:val="32"/>
          <w:szCs w:val="32"/>
        </w:rPr>
        <w:t>万元，其中：一般公共预算财政拨款收入</w:t>
      </w:r>
      <w:r>
        <w:rPr>
          <w:rFonts w:hint="eastAsia" w:ascii="仿宋_GB2312" w:hAnsi="仿宋_GB2312" w:eastAsia="仿宋_GB2312" w:cs="仿宋_GB2312"/>
          <w:sz w:val="32"/>
          <w:szCs w:val="32"/>
          <w:lang w:val="en-US" w:eastAsia="zh-CN"/>
        </w:rPr>
        <w:t>1983.18</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98.24</w:t>
      </w:r>
      <w:r>
        <w:rPr>
          <w:rFonts w:hint="eastAsia" w:ascii="仿宋_GB2312" w:hAnsi="仿宋_GB2312" w:eastAsia="仿宋_GB2312" w:cs="仿宋_GB2312"/>
          <w:sz w:val="32"/>
          <w:szCs w:val="32"/>
        </w:rPr>
        <w:t>%；政府性基金预算财政拨款收入</w:t>
      </w:r>
      <w:r>
        <w:rPr>
          <w:rFonts w:hint="eastAsia" w:ascii="仿宋_GB2312" w:hAnsi="仿宋_GB2312" w:eastAsia="仿宋_GB2312" w:cs="仿宋_GB2312"/>
          <w:sz w:val="32"/>
          <w:szCs w:val="32"/>
          <w:lang w:val="en-US" w:eastAsia="zh-CN"/>
        </w:rPr>
        <w:t>32.58</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1.61</w:t>
      </w:r>
      <w:r>
        <w:rPr>
          <w:rFonts w:hint="eastAsia" w:ascii="仿宋_GB2312" w:hAnsi="仿宋_GB2312" w:eastAsia="仿宋_GB2312" w:cs="仿宋_GB2312"/>
          <w:sz w:val="32"/>
          <w:szCs w:val="32"/>
        </w:rPr>
        <w:t>%；国有资本经营预算财政拨款收入</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%；上级补助收入</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%；事业收入</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%；经营收入</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%；附属单位上缴收入</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%；其他收入</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0.15</w:t>
      </w:r>
      <w:r>
        <w:rPr>
          <w:rFonts w:hint="eastAsia" w:ascii="仿宋_GB2312" w:hAnsi="仿宋_GB2312" w:eastAsia="仿宋_GB2312" w:cs="仿宋_GB2312"/>
          <w:sz w:val="32"/>
          <w:szCs w:val="32"/>
        </w:rPr>
        <w:t>%。</w:t>
      </w:r>
      <w:bookmarkEnd w:id="31"/>
    </w:p>
    <w:p w14:paraId="630B93C3">
      <w:pPr>
        <w:pStyle w:val="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 w:hAnsi="仿宋" w:eastAsia="仿宋"/>
          <w:sz w:val="32"/>
          <w:szCs w:val="32"/>
          <w:lang w:eastAsia="zh-CN"/>
        </w:rPr>
        <w:drawing>
          <wp:anchor distT="0" distB="0" distL="114300" distR="114300" simplePos="0" relativeHeight="251660288" behindDoc="0" locked="0" layoutInCell="1" allowOverlap="1">
            <wp:simplePos x="0" y="0"/>
            <wp:positionH relativeFrom="column">
              <wp:posOffset>556895</wp:posOffset>
            </wp:positionH>
            <wp:positionV relativeFrom="paragraph">
              <wp:posOffset>139700</wp:posOffset>
            </wp:positionV>
            <wp:extent cx="4998085" cy="2950845"/>
            <wp:effectExtent l="4445" t="4445" r="7620" b="16510"/>
            <wp:wrapNone/>
            <wp:docPr id="1029"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152101C5">
      <w:pPr>
        <w:pStyle w:val="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3290375C">
      <w:pPr>
        <w:pStyle w:val="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4F478F1C">
      <w:pPr>
        <w:pStyle w:val="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3BD7109F">
      <w:pPr>
        <w:pStyle w:val="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05E804B7">
      <w:pPr>
        <w:pStyle w:val="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4FC40F0E">
      <w:pPr>
        <w:pStyle w:val="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44C8CE26">
      <w:pPr>
        <w:pStyle w:val="6"/>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sz w:val="32"/>
          <w:szCs w:val="32"/>
          <w:lang w:eastAsia="zh-CN"/>
        </w:rPr>
      </w:pPr>
    </w:p>
    <w:p w14:paraId="3B78777B">
      <w:pPr>
        <w:spacing w:line="600" w:lineRule="exact"/>
        <w:jc w:val="center"/>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仿宋_GB2312" w:hAnsi="仿宋_GB2312" w:eastAsia="仿宋_GB2312" w:cs="仿宋_GB2312"/>
          <w:sz w:val="32"/>
          <w:szCs w:val="32"/>
          <w:lang w:eastAsia="zh-CN"/>
        </w:rPr>
        <w:t>图</w:t>
      </w:r>
      <w:r>
        <w:rPr>
          <w:rFonts w:hint="eastAsia" w:ascii="仿宋_GB2312" w:hAnsi="仿宋_GB2312" w:eastAsia="仿宋_GB2312" w:cs="仿宋_GB2312"/>
          <w:sz w:val="32"/>
          <w:szCs w:val="32"/>
          <w:lang w:val="en-US" w:eastAsia="zh-CN"/>
        </w:rPr>
        <w:t>2：收入决算结构图</w:t>
      </w:r>
      <w:r>
        <w:rPr>
          <w:rFonts w:hint="eastAsia" w:ascii="楷体_GB2312" w:hAnsi="楷体_GB2312" w:eastAsia="楷体_GB2312" w:cs="楷体_GB2312"/>
          <w:sz w:val="32"/>
          <w:szCs w:val="32"/>
        </w:rPr>
        <w:t>）</w:t>
      </w:r>
    </w:p>
    <w:p w14:paraId="12069074">
      <w:pPr>
        <w:pStyle w:val="29"/>
        <w:numPr>
          <w:ilvl w:val="0"/>
          <w:numId w:val="0"/>
        </w:numPr>
        <w:spacing w:line="600" w:lineRule="exact"/>
        <w:ind w:left="640" w:leftChars="0"/>
        <w:outlineLvl w:val="1"/>
        <w:rPr>
          <w:rStyle w:val="31"/>
          <w:rFonts w:ascii="黑体" w:hAnsi="黑体" w:eastAsia="黑体"/>
          <w:b w:val="0"/>
        </w:rPr>
      </w:pPr>
      <w:bookmarkStart w:id="32" w:name="_Toc32139"/>
      <w:bookmarkStart w:id="33" w:name="_Toc15396605"/>
      <w:bookmarkStart w:id="34" w:name="_Toc15377207"/>
      <w:r>
        <w:rPr>
          <w:rFonts w:hint="eastAsia" w:ascii="黑体" w:hAnsi="黑体" w:eastAsia="黑体"/>
          <w:sz w:val="32"/>
          <w:szCs w:val="32"/>
          <w:lang w:eastAsia="zh-CN"/>
        </w:rPr>
        <w:t>三、</w:t>
      </w:r>
      <w:r>
        <w:rPr>
          <w:rFonts w:hint="eastAsia" w:ascii="黑体" w:hAnsi="黑体" w:eastAsia="黑体"/>
          <w:sz w:val="32"/>
          <w:szCs w:val="32"/>
        </w:rPr>
        <w:t>支</w:t>
      </w:r>
      <w:r>
        <w:rPr>
          <w:rStyle w:val="31"/>
          <w:rFonts w:hint="eastAsia" w:ascii="黑体" w:hAnsi="黑体" w:eastAsia="黑体"/>
          <w:b w:val="0"/>
        </w:rPr>
        <w:t>出决算情况说明</w:t>
      </w:r>
      <w:bookmarkEnd w:id="32"/>
      <w:bookmarkEnd w:id="33"/>
      <w:bookmarkEnd w:id="34"/>
    </w:p>
    <w:p w14:paraId="70377221">
      <w:pPr>
        <w:spacing w:line="600" w:lineRule="exact"/>
        <w:ind w:firstLine="640" w:firstLineChars="200"/>
        <w:outlineLvl w:val="1"/>
        <w:rPr>
          <w:rFonts w:hint="default" w:ascii="仿宋_GB2312" w:hAnsi="仿宋_GB2312" w:eastAsia="仿宋_GB2312" w:cs="仿宋_GB2312"/>
          <w:sz w:val="32"/>
          <w:szCs w:val="32"/>
          <w:lang w:val="en-US" w:eastAsia="zh-CN"/>
        </w:rPr>
      </w:pPr>
      <w:bookmarkStart w:id="35" w:name="_Toc27118"/>
      <w:r>
        <w:rPr>
          <w:rFonts w:hint="eastAsia" w:ascii="仿宋_GB2312" w:hAnsi="仿宋_GB2312" w:eastAsia="仿宋_GB2312" w:cs="仿宋_GB2312"/>
          <w:sz w:val="32"/>
          <w:szCs w:val="32"/>
        </w:rPr>
        <w:t>2022年本年支出合计</w:t>
      </w:r>
      <w:r>
        <w:rPr>
          <w:rFonts w:hint="eastAsia" w:ascii="仿宋_GB2312" w:hAnsi="仿宋_GB2312" w:eastAsia="仿宋_GB2312" w:cs="仿宋_GB2312"/>
          <w:color w:val="auto"/>
          <w:sz w:val="32"/>
          <w:szCs w:val="32"/>
          <w:lang w:val="en-US" w:eastAsia="zh-CN"/>
        </w:rPr>
        <w:t>2018.54</w:t>
      </w:r>
      <w:r>
        <w:rPr>
          <w:rFonts w:hint="eastAsia" w:ascii="仿宋_GB2312" w:hAnsi="仿宋_GB2312" w:eastAsia="仿宋_GB2312" w:cs="仿宋_GB2312"/>
          <w:sz w:val="32"/>
          <w:szCs w:val="32"/>
        </w:rPr>
        <w:t>万元，其中：基本支出</w:t>
      </w:r>
      <w:r>
        <w:rPr>
          <w:rFonts w:hint="eastAsia" w:ascii="仿宋_GB2312" w:hAnsi="仿宋_GB2312" w:eastAsia="仿宋_GB2312" w:cs="仿宋_GB2312"/>
          <w:color w:val="auto"/>
          <w:sz w:val="32"/>
          <w:szCs w:val="32"/>
          <w:lang w:val="en-US" w:eastAsia="zh-CN"/>
        </w:rPr>
        <w:t>1616.07</w:t>
      </w:r>
      <w:r>
        <w:rPr>
          <w:rFonts w:hint="eastAsia" w:ascii="仿宋_GB2312" w:hAnsi="仿宋_GB2312" w:eastAsia="仿宋_GB2312" w:cs="仿宋_GB2312"/>
          <w:color w:val="auto"/>
          <w:sz w:val="32"/>
          <w:szCs w:val="32"/>
        </w:rPr>
        <w:t>万元，占</w:t>
      </w:r>
      <w:r>
        <w:rPr>
          <w:rFonts w:hint="eastAsia" w:ascii="仿宋_GB2312" w:hAnsi="仿宋_GB2312" w:eastAsia="仿宋_GB2312" w:cs="仿宋_GB2312"/>
          <w:color w:val="auto"/>
          <w:sz w:val="32"/>
          <w:szCs w:val="32"/>
          <w:lang w:val="en-US" w:eastAsia="zh-CN"/>
        </w:rPr>
        <w:t>80.06</w:t>
      </w:r>
      <w:r>
        <w:rPr>
          <w:rFonts w:hint="eastAsia" w:ascii="仿宋_GB2312" w:hAnsi="仿宋_GB2312" w:eastAsia="仿宋_GB2312" w:cs="仿宋_GB2312"/>
          <w:color w:val="auto"/>
          <w:sz w:val="32"/>
          <w:szCs w:val="32"/>
        </w:rPr>
        <w:t>%；项目支出</w:t>
      </w:r>
      <w:r>
        <w:rPr>
          <w:rFonts w:hint="eastAsia" w:ascii="仿宋_GB2312" w:hAnsi="仿宋_GB2312" w:eastAsia="仿宋_GB2312" w:cs="仿宋_GB2312"/>
          <w:color w:val="auto"/>
          <w:sz w:val="32"/>
          <w:szCs w:val="32"/>
          <w:lang w:val="en-US" w:eastAsia="zh-CN"/>
        </w:rPr>
        <w:t>402.47</w:t>
      </w:r>
      <w:r>
        <w:rPr>
          <w:rFonts w:hint="eastAsia" w:ascii="仿宋_GB2312" w:hAnsi="仿宋_GB2312" w:eastAsia="仿宋_GB2312" w:cs="仿宋_GB2312"/>
          <w:color w:val="auto"/>
          <w:sz w:val="32"/>
          <w:szCs w:val="32"/>
        </w:rPr>
        <w:t>万</w:t>
      </w:r>
      <w:r>
        <w:rPr>
          <w:rFonts w:hint="eastAsia" w:ascii="仿宋_GB2312" w:hAnsi="仿宋_GB2312" w:eastAsia="仿宋_GB2312" w:cs="仿宋_GB2312"/>
          <w:sz w:val="32"/>
          <w:szCs w:val="32"/>
        </w:rPr>
        <w:t>元，占</w:t>
      </w:r>
      <w:r>
        <w:rPr>
          <w:rFonts w:hint="eastAsia" w:ascii="仿宋_GB2312" w:hAnsi="仿宋_GB2312" w:eastAsia="仿宋_GB2312" w:cs="仿宋_GB2312"/>
          <w:sz w:val="32"/>
          <w:szCs w:val="32"/>
          <w:lang w:val="en-US" w:eastAsia="zh-CN"/>
        </w:rPr>
        <w:t>19.94</w:t>
      </w:r>
      <w:r>
        <w:rPr>
          <w:rFonts w:hint="eastAsia" w:ascii="仿宋_GB2312" w:hAnsi="仿宋_GB2312" w:eastAsia="仿宋_GB2312" w:cs="仿宋_GB2312"/>
          <w:sz w:val="32"/>
          <w:szCs w:val="32"/>
        </w:rPr>
        <w:t>%；上缴上级支出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%；经营支出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%；对附属单位补助支出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w:t>
      </w:r>
      <w:bookmarkEnd w:id="35"/>
    </w:p>
    <w:p w14:paraId="2CEBE86B">
      <w:pPr>
        <w:spacing w:line="600" w:lineRule="exact"/>
        <w:ind w:firstLine="640"/>
        <w:rPr>
          <w:rFonts w:ascii="仿宋" w:hAnsi="仿宋" w:eastAsia="仿宋"/>
          <w:sz w:val="32"/>
          <w:szCs w:val="32"/>
          <w:shd w:val="pct10" w:color="auto" w:fill="FFFFFF"/>
        </w:rPr>
      </w:pPr>
      <w:r>
        <w:rPr>
          <w:rFonts w:hint="eastAsia" w:ascii="仿宋" w:hAnsi="仿宋" w:eastAsia="仿宋"/>
          <w:sz w:val="32"/>
          <w:szCs w:val="32"/>
          <w:shd w:val="pct10" w:color="auto" w:fill="FFFFFF"/>
          <w:lang w:eastAsia="zh-CN"/>
        </w:rPr>
        <w:drawing>
          <wp:anchor distT="0" distB="0" distL="114300" distR="114300" simplePos="0" relativeHeight="251661312" behindDoc="0" locked="0" layoutInCell="1" allowOverlap="1">
            <wp:simplePos x="0" y="0"/>
            <wp:positionH relativeFrom="column">
              <wp:posOffset>476250</wp:posOffset>
            </wp:positionH>
            <wp:positionV relativeFrom="paragraph">
              <wp:posOffset>92075</wp:posOffset>
            </wp:positionV>
            <wp:extent cx="4856480" cy="2264410"/>
            <wp:effectExtent l="4445" t="4445" r="15875" b="17145"/>
            <wp:wrapNone/>
            <wp:docPr id="1031"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4E84670E">
      <w:pPr>
        <w:pStyle w:val="9"/>
        <w:rPr>
          <w:rFonts w:ascii="仿宋" w:hAnsi="仿宋" w:eastAsia="仿宋"/>
          <w:sz w:val="32"/>
          <w:szCs w:val="32"/>
          <w:shd w:val="pct10" w:color="auto" w:fill="FFFFFF"/>
        </w:rPr>
      </w:pPr>
    </w:p>
    <w:p w14:paraId="31244057">
      <w:pPr>
        <w:pStyle w:val="9"/>
        <w:rPr>
          <w:rFonts w:ascii="仿宋" w:hAnsi="仿宋" w:eastAsia="仿宋"/>
          <w:sz w:val="32"/>
          <w:szCs w:val="32"/>
          <w:shd w:val="pct10" w:color="auto" w:fill="FFFFFF"/>
        </w:rPr>
      </w:pPr>
    </w:p>
    <w:p w14:paraId="5FC683FB">
      <w:pPr>
        <w:pStyle w:val="9"/>
        <w:rPr>
          <w:rFonts w:ascii="仿宋" w:hAnsi="仿宋" w:eastAsia="仿宋"/>
          <w:sz w:val="32"/>
          <w:szCs w:val="32"/>
          <w:shd w:val="pct10" w:color="auto" w:fill="FFFFFF"/>
        </w:rPr>
      </w:pPr>
    </w:p>
    <w:p w14:paraId="63EAAAAE">
      <w:pPr>
        <w:pStyle w:val="9"/>
        <w:rPr>
          <w:rFonts w:ascii="仿宋" w:hAnsi="仿宋" w:eastAsia="仿宋"/>
          <w:sz w:val="32"/>
          <w:szCs w:val="32"/>
          <w:shd w:val="pct10" w:color="auto" w:fill="FFFFFF"/>
        </w:rPr>
      </w:pPr>
    </w:p>
    <w:p w14:paraId="090C1F6E">
      <w:pPr>
        <w:pStyle w:val="9"/>
        <w:rPr>
          <w:rFonts w:ascii="仿宋" w:hAnsi="仿宋" w:eastAsia="仿宋"/>
          <w:sz w:val="32"/>
          <w:szCs w:val="32"/>
          <w:shd w:val="pct10" w:color="auto" w:fill="FFFFFF"/>
        </w:rPr>
      </w:pPr>
    </w:p>
    <w:p w14:paraId="152201C4">
      <w:pPr>
        <w:spacing w:line="600" w:lineRule="exact"/>
        <w:jc w:val="center"/>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仿宋_GB2312" w:hAnsi="仿宋_GB2312" w:eastAsia="仿宋_GB2312" w:cs="仿宋_GB2312"/>
          <w:sz w:val="32"/>
          <w:szCs w:val="32"/>
          <w:lang w:val="en-US" w:eastAsia="zh-CN"/>
        </w:rPr>
        <w:t>图3：支出决算结构图</w:t>
      </w:r>
      <w:r>
        <w:rPr>
          <w:rFonts w:hint="eastAsia" w:ascii="楷体_GB2312" w:hAnsi="楷体_GB2312" w:eastAsia="楷体_GB2312" w:cs="楷体_GB2312"/>
          <w:sz w:val="32"/>
          <w:szCs w:val="32"/>
        </w:rPr>
        <w:t>）</w:t>
      </w:r>
    </w:p>
    <w:p w14:paraId="0F2A4286">
      <w:pPr>
        <w:spacing w:line="600" w:lineRule="exact"/>
        <w:ind w:firstLine="640" w:firstLineChars="200"/>
        <w:outlineLvl w:val="1"/>
        <w:rPr>
          <w:rStyle w:val="31"/>
          <w:rFonts w:ascii="黑体" w:hAnsi="黑体" w:eastAsia="黑体"/>
          <w:b w:val="0"/>
        </w:rPr>
      </w:pPr>
      <w:bookmarkStart w:id="36" w:name="_Toc15377208"/>
      <w:bookmarkStart w:id="37" w:name="_Toc8928"/>
      <w:bookmarkStart w:id="38" w:name="_Toc15396606"/>
      <w:r>
        <w:rPr>
          <w:rFonts w:hint="eastAsia" w:ascii="黑体" w:hAnsi="黑体" w:eastAsia="黑体"/>
          <w:sz w:val="32"/>
          <w:szCs w:val="32"/>
        </w:rPr>
        <w:t>四、财</w:t>
      </w:r>
      <w:r>
        <w:rPr>
          <w:rStyle w:val="31"/>
          <w:rFonts w:hint="eastAsia" w:ascii="黑体" w:hAnsi="黑体" w:eastAsia="黑体"/>
          <w:b w:val="0"/>
        </w:rPr>
        <w:t>政拨款收入支出决算总体情况说明</w:t>
      </w:r>
      <w:bookmarkEnd w:id="36"/>
      <w:bookmarkEnd w:id="37"/>
      <w:bookmarkEnd w:id="38"/>
    </w:p>
    <w:p w14:paraId="763DEC9E">
      <w:pPr>
        <w:spacing w:line="600" w:lineRule="exact"/>
        <w:ind w:firstLine="64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2022年财政拨款收、支</w:t>
      </w:r>
      <w:r>
        <w:rPr>
          <w:rFonts w:hint="eastAsia" w:ascii="仿宋_GB2312" w:hAnsi="仿宋_GB2312" w:eastAsia="仿宋_GB2312" w:cs="仿宋_GB2312"/>
          <w:sz w:val="32"/>
          <w:szCs w:val="32"/>
          <w:lang w:val="en-US" w:eastAsia="zh-CN"/>
        </w:rPr>
        <w:t>各</w:t>
      </w:r>
      <w:r>
        <w:rPr>
          <w:rFonts w:hint="eastAsia" w:ascii="仿宋_GB2312" w:hAnsi="仿宋_GB2312" w:eastAsia="仿宋_GB2312" w:cs="仿宋_GB2312"/>
          <w:sz w:val="32"/>
          <w:szCs w:val="32"/>
        </w:rPr>
        <w:t>总计</w:t>
      </w:r>
      <w:r>
        <w:rPr>
          <w:rFonts w:hint="eastAsia" w:ascii="仿宋_GB2312" w:hAnsi="仿宋_GB2312" w:eastAsia="仿宋_GB2312" w:cs="仿宋_GB2312"/>
          <w:sz w:val="32"/>
          <w:szCs w:val="32"/>
          <w:lang w:val="en-US" w:eastAsia="zh-CN"/>
        </w:rPr>
        <w:t>2017.70</w:t>
      </w:r>
      <w:r>
        <w:rPr>
          <w:rFonts w:hint="eastAsia" w:ascii="仿宋_GB2312" w:hAnsi="仿宋_GB2312" w:eastAsia="仿宋_GB2312" w:cs="仿宋_GB2312"/>
          <w:sz w:val="32"/>
          <w:szCs w:val="32"/>
        </w:rPr>
        <w:t>万元。与2021年相比，财政拨款收、支</w:t>
      </w:r>
      <w:r>
        <w:rPr>
          <w:rFonts w:hint="eastAsia" w:ascii="仿宋_GB2312" w:hAnsi="仿宋_GB2312" w:eastAsia="仿宋_GB2312" w:cs="仿宋_GB2312"/>
          <w:sz w:val="32"/>
          <w:szCs w:val="32"/>
          <w:lang w:val="en-US" w:eastAsia="zh-CN"/>
        </w:rPr>
        <w:t>各</w:t>
      </w:r>
      <w:r>
        <w:rPr>
          <w:rFonts w:hint="eastAsia" w:ascii="仿宋_GB2312" w:hAnsi="仿宋_GB2312" w:eastAsia="仿宋_GB2312" w:cs="仿宋_GB2312"/>
          <w:sz w:val="32"/>
          <w:szCs w:val="32"/>
        </w:rPr>
        <w:t>总计增加</w:t>
      </w:r>
      <w:r>
        <w:rPr>
          <w:rFonts w:hint="eastAsia" w:ascii="仿宋_GB2312" w:hAnsi="仿宋_GB2312" w:eastAsia="仿宋_GB2312" w:cs="仿宋_GB2312"/>
          <w:sz w:val="32"/>
          <w:szCs w:val="32"/>
          <w:lang w:val="en-US" w:eastAsia="zh-CN"/>
        </w:rPr>
        <w:t>69.44</w:t>
      </w:r>
      <w:r>
        <w:rPr>
          <w:rFonts w:hint="eastAsia" w:ascii="仿宋_GB2312" w:hAnsi="仿宋_GB2312" w:eastAsia="仿宋_GB2312" w:cs="仿宋_GB2312"/>
          <w:sz w:val="32"/>
          <w:szCs w:val="32"/>
        </w:rPr>
        <w:t>万元，增长</w:t>
      </w:r>
      <w:r>
        <w:rPr>
          <w:rFonts w:hint="eastAsia" w:ascii="仿宋_GB2312" w:hAnsi="仿宋_GB2312" w:eastAsia="仿宋_GB2312" w:cs="仿宋_GB2312"/>
          <w:sz w:val="32"/>
          <w:szCs w:val="32"/>
          <w:lang w:val="en-US" w:eastAsia="zh-CN"/>
        </w:rPr>
        <w:t>3.56</w:t>
      </w:r>
      <w:r>
        <w:rPr>
          <w:rFonts w:hint="eastAsia" w:ascii="仿宋_GB2312" w:hAnsi="仿宋_GB2312" w:eastAsia="仿宋_GB2312" w:cs="仿宋_GB2312"/>
          <w:sz w:val="32"/>
          <w:szCs w:val="32"/>
        </w:rPr>
        <w:t>%。主要变动原因是</w:t>
      </w:r>
      <w:r>
        <w:rPr>
          <w:rFonts w:hint="eastAsia" w:ascii="仿宋_GB2312" w:hAnsi="仿宋_GB2312" w:eastAsia="仿宋_GB2312" w:cs="仿宋_GB2312"/>
          <w:sz w:val="32"/>
          <w:szCs w:val="32"/>
          <w:lang w:val="en-US" w:eastAsia="zh-CN"/>
        </w:rPr>
        <w:t>有新增人员。</w:t>
      </w:r>
    </w:p>
    <w:p w14:paraId="51BB6F4B">
      <w:pPr>
        <w:spacing w:line="600" w:lineRule="exact"/>
        <w:ind w:firstLine="640"/>
        <w:rPr>
          <w:rFonts w:ascii="仿宋" w:hAnsi="仿宋" w:eastAsia="仿宋"/>
          <w:b/>
          <w:sz w:val="32"/>
          <w:szCs w:val="32"/>
        </w:rPr>
      </w:pPr>
      <w:r>
        <w:rPr>
          <w:rFonts w:hint="eastAsia" w:ascii="仿宋" w:hAnsi="仿宋" w:eastAsia="仿宋"/>
          <w:b/>
          <w:sz w:val="32"/>
          <w:szCs w:val="32"/>
          <w:lang w:eastAsia="zh-CN"/>
        </w:rPr>
        <w:drawing>
          <wp:anchor distT="0" distB="0" distL="114300" distR="114300" simplePos="0" relativeHeight="251662336" behindDoc="0" locked="0" layoutInCell="1" allowOverlap="1">
            <wp:simplePos x="0" y="0"/>
            <wp:positionH relativeFrom="column">
              <wp:posOffset>609600</wp:posOffset>
            </wp:positionH>
            <wp:positionV relativeFrom="paragraph">
              <wp:posOffset>23495</wp:posOffset>
            </wp:positionV>
            <wp:extent cx="4448175" cy="2112645"/>
            <wp:effectExtent l="4445" t="4445" r="5080" b="16510"/>
            <wp:wrapNone/>
            <wp:docPr id="1033"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64B1D7D8">
      <w:pPr>
        <w:pStyle w:val="9"/>
        <w:rPr>
          <w:rFonts w:ascii="仿宋" w:hAnsi="仿宋" w:eastAsia="仿宋"/>
          <w:b/>
          <w:sz w:val="32"/>
          <w:szCs w:val="32"/>
        </w:rPr>
      </w:pPr>
    </w:p>
    <w:p w14:paraId="496DD57D">
      <w:pPr>
        <w:pStyle w:val="9"/>
        <w:rPr>
          <w:rFonts w:ascii="仿宋" w:hAnsi="仿宋" w:eastAsia="仿宋"/>
          <w:b/>
          <w:sz w:val="32"/>
          <w:szCs w:val="32"/>
        </w:rPr>
      </w:pPr>
    </w:p>
    <w:p w14:paraId="51A154F4">
      <w:pPr>
        <w:pStyle w:val="9"/>
        <w:rPr>
          <w:rFonts w:ascii="仿宋" w:hAnsi="仿宋" w:eastAsia="仿宋"/>
          <w:b/>
          <w:sz w:val="32"/>
          <w:szCs w:val="32"/>
        </w:rPr>
      </w:pPr>
    </w:p>
    <w:p w14:paraId="6DF6B0A0">
      <w:pPr>
        <w:pStyle w:val="6"/>
        <w:rPr>
          <w:rFonts w:hint="eastAsia" w:ascii="仿宋" w:hAnsi="仿宋" w:eastAsia="仿宋"/>
          <w:b/>
          <w:sz w:val="32"/>
          <w:szCs w:val="32"/>
          <w:lang w:eastAsia="zh-CN"/>
        </w:rPr>
      </w:pPr>
    </w:p>
    <w:p w14:paraId="70B30A0C">
      <w:pPr>
        <w:spacing w:line="600" w:lineRule="exact"/>
        <w:ind w:firstLine="1280" w:firstLineChars="4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仿宋_GB2312" w:hAnsi="仿宋_GB2312" w:eastAsia="仿宋_GB2312" w:cs="仿宋_GB2312"/>
          <w:sz w:val="32"/>
          <w:szCs w:val="32"/>
          <w:lang w:val="en-US" w:eastAsia="zh-CN"/>
        </w:rPr>
        <w:t>图4：财政拨款收、支决算总计变动情况</w:t>
      </w:r>
      <w:r>
        <w:rPr>
          <w:rFonts w:hint="eastAsia" w:ascii="楷体_GB2312" w:hAnsi="楷体_GB2312" w:eastAsia="楷体_GB2312" w:cs="楷体_GB2312"/>
          <w:sz w:val="32"/>
          <w:szCs w:val="32"/>
        </w:rPr>
        <w:t>）</w:t>
      </w:r>
    </w:p>
    <w:p w14:paraId="7E41A709">
      <w:pPr>
        <w:spacing w:line="600" w:lineRule="exact"/>
        <w:ind w:firstLine="640" w:firstLineChars="200"/>
        <w:outlineLvl w:val="1"/>
        <w:rPr>
          <w:rStyle w:val="31"/>
          <w:rFonts w:ascii="黑体" w:hAnsi="黑体" w:eastAsia="黑体"/>
          <w:b w:val="0"/>
        </w:rPr>
      </w:pPr>
      <w:bookmarkStart w:id="39" w:name="_Toc677"/>
      <w:bookmarkStart w:id="40" w:name="_Toc15396607"/>
      <w:bookmarkStart w:id="41" w:name="_Toc15377209"/>
      <w:r>
        <w:rPr>
          <w:rFonts w:hint="eastAsia" w:ascii="黑体" w:hAnsi="黑体" w:eastAsia="黑体"/>
          <w:sz w:val="32"/>
          <w:szCs w:val="32"/>
        </w:rPr>
        <w:t>五、</w:t>
      </w:r>
      <w:r>
        <w:rPr>
          <w:rFonts w:hint="eastAsia" w:ascii="黑体" w:hAnsi="黑体" w:eastAsia="黑体"/>
          <w:b/>
          <w:sz w:val="32"/>
          <w:szCs w:val="32"/>
        </w:rPr>
        <w:t>一</w:t>
      </w:r>
      <w:r>
        <w:rPr>
          <w:rStyle w:val="31"/>
          <w:rFonts w:hint="eastAsia" w:ascii="黑体" w:hAnsi="黑体" w:eastAsia="黑体"/>
          <w:b w:val="0"/>
        </w:rPr>
        <w:t>般公共预算财政拨款支出决算情况说明</w:t>
      </w:r>
      <w:bookmarkEnd w:id="39"/>
      <w:bookmarkEnd w:id="40"/>
      <w:bookmarkEnd w:id="41"/>
    </w:p>
    <w:p w14:paraId="7B812AFF">
      <w:pPr>
        <w:spacing w:line="600" w:lineRule="exact"/>
        <w:ind w:firstLine="640" w:firstLineChars="200"/>
        <w:outlineLvl w:val="2"/>
        <w:rPr>
          <w:rFonts w:hint="eastAsia" w:ascii="仿宋_GB2312" w:hAnsi="仿宋_GB2312" w:eastAsia="仿宋_GB2312" w:cs="仿宋_GB2312"/>
          <w:sz w:val="32"/>
          <w:szCs w:val="32"/>
        </w:rPr>
      </w:pPr>
      <w:bookmarkStart w:id="42" w:name="_Toc15377210"/>
      <w:r>
        <w:rPr>
          <w:rFonts w:hint="eastAsia" w:ascii="仿宋_GB2312" w:hAnsi="仿宋_GB2312" w:eastAsia="仿宋_GB2312" w:cs="仿宋_GB2312"/>
          <w:sz w:val="32"/>
          <w:szCs w:val="32"/>
        </w:rPr>
        <w:t>（一）一般公共预算财政拨款支出决算总体情况</w:t>
      </w:r>
      <w:bookmarkEnd w:id="42"/>
    </w:p>
    <w:p w14:paraId="10B2D449">
      <w:pPr>
        <w:spacing w:line="600" w:lineRule="exact"/>
        <w:ind w:firstLine="640" w:firstLineChars="200"/>
        <w:rPr>
          <w:rFonts w:hint="default"/>
          <w:lang w:val="en-US" w:eastAsia="zh-CN"/>
        </w:rPr>
      </w:pPr>
      <w:r>
        <w:rPr>
          <w:rFonts w:hint="eastAsia" w:ascii="仿宋_GB2312" w:hAnsi="仿宋_GB2312" w:eastAsia="仿宋_GB2312" w:cs="仿宋_GB2312"/>
          <w:sz w:val="32"/>
          <w:szCs w:val="32"/>
        </w:rPr>
        <w:t>2022年一般公共预算财政拨款支出</w:t>
      </w:r>
      <w:r>
        <w:rPr>
          <w:rFonts w:hint="eastAsia" w:ascii="仿宋_GB2312" w:hAnsi="仿宋_GB2312" w:eastAsia="仿宋_GB2312" w:cs="仿宋_GB2312"/>
          <w:sz w:val="32"/>
          <w:szCs w:val="32"/>
          <w:lang w:val="en-US" w:eastAsia="zh-CN"/>
        </w:rPr>
        <w:t>1983.18</w:t>
      </w:r>
      <w:r>
        <w:rPr>
          <w:rFonts w:hint="eastAsia" w:ascii="仿宋_GB2312" w:hAnsi="仿宋_GB2312" w:eastAsia="仿宋_GB2312" w:cs="仿宋_GB2312"/>
          <w:sz w:val="32"/>
          <w:szCs w:val="32"/>
        </w:rPr>
        <w:t>万元，占本年支出合计的</w:t>
      </w:r>
      <w:r>
        <w:rPr>
          <w:rFonts w:hint="eastAsia" w:ascii="仿宋_GB2312" w:hAnsi="仿宋_GB2312" w:eastAsia="仿宋_GB2312" w:cs="仿宋_GB2312"/>
          <w:sz w:val="32"/>
          <w:szCs w:val="32"/>
          <w:lang w:val="en-US" w:eastAsia="zh-CN"/>
        </w:rPr>
        <w:t>98.25</w:t>
      </w:r>
      <w:r>
        <w:rPr>
          <w:rFonts w:hint="eastAsia" w:ascii="仿宋_GB2312" w:hAnsi="仿宋_GB2312" w:eastAsia="仿宋_GB2312" w:cs="仿宋_GB2312"/>
          <w:sz w:val="32"/>
          <w:szCs w:val="32"/>
        </w:rPr>
        <w:t>%。与2021年相比，一般公共预算财政拨款支出增加</w:t>
      </w:r>
      <w:r>
        <w:rPr>
          <w:rFonts w:hint="eastAsia" w:ascii="仿宋_GB2312" w:hAnsi="仿宋_GB2312" w:eastAsia="仿宋_GB2312" w:cs="仿宋_GB2312"/>
          <w:sz w:val="32"/>
          <w:szCs w:val="32"/>
          <w:lang w:val="en-US" w:eastAsia="zh-CN"/>
        </w:rPr>
        <w:t>148.56</w:t>
      </w:r>
      <w:r>
        <w:rPr>
          <w:rFonts w:hint="eastAsia" w:ascii="仿宋_GB2312" w:hAnsi="仿宋_GB2312" w:eastAsia="仿宋_GB2312" w:cs="仿宋_GB2312"/>
          <w:sz w:val="32"/>
          <w:szCs w:val="32"/>
        </w:rPr>
        <w:t>万元，增长</w:t>
      </w:r>
      <w:r>
        <w:rPr>
          <w:rFonts w:hint="eastAsia" w:ascii="仿宋_GB2312" w:hAnsi="仿宋_GB2312" w:eastAsia="仿宋_GB2312" w:cs="仿宋_GB2312"/>
          <w:sz w:val="32"/>
          <w:szCs w:val="32"/>
          <w:lang w:val="en-US" w:eastAsia="zh-CN"/>
        </w:rPr>
        <w:t>8.10</w:t>
      </w:r>
      <w:r>
        <w:rPr>
          <w:rFonts w:hint="eastAsia" w:ascii="仿宋_GB2312" w:hAnsi="仿宋_GB2312" w:eastAsia="仿宋_GB2312" w:cs="仿宋_GB2312"/>
          <w:sz w:val="32"/>
          <w:szCs w:val="32"/>
        </w:rPr>
        <w:t>%。主要变动原因是</w:t>
      </w:r>
      <w:r>
        <w:rPr>
          <w:rFonts w:hint="eastAsia" w:ascii="仿宋_GB2312" w:hAnsi="仿宋_GB2312" w:eastAsia="仿宋_GB2312" w:cs="仿宋_GB2312"/>
          <w:sz w:val="32"/>
          <w:szCs w:val="32"/>
          <w:lang w:val="en-US" w:eastAsia="zh-CN"/>
        </w:rPr>
        <w:t>有新增人员。</w:t>
      </w:r>
    </w:p>
    <w:p w14:paraId="42917030">
      <w:pPr>
        <w:spacing w:line="600" w:lineRule="exact"/>
        <w:ind w:firstLine="640" w:firstLineChars="200"/>
        <w:rPr>
          <w:rFonts w:ascii="仿宋" w:hAnsi="仿宋" w:eastAsia="仿宋"/>
          <w:sz w:val="32"/>
          <w:szCs w:val="32"/>
        </w:rPr>
      </w:pPr>
      <w:r>
        <w:rPr>
          <w:rFonts w:hint="eastAsia" w:ascii="仿宋" w:hAnsi="仿宋" w:eastAsia="仿宋"/>
          <w:sz w:val="32"/>
          <w:szCs w:val="32"/>
          <w:lang w:eastAsia="zh-CN"/>
        </w:rPr>
        <w:drawing>
          <wp:anchor distT="0" distB="0" distL="114300" distR="114300" simplePos="0" relativeHeight="251663360" behindDoc="0" locked="0" layoutInCell="1" allowOverlap="1">
            <wp:simplePos x="0" y="0"/>
            <wp:positionH relativeFrom="column">
              <wp:posOffset>795020</wp:posOffset>
            </wp:positionH>
            <wp:positionV relativeFrom="paragraph">
              <wp:posOffset>66040</wp:posOffset>
            </wp:positionV>
            <wp:extent cx="3923665" cy="1921510"/>
            <wp:effectExtent l="4445" t="4445" r="15240" b="17145"/>
            <wp:wrapNone/>
            <wp:docPr id="1035"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04FB7B03">
      <w:pPr>
        <w:pStyle w:val="9"/>
        <w:rPr>
          <w:rFonts w:ascii="仿宋" w:hAnsi="仿宋" w:eastAsia="仿宋"/>
          <w:sz w:val="32"/>
          <w:szCs w:val="32"/>
        </w:rPr>
      </w:pPr>
    </w:p>
    <w:p w14:paraId="3F563716">
      <w:pPr>
        <w:pStyle w:val="9"/>
        <w:rPr>
          <w:rFonts w:ascii="仿宋" w:hAnsi="仿宋" w:eastAsia="仿宋"/>
          <w:sz w:val="32"/>
          <w:szCs w:val="32"/>
        </w:rPr>
      </w:pPr>
    </w:p>
    <w:p w14:paraId="5BBFA2AE">
      <w:pPr>
        <w:pStyle w:val="9"/>
        <w:rPr>
          <w:rFonts w:ascii="仿宋" w:hAnsi="仿宋" w:eastAsia="仿宋"/>
          <w:sz w:val="32"/>
          <w:szCs w:val="32"/>
        </w:rPr>
      </w:pPr>
    </w:p>
    <w:p w14:paraId="19892B6C">
      <w:pPr>
        <w:pStyle w:val="9"/>
        <w:rPr>
          <w:rFonts w:ascii="仿宋" w:hAnsi="仿宋" w:eastAsia="仿宋"/>
          <w:sz w:val="32"/>
          <w:szCs w:val="32"/>
        </w:rPr>
      </w:pPr>
    </w:p>
    <w:p w14:paraId="3E2C41C4">
      <w:pPr>
        <w:spacing w:line="600" w:lineRule="exact"/>
        <w:jc w:val="center"/>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仿宋_GB2312" w:hAnsi="仿宋_GB2312" w:eastAsia="仿宋_GB2312" w:cs="仿宋_GB2312"/>
          <w:b w:val="0"/>
          <w:bCs w:val="0"/>
          <w:sz w:val="32"/>
          <w:szCs w:val="32"/>
          <w:lang w:eastAsia="zh-CN"/>
        </w:rPr>
        <w:t>图</w:t>
      </w:r>
      <w:r>
        <w:rPr>
          <w:rFonts w:hint="eastAsia" w:ascii="仿宋_GB2312" w:hAnsi="仿宋_GB2312" w:eastAsia="仿宋_GB2312" w:cs="仿宋_GB2312"/>
          <w:b w:val="0"/>
          <w:bCs w:val="0"/>
          <w:sz w:val="32"/>
          <w:szCs w:val="32"/>
          <w:lang w:val="en-US" w:eastAsia="zh-CN"/>
        </w:rPr>
        <w:t>5：一般公共预算财政拨款支出决算变动情况</w:t>
      </w:r>
      <w:r>
        <w:rPr>
          <w:rFonts w:hint="eastAsia" w:ascii="楷体_GB2312" w:hAnsi="楷体_GB2312" w:eastAsia="楷体_GB2312" w:cs="楷体_GB2312"/>
          <w:sz w:val="32"/>
          <w:szCs w:val="32"/>
        </w:rPr>
        <w:t>）</w:t>
      </w:r>
    </w:p>
    <w:p w14:paraId="67FC0BDD">
      <w:pPr>
        <w:spacing w:line="600" w:lineRule="exact"/>
        <w:ind w:firstLine="640" w:firstLineChars="200"/>
        <w:outlineLvl w:val="2"/>
        <w:rPr>
          <w:rFonts w:hint="eastAsia" w:ascii="仿宋_GB2312" w:hAnsi="仿宋_GB2312" w:eastAsia="仿宋_GB2312" w:cs="仿宋_GB2312"/>
          <w:sz w:val="32"/>
          <w:szCs w:val="32"/>
        </w:rPr>
      </w:pPr>
      <w:bookmarkStart w:id="43" w:name="_Toc15377211"/>
      <w:r>
        <w:rPr>
          <w:rFonts w:hint="eastAsia" w:ascii="仿宋_GB2312" w:hAnsi="仿宋_GB2312" w:eastAsia="仿宋_GB2312" w:cs="仿宋_GB2312"/>
          <w:sz w:val="32"/>
          <w:szCs w:val="32"/>
        </w:rPr>
        <w:t>（二）一般公共预算财政拨款支出决算结构情况</w:t>
      </w:r>
      <w:bookmarkEnd w:id="43"/>
    </w:p>
    <w:p w14:paraId="56B6581B">
      <w:pPr>
        <w:spacing w:line="600" w:lineRule="exact"/>
        <w:ind w:firstLine="64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2022年一般公共预算财政拨款支出</w:t>
      </w:r>
      <w:r>
        <w:rPr>
          <w:rFonts w:hint="eastAsia" w:ascii="仿宋_GB2312" w:hAnsi="仿宋_GB2312" w:eastAsia="仿宋_GB2312" w:cs="仿宋_GB2312"/>
          <w:b w:val="0"/>
          <w:bCs w:val="0"/>
          <w:sz w:val="32"/>
          <w:szCs w:val="32"/>
          <w:lang w:val="en-US" w:eastAsia="zh-CN"/>
        </w:rPr>
        <w:t>1983.18</w:t>
      </w:r>
      <w:r>
        <w:rPr>
          <w:rFonts w:hint="eastAsia" w:ascii="仿宋_GB2312" w:hAnsi="仿宋_GB2312" w:eastAsia="仿宋_GB2312" w:cs="仿宋_GB2312"/>
          <w:b w:val="0"/>
          <w:bCs w:val="0"/>
          <w:sz w:val="32"/>
          <w:szCs w:val="32"/>
        </w:rPr>
        <w:t>万元，主要用于以下方面:一般公共服务支出</w:t>
      </w:r>
      <w:r>
        <w:rPr>
          <w:rFonts w:hint="eastAsia" w:ascii="仿宋_GB2312" w:hAnsi="仿宋_GB2312" w:eastAsia="仿宋_GB2312" w:cs="仿宋_GB2312"/>
          <w:b w:val="0"/>
          <w:bCs w:val="0"/>
          <w:sz w:val="32"/>
          <w:szCs w:val="32"/>
          <w:highlight w:val="none"/>
          <w:lang w:val="en-US" w:eastAsia="zh-CN"/>
        </w:rPr>
        <w:t>1719.09</w:t>
      </w:r>
      <w:r>
        <w:rPr>
          <w:rFonts w:hint="eastAsia" w:ascii="仿宋_GB2312" w:hAnsi="仿宋_GB2312" w:eastAsia="仿宋_GB2312" w:cs="仿宋_GB2312"/>
          <w:b w:val="0"/>
          <w:bCs w:val="0"/>
          <w:sz w:val="32"/>
          <w:szCs w:val="32"/>
        </w:rPr>
        <w:t>万元，占</w:t>
      </w:r>
      <w:r>
        <w:rPr>
          <w:rFonts w:hint="eastAsia" w:ascii="仿宋_GB2312" w:hAnsi="仿宋_GB2312" w:eastAsia="仿宋_GB2312" w:cs="仿宋_GB2312"/>
          <w:b w:val="0"/>
          <w:bCs w:val="0"/>
          <w:sz w:val="32"/>
          <w:szCs w:val="32"/>
          <w:lang w:val="en-US" w:eastAsia="zh-CN"/>
        </w:rPr>
        <w:t>86.68</w:t>
      </w:r>
      <w:r>
        <w:rPr>
          <w:rFonts w:hint="eastAsia" w:ascii="仿宋_GB2312" w:hAnsi="仿宋_GB2312" w:eastAsia="仿宋_GB2312" w:cs="仿宋_GB2312"/>
          <w:b w:val="0"/>
          <w:bCs w:val="0"/>
          <w:sz w:val="32"/>
          <w:szCs w:val="32"/>
        </w:rPr>
        <w:t>%；教育支出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万元，占</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%；科学技术支出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万元，占</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%；文化旅游体育与传媒支出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万元，占</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%；社会保障和就业支出</w:t>
      </w:r>
      <w:r>
        <w:rPr>
          <w:rFonts w:hint="eastAsia" w:ascii="仿宋_GB2312" w:hAnsi="仿宋_GB2312" w:eastAsia="仿宋_GB2312" w:cs="仿宋_GB2312"/>
          <w:b w:val="0"/>
          <w:bCs w:val="0"/>
          <w:color w:val="auto"/>
          <w:sz w:val="32"/>
          <w:szCs w:val="32"/>
          <w:highlight w:val="none"/>
          <w:lang w:val="en-US" w:eastAsia="zh-CN"/>
        </w:rPr>
        <w:t>122.51</w:t>
      </w:r>
      <w:r>
        <w:rPr>
          <w:rFonts w:hint="eastAsia" w:ascii="仿宋_GB2312" w:hAnsi="仿宋_GB2312" w:eastAsia="仿宋_GB2312" w:cs="仿宋_GB2312"/>
          <w:b w:val="0"/>
          <w:bCs w:val="0"/>
          <w:sz w:val="32"/>
          <w:szCs w:val="32"/>
        </w:rPr>
        <w:t>万元，占</w:t>
      </w:r>
      <w:r>
        <w:rPr>
          <w:rFonts w:hint="eastAsia" w:ascii="仿宋_GB2312" w:hAnsi="仿宋_GB2312" w:eastAsia="仿宋_GB2312" w:cs="仿宋_GB2312"/>
          <w:b w:val="0"/>
          <w:bCs w:val="0"/>
          <w:sz w:val="32"/>
          <w:szCs w:val="32"/>
          <w:lang w:val="en-US" w:eastAsia="zh-CN"/>
        </w:rPr>
        <w:t>6.18</w:t>
      </w:r>
      <w:r>
        <w:rPr>
          <w:rFonts w:hint="eastAsia" w:ascii="仿宋_GB2312" w:hAnsi="仿宋_GB2312" w:eastAsia="仿宋_GB2312" w:cs="仿宋_GB2312"/>
          <w:b w:val="0"/>
          <w:bCs w:val="0"/>
          <w:sz w:val="32"/>
          <w:szCs w:val="32"/>
        </w:rPr>
        <w:t>%；卫生健康支出</w:t>
      </w:r>
      <w:r>
        <w:rPr>
          <w:rFonts w:hint="eastAsia" w:ascii="仿宋_GB2312" w:hAnsi="仿宋_GB2312" w:eastAsia="仿宋_GB2312" w:cs="仿宋_GB2312"/>
          <w:b w:val="0"/>
          <w:bCs w:val="0"/>
          <w:sz w:val="32"/>
          <w:szCs w:val="32"/>
          <w:highlight w:val="none"/>
          <w:lang w:val="en-US" w:eastAsia="zh-CN"/>
        </w:rPr>
        <w:t>44.42</w:t>
      </w:r>
      <w:r>
        <w:rPr>
          <w:rFonts w:hint="eastAsia" w:ascii="仿宋_GB2312" w:hAnsi="仿宋_GB2312" w:eastAsia="仿宋_GB2312" w:cs="仿宋_GB2312"/>
          <w:b w:val="0"/>
          <w:bCs w:val="0"/>
          <w:sz w:val="32"/>
          <w:szCs w:val="32"/>
        </w:rPr>
        <w:t>万元，占</w:t>
      </w:r>
      <w:r>
        <w:rPr>
          <w:rFonts w:hint="eastAsia" w:ascii="仿宋_GB2312" w:hAnsi="仿宋_GB2312" w:eastAsia="仿宋_GB2312" w:cs="仿宋_GB2312"/>
          <w:b w:val="0"/>
          <w:bCs w:val="0"/>
          <w:sz w:val="32"/>
          <w:szCs w:val="32"/>
          <w:lang w:val="en-US" w:eastAsia="zh-CN"/>
        </w:rPr>
        <w:t>2.24</w:t>
      </w:r>
      <w:r>
        <w:rPr>
          <w:rFonts w:hint="eastAsia" w:ascii="仿宋_GB2312" w:hAnsi="仿宋_GB2312" w:eastAsia="仿宋_GB2312" w:cs="仿宋_GB2312"/>
          <w:b w:val="0"/>
          <w:bCs w:val="0"/>
          <w:sz w:val="32"/>
          <w:szCs w:val="32"/>
        </w:rPr>
        <w:t>%；住房保障支出</w:t>
      </w:r>
      <w:r>
        <w:rPr>
          <w:rFonts w:hint="eastAsia" w:ascii="仿宋_GB2312" w:hAnsi="仿宋_GB2312" w:eastAsia="仿宋_GB2312" w:cs="仿宋_GB2312"/>
          <w:b w:val="0"/>
          <w:bCs w:val="0"/>
          <w:sz w:val="32"/>
          <w:szCs w:val="32"/>
          <w:lang w:val="en-US" w:eastAsia="zh-CN"/>
        </w:rPr>
        <w:t>97.16</w:t>
      </w:r>
      <w:r>
        <w:rPr>
          <w:rFonts w:hint="eastAsia" w:ascii="仿宋_GB2312" w:hAnsi="仿宋_GB2312" w:eastAsia="仿宋_GB2312" w:cs="仿宋_GB2312"/>
          <w:b w:val="0"/>
          <w:bCs w:val="0"/>
          <w:sz w:val="32"/>
          <w:szCs w:val="32"/>
        </w:rPr>
        <w:t>万元，占</w:t>
      </w:r>
      <w:r>
        <w:rPr>
          <w:rFonts w:hint="eastAsia" w:ascii="仿宋_GB2312" w:hAnsi="仿宋_GB2312" w:eastAsia="仿宋_GB2312" w:cs="仿宋_GB2312"/>
          <w:b w:val="0"/>
          <w:bCs w:val="0"/>
          <w:sz w:val="32"/>
          <w:szCs w:val="32"/>
          <w:lang w:val="en-US" w:eastAsia="zh-CN"/>
        </w:rPr>
        <w:t>4.90</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 xml:space="preserve"> </w:t>
      </w:r>
    </w:p>
    <w:p w14:paraId="1C0CBE0C">
      <w:pPr>
        <w:pStyle w:val="6"/>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b/>
          <w:sz w:val="32"/>
          <w:szCs w:val="32"/>
          <w:lang w:eastAsia="zh-CN"/>
        </w:rPr>
      </w:pPr>
      <w:r>
        <w:rPr>
          <w:rFonts w:hint="eastAsia" w:ascii="仿宋" w:hAnsi="仿宋" w:eastAsia="仿宋"/>
          <w:b/>
          <w:sz w:val="32"/>
          <w:szCs w:val="32"/>
          <w:lang w:eastAsia="zh-CN"/>
        </w:rPr>
        <w:drawing>
          <wp:anchor distT="0" distB="0" distL="114300" distR="114300" simplePos="0" relativeHeight="251664384" behindDoc="0" locked="0" layoutInCell="1" allowOverlap="1">
            <wp:simplePos x="0" y="0"/>
            <wp:positionH relativeFrom="column">
              <wp:posOffset>548005</wp:posOffset>
            </wp:positionH>
            <wp:positionV relativeFrom="paragraph">
              <wp:posOffset>60325</wp:posOffset>
            </wp:positionV>
            <wp:extent cx="4695190" cy="2664460"/>
            <wp:effectExtent l="5080" t="4445" r="5080" b="17145"/>
            <wp:wrapNone/>
            <wp:docPr id="1037"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39177FAB">
      <w:pPr>
        <w:pStyle w:val="6"/>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b/>
          <w:sz w:val="32"/>
          <w:szCs w:val="32"/>
          <w:lang w:eastAsia="zh-CN"/>
        </w:rPr>
      </w:pPr>
    </w:p>
    <w:p w14:paraId="5706FFBE">
      <w:pPr>
        <w:pStyle w:val="6"/>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b/>
          <w:sz w:val="32"/>
          <w:szCs w:val="32"/>
          <w:lang w:eastAsia="zh-CN"/>
        </w:rPr>
      </w:pPr>
    </w:p>
    <w:p w14:paraId="5EB0F1FB">
      <w:pPr>
        <w:pStyle w:val="6"/>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b/>
          <w:sz w:val="32"/>
          <w:szCs w:val="32"/>
          <w:lang w:eastAsia="zh-CN"/>
        </w:rPr>
      </w:pPr>
    </w:p>
    <w:p w14:paraId="07E76DDD">
      <w:pPr>
        <w:pStyle w:val="6"/>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b/>
          <w:sz w:val="32"/>
          <w:szCs w:val="32"/>
          <w:lang w:eastAsia="zh-CN"/>
        </w:rPr>
      </w:pPr>
    </w:p>
    <w:p w14:paraId="3C4C747F">
      <w:pPr>
        <w:pStyle w:val="6"/>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b/>
          <w:sz w:val="32"/>
          <w:szCs w:val="32"/>
          <w:lang w:eastAsia="zh-CN"/>
        </w:rPr>
      </w:pPr>
    </w:p>
    <w:p w14:paraId="31042B93">
      <w:pPr>
        <w:spacing w:line="600" w:lineRule="exact"/>
        <w:jc w:val="center"/>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仿宋_GB2312" w:hAnsi="仿宋_GB2312" w:eastAsia="仿宋_GB2312" w:cs="仿宋_GB2312"/>
          <w:sz w:val="32"/>
          <w:szCs w:val="32"/>
        </w:rPr>
        <w:t>图6：一般公共预算财政拨款支出决算结构</w:t>
      </w:r>
      <w:r>
        <w:rPr>
          <w:rFonts w:hint="eastAsia" w:ascii="楷体_GB2312" w:hAnsi="楷体_GB2312" w:eastAsia="楷体_GB2312" w:cs="楷体_GB2312"/>
          <w:sz w:val="32"/>
          <w:szCs w:val="32"/>
        </w:rPr>
        <w:t>）</w:t>
      </w:r>
    </w:p>
    <w:p w14:paraId="3D0E8606">
      <w:pPr>
        <w:spacing w:line="600" w:lineRule="exact"/>
        <w:ind w:firstLine="640" w:firstLineChars="200"/>
        <w:outlineLvl w:val="2"/>
        <w:rPr>
          <w:rFonts w:hint="eastAsia" w:ascii="仿宋_GB2312" w:hAnsi="仿宋_GB2312" w:eastAsia="仿宋_GB2312" w:cs="仿宋_GB2312"/>
          <w:sz w:val="32"/>
          <w:szCs w:val="32"/>
        </w:rPr>
      </w:pPr>
      <w:bookmarkStart w:id="44" w:name="_Toc15377212"/>
      <w:r>
        <w:rPr>
          <w:rFonts w:hint="eastAsia" w:ascii="仿宋_GB2312" w:hAnsi="仿宋_GB2312" w:eastAsia="仿宋_GB2312" w:cs="仿宋_GB2312"/>
          <w:sz w:val="32"/>
          <w:szCs w:val="32"/>
        </w:rPr>
        <w:t>（三）一般公共预算财政拨款支出决算具体情况</w:t>
      </w:r>
      <w:bookmarkEnd w:id="44"/>
    </w:p>
    <w:p w14:paraId="3A11816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仿宋_GB2312" w:hAnsi="仿宋_GB2312" w:eastAsia="仿宋_GB2312" w:cs="仿宋_GB2312"/>
          <w:b w:val="0"/>
          <w:bCs/>
          <w:sz w:val="32"/>
          <w:szCs w:val="32"/>
        </w:rPr>
      </w:pPr>
      <w:bookmarkStart w:id="45" w:name="_Toc15378460"/>
      <w:bookmarkStart w:id="46" w:name="_Toc15377444"/>
      <w:bookmarkStart w:id="47" w:name="_Toc15377213"/>
      <w:r>
        <w:rPr>
          <w:rFonts w:hint="eastAsia" w:ascii="仿宋_GB2312" w:hAnsi="仿宋_GB2312" w:eastAsia="仿宋_GB2312" w:cs="仿宋_GB2312"/>
          <w:b w:val="0"/>
          <w:bCs/>
          <w:sz w:val="32"/>
          <w:szCs w:val="32"/>
        </w:rPr>
        <w:t>2022年一般公共预算支出决算数为</w:t>
      </w:r>
      <w:r>
        <w:rPr>
          <w:rFonts w:hint="eastAsia" w:ascii="仿宋_GB2312" w:hAnsi="仿宋_GB2312" w:eastAsia="仿宋_GB2312" w:cs="仿宋_GB2312"/>
          <w:b w:val="0"/>
          <w:bCs/>
          <w:sz w:val="32"/>
          <w:szCs w:val="32"/>
          <w:lang w:val="en-US" w:eastAsia="zh-CN"/>
        </w:rPr>
        <w:t>1983.18</w:t>
      </w:r>
      <w:r>
        <w:rPr>
          <w:rFonts w:hint="eastAsia" w:ascii="仿宋_GB2312" w:hAnsi="仿宋_GB2312" w:eastAsia="仿宋_GB2312" w:cs="仿宋_GB2312"/>
          <w:b w:val="0"/>
          <w:bCs/>
          <w:sz w:val="32"/>
          <w:szCs w:val="32"/>
        </w:rPr>
        <w:t>万元，</w:t>
      </w:r>
      <w:r>
        <w:rPr>
          <w:rStyle w:val="19"/>
          <w:rFonts w:hint="eastAsia" w:ascii="仿宋_GB2312" w:hAnsi="仿宋_GB2312" w:eastAsia="仿宋_GB2312" w:cs="仿宋_GB2312"/>
          <w:b w:val="0"/>
          <w:bCs/>
          <w:sz w:val="32"/>
          <w:szCs w:val="32"/>
        </w:rPr>
        <w:t>完成预算</w:t>
      </w:r>
      <w:r>
        <w:rPr>
          <w:rStyle w:val="19"/>
          <w:rFonts w:hint="eastAsia" w:ascii="仿宋_GB2312" w:hAnsi="仿宋_GB2312" w:eastAsia="仿宋_GB2312" w:cs="仿宋_GB2312"/>
          <w:b w:val="0"/>
          <w:bCs/>
          <w:sz w:val="32"/>
          <w:szCs w:val="32"/>
          <w:lang w:val="en-US" w:eastAsia="zh-CN"/>
        </w:rPr>
        <w:t>100</w:t>
      </w:r>
      <w:r>
        <w:rPr>
          <w:rStyle w:val="19"/>
          <w:rFonts w:hint="eastAsia" w:ascii="仿宋_GB2312" w:hAnsi="仿宋_GB2312" w:eastAsia="仿宋_GB2312" w:cs="仿宋_GB2312"/>
          <w:b w:val="0"/>
          <w:bCs/>
          <w:sz w:val="32"/>
          <w:szCs w:val="32"/>
        </w:rPr>
        <w:t>%。其中：</w:t>
      </w:r>
      <w:bookmarkEnd w:id="45"/>
      <w:bookmarkEnd w:id="46"/>
      <w:bookmarkEnd w:id="47"/>
    </w:p>
    <w:p w14:paraId="2F66994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r>
        <w:rPr>
          <w:rStyle w:val="19"/>
          <w:rFonts w:hint="eastAsia" w:ascii="仿宋_GB2312" w:hAnsi="仿宋_GB2312" w:eastAsia="仿宋_GB2312" w:cs="仿宋_GB2312"/>
          <w:b w:val="0"/>
          <w:bCs/>
          <w:sz w:val="32"/>
          <w:szCs w:val="32"/>
        </w:rPr>
        <w:t>1.一般公共服务（类）</w:t>
      </w:r>
      <w:r>
        <w:rPr>
          <w:rStyle w:val="19"/>
          <w:rFonts w:hint="eastAsia" w:ascii="仿宋_GB2312" w:hAnsi="仿宋_GB2312" w:eastAsia="仿宋_GB2312" w:cs="仿宋_GB2312"/>
          <w:b w:val="0"/>
          <w:bCs/>
          <w:sz w:val="32"/>
          <w:szCs w:val="32"/>
          <w:lang w:val="en-US" w:eastAsia="zh-CN"/>
        </w:rPr>
        <w:t>财政事务</w:t>
      </w:r>
      <w:r>
        <w:rPr>
          <w:rStyle w:val="19"/>
          <w:rFonts w:hint="eastAsia" w:ascii="仿宋_GB2312" w:hAnsi="仿宋_GB2312" w:eastAsia="仿宋_GB2312" w:cs="仿宋_GB2312"/>
          <w:b w:val="0"/>
          <w:bCs/>
          <w:sz w:val="32"/>
          <w:szCs w:val="32"/>
        </w:rPr>
        <w:t>（款）</w:t>
      </w:r>
      <w:r>
        <w:rPr>
          <w:rStyle w:val="19"/>
          <w:rFonts w:hint="eastAsia" w:ascii="仿宋_GB2312" w:hAnsi="仿宋_GB2312" w:eastAsia="仿宋_GB2312" w:cs="仿宋_GB2312"/>
          <w:b w:val="0"/>
          <w:bCs/>
          <w:sz w:val="32"/>
          <w:szCs w:val="32"/>
          <w:lang w:val="en-US" w:eastAsia="zh-CN"/>
        </w:rPr>
        <w:t>行政运行</w:t>
      </w:r>
      <w:r>
        <w:rPr>
          <w:rStyle w:val="19"/>
          <w:rFonts w:hint="eastAsia" w:ascii="仿宋_GB2312" w:hAnsi="仿宋_GB2312" w:eastAsia="仿宋_GB2312" w:cs="仿宋_GB2312"/>
          <w:b w:val="0"/>
          <w:bCs/>
          <w:sz w:val="32"/>
          <w:szCs w:val="32"/>
        </w:rPr>
        <w:t>（项）: 支出决算为</w:t>
      </w:r>
      <w:r>
        <w:rPr>
          <w:rStyle w:val="19"/>
          <w:rFonts w:hint="eastAsia" w:ascii="仿宋_GB2312" w:hAnsi="仿宋_GB2312" w:eastAsia="仿宋_GB2312" w:cs="仿宋_GB2312"/>
          <w:b w:val="0"/>
          <w:bCs/>
          <w:sz w:val="32"/>
          <w:szCs w:val="32"/>
          <w:lang w:val="en-US" w:eastAsia="zh-CN"/>
        </w:rPr>
        <w:t>844.13</w:t>
      </w:r>
      <w:r>
        <w:rPr>
          <w:rStyle w:val="19"/>
          <w:rFonts w:hint="eastAsia" w:ascii="仿宋_GB2312" w:hAnsi="仿宋_GB2312" w:eastAsia="仿宋_GB2312" w:cs="仿宋_GB2312"/>
          <w:b w:val="0"/>
          <w:bCs/>
          <w:sz w:val="32"/>
          <w:szCs w:val="32"/>
        </w:rPr>
        <w:t>万元，完成预算</w:t>
      </w:r>
      <w:r>
        <w:rPr>
          <w:rStyle w:val="19"/>
          <w:rFonts w:hint="eastAsia" w:ascii="仿宋_GB2312" w:hAnsi="仿宋_GB2312" w:eastAsia="仿宋_GB2312" w:cs="仿宋_GB2312"/>
          <w:b w:val="0"/>
          <w:bCs/>
          <w:sz w:val="32"/>
          <w:szCs w:val="32"/>
          <w:lang w:val="en-US" w:eastAsia="zh-CN"/>
        </w:rPr>
        <w:t>100</w:t>
      </w:r>
      <w:r>
        <w:rPr>
          <w:rStyle w:val="19"/>
          <w:rFonts w:hint="eastAsia" w:ascii="仿宋_GB2312" w:hAnsi="仿宋_GB2312" w:eastAsia="仿宋_GB2312" w:cs="仿宋_GB2312"/>
          <w:b w:val="0"/>
          <w:bCs/>
          <w:sz w:val="32"/>
          <w:szCs w:val="32"/>
        </w:rPr>
        <w:t>%。</w:t>
      </w:r>
    </w:p>
    <w:p w14:paraId="58BE27D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r>
        <w:rPr>
          <w:rStyle w:val="19"/>
          <w:rFonts w:hint="eastAsia" w:ascii="仿宋_GB2312" w:hAnsi="仿宋_GB2312" w:eastAsia="仿宋_GB2312" w:cs="仿宋_GB2312"/>
          <w:b w:val="0"/>
          <w:bCs/>
          <w:sz w:val="32"/>
          <w:szCs w:val="32"/>
        </w:rPr>
        <w:t>2.一般公共服务（类）</w:t>
      </w:r>
      <w:r>
        <w:rPr>
          <w:rStyle w:val="19"/>
          <w:rFonts w:hint="eastAsia" w:ascii="仿宋_GB2312" w:hAnsi="仿宋_GB2312" w:eastAsia="仿宋_GB2312" w:cs="仿宋_GB2312"/>
          <w:b w:val="0"/>
          <w:bCs/>
          <w:sz w:val="32"/>
          <w:szCs w:val="32"/>
          <w:lang w:val="en-US" w:eastAsia="zh-CN"/>
        </w:rPr>
        <w:t>财政事务</w:t>
      </w:r>
      <w:r>
        <w:rPr>
          <w:rStyle w:val="19"/>
          <w:rFonts w:hint="eastAsia" w:ascii="仿宋_GB2312" w:hAnsi="仿宋_GB2312" w:eastAsia="仿宋_GB2312" w:cs="仿宋_GB2312"/>
          <w:b w:val="0"/>
          <w:bCs/>
          <w:sz w:val="32"/>
          <w:szCs w:val="32"/>
        </w:rPr>
        <w:t>（款）</w:t>
      </w:r>
      <w:r>
        <w:rPr>
          <w:rStyle w:val="19"/>
          <w:rFonts w:hint="eastAsia" w:ascii="仿宋_GB2312" w:hAnsi="仿宋_GB2312" w:eastAsia="仿宋_GB2312" w:cs="仿宋_GB2312"/>
          <w:b w:val="0"/>
          <w:bCs/>
          <w:sz w:val="32"/>
          <w:szCs w:val="32"/>
          <w:lang w:val="en-US" w:eastAsia="zh-CN"/>
        </w:rPr>
        <w:t>一般行政管理事务</w:t>
      </w:r>
      <w:r>
        <w:rPr>
          <w:rStyle w:val="19"/>
          <w:rFonts w:hint="eastAsia" w:ascii="仿宋_GB2312" w:hAnsi="仿宋_GB2312" w:eastAsia="仿宋_GB2312" w:cs="仿宋_GB2312"/>
          <w:b w:val="0"/>
          <w:bCs/>
          <w:sz w:val="32"/>
          <w:szCs w:val="32"/>
        </w:rPr>
        <w:t>（项）: 支出决算为</w:t>
      </w:r>
      <w:r>
        <w:rPr>
          <w:rStyle w:val="19"/>
          <w:rFonts w:hint="eastAsia" w:ascii="仿宋_GB2312" w:hAnsi="仿宋_GB2312" w:eastAsia="仿宋_GB2312" w:cs="仿宋_GB2312"/>
          <w:b w:val="0"/>
          <w:bCs/>
          <w:sz w:val="32"/>
          <w:szCs w:val="32"/>
          <w:lang w:val="en-US" w:eastAsia="zh-CN"/>
        </w:rPr>
        <w:t>258.90</w:t>
      </w:r>
      <w:r>
        <w:rPr>
          <w:rStyle w:val="19"/>
          <w:rFonts w:hint="eastAsia" w:ascii="仿宋_GB2312" w:hAnsi="仿宋_GB2312" w:eastAsia="仿宋_GB2312" w:cs="仿宋_GB2312"/>
          <w:b w:val="0"/>
          <w:bCs/>
          <w:sz w:val="32"/>
          <w:szCs w:val="32"/>
        </w:rPr>
        <w:t>万元，完成预算</w:t>
      </w:r>
      <w:r>
        <w:rPr>
          <w:rStyle w:val="19"/>
          <w:rFonts w:hint="eastAsia" w:ascii="仿宋_GB2312" w:hAnsi="仿宋_GB2312" w:eastAsia="仿宋_GB2312" w:cs="仿宋_GB2312"/>
          <w:b w:val="0"/>
          <w:bCs/>
          <w:sz w:val="32"/>
          <w:szCs w:val="32"/>
          <w:lang w:val="en-US" w:eastAsia="zh-CN"/>
        </w:rPr>
        <w:t>100</w:t>
      </w:r>
      <w:r>
        <w:rPr>
          <w:rStyle w:val="19"/>
          <w:rFonts w:hint="eastAsia" w:ascii="仿宋_GB2312" w:hAnsi="仿宋_GB2312" w:eastAsia="仿宋_GB2312" w:cs="仿宋_GB2312"/>
          <w:b w:val="0"/>
          <w:bCs/>
          <w:sz w:val="32"/>
          <w:szCs w:val="32"/>
        </w:rPr>
        <w:t>%。</w:t>
      </w:r>
    </w:p>
    <w:p w14:paraId="42D1951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r>
        <w:rPr>
          <w:rStyle w:val="19"/>
          <w:rFonts w:hint="eastAsia" w:ascii="仿宋_GB2312" w:hAnsi="仿宋_GB2312" w:eastAsia="仿宋_GB2312" w:cs="仿宋_GB2312"/>
          <w:b w:val="0"/>
          <w:bCs/>
          <w:sz w:val="32"/>
          <w:szCs w:val="32"/>
        </w:rPr>
        <w:t>3.一般公共服务（类）</w:t>
      </w:r>
      <w:r>
        <w:rPr>
          <w:rStyle w:val="19"/>
          <w:rFonts w:hint="eastAsia" w:ascii="仿宋_GB2312" w:hAnsi="仿宋_GB2312" w:eastAsia="仿宋_GB2312" w:cs="仿宋_GB2312"/>
          <w:b w:val="0"/>
          <w:bCs/>
          <w:sz w:val="32"/>
          <w:szCs w:val="32"/>
          <w:lang w:val="en-US" w:eastAsia="zh-CN"/>
        </w:rPr>
        <w:t>财政事务</w:t>
      </w:r>
      <w:r>
        <w:rPr>
          <w:rStyle w:val="19"/>
          <w:rFonts w:hint="eastAsia" w:ascii="仿宋_GB2312" w:hAnsi="仿宋_GB2312" w:eastAsia="仿宋_GB2312" w:cs="仿宋_GB2312"/>
          <w:b w:val="0"/>
          <w:bCs/>
          <w:sz w:val="32"/>
          <w:szCs w:val="32"/>
        </w:rPr>
        <w:t>（款）</w:t>
      </w:r>
      <w:r>
        <w:rPr>
          <w:rStyle w:val="19"/>
          <w:rFonts w:hint="eastAsia" w:ascii="仿宋_GB2312" w:hAnsi="仿宋_GB2312" w:eastAsia="仿宋_GB2312" w:cs="仿宋_GB2312"/>
          <w:b w:val="0"/>
          <w:bCs/>
          <w:sz w:val="32"/>
          <w:szCs w:val="32"/>
          <w:lang w:val="en-US" w:eastAsia="zh-CN"/>
        </w:rPr>
        <w:t>事业运行</w:t>
      </w:r>
      <w:r>
        <w:rPr>
          <w:rStyle w:val="19"/>
          <w:rFonts w:hint="eastAsia" w:ascii="仿宋_GB2312" w:hAnsi="仿宋_GB2312" w:eastAsia="仿宋_GB2312" w:cs="仿宋_GB2312"/>
          <w:b w:val="0"/>
          <w:bCs/>
          <w:sz w:val="32"/>
          <w:szCs w:val="32"/>
        </w:rPr>
        <w:t>（项）: 支出决算为</w:t>
      </w:r>
      <w:r>
        <w:rPr>
          <w:rStyle w:val="19"/>
          <w:rFonts w:hint="eastAsia" w:ascii="仿宋_GB2312" w:hAnsi="仿宋_GB2312" w:eastAsia="仿宋_GB2312" w:cs="仿宋_GB2312"/>
          <w:b w:val="0"/>
          <w:bCs/>
          <w:sz w:val="32"/>
          <w:szCs w:val="32"/>
          <w:lang w:val="en-US" w:eastAsia="zh-CN"/>
        </w:rPr>
        <w:t>503.26</w:t>
      </w:r>
      <w:r>
        <w:rPr>
          <w:rStyle w:val="19"/>
          <w:rFonts w:hint="eastAsia" w:ascii="仿宋_GB2312" w:hAnsi="仿宋_GB2312" w:eastAsia="仿宋_GB2312" w:cs="仿宋_GB2312"/>
          <w:b w:val="0"/>
          <w:bCs/>
          <w:sz w:val="32"/>
          <w:szCs w:val="32"/>
        </w:rPr>
        <w:t>万元，完成预算</w:t>
      </w:r>
      <w:r>
        <w:rPr>
          <w:rStyle w:val="19"/>
          <w:rFonts w:hint="eastAsia" w:ascii="仿宋_GB2312" w:hAnsi="仿宋_GB2312" w:eastAsia="仿宋_GB2312" w:cs="仿宋_GB2312"/>
          <w:b w:val="0"/>
          <w:bCs/>
          <w:sz w:val="32"/>
          <w:szCs w:val="32"/>
          <w:lang w:val="en-US" w:eastAsia="zh-CN"/>
        </w:rPr>
        <w:t>100</w:t>
      </w:r>
      <w:r>
        <w:rPr>
          <w:rStyle w:val="19"/>
          <w:rFonts w:hint="eastAsia" w:ascii="仿宋_GB2312" w:hAnsi="仿宋_GB2312" w:eastAsia="仿宋_GB2312" w:cs="仿宋_GB2312"/>
          <w:b w:val="0"/>
          <w:bCs/>
          <w:sz w:val="32"/>
          <w:szCs w:val="32"/>
        </w:rPr>
        <w:t>%。</w:t>
      </w:r>
    </w:p>
    <w:p w14:paraId="364C77D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r>
        <w:rPr>
          <w:rStyle w:val="19"/>
          <w:rFonts w:hint="eastAsia" w:ascii="仿宋_GB2312" w:hAnsi="仿宋_GB2312" w:eastAsia="仿宋_GB2312" w:cs="仿宋_GB2312"/>
          <w:b w:val="0"/>
          <w:bCs/>
          <w:sz w:val="32"/>
          <w:szCs w:val="32"/>
        </w:rPr>
        <w:t>4.一般公共服务（类）</w:t>
      </w:r>
      <w:r>
        <w:rPr>
          <w:rStyle w:val="19"/>
          <w:rFonts w:hint="eastAsia" w:ascii="仿宋_GB2312" w:hAnsi="仿宋_GB2312" w:eastAsia="仿宋_GB2312" w:cs="仿宋_GB2312"/>
          <w:b w:val="0"/>
          <w:bCs/>
          <w:sz w:val="32"/>
          <w:szCs w:val="32"/>
          <w:lang w:val="en-US" w:eastAsia="zh-CN"/>
        </w:rPr>
        <w:t>财政事务</w:t>
      </w:r>
      <w:r>
        <w:rPr>
          <w:rStyle w:val="19"/>
          <w:rFonts w:hint="eastAsia" w:ascii="仿宋_GB2312" w:hAnsi="仿宋_GB2312" w:eastAsia="仿宋_GB2312" w:cs="仿宋_GB2312"/>
          <w:b w:val="0"/>
          <w:bCs/>
          <w:sz w:val="32"/>
          <w:szCs w:val="32"/>
        </w:rPr>
        <w:t>（款）</w:t>
      </w:r>
      <w:r>
        <w:rPr>
          <w:rStyle w:val="19"/>
          <w:rFonts w:hint="eastAsia" w:ascii="仿宋_GB2312" w:hAnsi="仿宋_GB2312" w:eastAsia="仿宋_GB2312" w:cs="仿宋_GB2312"/>
          <w:b w:val="0"/>
          <w:bCs/>
          <w:sz w:val="32"/>
          <w:szCs w:val="32"/>
          <w:lang w:val="en-US" w:eastAsia="zh-CN"/>
        </w:rPr>
        <w:t>其他财政事务支出</w:t>
      </w:r>
      <w:r>
        <w:rPr>
          <w:rStyle w:val="19"/>
          <w:rFonts w:hint="eastAsia" w:ascii="仿宋_GB2312" w:hAnsi="仿宋_GB2312" w:eastAsia="仿宋_GB2312" w:cs="仿宋_GB2312"/>
          <w:b w:val="0"/>
          <w:bCs/>
          <w:sz w:val="32"/>
          <w:szCs w:val="32"/>
        </w:rPr>
        <w:t>（项）: 支出决算为</w:t>
      </w:r>
      <w:r>
        <w:rPr>
          <w:rStyle w:val="19"/>
          <w:rFonts w:hint="eastAsia" w:ascii="仿宋_GB2312" w:hAnsi="仿宋_GB2312" w:eastAsia="仿宋_GB2312" w:cs="仿宋_GB2312"/>
          <w:b w:val="0"/>
          <w:bCs/>
          <w:sz w:val="32"/>
          <w:szCs w:val="32"/>
          <w:lang w:val="en-US" w:eastAsia="zh-CN"/>
        </w:rPr>
        <w:t>112.80</w:t>
      </w:r>
      <w:r>
        <w:rPr>
          <w:rStyle w:val="19"/>
          <w:rFonts w:hint="eastAsia" w:ascii="仿宋_GB2312" w:hAnsi="仿宋_GB2312" w:eastAsia="仿宋_GB2312" w:cs="仿宋_GB2312"/>
          <w:b w:val="0"/>
          <w:bCs/>
          <w:sz w:val="32"/>
          <w:szCs w:val="32"/>
        </w:rPr>
        <w:t>万元，完成预算</w:t>
      </w:r>
      <w:r>
        <w:rPr>
          <w:rStyle w:val="19"/>
          <w:rFonts w:hint="eastAsia" w:ascii="仿宋_GB2312" w:hAnsi="仿宋_GB2312" w:eastAsia="仿宋_GB2312" w:cs="仿宋_GB2312"/>
          <w:b w:val="0"/>
          <w:bCs/>
          <w:sz w:val="32"/>
          <w:szCs w:val="32"/>
          <w:lang w:val="en-US" w:eastAsia="zh-CN"/>
        </w:rPr>
        <w:t>100</w:t>
      </w:r>
      <w:r>
        <w:rPr>
          <w:rStyle w:val="19"/>
          <w:rFonts w:hint="eastAsia" w:ascii="仿宋_GB2312" w:hAnsi="仿宋_GB2312" w:eastAsia="仿宋_GB2312" w:cs="仿宋_GB2312"/>
          <w:b w:val="0"/>
          <w:bCs/>
          <w:sz w:val="32"/>
          <w:szCs w:val="32"/>
        </w:rPr>
        <w:t>%。</w:t>
      </w:r>
    </w:p>
    <w:p w14:paraId="750059C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r>
        <w:rPr>
          <w:rStyle w:val="19"/>
          <w:rFonts w:hint="eastAsia" w:ascii="仿宋_GB2312" w:hAnsi="仿宋_GB2312" w:eastAsia="仿宋_GB2312" w:cs="仿宋_GB2312"/>
          <w:b w:val="0"/>
          <w:bCs/>
          <w:sz w:val="32"/>
          <w:szCs w:val="32"/>
        </w:rPr>
        <w:t>5.社会保障和就业支出（类）行政事业单位养老支出（款）  机关事业单位基本养老保险缴费支出（项）: 支出决算为</w:t>
      </w:r>
      <w:r>
        <w:rPr>
          <w:rStyle w:val="19"/>
          <w:rFonts w:hint="eastAsia" w:ascii="仿宋_GB2312" w:hAnsi="仿宋_GB2312" w:eastAsia="仿宋_GB2312" w:cs="仿宋_GB2312"/>
          <w:b w:val="0"/>
          <w:bCs/>
          <w:sz w:val="32"/>
          <w:szCs w:val="32"/>
          <w:lang w:val="en-US" w:eastAsia="zh-CN"/>
        </w:rPr>
        <w:t>77.07</w:t>
      </w:r>
      <w:r>
        <w:rPr>
          <w:rStyle w:val="19"/>
          <w:rFonts w:hint="eastAsia" w:ascii="仿宋_GB2312" w:hAnsi="仿宋_GB2312" w:eastAsia="仿宋_GB2312" w:cs="仿宋_GB2312"/>
          <w:b w:val="0"/>
          <w:bCs/>
          <w:sz w:val="32"/>
          <w:szCs w:val="32"/>
        </w:rPr>
        <w:t>万元，完成预算</w:t>
      </w:r>
      <w:r>
        <w:rPr>
          <w:rStyle w:val="19"/>
          <w:rFonts w:hint="eastAsia" w:ascii="仿宋_GB2312" w:hAnsi="仿宋_GB2312" w:eastAsia="仿宋_GB2312" w:cs="仿宋_GB2312"/>
          <w:b w:val="0"/>
          <w:bCs/>
          <w:sz w:val="32"/>
          <w:szCs w:val="32"/>
          <w:lang w:val="en-US" w:eastAsia="zh-CN"/>
        </w:rPr>
        <w:t>100</w:t>
      </w:r>
      <w:r>
        <w:rPr>
          <w:rStyle w:val="19"/>
          <w:rFonts w:hint="eastAsia" w:ascii="仿宋_GB2312" w:hAnsi="仿宋_GB2312" w:eastAsia="仿宋_GB2312" w:cs="仿宋_GB2312"/>
          <w:b w:val="0"/>
          <w:bCs/>
          <w:sz w:val="32"/>
          <w:szCs w:val="32"/>
        </w:rPr>
        <w:t>%。</w:t>
      </w:r>
    </w:p>
    <w:p w14:paraId="39FF65B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Style w:val="19"/>
          <w:rFonts w:hint="eastAsia" w:ascii="仿宋_GB2312" w:hAnsi="仿宋_GB2312" w:eastAsia="仿宋_GB2312" w:cs="仿宋_GB2312"/>
          <w:b w:val="0"/>
          <w:bCs/>
          <w:sz w:val="32"/>
          <w:szCs w:val="32"/>
        </w:rPr>
      </w:pPr>
      <w:r>
        <w:rPr>
          <w:rStyle w:val="19"/>
          <w:rFonts w:hint="eastAsia" w:ascii="仿宋_GB2312" w:hAnsi="仿宋_GB2312" w:eastAsia="仿宋_GB2312" w:cs="仿宋_GB2312"/>
          <w:b w:val="0"/>
          <w:bCs/>
          <w:sz w:val="32"/>
          <w:szCs w:val="32"/>
        </w:rPr>
        <w:t>6.社会保障和就业支出（类）行政事业单位养老支出（款）机关事业单位职业年金缴费支出（项）:支出决算为</w:t>
      </w:r>
      <w:r>
        <w:rPr>
          <w:rStyle w:val="19"/>
          <w:rFonts w:hint="eastAsia" w:ascii="仿宋_GB2312" w:hAnsi="仿宋_GB2312" w:eastAsia="仿宋_GB2312" w:cs="仿宋_GB2312"/>
          <w:b w:val="0"/>
          <w:bCs/>
          <w:sz w:val="32"/>
          <w:szCs w:val="32"/>
          <w:lang w:val="en-US" w:eastAsia="zh-CN"/>
        </w:rPr>
        <w:t>41.23</w:t>
      </w:r>
      <w:r>
        <w:rPr>
          <w:rStyle w:val="19"/>
          <w:rFonts w:hint="eastAsia" w:ascii="仿宋_GB2312" w:hAnsi="仿宋_GB2312" w:eastAsia="仿宋_GB2312" w:cs="仿宋_GB2312"/>
          <w:b w:val="0"/>
          <w:bCs/>
          <w:sz w:val="32"/>
          <w:szCs w:val="32"/>
        </w:rPr>
        <w:t>万元，完成预算</w:t>
      </w:r>
      <w:r>
        <w:rPr>
          <w:rStyle w:val="19"/>
          <w:rFonts w:hint="eastAsia" w:ascii="仿宋_GB2312" w:hAnsi="仿宋_GB2312" w:eastAsia="仿宋_GB2312" w:cs="仿宋_GB2312"/>
          <w:b w:val="0"/>
          <w:bCs/>
          <w:sz w:val="32"/>
          <w:szCs w:val="32"/>
          <w:lang w:val="en-US" w:eastAsia="zh-CN"/>
        </w:rPr>
        <w:t>100</w:t>
      </w:r>
      <w:r>
        <w:rPr>
          <w:rStyle w:val="19"/>
          <w:rFonts w:hint="eastAsia" w:ascii="仿宋_GB2312" w:hAnsi="仿宋_GB2312" w:eastAsia="仿宋_GB2312" w:cs="仿宋_GB2312"/>
          <w:b w:val="0"/>
          <w:bCs/>
          <w:sz w:val="32"/>
          <w:szCs w:val="32"/>
        </w:rPr>
        <w:t>%。</w:t>
      </w:r>
    </w:p>
    <w:p w14:paraId="6A6F19A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Style w:val="19"/>
          <w:rFonts w:hint="eastAsia" w:ascii="仿宋_GB2312" w:hAnsi="仿宋_GB2312" w:eastAsia="仿宋_GB2312" w:cs="仿宋_GB2312"/>
          <w:b w:val="0"/>
          <w:bCs/>
          <w:sz w:val="32"/>
          <w:szCs w:val="32"/>
        </w:rPr>
      </w:pPr>
      <w:r>
        <w:rPr>
          <w:rStyle w:val="19"/>
          <w:rFonts w:hint="eastAsia" w:ascii="仿宋_GB2312" w:hAnsi="仿宋_GB2312" w:eastAsia="仿宋_GB2312" w:cs="仿宋_GB2312"/>
          <w:b w:val="0"/>
          <w:bCs/>
          <w:sz w:val="32"/>
          <w:szCs w:val="32"/>
          <w:lang w:val="en-US" w:eastAsia="zh-CN"/>
        </w:rPr>
        <w:t>7.</w:t>
      </w:r>
      <w:r>
        <w:rPr>
          <w:rStyle w:val="19"/>
          <w:rFonts w:hint="eastAsia" w:ascii="仿宋_GB2312" w:hAnsi="仿宋_GB2312" w:eastAsia="仿宋_GB2312" w:cs="仿宋_GB2312"/>
          <w:b w:val="0"/>
          <w:bCs/>
          <w:sz w:val="32"/>
          <w:szCs w:val="32"/>
        </w:rPr>
        <w:t>社会保障和就业支出（类）</w:t>
      </w:r>
      <w:r>
        <w:rPr>
          <w:rStyle w:val="19"/>
          <w:rFonts w:hint="eastAsia" w:ascii="仿宋_GB2312" w:hAnsi="仿宋_GB2312" w:eastAsia="仿宋_GB2312" w:cs="仿宋_GB2312"/>
          <w:b w:val="0"/>
          <w:bCs/>
          <w:sz w:val="32"/>
          <w:szCs w:val="32"/>
          <w:lang w:val="en-US" w:eastAsia="zh-CN"/>
        </w:rPr>
        <w:t>抚恤</w:t>
      </w:r>
      <w:r>
        <w:rPr>
          <w:rStyle w:val="19"/>
          <w:rFonts w:hint="eastAsia" w:ascii="仿宋_GB2312" w:hAnsi="仿宋_GB2312" w:eastAsia="仿宋_GB2312" w:cs="仿宋_GB2312"/>
          <w:b w:val="0"/>
          <w:bCs/>
          <w:sz w:val="32"/>
          <w:szCs w:val="32"/>
        </w:rPr>
        <w:t>（款）其他优抚支出（项）:支出决算为</w:t>
      </w:r>
      <w:r>
        <w:rPr>
          <w:rStyle w:val="19"/>
          <w:rFonts w:hint="eastAsia" w:ascii="仿宋_GB2312" w:hAnsi="仿宋_GB2312" w:eastAsia="仿宋_GB2312" w:cs="仿宋_GB2312"/>
          <w:b w:val="0"/>
          <w:bCs/>
          <w:sz w:val="32"/>
          <w:szCs w:val="32"/>
          <w:lang w:val="en-US" w:eastAsia="zh-CN"/>
        </w:rPr>
        <w:t>0.64</w:t>
      </w:r>
      <w:r>
        <w:rPr>
          <w:rStyle w:val="19"/>
          <w:rFonts w:hint="eastAsia" w:ascii="仿宋_GB2312" w:hAnsi="仿宋_GB2312" w:eastAsia="仿宋_GB2312" w:cs="仿宋_GB2312"/>
          <w:b w:val="0"/>
          <w:bCs/>
          <w:sz w:val="32"/>
          <w:szCs w:val="32"/>
        </w:rPr>
        <w:t>万元，完成预算</w:t>
      </w:r>
      <w:r>
        <w:rPr>
          <w:rStyle w:val="19"/>
          <w:rFonts w:hint="eastAsia" w:ascii="仿宋_GB2312" w:hAnsi="仿宋_GB2312" w:eastAsia="仿宋_GB2312" w:cs="仿宋_GB2312"/>
          <w:b w:val="0"/>
          <w:bCs/>
          <w:sz w:val="32"/>
          <w:szCs w:val="32"/>
          <w:lang w:val="en-US" w:eastAsia="zh-CN"/>
        </w:rPr>
        <w:t>100</w:t>
      </w:r>
      <w:r>
        <w:rPr>
          <w:rStyle w:val="19"/>
          <w:rFonts w:hint="eastAsia" w:ascii="仿宋_GB2312" w:hAnsi="仿宋_GB2312" w:eastAsia="仿宋_GB2312" w:cs="仿宋_GB2312"/>
          <w:b w:val="0"/>
          <w:bCs/>
          <w:sz w:val="32"/>
          <w:szCs w:val="32"/>
        </w:rPr>
        <w:t>%。</w:t>
      </w:r>
    </w:p>
    <w:p w14:paraId="11753B1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Style w:val="19"/>
          <w:rFonts w:hint="eastAsia" w:ascii="仿宋_GB2312" w:hAnsi="仿宋_GB2312" w:eastAsia="仿宋_GB2312" w:cs="仿宋_GB2312"/>
          <w:b w:val="0"/>
          <w:bCs/>
          <w:sz w:val="32"/>
          <w:szCs w:val="32"/>
        </w:rPr>
      </w:pPr>
      <w:r>
        <w:rPr>
          <w:rStyle w:val="19"/>
          <w:rFonts w:hint="eastAsia" w:ascii="仿宋_GB2312" w:hAnsi="仿宋_GB2312" w:eastAsia="仿宋_GB2312" w:cs="仿宋_GB2312"/>
          <w:b w:val="0"/>
          <w:bCs/>
          <w:sz w:val="32"/>
          <w:szCs w:val="32"/>
          <w:lang w:val="en-US" w:eastAsia="zh-CN"/>
        </w:rPr>
        <w:t>8.</w:t>
      </w:r>
      <w:r>
        <w:rPr>
          <w:rStyle w:val="19"/>
          <w:rFonts w:hint="eastAsia" w:ascii="仿宋_GB2312" w:hAnsi="仿宋_GB2312" w:eastAsia="仿宋_GB2312" w:cs="仿宋_GB2312"/>
          <w:b w:val="0"/>
          <w:bCs/>
          <w:sz w:val="32"/>
          <w:szCs w:val="32"/>
        </w:rPr>
        <w:t>社会保障和就业支出（类）</w:t>
      </w:r>
      <w:r>
        <w:rPr>
          <w:rStyle w:val="19"/>
          <w:rFonts w:hint="eastAsia" w:ascii="仿宋_GB2312" w:hAnsi="仿宋_GB2312" w:eastAsia="仿宋_GB2312" w:cs="仿宋_GB2312"/>
          <w:b w:val="0"/>
          <w:bCs/>
          <w:sz w:val="32"/>
          <w:szCs w:val="32"/>
          <w:lang w:val="en-US" w:eastAsia="zh-CN"/>
        </w:rPr>
        <w:t>其他社会保障和就业支出</w:t>
      </w:r>
      <w:r>
        <w:rPr>
          <w:rStyle w:val="19"/>
          <w:rFonts w:hint="eastAsia" w:ascii="仿宋_GB2312" w:hAnsi="仿宋_GB2312" w:eastAsia="仿宋_GB2312" w:cs="仿宋_GB2312"/>
          <w:b w:val="0"/>
          <w:bCs/>
          <w:sz w:val="32"/>
          <w:szCs w:val="32"/>
        </w:rPr>
        <w:t>（款）其他社会保障和就业支出（项）:支出决算为</w:t>
      </w:r>
      <w:r>
        <w:rPr>
          <w:rStyle w:val="19"/>
          <w:rFonts w:hint="eastAsia" w:ascii="仿宋_GB2312" w:hAnsi="仿宋_GB2312" w:eastAsia="仿宋_GB2312" w:cs="仿宋_GB2312"/>
          <w:b w:val="0"/>
          <w:bCs/>
          <w:sz w:val="32"/>
          <w:szCs w:val="32"/>
          <w:lang w:val="en-US" w:eastAsia="zh-CN"/>
        </w:rPr>
        <w:t>3.57</w:t>
      </w:r>
      <w:r>
        <w:rPr>
          <w:rStyle w:val="19"/>
          <w:rFonts w:hint="eastAsia" w:ascii="仿宋_GB2312" w:hAnsi="仿宋_GB2312" w:eastAsia="仿宋_GB2312" w:cs="仿宋_GB2312"/>
          <w:b w:val="0"/>
          <w:bCs/>
          <w:sz w:val="32"/>
          <w:szCs w:val="32"/>
        </w:rPr>
        <w:t>万元，完成预算</w:t>
      </w:r>
      <w:r>
        <w:rPr>
          <w:rStyle w:val="19"/>
          <w:rFonts w:hint="eastAsia" w:ascii="仿宋_GB2312" w:hAnsi="仿宋_GB2312" w:eastAsia="仿宋_GB2312" w:cs="仿宋_GB2312"/>
          <w:b w:val="0"/>
          <w:bCs/>
          <w:sz w:val="32"/>
          <w:szCs w:val="32"/>
          <w:lang w:val="en-US" w:eastAsia="zh-CN"/>
        </w:rPr>
        <w:t>100</w:t>
      </w:r>
      <w:r>
        <w:rPr>
          <w:rStyle w:val="19"/>
          <w:rFonts w:hint="eastAsia" w:ascii="仿宋_GB2312" w:hAnsi="仿宋_GB2312" w:eastAsia="仿宋_GB2312" w:cs="仿宋_GB2312"/>
          <w:b w:val="0"/>
          <w:bCs/>
          <w:sz w:val="32"/>
          <w:szCs w:val="32"/>
        </w:rPr>
        <w:t>%。</w:t>
      </w:r>
    </w:p>
    <w:p w14:paraId="3796B6A1">
      <w:pPr>
        <w:pStyle w:val="6"/>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Style w:val="19"/>
          <w:rFonts w:hint="eastAsia" w:ascii="仿宋_GB2312" w:hAnsi="仿宋_GB2312" w:eastAsia="仿宋_GB2312" w:cs="仿宋_GB2312"/>
          <w:b w:val="0"/>
          <w:bCs/>
          <w:sz w:val="32"/>
          <w:szCs w:val="32"/>
        </w:rPr>
      </w:pPr>
      <w:r>
        <w:rPr>
          <w:rStyle w:val="19"/>
          <w:rFonts w:hint="eastAsia" w:ascii="仿宋_GB2312" w:hAnsi="仿宋_GB2312" w:eastAsia="仿宋_GB2312" w:cs="仿宋_GB2312"/>
          <w:b w:val="0"/>
          <w:bCs/>
          <w:sz w:val="32"/>
          <w:szCs w:val="32"/>
          <w:lang w:val="en-US" w:eastAsia="zh-CN"/>
        </w:rPr>
        <w:t>9.</w:t>
      </w:r>
      <w:r>
        <w:rPr>
          <w:rStyle w:val="19"/>
          <w:rFonts w:hint="eastAsia" w:ascii="仿宋_GB2312" w:hAnsi="仿宋_GB2312" w:eastAsia="仿宋_GB2312" w:cs="仿宋_GB2312"/>
          <w:b w:val="0"/>
          <w:bCs/>
          <w:sz w:val="32"/>
          <w:szCs w:val="32"/>
        </w:rPr>
        <w:t>卫生健康支出（类）</w:t>
      </w:r>
      <w:r>
        <w:rPr>
          <w:rStyle w:val="19"/>
          <w:rFonts w:hint="eastAsia" w:ascii="仿宋_GB2312" w:hAnsi="仿宋_GB2312" w:eastAsia="仿宋_GB2312" w:cs="仿宋_GB2312"/>
          <w:b w:val="0"/>
          <w:bCs/>
          <w:sz w:val="32"/>
          <w:szCs w:val="32"/>
          <w:lang w:val="en-US" w:eastAsia="zh-CN"/>
        </w:rPr>
        <w:t>行政事业单位医疗</w:t>
      </w:r>
      <w:r>
        <w:rPr>
          <w:rStyle w:val="19"/>
          <w:rFonts w:hint="eastAsia" w:ascii="仿宋_GB2312" w:hAnsi="仿宋_GB2312" w:eastAsia="仿宋_GB2312" w:cs="仿宋_GB2312"/>
          <w:b w:val="0"/>
          <w:bCs/>
          <w:sz w:val="32"/>
          <w:szCs w:val="32"/>
        </w:rPr>
        <w:t>（款）行政单位医疗（项）:支出决算为</w:t>
      </w:r>
      <w:r>
        <w:rPr>
          <w:rStyle w:val="19"/>
          <w:rFonts w:hint="eastAsia" w:ascii="仿宋_GB2312" w:hAnsi="仿宋_GB2312" w:eastAsia="仿宋_GB2312" w:cs="仿宋_GB2312"/>
          <w:b w:val="0"/>
          <w:bCs/>
          <w:sz w:val="32"/>
          <w:szCs w:val="32"/>
          <w:highlight w:val="none"/>
          <w:lang w:val="en-US" w:eastAsia="zh-CN"/>
        </w:rPr>
        <w:t>36.43</w:t>
      </w:r>
      <w:r>
        <w:rPr>
          <w:rStyle w:val="19"/>
          <w:rFonts w:hint="eastAsia" w:ascii="仿宋_GB2312" w:hAnsi="仿宋_GB2312" w:eastAsia="仿宋_GB2312" w:cs="仿宋_GB2312"/>
          <w:b w:val="0"/>
          <w:bCs/>
          <w:sz w:val="32"/>
          <w:szCs w:val="32"/>
        </w:rPr>
        <w:t>万元，完成预算</w:t>
      </w:r>
      <w:r>
        <w:rPr>
          <w:rStyle w:val="19"/>
          <w:rFonts w:hint="eastAsia" w:ascii="仿宋_GB2312" w:hAnsi="仿宋_GB2312" w:eastAsia="仿宋_GB2312" w:cs="仿宋_GB2312"/>
          <w:b w:val="0"/>
          <w:bCs/>
          <w:sz w:val="32"/>
          <w:szCs w:val="32"/>
          <w:lang w:val="en-US" w:eastAsia="zh-CN"/>
        </w:rPr>
        <w:t>100</w:t>
      </w:r>
      <w:r>
        <w:rPr>
          <w:rStyle w:val="19"/>
          <w:rFonts w:hint="eastAsia" w:ascii="仿宋_GB2312" w:hAnsi="仿宋_GB2312" w:eastAsia="仿宋_GB2312" w:cs="仿宋_GB2312"/>
          <w:b w:val="0"/>
          <w:bCs/>
          <w:sz w:val="32"/>
          <w:szCs w:val="32"/>
        </w:rPr>
        <w:t>%。</w:t>
      </w:r>
    </w:p>
    <w:p w14:paraId="427CC4BB">
      <w:pPr>
        <w:pStyle w:val="6"/>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Style w:val="19"/>
          <w:rFonts w:hint="eastAsia" w:ascii="仿宋_GB2312" w:hAnsi="仿宋_GB2312" w:eastAsia="仿宋_GB2312" w:cs="仿宋_GB2312"/>
          <w:b w:val="0"/>
          <w:bCs/>
          <w:sz w:val="32"/>
          <w:szCs w:val="32"/>
        </w:rPr>
      </w:pPr>
      <w:r>
        <w:rPr>
          <w:rStyle w:val="19"/>
          <w:rFonts w:hint="eastAsia" w:ascii="仿宋_GB2312" w:hAnsi="仿宋_GB2312" w:eastAsia="仿宋_GB2312" w:cs="仿宋_GB2312"/>
          <w:b w:val="0"/>
          <w:bCs/>
          <w:sz w:val="32"/>
          <w:szCs w:val="32"/>
          <w:lang w:val="en-US" w:eastAsia="zh-CN"/>
        </w:rPr>
        <w:t>10.</w:t>
      </w:r>
      <w:r>
        <w:rPr>
          <w:rStyle w:val="19"/>
          <w:rFonts w:hint="eastAsia" w:ascii="仿宋_GB2312" w:hAnsi="仿宋_GB2312" w:eastAsia="仿宋_GB2312" w:cs="仿宋_GB2312"/>
          <w:b w:val="0"/>
          <w:bCs/>
          <w:sz w:val="32"/>
          <w:szCs w:val="32"/>
        </w:rPr>
        <w:t>卫生健康支出（类）</w:t>
      </w:r>
      <w:r>
        <w:rPr>
          <w:rStyle w:val="19"/>
          <w:rFonts w:hint="eastAsia" w:ascii="仿宋_GB2312" w:hAnsi="仿宋_GB2312" w:eastAsia="仿宋_GB2312" w:cs="仿宋_GB2312"/>
          <w:b w:val="0"/>
          <w:bCs/>
          <w:sz w:val="32"/>
          <w:szCs w:val="32"/>
          <w:lang w:val="en-US" w:eastAsia="zh-CN"/>
        </w:rPr>
        <w:t>行政事业单位医疗</w:t>
      </w:r>
      <w:r>
        <w:rPr>
          <w:rStyle w:val="19"/>
          <w:rFonts w:hint="eastAsia" w:ascii="仿宋_GB2312" w:hAnsi="仿宋_GB2312" w:eastAsia="仿宋_GB2312" w:cs="仿宋_GB2312"/>
          <w:b w:val="0"/>
          <w:bCs/>
          <w:sz w:val="32"/>
          <w:szCs w:val="32"/>
        </w:rPr>
        <w:t>（款）</w:t>
      </w:r>
      <w:r>
        <w:rPr>
          <w:rStyle w:val="19"/>
          <w:rFonts w:hint="eastAsia" w:ascii="仿宋_GB2312" w:hAnsi="仿宋_GB2312" w:eastAsia="仿宋_GB2312" w:cs="仿宋_GB2312"/>
          <w:b w:val="0"/>
          <w:bCs/>
          <w:sz w:val="32"/>
          <w:szCs w:val="32"/>
          <w:lang w:val="en-US" w:eastAsia="zh-CN"/>
        </w:rPr>
        <w:t>事业</w:t>
      </w:r>
      <w:r>
        <w:rPr>
          <w:rStyle w:val="19"/>
          <w:rFonts w:hint="eastAsia" w:ascii="仿宋_GB2312" w:hAnsi="仿宋_GB2312" w:eastAsia="仿宋_GB2312" w:cs="仿宋_GB2312"/>
          <w:b w:val="0"/>
          <w:bCs/>
          <w:sz w:val="32"/>
          <w:szCs w:val="32"/>
        </w:rPr>
        <w:t>单位医疗（项）:支出决算为</w:t>
      </w:r>
      <w:r>
        <w:rPr>
          <w:rStyle w:val="19"/>
          <w:rFonts w:hint="eastAsia" w:ascii="仿宋_GB2312" w:hAnsi="仿宋_GB2312" w:eastAsia="仿宋_GB2312" w:cs="仿宋_GB2312"/>
          <w:b w:val="0"/>
          <w:bCs/>
          <w:sz w:val="32"/>
          <w:szCs w:val="32"/>
          <w:lang w:val="en-US" w:eastAsia="zh-CN"/>
        </w:rPr>
        <w:t>7.99</w:t>
      </w:r>
      <w:r>
        <w:rPr>
          <w:rStyle w:val="19"/>
          <w:rFonts w:hint="eastAsia" w:ascii="仿宋_GB2312" w:hAnsi="仿宋_GB2312" w:eastAsia="仿宋_GB2312" w:cs="仿宋_GB2312"/>
          <w:b w:val="0"/>
          <w:bCs/>
          <w:sz w:val="32"/>
          <w:szCs w:val="32"/>
        </w:rPr>
        <w:t>万元，完成预算</w:t>
      </w:r>
      <w:r>
        <w:rPr>
          <w:rStyle w:val="19"/>
          <w:rFonts w:hint="eastAsia" w:ascii="仿宋_GB2312" w:hAnsi="仿宋_GB2312" w:eastAsia="仿宋_GB2312" w:cs="仿宋_GB2312"/>
          <w:b w:val="0"/>
          <w:bCs/>
          <w:sz w:val="32"/>
          <w:szCs w:val="32"/>
          <w:lang w:val="en-US" w:eastAsia="zh-CN"/>
        </w:rPr>
        <w:t>100</w:t>
      </w:r>
      <w:r>
        <w:rPr>
          <w:rStyle w:val="19"/>
          <w:rFonts w:hint="eastAsia" w:ascii="仿宋_GB2312" w:hAnsi="仿宋_GB2312" w:eastAsia="仿宋_GB2312" w:cs="仿宋_GB2312"/>
          <w:b w:val="0"/>
          <w:bCs/>
          <w:sz w:val="32"/>
          <w:szCs w:val="32"/>
        </w:rPr>
        <w:t>%。</w:t>
      </w:r>
    </w:p>
    <w:p w14:paraId="10C2FA4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r>
        <w:rPr>
          <w:rStyle w:val="19"/>
          <w:rFonts w:hint="eastAsia" w:ascii="仿宋_GB2312" w:hAnsi="仿宋_GB2312" w:eastAsia="仿宋_GB2312" w:cs="仿宋_GB2312"/>
          <w:b w:val="0"/>
          <w:bCs/>
          <w:sz w:val="32"/>
          <w:szCs w:val="32"/>
          <w:lang w:val="en-US" w:eastAsia="zh-CN"/>
        </w:rPr>
        <w:t>11.</w:t>
      </w:r>
      <w:r>
        <w:rPr>
          <w:rStyle w:val="19"/>
          <w:rFonts w:hint="eastAsia" w:ascii="仿宋_GB2312" w:hAnsi="仿宋_GB2312" w:eastAsia="仿宋_GB2312" w:cs="仿宋_GB2312"/>
          <w:b w:val="0"/>
          <w:bCs/>
          <w:sz w:val="32"/>
          <w:szCs w:val="32"/>
        </w:rPr>
        <w:t>住房保障支出（类）</w:t>
      </w:r>
      <w:r>
        <w:rPr>
          <w:rStyle w:val="19"/>
          <w:rFonts w:hint="eastAsia" w:ascii="仿宋_GB2312" w:hAnsi="仿宋_GB2312" w:eastAsia="仿宋_GB2312" w:cs="仿宋_GB2312"/>
          <w:b w:val="0"/>
          <w:bCs/>
          <w:sz w:val="32"/>
          <w:szCs w:val="32"/>
          <w:lang w:val="en-US" w:eastAsia="zh-CN"/>
        </w:rPr>
        <w:t>住房改革支出</w:t>
      </w:r>
      <w:r>
        <w:rPr>
          <w:rStyle w:val="19"/>
          <w:rFonts w:hint="eastAsia" w:ascii="仿宋_GB2312" w:hAnsi="仿宋_GB2312" w:eastAsia="仿宋_GB2312" w:cs="仿宋_GB2312"/>
          <w:b w:val="0"/>
          <w:bCs/>
          <w:sz w:val="32"/>
          <w:szCs w:val="32"/>
        </w:rPr>
        <w:t>（款）</w:t>
      </w:r>
      <w:r>
        <w:rPr>
          <w:rStyle w:val="19"/>
          <w:rFonts w:hint="eastAsia" w:ascii="仿宋_GB2312" w:hAnsi="仿宋_GB2312" w:eastAsia="仿宋_GB2312" w:cs="仿宋_GB2312"/>
          <w:b w:val="0"/>
          <w:bCs/>
          <w:sz w:val="32"/>
          <w:szCs w:val="32"/>
          <w:lang w:val="en-US" w:eastAsia="zh-CN"/>
        </w:rPr>
        <w:t>住房公积金</w:t>
      </w:r>
      <w:r>
        <w:rPr>
          <w:rStyle w:val="19"/>
          <w:rFonts w:hint="eastAsia" w:ascii="仿宋_GB2312" w:hAnsi="仿宋_GB2312" w:eastAsia="仿宋_GB2312" w:cs="仿宋_GB2312"/>
          <w:b w:val="0"/>
          <w:bCs/>
          <w:sz w:val="32"/>
          <w:szCs w:val="32"/>
        </w:rPr>
        <w:t>（项）:支出决算为</w:t>
      </w:r>
      <w:r>
        <w:rPr>
          <w:rStyle w:val="19"/>
          <w:rFonts w:hint="eastAsia" w:ascii="仿宋_GB2312" w:hAnsi="仿宋_GB2312" w:eastAsia="仿宋_GB2312" w:cs="仿宋_GB2312"/>
          <w:b w:val="0"/>
          <w:bCs/>
          <w:sz w:val="32"/>
          <w:szCs w:val="32"/>
          <w:lang w:val="en-US" w:eastAsia="zh-CN"/>
        </w:rPr>
        <w:t>97.16</w:t>
      </w:r>
      <w:r>
        <w:rPr>
          <w:rStyle w:val="19"/>
          <w:rFonts w:hint="eastAsia" w:ascii="仿宋_GB2312" w:hAnsi="仿宋_GB2312" w:eastAsia="仿宋_GB2312" w:cs="仿宋_GB2312"/>
          <w:b w:val="0"/>
          <w:bCs/>
          <w:sz w:val="32"/>
          <w:szCs w:val="32"/>
        </w:rPr>
        <w:t>万元，完成预算</w:t>
      </w:r>
      <w:r>
        <w:rPr>
          <w:rStyle w:val="19"/>
          <w:rFonts w:hint="eastAsia" w:ascii="仿宋_GB2312" w:hAnsi="仿宋_GB2312" w:eastAsia="仿宋_GB2312" w:cs="仿宋_GB2312"/>
          <w:b w:val="0"/>
          <w:bCs/>
          <w:sz w:val="32"/>
          <w:szCs w:val="32"/>
          <w:lang w:val="en-US" w:eastAsia="zh-CN"/>
        </w:rPr>
        <w:t>100</w:t>
      </w:r>
      <w:r>
        <w:rPr>
          <w:rStyle w:val="19"/>
          <w:rFonts w:hint="eastAsia" w:ascii="仿宋_GB2312" w:hAnsi="仿宋_GB2312" w:eastAsia="仿宋_GB2312" w:cs="仿宋_GB2312"/>
          <w:b w:val="0"/>
          <w:bCs/>
          <w:sz w:val="32"/>
          <w:szCs w:val="32"/>
        </w:rPr>
        <w:t>%。</w:t>
      </w:r>
    </w:p>
    <w:p w14:paraId="643CBB7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bookmarkStart w:id="48" w:name="_Toc15377214"/>
      <w:bookmarkStart w:id="49" w:name="_Toc15396608"/>
      <w:bookmarkStart w:id="50" w:name="_Toc29879"/>
      <w:r>
        <w:rPr>
          <w:rFonts w:hint="eastAsia" w:ascii="黑体" w:hAnsi="黑体" w:eastAsia="黑体" w:cs="黑体"/>
          <w:sz w:val="32"/>
          <w:szCs w:val="32"/>
        </w:rPr>
        <w:t>六、一般公共预算财政拨款基本支出决算情况说明</w:t>
      </w:r>
      <w:bookmarkEnd w:id="48"/>
      <w:bookmarkEnd w:id="49"/>
      <w:bookmarkEnd w:id="50"/>
      <w:r>
        <w:rPr>
          <w:rFonts w:hint="eastAsia" w:ascii="仿宋_GB2312" w:hAnsi="仿宋_GB2312" w:eastAsia="仿宋_GB2312" w:cs="仿宋_GB2312"/>
          <w:sz w:val="32"/>
          <w:szCs w:val="32"/>
        </w:rPr>
        <w:tab/>
      </w:r>
    </w:p>
    <w:p w14:paraId="147953C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sz w:val="32"/>
          <w:szCs w:val="32"/>
        </w:rPr>
        <w:t>2022年一般公共预算财政拨款基本支出</w:t>
      </w:r>
      <w:r>
        <w:rPr>
          <w:rFonts w:hint="eastAsia" w:ascii="仿宋_GB2312" w:hAnsi="仿宋_GB2312" w:eastAsia="仿宋_GB2312" w:cs="仿宋_GB2312"/>
          <w:sz w:val="32"/>
          <w:szCs w:val="32"/>
          <w:highlight w:val="none"/>
          <w:lang w:val="en-US" w:eastAsia="zh-CN"/>
        </w:rPr>
        <w:t>1611.48</w:t>
      </w:r>
      <w:r>
        <w:rPr>
          <w:rFonts w:hint="eastAsia" w:ascii="仿宋_GB2312" w:hAnsi="仿宋_GB2312" w:eastAsia="仿宋_GB2312" w:cs="仿宋_GB2312"/>
          <w:sz w:val="32"/>
          <w:szCs w:val="32"/>
        </w:rPr>
        <w:t>万元，其中：人员经费</w:t>
      </w:r>
      <w:r>
        <w:rPr>
          <w:rFonts w:hint="eastAsia" w:ascii="仿宋_GB2312" w:hAnsi="仿宋_GB2312" w:eastAsia="仿宋_GB2312" w:cs="仿宋_GB2312"/>
          <w:color w:val="auto"/>
          <w:sz w:val="32"/>
          <w:szCs w:val="32"/>
          <w:lang w:val="en-US" w:eastAsia="zh-CN"/>
        </w:rPr>
        <w:t>1400.33</w:t>
      </w:r>
      <w:r>
        <w:rPr>
          <w:rFonts w:hint="eastAsia" w:ascii="仿宋_GB2312" w:hAnsi="仿宋_GB2312" w:eastAsia="仿宋_GB2312" w:cs="仿宋_GB2312"/>
          <w:color w:val="auto"/>
          <w:sz w:val="32"/>
          <w:szCs w:val="32"/>
        </w:rPr>
        <w:t>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p>
    <w:p w14:paraId="775D6D9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t>公用经费</w:t>
      </w:r>
      <w:r>
        <w:rPr>
          <w:rFonts w:hint="eastAsia" w:ascii="仿宋_GB2312" w:hAnsi="仿宋_GB2312" w:eastAsia="仿宋_GB2312" w:cs="仿宋_GB2312"/>
          <w:color w:val="auto"/>
          <w:sz w:val="32"/>
          <w:szCs w:val="32"/>
          <w:lang w:val="en-US" w:eastAsia="zh-CN"/>
        </w:rPr>
        <w:t>211.15</w:t>
      </w:r>
      <w:r>
        <w:rPr>
          <w:rFonts w:hint="eastAsia" w:ascii="仿宋_GB2312" w:hAnsi="仿宋_GB2312" w:eastAsia="仿宋_GB2312" w:cs="仿宋_GB2312"/>
          <w:sz w:val="32"/>
          <w:szCs w:val="32"/>
        </w:rPr>
        <w:t>万元，主要包括：办公费、手续费、水费、电费、邮电费、差旅费、维修（护）费、劳务费、工会经费、公务用车运行维护费、其他交通费、其他商品和服务支出、办公设备购置、专用设备购置等。</w:t>
      </w:r>
    </w:p>
    <w:p w14:paraId="784D439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bookmarkStart w:id="51" w:name="_Toc15396609"/>
      <w:bookmarkStart w:id="52" w:name="_Toc5840"/>
      <w:bookmarkStart w:id="53" w:name="_Toc15377215"/>
      <w:r>
        <w:rPr>
          <w:rFonts w:hint="eastAsia" w:ascii="黑体" w:hAnsi="黑体" w:eastAsia="黑体" w:cs="黑体"/>
          <w:sz w:val="32"/>
          <w:szCs w:val="32"/>
        </w:rPr>
        <w:t>七、财政拨款“三公”经费支出决算情况说明</w:t>
      </w:r>
      <w:bookmarkEnd w:id="51"/>
      <w:bookmarkEnd w:id="52"/>
      <w:bookmarkEnd w:id="53"/>
    </w:p>
    <w:p w14:paraId="57E356E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rPr>
      </w:pPr>
      <w:bookmarkStart w:id="54" w:name="_Toc15377216"/>
      <w:r>
        <w:rPr>
          <w:rFonts w:hint="eastAsia" w:ascii="仿宋_GB2312" w:hAnsi="仿宋_GB2312" w:eastAsia="仿宋_GB2312" w:cs="仿宋_GB2312"/>
          <w:sz w:val="32"/>
          <w:szCs w:val="32"/>
        </w:rPr>
        <w:t>（一）“三公”经费财政拨款支出决算总体情况说明</w:t>
      </w:r>
      <w:bookmarkEnd w:id="54"/>
    </w:p>
    <w:p w14:paraId="4E13087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2022年“三公”经费财政拨款支出决算为</w:t>
      </w:r>
      <w:r>
        <w:rPr>
          <w:rFonts w:hint="eastAsia" w:ascii="仿宋_GB2312" w:hAnsi="仿宋_GB2312" w:eastAsia="仿宋_GB2312" w:cs="仿宋_GB2312"/>
          <w:color w:val="auto"/>
          <w:sz w:val="32"/>
          <w:szCs w:val="32"/>
          <w:lang w:val="en-US" w:eastAsia="zh-CN"/>
        </w:rPr>
        <w:t>10.87</w:t>
      </w:r>
      <w:r>
        <w:rPr>
          <w:rFonts w:hint="eastAsia" w:ascii="仿宋_GB2312" w:hAnsi="仿宋_GB2312" w:eastAsia="仿宋_GB2312" w:cs="仿宋_GB2312"/>
          <w:color w:val="auto"/>
          <w:sz w:val="32"/>
          <w:szCs w:val="32"/>
        </w:rPr>
        <w:t>万元，完成预算</w:t>
      </w:r>
      <w:r>
        <w:rPr>
          <w:rFonts w:hint="eastAsia" w:ascii="仿宋_GB2312" w:hAnsi="仿宋_GB2312" w:eastAsia="仿宋_GB2312" w:cs="仿宋_GB2312"/>
          <w:color w:val="auto"/>
          <w:sz w:val="32"/>
          <w:szCs w:val="32"/>
          <w:lang w:val="en-US" w:eastAsia="zh-CN"/>
        </w:rPr>
        <w:t>100</w:t>
      </w:r>
      <w:r>
        <w:rPr>
          <w:rFonts w:hint="eastAsia" w:ascii="仿宋_GB2312" w:hAnsi="仿宋_GB2312" w:eastAsia="仿宋_GB2312" w:cs="仿宋_GB2312"/>
          <w:color w:val="auto"/>
          <w:sz w:val="32"/>
          <w:szCs w:val="32"/>
        </w:rPr>
        <w:t>%，较上年增加</w:t>
      </w:r>
      <w:r>
        <w:rPr>
          <w:rFonts w:hint="eastAsia" w:ascii="仿宋_GB2312" w:hAnsi="仿宋_GB2312" w:eastAsia="仿宋_GB2312" w:cs="仿宋_GB2312"/>
          <w:color w:val="auto"/>
          <w:sz w:val="32"/>
          <w:szCs w:val="32"/>
          <w:lang w:val="en-US" w:eastAsia="zh-CN"/>
        </w:rPr>
        <w:t>0.28</w:t>
      </w:r>
      <w:r>
        <w:rPr>
          <w:rFonts w:hint="eastAsia" w:ascii="仿宋_GB2312" w:hAnsi="仿宋_GB2312" w:eastAsia="仿宋_GB2312" w:cs="仿宋_GB2312"/>
          <w:color w:val="auto"/>
          <w:sz w:val="32"/>
          <w:szCs w:val="32"/>
        </w:rPr>
        <w:t>万元，增长</w:t>
      </w:r>
      <w:r>
        <w:rPr>
          <w:rFonts w:hint="eastAsia" w:ascii="仿宋_GB2312" w:hAnsi="仿宋_GB2312" w:eastAsia="仿宋_GB2312" w:cs="仿宋_GB2312"/>
          <w:color w:val="auto"/>
          <w:sz w:val="32"/>
          <w:szCs w:val="32"/>
          <w:lang w:val="en-US" w:eastAsia="zh-CN"/>
        </w:rPr>
        <w:t>2.64</w:t>
      </w:r>
      <w:r>
        <w:rPr>
          <w:rFonts w:hint="eastAsia" w:ascii="仿宋_GB2312" w:hAnsi="仿宋_GB2312" w:eastAsia="仿宋_GB2312" w:cs="仿宋_GB2312"/>
          <w:color w:val="auto"/>
          <w:sz w:val="32"/>
          <w:szCs w:val="32"/>
        </w:rPr>
        <w:t>%。决算数与预算数持平的主要原因是</w:t>
      </w:r>
      <w:r>
        <w:rPr>
          <w:rFonts w:hint="eastAsia" w:ascii="仿宋_GB2312" w:hAnsi="仿宋_GB2312" w:eastAsia="仿宋_GB2312" w:cs="仿宋_GB2312"/>
          <w:color w:val="auto"/>
          <w:sz w:val="32"/>
          <w:szCs w:val="32"/>
          <w:lang w:val="en-US" w:eastAsia="zh-CN"/>
        </w:rPr>
        <w:t>预算数为调整预算数，与决算数一致</w:t>
      </w:r>
      <w:r>
        <w:rPr>
          <w:rFonts w:hint="eastAsia" w:ascii="仿宋_GB2312" w:hAnsi="仿宋_GB2312" w:eastAsia="仿宋_GB2312" w:cs="仿宋_GB2312"/>
          <w:color w:val="auto"/>
          <w:sz w:val="32"/>
          <w:szCs w:val="32"/>
        </w:rPr>
        <w:t>。</w:t>
      </w:r>
    </w:p>
    <w:p w14:paraId="214D49F4">
      <w:pPr>
        <w:spacing w:line="600" w:lineRule="exact"/>
        <w:ind w:firstLine="640" w:firstLineChars="200"/>
        <w:outlineLvl w:val="2"/>
        <w:rPr>
          <w:rFonts w:hint="eastAsia" w:ascii="仿宋_GB2312" w:hAnsi="仿宋_GB2312" w:eastAsia="仿宋_GB2312" w:cs="仿宋_GB2312"/>
          <w:sz w:val="32"/>
          <w:szCs w:val="32"/>
        </w:rPr>
      </w:pPr>
      <w:bookmarkStart w:id="55" w:name="_Toc15377217"/>
      <w:r>
        <w:rPr>
          <w:rFonts w:hint="eastAsia" w:ascii="仿宋_GB2312" w:hAnsi="仿宋_GB2312" w:eastAsia="仿宋_GB2312" w:cs="仿宋_GB2312"/>
          <w:sz w:val="32"/>
          <w:szCs w:val="32"/>
        </w:rPr>
        <w:t>（二）“三公”经费财政拨款支出决算具体情况说明</w:t>
      </w:r>
      <w:bookmarkEnd w:id="55"/>
    </w:p>
    <w:p w14:paraId="2A36A86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2022年“三公”经费财政拨款支出决算中，因公出国（境）费支出决算</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%；公务用车购置及运行维护费支出决算</w:t>
      </w:r>
      <w:r>
        <w:rPr>
          <w:rFonts w:hint="eastAsia" w:ascii="仿宋_GB2312" w:hAnsi="仿宋_GB2312" w:eastAsia="仿宋_GB2312" w:cs="仿宋_GB2312"/>
          <w:sz w:val="32"/>
          <w:szCs w:val="32"/>
          <w:lang w:val="en-US" w:eastAsia="zh-CN"/>
        </w:rPr>
        <w:t>10.87</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%；公务接待费支出决算</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%。具体情况如下：</w:t>
      </w:r>
    </w:p>
    <w:p w14:paraId="7135BD90">
      <w:pPr>
        <w:pStyle w:val="6"/>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sz w:val="32"/>
          <w:szCs w:val="32"/>
        </w:rPr>
      </w:pPr>
      <w:r>
        <w:rPr>
          <w:rFonts w:hint="eastAsia" w:ascii="仿宋" w:hAnsi="仿宋" w:eastAsia="仿宋"/>
          <w:sz w:val="32"/>
          <w:szCs w:val="32"/>
          <w:lang w:eastAsia="zh-CN"/>
        </w:rPr>
        <w:drawing>
          <wp:anchor distT="0" distB="0" distL="114300" distR="114300" simplePos="0" relativeHeight="251665408" behindDoc="1" locked="0" layoutInCell="1" allowOverlap="1">
            <wp:simplePos x="0" y="0"/>
            <wp:positionH relativeFrom="column">
              <wp:posOffset>485775</wp:posOffset>
            </wp:positionH>
            <wp:positionV relativeFrom="paragraph">
              <wp:posOffset>175895</wp:posOffset>
            </wp:positionV>
            <wp:extent cx="4771390" cy="2283460"/>
            <wp:effectExtent l="4445" t="5080" r="62865" b="16510"/>
            <wp:wrapThrough wrapText="bothSides">
              <wp:wrapPolygon>
                <wp:start x="-20" y="-48"/>
                <wp:lineTo x="-20" y="21396"/>
                <wp:lineTo x="21540" y="21396"/>
                <wp:lineTo x="21540" y="-48"/>
                <wp:lineTo x="-20" y="-48"/>
              </wp:wrapPolygon>
            </wp:wrapThrough>
            <wp:docPr id="1039"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4CB322B4">
      <w:pPr>
        <w:pStyle w:val="6"/>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sz w:val="32"/>
          <w:szCs w:val="32"/>
        </w:rPr>
      </w:pPr>
    </w:p>
    <w:p w14:paraId="55AB070B">
      <w:pPr>
        <w:pStyle w:val="6"/>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sz w:val="32"/>
          <w:szCs w:val="32"/>
        </w:rPr>
      </w:pPr>
    </w:p>
    <w:p w14:paraId="628713F1">
      <w:pPr>
        <w:pStyle w:val="6"/>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sz w:val="32"/>
          <w:szCs w:val="32"/>
        </w:rPr>
      </w:pPr>
    </w:p>
    <w:p w14:paraId="1C9C5893">
      <w:pPr>
        <w:pStyle w:val="6"/>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sz w:val="32"/>
          <w:szCs w:val="32"/>
        </w:rPr>
      </w:pPr>
    </w:p>
    <w:p w14:paraId="292AC1C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仿宋_GB2312" w:hAnsi="仿宋_GB2312" w:eastAsia="仿宋_GB2312" w:cs="仿宋_GB2312"/>
          <w:sz w:val="32"/>
          <w:szCs w:val="32"/>
        </w:rPr>
        <w:t>图7：“三公”经费财政拨款支出结构</w:t>
      </w:r>
      <w:r>
        <w:rPr>
          <w:rFonts w:hint="eastAsia" w:ascii="楷体_GB2312" w:hAnsi="楷体_GB2312" w:eastAsia="楷体_GB2312" w:cs="楷体_GB2312"/>
          <w:sz w:val="32"/>
          <w:szCs w:val="32"/>
        </w:rPr>
        <w:t>）</w:t>
      </w:r>
    </w:p>
    <w:p w14:paraId="7EFB236E">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仿宋_GB2312" w:eastAsia="仿宋_GB2312"/>
          <w:b w:val="0"/>
          <w:bCs/>
          <w:sz w:val="32"/>
          <w:szCs w:val="32"/>
          <w:highlight w:val="none"/>
          <w:lang w:val="en-US" w:eastAsia="zh-CN"/>
        </w:rPr>
      </w:pPr>
      <w:r>
        <w:rPr>
          <w:rFonts w:ascii="仿宋_GB2312" w:eastAsia="仿宋_GB2312"/>
          <w:b w:val="0"/>
          <w:bCs/>
          <w:sz w:val="32"/>
          <w:szCs w:val="32"/>
        </w:rPr>
        <w:t>1.</w:t>
      </w:r>
      <w:r>
        <w:rPr>
          <w:rFonts w:hint="eastAsia" w:ascii="仿宋_GB2312" w:eastAsia="仿宋_GB2312"/>
          <w:b w:val="0"/>
          <w:bCs/>
          <w:sz w:val="32"/>
          <w:szCs w:val="32"/>
        </w:rPr>
        <w:t>因公出国（境）经费支出</w:t>
      </w:r>
      <w:r>
        <w:rPr>
          <w:rFonts w:hint="eastAsia" w:ascii="仿宋_GB2312" w:eastAsia="仿宋_GB2312"/>
          <w:b w:val="0"/>
          <w:bCs/>
          <w:sz w:val="32"/>
          <w:szCs w:val="32"/>
          <w:lang w:val="en-US" w:eastAsia="zh-CN"/>
        </w:rPr>
        <w:t>0</w:t>
      </w:r>
      <w:r>
        <w:rPr>
          <w:rFonts w:hint="eastAsia" w:ascii="仿宋_GB2312" w:eastAsia="仿宋_GB2312"/>
          <w:b w:val="0"/>
          <w:bCs/>
          <w:sz w:val="32"/>
          <w:szCs w:val="32"/>
        </w:rPr>
        <w:t>万元，</w:t>
      </w:r>
      <w:r>
        <w:rPr>
          <w:rStyle w:val="19"/>
          <w:rFonts w:hint="eastAsia" w:ascii="仿宋" w:hAnsi="仿宋" w:eastAsia="仿宋"/>
          <w:b w:val="0"/>
          <w:bCs/>
          <w:sz w:val="32"/>
          <w:szCs w:val="32"/>
        </w:rPr>
        <w:t>完成预算</w:t>
      </w:r>
      <w:r>
        <w:rPr>
          <w:rStyle w:val="19"/>
          <w:rFonts w:hint="eastAsia" w:ascii="仿宋" w:hAnsi="仿宋" w:eastAsia="仿宋"/>
          <w:b w:val="0"/>
          <w:bCs/>
          <w:sz w:val="32"/>
          <w:szCs w:val="32"/>
          <w:lang w:val="en-US" w:eastAsia="zh-CN"/>
        </w:rPr>
        <w:t>0</w:t>
      </w:r>
      <w:r>
        <w:rPr>
          <w:rStyle w:val="19"/>
          <w:rFonts w:ascii="仿宋" w:hAnsi="仿宋" w:eastAsia="仿宋"/>
          <w:b w:val="0"/>
          <w:bCs/>
          <w:sz w:val="32"/>
          <w:szCs w:val="32"/>
        </w:rPr>
        <w:t>%</w:t>
      </w:r>
      <w:r>
        <w:rPr>
          <w:rStyle w:val="19"/>
          <w:rFonts w:hint="eastAsia" w:ascii="仿宋" w:hAnsi="仿宋" w:eastAsia="仿宋"/>
          <w:b w:val="0"/>
          <w:bCs/>
          <w:sz w:val="32"/>
          <w:szCs w:val="32"/>
        </w:rPr>
        <w:t>。</w:t>
      </w:r>
      <w:r>
        <w:rPr>
          <w:rFonts w:hint="eastAsia" w:ascii="仿宋_GB2312" w:eastAsia="仿宋_GB2312"/>
          <w:b w:val="0"/>
          <w:bCs/>
          <w:sz w:val="32"/>
          <w:szCs w:val="32"/>
        </w:rPr>
        <w:t>全年安排因公出国（境）团组</w:t>
      </w:r>
      <w:r>
        <w:rPr>
          <w:rFonts w:hint="eastAsia" w:ascii="仿宋_GB2312" w:eastAsia="仿宋_GB2312"/>
          <w:b w:val="0"/>
          <w:bCs/>
          <w:sz w:val="32"/>
          <w:szCs w:val="32"/>
          <w:lang w:val="en-US" w:eastAsia="zh-CN"/>
        </w:rPr>
        <w:t>0</w:t>
      </w:r>
      <w:r>
        <w:rPr>
          <w:rFonts w:hint="eastAsia" w:ascii="仿宋_GB2312" w:eastAsia="仿宋_GB2312"/>
          <w:b w:val="0"/>
          <w:bCs/>
          <w:sz w:val="32"/>
          <w:szCs w:val="32"/>
        </w:rPr>
        <w:t>次，出国（境）</w:t>
      </w:r>
      <w:r>
        <w:rPr>
          <w:rFonts w:hint="eastAsia" w:ascii="仿宋_GB2312" w:eastAsia="仿宋_GB2312"/>
          <w:b w:val="0"/>
          <w:bCs/>
          <w:sz w:val="32"/>
          <w:szCs w:val="32"/>
          <w:lang w:val="en-US" w:eastAsia="zh-CN"/>
        </w:rPr>
        <w:t>0</w:t>
      </w:r>
      <w:r>
        <w:rPr>
          <w:rFonts w:hint="eastAsia" w:ascii="仿宋_GB2312" w:eastAsia="仿宋_GB2312"/>
          <w:b w:val="0"/>
          <w:bCs/>
          <w:sz w:val="32"/>
          <w:szCs w:val="32"/>
        </w:rPr>
        <w:t>人。</w:t>
      </w:r>
      <w:r>
        <w:rPr>
          <w:rFonts w:hint="eastAsia" w:ascii="仿宋_GB2312" w:eastAsia="仿宋_GB2312"/>
          <w:b w:val="0"/>
          <w:bCs/>
          <w:sz w:val="32"/>
          <w:szCs w:val="32"/>
          <w:highlight w:val="none"/>
          <w:lang w:eastAsia="zh-CN"/>
        </w:rPr>
        <w:t>因公出国（境）支出决算比</w:t>
      </w:r>
      <w:r>
        <w:rPr>
          <w:rFonts w:hint="eastAsia" w:ascii="仿宋_GB2312" w:eastAsia="仿宋_GB2312"/>
          <w:b w:val="0"/>
          <w:bCs/>
          <w:sz w:val="32"/>
          <w:szCs w:val="32"/>
          <w:highlight w:val="none"/>
          <w:lang w:val="en-US" w:eastAsia="zh-CN"/>
        </w:rPr>
        <w:t>2021年增加/减少0万元，增长/下降0%。</w:t>
      </w:r>
    </w:p>
    <w:p w14:paraId="093869E1">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ascii="仿宋_GB2312" w:eastAsia="仿宋_GB2312"/>
          <w:b w:val="0"/>
          <w:bCs/>
          <w:sz w:val="32"/>
          <w:szCs w:val="32"/>
          <w:highlight w:val="none"/>
        </w:rPr>
      </w:pPr>
      <w:r>
        <w:rPr>
          <w:rFonts w:ascii="仿宋_GB2312" w:eastAsia="仿宋_GB2312"/>
          <w:b w:val="0"/>
          <w:bCs/>
          <w:sz w:val="32"/>
          <w:szCs w:val="32"/>
        </w:rPr>
        <w:t>2.</w:t>
      </w:r>
      <w:r>
        <w:rPr>
          <w:rFonts w:hint="eastAsia" w:ascii="仿宋_GB2312" w:eastAsia="仿宋_GB2312"/>
          <w:b w:val="0"/>
          <w:bCs/>
          <w:sz w:val="32"/>
          <w:szCs w:val="32"/>
        </w:rPr>
        <w:t>公务用车购置及运行维护费支出</w:t>
      </w:r>
      <w:r>
        <w:rPr>
          <w:rFonts w:hint="eastAsia" w:ascii="仿宋_GB2312" w:eastAsia="仿宋_GB2312"/>
          <w:b w:val="0"/>
          <w:bCs/>
          <w:sz w:val="32"/>
          <w:szCs w:val="32"/>
          <w:lang w:val="en-US" w:eastAsia="zh-CN"/>
        </w:rPr>
        <w:t>10.87</w:t>
      </w:r>
      <w:r>
        <w:rPr>
          <w:rFonts w:hint="eastAsia" w:ascii="仿宋_GB2312" w:eastAsia="仿宋_GB2312"/>
          <w:b w:val="0"/>
          <w:bCs/>
          <w:sz w:val="32"/>
          <w:szCs w:val="32"/>
        </w:rPr>
        <w:t>万元,</w:t>
      </w:r>
      <w:r>
        <w:rPr>
          <w:rStyle w:val="19"/>
          <w:rFonts w:hint="eastAsia" w:ascii="仿宋" w:hAnsi="仿宋" w:eastAsia="仿宋"/>
          <w:b w:val="0"/>
          <w:bCs/>
          <w:sz w:val="32"/>
          <w:szCs w:val="32"/>
        </w:rPr>
        <w:t>完成预算</w:t>
      </w:r>
      <w:r>
        <w:rPr>
          <w:rStyle w:val="19"/>
          <w:rFonts w:hint="eastAsia" w:ascii="仿宋" w:hAnsi="仿宋" w:eastAsia="仿宋"/>
          <w:b w:val="0"/>
          <w:bCs/>
          <w:sz w:val="32"/>
          <w:szCs w:val="32"/>
          <w:lang w:val="en-US" w:eastAsia="zh-CN"/>
        </w:rPr>
        <w:t>100</w:t>
      </w:r>
      <w:r>
        <w:rPr>
          <w:rStyle w:val="19"/>
          <w:rFonts w:ascii="仿宋" w:hAnsi="仿宋" w:eastAsia="仿宋"/>
          <w:b w:val="0"/>
          <w:bCs/>
          <w:sz w:val="32"/>
          <w:szCs w:val="32"/>
        </w:rPr>
        <w:t>%</w:t>
      </w:r>
      <w:r>
        <w:rPr>
          <w:rStyle w:val="19"/>
          <w:rFonts w:hint="eastAsia" w:ascii="仿宋" w:hAnsi="仿宋" w:eastAsia="仿宋"/>
          <w:b w:val="0"/>
          <w:bCs/>
          <w:sz w:val="32"/>
          <w:szCs w:val="32"/>
        </w:rPr>
        <w:t>。</w:t>
      </w:r>
      <w:r>
        <w:rPr>
          <w:rFonts w:hint="eastAsia" w:ascii="仿宋_GB2312" w:eastAsia="仿宋_GB2312"/>
          <w:b w:val="0"/>
          <w:bCs/>
          <w:sz w:val="32"/>
          <w:szCs w:val="32"/>
        </w:rPr>
        <w:t>公务用车购置及运行维护费支出决算比</w:t>
      </w:r>
      <w:r>
        <w:rPr>
          <w:rFonts w:ascii="仿宋_GB2312" w:eastAsia="仿宋_GB2312"/>
          <w:b w:val="0"/>
          <w:bCs/>
          <w:sz w:val="32"/>
          <w:szCs w:val="32"/>
        </w:rPr>
        <w:t>20</w:t>
      </w:r>
      <w:r>
        <w:rPr>
          <w:rFonts w:hint="eastAsia" w:ascii="仿宋_GB2312" w:eastAsia="仿宋_GB2312"/>
          <w:b w:val="0"/>
          <w:bCs/>
          <w:sz w:val="32"/>
          <w:szCs w:val="32"/>
        </w:rPr>
        <w:t>21年增加</w:t>
      </w:r>
      <w:r>
        <w:rPr>
          <w:rFonts w:hint="eastAsia" w:ascii="仿宋_GB2312" w:eastAsia="仿宋_GB2312"/>
          <w:b w:val="0"/>
          <w:bCs/>
          <w:sz w:val="32"/>
          <w:szCs w:val="32"/>
          <w:lang w:val="en-US" w:eastAsia="zh-CN"/>
        </w:rPr>
        <w:t>0.39</w:t>
      </w:r>
      <w:r>
        <w:rPr>
          <w:rFonts w:hint="eastAsia" w:ascii="仿宋_GB2312" w:eastAsia="仿宋_GB2312"/>
          <w:b w:val="0"/>
          <w:bCs/>
          <w:sz w:val="32"/>
          <w:szCs w:val="32"/>
        </w:rPr>
        <w:t>万元，增长</w:t>
      </w:r>
      <w:r>
        <w:rPr>
          <w:rFonts w:hint="eastAsia" w:ascii="仿宋_GB2312" w:eastAsia="仿宋_GB2312"/>
          <w:b w:val="0"/>
          <w:bCs/>
          <w:sz w:val="32"/>
          <w:szCs w:val="32"/>
          <w:lang w:val="en-US" w:eastAsia="zh-CN"/>
        </w:rPr>
        <w:t>3.72</w:t>
      </w:r>
      <w:r>
        <w:rPr>
          <w:rFonts w:ascii="仿宋_GB2312" w:eastAsia="仿宋_GB2312"/>
          <w:b w:val="0"/>
          <w:bCs/>
          <w:sz w:val="32"/>
          <w:szCs w:val="32"/>
        </w:rPr>
        <w:t>%</w:t>
      </w:r>
      <w:r>
        <w:rPr>
          <w:rFonts w:hint="eastAsia" w:ascii="仿宋_GB2312" w:eastAsia="仿宋_GB2312"/>
          <w:b w:val="0"/>
          <w:bCs/>
          <w:sz w:val="32"/>
          <w:szCs w:val="32"/>
        </w:rPr>
        <w:t>。</w:t>
      </w:r>
      <w:r>
        <w:rPr>
          <w:rFonts w:hint="eastAsia" w:ascii="仿宋_GB2312" w:eastAsia="仿宋_GB2312"/>
          <w:b w:val="0"/>
          <w:bCs/>
          <w:sz w:val="32"/>
          <w:szCs w:val="32"/>
          <w:highlight w:val="none"/>
        </w:rPr>
        <w:t>主要原因是</w:t>
      </w:r>
      <w:r>
        <w:rPr>
          <w:rFonts w:hint="eastAsia" w:ascii="仿宋_GB2312" w:eastAsia="仿宋_GB2312"/>
          <w:b w:val="0"/>
          <w:bCs/>
          <w:sz w:val="32"/>
          <w:szCs w:val="32"/>
          <w:highlight w:val="none"/>
          <w:lang w:val="en-US" w:eastAsia="zh-CN"/>
        </w:rPr>
        <w:t>公务用车使用年限较久，维护费用支出增加</w:t>
      </w:r>
      <w:r>
        <w:rPr>
          <w:rFonts w:hint="eastAsia" w:ascii="仿宋_GB2312" w:eastAsia="仿宋_GB2312"/>
          <w:b w:val="0"/>
          <w:bCs/>
          <w:sz w:val="32"/>
          <w:szCs w:val="32"/>
          <w:highlight w:val="none"/>
        </w:rPr>
        <w:t>。</w:t>
      </w:r>
    </w:p>
    <w:p w14:paraId="6EDF6B6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eastAsia="仿宋_GB2312"/>
          <w:b w:val="0"/>
          <w:bCs/>
          <w:sz w:val="32"/>
          <w:szCs w:val="32"/>
          <w:lang w:eastAsia="zh-CN"/>
        </w:rPr>
      </w:pPr>
      <w:r>
        <w:rPr>
          <w:rFonts w:hint="eastAsia" w:ascii="仿宋_GB2312" w:eastAsia="仿宋_GB2312"/>
          <w:b w:val="0"/>
          <w:bCs/>
          <w:sz w:val="32"/>
          <w:szCs w:val="32"/>
        </w:rPr>
        <w:t>其中：公务用车购置支出</w:t>
      </w:r>
      <w:r>
        <w:rPr>
          <w:rFonts w:hint="eastAsia" w:ascii="仿宋_GB2312" w:eastAsia="仿宋_GB2312"/>
          <w:b w:val="0"/>
          <w:bCs/>
          <w:sz w:val="32"/>
          <w:szCs w:val="32"/>
          <w:lang w:val="en-US" w:eastAsia="zh-CN"/>
        </w:rPr>
        <w:t>0</w:t>
      </w:r>
      <w:r>
        <w:rPr>
          <w:rFonts w:hint="eastAsia" w:ascii="仿宋_GB2312" w:eastAsia="仿宋_GB2312"/>
          <w:b w:val="0"/>
          <w:bCs/>
          <w:sz w:val="32"/>
          <w:szCs w:val="32"/>
        </w:rPr>
        <w:t>万元。全年按规定更新购置公务用车</w:t>
      </w:r>
      <w:r>
        <w:rPr>
          <w:rFonts w:hint="eastAsia" w:ascii="仿宋_GB2312" w:eastAsia="仿宋_GB2312"/>
          <w:b w:val="0"/>
          <w:bCs/>
          <w:sz w:val="32"/>
          <w:szCs w:val="32"/>
          <w:lang w:val="en-US" w:eastAsia="zh-CN"/>
        </w:rPr>
        <w:t>0</w:t>
      </w:r>
      <w:r>
        <w:rPr>
          <w:rFonts w:hint="eastAsia" w:ascii="仿宋_GB2312" w:eastAsia="仿宋_GB2312"/>
          <w:b w:val="0"/>
          <w:bCs/>
          <w:sz w:val="32"/>
          <w:szCs w:val="32"/>
        </w:rPr>
        <w:t>辆，其中：轿车</w:t>
      </w:r>
      <w:r>
        <w:rPr>
          <w:rFonts w:hint="eastAsia" w:ascii="仿宋_GB2312" w:eastAsia="仿宋_GB2312"/>
          <w:b w:val="0"/>
          <w:bCs/>
          <w:sz w:val="32"/>
          <w:szCs w:val="32"/>
          <w:lang w:val="en-US" w:eastAsia="zh-CN"/>
        </w:rPr>
        <w:t>0</w:t>
      </w:r>
      <w:r>
        <w:rPr>
          <w:rFonts w:hint="eastAsia" w:ascii="仿宋_GB2312" w:eastAsia="仿宋_GB2312"/>
          <w:b w:val="0"/>
          <w:bCs/>
          <w:sz w:val="32"/>
          <w:szCs w:val="32"/>
        </w:rPr>
        <w:t>辆、金额</w:t>
      </w:r>
      <w:r>
        <w:rPr>
          <w:rFonts w:hint="eastAsia" w:ascii="仿宋_GB2312" w:eastAsia="仿宋_GB2312"/>
          <w:b w:val="0"/>
          <w:bCs/>
          <w:sz w:val="32"/>
          <w:szCs w:val="32"/>
          <w:lang w:val="en-US" w:eastAsia="zh-CN"/>
        </w:rPr>
        <w:t>0</w:t>
      </w:r>
      <w:r>
        <w:rPr>
          <w:rFonts w:hint="eastAsia" w:ascii="仿宋_GB2312" w:eastAsia="仿宋_GB2312"/>
          <w:b w:val="0"/>
          <w:bCs/>
          <w:sz w:val="32"/>
          <w:szCs w:val="32"/>
        </w:rPr>
        <w:t>万元，越野车</w:t>
      </w:r>
      <w:r>
        <w:rPr>
          <w:rFonts w:hint="eastAsia" w:ascii="仿宋_GB2312" w:eastAsia="仿宋_GB2312"/>
          <w:b w:val="0"/>
          <w:bCs/>
          <w:sz w:val="32"/>
          <w:szCs w:val="32"/>
          <w:lang w:val="en-US" w:eastAsia="zh-CN"/>
        </w:rPr>
        <w:t>0</w:t>
      </w:r>
      <w:r>
        <w:rPr>
          <w:rFonts w:hint="eastAsia" w:ascii="仿宋_GB2312" w:eastAsia="仿宋_GB2312"/>
          <w:b w:val="0"/>
          <w:bCs/>
          <w:sz w:val="32"/>
          <w:szCs w:val="32"/>
        </w:rPr>
        <w:t>辆、金额</w:t>
      </w:r>
      <w:r>
        <w:rPr>
          <w:rFonts w:hint="eastAsia" w:ascii="仿宋_GB2312" w:eastAsia="仿宋_GB2312"/>
          <w:b w:val="0"/>
          <w:bCs/>
          <w:sz w:val="32"/>
          <w:szCs w:val="32"/>
          <w:lang w:val="en-US" w:eastAsia="zh-CN"/>
        </w:rPr>
        <w:t>0</w:t>
      </w:r>
      <w:r>
        <w:rPr>
          <w:rFonts w:hint="eastAsia" w:ascii="仿宋_GB2312" w:eastAsia="仿宋_GB2312"/>
          <w:b w:val="0"/>
          <w:bCs/>
          <w:sz w:val="32"/>
          <w:szCs w:val="32"/>
        </w:rPr>
        <w:t>万元，载客汽车</w:t>
      </w:r>
      <w:r>
        <w:rPr>
          <w:rFonts w:hint="eastAsia" w:ascii="仿宋_GB2312" w:eastAsia="仿宋_GB2312"/>
          <w:b w:val="0"/>
          <w:bCs/>
          <w:sz w:val="32"/>
          <w:szCs w:val="32"/>
          <w:lang w:val="en-US" w:eastAsia="zh-CN"/>
        </w:rPr>
        <w:t>0</w:t>
      </w:r>
      <w:r>
        <w:rPr>
          <w:rFonts w:hint="eastAsia" w:ascii="仿宋_GB2312" w:eastAsia="仿宋_GB2312"/>
          <w:b w:val="0"/>
          <w:bCs/>
          <w:sz w:val="32"/>
          <w:szCs w:val="32"/>
        </w:rPr>
        <w:t>辆、金额</w:t>
      </w:r>
      <w:r>
        <w:rPr>
          <w:rFonts w:hint="eastAsia" w:ascii="仿宋_GB2312" w:eastAsia="仿宋_GB2312"/>
          <w:b w:val="0"/>
          <w:bCs/>
          <w:sz w:val="32"/>
          <w:szCs w:val="32"/>
          <w:lang w:val="en-US" w:eastAsia="zh-CN"/>
        </w:rPr>
        <w:t>0</w:t>
      </w:r>
      <w:r>
        <w:rPr>
          <w:rFonts w:hint="eastAsia" w:ascii="仿宋_GB2312" w:eastAsia="仿宋_GB2312"/>
          <w:b w:val="0"/>
          <w:bCs/>
          <w:sz w:val="32"/>
          <w:szCs w:val="32"/>
        </w:rPr>
        <w:t>万元。截至</w:t>
      </w:r>
      <w:r>
        <w:rPr>
          <w:rFonts w:ascii="仿宋_GB2312" w:eastAsia="仿宋_GB2312"/>
          <w:b w:val="0"/>
          <w:bCs/>
          <w:sz w:val="32"/>
          <w:szCs w:val="32"/>
        </w:rPr>
        <w:t>20</w:t>
      </w:r>
      <w:r>
        <w:rPr>
          <w:rFonts w:hint="eastAsia" w:ascii="仿宋_GB2312" w:eastAsia="仿宋_GB2312"/>
          <w:b w:val="0"/>
          <w:bCs/>
          <w:sz w:val="32"/>
          <w:szCs w:val="32"/>
        </w:rPr>
        <w:t>22年</w:t>
      </w:r>
      <w:r>
        <w:rPr>
          <w:rFonts w:ascii="仿宋_GB2312" w:eastAsia="仿宋_GB2312"/>
          <w:b w:val="0"/>
          <w:bCs/>
          <w:sz w:val="32"/>
          <w:szCs w:val="32"/>
        </w:rPr>
        <w:t>12</w:t>
      </w:r>
      <w:r>
        <w:rPr>
          <w:rFonts w:hint="eastAsia" w:ascii="仿宋_GB2312" w:eastAsia="仿宋_GB2312"/>
          <w:b w:val="0"/>
          <w:bCs/>
          <w:sz w:val="32"/>
          <w:szCs w:val="32"/>
        </w:rPr>
        <w:t>月底，</w:t>
      </w:r>
      <w:r>
        <w:rPr>
          <w:rFonts w:hint="eastAsia" w:ascii="仿宋_GB2312" w:hAnsi="仿宋_GB2312" w:eastAsia="仿宋_GB2312" w:cs="仿宋_GB2312"/>
          <w:b w:val="0"/>
          <w:bCs/>
          <w:sz w:val="32"/>
          <w:szCs w:val="32"/>
          <w:highlight w:val="none"/>
        </w:rPr>
        <w:t>单位共有公务用车7辆，其中：轿车3辆、越野车4辆</w:t>
      </w:r>
      <w:r>
        <w:rPr>
          <w:rFonts w:hint="eastAsia" w:ascii="仿宋_GB2312" w:hAnsi="仿宋_GB2312" w:eastAsia="仿宋_GB2312" w:cs="仿宋_GB2312"/>
          <w:b w:val="0"/>
          <w:bCs/>
          <w:sz w:val="32"/>
          <w:szCs w:val="32"/>
          <w:highlight w:val="none"/>
          <w:lang w:eastAsia="zh-CN"/>
        </w:rPr>
        <w:t>、</w:t>
      </w:r>
      <w:r>
        <w:rPr>
          <w:rFonts w:hint="eastAsia" w:ascii="仿宋_GB2312" w:hAnsi="仿宋_GB2312" w:eastAsia="仿宋_GB2312" w:cs="仿宋_GB2312"/>
          <w:b w:val="0"/>
          <w:bCs/>
          <w:sz w:val="32"/>
          <w:szCs w:val="32"/>
          <w:highlight w:val="none"/>
        </w:rPr>
        <w:t>载客汽车</w:t>
      </w:r>
      <w:r>
        <w:rPr>
          <w:rFonts w:hint="eastAsia" w:ascii="仿宋_GB2312" w:hAnsi="仿宋_GB2312" w:eastAsia="仿宋_GB2312" w:cs="仿宋_GB2312"/>
          <w:b w:val="0"/>
          <w:bCs/>
          <w:sz w:val="32"/>
          <w:szCs w:val="32"/>
          <w:highlight w:val="none"/>
          <w:lang w:val="en-US" w:eastAsia="zh-CN"/>
        </w:rPr>
        <w:t>0</w:t>
      </w:r>
      <w:r>
        <w:rPr>
          <w:rFonts w:hint="eastAsia" w:ascii="仿宋_GB2312" w:hAnsi="仿宋_GB2312" w:eastAsia="仿宋_GB2312" w:cs="仿宋_GB2312"/>
          <w:b w:val="0"/>
          <w:bCs/>
          <w:sz w:val="32"/>
          <w:szCs w:val="32"/>
          <w:highlight w:val="none"/>
        </w:rPr>
        <w:t>辆。</w:t>
      </w:r>
    </w:p>
    <w:p w14:paraId="5BAE2413">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sz w:val="32"/>
          <w:szCs w:val="32"/>
          <w:highlight w:val="none"/>
          <w:lang w:val="en-US" w:eastAsia="zh-CN"/>
        </w:rPr>
      </w:pPr>
      <w:r>
        <w:rPr>
          <w:rFonts w:hint="eastAsia" w:ascii="仿宋_GB2312" w:eastAsia="仿宋_GB2312"/>
          <w:b w:val="0"/>
          <w:bCs/>
          <w:sz w:val="32"/>
          <w:szCs w:val="32"/>
        </w:rPr>
        <w:t>公务用车运行维护费支出</w:t>
      </w:r>
      <w:r>
        <w:rPr>
          <w:rFonts w:hint="eastAsia" w:ascii="仿宋_GB2312" w:eastAsia="仿宋_GB2312"/>
          <w:b w:val="0"/>
          <w:bCs/>
          <w:sz w:val="32"/>
          <w:szCs w:val="32"/>
          <w:lang w:val="en-US" w:eastAsia="zh-CN"/>
        </w:rPr>
        <w:t>10.87</w:t>
      </w:r>
      <w:r>
        <w:rPr>
          <w:rFonts w:hint="eastAsia" w:ascii="仿宋_GB2312" w:eastAsia="仿宋_GB2312"/>
          <w:b w:val="0"/>
          <w:bCs/>
          <w:sz w:val="32"/>
          <w:szCs w:val="32"/>
        </w:rPr>
        <w:t>万元。主要用于</w:t>
      </w:r>
      <w:r>
        <w:rPr>
          <w:rFonts w:hint="eastAsia" w:ascii="仿宋_GB2312" w:hAnsi="仿宋_GB2312" w:eastAsia="仿宋_GB2312" w:cs="仿宋_GB2312"/>
          <w:b w:val="0"/>
          <w:bCs/>
          <w:color w:val="000000"/>
          <w:sz w:val="32"/>
          <w:szCs w:val="32"/>
          <w:highlight w:val="none"/>
        </w:rPr>
        <w:t>乡村振兴、赴上级财政部门</w:t>
      </w:r>
      <w:r>
        <w:rPr>
          <w:rFonts w:hint="eastAsia" w:ascii="仿宋_GB2312" w:hAnsi="仿宋_GB2312" w:eastAsia="仿宋_GB2312" w:cs="仿宋_GB2312"/>
          <w:b w:val="0"/>
          <w:bCs/>
          <w:sz w:val="32"/>
          <w:szCs w:val="32"/>
          <w:highlight w:val="none"/>
        </w:rPr>
        <w:t>等所需的公务用车燃料费、维修费、过路过桥费、保险费等支出。</w:t>
      </w:r>
      <w:r>
        <w:rPr>
          <w:rFonts w:hint="eastAsia" w:ascii="仿宋_GB2312" w:hAnsi="仿宋_GB2312" w:eastAsia="仿宋_GB2312" w:cs="仿宋_GB2312"/>
          <w:b w:val="0"/>
          <w:bCs/>
          <w:sz w:val="32"/>
          <w:szCs w:val="32"/>
          <w:highlight w:val="none"/>
          <w:lang w:val="en-US" w:eastAsia="zh-CN"/>
        </w:rPr>
        <w:t xml:space="preserve">  </w:t>
      </w:r>
    </w:p>
    <w:p w14:paraId="6348C72F">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ascii="仿宋_GB2312" w:eastAsia="仿宋_GB2312"/>
          <w:b w:val="0"/>
          <w:bCs/>
          <w:sz w:val="32"/>
          <w:szCs w:val="32"/>
          <w:highlight w:val="none"/>
        </w:rPr>
      </w:pPr>
      <w:r>
        <w:rPr>
          <w:rFonts w:ascii="仿宋_GB2312" w:eastAsia="仿宋_GB2312"/>
          <w:b w:val="0"/>
          <w:bCs/>
          <w:sz w:val="32"/>
          <w:szCs w:val="32"/>
        </w:rPr>
        <w:t>3.</w:t>
      </w:r>
      <w:r>
        <w:rPr>
          <w:rFonts w:hint="eastAsia" w:ascii="仿宋_GB2312" w:eastAsia="仿宋_GB2312"/>
          <w:b w:val="0"/>
          <w:bCs/>
          <w:sz w:val="32"/>
          <w:szCs w:val="32"/>
        </w:rPr>
        <w:t>公务接待费支出</w:t>
      </w:r>
      <w:r>
        <w:rPr>
          <w:rFonts w:hint="eastAsia" w:ascii="仿宋_GB2312" w:eastAsia="仿宋_GB2312"/>
          <w:b w:val="0"/>
          <w:bCs/>
          <w:sz w:val="32"/>
          <w:szCs w:val="32"/>
          <w:lang w:val="en-US" w:eastAsia="zh-CN"/>
        </w:rPr>
        <w:t>0</w:t>
      </w:r>
      <w:r>
        <w:rPr>
          <w:rFonts w:hint="eastAsia" w:ascii="仿宋_GB2312" w:eastAsia="仿宋_GB2312"/>
          <w:b w:val="0"/>
          <w:bCs/>
          <w:sz w:val="32"/>
          <w:szCs w:val="32"/>
        </w:rPr>
        <w:t>万元，</w:t>
      </w:r>
      <w:r>
        <w:rPr>
          <w:rStyle w:val="19"/>
          <w:rFonts w:hint="eastAsia" w:ascii="仿宋" w:hAnsi="仿宋" w:eastAsia="仿宋"/>
          <w:b w:val="0"/>
          <w:bCs/>
          <w:sz w:val="32"/>
          <w:szCs w:val="32"/>
        </w:rPr>
        <w:t>完成预算</w:t>
      </w:r>
      <w:r>
        <w:rPr>
          <w:rStyle w:val="19"/>
          <w:rFonts w:hint="eastAsia" w:ascii="仿宋" w:hAnsi="仿宋" w:eastAsia="仿宋"/>
          <w:b w:val="0"/>
          <w:bCs/>
          <w:sz w:val="32"/>
          <w:szCs w:val="32"/>
          <w:lang w:val="en-US" w:eastAsia="zh-CN"/>
        </w:rPr>
        <w:t>0</w:t>
      </w:r>
      <w:r>
        <w:rPr>
          <w:rStyle w:val="19"/>
          <w:rFonts w:ascii="仿宋" w:hAnsi="仿宋" w:eastAsia="仿宋"/>
          <w:b w:val="0"/>
          <w:bCs/>
          <w:sz w:val="32"/>
          <w:szCs w:val="32"/>
        </w:rPr>
        <w:t>%</w:t>
      </w:r>
      <w:r>
        <w:rPr>
          <w:rStyle w:val="19"/>
          <w:rFonts w:hint="eastAsia" w:ascii="仿宋" w:hAnsi="仿宋" w:eastAsia="仿宋"/>
          <w:b w:val="0"/>
          <w:bCs/>
          <w:sz w:val="32"/>
          <w:szCs w:val="32"/>
        </w:rPr>
        <w:t>。</w:t>
      </w:r>
      <w:r>
        <w:rPr>
          <w:rFonts w:hint="eastAsia" w:ascii="仿宋_GB2312" w:eastAsia="仿宋_GB2312"/>
          <w:b w:val="0"/>
          <w:bCs/>
          <w:sz w:val="32"/>
          <w:szCs w:val="32"/>
        </w:rPr>
        <w:t>公务接待费支出决算比</w:t>
      </w:r>
      <w:r>
        <w:rPr>
          <w:rFonts w:ascii="仿宋_GB2312" w:eastAsia="仿宋_GB2312"/>
          <w:b w:val="0"/>
          <w:bCs/>
          <w:sz w:val="32"/>
          <w:szCs w:val="32"/>
        </w:rPr>
        <w:t>20</w:t>
      </w:r>
      <w:r>
        <w:rPr>
          <w:rFonts w:hint="eastAsia" w:ascii="仿宋_GB2312" w:eastAsia="仿宋_GB2312"/>
          <w:b w:val="0"/>
          <w:bCs/>
          <w:sz w:val="32"/>
          <w:szCs w:val="32"/>
        </w:rPr>
        <w:t>21年减少</w:t>
      </w:r>
      <w:r>
        <w:rPr>
          <w:rFonts w:hint="eastAsia" w:ascii="仿宋_GB2312" w:eastAsia="仿宋_GB2312"/>
          <w:b w:val="0"/>
          <w:bCs/>
          <w:sz w:val="32"/>
          <w:szCs w:val="32"/>
          <w:lang w:val="en-US" w:eastAsia="zh-CN"/>
        </w:rPr>
        <w:t>0.11</w:t>
      </w:r>
      <w:r>
        <w:rPr>
          <w:rFonts w:hint="eastAsia" w:ascii="仿宋_GB2312" w:eastAsia="仿宋_GB2312"/>
          <w:b w:val="0"/>
          <w:bCs/>
          <w:sz w:val="32"/>
          <w:szCs w:val="32"/>
        </w:rPr>
        <w:t>万元，下降</w:t>
      </w:r>
      <w:r>
        <w:rPr>
          <w:rFonts w:hint="eastAsia" w:ascii="仿宋_GB2312" w:eastAsia="仿宋_GB2312"/>
          <w:b w:val="0"/>
          <w:bCs/>
          <w:sz w:val="32"/>
          <w:szCs w:val="32"/>
          <w:lang w:val="en-US" w:eastAsia="zh-CN"/>
        </w:rPr>
        <w:t>100</w:t>
      </w:r>
      <w:r>
        <w:rPr>
          <w:rFonts w:ascii="仿宋_GB2312" w:eastAsia="仿宋_GB2312"/>
          <w:b w:val="0"/>
          <w:bCs/>
          <w:sz w:val="32"/>
          <w:szCs w:val="32"/>
        </w:rPr>
        <w:t>%</w:t>
      </w:r>
      <w:r>
        <w:rPr>
          <w:rFonts w:hint="eastAsia" w:ascii="仿宋_GB2312" w:eastAsia="仿宋_GB2312"/>
          <w:b w:val="0"/>
          <w:bCs/>
          <w:sz w:val="32"/>
          <w:szCs w:val="32"/>
        </w:rPr>
        <w:t>。</w:t>
      </w:r>
      <w:r>
        <w:rPr>
          <w:rFonts w:hint="eastAsia" w:ascii="仿宋_GB2312" w:eastAsia="仿宋_GB2312"/>
          <w:b w:val="0"/>
          <w:bCs/>
          <w:sz w:val="32"/>
          <w:szCs w:val="32"/>
          <w:highlight w:val="none"/>
        </w:rPr>
        <w:t>主要原因是</w:t>
      </w:r>
      <w:r>
        <w:rPr>
          <w:rFonts w:hint="eastAsia" w:ascii="仿宋_GB2312" w:eastAsia="仿宋_GB2312"/>
          <w:b w:val="0"/>
          <w:bCs/>
          <w:sz w:val="32"/>
          <w:szCs w:val="32"/>
          <w:highlight w:val="none"/>
          <w:lang w:val="en-US" w:eastAsia="zh-CN"/>
        </w:rPr>
        <w:t>2022年无公务接待，未产生公务接待费。</w:t>
      </w:r>
      <w:r>
        <w:rPr>
          <w:rFonts w:hint="eastAsia" w:ascii="仿宋_GB2312" w:eastAsia="仿宋_GB2312"/>
          <w:b w:val="0"/>
          <w:bCs/>
          <w:sz w:val="32"/>
          <w:szCs w:val="32"/>
          <w:highlight w:val="none"/>
        </w:rPr>
        <w:t>其中：</w:t>
      </w:r>
    </w:p>
    <w:p w14:paraId="74E4DB02">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ascii="仿宋_GB2312" w:eastAsia="仿宋_GB2312"/>
          <w:b w:val="0"/>
          <w:bCs/>
          <w:sz w:val="32"/>
          <w:szCs w:val="32"/>
          <w:highlight w:val="none"/>
        </w:rPr>
      </w:pPr>
      <w:bookmarkStart w:id="56" w:name="_Toc15377218"/>
      <w:bookmarkStart w:id="57" w:name="_Toc15396610"/>
      <w:r>
        <w:rPr>
          <w:rFonts w:hint="eastAsia" w:ascii="仿宋" w:hAnsi="仿宋" w:eastAsia="仿宋"/>
          <w:b w:val="0"/>
          <w:bCs/>
          <w:sz w:val="32"/>
          <w:szCs w:val="32"/>
          <w:highlight w:val="none"/>
        </w:rPr>
        <w:t>国内公务接待支出</w:t>
      </w:r>
      <w:r>
        <w:rPr>
          <w:rFonts w:hint="eastAsia" w:ascii="仿宋" w:hAnsi="仿宋" w:eastAsia="仿宋"/>
          <w:b w:val="0"/>
          <w:bCs/>
          <w:sz w:val="32"/>
          <w:szCs w:val="32"/>
          <w:highlight w:val="none"/>
          <w:lang w:val="en-US" w:eastAsia="zh-CN"/>
        </w:rPr>
        <w:t>0</w:t>
      </w:r>
      <w:r>
        <w:rPr>
          <w:rFonts w:hint="eastAsia" w:ascii="仿宋_GB2312" w:eastAsia="仿宋_GB2312"/>
          <w:b w:val="0"/>
          <w:bCs/>
          <w:sz w:val="32"/>
          <w:szCs w:val="32"/>
          <w:highlight w:val="none"/>
        </w:rPr>
        <w:t>万元。国内公务接待</w:t>
      </w:r>
      <w:r>
        <w:rPr>
          <w:rFonts w:hint="eastAsia" w:ascii="仿宋_GB2312" w:eastAsia="仿宋_GB2312"/>
          <w:b w:val="0"/>
          <w:bCs/>
          <w:sz w:val="32"/>
          <w:szCs w:val="32"/>
          <w:highlight w:val="none"/>
          <w:lang w:val="en-US" w:eastAsia="zh-CN"/>
        </w:rPr>
        <w:t>0</w:t>
      </w:r>
      <w:r>
        <w:rPr>
          <w:rFonts w:hint="eastAsia" w:ascii="仿宋_GB2312" w:eastAsia="仿宋_GB2312"/>
          <w:b w:val="0"/>
          <w:bCs/>
          <w:sz w:val="32"/>
          <w:szCs w:val="32"/>
          <w:highlight w:val="none"/>
        </w:rPr>
        <w:t>批次，</w:t>
      </w:r>
      <w:r>
        <w:rPr>
          <w:rFonts w:hint="eastAsia" w:ascii="仿宋_GB2312" w:eastAsia="仿宋_GB2312"/>
          <w:b w:val="0"/>
          <w:bCs/>
          <w:sz w:val="32"/>
          <w:szCs w:val="32"/>
          <w:highlight w:val="none"/>
          <w:lang w:val="en-US" w:eastAsia="zh-CN"/>
        </w:rPr>
        <w:t>0</w:t>
      </w:r>
      <w:r>
        <w:rPr>
          <w:rFonts w:hint="eastAsia" w:ascii="仿宋_GB2312" w:eastAsia="仿宋_GB2312"/>
          <w:b w:val="0"/>
          <w:bCs/>
          <w:sz w:val="32"/>
          <w:szCs w:val="32"/>
          <w:highlight w:val="none"/>
        </w:rPr>
        <w:t>人次，共计支出</w:t>
      </w:r>
      <w:r>
        <w:rPr>
          <w:rFonts w:hint="eastAsia" w:ascii="仿宋_GB2312" w:eastAsia="仿宋_GB2312"/>
          <w:b w:val="0"/>
          <w:bCs/>
          <w:sz w:val="32"/>
          <w:szCs w:val="32"/>
          <w:highlight w:val="none"/>
          <w:lang w:val="en-US" w:eastAsia="zh-CN"/>
        </w:rPr>
        <w:t>0</w:t>
      </w:r>
      <w:r>
        <w:rPr>
          <w:rFonts w:hint="eastAsia" w:ascii="仿宋_GB2312" w:eastAsia="仿宋_GB2312"/>
          <w:b w:val="0"/>
          <w:bCs/>
          <w:sz w:val="32"/>
          <w:szCs w:val="32"/>
          <w:highlight w:val="none"/>
        </w:rPr>
        <w:t>万元。</w:t>
      </w:r>
    </w:p>
    <w:p w14:paraId="15B316B3">
      <w:pPr>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1"/>
        <w:rPr>
          <w:rFonts w:ascii="黑体" w:eastAsia="黑体"/>
          <w:b w:val="0"/>
          <w:bCs/>
          <w:sz w:val="32"/>
          <w:szCs w:val="32"/>
          <w:highlight w:val="none"/>
        </w:rPr>
      </w:pPr>
      <w:bookmarkStart w:id="58" w:name="_Toc585"/>
      <w:r>
        <w:rPr>
          <w:rFonts w:hint="eastAsia" w:ascii="仿宋" w:hAnsi="仿宋" w:eastAsia="仿宋"/>
          <w:b w:val="0"/>
          <w:bCs/>
          <w:sz w:val="32"/>
          <w:szCs w:val="32"/>
          <w:highlight w:val="none"/>
        </w:rPr>
        <w:t>外事接待支出</w:t>
      </w:r>
      <w:r>
        <w:rPr>
          <w:rFonts w:hint="eastAsia" w:ascii="仿宋" w:hAnsi="仿宋" w:eastAsia="仿宋"/>
          <w:b w:val="0"/>
          <w:bCs/>
          <w:sz w:val="32"/>
          <w:szCs w:val="32"/>
          <w:highlight w:val="none"/>
          <w:lang w:val="en-US" w:eastAsia="zh-CN"/>
        </w:rPr>
        <w:t>0</w:t>
      </w:r>
      <w:r>
        <w:rPr>
          <w:rFonts w:hint="eastAsia" w:ascii="仿宋_GB2312" w:eastAsia="仿宋_GB2312"/>
          <w:b w:val="0"/>
          <w:bCs/>
          <w:sz w:val="32"/>
          <w:szCs w:val="32"/>
          <w:highlight w:val="none"/>
        </w:rPr>
        <w:t>万元。外事接待</w:t>
      </w:r>
      <w:r>
        <w:rPr>
          <w:rFonts w:hint="eastAsia" w:ascii="仿宋_GB2312" w:eastAsia="仿宋_GB2312"/>
          <w:b w:val="0"/>
          <w:bCs/>
          <w:sz w:val="32"/>
          <w:szCs w:val="32"/>
          <w:highlight w:val="none"/>
          <w:lang w:val="en-US" w:eastAsia="zh-CN"/>
        </w:rPr>
        <w:t>0</w:t>
      </w:r>
      <w:r>
        <w:rPr>
          <w:rFonts w:hint="eastAsia" w:ascii="仿宋_GB2312" w:eastAsia="仿宋_GB2312"/>
          <w:b w:val="0"/>
          <w:bCs/>
          <w:sz w:val="32"/>
          <w:szCs w:val="32"/>
          <w:highlight w:val="none"/>
        </w:rPr>
        <w:t>批次，</w:t>
      </w:r>
      <w:r>
        <w:rPr>
          <w:rFonts w:hint="eastAsia" w:ascii="仿宋_GB2312" w:eastAsia="仿宋_GB2312"/>
          <w:b w:val="0"/>
          <w:bCs/>
          <w:sz w:val="32"/>
          <w:szCs w:val="32"/>
          <w:highlight w:val="none"/>
          <w:lang w:val="en-US" w:eastAsia="zh-CN"/>
        </w:rPr>
        <w:t>0</w:t>
      </w:r>
      <w:r>
        <w:rPr>
          <w:rFonts w:hint="eastAsia" w:ascii="仿宋_GB2312" w:eastAsia="仿宋_GB2312"/>
          <w:b w:val="0"/>
          <w:bCs/>
          <w:sz w:val="32"/>
          <w:szCs w:val="32"/>
          <w:highlight w:val="none"/>
        </w:rPr>
        <w:t>人次，共计支出</w:t>
      </w:r>
      <w:r>
        <w:rPr>
          <w:rFonts w:hint="eastAsia" w:ascii="仿宋_GB2312" w:eastAsia="仿宋_GB2312"/>
          <w:b w:val="0"/>
          <w:bCs/>
          <w:sz w:val="32"/>
          <w:szCs w:val="32"/>
          <w:highlight w:val="none"/>
          <w:lang w:val="en-US" w:eastAsia="zh-CN"/>
        </w:rPr>
        <w:t>0</w:t>
      </w:r>
      <w:r>
        <w:rPr>
          <w:rFonts w:hint="eastAsia" w:ascii="仿宋_GB2312" w:eastAsia="仿宋_GB2312"/>
          <w:b w:val="0"/>
          <w:bCs/>
          <w:sz w:val="32"/>
          <w:szCs w:val="32"/>
          <w:highlight w:val="none"/>
        </w:rPr>
        <w:t>万元。</w:t>
      </w:r>
      <w:bookmarkEnd w:id="58"/>
    </w:p>
    <w:p w14:paraId="39F2F926">
      <w:pPr>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1"/>
        <w:rPr>
          <w:rStyle w:val="31"/>
          <w:rFonts w:ascii="黑体" w:hAnsi="黑体" w:eastAsia="黑体"/>
          <w:b w:val="0"/>
          <w:bCs/>
        </w:rPr>
      </w:pPr>
      <w:bookmarkStart w:id="59" w:name="_Toc23172"/>
      <w:r>
        <w:rPr>
          <w:rFonts w:hint="eastAsia" w:ascii="黑体" w:eastAsia="黑体"/>
          <w:b w:val="0"/>
          <w:bCs/>
          <w:sz w:val="32"/>
          <w:szCs w:val="32"/>
        </w:rPr>
        <w:t>八、</w:t>
      </w:r>
      <w:r>
        <w:rPr>
          <w:rStyle w:val="31"/>
          <w:rFonts w:hint="eastAsia" w:ascii="黑体" w:hAnsi="黑体" w:eastAsia="黑体"/>
          <w:b w:val="0"/>
          <w:bCs/>
        </w:rPr>
        <w:t>政府性基金预算支出决算情况说明</w:t>
      </w:r>
      <w:bookmarkEnd w:id="56"/>
      <w:bookmarkEnd w:id="57"/>
      <w:bookmarkEnd w:id="59"/>
    </w:p>
    <w:p w14:paraId="5D8F5DC4">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ascii="仿宋_GB2312" w:eastAsia="仿宋_GB2312"/>
          <w:b w:val="0"/>
          <w:bCs/>
          <w:sz w:val="32"/>
          <w:szCs w:val="32"/>
        </w:rPr>
      </w:pPr>
      <w:r>
        <w:rPr>
          <w:rFonts w:ascii="仿宋_GB2312" w:eastAsia="仿宋_GB2312"/>
          <w:b w:val="0"/>
          <w:bCs/>
          <w:sz w:val="32"/>
          <w:szCs w:val="32"/>
        </w:rPr>
        <w:t>20</w:t>
      </w:r>
      <w:r>
        <w:rPr>
          <w:rFonts w:hint="eastAsia" w:ascii="仿宋_GB2312" w:eastAsia="仿宋_GB2312"/>
          <w:b w:val="0"/>
          <w:bCs/>
          <w:sz w:val="32"/>
          <w:szCs w:val="32"/>
        </w:rPr>
        <w:t>22年政府性基金预算财政拨款支出</w:t>
      </w:r>
      <w:r>
        <w:rPr>
          <w:rFonts w:hint="eastAsia" w:ascii="仿宋_GB2312" w:eastAsia="仿宋_GB2312"/>
          <w:b w:val="0"/>
          <w:bCs/>
          <w:sz w:val="32"/>
          <w:szCs w:val="32"/>
          <w:lang w:val="en-US" w:eastAsia="zh-CN"/>
        </w:rPr>
        <w:t>32.58</w:t>
      </w:r>
      <w:r>
        <w:rPr>
          <w:rFonts w:hint="eastAsia" w:ascii="仿宋_GB2312" w:eastAsia="仿宋_GB2312"/>
          <w:b w:val="0"/>
          <w:bCs/>
          <w:sz w:val="32"/>
          <w:szCs w:val="32"/>
        </w:rPr>
        <w:t>万元。</w:t>
      </w:r>
    </w:p>
    <w:p w14:paraId="39ADB016">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40"/>
        <w:textAlignment w:val="auto"/>
        <w:outlineLvl w:val="1"/>
        <w:rPr>
          <w:rStyle w:val="31"/>
          <w:rFonts w:ascii="黑体" w:hAnsi="黑体" w:eastAsia="黑体"/>
          <w:b w:val="0"/>
          <w:bCs/>
        </w:rPr>
      </w:pPr>
      <w:bookmarkStart w:id="60" w:name="_Toc15377219"/>
      <w:bookmarkStart w:id="61" w:name="_Toc4623"/>
      <w:bookmarkStart w:id="62" w:name="_Toc15396611"/>
      <w:r>
        <w:rPr>
          <w:rStyle w:val="31"/>
          <w:rFonts w:hint="eastAsia" w:ascii="黑体" w:hAnsi="黑体" w:eastAsia="黑体"/>
          <w:b w:val="0"/>
          <w:bCs/>
        </w:rPr>
        <w:t>国有资本经营预算支出决算情况说明</w:t>
      </w:r>
      <w:bookmarkEnd w:id="60"/>
      <w:bookmarkEnd w:id="61"/>
      <w:bookmarkEnd w:id="62"/>
    </w:p>
    <w:p w14:paraId="517C8571">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ascii="仿宋_GB2312" w:eastAsia="仿宋_GB2312"/>
          <w:b w:val="0"/>
          <w:bCs/>
          <w:sz w:val="32"/>
          <w:szCs w:val="32"/>
        </w:rPr>
      </w:pPr>
      <w:r>
        <w:rPr>
          <w:rFonts w:ascii="仿宋_GB2312" w:eastAsia="仿宋_GB2312"/>
          <w:b w:val="0"/>
          <w:bCs/>
          <w:sz w:val="32"/>
          <w:szCs w:val="32"/>
        </w:rPr>
        <w:t>20</w:t>
      </w:r>
      <w:r>
        <w:rPr>
          <w:rFonts w:hint="eastAsia" w:ascii="仿宋_GB2312" w:eastAsia="仿宋_GB2312"/>
          <w:b w:val="0"/>
          <w:bCs/>
          <w:sz w:val="32"/>
          <w:szCs w:val="32"/>
        </w:rPr>
        <w:t>22年国有资本经营预算财政拨款支出</w:t>
      </w:r>
      <w:r>
        <w:rPr>
          <w:rFonts w:hint="eastAsia" w:ascii="仿宋_GB2312" w:eastAsia="仿宋_GB2312"/>
          <w:b w:val="0"/>
          <w:bCs/>
          <w:sz w:val="32"/>
          <w:szCs w:val="32"/>
          <w:lang w:val="en-US" w:eastAsia="zh-CN"/>
        </w:rPr>
        <w:t>0</w:t>
      </w:r>
      <w:r>
        <w:rPr>
          <w:rFonts w:hint="eastAsia" w:ascii="仿宋_GB2312" w:eastAsia="仿宋_GB2312"/>
          <w:b w:val="0"/>
          <w:bCs/>
          <w:sz w:val="32"/>
          <w:szCs w:val="32"/>
        </w:rPr>
        <w:t>万元。</w:t>
      </w:r>
    </w:p>
    <w:p w14:paraId="49BB05B3">
      <w:pPr>
        <w:numPr>
          <w:ilvl w:val="0"/>
          <w:numId w:val="1"/>
        </w:numPr>
        <w:spacing w:line="600" w:lineRule="exact"/>
        <w:ind w:firstLine="640"/>
        <w:outlineLvl w:val="1"/>
        <w:rPr>
          <w:rStyle w:val="31"/>
          <w:rFonts w:ascii="黑体" w:hAnsi="黑体" w:eastAsia="黑体"/>
          <w:b w:val="0"/>
        </w:rPr>
      </w:pPr>
      <w:bookmarkStart w:id="63" w:name="_Toc15377221"/>
      <w:bookmarkStart w:id="64" w:name="_Toc15396612"/>
      <w:bookmarkStart w:id="65" w:name="_Toc14887"/>
      <w:r>
        <w:rPr>
          <w:rStyle w:val="31"/>
          <w:rFonts w:hint="eastAsia" w:ascii="黑体" w:hAnsi="黑体" w:eastAsia="黑体"/>
          <w:b w:val="0"/>
        </w:rPr>
        <w:t>其他重要事项的情况说明</w:t>
      </w:r>
      <w:bookmarkEnd w:id="63"/>
      <w:bookmarkEnd w:id="64"/>
      <w:bookmarkEnd w:id="65"/>
    </w:p>
    <w:p w14:paraId="0C998E4C">
      <w:pPr>
        <w:spacing w:line="600" w:lineRule="exact"/>
        <w:ind w:firstLine="640" w:firstLineChars="200"/>
        <w:outlineLvl w:val="2"/>
        <w:rPr>
          <w:rFonts w:hint="eastAsia" w:ascii="仿宋_GB2312" w:hAnsi="仿宋_GB2312" w:eastAsia="仿宋_GB2312" w:cs="仿宋_GB2312"/>
          <w:sz w:val="32"/>
          <w:szCs w:val="32"/>
        </w:rPr>
      </w:pPr>
      <w:bookmarkStart w:id="66" w:name="_Toc15377222"/>
      <w:r>
        <w:rPr>
          <w:rFonts w:hint="eastAsia" w:ascii="仿宋_GB2312" w:hAnsi="仿宋_GB2312" w:eastAsia="仿宋_GB2312" w:cs="仿宋_GB2312"/>
          <w:sz w:val="32"/>
          <w:szCs w:val="32"/>
        </w:rPr>
        <w:t>（一）机关运行经费支出情况</w:t>
      </w:r>
      <w:bookmarkEnd w:id="66"/>
    </w:p>
    <w:p w14:paraId="5A0FE2E2">
      <w:pPr>
        <w:spacing w:line="600" w:lineRule="exact"/>
        <w:ind w:firstLine="640" w:firstLineChars="20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22年，</w:t>
      </w:r>
      <w:r>
        <w:rPr>
          <w:rFonts w:hint="eastAsia" w:ascii="仿宋_GB2312" w:eastAsia="仿宋_GB2312"/>
          <w:sz w:val="32"/>
          <w:szCs w:val="32"/>
          <w:lang w:val="en-US" w:eastAsia="zh-CN"/>
        </w:rPr>
        <w:t>峨眉山市财政局</w:t>
      </w:r>
      <w:r>
        <w:rPr>
          <w:rFonts w:hint="eastAsia" w:ascii="仿宋_GB2312" w:eastAsia="仿宋_GB2312"/>
          <w:sz w:val="32"/>
          <w:szCs w:val="32"/>
        </w:rPr>
        <w:t>机关运行经费支出</w:t>
      </w:r>
      <w:r>
        <w:rPr>
          <w:rFonts w:hint="eastAsia" w:ascii="仿宋_GB2312" w:eastAsia="仿宋_GB2312"/>
          <w:sz w:val="32"/>
          <w:szCs w:val="32"/>
          <w:lang w:val="en-US" w:eastAsia="zh-CN"/>
        </w:rPr>
        <w:t>194.65</w:t>
      </w:r>
      <w:r>
        <w:rPr>
          <w:rFonts w:hint="eastAsia" w:ascii="仿宋_GB2312" w:eastAsia="仿宋_GB2312"/>
          <w:sz w:val="32"/>
          <w:szCs w:val="32"/>
        </w:rPr>
        <w:t>万元，比</w:t>
      </w:r>
      <w:r>
        <w:rPr>
          <w:rFonts w:ascii="仿宋_GB2312" w:eastAsia="仿宋_GB2312"/>
          <w:sz w:val="32"/>
          <w:szCs w:val="32"/>
        </w:rPr>
        <w:t>20</w:t>
      </w:r>
      <w:r>
        <w:rPr>
          <w:rFonts w:hint="eastAsia" w:ascii="仿宋_GB2312" w:eastAsia="仿宋_GB2312"/>
          <w:sz w:val="32"/>
          <w:szCs w:val="32"/>
        </w:rPr>
        <w:t>21年增加</w:t>
      </w:r>
      <w:r>
        <w:rPr>
          <w:rFonts w:hint="eastAsia" w:ascii="仿宋_GB2312" w:eastAsia="仿宋_GB2312"/>
          <w:sz w:val="32"/>
          <w:szCs w:val="32"/>
          <w:lang w:val="en-US" w:eastAsia="zh-CN"/>
        </w:rPr>
        <w:t>79</w:t>
      </w:r>
      <w:r>
        <w:rPr>
          <w:rFonts w:hint="eastAsia" w:ascii="仿宋_GB2312" w:eastAsia="仿宋_GB2312"/>
          <w:sz w:val="32"/>
          <w:szCs w:val="32"/>
        </w:rPr>
        <w:t>万元，增长</w:t>
      </w:r>
      <w:r>
        <w:rPr>
          <w:rFonts w:hint="eastAsia" w:ascii="仿宋_GB2312" w:eastAsia="仿宋_GB2312"/>
          <w:sz w:val="32"/>
          <w:szCs w:val="32"/>
          <w:lang w:val="en-US" w:eastAsia="zh-CN"/>
        </w:rPr>
        <w:t>68.31</w:t>
      </w:r>
      <w:r>
        <w:rPr>
          <w:rFonts w:ascii="仿宋_GB2312" w:eastAsia="仿宋_GB2312"/>
          <w:sz w:val="32"/>
          <w:szCs w:val="32"/>
        </w:rPr>
        <w:t>%</w:t>
      </w:r>
      <w:r>
        <w:rPr>
          <w:rFonts w:hint="eastAsia" w:ascii="仿宋_GB2312" w:eastAsia="仿宋_GB2312"/>
          <w:sz w:val="32"/>
          <w:szCs w:val="32"/>
          <w:lang w:eastAsia="zh-CN"/>
        </w:rPr>
        <w:t>。</w:t>
      </w:r>
      <w:r>
        <w:rPr>
          <w:rFonts w:hint="eastAsia" w:ascii="仿宋_GB2312" w:eastAsia="仿宋_GB2312"/>
          <w:sz w:val="32"/>
          <w:szCs w:val="32"/>
        </w:rPr>
        <w:t>主要原因是</w:t>
      </w:r>
      <w:r>
        <w:rPr>
          <w:rFonts w:hint="eastAsia" w:ascii="仿宋_GB2312" w:eastAsia="仿宋_GB2312"/>
          <w:sz w:val="32"/>
          <w:szCs w:val="32"/>
          <w:lang w:val="en-US" w:eastAsia="zh-CN"/>
        </w:rPr>
        <w:t>有新增人员，经费支出增加</w:t>
      </w:r>
      <w:r>
        <w:rPr>
          <w:rFonts w:hint="eastAsia" w:ascii="仿宋_GB2312" w:eastAsia="仿宋_GB2312"/>
          <w:sz w:val="32"/>
          <w:szCs w:val="32"/>
        </w:rPr>
        <w:t>。</w:t>
      </w:r>
    </w:p>
    <w:p w14:paraId="2BD7FD94">
      <w:pPr>
        <w:spacing w:line="600" w:lineRule="exact"/>
        <w:ind w:firstLine="640" w:firstLineChars="200"/>
        <w:outlineLvl w:val="2"/>
        <w:rPr>
          <w:rFonts w:hint="eastAsia" w:ascii="仿宋_GB2312" w:hAnsi="仿宋_GB2312" w:eastAsia="仿宋_GB2312" w:cs="仿宋_GB2312"/>
          <w:sz w:val="32"/>
          <w:szCs w:val="32"/>
        </w:rPr>
      </w:pPr>
      <w:bookmarkStart w:id="67" w:name="_Toc15377223"/>
      <w:r>
        <w:rPr>
          <w:rFonts w:hint="eastAsia" w:ascii="仿宋_GB2312" w:hAnsi="仿宋_GB2312" w:eastAsia="仿宋_GB2312" w:cs="仿宋_GB2312"/>
          <w:sz w:val="32"/>
          <w:szCs w:val="32"/>
        </w:rPr>
        <w:t>（二）政府采购支出情况</w:t>
      </w:r>
      <w:bookmarkEnd w:id="67"/>
    </w:p>
    <w:p w14:paraId="0F29C388">
      <w:pPr>
        <w:spacing w:line="600" w:lineRule="exact"/>
        <w:ind w:firstLine="640" w:firstLineChars="20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22年，</w:t>
      </w:r>
      <w:r>
        <w:rPr>
          <w:rFonts w:hint="eastAsia" w:ascii="仿宋_GB2312" w:eastAsia="仿宋_GB2312"/>
          <w:sz w:val="32"/>
          <w:szCs w:val="32"/>
          <w:lang w:val="en-US" w:eastAsia="zh-CN"/>
        </w:rPr>
        <w:t>峨眉山市财政局</w:t>
      </w:r>
      <w:r>
        <w:rPr>
          <w:rFonts w:hint="eastAsia" w:ascii="仿宋_GB2312" w:eastAsia="仿宋_GB2312"/>
          <w:sz w:val="32"/>
          <w:szCs w:val="32"/>
        </w:rPr>
        <w:t>政府采购支出总额</w:t>
      </w:r>
      <w:r>
        <w:rPr>
          <w:rFonts w:hint="eastAsia" w:ascii="仿宋_GB2312" w:eastAsia="仿宋_GB2312"/>
          <w:sz w:val="32"/>
          <w:szCs w:val="32"/>
          <w:lang w:val="en-US" w:eastAsia="zh-CN"/>
        </w:rPr>
        <w:t>1.94</w:t>
      </w:r>
      <w:r>
        <w:rPr>
          <w:rFonts w:hint="eastAsia" w:ascii="仿宋_GB2312" w:eastAsia="仿宋_GB2312"/>
          <w:sz w:val="32"/>
          <w:szCs w:val="32"/>
        </w:rPr>
        <w:t>万元，其中：政府采购货物支出</w:t>
      </w:r>
      <w:r>
        <w:rPr>
          <w:rFonts w:hint="eastAsia" w:ascii="仿宋_GB2312" w:eastAsia="仿宋_GB2312"/>
          <w:sz w:val="32"/>
          <w:szCs w:val="32"/>
          <w:lang w:val="en-US" w:eastAsia="zh-CN"/>
        </w:rPr>
        <w:t>1.94</w:t>
      </w:r>
      <w:r>
        <w:rPr>
          <w:rFonts w:hint="eastAsia" w:ascii="仿宋_GB2312" w:eastAsia="仿宋_GB2312"/>
          <w:sz w:val="32"/>
          <w:szCs w:val="32"/>
        </w:rPr>
        <w:t>万元、政府采购工程支出</w:t>
      </w:r>
      <w:r>
        <w:rPr>
          <w:rFonts w:hint="eastAsia" w:ascii="仿宋_GB2312" w:eastAsia="仿宋_GB2312"/>
          <w:sz w:val="32"/>
          <w:szCs w:val="32"/>
          <w:lang w:val="en-US" w:eastAsia="zh-CN"/>
        </w:rPr>
        <w:t>0</w:t>
      </w:r>
      <w:r>
        <w:rPr>
          <w:rFonts w:hint="eastAsia" w:ascii="仿宋_GB2312" w:eastAsia="仿宋_GB2312"/>
          <w:sz w:val="32"/>
          <w:szCs w:val="32"/>
        </w:rPr>
        <w:t>万元、政府采购服务支出</w:t>
      </w:r>
      <w:r>
        <w:rPr>
          <w:rFonts w:hint="eastAsia" w:ascii="仿宋_GB2312" w:eastAsia="仿宋_GB2312"/>
          <w:sz w:val="32"/>
          <w:szCs w:val="32"/>
          <w:lang w:val="en-US" w:eastAsia="zh-CN"/>
        </w:rPr>
        <w:t>0</w:t>
      </w:r>
      <w:r>
        <w:rPr>
          <w:rFonts w:hint="eastAsia" w:ascii="仿宋_GB2312" w:eastAsia="仿宋_GB2312"/>
          <w:sz w:val="32"/>
          <w:szCs w:val="32"/>
        </w:rPr>
        <w:t>万元。主要用于</w:t>
      </w:r>
      <w:r>
        <w:rPr>
          <w:rFonts w:hint="eastAsia" w:ascii="仿宋_GB2312" w:eastAsia="仿宋_GB2312"/>
          <w:sz w:val="32"/>
          <w:szCs w:val="32"/>
          <w:lang w:val="en-US" w:eastAsia="zh-CN"/>
        </w:rPr>
        <w:t>购置货物满足工作开展需要</w:t>
      </w:r>
      <w:r>
        <w:rPr>
          <w:rFonts w:hint="eastAsia" w:ascii="仿宋_GB2312" w:eastAsia="仿宋_GB2312"/>
          <w:sz w:val="32"/>
          <w:szCs w:val="32"/>
        </w:rPr>
        <w:t>。授予中小企业合同金额</w:t>
      </w:r>
      <w:r>
        <w:rPr>
          <w:rFonts w:hint="eastAsia" w:ascii="仿宋_GB2312" w:eastAsia="仿宋_GB2312"/>
          <w:sz w:val="32"/>
          <w:szCs w:val="32"/>
          <w:lang w:val="en-US" w:eastAsia="zh-CN"/>
        </w:rPr>
        <w:t>1.94</w:t>
      </w:r>
      <w:r>
        <w:rPr>
          <w:rFonts w:hint="eastAsia" w:ascii="仿宋_GB2312" w:eastAsia="仿宋_GB2312"/>
          <w:sz w:val="32"/>
          <w:szCs w:val="32"/>
        </w:rPr>
        <w:t>万元，占政府采购支出总额的</w:t>
      </w:r>
      <w:r>
        <w:rPr>
          <w:rFonts w:hint="eastAsia" w:ascii="仿宋_GB2312" w:eastAsia="仿宋_GB2312"/>
          <w:sz w:val="32"/>
          <w:szCs w:val="32"/>
          <w:lang w:val="en-US" w:eastAsia="zh-CN"/>
        </w:rPr>
        <w:t>100</w:t>
      </w:r>
      <w:r>
        <w:rPr>
          <w:rFonts w:ascii="仿宋_GB2312" w:eastAsia="仿宋_GB2312"/>
          <w:sz w:val="32"/>
          <w:szCs w:val="32"/>
        </w:rPr>
        <w:t>%</w:t>
      </w:r>
      <w:r>
        <w:rPr>
          <w:rFonts w:hint="eastAsia" w:ascii="仿宋_GB2312" w:eastAsia="仿宋_GB2312"/>
          <w:sz w:val="32"/>
          <w:szCs w:val="32"/>
        </w:rPr>
        <w:t>，其中：授予小微企业合同金额</w:t>
      </w:r>
      <w:r>
        <w:rPr>
          <w:rFonts w:hint="eastAsia" w:ascii="仿宋_GB2312" w:eastAsia="仿宋_GB2312"/>
          <w:sz w:val="32"/>
          <w:szCs w:val="32"/>
          <w:lang w:val="en-US" w:eastAsia="zh-CN"/>
        </w:rPr>
        <w:t>1.94</w:t>
      </w:r>
      <w:r>
        <w:rPr>
          <w:rFonts w:hint="eastAsia" w:ascii="仿宋_GB2312" w:eastAsia="仿宋_GB2312"/>
          <w:sz w:val="32"/>
          <w:szCs w:val="32"/>
        </w:rPr>
        <w:t>万元，占政府采购支出总额的</w:t>
      </w:r>
      <w:r>
        <w:rPr>
          <w:rFonts w:hint="eastAsia" w:ascii="仿宋_GB2312" w:eastAsia="仿宋_GB2312"/>
          <w:sz w:val="32"/>
          <w:szCs w:val="32"/>
          <w:lang w:val="en-US" w:eastAsia="zh-CN"/>
        </w:rPr>
        <w:t>100</w:t>
      </w:r>
      <w:r>
        <w:rPr>
          <w:rFonts w:ascii="仿宋_GB2312" w:eastAsia="仿宋_GB2312"/>
          <w:sz w:val="32"/>
          <w:szCs w:val="32"/>
        </w:rPr>
        <w:t>%</w:t>
      </w:r>
      <w:r>
        <w:rPr>
          <w:rFonts w:hint="eastAsia" w:ascii="仿宋_GB2312" w:eastAsia="仿宋_GB2312"/>
          <w:sz w:val="32"/>
          <w:szCs w:val="32"/>
        </w:rPr>
        <w:t>。</w:t>
      </w:r>
    </w:p>
    <w:p w14:paraId="6C7BF76E">
      <w:pPr>
        <w:spacing w:line="600" w:lineRule="exact"/>
        <w:ind w:firstLine="640" w:firstLineChars="200"/>
        <w:outlineLvl w:val="2"/>
        <w:rPr>
          <w:rFonts w:hint="eastAsia" w:ascii="仿宋_GB2312" w:hAnsi="仿宋_GB2312" w:eastAsia="仿宋_GB2312" w:cs="仿宋_GB2312"/>
          <w:sz w:val="32"/>
          <w:szCs w:val="32"/>
        </w:rPr>
      </w:pPr>
      <w:bookmarkStart w:id="68" w:name="_Toc15377224"/>
      <w:r>
        <w:rPr>
          <w:rFonts w:hint="eastAsia" w:ascii="仿宋_GB2312" w:hAnsi="仿宋_GB2312" w:eastAsia="仿宋_GB2312" w:cs="仿宋_GB2312"/>
          <w:sz w:val="32"/>
          <w:szCs w:val="32"/>
        </w:rPr>
        <w:t>（三）国有资产占有使用情况</w:t>
      </w:r>
      <w:bookmarkEnd w:id="68"/>
    </w:p>
    <w:p w14:paraId="0954F95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截至2022年12月31日，</w:t>
      </w:r>
      <w:r>
        <w:rPr>
          <w:rFonts w:hint="eastAsia" w:ascii="仿宋_GB2312" w:hAnsi="仿宋_GB2312" w:eastAsia="仿宋_GB2312" w:cs="仿宋_GB2312"/>
          <w:sz w:val="32"/>
          <w:szCs w:val="32"/>
          <w:lang w:val="en-US" w:eastAsia="zh-CN"/>
        </w:rPr>
        <w:t>峨眉山市财政局</w:t>
      </w:r>
      <w:r>
        <w:rPr>
          <w:rFonts w:hint="eastAsia" w:ascii="仿宋_GB2312" w:hAnsi="仿宋_GB2312" w:eastAsia="仿宋_GB2312" w:cs="仿宋_GB2312"/>
          <w:sz w:val="32"/>
          <w:szCs w:val="32"/>
        </w:rPr>
        <w:t>共有车辆</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辆，其中：主要领导干部用车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辆、机要通信用车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辆、应急保障用车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辆、其他用车</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辆，其他用车主要是用于</w:t>
      </w:r>
      <w:r>
        <w:rPr>
          <w:rFonts w:hint="eastAsia" w:ascii="仿宋_GB2312" w:hAnsi="仿宋_GB2312" w:eastAsia="仿宋_GB2312" w:cs="仿宋_GB2312"/>
          <w:sz w:val="32"/>
          <w:szCs w:val="32"/>
          <w:lang w:val="en-US" w:eastAsia="zh-CN"/>
        </w:rPr>
        <w:t>满足平时工作开展需要</w:t>
      </w:r>
      <w:r>
        <w:rPr>
          <w:rFonts w:hint="eastAsia" w:ascii="仿宋_GB2312" w:hAnsi="仿宋_GB2312" w:eastAsia="仿宋_GB2312" w:cs="仿宋_GB2312"/>
          <w:sz w:val="32"/>
          <w:szCs w:val="32"/>
        </w:rPr>
        <w:t>。单价100万元以上专用设备</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套。</w:t>
      </w:r>
    </w:p>
    <w:p w14:paraId="0987A69A">
      <w:pPr>
        <w:spacing w:line="60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（四）预算绩效管理情况</w:t>
      </w:r>
    </w:p>
    <w:p w14:paraId="55ACDD8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根据预算绩效管理要求，本部门在2022年度预算编制阶段，组织对</w:t>
      </w:r>
      <w:r>
        <w:rPr>
          <w:rFonts w:hint="eastAsia" w:ascii="仿宋_GB2312" w:hAnsi="仿宋_GB2312" w:eastAsia="仿宋_GB2312" w:cs="仿宋_GB2312"/>
          <w:sz w:val="32"/>
          <w:szCs w:val="32"/>
          <w:lang w:val="en-US" w:eastAsia="zh-CN"/>
        </w:rPr>
        <w:t>财政物业管理费、经济团队顾问经费</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个项目编制了绩效目标，预算执行过程中，选取</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个项目开展绩效监控。</w:t>
      </w:r>
    </w:p>
    <w:p w14:paraId="0CC560E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组织对2022年度一般公共预算、政府性基金预算、国有资本经营预算、社会保险基金预算以及资本资产、债券资金等全面开展绩效自评，形成</w:t>
      </w:r>
      <w:r>
        <w:rPr>
          <w:rFonts w:hint="eastAsia" w:ascii="仿宋_GB2312" w:hAnsi="仿宋_GB2312" w:eastAsia="仿宋_GB2312" w:cs="仿宋_GB2312"/>
          <w:sz w:val="32"/>
          <w:szCs w:val="32"/>
          <w:lang w:val="en-US" w:eastAsia="zh-CN"/>
        </w:rPr>
        <w:t>峨眉山市财政局</w:t>
      </w:r>
      <w:r>
        <w:rPr>
          <w:rFonts w:hint="eastAsia" w:ascii="仿宋_GB2312" w:hAnsi="仿宋_GB2312" w:eastAsia="仿宋_GB2312" w:cs="仿宋_GB2312"/>
          <w:sz w:val="32"/>
          <w:szCs w:val="32"/>
        </w:rPr>
        <w:t>部门整体（含部门预算项目）绩效自评报告</w:t>
      </w:r>
      <w:r>
        <w:rPr>
          <w:rFonts w:hint="eastAsia" w:ascii="仿宋_GB2312" w:hAnsi="仿宋_GB2312" w:eastAsia="仿宋_GB2312" w:cs="仿宋_GB2312"/>
          <w:sz w:val="32"/>
          <w:szCs w:val="32"/>
          <w:lang w:eastAsia="zh-CN"/>
        </w:rPr>
        <w:t>，财政信息化建设及运行经费、经济团队顾问经费、全市工资代发银行手续费、评审专项业务经费、</w:t>
      </w:r>
      <w:r>
        <w:rPr>
          <w:rFonts w:hint="eastAsia" w:ascii="仿宋_GB2312" w:hAnsi="仿宋_GB2312" w:eastAsia="仿宋_GB2312" w:cs="仿宋_GB2312"/>
          <w:sz w:val="32"/>
          <w:szCs w:val="32"/>
          <w:lang w:val="en-US" w:eastAsia="zh-CN"/>
        </w:rPr>
        <w:t>会计服务中心开办费</w:t>
      </w:r>
      <w:r>
        <w:rPr>
          <w:rFonts w:hint="eastAsia" w:ascii="仿宋_GB2312" w:hAnsi="仿宋_GB2312" w:eastAsia="仿宋_GB2312" w:cs="仿宋_GB2312"/>
          <w:sz w:val="32"/>
          <w:szCs w:val="32"/>
        </w:rPr>
        <w:t>等专项预算项目绩效自评报告，其中，</w:t>
      </w:r>
      <w:r>
        <w:rPr>
          <w:rFonts w:hint="eastAsia" w:ascii="仿宋_GB2312" w:hAnsi="仿宋_GB2312" w:eastAsia="仿宋_GB2312" w:cs="仿宋_GB2312"/>
          <w:sz w:val="32"/>
          <w:szCs w:val="32"/>
          <w:lang w:val="en-US" w:eastAsia="zh-CN"/>
        </w:rPr>
        <w:t>峨眉山市财政局</w:t>
      </w:r>
      <w:r>
        <w:rPr>
          <w:rFonts w:hint="eastAsia" w:ascii="仿宋_GB2312" w:hAnsi="仿宋_GB2312" w:eastAsia="仿宋_GB2312" w:cs="仿宋_GB2312"/>
          <w:sz w:val="32"/>
          <w:szCs w:val="32"/>
        </w:rPr>
        <w:t>部门整体（含部门预算项目）绩效自评得分为</w:t>
      </w:r>
      <w:r>
        <w:rPr>
          <w:rFonts w:hint="eastAsia" w:ascii="仿宋_GB2312" w:hAnsi="仿宋_GB2312" w:eastAsia="仿宋_GB2312" w:cs="仿宋_GB2312"/>
          <w:sz w:val="32"/>
          <w:szCs w:val="32"/>
          <w:lang w:val="en-US" w:eastAsia="zh-CN"/>
        </w:rPr>
        <w:t>91</w:t>
      </w:r>
      <w:r>
        <w:rPr>
          <w:rFonts w:hint="eastAsia" w:ascii="仿宋_GB2312" w:hAnsi="仿宋_GB2312" w:eastAsia="仿宋_GB2312" w:cs="仿宋_GB2312"/>
          <w:sz w:val="32"/>
          <w:szCs w:val="32"/>
        </w:rPr>
        <w:t>分，绩效自评综述：</w:t>
      </w:r>
      <w:r>
        <w:rPr>
          <w:rFonts w:hint="eastAsia" w:ascii="仿宋_GB2312" w:hAnsi="仿宋_GB2312" w:eastAsia="仿宋_GB2312" w:cs="仿宋_GB2312"/>
          <w:sz w:val="32"/>
          <w:szCs w:val="32"/>
          <w:lang w:val="zh-CN"/>
        </w:rPr>
        <w:t>优，</w:t>
      </w:r>
      <w:r>
        <w:rPr>
          <w:rFonts w:hint="eastAsia" w:ascii="仿宋_GB2312" w:hAnsi="仿宋_GB2312" w:eastAsia="仿宋_GB2312" w:cs="仿宋_GB2312"/>
          <w:sz w:val="32"/>
          <w:szCs w:val="32"/>
        </w:rPr>
        <w:t>91</w:t>
      </w:r>
      <w:r>
        <w:rPr>
          <w:rFonts w:hint="eastAsia" w:ascii="仿宋_GB2312" w:hAnsi="仿宋_GB2312" w:eastAsia="仿宋_GB2312" w:cs="仿宋_GB2312"/>
          <w:sz w:val="32"/>
          <w:szCs w:val="32"/>
          <w:lang w:val="zh-CN"/>
        </w:rPr>
        <w:t>分。预算编制</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zh-CN"/>
        </w:rPr>
        <w:t>分，其中目标制定</w:t>
      </w: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lang w:val="zh-CN"/>
        </w:rPr>
        <w:t>分、目标完成</w:t>
      </w: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lang w:val="zh-CN"/>
        </w:rPr>
        <w:t>分、编制准确</w:t>
      </w: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val="zh-CN"/>
        </w:rPr>
        <w:t>分；预算执行</w:t>
      </w:r>
      <w:r>
        <w:rPr>
          <w:rFonts w:hint="eastAsia" w:ascii="仿宋_GB2312" w:hAnsi="仿宋_GB2312" w:eastAsia="仿宋_GB2312" w:cs="仿宋_GB2312"/>
          <w:sz w:val="32"/>
          <w:szCs w:val="32"/>
        </w:rPr>
        <w:t>15</w:t>
      </w:r>
      <w:r>
        <w:rPr>
          <w:rFonts w:hint="eastAsia" w:ascii="仿宋_GB2312" w:hAnsi="仿宋_GB2312" w:eastAsia="仿宋_GB2312" w:cs="仿宋_GB2312"/>
          <w:sz w:val="32"/>
          <w:szCs w:val="32"/>
          <w:lang w:val="zh-CN"/>
        </w:rPr>
        <w:t>分，其中支出控制5分、动态调整</w:t>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zh-CN"/>
        </w:rPr>
        <w:t>分、执行进度</w:t>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zh-CN"/>
        </w:rPr>
        <w:t>分；完成结果</w:t>
      </w:r>
      <w:r>
        <w:rPr>
          <w:rFonts w:hint="eastAsia" w:ascii="仿宋_GB2312" w:hAnsi="仿宋_GB2312" w:eastAsia="仿宋_GB2312" w:cs="仿宋_GB2312"/>
          <w:sz w:val="32"/>
          <w:szCs w:val="32"/>
        </w:rPr>
        <w:t>16</w:t>
      </w:r>
      <w:r>
        <w:rPr>
          <w:rFonts w:hint="eastAsia" w:ascii="仿宋_GB2312" w:hAnsi="仿宋_GB2312" w:eastAsia="仿宋_GB2312" w:cs="仿宋_GB2312"/>
          <w:sz w:val="32"/>
          <w:szCs w:val="32"/>
          <w:lang w:val="zh-CN"/>
        </w:rPr>
        <w:t>分，其中预算完成</w:t>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lang w:val="zh-CN"/>
        </w:rPr>
        <w:t>分、违规记录</w:t>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lang w:val="zh-CN"/>
        </w:rPr>
        <w:t>分；项目决策</w:t>
      </w:r>
      <w:r>
        <w:rPr>
          <w:rFonts w:hint="eastAsia" w:ascii="仿宋_GB2312" w:hAnsi="仿宋_GB2312" w:eastAsia="仿宋_GB2312" w:cs="仿宋_GB2312"/>
          <w:sz w:val="32"/>
          <w:szCs w:val="32"/>
        </w:rPr>
        <w:t>8分，其中程序严密3分、规划合理3分，符合结果2分；项目实施4分，其中分配科学2分、分配及时2分；完成结果8分，其中预算完成3分、实施绩效3分、违规记录2分；自评质量4分；信息公开8分，其中目标公开4分、自评公开4分；</w:t>
      </w:r>
      <w:r>
        <w:rPr>
          <w:rFonts w:hint="eastAsia" w:ascii="仿宋_GB2312" w:hAnsi="仿宋_GB2312" w:eastAsia="仿宋_GB2312" w:cs="仿宋_GB2312"/>
          <w:sz w:val="32"/>
          <w:szCs w:val="32"/>
          <w:lang w:val="zh-CN"/>
        </w:rPr>
        <w:t>整改反馈8分，其中整改结果</w:t>
      </w:r>
      <w:r>
        <w:rPr>
          <w:rFonts w:hint="eastAsia" w:ascii="仿宋_GB2312" w:hAnsi="仿宋_GB2312" w:eastAsia="仿宋_GB2312" w:cs="仿宋_GB2312"/>
          <w:sz w:val="32"/>
          <w:szCs w:val="32"/>
        </w:rPr>
        <w:t>4分</w:t>
      </w:r>
      <w:r>
        <w:rPr>
          <w:rFonts w:hint="eastAsia" w:ascii="仿宋_GB2312" w:hAnsi="仿宋_GB2312" w:eastAsia="仿宋_GB2312" w:cs="仿宋_GB2312"/>
          <w:sz w:val="32"/>
          <w:szCs w:val="32"/>
          <w:lang w:val="zh-CN"/>
        </w:rPr>
        <w:t>、应用反馈</w:t>
      </w:r>
      <w:r>
        <w:rPr>
          <w:rFonts w:hint="eastAsia" w:ascii="仿宋_GB2312" w:hAnsi="仿宋_GB2312" w:eastAsia="仿宋_GB2312" w:cs="仿宋_GB2312"/>
          <w:sz w:val="32"/>
          <w:szCs w:val="32"/>
        </w:rPr>
        <w:t>4分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绩效自评报告详见附件</w:t>
      </w:r>
      <w:r>
        <w:rPr>
          <w:rFonts w:hint="eastAsia" w:ascii="仿宋_GB2312" w:hAnsi="仿宋_GB2312" w:eastAsia="仿宋_GB2312" w:cs="仿宋_GB2312"/>
          <w:sz w:val="32"/>
          <w:szCs w:val="32"/>
          <w:lang w:eastAsia="zh-CN"/>
        </w:rPr>
        <w:t>。</w:t>
      </w:r>
    </w:p>
    <w:p w14:paraId="1ED3E44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财政信息化建设及运行经费</w:t>
      </w:r>
      <w:r>
        <w:rPr>
          <w:rFonts w:hint="eastAsia" w:ascii="仿宋_GB2312" w:hAnsi="仿宋_GB2312" w:eastAsia="仿宋_GB2312" w:cs="仿宋_GB2312"/>
          <w:sz w:val="32"/>
          <w:szCs w:val="32"/>
        </w:rPr>
        <w:t>专项预算项目绩效自评得分为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分，绩效自评综述：</w:t>
      </w:r>
      <w:r>
        <w:rPr>
          <w:rFonts w:hint="eastAsia" w:ascii="仿宋_GB2312" w:hAnsi="仿宋_GB2312" w:eastAsia="仿宋_GB2312" w:cs="仿宋_GB2312"/>
          <w:sz w:val="32"/>
          <w:szCs w:val="32"/>
          <w:lang w:val="en-US" w:eastAsia="zh-CN"/>
        </w:rPr>
        <w:t>该项目为我部门保质保量的完成工作提供了保障，使工作的质量得到了提升，达到了预期要求</w:t>
      </w:r>
      <w:r>
        <w:rPr>
          <w:rFonts w:hint="eastAsia" w:ascii="仿宋_GB2312" w:hAnsi="仿宋_GB2312" w:eastAsia="仿宋_GB2312" w:cs="仿宋_GB2312"/>
          <w:sz w:val="32"/>
          <w:szCs w:val="32"/>
        </w:rPr>
        <w:t>。绩效自评报告详见附件</w:t>
      </w:r>
      <w:r>
        <w:rPr>
          <w:rFonts w:hint="eastAsia" w:ascii="仿宋_GB2312" w:hAnsi="仿宋_GB2312" w:eastAsia="仿宋_GB2312" w:cs="仿宋_GB2312"/>
          <w:sz w:val="32"/>
          <w:szCs w:val="32"/>
          <w:lang w:eastAsia="zh-CN"/>
        </w:rPr>
        <w:t>。</w:t>
      </w:r>
    </w:p>
    <w:p w14:paraId="2CAA9A1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经济团队顾问经费专项预算项目绩效自评得分为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lang w:eastAsia="zh-CN"/>
        </w:rPr>
        <w:t>分，绩效自评综述：</w:t>
      </w:r>
      <w:r>
        <w:rPr>
          <w:rFonts w:hint="eastAsia" w:ascii="仿宋_GB2312" w:hAnsi="仿宋_GB2312" w:eastAsia="仿宋_GB2312" w:cs="仿宋_GB2312"/>
          <w:sz w:val="32"/>
          <w:szCs w:val="32"/>
          <w:lang w:val="en-US" w:eastAsia="zh-CN"/>
        </w:rPr>
        <w:t>该项目保障了决策的科学性和民主性，改善了工作的质量，满足了预期需求。</w:t>
      </w:r>
      <w:r>
        <w:rPr>
          <w:rFonts w:hint="eastAsia" w:ascii="仿宋_GB2312" w:hAnsi="仿宋_GB2312" w:eastAsia="仿宋_GB2312" w:cs="仿宋_GB2312"/>
          <w:sz w:val="32"/>
          <w:szCs w:val="32"/>
          <w:lang w:eastAsia="zh-CN"/>
        </w:rPr>
        <w:t>绩效自评报告详见附件。</w:t>
      </w:r>
    </w:p>
    <w:p w14:paraId="5735D37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lang w:eastAsia="zh-CN"/>
        </w:rPr>
        <w:t>全市工资代发银行手续费专项预算项目绩效自评得分为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lang w:eastAsia="zh-CN"/>
        </w:rPr>
        <w:t>分，绩效自评综述：</w:t>
      </w:r>
      <w:r>
        <w:rPr>
          <w:rFonts w:hint="eastAsia" w:ascii="仿宋_GB2312" w:hAnsi="仿宋_GB2312" w:eastAsia="仿宋_GB2312" w:cs="仿宋_GB2312"/>
          <w:sz w:val="32"/>
          <w:szCs w:val="32"/>
          <w:lang w:val="zh-CN" w:eastAsia="zh-CN"/>
        </w:rPr>
        <w:t>我单位认真开展绩效目标自评工作，绩效目标随同预决算及时向社会公开，收支管理严格按照财务管理制度和相关文件执行，绩效结果应用自评良好。</w:t>
      </w:r>
      <w:r>
        <w:rPr>
          <w:rFonts w:hint="eastAsia" w:ascii="仿宋_GB2312" w:hAnsi="仿宋_GB2312" w:eastAsia="仿宋_GB2312" w:cs="仿宋_GB2312"/>
          <w:sz w:val="32"/>
          <w:szCs w:val="32"/>
          <w:lang w:eastAsia="zh-CN"/>
        </w:rPr>
        <w:t>绩效自评报告详见附件。</w:t>
      </w:r>
    </w:p>
    <w:p w14:paraId="152BEA4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评审专项业务经费专项预算项目绩效自评得分为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lang w:eastAsia="zh-CN"/>
        </w:rPr>
        <w:t>分，绩效自评综述：</w:t>
      </w:r>
      <w:r>
        <w:rPr>
          <w:rFonts w:hint="eastAsia" w:ascii="仿宋_GB2312" w:hAnsi="仿宋_GB2312" w:eastAsia="仿宋_GB2312" w:cs="仿宋_GB2312"/>
          <w:sz w:val="32"/>
          <w:szCs w:val="32"/>
          <w:lang w:val="en-US" w:eastAsia="zh-CN"/>
        </w:rPr>
        <w:t>该项目为我部门按时有效、保质保量的完成评审工作提供了保障。提升了工作的质量，达到了预期要求。</w:t>
      </w:r>
      <w:r>
        <w:rPr>
          <w:rFonts w:hint="eastAsia" w:ascii="仿宋_GB2312" w:hAnsi="仿宋_GB2312" w:eastAsia="仿宋_GB2312" w:cs="仿宋_GB2312"/>
          <w:sz w:val="32"/>
          <w:szCs w:val="32"/>
          <w:lang w:eastAsia="zh-CN"/>
        </w:rPr>
        <w:t>绩效自评报告详见附件。</w:t>
      </w:r>
    </w:p>
    <w:p w14:paraId="447EBE4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会计服务中心开办费</w:t>
      </w:r>
      <w:r>
        <w:rPr>
          <w:rFonts w:hint="eastAsia" w:ascii="仿宋_GB2312" w:hAnsi="仿宋_GB2312" w:eastAsia="仿宋_GB2312" w:cs="仿宋_GB2312"/>
          <w:sz w:val="32"/>
          <w:szCs w:val="32"/>
          <w:lang w:eastAsia="zh-CN"/>
        </w:rPr>
        <w:t>专项预算项目绩效自评得分为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lang w:eastAsia="zh-CN"/>
        </w:rPr>
        <w:t>分，绩效自评综述：</w:t>
      </w:r>
      <w:r>
        <w:rPr>
          <w:rFonts w:hint="eastAsia" w:ascii="仿宋_GB2312" w:hAnsi="仿宋_GB2312" w:eastAsia="仿宋_GB2312" w:cs="仿宋_GB2312"/>
          <w:sz w:val="32"/>
          <w:szCs w:val="32"/>
          <w:lang w:val="en-US" w:eastAsia="zh-CN"/>
        </w:rPr>
        <w:t>2022年截至12月7日共完成代理记账单位财政资金32825笔，36.91亿元资金支付。出具书面提示单5份，涉及资金23.55万元；口头或电话提示80余次，涉及资金1200余万元。通过委托代理记账，进一步增强了部门单位遵守财经法律法规的意识，一些超标准、不合规的支出明显减少，确保了财政资金规范、有序、高效运行。</w:t>
      </w:r>
      <w:r>
        <w:rPr>
          <w:rFonts w:hint="eastAsia" w:ascii="仿宋_GB2312" w:hAnsi="仿宋_GB2312" w:eastAsia="仿宋_GB2312" w:cs="仿宋_GB2312"/>
          <w:sz w:val="32"/>
          <w:szCs w:val="32"/>
          <w:lang w:eastAsia="zh-CN"/>
        </w:rPr>
        <w:t>绩效自评报告详见附件。</w:t>
      </w:r>
    </w:p>
    <w:p w14:paraId="3EC42F06">
      <w:pPr>
        <w:widowControl/>
        <w:adjustRightInd w:val="0"/>
        <w:snapToGrid w:val="0"/>
        <w:spacing w:line="578" w:lineRule="exact"/>
        <w:contextualSpacing/>
        <w:jc w:val="center"/>
        <w:outlineLvl w:val="0"/>
        <w:rPr>
          <w:rFonts w:hint="eastAsia" w:ascii="黑体" w:hAnsi="黑体" w:eastAsia="黑体"/>
          <w:sz w:val="44"/>
          <w:szCs w:val="44"/>
        </w:rPr>
      </w:pPr>
      <w:r>
        <w:rPr>
          <w:rFonts w:ascii="仿宋_GB2312" w:eastAsia="仿宋_GB2312"/>
          <w:b/>
          <w:sz w:val="32"/>
          <w:szCs w:val="32"/>
        </w:rPr>
        <w:br w:type="page"/>
      </w:r>
      <w:bookmarkStart w:id="69" w:name="_Toc15377225"/>
      <w:bookmarkStart w:id="70" w:name="_Toc15396613"/>
      <w:bookmarkStart w:id="71" w:name="_Toc26471"/>
      <w:r>
        <w:rPr>
          <w:rStyle w:val="30"/>
          <w:rFonts w:hint="eastAsia"/>
          <w:lang w:eastAsia="zh-CN"/>
        </w:rPr>
        <w:t>第三部分</w:t>
      </w:r>
      <w:r>
        <w:rPr>
          <w:rStyle w:val="30"/>
          <w:rFonts w:hint="eastAsia"/>
          <w:lang w:val="en-US" w:eastAsia="zh-CN"/>
        </w:rPr>
        <w:t xml:space="preserve"> </w:t>
      </w:r>
      <w:r>
        <w:rPr>
          <w:rStyle w:val="30"/>
          <w:rFonts w:hint="eastAsia"/>
        </w:rPr>
        <w:t>名词解释</w:t>
      </w:r>
      <w:bookmarkEnd w:id="69"/>
      <w:bookmarkEnd w:id="70"/>
      <w:bookmarkEnd w:id="71"/>
    </w:p>
    <w:p w14:paraId="14F94E58">
      <w:pPr>
        <w:spacing w:line="600" w:lineRule="exact"/>
        <w:jc w:val="left"/>
        <w:rPr>
          <w:rFonts w:ascii="宋体"/>
          <w:b/>
          <w:sz w:val="44"/>
          <w:szCs w:val="44"/>
        </w:rPr>
      </w:pPr>
    </w:p>
    <w:p w14:paraId="43200F9B">
      <w:pPr>
        <w:pStyle w:val="28"/>
        <w:keepNext w:val="0"/>
        <w:keepLines w:val="0"/>
        <w:pageBreakBefore w:val="0"/>
        <w:widowControl w:val="0"/>
        <w:kinsoku/>
        <w:wordWrap/>
        <w:overflowPunct/>
        <w:bidi w:val="0"/>
        <w:snapToGrid/>
        <w:spacing w:line="560" w:lineRule="exact"/>
        <w:ind w:firstLine="640" w:firstLineChars="200"/>
        <w:textAlignment w:val="auto"/>
        <w:rPr>
          <w:rFonts w:ascii="仿宋_GB2312" w:eastAsia="仿宋_GB2312"/>
          <w:sz w:val="32"/>
          <w:szCs w:val="32"/>
          <w:highlight w:val="none"/>
        </w:rPr>
      </w:pPr>
      <w:r>
        <w:rPr>
          <w:rFonts w:hint="eastAsia" w:ascii="黑体" w:hAnsi="黑体" w:eastAsia="黑体" w:cs="黑体"/>
          <w:sz w:val="32"/>
          <w:szCs w:val="32"/>
          <w:highlight w:val="none"/>
          <w:lang w:eastAsia="zh-CN"/>
        </w:rPr>
        <w:t>一、</w:t>
      </w:r>
      <w:r>
        <w:rPr>
          <w:rFonts w:hint="eastAsia" w:ascii="黑体" w:hAnsi="黑体" w:eastAsia="黑体" w:cs="黑体"/>
          <w:sz w:val="32"/>
          <w:szCs w:val="32"/>
          <w:highlight w:val="none"/>
        </w:rPr>
        <w:t>财政拨款收入：</w:t>
      </w:r>
      <w:r>
        <w:rPr>
          <w:rFonts w:hint="eastAsia" w:ascii="仿宋_GB2312" w:eastAsia="仿宋_GB2312"/>
          <w:sz w:val="32"/>
          <w:szCs w:val="32"/>
          <w:highlight w:val="none"/>
        </w:rPr>
        <w:t>指单位从同级财政部门取得的财政预算资金。</w:t>
      </w:r>
    </w:p>
    <w:p w14:paraId="1A8E5C5A">
      <w:pPr>
        <w:pStyle w:val="28"/>
        <w:keepNext w:val="0"/>
        <w:keepLines w:val="0"/>
        <w:pageBreakBefore w:val="0"/>
        <w:widowControl w:val="0"/>
        <w:kinsoku/>
        <w:wordWrap/>
        <w:overflowPunct/>
        <w:bidi w:val="0"/>
        <w:snapToGrid/>
        <w:spacing w:line="560" w:lineRule="exact"/>
        <w:ind w:firstLine="640" w:firstLineChars="200"/>
        <w:textAlignment w:val="auto"/>
        <w:rPr>
          <w:rFonts w:ascii="仿宋_GB2312" w:eastAsia="仿宋_GB2312"/>
          <w:sz w:val="32"/>
          <w:szCs w:val="32"/>
          <w:highlight w:val="none"/>
        </w:rPr>
      </w:pPr>
      <w:r>
        <w:rPr>
          <w:rFonts w:hint="eastAsia" w:ascii="黑体" w:hAnsi="黑体" w:eastAsia="黑体" w:cs="黑体"/>
          <w:sz w:val="32"/>
          <w:szCs w:val="32"/>
          <w:highlight w:val="none"/>
          <w:lang w:eastAsia="zh-CN"/>
        </w:rPr>
        <w:t>二、</w:t>
      </w:r>
      <w:r>
        <w:rPr>
          <w:rFonts w:hint="eastAsia" w:ascii="黑体" w:hAnsi="黑体" w:eastAsia="黑体" w:cs="黑体"/>
          <w:sz w:val="32"/>
          <w:szCs w:val="32"/>
          <w:highlight w:val="none"/>
        </w:rPr>
        <w:t>其他收入：</w:t>
      </w:r>
      <w:r>
        <w:rPr>
          <w:rFonts w:hint="eastAsia" w:ascii="仿宋_GB2312" w:eastAsia="仿宋_GB2312"/>
          <w:sz w:val="32"/>
          <w:szCs w:val="32"/>
          <w:highlight w:val="none"/>
        </w:rPr>
        <w:t>指单位取得的除上述收入以外的各项收入。主要是利息收入、国有资产出租收入等。</w:t>
      </w:r>
      <w:r>
        <w:rPr>
          <w:rFonts w:ascii="仿宋_GB2312" w:eastAsia="仿宋_GB2312"/>
          <w:sz w:val="32"/>
          <w:szCs w:val="32"/>
          <w:highlight w:val="none"/>
        </w:rPr>
        <w:t xml:space="preserve"> </w:t>
      </w:r>
    </w:p>
    <w:p w14:paraId="6345E936">
      <w:pPr>
        <w:pStyle w:val="28"/>
        <w:keepNext w:val="0"/>
        <w:keepLines w:val="0"/>
        <w:pageBreakBefore w:val="0"/>
        <w:widowControl w:val="0"/>
        <w:kinsoku/>
        <w:wordWrap/>
        <w:overflowPunct/>
        <w:bidi w:val="0"/>
        <w:snapToGrid/>
        <w:spacing w:line="560" w:lineRule="exact"/>
        <w:ind w:firstLine="640" w:firstLineChars="200"/>
        <w:textAlignment w:val="auto"/>
        <w:rPr>
          <w:rFonts w:ascii="仿宋_GB2312" w:eastAsia="仿宋_GB2312"/>
          <w:sz w:val="32"/>
          <w:szCs w:val="32"/>
          <w:highlight w:val="none"/>
        </w:rPr>
      </w:pPr>
      <w:r>
        <w:rPr>
          <w:rFonts w:hint="eastAsia" w:ascii="黑体" w:hAnsi="黑体" w:eastAsia="黑体" w:cs="黑体"/>
          <w:sz w:val="32"/>
          <w:szCs w:val="32"/>
          <w:highlight w:val="none"/>
          <w:lang w:val="en-US" w:eastAsia="zh-CN"/>
        </w:rPr>
        <w:t>三、</w:t>
      </w:r>
      <w:r>
        <w:rPr>
          <w:rFonts w:hint="eastAsia" w:ascii="黑体" w:hAnsi="黑体" w:eastAsia="黑体" w:cs="黑体"/>
          <w:sz w:val="32"/>
          <w:szCs w:val="32"/>
          <w:highlight w:val="none"/>
        </w:rPr>
        <w:t>用事业基金弥补收支差额：</w:t>
      </w:r>
      <w:r>
        <w:rPr>
          <w:rFonts w:hint="eastAsia" w:ascii="仿宋_GB2312" w:eastAsia="仿宋_GB2312"/>
          <w:sz w:val="32"/>
          <w:szCs w:val="32"/>
          <w:highlight w:val="none"/>
        </w:rPr>
        <w:t>指事业单位在当年的财政拨款收入、事业收入、经营收入、其他收入不足以安排当年支出的情况下，使用以前年度积累的事业基金（事业单位当年收支相抵后按国家规定提取、用于弥补以后年度收支差额的基金）弥补本年度收支缺口的资金。</w:t>
      </w:r>
      <w:r>
        <w:rPr>
          <w:rFonts w:ascii="仿宋_GB2312" w:eastAsia="仿宋_GB2312"/>
          <w:sz w:val="32"/>
          <w:szCs w:val="32"/>
          <w:highlight w:val="none"/>
        </w:rPr>
        <w:t xml:space="preserve"> </w:t>
      </w:r>
    </w:p>
    <w:p w14:paraId="33C3B8FA">
      <w:pPr>
        <w:pStyle w:val="28"/>
        <w:keepNext w:val="0"/>
        <w:keepLines w:val="0"/>
        <w:pageBreakBefore w:val="0"/>
        <w:widowControl w:val="0"/>
        <w:kinsoku/>
        <w:wordWrap/>
        <w:overflowPunct/>
        <w:bidi w:val="0"/>
        <w:snapToGrid/>
        <w:spacing w:line="560" w:lineRule="exact"/>
        <w:ind w:firstLine="640" w:firstLineChars="200"/>
        <w:textAlignment w:val="auto"/>
        <w:rPr>
          <w:rFonts w:ascii="仿宋_GB2312" w:eastAsia="仿宋_GB2312"/>
          <w:sz w:val="32"/>
          <w:szCs w:val="32"/>
          <w:highlight w:val="none"/>
        </w:rPr>
      </w:pPr>
      <w:r>
        <w:rPr>
          <w:rFonts w:hint="eastAsia" w:ascii="黑体" w:hAnsi="黑体" w:eastAsia="黑体" w:cs="黑体"/>
          <w:sz w:val="32"/>
          <w:szCs w:val="32"/>
          <w:highlight w:val="none"/>
          <w:lang w:val="en-US" w:eastAsia="zh-CN"/>
        </w:rPr>
        <w:t>四、</w:t>
      </w:r>
      <w:r>
        <w:rPr>
          <w:rFonts w:hint="eastAsia" w:ascii="黑体" w:hAnsi="黑体" w:eastAsia="黑体" w:cs="黑体"/>
          <w:sz w:val="32"/>
          <w:szCs w:val="32"/>
          <w:highlight w:val="none"/>
        </w:rPr>
        <w:t>年初结转和结余：</w:t>
      </w:r>
      <w:r>
        <w:rPr>
          <w:rFonts w:hint="eastAsia" w:ascii="仿宋_GB2312" w:eastAsia="仿宋_GB2312"/>
          <w:sz w:val="32"/>
          <w:szCs w:val="32"/>
          <w:highlight w:val="none"/>
        </w:rPr>
        <w:t>指以前年度尚未完成、结转到本年按有关规定继续使用的资金。</w:t>
      </w:r>
      <w:r>
        <w:rPr>
          <w:rFonts w:ascii="仿宋_GB2312" w:eastAsia="仿宋_GB2312"/>
          <w:sz w:val="32"/>
          <w:szCs w:val="32"/>
          <w:highlight w:val="none"/>
        </w:rPr>
        <w:t xml:space="preserve"> </w:t>
      </w:r>
    </w:p>
    <w:p w14:paraId="74FCC2A6">
      <w:pPr>
        <w:pStyle w:val="28"/>
        <w:keepNext w:val="0"/>
        <w:keepLines w:val="0"/>
        <w:pageBreakBefore w:val="0"/>
        <w:widowControl w:val="0"/>
        <w:kinsoku/>
        <w:wordWrap/>
        <w:overflowPunct/>
        <w:bidi w:val="0"/>
        <w:snapToGrid/>
        <w:spacing w:line="560" w:lineRule="exact"/>
        <w:ind w:firstLine="640" w:firstLineChars="200"/>
        <w:textAlignment w:val="auto"/>
        <w:rPr>
          <w:rFonts w:ascii="仿宋_GB2312" w:eastAsia="仿宋_GB2312"/>
          <w:sz w:val="32"/>
          <w:szCs w:val="32"/>
          <w:highlight w:val="none"/>
        </w:rPr>
      </w:pPr>
      <w:r>
        <w:rPr>
          <w:rFonts w:hint="eastAsia" w:ascii="黑体" w:hAnsi="黑体" w:eastAsia="黑体" w:cs="黑体"/>
          <w:sz w:val="32"/>
          <w:szCs w:val="32"/>
          <w:highlight w:val="none"/>
          <w:lang w:val="en-US" w:eastAsia="zh-CN"/>
        </w:rPr>
        <w:t>五、</w:t>
      </w:r>
      <w:r>
        <w:rPr>
          <w:rFonts w:hint="eastAsia" w:ascii="黑体" w:hAnsi="黑体" w:eastAsia="黑体" w:cs="黑体"/>
          <w:sz w:val="32"/>
          <w:szCs w:val="32"/>
          <w:highlight w:val="none"/>
        </w:rPr>
        <w:t>结余分配：</w:t>
      </w:r>
      <w:r>
        <w:rPr>
          <w:rFonts w:hint="eastAsia" w:ascii="仿宋_GB2312" w:eastAsia="仿宋_GB2312"/>
          <w:sz w:val="32"/>
          <w:szCs w:val="32"/>
          <w:highlight w:val="none"/>
        </w:rPr>
        <w:t>指事业单位按照事业单位会计制度的规定从非财政补助结余中分配的事业基金和职工福利基金等。</w:t>
      </w:r>
    </w:p>
    <w:p w14:paraId="18E6EF3B">
      <w:pPr>
        <w:pStyle w:val="28"/>
        <w:keepNext w:val="0"/>
        <w:keepLines w:val="0"/>
        <w:pageBreakBefore w:val="0"/>
        <w:widowControl w:val="0"/>
        <w:kinsoku/>
        <w:wordWrap/>
        <w:overflowPunct/>
        <w:bidi w:val="0"/>
        <w:snapToGrid/>
        <w:spacing w:line="560" w:lineRule="exact"/>
        <w:ind w:firstLine="640" w:firstLineChars="200"/>
        <w:textAlignment w:val="auto"/>
        <w:rPr>
          <w:rFonts w:ascii="仿宋_GB2312" w:eastAsia="仿宋_GB2312"/>
          <w:sz w:val="32"/>
          <w:szCs w:val="32"/>
          <w:highlight w:val="none"/>
        </w:rPr>
      </w:pPr>
      <w:r>
        <w:rPr>
          <w:rFonts w:hint="eastAsia" w:ascii="黑体" w:hAnsi="黑体" w:eastAsia="黑体" w:cs="黑体"/>
          <w:sz w:val="32"/>
          <w:szCs w:val="32"/>
          <w:highlight w:val="none"/>
          <w:lang w:val="en-US" w:eastAsia="zh-CN"/>
        </w:rPr>
        <w:t>六、</w:t>
      </w:r>
      <w:r>
        <w:rPr>
          <w:rFonts w:hint="eastAsia" w:ascii="黑体" w:hAnsi="黑体" w:eastAsia="黑体" w:cs="黑体"/>
          <w:sz w:val="32"/>
          <w:szCs w:val="32"/>
          <w:highlight w:val="none"/>
        </w:rPr>
        <w:t>年末结转和结余：</w:t>
      </w:r>
      <w:r>
        <w:rPr>
          <w:rFonts w:hint="eastAsia" w:ascii="仿宋_GB2312" w:eastAsia="仿宋_GB2312"/>
          <w:sz w:val="32"/>
          <w:szCs w:val="32"/>
          <w:highlight w:val="none"/>
        </w:rPr>
        <w:t>指单位按有关规定结转到下年或以后年度继续使用的资金。</w:t>
      </w:r>
    </w:p>
    <w:p w14:paraId="4283B466">
      <w:pPr>
        <w:pStyle w:val="37"/>
        <w:keepNext w:val="0"/>
        <w:keepLines w:val="0"/>
        <w:pageBreakBefore w:val="0"/>
        <w:widowControl w:val="0"/>
        <w:kinsoku/>
        <w:wordWrap/>
        <w:overflowPunct/>
        <w:bidi w:val="0"/>
        <w:snapToGrid/>
        <w:spacing w:line="560" w:lineRule="exact"/>
        <w:ind w:firstLine="640"/>
        <w:textAlignment w:val="auto"/>
        <w:rPr>
          <w:rFonts w:hint="eastAsia"/>
          <w:highlight w:val="none"/>
        </w:rPr>
      </w:pPr>
      <w:r>
        <w:rPr>
          <w:rFonts w:hint="eastAsia" w:ascii="黑体" w:hAnsi="黑体" w:eastAsia="黑体" w:cs="黑体"/>
          <w:highlight w:val="none"/>
          <w:lang w:val="en-US" w:eastAsia="zh-CN"/>
        </w:rPr>
        <w:t>七、</w:t>
      </w:r>
      <w:r>
        <w:rPr>
          <w:rFonts w:hint="eastAsia" w:ascii="黑体" w:hAnsi="黑体" w:eastAsia="黑体" w:cs="黑体"/>
          <w:highlight w:val="none"/>
        </w:rPr>
        <w:t>一般公共服务支出（类）财政事务（款）行政运行（项）：</w:t>
      </w:r>
      <w:r>
        <w:rPr>
          <w:rFonts w:hint="eastAsia"/>
          <w:highlight w:val="none"/>
        </w:rPr>
        <w:t>反映行政单位（包括实行公务员管理的事业单位）的基本支出。</w:t>
      </w:r>
    </w:p>
    <w:p w14:paraId="637EE97C">
      <w:pPr>
        <w:pStyle w:val="37"/>
        <w:keepNext w:val="0"/>
        <w:keepLines w:val="0"/>
        <w:pageBreakBefore w:val="0"/>
        <w:widowControl w:val="0"/>
        <w:kinsoku/>
        <w:wordWrap/>
        <w:overflowPunct/>
        <w:bidi w:val="0"/>
        <w:snapToGrid/>
        <w:spacing w:line="560" w:lineRule="exact"/>
        <w:ind w:firstLine="640"/>
        <w:textAlignment w:val="auto"/>
        <w:rPr>
          <w:rFonts w:hint="eastAsia"/>
          <w:highlight w:val="none"/>
        </w:rPr>
      </w:pPr>
      <w:r>
        <w:rPr>
          <w:rFonts w:hint="eastAsia" w:ascii="黑体" w:hAnsi="黑体" w:eastAsia="黑体" w:cs="黑体"/>
          <w:highlight w:val="none"/>
          <w:lang w:val="en-US" w:eastAsia="zh-CN"/>
        </w:rPr>
        <w:t>八、</w:t>
      </w:r>
      <w:r>
        <w:rPr>
          <w:rFonts w:hint="eastAsia" w:ascii="黑体" w:hAnsi="黑体" w:eastAsia="黑体" w:cs="黑体"/>
          <w:highlight w:val="none"/>
        </w:rPr>
        <w:t>一般公共服务支出（类）财政事务（款）一般行政管理事务（项）：</w:t>
      </w:r>
      <w:r>
        <w:rPr>
          <w:rFonts w:hint="eastAsia"/>
          <w:highlight w:val="none"/>
        </w:rPr>
        <w:t>反映行政单位（包括实行公务员管理的事业单位）未单独设置项级科目的其他项目支出。</w:t>
      </w:r>
    </w:p>
    <w:p w14:paraId="32EE2691">
      <w:pPr>
        <w:pStyle w:val="37"/>
        <w:keepNext w:val="0"/>
        <w:keepLines w:val="0"/>
        <w:pageBreakBefore w:val="0"/>
        <w:widowControl w:val="0"/>
        <w:kinsoku/>
        <w:wordWrap/>
        <w:overflowPunct/>
        <w:bidi w:val="0"/>
        <w:snapToGrid/>
        <w:spacing w:line="560" w:lineRule="exact"/>
        <w:ind w:firstLine="640"/>
        <w:textAlignment w:val="auto"/>
        <w:rPr>
          <w:rFonts w:hint="eastAsia" w:eastAsia="仿宋_GB2312"/>
          <w:highlight w:val="none"/>
          <w:lang w:val="en-US" w:eastAsia="zh-CN"/>
        </w:rPr>
      </w:pPr>
      <w:r>
        <w:rPr>
          <w:rFonts w:hint="eastAsia" w:ascii="黑体" w:hAnsi="黑体" w:eastAsia="黑体" w:cs="黑体"/>
          <w:highlight w:val="none"/>
          <w:lang w:val="en-US" w:eastAsia="zh-CN"/>
        </w:rPr>
        <w:t>九、</w:t>
      </w:r>
      <w:r>
        <w:rPr>
          <w:rFonts w:hint="eastAsia" w:ascii="黑体" w:hAnsi="黑体" w:eastAsia="黑体" w:cs="黑体"/>
          <w:highlight w:val="none"/>
        </w:rPr>
        <w:t>一般公共服务支出（类）财政事务（款）</w:t>
      </w:r>
      <w:r>
        <w:rPr>
          <w:rFonts w:hint="eastAsia" w:ascii="黑体" w:hAnsi="黑体" w:eastAsia="黑体" w:cs="黑体"/>
          <w:highlight w:val="none"/>
          <w:lang w:eastAsia="zh-CN"/>
        </w:rPr>
        <w:t>事业</w:t>
      </w:r>
      <w:r>
        <w:rPr>
          <w:rFonts w:hint="eastAsia" w:ascii="黑体" w:hAnsi="黑体" w:eastAsia="黑体" w:cs="黑体"/>
          <w:highlight w:val="none"/>
        </w:rPr>
        <w:t>运行（项）：</w:t>
      </w:r>
      <w:r>
        <w:rPr>
          <w:rFonts w:hint="eastAsia"/>
          <w:highlight w:val="none"/>
        </w:rPr>
        <w:t>反映</w:t>
      </w:r>
      <w:r>
        <w:rPr>
          <w:rFonts w:hint="eastAsia"/>
          <w:highlight w:val="none"/>
          <w:lang w:eastAsia="zh-CN"/>
        </w:rPr>
        <w:t>事业</w:t>
      </w:r>
      <w:r>
        <w:rPr>
          <w:rFonts w:hint="eastAsia"/>
          <w:highlight w:val="none"/>
        </w:rPr>
        <w:t>单位的基本支出</w:t>
      </w:r>
      <w:r>
        <w:rPr>
          <w:rFonts w:hint="eastAsia"/>
          <w:highlight w:val="none"/>
          <w:lang w:eastAsia="zh-CN"/>
        </w:rPr>
        <w:t>。</w:t>
      </w:r>
    </w:p>
    <w:p w14:paraId="5E8E6C61">
      <w:pPr>
        <w:pStyle w:val="37"/>
        <w:keepNext w:val="0"/>
        <w:keepLines w:val="0"/>
        <w:pageBreakBefore w:val="0"/>
        <w:widowControl w:val="0"/>
        <w:kinsoku/>
        <w:wordWrap/>
        <w:overflowPunct/>
        <w:bidi w:val="0"/>
        <w:snapToGrid/>
        <w:spacing w:line="560" w:lineRule="exact"/>
        <w:ind w:firstLine="640"/>
        <w:textAlignment w:val="auto"/>
        <w:rPr>
          <w:highlight w:val="none"/>
        </w:rPr>
      </w:pPr>
      <w:r>
        <w:rPr>
          <w:rFonts w:hint="eastAsia" w:ascii="黑体" w:hAnsi="黑体" w:eastAsia="黑体" w:cs="黑体"/>
          <w:highlight w:val="none"/>
          <w:lang w:eastAsia="zh-CN"/>
        </w:rPr>
        <w:t>十、</w:t>
      </w:r>
      <w:r>
        <w:rPr>
          <w:rFonts w:hint="eastAsia" w:ascii="黑体" w:hAnsi="黑体" w:eastAsia="黑体" w:cs="黑体"/>
          <w:highlight w:val="none"/>
        </w:rPr>
        <w:t>一般公共服务支出（类）财政事务（款）其他财政事务（项）：</w:t>
      </w:r>
      <w:r>
        <w:rPr>
          <w:rFonts w:hint="eastAsia"/>
          <w:highlight w:val="none"/>
        </w:rPr>
        <w:t>反映其他财政事务方面的支出。</w:t>
      </w:r>
    </w:p>
    <w:p w14:paraId="254A6641">
      <w:pPr>
        <w:pStyle w:val="37"/>
        <w:keepNext w:val="0"/>
        <w:keepLines w:val="0"/>
        <w:pageBreakBefore w:val="0"/>
        <w:widowControl w:val="0"/>
        <w:kinsoku/>
        <w:wordWrap/>
        <w:overflowPunct/>
        <w:bidi w:val="0"/>
        <w:snapToGrid/>
        <w:spacing w:line="560" w:lineRule="exact"/>
        <w:ind w:firstLine="640"/>
        <w:textAlignment w:val="auto"/>
        <w:rPr>
          <w:rFonts w:hint="eastAsia" w:eastAsia="仿宋_GB2312"/>
          <w:highlight w:val="none"/>
          <w:lang w:val="en-US" w:eastAsia="zh-CN"/>
        </w:rPr>
      </w:pPr>
      <w:r>
        <w:rPr>
          <w:rFonts w:hint="eastAsia" w:ascii="黑体" w:hAnsi="黑体" w:eastAsia="黑体" w:cs="黑体"/>
          <w:highlight w:val="none"/>
          <w:lang w:val="en-US" w:eastAsia="zh-CN"/>
        </w:rPr>
        <w:t>十一、</w:t>
      </w:r>
      <w:r>
        <w:rPr>
          <w:rFonts w:hint="eastAsia" w:ascii="黑体" w:hAnsi="黑体" w:eastAsia="黑体" w:cs="黑体"/>
          <w:highlight w:val="none"/>
        </w:rPr>
        <w:t>社会保障和就业支出（类）行政事业单位养老支出（款）机关事业单位职业年金缴费支出（项）：</w:t>
      </w:r>
      <w:r>
        <w:rPr>
          <w:rFonts w:hint="eastAsia"/>
          <w:highlight w:val="none"/>
        </w:rPr>
        <w:t>反映机关事业单位实施养老保险制度由单位缴纳的基本养老保险费支出。</w:t>
      </w:r>
      <w:r>
        <w:rPr>
          <w:highlight w:val="none"/>
        </w:rPr>
        <w:br w:type="textWrapping"/>
      </w:r>
      <w:r>
        <w:rPr>
          <w:rFonts w:hint="eastAsia"/>
          <w:highlight w:val="none"/>
        </w:rPr>
        <w:t>　　</w:t>
      </w:r>
      <w:r>
        <w:rPr>
          <w:rFonts w:hint="eastAsia" w:ascii="黑体" w:hAnsi="黑体" w:eastAsia="黑体" w:cs="黑体"/>
          <w:highlight w:val="none"/>
          <w:lang w:val="en-US" w:eastAsia="zh-CN"/>
        </w:rPr>
        <w:t>十二、</w:t>
      </w:r>
      <w:r>
        <w:rPr>
          <w:rFonts w:hint="eastAsia" w:ascii="黑体" w:hAnsi="黑体" w:eastAsia="黑体" w:cs="黑体"/>
          <w:highlight w:val="none"/>
        </w:rPr>
        <w:t>社会保障和就业支出（类）行政事业单位养老支出（款）机关事业单位基本养老保险缴费支出（项）：</w:t>
      </w:r>
      <w:r>
        <w:rPr>
          <w:rFonts w:hint="eastAsia"/>
          <w:highlight w:val="none"/>
        </w:rPr>
        <w:t>反映机关事业单位实施养老保险制度由单位缴纳的职业年金支出。</w:t>
      </w:r>
      <w:r>
        <w:rPr>
          <w:highlight w:val="none"/>
        </w:rPr>
        <w:br w:type="textWrapping"/>
      </w:r>
      <w:r>
        <w:rPr>
          <w:rFonts w:hint="eastAsia"/>
          <w:highlight w:val="none"/>
        </w:rPr>
        <w:t>　　</w:t>
      </w:r>
      <w:r>
        <w:rPr>
          <w:rFonts w:hint="eastAsia" w:ascii="黑体" w:hAnsi="黑体" w:eastAsia="黑体" w:cs="黑体"/>
          <w:highlight w:val="none"/>
          <w:lang w:val="en-US" w:eastAsia="zh-CN"/>
        </w:rPr>
        <w:t>十三、</w:t>
      </w:r>
      <w:r>
        <w:rPr>
          <w:rFonts w:hint="eastAsia" w:ascii="黑体" w:hAnsi="黑体" w:eastAsia="黑体" w:cs="黑体"/>
          <w:highlight w:val="none"/>
        </w:rPr>
        <w:t>社会保障和就业支出（类）</w:t>
      </w:r>
      <w:r>
        <w:rPr>
          <w:rFonts w:hint="eastAsia" w:ascii="黑体" w:hAnsi="黑体" w:eastAsia="黑体" w:cs="黑体"/>
          <w:highlight w:val="none"/>
          <w:lang w:eastAsia="zh-CN"/>
        </w:rPr>
        <w:t>企业改革补助（款）</w:t>
      </w:r>
      <w:r>
        <w:rPr>
          <w:rStyle w:val="19"/>
          <w:rFonts w:hint="eastAsia" w:ascii="黑体" w:hAnsi="黑体" w:eastAsia="黑体" w:cs="黑体"/>
          <w:b w:val="0"/>
          <w:bCs/>
          <w:color w:val="000000"/>
          <w:sz w:val="32"/>
          <w:szCs w:val="32"/>
          <w:highlight w:val="none"/>
          <w:lang w:eastAsia="zh-CN"/>
        </w:rPr>
        <w:t>其他企业改革发展补助（项）：</w:t>
      </w:r>
      <w:r>
        <w:rPr>
          <w:rStyle w:val="19"/>
          <w:rFonts w:hint="eastAsia" w:hAnsi="仿宋_GB2312" w:cs="仿宋_GB2312"/>
          <w:b w:val="0"/>
          <w:bCs/>
          <w:color w:val="000000"/>
          <w:sz w:val="32"/>
          <w:szCs w:val="32"/>
          <w:highlight w:val="none"/>
          <w:lang w:eastAsia="zh-CN"/>
        </w:rPr>
        <w:t>反映上述项目以外财政用于企业改革发展方面的补助。</w:t>
      </w:r>
    </w:p>
    <w:p w14:paraId="4556B915">
      <w:pPr>
        <w:pStyle w:val="37"/>
        <w:keepNext w:val="0"/>
        <w:keepLines w:val="0"/>
        <w:pageBreakBefore w:val="0"/>
        <w:widowControl w:val="0"/>
        <w:kinsoku/>
        <w:wordWrap/>
        <w:overflowPunct/>
        <w:bidi w:val="0"/>
        <w:snapToGrid/>
        <w:spacing w:line="560" w:lineRule="exact"/>
        <w:ind w:firstLine="640"/>
        <w:textAlignment w:val="auto"/>
        <w:rPr>
          <w:rFonts w:hint="eastAsia"/>
          <w:highlight w:val="none"/>
        </w:rPr>
      </w:pPr>
      <w:r>
        <w:rPr>
          <w:rFonts w:hint="eastAsia" w:ascii="黑体" w:hAnsi="黑体" w:eastAsia="黑体" w:cs="黑体"/>
          <w:highlight w:val="none"/>
          <w:lang w:val="en-US" w:eastAsia="zh-CN"/>
        </w:rPr>
        <w:t>十四、</w:t>
      </w:r>
      <w:r>
        <w:rPr>
          <w:rFonts w:hint="eastAsia" w:ascii="黑体" w:hAnsi="黑体" w:eastAsia="黑体" w:cs="黑体"/>
          <w:highlight w:val="none"/>
        </w:rPr>
        <w:t>社会保障和就业支出（类）抚恤（款）其他优抚支出（项）：</w:t>
      </w:r>
      <w:r>
        <w:rPr>
          <w:rFonts w:hint="eastAsia"/>
          <w:highlight w:val="none"/>
        </w:rPr>
        <w:t>反映其他用于优抚方面的支出。</w:t>
      </w:r>
    </w:p>
    <w:p w14:paraId="75E48229">
      <w:pPr>
        <w:pStyle w:val="37"/>
        <w:keepNext w:val="0"/>
        <w:keepLines w:val="0"/>
        <w:pageBreakBefore w:val="0"/>
        <w:widowControl w:val="0"/>
        <w:kinsoku/>
        <w:wordWrap/>
        <w:overflowPunct/>
        <w:bidi w:val="0"/>
        <w:snapToGrid/>
        <w:spacing w:line="560" w:lineRule="exact"/>
        <w:ind w:firstLine="640"/>
        <w:textAlignment w:val="auto"/>
        <w:rPr>
          <w:rFonts w:hint="eastAsia" w:ascii="仿宋_GB2312" w:hAnsi="Calibri" w:eastAsia="仿宋_GB2312" w:cs="仿宋"/>
          <w:color w:val="000000"/>
          <w:kern w:val="0"/>
          <w:sz w:val="32"/>
          <w:szCs w:val="32"/>
          <w:highlight w:val="none"/>
          <w:lang w:val="en-US" w:eastAsia="zh-CN" w:bidi="ar-SA"/>
        </w:rPr>
      </w:pPr>
      <w:r>
        <w:rPr>
          <w:rFonts w:hint="eastAsia" w:ascii="黑体" w:hAnsi="黑体" w:eastAsia="黑体" w:cs="黑体"/>
          <w:highlight w:val="none"/>
          <w:lang w:val="en-US" w:eastAsia="zh-CN"/>
        </w:rPr>
        <w:t>十五、</w:t>
      </w:r>
      <w:r>
        <w:rPr>
          <w:rFonts w:hint="eastAsia" w:ascii="黑体" w:hAnsi="黑体" w:eastAsia="黑体" w:cs="黑体"/>
          <w:highlight w:val="none"/>
        </w:rPr>
        <w:t>社会保障和就业支出（类）其他社会保障和就业支出（款）其他社会保障和就业支出（项）：</w:t>
      </w:r>
      <w:r>
        <w:rPr>
          <w:rFonts w:hint="eastAsia"/>
          <w:highlight w:val="none"/>
        </w:rPr>
        <w:t>反映其他用于社会保障和就业方面的支出。</w:t>
      </w:r>
      <w:r>
        <w:rPr>
          <w:highlight w:val="none"/>
        </w:rPr>
        <w:br w:type="textWrapping"/>
      </w:r>
      <w:r>
        <w:rPr>
          <w:rFonts w:hint="eastAsia"/>
          <w:highlight w:val="none"/>
        </w:rPr>
        <w:t>　　</w:t>
      </w:r>
      <w:r>
        <w:rPr>
          <w:rFonts w:hint="eastAsia" w:ascii="黑体" w:hAnsi="黑体" w:eastAsia="黑体" w:cs="黑体"/>
          <w:highlight w:val="none"/>
          <w:lang w:val="en-US" w:eastAsia="zh-CN"/>
        </w:rPr>
        <w:t>十六、</w:t>
      </w:r>
      <w:r>
        <w:rPr>
          <w:rFonts w:hint="eastAsia" w:ascii="黑体" w:hAnsi="黑体" w:eastAsia="黑体" w:cs="黑体"/>
          <w:highlight w:val="none"/>
        </w:rPr>
        <w:t>卫生健康支出（类）行政事业单位医疗（款）行政单位医疗（项）：</w:t>
      </w:r>
      <w:r>
        <w:rPr>
          <w:rFonts w:hint="eastAsia"/>
          <w:highlight w:val="none"/>
        </w:rPr>
        <w:t>反映财政部门安排的行政单位（包括实行</w:t>
      </w:r>
      <w:r>
        <w:rPr>
          <w:rFonts w:hint="eastAsia" w:ascii="仿宋_GB2312" w:hAnsi="Calibri" w:eastAsia="仿宋_GB2312" w:cs="仿宋"/>
          <w:color w:val="000000"/>
          <w:kern w:val="0"/>
          <w:sz w:val="32"/>
          <w:szCs w:val="32"/>
          <w:highlight w:val="none"/>
          <w:lang w:val="en-US" w:eastAsia="zh-CN" w:bidi="ar-SA"/>
        </w:rPr>
        <w:t>公务员管理的事业单位）基本医疗保险缴费经费。　　</w:t>
      </w:r>
    </w:p>
    <w:p w14:paraId="3F1E945F">
      <w:pPr>
        <w:keepNext w:val="0"/>
        <w:keepLines w:val="0"/>
        <w:pageBreakBefore w:val="0"/>
        <w:widowControl w:val="0"/>
        <w:kinsoku/>
        <w:wordWrap/>
        <w:overflowPunct/>
        <w:topLinePunct w:val="0"/>
        <w:bidi w:val="0"/>
        <w:snapToGrid/>
        <w:spacing w:line="560" w:lineRule="exact"/>
        <w:ind w:firstLine="640"/>
        <w:textAlignment w:val="auto"/>
        <w:rPr>
          <w:rFonts w:hint="eastAsia" w:ascii="仿宋_GB2312" w:hAnsi="Calibri" w:eastAsia="仿宋_GB2312" w:cs="仿宋"/>
          <w:color w:val="000000"/>
          <w:kern w:val="0"/>
          <w:sz w:val="32"/>
          <w:szCs w:val="32"/>
          <w:highlight w:val="none"/>
          <w:lang w:val="en-US" w:eastAsia="zh-CN" w:bidi="ar-SA"/>
        </w:rPr>
      </w:pPr>
      <w:r>
        <w:rPr>
          <w:rFonts w:hint="eastAsia" w:ascii="黑体" w:hAnsi="黑体" w:eastAsia="黑体" w:cs="黑体"/>
          <w:color w:val="000000"/>
          <w:kern w:val="0"/>
          <w:sz w:val="32"/>
          <w:szCs w:val="32"/>
          <w:highlight w:val="none"/>
          <w:lang w:val="en-US" w:eastAsia="zh-CN" w:bidi="ar-SA"/>
        </w:rPr>
        <w:t>十七、卫生健康支出（类）行政事业单位医疗（款）事业单位医疗（项）：</w:t>
      </w:r>
      <w:r>
        <w:rPr>
          <w:rFonts w:hint="eastAsia" w:ascii="仿宋_GB2312" w:hAnsi="Calibri" w:eastAsia="仿宋_GB2312" w:cs="仿宋"/>
          <w:color w:val="000000"/>
          <w:kern w:val="0"/>
          <w:sz w:val="32"/>
          <w:szCs w:val="32"/>
          <w:highlight w:val="none"/>
          <w:lang w:val="en-US" w:eastAsia="zh-CN" w:bidi="ar-SA"/>
        </w:rPr>
        <w:t>反映财政部门安排的事业单位基本医疗保险缴费经费。</w:t>
      </w:r>
      <w:r>
        <w:rPr>
          <w:rFonts w:hint="eastAsia" w:ascii="仿宋_GB2312" w:hAnsi="Calibri" w:eastAsia="仿宋_GB2312" w:cs="仿宋"/>
          <w:color w:val="000000"/>
          <w:kern w:val="0"/>
          <w:sz w:val="32"/>
          <w:szCs w:val="32"/>
          <w:highlight w:val="none"/>
          <w:lang w:val="en-US" w:eastAsia="zh-CN" w:bidi="ar-SA"/>
        </w:rPr>
        <w:br w:type="textWrapping"/>
      </w:r>
      <w:r>
        <w:rPr>
          <w:rFonts w:hint="eastAsia" w:ascii="仿宋_GB2312" w:hAnsi="Calibri" w:eastAsia="仿宋_GB2312" w:cs="仿宋"/>
          <w:color w:val="000000"/>
          <w:kern w:val="0"/>
          <w:sz w:val="32"/>
          <w:szCs w:val="32"/>
          <w:highlight w:val="none"/>
          <w:lang w:val="en-US" w:eastAsia="zh-CN" w:bidi="ar-SA"/>
        </w:rPr>
        <w:t>　　</w:t>
      </w:r>
      <w:r>
        <w:rPr>
          <w:rFonts w:hint="eastAsia" w:ascii="黑体" w:hAnsi="黑体" w:eastAsia="黑体" w:cs="黑体"/>
          <w:color w:val="000000"/>
          <w:kern w:val="0"/>
          <w:sz w:val="32"/>
          <w:szCs w:val="32"/>
          <w:highlight w:val="none"/>
          <w:lang w:val="en-US" w:eastAsia="zh-CN" w:bidi="ar-SA"/>
        </w:rPr>
        <w:t>十八、住房保障支出（类）住房改革支出（款）住房公积金（项）：</w:t>
      </w:r>
      <w:r>
        <w:rPr>
          <w:rFonts w:hint="eastAsia" w:ascii="仿宋_GB2312" w:hAnsi="Calibri" w:eastAsia="仿宋_GB2312" w:cs="仿宋"/>
          <w:color w:val="000000"/>
          <w:kern w:val="0"/>
          <w:sz w:val="32"/>
          <w:szCs w:val="32"/>
          <w:highlight w:val="none"/>
          <w:lang w:val="en-US" w:eastAsia="zh-CN" w:bidi="ar-SA"/>
        </w:rPr>
        <w:t>反映行政事业单位按人力资源和社会保障部、财政部规定的基本工资和津贴补贴以及规定比例为职工缴纳的住房公积金。</w:t>
      </w:r>
    </w:p>
    <w:p w14:paraId="66997F7B">
      <w:pPr>
        <w:keepNext w:val="0"/>
        <w:keepLines w:val="0"/>
        <w:pageBreakBefore w:val="0"/>
        <w:widowControl w:val="0"/>
        <w:kinsoku/>
        <w:wordWrap/>
        <w:overflowPunct/>
        <w:topLinePunct w:val="0"/>
        <w:bidi w:val="0"/>
        <w:snapToGrid/>
        <w:spacing w:line="560" w:lineRule="exact"/>
        <w:ind w:firstLine="640" w:firstLineChars="200"/>
        <w:textAlignment w:val="auto"/>
        <w:rPr>
          <w:rFonts w:ascii="仿宋_GB2312" w:eastAsia="仿宋_GB2312"/>
          <w:color w:val="000000"/>
          <w:sz w:val="32"/>
          <w:szCs w:val="32"/>
          <w:highlight w:val="none"/>
        </w:rPr>
      </w:pPr>
      <w:r>
        <w:rPr>
          <w:rFonts w:hint="eastAsia" w:ascii="黑体" w:hAnsi="黑体" w:eastAsia="黑体" w:cs="黑体"/>
          <w:color w:val="000000"/>
          <w:kern w:val="0"/>
          <w:sz w:val="32"/>
          <w:szCs w:val="32"/>
          <w:highlight w:val="none"/>
          <w:lang w:val="en-US" w:eastAsia="zh-CN" w:bidi="ar-SA"/>
        </w:rPr>
        <w:t>十九、基本支出：</w:t>
      </w:r>
      <w:r>
        <w:rPr>
          <w:rFonts w:hint="eastAsia" w:ascii="仿宋_GB2312" w:hAnsi="Calibri" w:eastAsia="仿宋_GB2312" w:cs="仿宋"/>
          <w:color w:val="000000"/>
          <w:kern w:val="0"/>
          <w:sz w:val="32"/>
          <w:szCs w:val="32"/>
          <w:highlight w:val="none"/>
          <w:lang w:val="en-US" w:eastAsia="zh-CN" w:bidi="ar-SA"/>
        </w:rPr>
        <w:t>指为保障机构正常运转、完成日常工作任务而发生的人员支</w:t>
      </w:r>
      <w:r>
        <w:rPr>
          <w:rFonts w:hint="eastAsia" w:ascii="仿宋_GB2312" w:eastAsia="仿宋_GB2312"/>
          <w:color w:val="000000"/>
          <w:sz w:val="32"/>
          <w:szCs w:val="32"/>
          <w:highlight w:val="none"/>
        </w:rPr>
        <w:t>出和公用支出。</w:t>
      </w:r>
    </w:p>
    <w:p w14:paraId="16E121D5">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eastAsia="仿宋_GB2312"/>
          <w:color w:val="000000"/>
          <w:sz w:val="32"/>
          <w:szCs w:val="32"/>
          <w:highlight w:val="none"/>
        </w:rPr>
      </w:pPr>
      <w:r>
        <w:rPr>
          <w:rFonts w:hint="eastAsia" w:ascii="黑体" w:hAnsi="黑体" w:eastAsia="黑体" w:cs="黑体"/>
          <w:color w:val="000000"/>
          <w:sz w:val="32"/>
          <w:szCs w:val="32"/>
          <w:highlight w:val="none"/>
          <w:lang w:val="en-US" w:eastAsia="zh-CN"/>
        </w:rPr>
        <w:t>二十、</w:t>
      </w:r>
      <w:r>
        <w:rPr>
          <w:rFonts w:hint="eastAsia" w:ascii="黑体" w:hAnsi="黑体" w:eastAsia="黑体" w:cs="黑体"/>
          <w:color w:val="000000"/>
          <w:sz w:val="32"/>
          <w:szCs w:val="32"/>
          <w:highlight w:val="none"/>
        </w:rPr>
        <w:t>项目支出：</w:t>
      </w:r>
      <w:r>
        <w:rPr>
          <w:rFonts w:hint="eastAsia" w:ascii="仿宋_GB2312" w:eastAsia="仿宋_GB2312"/>
          <w:color w:val="000000"/>
          <w:sz w:val="32"/>
          <w:szCs w:val="32"/>
          <w:highlight w:val="none"/>
        </w:rPr>
        <w:t>指在基本支出之外为完成特定行政任务和事业发展目标所发生的支出。</w:t>
      </w:r>
    </w:p>
    <w:p w14:paraId="79B33EDE">
      <w:pPr>
        <w:keepNext w:val="0"/>
        <w:keepLines w:val="0"/>
        <w:pageBreakBefore w:val="0"/>
        <w:widowControl w:val="0"/>
        <w:kinsoku/>
        <w:wordWrap/>
        <w:overflowPunct/>
        <w:topLinePunct w:val="0"/>
        <w:bidi w:val="0"/>
        <w:snapToGrid/>
        <w:spacing w:line="560" w:lineRule="exact"/>
        <w:ind w:firstLine="640" w:firstLineChars="200"/>
        <w:textAlignment w:val="auto"/>
        <w:rPr>
          <w:rFonts w:ascii="仿宋_GB2312" w:eastAsia="仿宋_GB2312"/>
          <w:color w:val="000000"/>
          <w:sz w:val="32"/>
          <w:szCs w:val="32"/>
          <w:highlight w:val="none"/>
        </w:rPr>
      </w:pPr>
      <w:r>
        <w:rPr>
          <w:rFonts w:hint="eastAsia" w:ascii="黑体" w:hAnsi="黑体" w:eastAsia="黑体" w:cs="黑体"/>
          <w:color w:val="000000"/>
          <w:sz w:val="32"/>
          <w:szCs w:val="32"/>
          <w:highlight w:val="none"/>
          <w:lang w:val="en-US" w:eastAsia="zh-CN"/>
        </w:rPr>
        <w:t>二十一、</w:t>
      </w:r>
      <w:r>
        <w:rPr>
          <w:rFonts w:hint="eastAsia" w:ascii="黑体" w:hAnsi="黑体" w:eastAsia="黑体" w:cs="黑体"/>
          <w:color w:val="000000"/>
          <w:sz w:val="32"/>
          <w:szCs w:val="32"/>
          <w:highlight w:val="none"/>
        </w:rPr>
        <w:t>经营支出：</w:t>
      </w:r>
      <w:r>
        <w:rPr>
          <w:rFonts w:hint="eastAsia" w:ascii="仿宋_GB2312" w:eastAsia="仿宋_GB2312"/>
          <w:color w:val="000000"/>
          <w:sz w:val="32"/>
          <w:szCs w:val="32"/>
          <w:highlight w:val="none"/>
        </w:rPr>
        <w:t>指事业单位在专业业务活动及其辅助活动之外开展非独立核算经营活动发生的支出。</w:t>
      </w:r>
      <w:r>
        <w:rPr>
          <w:rFonts w:ascii="仿宋_GB2312" w:eastAsia="仿宋_GB2312"/>
          <w:color w:val="000000"/>
          <w:sz w:val="32"/>
          <w:szCs w:val="32"/>
          <w:highlight w:val="none"/>
        </w:rPr>
        <w:t xml:space="preserve"> </w:t>
      </w:r>
    </w:p>
    <w:p w14:paraId="2E1C4B85">
      <w:pPr>
        <w:keepNext w:val="0"/>
        <w:keepLines w:val="0"/>
        <w:pageBreakBefore w:val="0"/>
        <w:widowControl w:val="0"/>
        <w:kinsoku/>
        <w:wordWrap/>
        <w:overflowPunct/>
        <w:topLinePunct w:val="0"/>
        <w:bidi w:val="0"/>
        <w:snapToGrid/>
        <w:spacing w:line="560" w:lineRule="exact"/>
        <w:ind w:firstLine="640" w:firstLineChars="200"/>
        <w:textAlignment w:val="auto"/>
        <w:rPr>
          <w:rFonts w:ascii="仿宋_GB2312" w:eastAsia="仿宋_GB2312"/>
          <w:sz w:val="32"/>
          <w:szCs w:val="32"/>
          <w:highlight w:val="none"/>
        </w:rPr>
      </w:pPr>
      <w:r>
        <w:rPr>
          <w:rFonts w:hint="eastAsia" w:ascii="黑体" w:hAnsi="黑体" w:eastAsia="黑体" w:cs="黑体"/>
          <w:color w:val="000000"/>
          <w:sz w:val="32"/>
          <w:szCs w:val="32"/>
          <w:highlight w:val="none"/>
          <w:lang w:val="en-US" w:eastAsia="zh-CN"/>
        </w:rPr>
        <w:t>二十二、</w:t>
      </w:r>
      <w:r>
        <w:rPr>
          <w:rFonts w:hint="eastAsia" w:ascii="黑体" w:hAnsi="黑体" w:eastAsia="黑体" w:cs="黑体"/>
          <w:sz w:val="32"/>
          <w:szCs w:val="32"/>
          <w:highlight w:val="none"/>
        </w:rPr>
        <w:t>“三公”经费：</w:t>
      </w:r>
      <w:r>
        <w:rPr>
          <w:rFonts w:hint="eastAsia" w:ascii="仿宋_GB2312" w:eastAsia="仿宋_GB2312"/>
          <w:sz w:val="32"/>
          <w:szCs w:val="32"/>
          <w:highlight w:val="none"/>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556FBF9E">
      <w:pPr>
        <w:pStyle w:val="28"/>
        <w:keepNext w:val="0"/>
        <w:keepLines w:val="0"/>
        <w:pageBreakBefore w:val="0"/>
        <w:widowControl w:val="0"/>
        <w:kinsoku/>
        <w:wordWrap/>
        <w:overflowPunct/>
        <w:topLinePunct w:val="0"/>
        <w:bidi w:val="0"/>
        <w:snapToGrid/>
        <w:spacing w:line="560" w:lineRule="exact"/>
        <w:ind w:firstLine="640" w:firstLineChars="200"/>
        <w:textAlignment w:val="auto"/>
        <w:rPr>
          <w:rFonts w:ascii="仿宋_GB2312" w:eastAsia="仿宋_GB2312"/>
          <w:sz w:val="32"/>
          <w:szCs w:val="32"/>
          <w:highlight w:val="none"/>
        </w:rPr>
      </w:pPr>
      <w:r>
        <w:rPr>
          <w:rFonts w:hint="eastAsia" w:ascii="黑体" w:hAnsi="黑体" w:eastAsia="黑体" w:cs="黑体"/>
          <w:sz w:val="32"/>
          <w:szCs w:val="32"/>
          <w:highlight w:val="none"/>
          <w:lang w:val="en-US" w:eastAsia="zh-CN"/>
        </w:rPr>
        <w:t>二十三、</w:t>
      </w:r>
      <w:r>
        <w:rPr>
          <w:rFonts w:hint="eastAsia" w:ascii="黑体" w:hAnsi="黑体" w:eastAsia="黑体" w:cs="黑体"/>
          <w:sz w:val="32"/>
          <w:szCs w:val="32"/>
          <w:highlight w:val="none"/>
        </w:rPr>
        <w:t>机关运行经费：</w:t>
      </w:r>
      <w:r>
        <w:rPr>
          <w:rFonts w:hint="eastAsia" w:ascii="仿宋_GB2312" w:eastAsia="仿宋_GB2312"/>
          <w:sz w:val="32"/>
          <w:szCs w:val="32"/>
          <w:highlight w:val="none"/>
        </w:rPr>
        <w:t>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071FC179">
      <w:pPr>
        <w:pStyle w:val="28"/>
        <w:spacing w:line="560" w:lineRule="exact"/>
        <w:ind w:firstLine="640" w:firstLineChars="200"/>
        <w:rPr>
          <w:rFonts w:ascii="仿宋_GB2312" w:eastAsia="仿宋_GB2312" w:cs="黑体"/>
          <w:color w:val="auto"/>
          <w:sz w:val="32"/>
          <w:szCs w:val="32"/>
        </w:rPr>
      </w:pPr>
    </w:p>
    <w:p w14:paraId="472A91C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36"/>
          <w:szCs w:val="36"/>
        </w:rPr>
      </w:pPr>
      <w:bookmarkStart w:id="72" w:name="_Toc15377226"/>
      <w:r>
        <w:rPr>
          <w:rFonts w:ascii="宋体"/>
          <w:b/>
          <w:sz w:val="44"/>
          <w:szCs w:val="44"/>
        </w:rPr>
        <w:br w:type="page"/>
      </w:r>
      <w:bookmarkStart w:id="73" w:name="_Toc15396614"/>
      <w:bookmarkStart w:id="74" w:name="_Toc31237"/>
      <w:r>
        <w:rPr>
          <w:rFonts w:hint="eastAsia" w:ascii="方正小标宋_GBK" w:hAnsi="方正小标宋_GBK" w:eastAsia="方正小标宋_GBK" w:cs="方正小标宋_GBK"/>
          <w:sz w:val="36"/>
          <w:szCs w:val="36"/>
        </w:rPr>
        <w:t>第四部分 附</w:t>
      </w:r>
      <w:r>
        <w:rPr>
          <w:rFonts w:hint="eastAsia" w:ascii="方正小标宋_GBK" w:hAnsi="方正小标宋_GBK" w:eastAsia="方正小标宋_GBK" w:cs="方正小标宋_GBK"/>
          <w:sz w:val="36"/>
          <w:szCs w:val="36"/>
          <w:lang w:val="en-US" w:eastAsia="zh-CN"/>
        </w:rPr>
        <w:t xml:space="preserve">  </w:t>
      </w:r>
      <w:r>
        <w:rPr>
          <w:rFonts w:hint="eastAsia" w:ascii="方正小标宋_GBK" w:hAnsi="方正小标宋_GBK" w:eastAsia="方正小标宋_GBK" w:cs="方正小标宋_GBK"/>
          <w:sz w:val="36"/>
          <w:szCs w:val="36"/>
        </w:rPr>
        <w:t>件</w:t>
      </w:r>
      <w:bookmarkEnd w:id="73"/>
      <w:bookmarkEnd w:id="74"/>
    </w:p>
    <w:p w14:paraId="0297122D">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79C93C38">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202</w:t>
      </w:r>
      <w:r>
        <w:rPr>
          <w:rFonts w:hint="eastAsia" w:ascii="方正小标宋_GBK" w:hAnsi="方正小标宋_GBK" w:eastAsia="方正小标宋_GBK" w:cs="方正小标宋_GBK"/>
          <w:sz w:val="36"/>
          <w:szCs w:val="36"/>
          <w:lang w:val="en-US" w:eastAsia="zh-CN"/>
        </w:rPr>
        <w:t>2</w:t>
      </w:r>
      <w:r>
        <w:rPr>
          <w:rFonts w:hint="eastAsia" w:ascii="方正小标宋_GBK" w:hAnsi="方正小标宋_GBK" w:eastAsia="方正小标宋_GBK" w:cs="方正小标宋_GBK"/>
          <w:sz w:val="36"/>
          <w:szCs w:val="36"/>
        </w:rPr>
        <w:t>年</w:t>
      </w:r>
      <w:r>
        <w:rPr>
          <w:rFonts w:hint="eastAsia" w:ascii="方正小标宋_GBK" w:hAnsi="方正小标宋_GBK" w:eastAsia="方正小标宋_GBK" w:cs="方正小标宋_GBK"/>
          <w:sz w:val="36"/>
          <w:szCs w:val="36"/>
          <w:lang w:val="en-US" w:eastAsia="zh-CN"/>
        </w:rPr>
        <w:t>峨眉山市财政局</w:t>
      </w:r>
      <w:r>
        <w:rPr>
          <w:rFonts w:hint="eastAsia" w:ascii="方正小标宋_GBK" w:hAnsi="方正小标宋_GBK" w:eastAsia="方正小标宋_GBK" w:cs="方正小标宋_GBK"/>
          <w:sz w:val="36"/>
          <w:szCs w:val="36"/>
        </w:rPr>
        <w:t>部门整体绩效评价报告</w:t>
      </w:r>
    </w:p>
    <w:p w14:paraId="1B6793C4">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仿宋_GB2312" w:hAnsi="仿宋_GB2312" w:eastAsia="仿宋_GB2312" w:cs="仿宋_GB2312"/>
          <w:sz w:val="32"/>
          <w:szCs w:val="32"/>
          <w:lang w:val="en-US" w:eastAsia="zh-CN"/>
        </w:rPr>
        <w:t>报告范围包括机关和下属单位</w:t>
      </w:r>
      <w:r>
        <w:rPr>
          <w:rFonts w:hint="eastAsia" w:ascii="楷体_GB2312" w:hAnsi="楷体_GB2312" w:eastAsia="楷体_GB2312" w:cs="楷体_GB2312"/>
          <w:sz w:val="32"/>
          <w:szCs w:val="32"/>
        </w:rPr>
        <w:t>）</w:t>
      </w:r>
    </w:p>
    <w:p w14:paraId="1DD6FF2C">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5852687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zh-CN"/>
        </w:rPr>
      </w:pPr>
      <w:r>
        <w:rPr>
          <w:rFonts w:hint="eastAsia" w:ascii="黑体" w:hAnsi="黑体" w:eastAsia="黑体" w:cs="黑体"/>
          <w:sz w:val="32"/>
          <w:szCs w:val="32"/>
          <w:lang w:val="zh-CN"/>
        </w:rPr>
        <w:t>一、部门（单位）基本情况</w:t>
      </w:r>
    </w:p>
    <w:p w14:paraId="3F793DC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lang w:val="zh-CN" w:eastAsia="zh-CN"/>
        </w:rPr>
        <w:t>（一）机构组成</w:t>
      </w:r>
    </w:p>
    <w:p w14:paraId="7626F89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峨眉山市财政局下属二级预算单位4个，其中行政单位1个，参照公务员法管理的事业单位1个，其他事业单位2个。纳入峨眉山市财政局2022年度部门决算编制范围的二级预算单位包括：峨眉山市财政局（本级）、峨眉山市财政服务中心、峨眉山市财政投资评审中心、峨眉山市会计服务中心。</w:t>
      </w:r>
    </w:p>
    <w:p w14:paraId="6272AE7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lang w:val="zh-CN" w:eastAsia="zh-CN"/>
        </w:rPr>
        <w:t>（二）机构职能和人员概况</w:t>
      </w:r>
    </w:p>
    <w:p w14:paraId="261395F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市财政局基本职能为贯彻执行国家、省财税方面的方针、政策和法律、法规，按照管理权限管理全市税政事项，拟订全市财税（含财政、预算、税收、非税收入、财务、会计、国有资产等）发展战略、规划、政策和改革方案并组织实施，分析预测宏观经济形势，参与制定各项宏观经济政策。承担各项财政收支管理的责任，按规定开展国库现金管理工作。负责制定政府采购制度，监督管理全市政府采购工作。组织实施企业财务制度。负责管理政府债务，防范财政风险。负责管理全市的会计工作，组织和管理全市财政业务培训，监督和规范会计行为，协助指导和管理社会审计。依法查处违反财经法纪的行为</w:t>
      </w:r>
      <w:r>
        <w:rPr>
          <w:rFonts w:hint="eastAsia" w:ascii="仿宋_GB2312" w:hAnsi="仿宋_GB2312" w:eastAsia="仿宋_GB2312" w:cs="仿宋_GB2312"/>
          <w:sz w:val="32"/>
          <w:szCs w:val="32"/>
        </w:rPr>
        <w:t>。</w:t>
      </w:r>
    </w:p>
    <w:p w14:paraId="1A0950A0">
      <w:pPr>
        <w:pStyle w:val="9"/>
        <w:keepNext w:val="0"/>
        <w:keepLines w:val="0"/>
        <w:pageBreakBefore w:val="0"/>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人员概况为：峨眉山市财政局截止2022年12月行政编制实际人数为17人，比2021年减少2人，原因为人员调出和退休。</w:t>
      </w:r>
    </w:p>
    <w:p w14:paraId="6133A167">
      <w:pPr>
        <w:pStyle w:val="9"/>
        <w:keepNext w:val="0"/>
        <w:keepLines w:val="0"/>
        <w:pageBreakBefore w:val="0"/>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峨眉山市财政服务中心截止2022年12月参照公务员法管理的人员编制实际人数为38人，比2021年增加8人，原因为人员调入和招录新进。</w:t>
      </w:r>
    </w:p>
    <w:p w14:paraId="283D1770">
      <w:pPr>
        <w:pStyle w:val="9"/>
        <w:keepNext w:val="0"/>
        <w:keepLines w:val="0"/>
        <w:pageBreakBefore w:val="0"/>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峨眉山市财政投资评审中心截止2022年12月事业编制实际人数为16人，比2021年增加1人，原因为人员调入。</w:t>
      </w:r>
    </w:p>
    <w:p w14:paraId="0F53A9FF">
      <w:pPr>
        <w:pStyle w:val="9"/>
        <w:keepNext w:val="0"/>
        <w:keepLines w:val="0"/>
        <w:pageBreakBefore w:val="0"/>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峨眉山市会计服务中心截止2022年12月事业编制实际人数为7人，比2021年增加7人，原因为人员调入和招聘新进。</w:t>
      </w:r>
    </w:p>
    <w:p w14:paraId="23F3032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lang w:val="zh-CN" w:eastAsia="zh-CN"/>
        </w:rPr>
        <w:t>（三）年度主要工作任务</w:t>
      </w:r>
    </w:p>
    <w:p w14:paraId="34D5C74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黑体" w:eastAsia="仿宋_GB2312" w:cs="Times New Roman"/>
          <w:b w:val="0"/>
          <w:bCs w:val="0"/>
          <w:color w:val="auto"/>
          <w:sz w:val="32"/>
          <w:szCs w:val="32"/>
          <w:lang w:eastAsia="zh-CN"/>
        </w:rPr>
      </w:pPr>
      <w:r>
        <w:rPr>
          <w:rFonts w:hint="eastAsia" w:ascii="仿宋_GB2312" w:hAnsi="黑体" w:eastAsia="仿宋_GB2312" w:cs="Times New Roman"/>
          <w:b w:val="0"/>
          <w:bCs w:val="0"/>
          <w:color w:val="auto"/>
          <w:sz w:val="32"/>
          <w:szCs w:val="32"/>
          <w:lang w:val="en-US" w:eastAsia="zh-CN"/>
        </w:rPr>
        <w:t>1.</w:t>
      </w:r>
      <w:r>
        <w:rPr>
          <w:rFonts w:hint="eastAsia" w:ascii="仿宋_GB2312" w:hAnsi="黑体" w:eastAsia="仿宋_GB2312" w:cs="Times New Roman"/>
          <w:b w:val="0"/>
          <w:bCs w:val="0"/>
          <w:color w:val="auto"/>
          <w:sz w:val="32"/>
          <w:szCs w:val="32"/>
          <w:lang w:eastAsia="zh-CN"/>
        </w:rPr>
        <w:t>立足党建引领，夯实主责主业</w:t>
      </w:r>
    </w:p>
    <w:p w14:paraId="119E5C1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黑体" w:eastAsia="仿宋_GB2312"/>
          <w:b w:val="0"/>
          <w:bCs w:val="0"/>
          <w:color w:val="auto"/>
          <w:sz w:val="32"/>
          <w:szCs w:val="32"/>
          <w:lang w:eastAsia="zh-CN"/>
        </w:rPr>
      </w:pPr>
      <w:r>
        <w:rPr>
          <w:rFonts w:hint="eastAsia" w:ascii="仿宋_GB2312" w:hAnsi="黑体" w:eastAsia="仿宋_GB2312" w:cs="Times New Roman"/>
          <w:b w:val="0"/>
          <w:bCs w:val="0"/>
          <w:color w:val="auto"/>
          <w:sz w:val="32"/>
          <w:szCs w:val="32"/>
          <w:lang w:val="en-US" w:eastAsia="zh-CN"/>
        </w:rPr>
        <w:t>我局</w:t>
      </w:r>
      <w:r>
        <w:rPr>
          <w:rFonts w:hint="eastAsia" w:ascii="仿宋_GB2312" w:hAnsi="黑体" w:eastAsia="仿宋_GB2312"/>
          <w:b w:val="0"/>
          <w:bCs w:val="0"/>
          <w:color w:val="auto"/>
          <w:sz w:val="32"/>
          <w:szCs w:val="32"/>
          <w:lang w:eastAsia="zh-CN"/>
        </w:rPr>
        <w:t>围绕财政中心工作确定党建工作重点和目标，坚持机关党建工作与财政业务工作有机结合，发挥党建工作对财政业务工作的引领作用，把党建工作与组织好财政收支、部门预算编制等业务工作紧密结合起来。将业务工作的难点作为党建工作的重点，充分发挥党员干部敢啃硬骨头、敢于攻坚克难的优势作用，推进重点难点工作的解决。</w:t>
      </w:r>
    </w:p>
    <w:p w14:paraId="2B4B4AB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黑体" w:eastAsia="仿宋_GB2312"/>
          <w:b w:val="0"/>
          <w:bCs w:val="0"/>
          <w:color w:val="auto"/>
          <w:sz w:val="32"/>
          <w:szCs w:val="32"/>
          <w:lang w:val="en-US" w:eastAsia="zh-CN"/>
        </w:rPr>
      </w:pPr>
      <w:r>
        <w:rPr>
          <w:rFonts w:hint="eastAsia" w:ascii="仿宋_GB2312" w:hAnsi="黑体" w:eastAsia="仿宋_GB2312"/>
          <w:b w:val="0"/>
          <w:bCs w:val="0"/>
          <w:color w:val="auto"/>
          <w:sz w:val="32"/>
          <w:szCs w:val="32"/>
          <w:lang w:val="en-US" w:eastAsia="zh-CN"/>
        </w:rPr>
        <w:t>2.服务中心工作，贡献财政力量</w:t>
      </w:r>
    </w:p>
    <w:p w14:paraId="6FE4F6D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黑体" w:eastAsia="仿宋_GB2312"/>
          <w:b w:val="0"/>
          <w:bCs w:val="0"/>
          <w:color w:val="auto"/>
          <w:sz w:val="32"/>
          <w:szCs w:val="32"/>
          <w:highlight w:val="none"/>
          <w:lang w:eastAsia="zh-CN"/>
        </w:rPr>
      </w:pPr>
      <w:r>
        <w:rPr>
          <w:rFonts w:hint="eastAsia" w:ascii="仿宋_GB2312" w:hAnsi="黑体" w:eastAsia="仿宋_GB2312"/>
          <w:b w:val="0"/>
          <w:bCs w:val="0"/>
          <w:color w:val="auto"/>
          <w:sz w:val="32"/>
          <w:szCs w:val="32"/>
          <w:lang w:eastAsia="zh-CN"/>
        </w:rPr>
        <w:t>一是</w:t>
      </w:r>
      <w:r>
        <w:rPr>
          <w:rFonts w:hint="eastAsia" w:ascii="仿宋_GB2312" w:hAnsi="黑体" w:eastAsia="仿宋_GB2312"/>
          <w:b w:val="0"/>
          <w:bCs w:val="0"/>
          <w:color w:val="auto"/>
          <w:sz w:val="32"/>
          <w:szCs w:val="32"/>
          <w:lang w:val="en-US" w:eastAsia="zh-CN"/>
        </w:rPr>
        <w:t>高效助力</w:t>
      </w:r>
      <w:r>
        <w:rPr>
          <w:rFonts w:hint="eastAsia" w:ascii="仿宋_GB2312" w:hAnsi="黑体" w:eastAsia="仿宋_GB2312"/>
          <w:b w:val="0"/>
          <w:bCs w:val="0"/>
          <w:color w:val="auto"/>
          <w:sz w:val="32"/>
          <w:szCs w:val="32"/>
          <w:lang w:eastAsia="zh-CN"/>
        </w:rPr>
        <w:t>“双创”工作，</w:t>
      </w:r>
      <w:r>
        <w:rPr>
          <w:rFonts w:hint="eastAsia" w:ascii="仿宋_GB2312" w:hAnsi="黑体" w:eastAsia="仿宋_GB2312"/>
          <w:b w:val="0"/>
          <w:bCs w:val="0"/>
          <w:color w:val="auto"/>
          <w:sz w:val="32"/>
          <w:szCs w:val="32"/>
          <w:lang w:val="en-US" w:eastAsia="zh-CN"/>
        </w:rPr>
        <w:t>在责任片区多次</w:t>
      </w:r>
      <w:r>
        <w:rPr>
          <w:rFonts w:hint="eastAsia" w:ascii="仿宋_GB2312" w:hAnsi="黑体" w:eastAsia="仿宋_GB2312"/>
          <w:b w:val="0"/>
          <w:bCs w:val="0"/>
          <w:color w:val="auto"/>
          <w:sz w:val="32"/>
          <w:szCs w:val="32"/>
          <w:lang w:eastAsia="zh-CN"/>
        </w:rPr>
        <w:t>开展文明</w:t>
      </w:r>
      <w:r>
        <w:rPr>
          <w:rFonts w:hint="eastAsia" w:ascii="仿宋_GB2312" w:hAnsi="黑体" w:eastAsia="仿宋_GB2312"/>
          <w:b w:val="0"/>
          <w:bCs w:val="0"/>
          <w:color w:val="auto"/>
          <w:sz w:val="32"/>
          <w:szCs w:val="32"/>
          <w:lang w:val="en-US" w:eastAsia="zh-CN"/>
        </w:rPr>
        <w:t>劝导、</w:t>
      </w:r>
      <w:r>
        <w:rPr>
          <w:rFonts w:hint="eastAsia" w:ascii="仿宋_GB2312" w:hAnsi="黑体" w:eastAsia="仿宋_GB2312"/>
          <w:b w:val="0"/>
          <w:bCs w:val="0"/>
          <w:color w:val="auto"/>
          <w:sz w:val="32"/>
          <w:szCs w:val="32"/>
          <w:lang w:eastAsia="zh-CN"/>
        </w:rPr>
        <w:t>卫生专项整治</w:t>
      </w:r>
      <w:r>
        <w:rPr>
          <w:rFonts w:hint="eastAsia" w:ascii="仿宋_GB2312" w:hAnsi="黑体" w:eastAsia="仿宋_GB2312"/>
          <w:b w:val="0"/>
          <w:bCs w:val="0"/>
          <w:color w:val="auto"/>
          <w:sz w:val="32"/>
          <w:szCs w:val="32"/>
          <w:lang w:val="en-US" w:eastAsia="zh-CN"/>
        </w:rPr>
        <w:t>等</w:t>
      </w:r>
      <w:r>
        <w:rPr>
          <w:rFonts w:hint="eastAsia" w:ascii="仿宋_GB2312" w:hAnsi="黑体" w:eastAsia="仿宋_GB2312"/>
          <w:b w:val="0"/>
          <w:bCs w:val="0"/>
          <w:color w:val="auto"/>
          <w:sz w:val="32"/>
          <w:szCs w:val="32"/>
          <w:lang w:eastAsia="zh-CN"/>
        </w:rPr>
        <w:t>活动，</w:t>
      </w:r>
      <w:r>
        <w:rPr>
          <w:rFonts w:hint="eastAsia" w:ascii="仿宋_GB2312" w:hAnsi="黑体" w:eastAsia="仿宋_GB2312"/>
          <w:b w:val="0"/>
          <w:bCs w:val="0"/>
          <w:color w:val="auto"/>
          <w:sz w:val="32"/>
          <w:szCs w:val="32"/>
          <w:lang w:val="en-US" w:eastAsia="zh-CN"/>
        </w:rPr>
        <w:t>充分展现财政干部的担当作为</w:t>
      </w:r>
      <w:r>
        <w:rPr>
          <w:rFonts w:hint="eastAsia" w:ascii="仿宋_GB2312" w:hAnsi="黑体" w:eastAsia="仿宋_GB2312"/>
          <w:b w:val="0"/>
          <w:bCs w:val="0"/>
          <w:color w:val="auto"/>
          <w:sz w:val="32"/>
          <w:szCs w:val="32"/>
          <w:lang w:eastAsia="zh-CN"/>
        </w:rPr>
        <w:t>。</w:t>
      </w:r>
      <w:r>
        <w:rPr>
          <w:rFonts w:hint="eastAsia" w:ascii="仿宋_GB2312" w:hAnsi="黑体" w:eastAsia="仿宋_GB2312"/>
          <w:b w:val="0"/>
          <w:bCs w:val="0"/>
          <w:color w:val="auto"/>
          <w:sz w:val="32"/>
          <w:szCs w:val="32"/>
          <w:lang w:val="en-US" w:eastAsia="zh-CN"/>
        </w:rPr>
        <w:t>二是全</w:t>
      </w:r>
      <w:r>
        <w:rPr>
          <w:rFonts w:hint="eastAsia" w:ascii="仿宋_GB2312" w:hAnsi="黑体" w:eastAsia="仿宋_GB2312"/>
          <w:b w:val="0"/>
          <w:bCs w:val="0"/>
          <w:color w:val="auto"/>
          <w:sz w:val="32"/>
          <w:szCs w:val="32"/>
          <w:highlight w:val="none"/>
          <w:lang w:val="en-US" w:eastAsia="zh-CN"/>
        </w:rPr>
        <w:t>力做好脱贫攻坚和乡村振兴工作，</w:t>
      </w:r>
      <w:r>
        <w:rPr>
          <w:rFonts w:hint="eastAsia" w:ascii="仿宋_GB2312" w:hAnsi="仿宋_GB2312" w:eastAsia="仿宋_GB2312" w:cs="仿宋_GB2312"/>
          <w:color w:val="auto"/>
          <w:sz w:val="32"/>
          <w:szCs w:val="32"/>
        </w:rPr>
        <w:t>凝心聚力</w:t>
      </w:r>
      <w:r>
        <w:rPr>
          <w:rFonts w:hint="eastAsia" w:ascii="仿宋_GB2312" w:hAnsi="仿宋_GB2312" w:eastAsia="仿宋_GB2312" w:cs="仿宋_GB2312"/>
          <w:color w:val="auto"/>
          <w:sz w:val="32"/>
          <w:szCs w:val="32"/>
          <w:lang w:val="en-US" w:eastAsia="zh-CN"/>
        </w:rPr>
        <w:t>开展</w:t>
      </w:r>
      <w:r>
        <w:rPr>
          <w:rFonts w:hint="eastAsia" w:ascii="仿宋_GB2312" w:hAnsi="黑体" w:eastAsia="仿宋_GB2312"/>
          <w:b w:val="0"/>
          <w:bCs w:val="0"/>
          <w:color w:val="auto"/>
          <w:sz w:val="32"/>
          <w:szCs w:val="32"/>
          <w:lang w:eastAsia="zh-CN"/>
        </w:rPr>
        <w:t>结对帮扶工作，</w:t>
      </w:r>
      <w:r>
        <w:rPr>
          <w:rFonts w:hint="eastAsia" w:ascii="仿宋_GB2312" w:hAnsi="黑体" w:eastAsia="仿宋_GB2312"/>
          <w:b w:val="0"/>
          <w:bCs w:val="0"/>
          <w:color w:val="auto"/>
          <w:sz w:val="32"/>
          <w:szCs w:val="32"/>
          <w:highlight w:val="none"/>
          <w:lang w:eastAsia="zh-CN"/>
        </w:rPr>
        <w:t>下派第一书记</w:t>
      </w:r>
      <w:r>
        <w:rPr>
          <w:rFonts w:hint="eastAsia" w:ascii="仿宋_GB2312" w:hAnsi="黑体" w:eastAsia="仿宋_GB2312"/>
          <w:b w:val="0"/>
          <w:bCs w:val="0"/>
          <w:color w:val="auto"/>
          <w:sz w:val="32"/>
          <w:szCs w:val="32"/>
          <w:highlight w:val="none"/>
          <w:lang w:val="en-US" w:eastAsia="zh-CN"/>
        </w:rPr>
        <w:t>和</w:t>
      </w:r>
      <w:r>
        <w:rPr>
          <w:rFonts w:hint="eastAsia" w:ascii="仿宋_GB2312" w:hAnsi="黑体" w:eastAsia="仿宋_GB2312"/>
          <w:b w:val="0"/>
          <w:bCs w:val="0"/>
          <w:color w:val="auto"/>
          <w:sz w:val="32"/>
          <w:szCs w:val="32"/>
          <w:highlight w:val="none"/>
          <w:lang w:eastAsia="zh-CN"/>
        </w:rPr>
        <w:t>驻村帮扶队队员</w:t>
      </w:r>
      <w:r>
        <w:rPr>
          <w:rFonts w:hint="eastAsia" w:ascii="仿宋_GB2312" w:hAnsi="黑体" w:eastAsia="仿宋_GB2312"/>
          <w:b w:val="0"/>
          <w:bCs w:val="0"/>
          <w:color w:val="auto"/>
          <w:sz w:val="32"/>
          <w:szCs w:val="32"/>
          <w:highlight w:val="none"/>
          <w:lang w:val="en-US" w:eastAsia="zh-CN"/>
        </w:rPr>
        <w:t>到村</w:t>
      </w:r>
      <w:r>
        <w:rPr>
          <w:rFonts w:hint="eastAsia" w:ascii="仿宋_GB2312" w:hAnsi="黑体" w:eastAsia="仿宋_GB2312"/>
          <w:b w:val="0"/>
          <w:bCs w:val="0"/>
          <w:color w:val="auto"/>
          <w:sz w:val="32"/>
          <w:szCs w:val="32"/>
          <w:highlight w:val="none"/>
          <w:lang w:eastAsia="zh-CN"/>
        </w:rPr>
        <w:t>深入开展“一帮一”扶持村级集体经济工作，积极为乡村振兴出谋划策。</w:t>
      </w:r>
    </w:p>
    <w:p w14:paraId="458F517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3.抢抓政策机遇，向上争取资金</w:t>
      </w:r>
    </w:p>
    <w:p w14:paraId="1EFB88B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黑体" w:eastAsia="仿宋_GB2312"/>
          <w:b w:val="0"/>
          <w:bCs w:val="0"/>
          <w:color w:val="auto"/>
          <w:sz w:val="32"/>
          <w:szCs w:val="32"/>
          <w:highlight w:val="none"/>
          <w:lang w:val="en-US" w:eastAsia="zh-CN"/>
        </w:rPr>
        <w:t>为严格落实乐山市委“走上去、走出去”工作要求，激发和调动市级部门争取</w:t>
      </w:r>
      <w:r>
        <w:rPr>
          <w:rFonts w:hint="eastAsia" w:ascii="仿宋_GB2312" w:hAnsi="Calibri" w:eastAsia="仿宋_GB2312" w:cs="Times New Roman"/>
          <w:color w:val="auto"/>
          <w:kern w:val="0"/>
          <w:sz w:val="32"/>
          <w:szCs w:val="32"/>
          <w:highlight w:val="none"/>
          <w:lang w:val="en-US" w:eastAsia="zh-CN"/>
        </w:rPr>
        <w:t>上级资金的积极性和主动性，我局拟定《峨眉山市级部门向上争取项目资金指导性计划》，印发《峨眉山市向上争取项目资金考核细则》，</w:t>
      </w:r>
      <w:r>
        <w:rPr>
          <w:rFonts w:hint="eastAsia" w:ascii="仿宋_GB2312" w:hAnsi="仿宋_GB2312" w:eastAsia="仿宋_GB2312" w:cs="仿宋_GB2312"/>
          <w:b w:val="0"/>
          <w:bCs w:val="0"/>
          <w:color w:val="auto"/>
          <w:sz w:val="32"/>
          <w:szCs w:val="32"/>
          <w:highlight w:val="none"/>
          <w:lang w:val="en-US" w:eastAsia="zh-CN"/>
        </w:rPr>
        <w:t>合力抓好向上争取资金工作，积极争取省上在项目资金上</w:t>
      </w:r>
      <w:r>
        <w:rPr>
          <w:rFonts w:hint="eastAsia" w:ascii="仿宋_GB2312" w:hAnsi="仿宋_GB2312" w:eastAsia="仿宋_GB2312" w:cs="仿宋_GB2312"/>
          <w:b w:val="0"/>
          <w:bCs w:val="0"/>
          <w:color w:val="auto"/>
          <w:spacing w:val="-6"/>
          <w:sz w:val="32"/>
          <w:szCs w:val="32"/>
          <w:highlight w:val="none"/>
          <w:lang w:val="en-US" w:eastAsia="zh-CN"/>
        </w:rPr>
        <w:t>的政策支持，</w:t>
      </w:r>
      <w:r>
        <w:rPr>
          <w:rFonts w:hint="eastAsia" w:ascii="仿宋_GB2312" w:hAnsi="仿宋_GB2312" w:eastAsia="仿宋_GB2312" w:cs="仿宋_GB2312"/>
          <w:b w:val="0"/>
          <w:bCs w:val="0"/>
          <w:color w:val="auto"/>
          <w:sz w:val="32"/>
          <w:szCs w:val="32"/>
          <w:highlight w:val="none"/>
        </w:rPr>
        <w:t>大力争取均衡性转移支付资金、乡村振兴和环保领域等上级补助资金</w:t>
      </w:r>
      <w:r>
        <w:rPr>
          <w:rFonts w:hint="eastAsia" w:ascii="仿宋_GB2312" w:hAnsi="仿宋_GB2312" w:eastAsia="仿宋_GB2312" w:cs="仿宋_GB2312"/>
          <w:b w:val="0"/>
          <w:bCs w:val="0"/>
          <w:color w:val="auto"/>
          <w:sz w:val="32"/>
          <w:szCs w:val="32"/>
          <w:highlight w:val="none"/>
          <w:lang w:val="en-US" w:eastAsia="zh-CN"/>
        </w:rPr>
        <w:t>等。</w:t>
      </w:r>
    </w:p>
    <w:p w14:paraId="219F46C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firstLine="320" w:firstLineChars="100"/>
        <w:jc w:val="both"/>
        <w:textAlignment w:val="auto"/>
        <w:rPr>
          <w:rFonts w:hint="eastAsia" w:ascii="仿宋_GB2312" w:hAnsi="黑体" w:eastAsia="仿宋_GB2312" w:cs="Times New Roman"/>
          <w:b/>
          <w:bCs/>
          <w:color w:val="auto"/>
          <w:sz w:val="32"/>
          <w:szCs w:val="32"/>
          <w:highlight w:val="none"/>
          <w:lang w:val="en-US" w:eastAsia="zh-CN"/>
        </w:rPr>
      </w:pPr>
      <w:r>
        <w:rPr>
          <w:rFonts w:hint="eastAsia" w:ascii="仿宋_GB2312" w:hAnsi="黑体" w:eastAsia="仿宋_GB2312" w:cs="Times New Roman"/>
          <w:b w:val="0"/>
          <w:bCs w:val="0"/>
          <w:color w:val="auto"/>
          <w:sz w:val="32"/>
          <w:szCs w:val="32"/>
          <w:lang w:val="en-US" w:eastAsia="zh-CN"/>
        </w:rPr>
        <w:t>4.规范预算编制，加强支出管理</w:t>
      </w:r>
    </w:p>
    <w:p w14:paraId="59AD0A0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Calibri" w:eastAsia="仿宋_GB2312" w:cs="Times New Roman"/>
          <w:color w:val="000000"/>
          <w:kern w:val="0"/>
          <w:sz w:val="32"/>
          <w:szCs w:val="32"/>
          <w:highlight w:val="none"/>
          <w:lang w:val="en-US" w:eastAsia="zh-CN"/>
        </w:rPr>
      </w:pPr>
      <w:r>
        <w:rPr>
          <w:rFonts w:hint="eastAsia" w:ascii="仿宋_GB2312" w:hAnsi="Calibri" w:eastAsia="仿宋_GB2312" w:cs="Times New Roman"/>
          <w:color w:val="000000"/>
          <w:kern w:val="0"/>
          <w:sz w:val="32"/>
          <w:szCs w:val="32"/>
          <w:highlight w:val="none"/>
          <w:lang w:val="en-US" w:eastAsia="zh-CN"/>
        </w:rPr>
        <w:t>科学编制2022年预算，印发《峨眉山市2022年预算编制工作方案》，继续坚持“先有预算后有支出”，无预算、超预算原则上不得安排支出。印发《峨眉山市财政局关于编制市级部门2023—2025年支出规划和2023年部门预算的通知》编制三年滚动财政规划，统筹各年度收支活动，增强年度预算准确性。一是“开前门”保障单位公用经费预算。完善公用经费支出体系，制定《激励工作经费实施方案》，对单位的日常运转通过合理的预算体系予以保障。二是实施精细化管理。部门定额公用经费经济科目细化到款级，列明水费、电费、邮电费、公车运维费等运转类经费准确金额，优先足额保障单位水电气等运转类开支，该类支出不得调剂到其他科目使用，不足部分可以用其他公用支出科目调剂补充。</w:t>
      </w:r>
    </w:p>
    <w:p w14:paraId="3E43026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黑体" w:eastAsia="仿宋_GB2312" w:cs="Times New Roman"/>
          <w:b w:val="0"/>
          <w:bCs w:val="0"/>
          <w:color w:val="auto"/>
          <w:sz w:val="32"/>
          <w:szCs w:val="32"/>
          <w:lang w:val="en-US" w:eastAsia="zh-CN"/>
        </w:rPr>
      </w:pPr>
      <w:r>
        <w:rPr>
          <w:rFonts w:hint="eastAsia" w:ascii="仿宋_GB2312" w:hAnsi="黑体" w:eastAsia="仿宋_GB2312" w:cs="Times New Roman"/>
          <w:b w:val="0"/>
          <w:bCs w:val="0"/>
          <w:color w:val="auto"/>
          <w:sz w:val="32"/>
          <w:szCs w:val="32"/>
          <w:lang w:val="en-US" w:eastAsia="zh-CN"/>
        </w:rPr>
        <w:t>5.合理调度资金，兜牢“三保”底线</w:t>
      </w:r>
    </w:p>
    <w:p w14:paraId="6F078BF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Calibri" w:eastAsia="仿宋_GB2312" w:cs="Times New Roman"/>
          <w:color w:val="000000"/>
          <w:kern w:val="0"/>
          <w:sz w:val="32"/>
          <w:szCs w:val="32"/>
          <w:highlight w:val="none"/>
          <w:lang w:val="en-US" w:eastAsia="zh-CN"/>
        </w:rPr>
      </w:pPr>
      <w:r>
        <w:rPr>
          <w:rFonts w:hint="eastAsia" w:ascii="仿宋_GB2312" w:hAnsi="Calibri" w:eastAsia="仿宋_GB2312" w:cs="Times New Roman"/>
          <w:color w:val="000000"/>
          <w:kern w:val="0"/>
          <w:sz w:val="32"/>
          <w:szCs w:val="32"/>
          <w:highlight w:val="none"/>
          <w:lang w:val="en-US" w:eastAsia="zh-CN"/>
        </w:rPr>
        <w:t>坚决贯彻落实中央“六稳”“六保”要求，千方百计兜住“三保”底线。一是年初预算不留缺口，全额编制“三保”支出预算。提高政治站位，坚持把“三保”放在财政支出的优先位置，做到预算安排不出现“三保”支出缺口，预算执行不出现挤占拖欠，确保上级制定的民生政策等全面落实到位。二是加大税源挖潜力度，切实增强“三保”可用财力。全面排查和梳理税源，全力挖掘收入增长点，进一步缓减疫情和经济下行压力等因素造成的减收增支影响。压实责任，深入查找税收收入短板，通过对重点税源排查清理，加强征管，落实缴税，确保及时足额入库。同时加大财政资金整合力度，积极盘活存量资金，增强“三保”支出保障能力。三是坚持“以收定支”。提前预判库款资金收支情况，合理编制国库资金管理计划，严格按照“保基本民生、保工资、保运转”的保障序列安排财政资金，确保基本民生和工资及时足额拨付到位，单位正常运转经费得到保障。</w:t>
      </w:r>
    </w:p>
    <w:p w14:paraId="48B2600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黑体" w:eastAsia="仿宋_GB2312" w:cs="Times New Roman"/>
          <w:b/>
          <w:bCs/>
          <w:color w:val="auto"/>
          <w:sz w:val="28"/>
          <w:szCs w:val="28"/>
          <w:lang w:val="en-US" w:eastAsia="zh-CN"/>
        </w:rPr>
      </w:pPr>
      <w:r>
        <w:rPr>
          <w:rFonts w:hint="eastAsia" w:ascii="仿宋_GB2312" w:hAnsi="黑体" w:eastAsia="仿宋_GB2312" w:cs="Times New Roman"/>
          <w:b w:val="0"/>
          <w:bCs w:val="0"/>
          <w:color w:val="auto"/>
          <w:sz w:val="32"/>
          <w:szCs w:val="32"/>
          <w:lang w:val="en-US" w:eastAsia="zh-CN"/>
        </w:rPr>
        <w:t>6.强化债务管理，守住风险底线</w:t>
      </w:r>
    </w:p>
    <w:p w14:paraId="035D670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Calibri" w:eastAsia="仿宋_GB2312" w:cs="Times New Roman"/>
          <w:color w:val="000000"/>
          <w:kern w:val="0"/>
          <w:sz w:val="32"/>
          <w:szCs w:val="32"/>
          <w:highlight w:val="none"/>
          <w:lang w:val="en-US" w:eastAsia="zh-CN"/>
        </w:rPr>
      </w:pPr>
      <w:r>
        <w:rPr>
          <w:rFonts w:hint="eastAsia" w:ascii="仿宋_GB2312" w:hAnsi="Calibri" w:eastAsia="仿宋_GB2312" w:cs="Times New Roman"/>
          <w:color w:val="000000"/>
          <w:kern w:val="0"/>
          <w:sz w:val="32"/>
          <w:szCs w:val="32"/>
          <w:highlight w:val="none"/>
          <w:lang w:val="en-US" w:eastAsia="zh-CN"/>
        </w:rPr>
        <w:t>一是严防债务风险。全市债务余额控制在省政府批准的限额以内，政府债务率不超过风险警戒线，全市债务风险总体可控。二是积极争取债券资金。2022年争取债券资金3.87亿元，其中，一般债0.27亿元、专项债3.6亿元。认真做好2023年债券项目需求申报工作。会同市发展改革局和行业主管部门，对全市重大项目进行详细的研判，初步梳理出符合专项债券投向且较为成熟的储备项目进行申报。三是强化资金使用管理。严格按照《四川省地方政府专项债券全生命周期管理办法》进一步</w:t>
      </w:r>
      <w:r>
        <w:rPr>
          <w:rFonts w:hint="eastAsia" w:ascii="仿宋_GB2312" w:hAnsi="Calibri" w:eastAsia="仿宋_GB2312" w:cs="Times New Roman"/>
          <w:b w:val="0"/>
          <w:bCs w:val="0"/>
          <w:color w:val="000000" w:themeColor="text1"/>
          <w:kern w:val="0"/>
          <w:sz w:val="32"/>
          <w:szCs w:val="32"/>
          <w:highlight w:val="none"/>
          <w:lang w:val="en-US" w:eastAsia="zh-CN"/>
          <w14:textFill>
            <w14:solidFill>
              <w14:schemeClr w14:val="tx1"/>
            </w14:solidFill>
          </w14:textFill>
        </w:rPr>
        <w:t>规范债券资金使用管理，收到债券资金及时转入监管户，确保专款专用，加快项目推进，形成实物工作量，充分发挥债券资金效益。</w:t>
      </w:r>
    </w:p>
    <w:p w14:paraId="745FA76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黑体" w:eastAsia="仿宋_GB2312" w:cs="Times New Roman"/>
          <w:b w:val="0"/>
          <w:bCs w:val="0"/>
          <w:color w:val="auto"/>
          <w:sz w:val="32"/>
          <w:szCs w:val="32"/>
          <w:lang w:val="en-US" w:eastAsia="zh-CN"/>
        </w:rPr>
      </w:pPr>
      <w:r>
        <w:rPr>
          <w:rFonts w:hint="eastAsia" w:ascii="仿宋_GB2312" w:hAnsi="黑体" w:eastAsia="仿宋_GB2312" w:cs="Times New Roman"/>
          <w:b w:val="0"/>
          <w:bCs w:val="0"/>
          <w:color w:val="auto"/>
          <w:sz w:val="32"/>
          <w:szCs w:val="32"/>
          <w:lang w:val="en-US" w:eastAsia="zh-CN"/>
        </w:rPr>
        <w:t>7.规范财政评审，加强项目监管</w:t>
      </w:r>
    </w:p>
    <w:p w14:paraId="747F61A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黑体" w:eastAsia="仿宋_GB2312" w:cs="Times New Roman"/>
          <w:b w:val="0"/>
          <w:bCs w:val="0"/>
          <w:color w:val="auto"/>
          <w:sz w:val="32"/>
          <w:szCs w:val="32"/>
          <w:lang w:val="en-US" w:eastAsia="zh-CN"/>
        </w:rPr>
      </w:pPr>
      <w:r>
        <w:rPr>
          <w:rFonts w:hint="eastAsia" w:ascii="仿宋_GB2312" w:hAnsi="黑体" w:eastAsia="仿宋_GB2312" w:cs="Times New Roman"/>
          <w:b w:val="0"/>
          <w:bCs w:val="0"/>
          <w:color w:val="auto"/>
          <w:sz w:val="32"/>
          <w:szCs w:val="32"/>
          <w:lang w:val="en-US" w:eastAsia="zh-CN"/>
        </w:rPr>
        <w:t>将项目监管工作变“被动”为“主动”，实施“事前、事中、事后”全过程监管。坚持资料审核配合现场踏勘的监管方式，采用不定期主动到现场等方式跟踪踏勘，结合财政资金安排情况，及时完成对工程进度款的核查，同时将建设项目监理、施工负责人压证及现场履职情况一并纳入监管范围。</w:t>
      </w:r>
    </w:p>
    <w:p w14:paraId="6085187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黑体" w:eastAsia="仿宋_GB2312" w:cs="Times New Roman"/>
          <w:b/>
          <w:bCs/>
          <w:color w:val="auto"/>
          <w:sz w:val="28"/>
          <w:szCs w:val="28"/>
          <w:lang w:val="en-US" w:eastAsia="zh-CN"/>
        </w:rPr>
      </w:pPr>
      <w:r>
        <w:rPr>
          <w:rFonts w:hint="eastAsia" w:ascii="仿宋_GB2312" w:hAnsi="黑体" w:eastAsia="仿宋_GB2312" w:cs="Times New Roman"/>
          <w:b w:val="0"/>
          <w:bCs w:val="0"/>
          <w:color w:val="auto"/>
          <w:sz w:val="32"/>
          <w:szCs w:val="32"/>
          <w:lang w:val="en-US" w:eastAsia="zh-CN"/>
        </w:rPr>
        <w:t>8.强化财政监督，保障资金安全</w:t>
      </w:r>
    </w:p>
    <w:p w14:paraId="5AA1235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Calibri" w:eastAsia="仿宋_GB2312" w:cs="Times New Roman"/>
          <w:color w:val="000000"/>
          <w:kern w:val="0"/>
          <w:sz w:val="32"/>
          <w:szCs w:val="32"/>
          <w:highlight w:val="none"/>
          <w:lang w:val="en-US" w:eastAsia="zh-CN"/>
        </w:rPr>
      </w:pPr>
      <w:r>
        <w:rPr>
          <w:rFonts w:hint="eastAsia" w:ascii="仿宋_GB2312" w:hAnsi="Calibri" w:eastAsia="仿宋_GB2312" w:cs="Times New Roman"/>
          <w:color w:val="000000"/>
          <w:kern w:val="0"/>
          <w:sz w:val="32"/>
          <w:szCs w:val="32"/>
          <w:highlight w:val="none"/>
          <w:lang w:val="en-US" w:eastAsia="zh-CN"/>
        </w:rPr>
        <w:t>一是加强财政监督检查，提高执纪意识。修订完善“一卡通”预警机制，核查个人补贴发放金额异常、支出进度低于去年同期等问题；深入开展会计管理专项治理，会同市纪委监委选取5个部门开展重点抽查；开展代理记账行业专项整治工作，对10家代理记账机构是否存在“虚假承诺”、8家代理记账机构是否存在“无照经营”进行现场核查。二是强化内控建设，严格会计管理。采取线上线下培训方式，对全市财务人员开展“一体化”平台操作、绩效管理、预决算管理等培训，提高业务素质；对我市11家代理记账机构备案情况进行行业分析，加强对代理记账行业设立情况及执业质量监管；组织全市行政事业单位编报内控制度，推进内控制度建设。三是深化预算绩效管理，提高绩效管理水平。制定完善预算绩效管理制度，印发《峨眉山市深入推进预算绩效管理的通知》，细化预算绩效管理工作措施，建立并严格执行“三项清理”及“两书一函”制度；强化绩效目标引领，严格项目入库审核，实现绩效目标与预算同步申报、审核与批复下达；强化绩效结果运用，将绩效结果作为预算安排、改进管理与目标考核挂钩。四是常态化推进政府采购监管，优化营商环境。按照财政部“6+4”专项整治行动工作方案，开展政府采购领域专项整治，通过政府采购一体化与预算一体化的有效对接和数据交互，加强对采购预算、执行、交易、支付的全流程监管；开展政府采购代理机构信用评价和监督检查；推动政府采购政策与乡村振兴政策相结合，促进财政政策落地见效。五是加强资金支付审核。对已安排预算的支出，由市财政局下属单位市会计服务中心严加审核，严控单位一般性支出，全面压减“三公”经费，确保过“紧日子”的部署落到实处。加强“一体化”预算执行动态监控和“中央直达资金和扶贫资金监管平台”动态监控，对直达资金以及各类扶贫资金的预算分配下达、资金支付、扶贫项目绩效目标执行等情况进行动态监控，发现问题、纠正偏差，完成直达资金分配进度达100%。</w:t>
      </w:r>
    </w:p>
    <w:p w14:paraId="233A27C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黑体" w:eastAsia="仿宋_GB2312" w:cs="Times New Roman"/>
          <w:b w:val="0"/>
          <w:bCs w:val="0"/>
          <w:color w:val="auto"/>
          <w:sz w:val="32"/>
          <w:szCs w:val="32"/>
          <w:lang w:val="en-US" w:eastAsia="zh-CN"/>
        </w:rPr>
      </w:pPr>
      <w:r>
        <w:rPr>
          <w:rFonts w:hint="eastAsia" w:ascii="仿宋_GB2312" w:hAnsi="黑体" w:eastAsia="仿宋_GB2312" w:cs="Times New Roman"/>
          <w:b w:val="0"/>
          <w:bCs w:val="0"/>
          <w:color w:val="auto"/>
          <w:sz w:val="32"/>
          <w:szCs w:val="32"/>
          <w:lang w:val="en-US" w:eastAsia="zh-CN"/>
        </w:rPr>
        <w:t>9.突出关键领域，推进财政改革</w:t>
      </w:r>
    </w:p>
    <w:p w14:paraId="69558C5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Calibri" w:eastAsia="仿宋_GB2312" w:cs="Times New Roman"/>
          <w:color w:val="000000"/>
          <w:kern w:val="0"/>
          <w:sz w:val="32"/>
          <w:szCs w:val="32"/>
          <w:highlight w:val="none"/>
          <w:lang w:val="en-US" w:eastAsia="zh-CN"/>
        </w:rPr>
      </w:pPr>
      <w:r>
        <w:rPr>
          <w:rFonts w:hint="eastAsia" w:ascii="仿宋_GB2312" w:hAnsi="Calibri" w:eastAsia="仿宋_GB2312" w:cs="Times New Roman"/>
          <w:b/>
          <w:bCs/>
          <w:color w:val="000000"/>
          <w:kern w:val="0"/>
          <w:sz w:val="32"/>
          <w:szCs w:val="32"/>
          <w:highlight w:val="none"/>
          <w:lang w:val="en-US" w:eastAsia="zh-CN"/>
        </w:rPr>
        <w:t>一</w:t>
      </w:r>
      <w:r>
        <w:rPr>
          <w:rFonts w:hint="eastAsia" w:ascii="仿宋_GB2312" w:hAnsi="Calibri" w:eastAsia="仿宋_GB2312" w:cs="Times New Roman"/>
          <w:color w:val="000000"/>
          <w:kern w:val="0"/>
          <w:sz w:val="32"/>
          <w:szCs w:val="32"/>
          <w:highlight w:val="none"/>
          <w:lang w:val="en-US" w:eastAsia="zh-CN"/>
        </w:rPr>
        <w:t>是推进预算管理一体化系统建设。2022年全年，政府采购、资金动态监控、单位会计核算、综合报表查询、工资管理等17个模块成功上线并稳定运行。二是深化预算管理九项改革。加快推进政府基本建设投资、编外人员经费、政府购买（补贴）保险、办公物业、信息系统运维、通讯网络租赁等9项改革，稳步开展事权和支出责任划分改革。三是助推政法体制改革。加强与市法院、检察院对接协商，完成上划基数确定，持续做好地方事项经费保障，推动法检两院财物统一管理顺利完成。</w:t>
      </w:r>
    </w:p>
    <w:p w14:paraId="7053015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黑体" w:eastAsia="仿宋_GB2312" w:cs="Times New Roman"/>
          <w:b w:val="0"/>
          <w:bCs w:val="0"/>
          <w:color w:val="auto"/>
          <w:sz w:val="32"/>
          <w:szCs w:val="32"/>
          <w:lang w:val="en-US" w:eastAsia="zh-CN"/>
        </w:rPr>
      </w:pPr>
      <w:r>
        <w:rPr>
          <w:rFonts w:hint="eastAsia" w:ascii="仿宋_GB2312" w:hAnsi="黑体" w:eastAsia="仿宋_GB2312" w:cs="Times New Roman"/>
          <w:b w:val="0"/>
          <w:bCs w:val="0"/>
          <w:color w:val="auto"/>
          <w:sz w:val="32"/>
          <w:szCs w:val="32"/>
          <w:lang w:val="en-US" w:eastAsia="zh-CN"/>
        </w:rPr>
        <w:t>10.优化营商环境，激发经济活力</w:t>
      </w:r>
    </w:p>
    <w:p w14:paraId="2DF8E647">
      <w:pPr>
        <w:pStyle w:val="9"/>
        <w:numPr>
          <w:ilvl w:val="0"/>
          <w:numId w:val="0"/>
        </w:numPr>
        <w:ind w:firstLine="640" w:firstLineChars="200"/>
        <w:rPr>
          <w:rFonts w:hint="eastAsia"/>
          <w:lang w:val="zh-CN"/>
        </w:rPr>
      </w:pPr>
      <w:r>
        <w:rPr>
          <w:rFonts w:hint="eastAsia" w:ascii="仿宋_GB2312" w:hAnsi="Calibri" w:eastAsia="仿宋_GB2312" w:cs="Times New Roman"/>
          <w:color w:val="000000"/>
          <w:kern w:val="0"/>
          <w:sz w:val="32"/>
          <w:szCs w:val="32"/>
          <w:highlight w:val="none"/>
          <w:lang w:val="en-US" w:eastAsia="zh-CN" w:bidi="ar-SA"/>
        </w:rPr>
        <w:t>一是健全完善财税联席会议制度。成立峨眉山市税费收入和非税收入共治共管领导小组，制定《峨眉山市税费收入和非税收入共治共管工作方案》，着力构建政府领导、部门协作、社会协同、公众参与的税费社会共治格局，应收尽收、应免尽免，坚决将中央减税降费的各项措施落地落实。二是落实增值税留抵退税政策。采取建立税费共治领导小组、减税退税降费联席</w:t>
      </w:r>
      <w:r>
        <w:rPr>
          <w:rFonts w:hint="eastAsia" w:ascii="仿宋_GB2312" w:hAnsi="Calibri" w:eastAsia="仿宋_GB2312" w:cs="Times New Roman"/>
          <w:color w:val="000000"/>
          <w:kern w:val="0"/>
          <w:sz w:val="32"/>
          <w:szCs w:val="32"/>
          <w:highlight w:val="none"/>
          <w:lang w:val="en-US" w:eastAsia="zh-CN"/>
        </w:rPr>
        <w:t>会议制度等措施，严格落实党中央、国务院减税退税降费政策，惠及市</w:t>
      </w:r>
      <w:r>
        <w:rPr>
          <w:rFonts w:hint="eastAsia" w:ascii="仿宋_GB2312" w:hAnsi="Calibri" w:eastAsia="仿宋_GB2312" w:cs="Times New Roman"/>
          <w:color w:val="000000"/>
          <w:kern w:val="0"/>
          <w:sz w:val="32"/>
          <w:szCs w:val="32"/>
          <w:highlight w:val="none"/>
          <w:lang w:val="en-US" w:eastAsia="zh-CN" w:bidi="ar-SA"/>
        </w:rPr>
        <w:t>场主体。三是实施创业担保贷款贴息。加大创业担保贷款贴息政策支</w:t>
      </w:r>
      <w:r>
        <w:rPr>
          <w:rFonts w:hint="eastAsia" w:ascii="仿宋_GB2312" w:hAnsi="Calibri" w:eastAsia="仿宋_GB2312" w:cs="Times New Roman"/>
          <w:color w:val="000000"/>
          <w:kern w:val="0"/>
          <w:sz w:val="32"/>
          <w:szCs w:val="32"/>
          <w:highlight w:val="none"/>
          <w:lang w:val="en-US" w:eastAsia="zh-CN"/>
        </w:rPr>
        <w:t>持力度，设立创业担保贷款担保基金，助力援企稳岗。</w:t>
      </w:r>
    </w:p>
    <w:p w14:paraId="06EEF60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Calibri" w:eastAsia="仿宋_GB2312" w:cs="Times New Roman"/>
          <w:color w:val="000000"/>
          <w:kern w:val="0"/>
          <w:sz w:val="32"/>
          <w:szCs w:val="32"/>
          <w:highlight w:val="none"/>
          <w:lang w:val="zh-CN" w:eastAsia="zh-CN"/>
        </w:rPr>
      </w:pPr>
      <w:r>
        <w:rPr>
          <w:rFonts w:hint="eastAsia" w:ascii="仿宋_GB2312" w:hAnsi="Calibri" w:eastAsia="仿宋_GB2312" w:cs="Times New Roman"/>
          <w:color w:val="000000"/>
          <w:kern w:val="0"/>
          <w:sz w:val="32"/>
          <w:szCs w:val="32"/>
          <w:highlight w:val="none"/>
          <w:lang w:val="zh-CN" w:eastAsia="zh-CN"/>
        </w:rPr>
        <w:t>（四）部门整体支出绩效目标</w:t>
      </w:r>
    </w:p>
    <w:p w14:paraId="2BD2467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Calibri" w:eastAsia="仿宋_GB2312" w:cs="Times New Roman"/>
          <w:color w:val="000000"/>
          <w:kern w:val="0"/>
          <w:sz w:val="32"/>
          <w:szCs w:val="32"/>
          <w:highlight w:val="none"/>
          <w:lang w:val="zh-CN" w:eastAsia="zh-CN"/>
        </w:rPr>
      </w:pPr>
      <w:r>
        <w:rPr>
          <w:rFonts w:hint="eastAsia" w:ascii="仿宋_GB2312" w:hAnsi="Calibri" w:eastAsia="仿宋_GB2312" w:cs="Times New Roman"/>
          <w:color w:val="000000"/>
          <w:kern w:val="0"/>
          <w:sz w:val="32"/>
          <w:szCs w:val="32"/>
          <w:highlight w:val="none"/>
          <w:lang w:val="en-US" w:eastAsia="zh-CN"/>
        </w:rPr>
        <w:t>全面</w:t>
      </w:r>
      <w:r>
        <w:rPr>
          <w:rFonts w:hint="eastAsia" w:ascii="仿宋_GB2312" w:hAnsi="Calibri" w:eastAsia="仿宋_GB2312" w:cs="Times New Roman"/>
          <w:color w:val="000000"/>
          <w:kern w:val="0"/>
          <w:sz w:val="32"/>
          <w:szCs w:val="32"/>
          <w:highlight w:val="none"/>
          <w:lang w:val="zh-CN" w:eastAsia="zh-CN"/>
        </w:rPr>
        <w:t>贯彻</w:t>
      </w:r>
      <w:r>
        <w:rPr>
          <w:rFonts w:hint="eastAsia" w:ascii="仿宋_GB2312" w:hAnsi="Calibri" w:eastAsia="仿宋_GB2312" w:cs="Times New Roman"/>
          <w:color w:val="000000"/>
          <w:kern w:val="0"/>
          <w:sz w:val="32"/>
          <w:szCs w:val="32"/>
          <w:highlight w:val="none"/>
          <w:lang w:val="en-US" w:eastAsia="zh-CN"/>
        </w:rPr>
        <w:t>落实并</w:t>
      </w:r>
      <w:r>
        <w:rPr>
          <w:rFonts w:hint="eastAsia" w:ascii="仿宋_GB2312" w:hAnsi="Calibri" w:eastAsia="仿宋_GB2312" w:cs="Times New Roman"/>
          <w:color w:val="000000"/>
          <w:kern w:val="0"/>
          <w:sz w:val="32"/>
          <w:szCs w:val="32"/>
          <w:highlight w:val="none"/>
          <w:lang w:val="zh-CN" w:eastAsia="zh-CN"/>
        </w:rPr>
        <w:t>执行国家、省财税方面的方针、政策和法律、法规，按照管理权限管理全市税政事项，拟订全市财税（含财政、预算、税收、非税收入、财务、会计、国有资产等）发展战略、规划、政策和改革方案并组织实施，分析预测宏观经济形势，参与制定各项宏观经济政策。承担各项财政收支管理的责任，按规定开展国库现金管理工作。负责制定政府采购制度，监督管理全市政府采购工作。负责管理政府债务，防范财政风险。负责管理全市的会计工作，组织和管理全市财政业务培训，监督和规范会计行为，协助指导和管理社会审计。依法查处违反财经法纪的行为。</w:t>
      </w:r>
    </w:p>
    <w:p w14:paraId="7DEEAD3C">
      <w:pPr>
        <w:keepNext w:val="0"/>
        <w:keepLines w:val="0"/>
        <w:pageBreakBefore w:val="0"/>
        <w:widowControl/>
        <w:kinsoku/>
        <w:wordWrap/>
        <w:overflowPunct/>
        <w:topLinePunct w:val="0"/>
        <w:autoSpaceDE/>
        <w:autoSpaceDN/>
        <w:bidi w:val="0"/>
        <w:adjustRightInd w:val="0"/>
        <w:snapToGrid w:val="0"/>
        <w:spacing w:line="600" w:lineRule="exact"/>
        <w:ind w:firstLine="320" w:firstLineChars="100"/>
        <w:contextualSpacing/>
        <w:jc w:val="left"/>
        <w:textAlignment w:val="auto"/>
        <w:rPr>
          <w:rFonts w:ascii="黑体" w:hAnsi="宋体" w:eastAsia="黑体" w:cs="宋体"/>
          <w:kern w:val="0"/>
          <w:sz w:val="32"/>
          <w:szCs w:val="32"/>
          <w:shd w:val="clear" w:color="auto" w:fill="FFFFFF"/>
        </w:rPr>
      </w:pPr>
      <w:r>
        <w:rPr>
          <w:rFonts w:hint="eastAsia" w:ascii="黑体" w:hAnsi="宋体" w:eastAsia="黑体" w:cs="宋体"/>
          <w:kern w:val="0"/>
          <w:sz w:val="32"/>
          <w:szCs w:val="32"/>
          <w:shd w:val="clear" w:color="auto" w:fill="FFFFFF"/>
        </w:rPr>
        <w:t>二、部门资金收支情况</w:t>
      </w:r>
    </w:p>
    <w:p w14:paraId="771F2E6F">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（一）部门总体收支情况</w:t>
      </w:r>
    </w:p>
    <w:p w14:paraId="74F07B72">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1.部门总体收入情况</w:t>
      </w:r>
    </w:p>
    <w:p w14:paraId="37C7DAB1">
      <w:pPr>
        <w:keepNext w:val="0"/>
        <w:keepLines w:val="0"/>
        <w:pageBreakBefore w:val="0"/>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2022年度收</w:t>
      </w:r>
      <w:r>
        <w:rPr>
          <w:rFonts w:hint="eastAsia" w:ascii="仿宋_GB2312" w:hAnsi="仿宋_GB2312" w:eastAsia="仿宋_GB2312" w:cs="仿宋_GB2312"/>
          <w:sz w:val="32"/>
          <w:szCs w:val="32"/>
          <w:lang w:val="en-US" w:eastAsia="zh-CN"/>
        </w:rPr>
        <w:t>入</w:t>
      </w:r>
      <w:r>
        <w:rPr>
          <w:rFonts w:hint="eastAsia" w:ascii="仿宋_GB2312" w:hAnsi="仿宋_GB2312" w:eastAsia="仿宋_GB2312" w:cs="仿宋_GB2312"/>
          <w:sz w:val="32"/>
          <w:szCs w:val="32"/>
        </w:rPr>
        <w:t>总计</w:t>
      </w:r>
      <w:r>
        <w:rPr>
          <w:rFonts w:hint="eastAsia" w:ascii="仿宋_GB2312" w:hAnsi="仿宋_GB2312" w:eastAsia="仿宋_GB2312" w:cs="仿宋_GB2312"/>
          <w:sz w:val="32"/>
          <w:szCs w:val="32"/>
          <w:lang w:val="en-US" w:eastAsia="zh-CN"/>
        </w:rPr>
        <w:t>2025.91</w:t>
      </w:r>
      <w:r>
        <w:rPr>
          <w:rFonts w:hint="eastAsia" w:ascii="仿宋_GB2312" w:hAnsi="仿宋_GB2312" w:eastAsia="仿宋_GB2312" w:cs="仿宋_GB2312"/>
          <w:sz w:val="32"/>
          <w:szCs w:val="32"/>
        </w:rPr>
        <w:t>万元。与2021年相比，收</w:t>
      </w:r>
      <w:r>
        <w:rPr>
          <w:rFonts w:hint="eastAsia" w:ascii="仿宋_GB2312" w:hAnsi="仿宋_GB2312" w:eastAsia="仿宋_GB2312" w:cs="仿宋_GB2312"/>
          <w:sz w:val="32"/>
          <w:szCs w:val="32"/>
          <w:lang w:val="en-US" w:eastAsia="zh-CN"/>
        </w:rPr>
        <w:t>入</w:t>
      </w:r>
      <w:r>
        <w:rPr>
          <w:rFonts w:hint="eastAsia" w:ascii="仿宋_GB2312" w:hAnsi="仿宋_GB2312" w:eastAsia="仿宋_GB2312" w:cs="仿宋_GB2312"/>
          <w:sz w:val="32"/>
          <w:szCs w:val="32"/>
        </w:rPr>
        <w:t>总计增加</w:t>
      </w:r>
      <w:r>
        <w:rPr>
          <w:rFonts w:hint="eastAsia" w:ascii="仿宋_GB2312" w:hAnsi="仿宋_GB2312" w:eastAsia="仿宋_GB2312" w:cs="仿宋_GB2312"/>
          <w:sz w:val="32"/>
          <w:szCs w:val="32"/>
          <w:lang w:val="en-US" w:eastAsia="zh-CN"/>
        </w:rPr>
        <w:t>67.</w:t>
      </w:r>
      <w:r>
        <w:rPr>
          <w:rFonts w:hint="eastAsia" w:ascii="仿宋_GB2312" w:hAnsi="Calibri" w:eastAsia="仿宋_GB2312" w:cs="Times New Roman"/>
          <w:color w:val="000000"/>
          <w:kern w:val="0"/>
          <w:sz w:val="32"/>
          <w:szCs w:val="32"/>
          <w:highlight w:val="none"/>
          <w:lang w:val="en-US" w:eastAsia="zh-CN"/>
        </w:rPr>
        <w:t>54</w:t>
      </w:r>
      <w:r>
        <w:rPr>
          <w:rFonts w:hint="eastAsia" w:ascii="仿宋_GB2312" w:hAnsi="仿宋_GB2312" w:eastAsia="仿宋_GB2312" w:cs="仿宋_GB2312"/>
          <w:sz w:val="32"/>
          <w:szCs w:val="32"/>
        </w:rPr>
        <w:t>万元，增长</w:t>
      </w:r>
      <w:r>
        <w:rPr>
          <w:rFonts w:hint="eastAsia" w:ascii="仿宋_GB2312" w:hAnsi="仿宋_GB2312" w:eastAsia="仿宋_GB2312" w:cs="仿宋_GB2312"/>
          <w:sz w:val="32"/>
          <w:szCs w:val="32"/>
          <w:lang w:val="en-US" w:eastAsia="zh-CN"/>
        </w:rPr>
        <w:t>3.45</w:t>
      </w:r>
      <w:r>
        <w:rPr>
          <w:rFonts w:hint="eastAsia" w:ascii="仿宋_GB2312" w:hAnsi="仿宋_GB2312" w:eastAsia="仿宋_GB2312" w:cs="仿宋_GB2312"/>
          <w:sz w:val="32"/>
          <w:szCs w:val="32"/>
        </w:rPr>
        <w:t>%。</w:t>
      </w:r>
    </w:p>
    <w:p w14:paraId="40E707AB">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val="en-US" w:eastAsia="zh-CN"/>
        </w:rPr>
        <w:t>2.</w:t>
      </w:r>
      <w:r>
        <w:rPr>
          <w:rFonts w:hint="eastAsia" w:ascii="仿宋_GB2312" w:hAnsi="仿宋_GB2312" w:eastAsia="仿宋_GB2312" w:cs="仿宋_GB2312"/>
          <w:kern w:val="0"/>
          <w:sz w:val="32"/>
          <w:szCs w:val="32"/>
          <w:shd w:val="clear" w:color="auto" w:fill="FFFFFF"/>
        </w:rPr>
        <w:t>部门总体支出情况</w:t>
      </w:r>
    </w:p>
    <w:p w14:paraId="5270A4AA">
      <w:pPr>
        <w:keepNext w:val="0"/>
        <w:keepLines w:val="0"/>
        <w:pageBreakBefore w:val="0"/>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2022年度</w:t>
      </w:r>
      <w:r>
        <w:rPr>
          <w:rFonts w:hint="eastAsia" w:ascii="仿宋_GB2312" w:hAnsi="仿宋_GB2312" w:eastAsia="仿宋_GB2312" w:cs="仿宋_GB2312"/>
          <w:sz w:val="32"/>
          <w:szCs w:val="32"/>
          <w:lang w:val="en-US" w:eastAsia="zh-CN"/>
        </w:rPr>
        <w:t>支出</w:t>
      </w:r>
      <w:r>
        <w:rPr>
          <w:rFonts w:hint="eastAsia" w:ascii="仿宋_GB2312" w:hAnsi="仿宋_GB2312" w:eastAsia="仿宋_GB2312" w:cs="仿宋_GB2312"/>
          <w:sz w:val="32"/>
          <w:szCs w:val="32"/>
        </w:rPr>
        <w:t>总计</w:t>
      </w:r>
      <w:r>
        <w:rPr>
          <w:rFonts w:hint="eastAsia" w:ascii="仿宋_GB2312" w:hAnsi="仿宋_GB2312" w:eastAsia="仿宋_GB2312" w:cs="仿宋_GB2312"/>
          <w:sz w:val="32"/>
          <w:szCs w:val="32"/>
          <w:lang w:val="en-US" w:eastAsia="zh-CN"/>
        </w:rPr>
        <w:t>2025.91</w:t>
      </w:r>
      <w:r>
        <w:rPr>
          <w:rFonts w:hint="eastAsia" w:ascii="仿宋_GB2312" w:hAnsi="仿宋_GB2312" w:eastAsia="仿宋_GB2312" w:cs="仿宋_GB2312"/>
          <w:sz w:val="32"/>
          <w:szCs w:val="32"/>
        </w:rPr>
        <w:t>万元。与2021年相比，支</w:t>
      </w:r>
      <w:r>
        <w:rPr>
          <w:rFonts w:hint="eastAsia" w:ascii="仿宋_GB2312" w:hAnsi="仿宋_GB2312" w:eastAsia="仿宋_GB2312" w:cs="仿宋_GB2312"/>
          <w:sz w:val="32"/>
          <w:szCs w:val="32"/>
          <w:lang w:val="en-US" w:eastAsia="zh-CN"/>
        </w:rPr>
        <w:t>出</w:t>
      </w:r>
      <w:r>
        <w:rPr>
          <w:rFonts w:hint="eastAsia" w:ascii="仿宋_GB2312" w:hAnsi="仿宋_GB2312" w:eastAsia="仿宋_GB2312" w:cs="仿宋_GB2312"/>
          <w:sz w:val="32"/>
          <w:szCs w:val="32"/>
        </w:rPr>
        <w:t>总计增加</w:t>
      </w:r>
      <w:r>
        <w:rPr>
          <w:rFonts w:hint="eastAsia" w:ascii="仿宋_GB2312" w:hAnsi="仿宋_GB2312" w:eastAsia="仿宋_GB2312" w:cs="仿宋_GB2312"/>
          <w:sz w:val="32"/>
          <w:szCs w:val="32"/>
          <w:lang w:val="en-US" w:eastAsia="zh-CN"/>
        </w:rPr>
        <w:t>67</w:t>
      </w:r>
      <w:r>
        <w:rPr>
          <w:rFonts w:hint="eastAsia" w:ascii="仿宋_GB2312" w:hAnsi="Calibri" w:eastAsia="仿宋_GB2312" w:cs="Times New Roman"/>
          <w:color w:val="000000"/>
          <w:kern w:val="0"/>
          <w:sz w:val="32"/>
          <w:szCs w:val="32"/>
          <w:highlight w:val="none"/>
          <w:lang w:val="en-US" w:eastAsia="zh-CN"/>
        </w:rPr>
        <w:t>.54</w:t>
      </w:r>
      <w:r>
        <w:rPr>
          <w:rFonts w:hint="eastAsia" w:ascii="仿宋_GB2312" w:hAnsi="仿宋_GB2312" w:eastAsia="仿宋_GB2312" w:cs="仿宋_GB2312"/>
          <w:sz w:val="32"/>
          <w:szCs w:val="32"/>
        </w:rPr>
        <w:t>万元，增长</w:t>
      </w:r>
      <w:r>
        <w:rPr>
          <w:rFonts w:hint="eastAsia" w:ascii="仿宋_GB2312" w:hAnsi="仿宋_GB2312" w:eastAsia="仿宋_GB2312" w:cs="仿宋_GB2312"/>
          <w:sz w:val="32"/>
          <w:szCs w:val="32"/>
          <w:lang w:val="en-US" w:eastAsia="zh-CN"/>
        </w:rPr>
        <w:t>3.45</w:t>
      </w:r>
      <w:r>
        <w:rPr>
          <w:rFonts w:hint="eastAsia" w:ascii="仿宋_GB2312" w:hAnsi="仿宋_GB2312" w:eastAsia="仿宋_GB2312" w:cs="仿宋_GB2312"/>
          <w:sz w:val="32"/>
          <w:szCs w:val="32"/>
        </w:rPr>
        <w:t>%。</w:t>
      </w:r>
    </w:p>
    <w:p w14:paraId="1030226C">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kern w:val="0"/>
          <w:sz w:val="32"/>
          <w:szCs w:val="32"/>
          <w:shd w:val="clear" w:color="auto" w:fill="FFFFFF"/>
          <w:lang w:val="en-US" w:eastAsia="zh-CN"/>
        </w:rPr>
      </w:pPr>
      <w:r>
        <w:rPr>
          <w:rFonts w:hint="eastAsia" w:ascii="仿宋_GB2312" w:hAnsi="仿宋_GB2312" w:eastAsia="仿宋_GB2312" w:cs="仿宋_GB2312"/>
          <w:kern w:val="0"/>
          <w:sz w:val="32"/>
          <w:szCs w:val="32"/>
          <w:shd w:val="clear" w:color="auto" w:fill="FFFFFF"/>
          <w:lang w:val="en-US" w:eastAsia="zh-CN"/>
        </w:rPr>
        <w:t>3.部门总体结转结余情况</w:t>
      </w:r>
    </w:p>
    <w:p w14:paraId="434B7D37">
      <w:pPr>
        <w:keepNext w:val="0"/>
        <w:keepLines w:val="0"/>
        <w:pageBreakBefore w:val="0"/>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2022年峨眉山市财政局年末结转和结余7.37万元。</w:t>
      </w:r>
    </w:p>
    <w:p w14:paraId="6751D4B4">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（二）部门财政拨款收支情况</w:t>
      </w:r>
    </w:p>
    <w:p w14:paraId="5A36BDCD">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1.部门财政拨款收入情况</w:t>
      </w:r>
    </w:p>
    <w:p w14:paraId="3B027137">
      <w:pPr>
        <w:keepNext w:val="0"/>
        <w:keepLines w:val="0"/>
        <w:pageBreakBefore w:val="0"/>
        <w:kinsoku/>
        <w:wordWrap/>
        <w:overflowPunct/>
        <w:topLinePunct w:val="0"/>
        <w:autoSpaceDE/>
        <w:autoSpaceDN/>
        <w:bidi w:val="0"/>
        <w:spacing w:line="600" w:lineRule="exact"/>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2022年财政拨款收</w:t>
      </w:r>
      <w:r>
        <w:rPr>
          <w:rFonts w:hint="eastAsia" w:ascii="仿宋_GB2312" w:hAnsi="仿宋_GB2312" w:eastAsia="仿宋_GB2312" w:cs="仿宋_GB2312"/>
          <w:sz w:val="32"/>
          <w:szCs w:val="32"/>
          <w:lang w:val="en-US" w:eastAsia="zh-CN"/>
        </w:rPr>
        <w:t>入</w:t>
      </w:r>
      <w:r>
        <w:rPr>
          <w:rFonts w:hint="eastAsia" w:ascii="仿宋_GB2312" w:hAnsi="仿宋_GB2312" w:eastAsia="仿宋_GB2312" w:cs="仿宋_GB2312"/>
          <w:sz w:val="32"/>
          <w:szCs w:val="32"/>
        </w:rPr>
        <w:t>总计</w:t>
      </w:r>
      <w:r>
        <w:rPr>
          <w:rFonts w:hint="eastAsia" w:ascii="仿宋_GB2312" w:hAnsi="仿宋_GB2312" w:eastAsia="仿宋_GB2312" w:cs="仿宋_GB2312"/>
          <w:sz w:val="32"/>
          <w:szCs w:val="32"/>
          <w:lang w:val="en-US" w:eastAsia="zh-CN"/>
        </w:rPr>
        <w:t>2017.70</w:t>
      </w:r>
      <w:r>
        <w:rPr>
          <w:rFonts w:hint="eastAsia" w:ascii="仿宋_GB2312" w:hAnsi="仿宋_GB2312" w:eastAsia="仿宋_GB2312" w:cs="仿宋_GB2312"/>
          <w:sz w:val="32"/>
          <w:szCs w:val="32"/>
        </w:rPr>
        <w:t>万元。与2021年相比，财政拨款收、支总计增加</w:t>
      </w:r>
      <w:r>
        <w:rPr>
          <w:rFonts w:hint="eastAsia" w:ascii="仿宋_GB2312" w:hAnsi="仿宋_GB2312" w:eastAsia="仿宋_GB2312" w:cs="仿宋_GB2312"/>
          <w:sz w:val="32"/>
          <w:szCs w:val="32"/>
          <w:lang w:val="en-US" w:eastAsia="zh-CN"/>
        </w:rPr>
        <w:t>69.44</w:t>
      </w:r>
      <w:r>
        <w:rPr>
          <w:rFonts w:hint="eastAsia" w:ascii="仿宋_GB2312" w:hAnsi="仿宋_GB2312" w:eastAsia="仿宋_GB2312" w:cs="仿宋_GB2312"/>
          <w:sz w:val="32"/>
          <w:szCs w:val="32"/>
        </w:rPr>
        <w:t>万元，增长</w:t>
      </w:r>
      <w:r>
        <w:rPr>
          <w:rFonts w:hint="eastAsia" w:ascii="仿宋_GB2312" w:hAnsi="仿宋_GB2312" w:eastAsia="仿宋_GB2312" w:cs="仿宋_GB2312"/>
          <w:sz w:val="32"/>
          <w:szCs w:val="32"/>
          <w:lang w:val="en-US" w:eastAsia="zh-CN"/>
        </w:rPr>
        <w:t>3.56</w:t>
      </w:r>
      <w:r>
        <w:rPr>
          <w:rFonts w:hint="eastAsia" w:ascii="仿宋_GB2312" w:hAnsi="仿宋_GB2312" w:eastAsia="仿宋_GB2312" w:cs="仿宋_GB2312"/>
          <w:sz w:val="32"/>
          <w:szCs w:val="32"/>
        </w:rPr>
        <w:t>%。</w:t>
      </w:r>
    </w:p>
    <w:p w14:paraId="43B13C42">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val="en-US" w:eastAsia="zh-CN"/>
        </w:rPr>
        <w:t>2.</w:t>
      </w:r>
      <w:r>
        <w:rPr>
          <w:rFonts w:hint="eastAsia" w:ascii="仿宋_GB2312" w:hAnsi="仿宋_GB2312" w:eastAsia="仿宋_GB2312" w:cs="仿宋_GB2312"/>
          <w:kern w:val="0"/>
          <w:sz w:val="32"/>
          <w:szCs w:val="32"/>
          <w:shd w:val="clear" w:color="auto" w:fill="FFFFFF"/>
        </w:rPr>
        <w:t>部门财政拨款支出情况</w:t>
      </w:r>
    </w:p>
    <w:p w14:paraId="48B06E7C">
      <w:pPr>
        <w:keepNext w:val="0"/>
        <w:keepLines w:val="0"/>
        <w:pageBreakBefore w:val="0"/>
        <w:kinsoku/>
        <w:wordWrap/>
        <w:overflowPunct/>
        <w:topLinePunct w:val="0"/>
        <w:autoSpaceDE/>
        <w:autoSpaceDN/>
        <w:bidi w:val="0"/>
        <w:spacing w:line="600" w:lineRule="exact"/>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2022年财政拨款支</w:t>
      </w:r>
      <w:r>
        <w:rPr>
          <w:rFonts w:hint="eastAsia" w:ascii="仿宋_GB2312" w:hAnsi="仿宋_GB2312" w:eastAsia="仿宋_GB2312" w:cs="仿宋_GB2312"/>
          <w:sz w:val="32"/>
          <w:szCs w:val="32"/>
          <w:lang w:val="en-US" w:eastAsia="zh-CN"/>
        </w:rPr>
        <w:t>出</w:t>
      </w:r>
      <w:r>
        <w:rPr>
          <w:rFonts w:hint="eastAsia" w:ascii="仿宋_GB2312" w:hAnsi="仿宋_GB2312" w:eastAsia="仿宋_GB2312" w:cs="仿宋_GB2312"/>
          <w:sz w:val="32"/>
          <w:szCs w:val="32"/>
        </w:rPr>
        <w:t>总计</w:t>
      </w:r>
      <w:r>
        <w:rPr>
          <w:rFonts w:hint="eastAsia" w:ascii="仿宋_GB2312" w:hAnsi="仿宋_GB2312" w:eastAsia="仿宋_GB2312" w:cs="仿宋_GB2312"/>
          <w:sz w:val="32"/>
          <w:szCs w:val="32"/>
          <w:lang w:val="en-US" w:eastAsia="zh-CN"/>
        </w:rPr>
        <w:t>2017.70</w:t>
      </w:r>
      <w:r>
        <w:rPr>
          <w:rFonts w:hint="eastAsia" w:ascii="仿宋_GB2312" w:hAnsi="仿宋_GB2312" w:eastAsia="仿宋_GB2312" w:cs="仿宋_GB2312"/>
          <w:sz w:val="32"/>
          <w:szCs w:val="32"/>
        </w:rPr>
        <w:t>万元。与2021年相比，财政拨款收、支总计增加</w:t>
      </w:r>
      <w:r>
        <w:rPr>
          <w:rFonts w:hint="eastAsia" w:ascii="仿宋_GB2312" w:hAnsi="仿宋_GB2312" w:eastAsia="仿宋_GB2312" w:cs="仿宋_GB2312"/>
          <w:sz w:val="32"/>
          <w:szCs w:val="32"/>
          <w:lang w:val="en-US" w:eastAsia="zh-CN"/>
        </w:rPr>
        <w:t>69.44</w:t>
      </w:r>
      <w:r>
        <w:rPr>
          <w:rFonts w:hint="eastAsia" w:ascii="仿宋_GB2312" w:hAnsi="仿宋_GB2312" w:eastAsia="仿宋_GB2312" w:cs="仿宋_GB2312"/>
          <w:sz w:val="32"/>
          <w:szCs w:val="32"/>
        </w:rPr>
        <w:t>万元，增长</w:t>
      </w:r>
      <w:r>
        <w:rPr>
          <w:rFonts w:hint="eastAsia" w:ascii="仿宋_GB2312" w:hAnsi="仿宋_GB2312" w:eastAsia="仿宋_GB2312" w:cs="仿宋_GB2312"/>
          <w:sz w:val="32"/>
          <w:szCs w:val="32"/>
          <w:lang w:val="en-US" w:eastAsia="zh-CN"/>
        </w:rPr>
        <w:t>3.56</w:t>
      </w:r>
      <w:r>
        <w:rPr>
          <w:rFonts w:hint="eastAsia" w:ascii="仿宋_GB2312" w:hAnsi="仿宋_GB2312" w:eastAsia="仿宋_GB2312" w:cs="仿宋_GB2312"/>
          <w:sz w:val="32"/>
          <w:szCs w:val="32"/>
        </w:rPr>
        <w:t>%。</w:t>
      </w:r>
    </w:p>
    <w:p w14:paraId="2BFFDA35">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kern w:val="0"/>
          <w:sz w:val="32"/>
          <w:szCs w:val="32"/>
          <w:shd w:val="clear" w:color="auto" w:fill="FFFFFF"/>
          <w:lang w:val="en-US" w:eastAsia="zh-CN"/>
        </w:rPr>
      </w:pPr>
      <w:r>
        <w:rPr>
          <w:rFonts w:hint="eastAsia" w:ascii="仿宋_GB2312" w:hAnsi="仿宋_GB2312" w:eastAsia="仿宋_GB2312" w:cs="仿宋_GB2312"/>
          <w:kern w:val="0"/>
          <w:sz w:val="32"/>
          <w:szCs w:val="32"/>
          <w:shd w:val="clear" w:color="auto" w:fill="FFFFFF"/>
          <w:lang w:val="en-US" w:eastAsia="zh-CN"/>
        </w:rPr>
        <w:t>3.部门财政拨款结转结余情况</w:t>
      </w:r>
    </w:p>
    <w:p w14:paraId="36E502CE">
      <w:pPr>
        <w:keepNext w:val="0"/>
        <w:keepLines w:val="0"/>
        <w:pageBreakBefore w:val="0"/>
        <w:kinsoku/>
        <w:wordWrap/>
        <w:overflowPunct/>
        <w:topLinePunct w:val="0"/>
        <w:autoSpaceDE/>
        <w:autoSpaceDN/>
        <w:bidi w:val="0"/>
        <w:spacing w:line="600" w:lineRule="exact"/>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2022年年末财政拨款结转和结余1.94万元。</w:t>
      </w:r>
    </w:p>
    <w:p w14:paraId="0B1460A0">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ascii="黑体" w:hAnsi="宋体" w:eastAsia="黑体" w:cs="宋体"/>
          <w:kern w:val="0"/>
          <w:sz w:val="32"/>
          <w:szCs w:val="32"/>
          <w:shd w:val="clear" w:color="auto" w:fill="FFFFFF"/>
        </w:rPr>
      </w:pPr>
      <w:r>
        <w:rPr>
          <w:rFonts w:hint="eastAsia" w:ascii="黑体" w:hAnsi="宋体" w:eastAsia="黑体" w:cs="宋体"/>
          <w:kern w:val="0"/>
          <w:sz w:val="32"/>
          <w:szCs w:val="32"/>
          <w:shd w:val="clear" w:color="auto" w:fill="FFFFFF"/>
        </w:rPr>
        <w:t>三、部门整体绩效分析</w:t>
      </w:r>
    </w:p>
    <w:p w14:paraId="45A3737C">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（一）部门预算项目绩效分析</w:t>
      </w:r>
    </w:p>
    <w:p w14:paraId="523B1128">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1.人员类项目绩效分析</w:t>
      </w:r>
    </w:p>
    <w:p w14:paraId="41960EB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0"/>
          <w:sz w:val="32"/>
          <w:szCs w:val="32"/>
          <w:shd w:val="clear" w:color="auto" w:fill="FFFFFF"/>
          <w:lang w:val="zh-CN"/>
        </w:rPr>
      </w:pPr>
      <w:r>
        <w:rPr>
          <w:rFonts w:hint="eastAsia" w:ascii="仿宋_GB2312" w:hAnsi="Calibri" w:eastAsia="仿宋_GB2312" w:cs="Times New Roman"/>
          <w:color w:val="000000"/>
          <w:kern w:val="0"/>
          <w:sz w:val="32"/>
          <w:szCs w:val="32"/>
          <w:highlight w:val="none"/>
          <w:lang w:val="zh-CN" w:eastAsia="zh-CN"/>
        </w:rPr>
        <w:t>市财政局基本职能为贯彻执行国家、省财税方面的方针、政策和法律、法规，按照管理权限管理全市税政事项，拟订全市财税（含财政、预算、税收、非税收入、财务、会计、国有资产等）发展战略、规划、政策和改革方案并组织实施，分析预测宏观经济形势，参与制定各项宏观经济政策。承担各项财政收支管理的责任，按规定开展国库现金管理工作。负责制定政府采购制度，监督管理全市政府采购工作。负责管理政府债务，防范财政风险。负责管理全市的会计工作，组织和管理全市财政业务培训，监督和规范会计行为，协助指导和管理社会审计。依法查处违反财经法纪的行为。</w:t>
      </w:r>
      <w:r>
        <w:rPr>
          <w:rFonts w:hint="eastAsia" w:ascii="仿宋_GB2312" w:hAnsi="Calibri" w:eastAsia="仿宋_GB2312" w:cs="Times New Roman"/>
          <w:color w:val="000000"/>
          <w:kern w:val="0"/>
          <w:sz w:val="32"/>
          <w:szCs w:val="32"/>
          <w:highlight w:val="none"/>
          <w:lang w:val="en-US" w:eastAsia="zh-CN"/>
        </w:rPr>
        <w:t>2022年峨眉山市财政局一般公共预算财政拨款支出中人员经费支出1400.33万元，预算执行进度100%，无资金结余，做到高效利用资金，</w:t>
      </w:r>
      <w:r>
        <w:rPr>
          <w:rFonts w:hint="eastAsia" w:ascii="仿宋_GB2312" w:hAnsi="Calibri" w:eastAsia="仿宋_GB2312" w:cs="Times New Roman"/>
          <w:color w:val="000000"/>
          <w:kern w:val="0"/>
          <w:sz w:val="32"/>
          <w:szCs w:val="32"/>
          <w:highlight w:val="none"/>
          <w:lang w:val="zh-CN" w:eastAsia="zh-CN"/>
        </w:rPr>
        <w:t>重点保障刚性支出、急需支出，从严控制一般性支出，强化“三公”经费预算管理，努力降低行政运行成本。</w:t>
      </w:r>
    </w:p>
    <w:p w14:paraId="3B0979D4">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val="en-US" w:eastAsia="zh-CN"/>
        </w:rPr>
        <w:t>2.</w:t>
      </w:r>
      <w:r>
        <w:rPr>
          <w:rFonts w:hint="eastAsia" w:ascii="仿宋_GB2312" w:hAnsi="仿宋_GB2312" w:eastAsia="仿宋_GB2312" w:cs="仿宋_GB2312"/>
          <w:kern w:val="0"/>
          <w:sz w:val="32"/>
          <w:szCs w:val="32"/>
          <w:shd w:val="clear" w:color="auto" w:fill="FFFFFF"/>
        </w:rPr>
        <w:t>运转类项目绩效分析</w:t>
      </w:r>
    </w:p>
    <w:p w14:paraId="04A646E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pPr>
      <w:r>
        <w:rPr>
          <w:rFonts w:hint="eastAsia" w:ascii="仿宋_GB2312" w:hAnsi="Calibri" w:eastAsia="仿宋_GB2312" w:cs="Times New Roman"/>
          <w:color w:val="000000"/>
          <w:kern w:val="0"/>
          <w:sz w:val="32"/>
          <w:szCs w:val="32"/>
          <w:highlight w:val="none"/>
          <w:lang w:val="zh-CN" w:eastAsia="zh-CN"/>
        </w:rPr>
        <w:t>市财政局基本职能为贯彻执行国家、省财税方面的方针、政策和法律、法规，按照管理权限管理全市税政事项，拟订全市财税（含财政、预算、税收、非税收入、财务、会计、国有资产等）发展战略、规划、政策和改革方案并组织实施，分析预测宏观经济形势，参与制定各项宏观经济政策。承担各项财政收支管理的责任，按规定开展国库现金管理工作。负责制定政府采购制度，监督管理全市政府采购工作。负责管理政府债务，防范财政风险。负责管理全市的会计工作，组织和管理全市财政业务培训，监督和规范会计行为，协助指导和管理社会审计。依法查处违反财经法纪的行为。</w:t>
      </w:r>
      <w:r>
        <w:rPr>
          <w:rFonts w:hint="eastAsia" w:ascii="仿宋_GB2312" w:hAnsi="Calibri" w:eastAsia="仿宋_GB2312" w:cs="Times New Roman"/>
          <w:color w:val="000000"/>
          <w:kern w:val="0"/>
          <w:sz w:val="32"/>
          <w:szCs w:val="32"/>
          <w:highlight w:val="none"/>
          <w:lang w:val="en-US" w:eastAsia="zh-CN"/>
        </w:rPr>
        <w:t>2022年峨眉山市财政局一般公共预算财政拨款支出中公用经费支出211.15万元，预算执行进度100%，全年执行进度合理，做到高效利用资金，</w:t>
      </w:r>
      <w:r>
        <w:rPr>
          <w:rFonts w:hint="eastAsia" w:ascii="仿宋_GB2312" w:hAnsi="Calibri" w:eastAsia="仿宋_GB2312" w:cs="Times New Roman"/>
          <w:color w:val="000000"/>
          <w:kern w:val="0"/>
          <w:sz w:val="32"/>
          <w:szCs w:val="32"/>
          <w:highlight w:val="none"/>
          <w:lang w:val="zh-CN" w:eastAsia="zh-CN"/>
        </w:rPr>
        <w:t>重点保障刚性支出、急需支出，从严控制一般性支出，强化“三公”经费预算管理，努力降低行政运行成本。</w:t>
      </w:r>
    </w:p>
    <w:p w14:paraId="60931EDA">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3.特定目标类项目绩效分析</w:t>
      </w:r>
    </w:p>
    <w:p w14:paraId="2B07287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ascii="仿宋_GB2312" w:hAnsi="仿宋_GB2312" w:eastAsia="仿宋_GB2312" w:cs="仿宋_GB2312"/>
          <w:kern w:val="0"/>
          <w:sz w:val="32"/>
          <w:szCs w:val="32"/>
          <w:shd w:val="clear" w:color="auto" w:fill="FFFFFF"/>
        </w:rPr>
      </w:pPr>
      <w:r>
        <w:rPr>
          <w:rFonts w:hint="eastAsia" w:ascii="仿宋_GB2312" w:hAnsi="Calibri" w:eastAsia="仿宋_GB2312" w:cs="Times New Roman"/>
          <w:color w:val="000000"/>
          <w:kern w:val="0"/>
          <w:sz w:val="32"/>
          <w:szCs w:val="32"/>
          <w:highlight w:val="none"/>
          <w:lang w:val="zh-CN" w:eastAsia="zh-CN"/>
        </w:rPr>
        <w:t>市财政局基本职能为贯彻执行国家、省财税方面的方针、政策和法律、法规，按照管理权限管理全市税政事项，拟订全市财税（含财政、预算、税收、非税收入、财务、会计、国有资产等）发展战略、规划、政策和改革方案并组织实施，分析预测宏观经济形势，参与制定各项宏观经济政策。承担各项财政收支管理的责任，按规定开展国库现金管理工作。负责制定政府采购制度，监督管理全市政府采购工作。负责管理政府债务，防范财政风险。负责管理全市的会计工作，组织和管理全市财政业务培训，监督和规范会计行为，协助指导和管理社会审计。依法查处违反财经法纪的行为。</w:t>
      </w:r>
      <w:r>
        <w:rPr>
          <w:rFonts w:hint="eastAsia" w:ascii="仿宋_GB2312" w:hAnsi="Calibri" w:eastAsia="仿宋_GB2312" w:cs="Times New Roman"/>
          <w:color w:val="000000"/>
          <w:kern w:val="0"/>
          <w:sz w:val="32"/>
          <w:szCs w:val="32"/>
          <w:highlight w:val="none"/>
          <w:lang w:val="en-US" w:eastAsia="zh-CN"/>
        </w:rPr>
        <w:t>2022年峨眉山市财政局一般公共预算财政拨款支出中项目支出371.7万元，预算执行进度100%，全年执行进度合理，做到高效利用资金，</w:t>
      </w:r>
      <w:r>
        <w:rPr>
          <w:rFonts w:hint="eastAsia" w:ascii="仿宋_GB2312" w:hAnsi="Calibri" w:eastAsia="仿宋_GB2312" w:cs="Times New Roman"/>
          <w:color w:val="000000"/>
          <w:kern w:val="0"/>
          <w:sz w:val="32"/>
          <w:szCs w:val="32"/>
          <w:highlight w:val="none"/>
          <w:lang w:val="zh-CN" w:eastAsia="zh-CN"/>
        </w:rPr>
        <w:t>重点保障刚性支出、急需支出，从严控制一般性支出，强化“三公”经费预算管理，努力降低行政运行成本。</w:t>
      </w:r>
    </w:p>
    <w:p w14:paraId="26192BD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Calibri" w:eastAsia="仿宋_GB2312" w:cs="Times New Roman"/>
          <w:color w:val="000000"/>
          <w:kern w:val="0"/>
          <w:sz w:val="32"/>
          <w:szCs w:val="32"/>
          <w:highlight w:val="none"/>
          <w:lang w:val="zh-CN" w:eastAsia="zh-CN"/>
        </w:rPr>
      </w:pPr>
      <w:r>
        <w:rPr>
          <w:rFonts w:hint="eastAsia" w:ascii="仿宋_GB2312" w:hAnsi="Calibri" w:eastAsia="仿宋_GB2312" w:cs="Times New Roman"/>
          <w:color w:val="000000"/>
          <w:kern w:val="0"/>
          <w:sz w:val="32"/>
          <w:szCs w:val="32"/>
          <w:highlight w:val="none"/>
          <w:lang w:val="zh-CN" w:eastAsia="zh-CN"/>
        </w:rPr>
        <w:t>（二）部门整体履职绩效分析</w:t>
      </w:r>
    </w:p>
    <w:p w14:paraId="3E81E5A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Calibri" w:eastAsia="仿宋_GB2312" w:cs="Times New Roman"/>
          <w:color w:val="000000"/>
          <w:kern w:val="0"/>
          <w:sz w:val="32"/>
          <w:szCs w:val="32"/>
          <w:highlight w:val="none"/>
          <w:lang w:val="en-US" w:eastAsia="zh-CN"/>
        </w:rPr>
      </w:pPr>
      <w:r>
        <w:rPr>
          <w:rFonts w:hint="eastAsia" w:ascii="仿宋_GB2312" w:hAnsi="Calibri" w:eastAsia="仿宋_GB2312" w:cs="Times New Roman"/>
          <w:color w:val="000000"/>
          <w:kern w:val="0"/>
          <w:sz w:val="32"/>
          <w:szCs w:val="32"/>
          <w:highlight w:val="none"/>
          <w:lang w:val="zh-CN" w:eastAsia="zh-CN"/>
        </w:rPr>
        <w:t>我部门严格按照计划完成资金拨付，根据预算合理控制支出数额及支出进度。</w:t>
      </w:r>
      <w:r>
        <w:rPr>
          <w:rFonts w:hint="eastAsia" w:ascii="仿宋_GB2312" w:hAnsi="Calibri" w:eastAsia="仿宋_GB2312" w:cs="Times New Roman"/>
          <w:color w:val="000000"/>
          <w:kern w:val="0"/>
          <w:sz w:val="32"/>
          <w:szCs w:val="32"/>
          <w:highlight w:val="none"/>
          <w:lang w:val="en-US" w:eastAsia="zh-CN"/>
        </w:rPr>
        <w:t>截止到2022年12月31日，我部门财政拨款支出总计2017.70万元，预算执行进度100%，整体绩效目标完成情况合理，部门整体履职情况良好。</w:t>
      </w:r>
    </w:p>
    <w:p w14:paraId="789B5A5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Calibri" w:eastAsia="仿宋_GB2312" w:cs="Times New Roman"/>
          <w:color w:val="000000"/>
          <w:kern w:val="0"/>
          <w:sz w:val="32"/>
          <w:szCs w:val="32"/>
          <w:highlight w:val="none"/>
          <w:lang w:val="zh-CN" w:eastAsia="zh-CN"/>
        </w:rPr>
      </w:pPr>
      <w:r>
        <w:rPr>
          <w:rFonts w:hint="eastAsia" w:ascii="仿宋_GB2312" w:hAnsi="Calibri" w:eastAsia="仿宋_GB2312" w:cs="Times New Roman"/>
          <w:color w:val="000000"/>
          <w:kern w:val="0"/>
          <w:sz w:val="32"/>
          <w:szCs w:val="32"/>
          <w:highlight w:val="none"/>
          <w:lang w:val="zh-CN" w:eastAsia="zh-CN"/>
        </w:rPr>
        <w:t>（三）结果应用情况</w:t>
      </w:r>
    </w:p>
    <w:p w14:paraId="08E02D7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Calibri" w:eastAsia="仿宋_GB2312" w:cs="Times New Roman"/>
          <w:color w:val="000000"/>
          <w:kern w:val="0"/>
          <w:sz w:val="32"/>
          <w:szCs w:val="32"/>
          <w:highlight w:val="none"/>
          <w:lang w:val="zh-CN" w:eastAsia="zh-CN"/>
        </w:rPr>
      </w:pPr>
      <w:r>
        <w:rPr>
          <w:rFonts w:hint="eastAsia" w:ascii="仿宋_GB2312" w:hAnsi="Calibri" w:eastAsia="仿宋_GB2312" w:cs="Times New Roman"/>
          <w:color w:val="000000"/>
          <w:kern w:val="0"/>
          <w:sz w:val="32"/>
          <w:szCs w:val="32"/>
          <w:highlight w:val="none"/>
          <w:lang w:val="zh-CN" w:eastAsia="zh-CN"/>
        </w:rPr>
        <w:t>我部门认真开展绩效目标自评工作，绩效结果应用自评良好，绩效目标随同预决算及时向社会公开，收支管理严格按照财务管理制度和相关文件执行，评价结果及时报告，并针对工作中的不足及时改进。</w:t>
      </w:r>
    </w:p>
    <w:p w14:paraId="0210A73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Calibri" w:eastAsia="仿宋_GB2312" w:cs="Times New Roman"/>
          <w:color w:val="000000"/>
          <w:kern w:val="0"/>
          <w:sz w:val="32"/>
          <w:szCs w:val="32"/>
          <w:highlight w:val="none"/>
          <w:lang w:val="zh-CN" w:eastAsia="zh-CN"/>
        </w:rPr>
      </w:pPr>
      <w:r>
        <w:rPr>
          <w:rFonts w:hint="eastAsia" w:ascii="仿宋_GB2312" w:hAnsi="Calibri" w:eastAsia="仿宋_GB2312" w:cs="Times New Roman"/>
          <w:color w:val="000000"/>
          <w:kern w:val="0"/>
          <w:sz w:val="32"/>
          <w:szCs w:val="32"/>
          <w:highlight w:val="none"/>
          <w:lang w:val="zh-CN" w:eastAsia="zh-CN"/>
        </w:rPr>
        <w:t>（四）自评质量</w:t>
      </w:r>
    </w:p>
    <w:p w14:paraId="434E3C16">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部门整体支出自评准确可靠，质量较高。</w:t>
      </w:r>
    </w:p>
    <w:p w14:paraId="51719185">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ascii="黑体" w:hAnsi="宋体" w:eastAsia="黑体" w:cs="宋体"/>
          <w:kern w:val="0"/>
          <w:sz w:val="32"/>
          <w:szCs w:val="32"/>
          <w:shd w:val="clear" w:color="auto" w:fill="FFFFFF"/>
        </w:rPr>
      </w:pPr>
      <w:r>
        <w:rPr>
          <w:rFonts w:hint="eastAsia" w:ascii="黑体" w:hAnsi="宋体" w:eastAsia="黑体" w:cs="宋体"/>
          <w:kern w:val="0"/>
          <w:sz w:val="32"/>
          <w:szCs w:val="32"/>
          <w:shd w:val="clear" w:color="auto" w:fill="FFFFFF"/>
        </w:rPr>
        <w:t>四、评价结论及建议</w:t>
      </w:r>
    </w:p>
    <w:p w14:paraId="14BE4F26">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Calibri" w:eastAsia="仿宋_GB2312" w:cs="Times New Roman"/>
          <w:color w:val="000000"/>
          <w:kern w:val="0"/>
          <w:sz w:val="32"/>
          <w:szCs w:val="32"/>
          <w:highlight w:val="none"/>
          <w:lang w:val="zh-CN" w:eastAsia="zh-CN"/>
        </w:rPr>
      </w:pPr>
      <w:r>
        <w:rPr>
          <w:rFonts w:hint="eastAsia" w:ascii="仿宋_GB2312" w:hAnsi="Calibri" w:eastAsia="仿宋_GB2312" w:cs="Times New Roman"/>
          <w:color w:val="000000"/>
          <w:kern w:val="0"/>
          <w:sz w:val="32"/>
          <w:szCs w:val="32"/>
          <w:highlight w:val="none"/>
          <w:lang w:val="zh-CN" w:eastAsia="zh-CN"/>
        </w:rPr>
        <w:t>（一）评价结论</w:t>
      </w:r>
    </w:p>
    <w:p w14:paraId="5764B06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lang w:val="zh-CN"/>
        </w:rPr>
      </w:pPr>
      <w:r>
        <w:rPr>
          <w:rFonts w:hint="eastAsia" w:ascii="仿宋_GB2312" w:hAnsi="仿宋_GB2312" w:eastAsia="仿宋_GB2312" w:cs="仿宋_GB2312"/>
          <w:sz w:val="32"/>
          <w:szCs w:val="32"/>
          <w:highlight w:val="none"/>
          <w:lang w:val="zh-CN"/>
        </w:rPr>
        <w:t>优，</w:t>
      </w:r>
      <w:r>
        <w:rPr>
          <w:rFonts w:hint="eastAsia" w:ascii="仿宋_GB2312" w:hAnsi="仿宋_GB2312" w:eastAsia="仿宋_GB2312" w:cs="仿宋_GB2312"/>
          <w:sz w:val="32"/>
          <w:szCs w:val="32"/>
          <w:highlight w:val="none"/>
        </w:rPr>
        <w:t>91</w:t>
      </w:r>
      <w:r>
        <w:rPr>
          <w:rFonts w:hint="eastAsia" w:ascii="仿宋_GB2312" w:hAnsi="仿宋_GB2312" w:eastAsia="仿宋_GB2312" w:cs="仿宋_GB2312"/>
          <w:sz w:val="32"/>
          <w:szCs w:val="32"/>
          <w:highlight w:val="none"/>
          <w:lang w:val="zh-CN"/>
        </w:rPr>
        <w:t>分。预算编制</w:t>
      </w:r>
      <w:r>
        <w:rPr>
          <w:rFonts w:hint="eastAsia"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lang w:val="zh-CN"/>
        </w:rPr>
        <w:t>分，其中目标制定</w:t>
      </w:r>
      <w:r>
        <w:rPr>
          <w:rFonts w:hint="eastAsia" w:ascii="仿宋_GB2312" w:hAnsi="仿宋_GB2312" w:eastAsia="仿宋_GB2312" w:cs="仿宋_GB2312"/>
          <w:sz w:val="32"/>
          <w:szCs w:val="32"/>
          <w:highlight w:val="none"/>
        </w:rPr>
        <w:t>7</w:t>
      </w:r>
      <w:r>
        <w:rPr>
          <w:rFonts w:hint="eastAsia" w:ascii="仿宋_GB2312" w:hAnsi="仿宋_GB2312" w:eastAsia="仿宋_GB2312" w:cs="仿宋_GB2312"/>
          <w:sz w:val="32"/>
          <w:szCs w:val="32"/>
          <w:highlight w:val="none"/>
          <w:lang w:val="zh-CN"/>
        </w:rPr>
        <w:t>分、目标完成</w:t>
      </w:r>
      <w:r>
        <w:rPr>
          <w:rFonts w:hint="eastAsia" w:ascii="仿宋_GB2312" w:hAnsi="仿宋_GB2312" w:eastAsia="仿宋_GB2312" w:cs="仿宋_GB2312"/>
          <w:sz w:val="32"/>
          <w:szCs w:val="32"/>
          <w:highlight w:val="none"/>
        </w:rPr>
        <w:t>7</w:t>
      </w:r>
      <w:r>
        <w:rPr>
          <w:rFonts w:hint="eastAsia" w:ascii="仿宋_GB2312" w:hAnsi="仿宋_GB2312" w:eastAsia="仿宋_GB2312" w:cs="仿宋_GB2312"/>
          <w:sz w:val="32"/>
          <w:szCs w:val="32"/>
          <w:highlight w:val="none"/>
          <w:lang w:val="zh-CN"/>
        </w:rPr>
        <w:t>分、编制准确</w:t>
      </w:r>
      <w:r>
        <w:rPr>
          <w:rFonts w:hint="eastAsia" w:ascii="仿宋_GB2312" w:hAnsi="仿宋_GB2312" w:eastAsia="仿宋_GB2312" w:cs="仿宋_GB2312"/>
          <w:sz w:val="32"/>
          <w:szCs w:val="32"/>
          <w:highlight w:val="none"/>
        </w:rPr>
        <w:t>6</w:t>
      </w:r>
      <w:r>
        <w:rPr>
          <w:rFonts w:hint="eastAsia" w:ascii="仿宋_GB2312" w:hAnsi="仿宋_GB2312" w:eastAsia="仿宋_GB2312" w:cs="仿宋_GB2312"/>
          <w:sz w:val="32"/>
          <w:szCs w:val="32"/>
          <w:highlight w:val="none"/>
          <w:lang w:val="zh-CN"/>
        </w:rPr>
        <w:t>分；预算执行</w:t>
      </w:r>
      <w:r>
        <w:rPr>
          <w:rFonts w:hint="eastAsia" w:ascii="仿宋_GB2312" w:hAnsi="仿宋_GB2312" w:eastAsia="仿宋_GB2312" w:cs="仿宋_GB2312"/>
          <w:sz w:val="32"/>
          <w:szCs w:val="32"/>
          <w:highlight w:val="none"/>
        </w:rPr>
        <w:t>15</w:t>
      </w:r>
      <w:r>
        <w:rPr>
          <w:rFonts w:hint="eastAsia" w:ascii="仿宋_GB2312" w:hAnsi="仿宋_GB2312" w:eastAsia="仿宋_GB2312" w:cs="仿宋_GB2312"/>
          <w:sz w:val="32"/>
          <w:szCs w:val="32"/>
          <w:highlight w:val="none"/>
          <w:lang w:val="zh-CN"/>
        </w:rPr>
        <w:t>分，其中支出控制5分、动态调整</w:t>
      </w:r>
      <w:r>
        <w:rPr>
          <w:rFonts w:hint="eastAsia" w:ascii="仿宋_GB2312" w:hAnsi="仿宋_GB2312" w:eastAsia="仿宋_GB2312" w:cs="仿宋_GB2312"/>
          <w:sz w:val="32"/>
          <w:szCs w:val="32"/>
          <w:highlight w:val="none"/>
        </w:rPr>
        <w:t>5</w:t>
      </w:r>
      <w:r>
        <w:rPr>
          <w:rFonts w:hint="eastAsia" w:ascii="仿宋_GB2312" w:hAnsi="仿宋_GB2312" w:eastAsia="仿宋_GB2312" w:cs="仿宋_GB2312"/>
          <w:sz w:val="32"/>
          <w:szCs w:val="32"/>
          <w:highlight w:val="none"/>
          <w:lang w:val="zh-CN"/>
        </w:rPr>
        <w:t>分、执行进度</w:t>
      </w:r>
      <w:r>
        <w:rPr>
          <w:rFonts w:hint="eastAsia" w:ascii="仿宋_GB2312" w:hAnsi="仿宋_GB2312" w:eastAsia="仿宋_GB2312" w:cs="仿宋_GB2312"/>
          <w:sz w:val="32"/>
          <w:szCs w:val="32"/>
          <w:highlight w:val="none"/>
        </w:rPr>
        <w:t>5</w:t>
      </w:r>
      <w:r>
        <w:rPr>
          <w:rFonts w:hint="eastAsia" w:ascii="仿宋_GB2312" w:hAnsi="仿宋_GB2312" w:eastAsia="仿宋_GB2312" w:cs="仿宋_GB2312"/>
          <w:sz w:val="32"/>
          <w:szCs w:val="32"/>
          <w:highlight w:val="none"/>
          <w:lang w:val="zh-CN"/>
        </w:rPr>
        <w:t>分；完成结果</w:t>
      </w:r>
      <w:r>
        <w:rPr>
          <w:rFonts w:hint="eastAsia" w:ascii="仿宋_GB2312" w:hAnsi="仿宋_GB2312" w:eastAsia="仿宋_GB2312" w:cs="仿宋_GB2312"/>
          <w:sz w:val="32"/>
          <w:szCs w:val="32"/>
          <w:highlight w:val="none"/>
        </w:rPr>
        <w:t>16</w:t>
      </w:r>
      <w:r>
        <w:rPr>
          <w:rFonts w:hint="eastAsia" w:ascii="仿宋_GB2312" w:hAnsi="仿宋_GB2312" w:eastAsia="仿宋_GB2312" w:cs="仿宋_GB2312"/>
          <w:sz w:val="32"/>
          <w:szCs w:val="32"/>
          <w:highlight w:val="none"/>
          <w:lang w:val="zh-CN"/>
        </w:rPr>
        <w:t>分，其中预算完成</w:t>
      </w:r>
      <w:r>
        <w:rPr>
          <w:rFonts w:hint="eastAsia" w:ascii="仿宋_GB2312" w:hAnsi="仿宋_GB2312" w:eastAsia="仿宋_GB2312" w:cs="仿宋_GB2312"/>
          <w:sz w:val="32"/>
          <w:szCs w:val="32"/>
          <w:highlight w:val="none"/>
        </w:rPr>
        <w:t>8</w:t>
      </w:r>
      <w:r>
        <w:rPr>
          <w:rFonts w:hint="eastAsia" w:ascii="仿宋_GB2312" w:hAnsi="仿宋_GB2312" w:eastAsia="仿宋_GB2312" w:cs="仿宋_GB2312"/>
          <w:sz w:val="32"/>
          <w:szCs w:val="32"/>
          <w:highlight w:val="none"/>
          <w:lang w:val="zh-CN"/>
        </w:rPr>
        <w:t>分、违规记录</w:t>
      </w:r>
      <w:r>
        <w:rPr>
          <w:rFonts w:hint="eastAsia" w:ascii="仿宋_GB2312" w:hAnsi="仿宋_GB2312" w:eastAsia="仿宋_GB2312" w:cs="仿宋_GB2312"/>
          <w:sz w:val="32"/>
          <w:szCs w:val="32"/>
          <w:highlight w:val="none"/>
        </w:rPr>
        <w:t>8</w:t>
      </w:r>
      <w:r>
        <w:rPr>
          <w:rFonts w:hint="eastAsia" w:ascii="仿宋_GB2312" w:hAnsi="仿宋_GB2312" w:eastAsia="仿宋_GB2312" w:cs="仿宋_GB2312"/>
          <w:sz w:val="32"/>
          <w:szCs w:val="32"/>
          <w:highlight w:val="none"/>
          <w:lang w:val="zh-CN"/>
        </w:rPr>
        <w:t>分；项目决策</w:t>
      </w:r>
      <w:r>
        <w:rPr>
          <w:rFonts w:hint="eastAsia" w:ascii="仿宋_GB2312" w:hAnsi="仿宋_GB2312" w:eastAsia="仿宋_GB2312" w:cs="仿宋_GB2312"/>
          <w:sz w:val="32"/>
          <w:szCs w:val="32"/>
          <w:highlight w:val="none"/>
        </w:rPr>
        <w:t>8分，其中程序严密3分、规划合理3分，符合结果2分；项目实施4分，其中分配科学2分、分配及时2分；完成结果8分，其中预算完成3分、实施绩效3分、违规记录2分；自评质量4分；信息公开8分，其中目标公开4分、自评公开4分；</w:t>
      </w:r>
      <w:r>
        <w:rPr>
          <w:rFonts w:hint="eastAsia" w:ascii="仿宋_GB2312" w:hAnsi="仿宋_GB2312" w:eastAsia="仿宋_GB2312" w:cs="仿宋_GB2312"/>
          <w:sz w:val="32"/>
          <w:szCs w:val="32"/>
          <w:highlight w:val="none"/>
          <w:lang w:val="zh-CN"/>
        </w:rPr>
        <w:t>整改反馈8分，其中整改结果</w:t>
      </w:r>
      <w:r>
        <w:rPr>
          <w:rFonts w:hint="eastAsia" w:ascii="仿宋_GB2312" w:hAnsi="仿宋_GB2312" w:eastAsia="仿宋_GB2312" w:cs="仿宋_GB2312"/>
          <w:sz w:val="32"/>
          <w:szCs w:val="32"/>
          <w:highlight w:val="none"/>
        </w:rPr>
        <w:t>4分</w:t>
      </w:r>
      <w:r>
        <w:rPr>
          <w:rFonts w:hint="eastAsia" w:ascii="仿宋_GB2312" w:hAnsi="仿宋_GB2312" w:eastAsia="仿宋_GB2312" w:cs="仿宋_GB2312"/>
          <w:sz w:val="32"/>
          <w:szCs w:val="32"/>
          <w:highlight w:val="none"/>
          <w:lang w:val="zh-CN"/>
        </w:rPr>
        <w:t>、应用反馈</w:t>
      </w:r>
      <w:r>
        <w:rPr>
          <w:rFonts w:hint="eastAsia" w:ascii="仿宋_GB2312" w:hAnsi="仿宋_GB2312" w:eastAsia="仿宋_GB2312" w:cs="仿宋_GB2312"/>
          <w:sz w:val="32"/>
          <w:szCs w:val="32"/>
          <w:highlight w:val="none"/>
        </w:rPr>
        <w:t>4分</w:t>
      </w:r>
      <w:r>
        <w:rPr>
          <w:rFonts w:hint="eastAsia" w:ascii="仿宋_GB2312" w:hAnsi="仿宋_GB2312" w:eastAsia="仿宋_GB2312" w:cs="仿宋_GB2312"/>
          <w:sz w:val="32"/>
          <w:szCs w:val="32"/>
          <w:highlight w:val="none"/>
          <w:lang w:val="zh-CN"/>
        </w:rPr>
        <w:t>。</w:t>
      </w:r>
    </w:p>
    <w:p w14:paraId="44334109">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Calibri" w:eastAsia="仿宋_GB2312" w:cs="Times New Roman"/>
          <w:color w:val="000000"/>
          <w:kern w:val="0"/>
          <w:sz w:val="32"/>
          <w:szCs w:val="32"/>
          <w:highlight w:val="none"/>
          <w:lang w:val="zh-CN" w:eastAsia="zh-CN"/>
        </w:rPr>
      </w:pPr>
      <w:r>
        <w:rPr>
          <w:rFonts w:hint="eastAsia" w:ascii="仿宋_GB2312" w:hAnsi="Calibri" w:eastAsia="仿宋_GB2312" w:cs="Times New Roman"/>
          <w:color w:val="000000"/>
          <w:kern w:val="0"/>
          <w:sz w:val="32"/>
          <w:szCs w:val="32"/>
          <w:highlight w:val="none"/>
          <w:lang w:val="zh-CN" w:eastAsia="zh-CN"/>
        </w:rPr>
        <w:t>（二）存在问题</w:t>
      </w:r>
    </w:p>
    <w:p w14:paraId="75D209F2">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jc w:val="left"/>
        <w:textAlignment w:val="auto"/>
        <w:rPr>
          <w:rFonts w:ascii="仿宋_GB2312" w:hAnsi="Calibri" w:eastAsia="仿宋_GB2312" w:cs="仿宋"/>
          <w:color w:val="000000"/>
          <w:kern w:val="0"/>
          <w:sz w:val="32"/>
          <w:szCs w:val="32"/>
          <w:highlight w:val="none"/>
          <w:lang w:val="zh-CN"/>
        </w:rPr>
      </w:pPr>
      <w:r>
        <w:rPr>
          <w:rFonts w:hint="eastAsia" w:ascii="仿宋_GB2312" w:hAnsi="Calibri" w:eastAsia="仿宋_GB2312" w:cs="仿宋"/>
          <w:color w:val="000000"/>
          <w:kern w:val="0"/>
          <w:sz w:val="32"/>
          <w:szCs w:val="32"/>
          <w:highlight w:val="none"/>
          <w:lang w:val="zh-CN"/>
        </w:rPr>
        <w:t>1．项目资金的预算编制准确率有待提高。项目资金的预算编制应多考察、论证，提高准确率。</w:t>
      </w:r>
    </w:p>
    <w:p w14:paraId="4B13382A">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jc w:val="left"/>
        <w:textAlignment w:val="auto"/>
        <w:rPr>
          <w:rFonts w:ascii="仿宋_GB2312" w:hAnsi="Calibri" w:eastAsia="仿宋_GB2312" w:cs="仿宋"/>
          <w:color w:val="000000"/>
          <w:kern w:val="0"/>
          <w:sz w:val="32"/>
          <w:szCs w:val="32"/>
          <w:highlight w:val="none"/>
          <w:lang w:val="zh-CN"/>
        </w:rPr>
      </w:pPr>
      <w:r>
        <w:rPr>
          <w:rFonts w:hint="eastAsia" w:ascii="仿宋_GB2312" w:hAnsi="Calibri" w:eastAsia="仿宋_GB2312" w:cs="仿宋"/>
          <w:color w:val="000000"/>
          <w:kern w:val="0"/>
          <w:sz w:val="32"/>
          <w:szCs w:val="32"/>
          <w:highlight w:val="none"/>
          <w:lang w:val="zh-CN"/>
        </w:rPr>
        <w:t>2．项目资金使用应更严格、规范，保证专款专用，严格执行政府采购等各项规章制度。</w:t>
      </w:r>
    </w:p>
    <w:p w14:paraId="32AF3D89">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jc w:val="left"/>
        <w:textAlignment w:val="auto"/>
        <w:rPr>
          <w:rFonts w:ascii="仿宋_GB2312" w:hAnsi="Calibri" w:eastAsia="仿宋_GB2312" w:cs="仿宋"/>
          <w:color w:val="000000"/>
          <w:kern w:val="0"/>
          <w:sz w:val="32"/>
          <w:szCs w:val="32"/>
          <w:highlight w:val="none"/>
          <w:lang w:val="zh-CN"/>
        </w:rPr>
      </w:pPr>
      <w:r>
        <w:rPr>
          <w:rFonts w:hint="eastAsia" w:ascii="仿宋_GB2312" w:hAnsi="Calibri" w:eastAsia="仿宋_GB2312" w:cs="仿宋"/>
          <w:color w:val="000000"/>
          <w:kern w:val="0"/>
          <w:sz w:val="32"/>
          <w:szCs w:val="32"/>
          <w:highlight w:val="none"/>
          <w:lang w:val="zh-CN"/>
        </w:rPr>
        <w:t>3．部门支出相关（基本支出方面）的规章制度还不够完善。</w:t>
      </w:r>
    </w:p>
    <w:p w14:paraId="0A321B33">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Calibri" w:eastAsia="仿宋_GB2312" w:cs="Times New Roman"/>
          <w:color w:val="000000"/>
          <w:kern w:val="0"/>
          <w:sz w:val="32"/>
          <w:szCs w:val="32"/>
          <w:highlight w:val="none"/>
          <w:lang w:val="zh-CN" w:eastAsia="zh-CN"/>
        </w:rPr>
      </w:pPr>
      <w:r>
        <w:rPr>
          <w:rFonts w:hint="eastAsia" w:ascii="仿宋_GB2312" w:hAnsi="Calibri" w:eastAsia="仿宋_GB2312" w:cs="Times New Roman"/>
          <w:color w:val="000000"/>
          <w:kern w:val="0"/>
          <w:sz w:val="32"/>
          <w:szCs w:val="32"/>
          <w:highlight w:val="none"/>
          <w:lang w:val="zh-CN" w:eastAsia="zh-CN"/>
        </w:rPr>
        <w:t>（三）改进建议</w:t>
      </w:r>
    </w:p>
    <w:p w14:paraId="3491131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针对上述存在的问题及对外整体支出管理工作的需要，拟实施的改进措施如下：</w:t>
      </w:r>
    </w:p>
    <w:p w14:paraId="6EF96A8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1．细化预算编制工作，认真做好预算的编制。进一步加强预算管理意识，严格按照预算编制的相关制度和要求进行预算编制；全面编制预算项目，优先保障固定性的、相对刚性的费用支出项目，尽量压缩变动性的、有控制空间的费用项目，进一步提高预算编制的科学性、严谨性和可控性。加强内部预算编制的审核和预算控制指标的下达。</w:t>
      </w:r>
    </w:p>
    <w:p w14:paraId="2CCF20C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lang w:val="zh-CN"/>
        </w:rPr>
      </w:pPr>
      <w:r>
        <w:rPr>
          <w:rFonts w:hint="eastAsia" w:ascii="仿宋_GB2312" w:hAnsi="仿宋_GB2312" w:eastAsia="仿宋_GB2312" w:cs="仿宋_GB2312"/>
          <w:sz w:val="32"/>
          <w:szCs w:val="32"/>
          <w:lang w:val="zh-CN"/>
        </w:rPr>
        <w:t>2．加强财务管理，严格财务审核。加强我部门财务管理，健全单位财务管理制度体系，规范财务行为。在费用报账支付时，按照预算规定的费用项目和用途进行资金使用审核、列报支付、财务核算，杜绝超支现象的发生。</w:t>
      </w:r>
    </w:p>
    <w:tbl>
      <w:tblPr>
        <w:tblStyle w:val="17"/>
        <w:tblW w:w="5043" w:type="pct"/>
        <w:tblInd w:w="-7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3"/>
        <w:gridCol w:w="1123"/>
        <w:gridCol w:w="961"/>
        <w:gridCol w:w="1154"/>
        <w:gridCol w:w="654"/>
        <w:gridCol w:w="870"/>
        <w:gridCol w:w="640"/>
        <w:gridCol w:w="852"/>
        <w:gridCol w:w="487"/>
        <w:gridCol w:w="487"/>
        <w:gridCol w:w="28"/>
        <w:gridCol w:w="1306"/>
        <w:gridCol w:w="50"/>
      </w:tblGrid>
      <w:tr w14:paraId="3480A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000"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1B333F1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rPr>
              <w:t>部门预算项目支出绩效自评表（2022年度）</w:t>
            </w:r>
          </w:p>
        </w:tc>
      </w:tr>
      <w:tr w14:paraId="1161A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8A905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项目名称</w:t>
            </w:r>
          </w:p>
        </w:tc>
        <w:tc>
          <w:tcPr>
            <w:tcW w:w="4041"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8C72A5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51118122T000000399740-财政信息化建设及运行经费2022</w:t>
            </w:r>
          </w:p>
        </w:tc>
      </w:tr>
      <w:tr w14:paraId="6E5B7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4089B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主管部门</w:t>
            </w:r>
          </w:p>
        </w:tc>
        <w:tc>
          <w:tcPr>
            <w:tcW w:w="230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D4BA1F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财政局</w:t>
            </w:r>
          </w:p>
        </w:tc>
        <w:tc>
          <w:tcPr>
            <w:tcW w:w="459" w:type="pct"/>
            <w:tcBorders>
              <w:top w:val="nil"/>
              <w:left w:val="nil"/>
              <w:bottom w:val="nil"/>
              <w:right w:val="nil"/>
            </w:tcBorders>
            <w:shd w:val="clear" w:color="auto" w:fill="auto"/>
            <w:vAlign w:val="center"/>
          </w:tcPr>
          <w:p w14:paraId="40B2B3D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spacing w:val="-17"/>
                <w:kern w:val="0"/>
                <w:sz w:val="18"/>
                <w:szCs w:val="18"/>
                <w:u w:val="none"/>
                <w:lang w:val="en-US" w:eastAsia="zh-CN"/>
              </w:rPr>
              <w:t>实施单位（盖章）</w:t>
            </w:r>
          </w:p>
        </w:tc>
        <w:tc>
          <w:tcPr>
            <w:tcW w:w="12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4EB864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峨眉山市财政局</w:t>
            </w:r>
          </w:p>
        </w:tc>
      </w:tr>
      <w:tr w14:paraId="64472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99B8F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项目基本情况</w:t>
            </w:r>
          </w:p>
        </w:tc>
        <w:tc>
          <w:tcPr>
            <w:tcW w:w="6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38594F">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1.项目年度目标完成情况</w:t>
            </w:r>
          </w:p>
        </w:tc>
        <w:tc>
          <w:tcPr>
            <w:tcW w:w="230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65BB6F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项目年度目标</w:t>
            </w:r>
          </w:p>
        </w:tc>
        <w:tc>
          <w:tcPr>
            <w:tcW w:w="173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63DED4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年度目标完成情况</w:t>
            </w:r>
          </w:p>
        </w:tc>
      </w:tr>
      <w:tr w14:paraId="19533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0"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BA6E80">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iCs w:val="0"/>
                <w:color w:val="000000"/>
                <w:sz w:val="18"/>
                <w:szCs w:val="18"/>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6690A">
            <w:pPr>
              <w:keepNext w:val="0"/>
              <w:keepLines w:val="0"/>
              <w:pageBreakBefore w:val="0"/>
              <w:widowControl/>
              <w:kinsoku/>
              <w:wordWrap/>
              <w:overflowPunct/>
              <w:topLinePunct w:val="0"/>
              <w:autoSpaceDE/>
              <w:autoSpaceDN/>
              <w:bidi w:val="0"/>
              <w:adjustRightInd/>
              <w:snapToGrid/>
              <w:spacing w:line="240" w:lineRule="exact"/>
              <w:rPr>
                <w:rFonts w:hint="eastAsia" w:ascii="宋体" w:hAnsi="宋体" w:eastAsia="宋体" w:cs="宋体"/>
                <w:i w:val="0"/>
                <w:iCs w:val="0"/>
                <w:color w:val="000000"/>
                <w:sz w:val="18"/>
                <w:szCs w:val="18"/>
                <w:u w:val="none"/>
              </w:rPr>
            </w:pPr>
          </w:p>
        </w:tc>
        <w:tc>
          <w:tcPr>
            <w:tcW w:w="230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BF6D98E">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1.财政信息系统运行基本维护2.工资数据分析平台开发建设3.预算一体化项目建设4.身份认证系统质保金支付5.支付电子凭证调试、人行调试、直达资金监控系统使用费</w:t>
            </w:r>
          </w:p>
        </w:tc>
        <w:tc>
          <w:tcPr>
            <w:tcW w:w="173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C1E934B">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保障财政信息系统日常运行维护。</w:t>
            </w:r>
          </w:p>
        </w:tc>
      </w:tr>
      <w:tr w14:paraId="26E76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0BF665">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63251">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2.项目实施内容及过程概述</w:t>
            </w:r>
          </w:p>
        </w:tc>
        <w:tc>
          <w:tcPr>
            <w:tcW w:w="4041"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E3AF82F">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保障财政信息系统日常运行维护。</w:t>
            </w:r>
          </w:p>
        </w:tc>
      </w:tr>
      <w:tr w14:paraId="41B92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A649B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预算执行情况（10分）</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F83C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年度预算数（万元）</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A28F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年初预算</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AD40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调整后预算数</w:t>
            </w: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C6915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预算执行数</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24D2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预算执行率</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DFC0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权重</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37A9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得分</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67352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原因</w:t>
            </w:r>
          </w:p>
        </w:tc>
      </w:tr>
      <w:tr w14:paraId="025A6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58BE1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9841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总额</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3032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141.55</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C8F4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119.08</w:t>
            </w: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B0136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119.08</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A920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C290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4FBCA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73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972FA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据实支付。</w:t>
            </w:r>
          </w:p>
        </w:tc>
      </w:tr>
      <w:tr w14:paraId="75D45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E6B3C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74DB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其中：财政资金</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7B2E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141.55</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AB4D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119.08</w:t>
            </w: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8034C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119.08</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DEC9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D31A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60258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73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92EC99">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val="0"/>
                <w:iCs w:val="0"/>
                <w:color w:val="000000"/>
                <w:sz w:val="18"/>
                <w:szCs w:val="18"/>
                <w:u w:val="none"/>
              </w:rPr>
            </w:pPr>
          </w:p>
        </w:tc>
      </w:tr>
      <w:tr w14:paraId="4FAEE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EC77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9F02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财政专户管理资金</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B17C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835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5FC2D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1BDE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62D3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CA034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73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8BF82">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val="0"/>
                <w:iCs w:val="0"/>
                <w:color w:val="000000"/>
                <w:sz w:val="18"/>
                <w:szCs w:val="18"/>
                <w:u w:val="none"/>
              </w:rPr>
            </w:pPr>
          </w:p>
        </w:tc>
      </w:tr>
      <w:tr w14:paraId="18450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1244C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2AF9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单位资金</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7F96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ACA1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8B788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0784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5C9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18506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73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656A7">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val="0"/>
                <w:iCs w:val="0"/>
                <w:color w:val="000000"/>
                <w:sz w:val="18"/>
                <w:szCs w:val="18"/>
                <w:u w:val="none"/>
              </w:rPr>
            </w:pPr>
          </w:p>
        </w:tc>
      </w:tr>
      <w:tr w14:paraId="660CF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09CC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A01D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其他资金</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F48B2">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BEB60">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F01E76">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96AD9">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A4F2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5F991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73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8B7D1">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val="0"/>
                <w:iCs w:val="0"/>
                <w:color w:val="000000"/>
                <w:sz w:val="18"/>
                <w:szCs w:val="18"/>
                <w:u w:val="none"/>
              </w:rPr>
            </w:pPr>
          </w:p>
        </w:tc>
      </w:tr>
      <w:tr w14:paraId="44420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787AE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绩效指标（90分）</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8532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一级指标</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51F8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二级指标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D589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三级指标</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648A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指标性质</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CDB5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指标值</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BA02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度量单位</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D8D6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完成值</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AF70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权重</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89B51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得分</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A8C71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未完成原因分析</w:t>
            </w:r>
          </w:p>
        </w:tc>
      </w:tr>
      <w:tr w14:paraId="7F2B9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B4FBE">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6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31D71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产出指标</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4789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数量指标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2230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全市预算单位覆盖率</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AC4C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81F1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2928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070F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100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A7F6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1BA65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3C24DD">
            <w:pPr>
              <w:keepNext w:val="0"/>
              <w:keepLines w:val="0"/>
              <w:pageBreakBefore w:val="0"/>
              <w:kinsoku/>
              <w:wordWrap/>
              <w:overflowPunct/>
              <w:topLinePunct w:val="0"/>
              <w:autoSpaceDE/>
              <w:autoSpaceDN/>
              <w:bidi w:val="0"/>
              <w:adjustRightInd/>
              <w:snapToGrid/>
              <w:spacing w:line="240" w:lineRule="exact"/>
              <w:jc w:val="center"/>
              <w:rPr>
                <w:rFonts w:hint="eastAsia" w:ascii="微软雅黑" w:hAnsi="微软雅黑" w:eastAsia="微软雅黑" w:cs="微软雅黑"/>
                <w:i/>
                <w:iCs/>
                <w:color w:val="000000"/>
                <w:sz w:val="16"/>
                <w:szCs w:val="16"/>
                <w:u w:val="none"/>
              </w:rPr>
            </w:pPr>
          </w:p>
        </w:tc>
      </w:tr>
      <w:tr w14:paraId="31170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CB9DE">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D2A9E">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9E39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质量指标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D620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准确率</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357A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定性</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0B53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优良中低差</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19106">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CD47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良</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B76A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2AFC0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4C1B42">
            <w:pPr>
              <w:keepNext w:val="0"/>
              <w:keepLines w:val="0"/>
              <w:pageBreakBefore w:val="0"/>
              <w:kinsoku/>
              <w:wordWrap/>
              <w:overflowPunct/>
              <w:topLinePunct w:val="0"/>
              <w:autoSpaceDE/>
              <w:autoSpaceDN/>
              <w:bidi w:val="0"/>
              <w:adjustRightInd/>
              <w:snapToGrid/>
              <w:spacing w:line="240" w:lineRule="exact"/>
              <w:jc w:val="center"/>
              <w:rPr>
                <w:rFonts w:hint="eastAsia" w:ascii="微软雅黑" w:hAnsi="微软雅黑" w:eastAsia="微软雅黑" w:cs="微软雅黑"/>
                <w:i/>
                <w:iCs/>
                <w:color w:val="000000"/>
                <w:sz w:val="16"/>
                <w:szCs w:val="16"/>
                <w:u w:val="none"/>
              </w:rPr>
            </w:pPr>
          </w:p>
        </w:tc>
      </w:tr>
      <w:tr w14:paraId="0CD7C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6B2953">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03790">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26FA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时效指标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168C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完成及时性</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A0C4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5B7E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A439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836B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100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BB93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20</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49C69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20</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8EB563">
            <w:pPr>
              <w:keepNext w:val="0"/>
              <w:keepLines w:val="0"/>
              <w:pageBreakBefore w:val="0"/>
              <w:kinsoku/>
              <w:wordWrap/>
              <w:overflowPunct/>
              <w:topLinePunct w:val="0"/>
              <w:autoSpaceDE/>
              <w:autoSpaceDN/>
              <w:bidi w:val="0"/>
              <w:adjustRightInd/>
              <w:snapToGrid/>
              <w:spacing w:line="240" w:lineRule="exact"/>
              <w:jc w:val="center"/>
              <w:rPr>
                <w:rFonts w:hint="eastAsia" w:ascii="微软雅黑" w:hAnsi="微软雅黑" w:eastAsia="微软雅黑" w:cs="微软雅黑"/>
                <w:i/>
                <w:iCs/>
                <w:color w:val="000000"/>
                <w:sz w:val="16"/>
                <w:szCs w:val="16"/>
                <w:u w:val="none"/>
              </w:rPr>
            </w:pPr>
          </w:p>
        </w:tc>
      </w:tr>
      <w:tr w14:paraId="6849C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5990B">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B79D4E">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A4EE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成本指标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7E14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成本控制在预算内</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BC39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5ED5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142</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440C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万</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A2B9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119</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AF69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2EAAB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EFAC1E">
            <w:pPr>
              <w:keepNext w:val="0"/>
              <w:keepLines w:val="0"/>
              <w:pageBreakBefore w:val="0"/>
              <w:kinsoku/>
              <w:wordWrap/>
              <w:overflowPunct/>
              <w:topLinePunct w:val="0"/>
              <w:autoSpaceDE/>
              <w:autoSpaceDN/>
              <w:bidi w:val="0"/>
              <w:adjustRightInd/>
              <w:snapToGrid/>
              <w:spacing w:line="240" w:lineRule="exact"/>
              <w:jc w:val="center"/>
              <w:rPr>
                <w:rFonts w:hint="eastAsia" w:ascii="微软雅黑" w:hAnsi="微软雅黑" w:eastAsia="微软雅黑" w:cs="微软雅黑"/>
                <w:i/>
                <w:iCs/>
                <w:color w:val="000000"/>
                <w:sz w:val="16"/>
                <w:szCs w:val="16"/>
                <w:u w:val="none"/>
              </w:rPr>
            </w:pPr>
          </w:p>
        </w:tc>
      </w:tr>
      <w:tr w14:paraId="07CF0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FC46C">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6A4FE">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332F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效果指标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2490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达到预期效果</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FE74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定性</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BC75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优良中低差</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9BF2B">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DDA0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良</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84FD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14E05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8F6DEA">
            <w:pPr>
              <w:keepNext w:val="0"/>
              <w:keepLines w:val="0"/>
              <w:pageBreakBefore w:val="0"/>
              <w:kinsoku/>
              <w:wordWrap/>
              <w:overflowPunct/>
              <w:topLinePunct w:val="0"/>
              <w:autoSpaceDE/>
              <w:autoSpaceDN/>
              <w:bidi w:val="0"/>
              <w:adjustRightInd/>
              <w:snapToGrid/>
              <w:spacing w:line="240" w:lineRule="exact"/>
              <w:jc w:val="center"/>
              <w:rPr>
                <w:rFonts w:hint="eastAsia" w:ascii="微软雅黑" w:hAnsi="微软雅黑" w:eastAsia="微软雅黑" w:cs="微软雅黑"/>
                <w:i/>
                <w:iCs/>
                <w:color w:val="000000"/>
                <w:sz w:val="16"/>
                <w:szCs w:val="16"/>
                <w:u w:val="none"/>
              </w:rPr>
            </w:pPr>
          </w:p>
        </w:tc>
      </w:tr>
      <w:tr w14:paraId="79F7E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C82FFA">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19E51">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D677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安全指标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7954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数据安全性</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C888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定性</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44AB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优良中低差</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EB4E5">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0F6D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良</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3FE1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20</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60894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20</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54AF21">
            <w:pPr>
              <w:keepNext w:val="0"/>
              <w:keepLines w:val="0"/>
              <w:pageBreakBefore w:val="0"/>
              <w:kinsoku/>
              <w:wordWrap/>
              <w:overflowPunct/>
              <w:topLinePunct w:val="0"/>
              <w:autoSpaceDE/>
              <w:autoSpaceDN/>
              <w:bidi w:val="0"/>
              <w:adjustRightInd/>
              <w:snapToGrid/>
              <w:spacing w:line="240" w:lineRule="exact"/>
              <w:jc w:val="center"/>
              <w:rPr>
                <w:rFonts w:hint="eastAsia" w:ascii="微软雅黑" w:hAnsi="微软雅黑" w:eastAsia="微软雅黑" w:cs="微软雅黑"/>
                <w:i/>
                <w:iCs/>
                <w:color w:val="000000"/>
                <w:sz w:val="16"/>
                <w:szCs w:val="16"/>
                <w:u w:val="none"/>
              </w:rPr>
            </w:pPr>
          </w:p>
        </w:tc>
      </w:tr>
      <w:tr w14:paraId="1493E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532A9">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86C1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满意度指标</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0535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服务对象满意度指标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2293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服务对象满意率</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F2D6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A699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98</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1501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3FF5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100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8A3D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8820B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18F7B5">
            <w:pPr>
              <w:keepNext w:val="0"/>
              <w:keepLines w:val="0"/>
              <w:pageBreakBefore w:val="0"/>
              <w:kinsoku/>
              <w:wordWrap/>
              <w:overflowPunct/>
              <w:topLinePunct w:val="0"/>
              <w:autoSpaceDE/>
              <w:autoSpaceDN/>
              <w:bidi w:val="0"/>
              <w:adjustRightInd/>
              <w:snapToGrid/>
              <w:spacing w:line="240" w:lineRule="exact"/>
              <w:jc w:val="center"/>
              <w:rPr>
                <w:rFonts w:hint="eastAsia" w:ascii="微软雅黑" w:hAnsi="微软雅黑" w:eastAsia="微软雅黑" w:cs="微软雅黑"/>
                <w:i/>
                <w:iCs/>
                <w:color w:val="000000"/>
                <w:sz w:val="16"/>
                <w:szCs w:val="16"/>
                <w:u w:val="none"/>
              </w:rPr>
            </w:pPr>
          </w:p>
        </w:tc>
      </w:tr>
      <w:tr w14:paraId="17657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372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C91E9B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合计</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9D09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CF548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211FB2">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iCs w:val="0"/>
                <w:color w:val="000000"/>
                <w:sz w:val="18"/>
                <w:szCs w:val="18"/>
                <w:u w:val="none"/>
              </w:rPr>
            </w:pPr>
          </w:p>
        </w:tc>
      </w:tr>
      <w:tr w14:paraId="0EBD8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76B3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评价结论</w:t>
            </w:r>
          </w:p>
        </w:tc>
        <w:tc>
          <w:tcPr>
            <w:tcW w:w="4647"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EBBD682">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项目自评总分 100 分，保障财政信息系统日常运行维护。</w:t>
            </w:r>
          </w:p>
        </w:tc>
      </w:tr>
      <w:tr w14:paraId="4F335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A5E8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存在问题</w:t>
            </w:r>
          </w:p>
        </w:tc>
        <w:tc>
          <w:tcPr>
            <w:tcW w:w="4647"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1B2E423">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无</w:t>
            </w:r>
          </w:p>
        </w:tc>
      </w:tr>
      <w:tr w14:paraId="0A3D8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65C3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改进措施</w:t>
            </w:r>
          </w:p>
        </w:tc>
        <w:tc>
          <w:tcPr>
            <w:tcW w:w="4647"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27C8CB0">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无</w:t>
            </w:r>
          </w:p>
        </w:tc>
      </w:tr>
      <w:tr w14:paraId="7497D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45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CD0C925">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项目负责人：帅勇</w:t>
            </w:r>
          </w:p>
        </w:tc>
        <w:tc>
          <w:tcPr>
            <w:tcW w:w="254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9AA62F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财务负责人：符松梅</w:t>
            </w:r>
          </w:p>
        </w:tc>
      </w:tr>
      <w:tr w14:paraId="06AF1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5000"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314E85A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rPr>
              <w:t>部门预算项目支出绩效自评表（2022年度）</w:t>
            </w:r>
          </w:p>
        </w:tc>
      </w:tr>
      <w:tr w14:paraId="428F0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02752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项目名称</w:t>
            </w:r>
          </w:p>
        </w:tc>
        <w:tc>
          <w:tcPr>
            <w:tcW w:w="4041"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EB7949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51118122T000005166638-财政物业管理费</w:t>
            </w:r>
          </w:p>
        </w:tc>
      </w:tr>
      <w:tr w14:paraId="621F3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F663C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主管部门</w:t>
            </w:r>
          </w:p>
        </w:tc>
        <w:tc>
          <w:tcPr>
            <w:tcW w:w="230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5AA08F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财政局</w:t>
            </w:r>
          </w:p>
        </w:tc>
        <w:tc>
          <w:tcPr>
            <w:tcW w:w="459" w:type="pct"/>
            <w:tcBorders>
              <w:top w:val="nil"/>
              <w:left w:val="nil"/>
              <w:bottom w:val="nil"/>
              <w:right w:val="nil"/>
            </w:tcBorders>
            <w:shd w:val="clear" w:color="auto" w:fill="auto"/>
            <w:vAlign w:val="center"/>
          </w:tcPr>
          <w:p w14:paraId="78E2353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spacing w:val="-17"/>
                <w:kern w:val="0"/>
                <w:sz w:val="18"/>
                <w:szCs w:val="18"/>
                <w:u w:val="none"/>
                <w:lang w:val="en-US" w:eastAsia="zh-CN"/>
              </w:rPr>
              <w:t>实施单位（盖章）</w:t>
            </w:r>
          </w:p>
        </w:tc>
        <w:tc>
          <w:tcPr>
            <w:tcW w:w="12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9F0469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峨眉山市财政局</w:t>
            </w:r>
          </w:p>
        </w:tc>
      </w:tr>
      <w:tr w14:paraId="4EF3A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9F6783">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项目基本情况</w:t>
            </w:r>
          </w:p>
        </w:tc>
        <w:tc>
          <w:tcPr>
            <w:tcW w:w="6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B7B3C3">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1.项目年度目标完成情况</w:t>
            </w:r>
          </w:p>
        </w:tc>
        <w:tc>
          <w:tcPr>
            <w:tcW w:w="230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969474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项目年度目标</w:t>
            </w:r>
          </w:p>
        </w:tc>
        <w:tc>
          <w:tcPr>
            <w:tcW w:w="173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C212B1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年度目标完成情况</w:t>
            </w:r>
          </w:p>
        </w:tc>
      </w:tr>
      <w:tr w14:paraId="774BB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0EE34">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i w:val="0"/>
                <w:iCs w:val="0"/>
                <w:color w:val="000000"/>
                <w:sz w:val="18"/>
                <w:szCs w:val="18"/>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FB1155">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i w:val="0"/>
                <w:iCs w:val="0"/>
                <w:color w:val="000000"/>
                <w:sz w:val="18"/>
                <w:szCs w:val="18"/>
                <w:u w:val="none"/>
              </w:rPr>
            </w:pPr>
          </w:p>
        </w:tc>
        <w:tc>
          <w:tcPr>
            <w:tcW w:w="230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B60249D">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保障办公楼、食堂各项各项工作的顺利运行，为财政工作的顺利开展提供基础条件。</w:t>
            </w:r>
          </w:p>
        </w:tc>
        <w:tc>
          <w:tcPr>
            <w:tcW w:w="173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6DE8500">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保障办公楼、食堂各项各项工作的顺利运行，为财政工作的顺利开展提供基础条件。</w:t>
            </w:r>
          </w:p>
        </w:tc>
      </w:tr>
      <w:tr w14:paraId="548C1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2A0A50">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0742C">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2.项目实施内容及过程概述</w:t>
            </w:r>
          </w:p>
        </w:tc>
        <w:tc>
          <w:tcPr>
            <w:tcW w:w="4041"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0218477">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保障办公楼、食堂各项各项工作的顺利运行，为财政工作的顺利开展提供基础条件。</w:t>
            </w:r>
          </w:p>
        </w:tc>
      </w:tr>
      <w:tr w14:paraId="07F18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9E1F7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预算执行情况（10分）</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11F0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年度预算数（万元）</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F0C4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年初预算</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A927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调整后预算数</w:t>
            </w: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F8608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预算执行数</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2C5B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预算执行率</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FECC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权重</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8144F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得分</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70449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原因</w:t>
            </w:r>
          </w:p>
        </w:tc>
      </w:tr>
      <w:tr w14:paraId="7D8AE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3DE6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76C7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总额</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3C51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55.00</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E6B6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47.34</w:t>
            </w: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3E7A9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47.34</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A6A9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2E42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4F9C1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73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2E965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据实支付。</w:t>
            </w:r>
          </w:p>
        </w:tc>
      </w:tr>
      <w:tr w14:paraId="70325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B6456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D89D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其中：财政资金</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CD20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55.00</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3A2C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47.34</w:t>
            </w: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B5276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47.34</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2377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062E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F0252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73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652847">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val="0"/>
                <w:iCs w:val="0"/>
                <w:color w:val="000000"/>
                <w:sz w:val="18"/>
                <w:szCs w:val="18"/>
                <w:u w:val="none"/>
              </w:rPr>
            </w:pPr>
          </w:p>
        </w:tc>
      </w:tr>
      <w:tr w14:paraId="61707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15E1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7241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财政专户管理资金</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4457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EBB5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D7E08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2E80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8C53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4341A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73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8C0B7">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val="0"/>
                <w:iCs w:val="0"/>
                <w:color w:val="000000"/>
                <w:sz w:val="18"/>
                <w:szCs w:val="18"/>
                <w:u w:val="none"/>
              </w:rPr>
            </w:pPr>
          </w:p>
        </w:tc>
      </w:tr>
      <w:tr w14:paraId="04E56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3E398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4CFD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单位资金</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6EA4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0B80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26F08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1096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306E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547F3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73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E1F2F">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val="0"/>
                <w:iCs w:val="0"/>
                <w:color w:val="000000"/>
                <w:sz w:val="18"/>
                <w:szCs w:val="18"/>
                <w:u w:val="none"/>
              </w:rPr>
            </w:pPr>
          </w:p>
        </w:tc>
      </w:tr>
      <w:tr w14:paraId="77E19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9"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BEF8D">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EEF8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其他资金</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2D9D3">
            <w:pPr>
              <w:keepNext w:val="0"/>
              <w:keepLines w:val="0"/>
              <w:pageBreakBefore w:val="0"/>
              <w:widowControl/>
              <w:kinsoku/>
              <w:wordWrap/>
              <w:overflowPunct/>
              <w:topLinePunct w:val="0"/>
              <w:autoSpaceDE/>
              <w:autoSpaceDN/>
              <w:bidi w:val="0"/>
              <w:adjustRightInd/>
              <w:snapToGrid/>
              <w:spacing w:line="240" w:lineRule="exact"/>
              <w:jc w:val="center"/>
              <w:rPr>
                <w:rFonts w:hint="eastAsia" w:ascii="微软雅黑" w:hAnsi="微软雅黑" w:eastAsia="微软雅黑" w:cs="微软雅黑"/>
                <w:i/>
                <w:iCs/>
                <w:color w:val="000000"/>
                <w:sz w:val="16"/>
                <w:szCs w:val="16"/>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13A6E">
            <w:pPr>
              <w:keepNext w:val="0"/>
              <w:keepLines w:val="0"/>
              <w:pageBreakBefore w:val="0"/>
              <w:widowControl/>
              <w:kinsoku/>
              <w:wordWrap/>
              <w:overflowPunct/>
              <w:topLinePunct w:val="0"/>
              <w:autoSpaceDE/>
              <w:autoSpaceDN/>
              <w:bidi w:val="0"/>
              <w:adjustRightInd/>
              <w:snapToGrid/>
              <w:spacing w:line="240" w:lineRule="exact"/>
              <w:jc w:val="center"/>
              <w:rPr>
                <w:rFonts w:hint="eastAsia" w:ascii="微软雅黑" w:hAnsi="微软雅黑" w:eastAsia="微软雅黑" w:cs="微软雅黑"/>
                <w:i/>
                <w:iCs/>
                <w:color w:val="000000"/>
                <w:sz w:val="16"/>
                <w:szCs w:val="16"/>
                <w:u w:val="none"/>
              </w:rPr>
            </w:pP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07D5B3">
            <w:pPr>
              <w:keepNext w:val="0"/>
              <w:keepLines w:val="0"/>
              <w:pageBreakBefore w:val="0"/>
              <w:widowControl/>
              <w:kinsoku/>
              <w:wordWrap/>
              <w:overflowPunct/>
              <w:topLinePunct w:val="0"/>
              <w:autoSpaceDE/>
              <w:autoSpaceDN/>
              <w:bidi w:val="0"/>
              <w:adjustRightInd/>
              <w:snapToGrid/>
              <w:spacing w:line="240" w:lineRule="exact"/>
              <w:jc w:val="center"/>
              <w:rPr>
                <w:rFonts w:hint="eastAsia" w:ascii="微软雅黑" w:hAnsi="微软雅黑" w:eastAsia="微软雅黑" w:cs="微软雅黑"/>
                <w:i/>
                <w:iCs/>
                <w:color w:val="000000"/>
                <w:sz w:val="16"/>
                <w:szCs w:val="16"/>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E06FC">
            <w:pPr>
              <w:keepNext w:val="0"/>
              <w:keepLines w:val="0"/>
              <w:pageBreakBefore w:val="0"/>
              <w:widowControl/>
              <w:kinsoku/>
              <w:wordWrap/>
              <w:overflowPunct/>
              <w:topLinePunct w:val="0"/>
              <w:autoSpaceDE/>
              <w:autoSpaceDN/>
              <w:bidi w:val="0"/>
              <w:adjustRightInd/>
              <w:snapToGrid/>
              <w:spacing w:line="240" w:lineRule="exact"/>
              <w:jc w:val="center"/>
              <w:rPr>
                <w:rFonts w:hint="eastAsia" w:ascii="微软雅黑" w:hAnsi="微软雅黑" w:eastAsia="微软雅黑" w:cs="微软雅黑"/>
                <w:i/>
                <w:iCs/>
                <w:color w:val="000000"/>
                <w:sz w:val="16"/>
                <w:szCs w:val="16"/>
                <w:u w:val="none"/>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B36B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168BA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73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4078D1">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val="0"/>
                <w:iCs w:val="0"/>
                <w:color w:val="000000"/>
                <w:sz w:val="18"/>
                <w:szCs w:val="18"/>
                <w:u w:val="none"/>
              </w:rPr>
            </w:pPr>
          </w:p>
        </w:tc>
      </w:tr>
      <w:tr w14:paraId="6EC89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B21BF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绩效指标（90分）</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660B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一级指标</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8B1B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二级指标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7E83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三级指标</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8375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指标性质</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EBA0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指标值</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2FC4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度量单位</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39C9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完成值</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B324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权重</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7FDDD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得分</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291D9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未完成原因分析</w:t>
            </w:r>
          </w:p>
        </w:tc>
      </w:tr>
      <w:tr w14:paraId="1FA22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1D62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FFA8E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产出指标</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B27E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数量指标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top"/>
          </w:tcPr>
          <w:p w14:paraId="599F4A99">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聘请2</w:t>
            </w:r>
            <w:r>
              <w:rPr>
                <w:rFonts w:hint="eastAsia" w:ascii="宋体" w:hAnsi="宋体" w:cs="宋体"/>
                <w:i w:val="0"/>
                <w:iCs w:val="0"/>
                <w:color w:val="000000"/>
                <w:kern w:val="0"/>
                <w:sz w:val="18"/>
                <w:szCs w:val="18"/>
                <w:u w:val="none"/>
                <w:lang w:val="en-US" w:eastAsia="zh-CN"/>
              </w:rPr>
              <w:t>名</w:t>
            </w:r>
            <w:r>
              <w:rPr>
                <w:rFonts w:ascii="宋体" w:hAnsi="宋体" w:eastAsia="宋体" w:cs="宋体"/>
                <w:i w:val="0"/>
                <w:iCs w:val="0"/>
                <w:color w:val="000000"/>
                <w:kern w:val="0"/>
                <w:sz w:val="18"/>
                <w:szCs w:val="18"/>
                <w:u w:val="none"/>
                <w:lang w:val="en-US" w:eastAsia="zh-CN"/>
              </w:rPr>
              <w:t>保洁人员、6名保安、3名食堂工作人员</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7FE1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3449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11</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37D2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人/年</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2464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11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C97A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37983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5B213C">
            <w:pPr>
              <w:keepNext w:val="0"/>
              <w:keepLines w:val="0"/>
              <w:pageBreakBefore w:val="0"/>
              <w:kinsoku/>
              <w:wordWrap/>
              <w:overflowPunct/>
              <w:topLinePunct w:val="0"/>
              <w:autoSpaceDE/>
              <w:autoSpaceDN/>
              <w:bidi w:val="0"/>
              <w:adjustRightInd/>
              <w:snapToGrid/>
              <w:spacing w:line="240" w:lineRule="exact"/>
              <w:jc w:val="center"/>
              <w:rPr>
                <w:rFonts w:hint="eastAsia" w:ascii="微软雅黑" w:hAnsi="微软雅黑" w:eastAsia="微软雅黑" w:cs="微软雅黑"/>
                <w:i/>
                <w:iCs/>
                <w:color w:val="000000"/>
                <w:sz w:val="16"/>
                <w:szCs w:val="16"/>
                <w:u w:val="none"/>
              </w:rPr>
            </w:pPr>
          </w:p>
        </w:tc>
      </w:tr>
      <w:tr w14:paraId="63425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A5AA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34D744">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E253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质量指标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top"/>
          </w:tcPr>
          <w:p w14:paraId="4B4F803A">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保障办公楼、食堂基本工作顺利运行</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1922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定性</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18E7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优良中低差</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8A405">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ECA1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良</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FB78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15</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75FC4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15</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5E928E">
            <w:pPr>
              <w:keepNext w:val="0"/>
              <w:keepLines w:val="0"/>
              <w:pageBreakBefore w:val="0"/>
              <w:kinsoku/>
              <w:wordWrap/>
              <w:overflowPunct/>
              <w:topLinePunct w:val="0"/>
              <w:autoSpaceDE/>
              <w:autoSpaceDN/>
              <w:bidi w:val="0"/>
              <w:adjustRightInd/>
              <w:snapToGrid/>
              <w:spacing w:line="240" w:lineRule="exact"/>
              <w:jc w:val="center"/>
              <w:rPr>
                <w:rFonts w:hint="eastAsia" w:ascii="微软雅黑" w:hAnsi="微软雅黑" w:eastAsia="微软雅黑" w:cs="微软雅黑"/>
                <w:i/>
                <w:iCs/>
                <w:color w:val="000000"/>
                <w:sz w:val="16"/>
                <w:szCs w:val="16"/>
                <w:u w:val="none"/>
              </w:rPr>
            </w:pPr>
          </w:p>
        </w:tc>
      </w:tr>
      <w:tr w14:paraId="58D9C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B4B79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9DF235">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B01A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时效指标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0D09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工作完成率</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F190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7883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7837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年</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D6D8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5032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15</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D517F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15</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CF5F92">
            <w:pPr>
              <w:keepNext w:val="0"/>
              <w:keepLines w:val="0"/>
              <w:pageBreakBefore w:val="0"/>
              <w:kinsoku/>
              <w:wordWrap/>
              <w:overflowPunct/>
              <w:topLinePunct w:val="0"/>
              <w:autoSpaceDE/>
              <w:autoSpaceDN/>
              <w:bidi w:val="0"/>
              <w:adjustRightInd/>
              <w:snapToGrid/>
              <w:spacing w:line="240" w:lineRule="exact"/>
              <w:jc w:val="center"/>
              <w:rPr>
                <w:rFonts w:hint="eastAsia" w:ascii="微软雅黑" w:hAnsi="微软雅黑" w:eastAsia="微软雅黑" w:cs="微软雅黑"/>
                <w:i/>
                <w:iCs/>
                <w:color w:val="000000"/>
                <w:sz w:val="16"/>
                <w:szCs w:val="16"/>
                <w:u w:val="none"/>
              </w:rPr>
            </w:pPr>
          </w:p>
        </w:tc>
      </w:tr>
      <w:tr w14:paraId="6E848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87B1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A51AF">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A84D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成本指标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F3A1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成本控制率</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334E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94F3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55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F427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万元</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F76D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47</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4B11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52656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132B3A">
            <w:pPr>
              <w:keepNext w:val="0"/>
              <w:keepLines w:val="0"/>
              <w:pageBreakBefore w:val="0"/>
              <w:kinsoku/>
              <w:wordWrap/>
              <w:overflowPunct/>
              <w:topLinePunct w:val="0"/>
              <w:autoSpaceDE/>
              <w:autoSpaceDN/>
              <w:bidi w:val="0"/>
              <w:adjustRightInd/>
              <w:snapToGrid/>
              <w:spacing w:line="240" w:lineRule="exact"/>
              <w:jc w:val="center"/>
              <w:rPr>
                <w:rFonts w:hint="eastAsia" w:ascii="微软雅黑" w:hAnsi="微软雅黑" w:eastAsia="微软雅黑" w:cs="微软雅黑"/>
                <w:i/>
                <w:iCs/>
                <w:color w:val="000000"/>
                <w:sz w:val="16"/>
                <w:szCs w:val="16"/>
                <w:u w:val="none"/>
              </w:rPr>
            </w:pPr>
          </w:p>
        </w:tc>
      </w:tr>
      <w:tr w14:paraId="63344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8"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0BD8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54072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效益指标</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DEC4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经济效益指标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top"/>
          </w:tcPr>
          <w:p w14:paraId="16637780">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保障财政工作顺利运行，为社会经济效益稳定提供基础</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848B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定性</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2915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优良中低差</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ED78A">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24D8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良</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94A6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33CDE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B53FD2">
            <w:pPr>
              <w:keepNext w:val="0"/>
              <w:keepLines w:val="0"/>
              <w:pageBreakBefore w:val="0"/>
              <w:kinsoku/>
              <w:wordWrap/>
              <w:overflowPunct/>
              <w:topLinePunct w:val="0"/>
              <w:autoSpaceDE/>
              <w:autoSpaceDN/>
              <w:bidi w:val="0"/>
              <w:adjustRightInd/>
              <w:snapToGrid/>
              <w:spacing w:line="240" w:lineRule="exact"/>
              <w:jc w:val="center"/>
              <w:rPr>
                <w:rFonts w:hint="eastAsia" w:ascii="微软雅黑" w:hAnsi="微软雅黑" w:eastAsia="微软雅黑" w:cs="微软雅黑"/>
                <w:i/>
                <w:iCs/>
                <w:color w:val="000000"/>
                <w:sz w:val="16"/>
                <w:szCs w:val="16"/>
                <w:u w:val="none"/>
              </w:rPr>
            </w:pPr>
          </w:p>
        </w:tc>
      </w:tr>
      <w:tr w14:paraId="52BC8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8"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2195F9">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90298">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C4A8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社会效益指标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top"/>
          </w:tcPr>
          <w:p w14:paraId="53DE8DDF">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保障财政工作顺利运行，为社会发展和稳定提供基础</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60F8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定性</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AF5D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优良中低差</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888E5">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56D1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良</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DC66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3DFBB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F0A769">
            <w:pPr>
              <w:keepNext w:val="0"/>
              <w:keepLines w:val="0"/>
              <w:pageBreakBefore w:val="0"/>
              <w:kinsoku/>
              <w:wordWrap/>
              <w:overflowPunct/>
              <w:topLinePunct w:val="0"/>
              <w:autoSpaceDE/>
              <w:autoSpaceDN/>
              <w:bidi w:val="0"/>
              <w:adjustRightInd/>
              <w:snapToGrid/>
              <w:spacing w:line="240" w:lineRule="exact"/>
              <w:jc w:val="center"/>
              <w:rPr>
                <w:rFonts w:hint="eastAsia" w:ascii="微软雅黑" w:hAnsi="微软雅黑" w:eastAsia="微软雅黑" w:cs="微软雅黑"/>
                <w:i/>
                <w:iCs/>
                <w:color w:val="000000"/>
                <w:sz w:val="16"/>
                <w:szCs w:val="16"/>
                <w:u w:val="none"/>
              </w:rPr>
            </w:pPr>
          </w:p>
        </w:tc>
      </w:tr>
      <w:tr w14:paraId="431D4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96CDA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EC54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满意度指标</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2FBC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服务对象满意度指标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AA62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服务对象满意度</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F64C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09CD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95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F47C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6C8C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100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C24F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20</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839C8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20</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2E5F0C">
            <w:pPr>
              <w:keepNext w:val="0"/>
              <w:keepLines w:val="0"/>
              <w:pageBreakBefore w:val="0"/>
              <w:kinsoku/>
              <w:wordWrap/>
              <w:overflowPunct/>
              <w:topLinePunct w:val="0"/>
              <w:autoSpaceDE/>
              <w:autoSpaceDN/>
              <w:bidi w:val="0"/>
              <w:adjustRightInd/>
              <w:snapToGrid/>
              <w:spacing w:line="240" w:lineRule="exact"/>
              <w:jc w:val="center"/>
              <w:rPr>
                <w:rFonts w:hint="eastAsia" w:ascii="微软雅黑" w:hAnsi="微软雅黑" w:eastAsia="微软雅黑" w:cs="微软雅黑"/>
                <w:i/>
                <w:iCs/>
                <w:color w:val="000000"/>
                <w:sz w:val="16"/>
                <w:szCs w:val="16"/>
                <w:u w:val="none"/>
              </w:rPr>
            </w:pPr>
          </w:p>
        </w:tc>
      </w:tr>
      <w:tr w14:paraId="456DD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372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21F7E9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合计</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82E5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3D1F5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724F7C">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iCs w:val="0"/>
                <w:color w:val="000000"/>
                <w:sz w:val="18"/>
                <w:szCs w:val="18"/>
                <w:u w:val="none"/>
              </w:rPr>
            </w:pPr>
          </w:p>
        </w:tc>
      </w:tr>
      <w:tr w14:paraId="29A92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DF44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评价结论</w:t>
            </w:r>
          </w:p>
        </w:tc>
        <w:tc>
          <w:tcPr>
            <w:tcW w:w="4647"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40426E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项目自评总分 100 分，保障办公楼、食堂各项各项工作的顺利运行，为财政工作的顺利开展提供基础条件。</w:t>
            </w:r>
          </w:p>
        </w:tc>
      </w:tr>
      <w:tr w14:paraId="5FF31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25B9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存在问题</w:t>
            </w:r>
          </w:p>
        </w:tc>
        <w:tc>
          <w:tcPr>
            <w:tcW w:w="4647"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424E44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无</w:t>
            </w:r>
          </w:p>
        </w:tc>
      </w:tr>
      <w:tr w14:paraId="4A6E5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B953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改进措施</w:t>
            </w:r>
          </w:p>
        </w:tc>
        <w:tc>
          <w:tcPr>
            <w:tcW w:w="4647"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C77F6A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无</w:t>
            </w:r>
          </w:p>
        </w:tc>
      </w:tr>
      <w:tr w14:paraId="5953C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45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8EA58D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项目负责人：孙余娇</w:t>
            </w:r>
          </w:p>
        </w:tc>
        <w:tc>
          <w:tcPr>
            <w:tcW w:w="254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A8D61B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财务负责人：王敏</w:t>
            </w:r>
          </w:p>
        </w:tc>
      </w:tr>
      <w:tr w14:paraId="57E02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000"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3A42614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rPr>
              <w:t>部门预算项目支出绩效自评表（2022年度）</w:t>
            </w:r>
          </w:p>
        </w:tc>
      </w:tr>
      <w:tr w14:paraId="32C85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D4CBE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项目名称</w:t>
            </w:r>
          </w:p>
        </w:tc>
        <w:tc>
          <w:tcPr>
            <w:tcW w:w="4041"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0A8E72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51118122T000006800738-综合业务费</w:t>
            </w:r>
          </w:p>
        </w:tc>
      </w:tr>
      <w:tr w14:paraId="63DFD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2FFBA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主管部门</w:t>
            </w:r>
          </w:p>
        </w:tc>
        <w:tc>
          <w:tcPr>
            <w:tcW w:w="230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D5EC48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财政局</w:t>
            </w:r>
          </w:p>
        </w:tc>
        <w:tc>
          <w:tcPr>
            <w:tcW w:w="459" w:type="pct"/>
            <w:tcBorders>
              <w:top w:val="nil"/>
              <w:left w:val="nil"/>
              <w:bottom w:val="nil"/>
              <w:right w:val="nil"/>
            </w:tcBorders>
            <w:shd w:val="clear" w:color="auto" w:fill="auto"/>
            <w:vAlign w:val="center"/>
          </w:tcPr>
          <w:p w14:paraId="42B1B72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实施单位 （盖章）</w:t>
            </w:r>
          </w:p>
        </w:tc>
        <w:tc>
          <w:tcPr>
            <w:tcW w:w="12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5415D4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峨眉山市财政局</w:t>
            </w:r>
          </w:p>
        </w:tc>
      </w:tr>
      <w:tr w14:paraId="5A324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9A8AF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项目基本情况</w:t>
            </w:r>
          </w:p>
        </w:tc>
        <w:tc>
          <w:tcPr>
            <w:tcW w:w="6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CDDA2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1.项目年度目标完成情况</w:t>
            </w:r>
          </w:p>
        </w:tc>
        <w:tc>
          <w:tcPr>
            <w:tcW w:w="230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FEB1BE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项目年度目标</w:t>
            </w:r>
          </w:p>
        </w:tc>
        <w:tc>
          <w:tcPr>
            <w:tcW w:w="173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BC4C92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年度目标完成情况</w:t>
            </w:r>
          </w:p>
        </w:tc>
      </w:tr>
      <w:tr w14:paraId="435CB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C91F0A">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iCs w:val="0"/>
                <w:color w:val="000000"/>
                <w:sz w:val="18"/>
                <w:szCs w:val="18"/>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624BFB">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iCs w:val="0"/>
                <w:color w:val="000000"/>
                <w:sz w:val="18"/>
                <w:szCs w:val="18"/>
                <w:u w:val="none"/>
              </w:rPr>
            </w:pPr>
          </w:p>
        </w:tc>
        <w:tc>
          <w:tcPr>
            <w:tcW w:w="230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D4AAB1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保障机关基本运转以及各项工作的顺利开展</w:t>
            </w:r>
          </w:p>
        </w:tc>
        <w:tc>
          <w:tcPr>
            <w:tcW w:w="173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B4A79E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保障机关基本运转以及各项工作的顺利开展</w:t>
            </w:r>
          </w:p>
        </w:tc>
      </w:tr>
      <w:tr w14:paraId="7C542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F53C6">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933C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2.项目实施内容及过程概述</w:t>
            </w:r>
          </w:p>
        </w:tc>
        <w:tc>
          <w:tcPr>
            <w:tcW w:w="4041"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6D6975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保障机关基本运转以及各项工作的顺利开展</w:t>
            </w:r>
          </w:p>
        </w:tc>
      </w:tr>
      <w:tr w14:paraId="52BE6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A1AF5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预算执行情况（10分）</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2A71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年度预算数（万元）</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CB39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年初预算</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2439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调整后预算数</w:t>
            </w: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777D1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预算执行数</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D686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预算执行率</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1C68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权重</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E9DF5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得分</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1F633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原因</w:t>
            </w:r>
          </w:p>
        </w:tc>
      </w:tr>
      <w:tr w14:paraId="4A972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1FA0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4DEC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总额</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8990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8A2C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104.19</w:t>
            </w: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71039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104.19</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DDB0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8C2D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D0B3A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73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D9377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支付机关基本运转以及各项工作开展的相关费用。</w:t>
            </w:r>
          </w:p>
        </w:tc>
      </w:tr>
      <w:tr w14:paraId="160BA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8C29C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075C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其中：财政资金</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6521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5FCC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104.19</w:t>
            </w: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32E0F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104.19</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97C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E35E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7B11B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73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D98D8">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val="0"/>
                <w:iCs w:val="0"/>
                <w:color w:val="000000"/>
                <w:sz w:val="18"/>
                <w:szCs w:val="18"/>
                <w:u w:val="none"/>
              </w:rPr>
            </w:pPr>
          </w:p>
        </w:tc>
      </w:tr>
      <w:tr w14:paraId="68902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FA54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167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财政专户管理资金</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D1A9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7A07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1C7C7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05BD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D8CB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5D0FA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73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6D200">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val="0"/>
                <w:iCs w:val="0"/>
                <w:color w:val="000000"/>
                <w:sz w:val="18"/>
                <w:szCs w:val="18"/>
                <w:u w:val="none"/>
              </w:rPr>
            </w:pPr>
          </w:p>
        </w:tc>
      </w:tr>
      <w:tr w14:paraId="4BCCF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780F0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2311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单位资金</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024F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E0BF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CC942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C16F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FE4C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960AD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73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EADCF8">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val="0"/>
                <w:iCs w:val="0"/>
                <w:color w:val="000000"/>
                <w:sz w:val="18"/>
                <w:szCs w:val="18"/>
                <w:u w:val="none"/>
              </w:rPr>
            </w:pPr>
          </w:p>
        </w:tc>
      </w:tr>
      <w:tr w14:paraId="7EB24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352"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703C9BC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auto" w:sz="4" w:space="0"/>
              <w:right w:val="single" w:color="000000" w:sz="4" w:space="0"/>
            </w:tcBorders>
            <w:shd w:val="clear" w:color="auto" w:fill="auto"/>
            <w:vAlign w:val="center"/>
          </w:tcPr>
          <w:p w14:paraId="1B43574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其他资金</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0424F">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35F95">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E20F00">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E14DD">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743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0773F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73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AF4C22">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val="0"/>
                <w:iCs w:val="0"/>
                <w:color w:val="000000"/>
                <w:sz w:val="18"/>
                <w:szCs w:val="18"/>
                <w:u w:val="none"/>
              </w:rPr>
            </w:pPr>
          </w:p>
        </w:tc>
      </w:tr>
      <w:tr w14:paraId="19140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352" w:type="pct"/>
            <w:vMerge w:val="restart"/>
            <w:tcBorders>
              <w:top w:val="single" w:color="auto" w:sz="4" w:space="0"/>
              <w:left w:val="single" w:color="auto" w:sz="4" w:space="0"/>
              <w:right w:val="single" w:color="000000" w:sz="4" w:space="0"/>
            </w:tcBorders>
            <w:shd w:val="clear" w:color="auto" w:fill="auto"/>
            <w:vAlign w:val="center"/>
          </w:tcPr>
          <w:p w14:paraId="262BEA4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绩效指标（90分）</w:t>
            </w:r>
          </w:p>
        </w:tc>
        <w:tc>
          <w:tcPr>
            <w:tcW w:w="606" w:type="pct"/>
            <w:tcBorders>
              <w:top w:val="single" w:color="auto" w:sz="4" w:space="0"/>
              <w:left w:val="single" w:color="000000" w:sz="4" w:space="0"/>
              <w:bottom w:val="single" w:color="000000" w:sz="4" w:space="0"/>
              <w:right w:val="single" w:color="auto" w:sz="4" w:space="0"/>
            </w:tcBorders>
            <w:shd w:val="clear" w:color="auto" w:fill="auto"/>
            <w:vAlign w:val="center"/>
          </w:tcPr>
          <w:p w14:paraId="70ED704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一级指标</w:t>
            </w:r>
          </w:p>
        </w:tc>
        <w:tc>
          <w:tcPr>
            <w:tcW w:w="518" w:type="pct"/>
            <w:tcBorders>
              <w:top w:val="single" w:color="000000" w:sz="4" w:space="0"/>
              <w:left w:val="single" w:color="auto" w:sz="4" w:space="0"/>
              <w:bottom w:val="single" w:color="000000" w:sz="4" w:space="0"/>
              <w:right w:val="single" w:color="000000" w:sz="4" w:space="0"/>
            </w:tcBorders>
            <w:shd w:val="clear" w:color="auto" w:fill="auto"/>
            <w:vAlign w:val="center"/>
          </w:tcPr>
          <w:p w14:paraId="3136106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二级指标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E972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三级指标</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D6EF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指标性质</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FED3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指标值</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31F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度量单位</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FA1D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完成值</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4FF3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权重</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CA2C0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得分</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B6416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未完成原因分析</w:t>
            </w:r>
          </w:p>
        </w:tc>
      </w:tr>
      <w:tr w14:paraId="32245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352" w:type="pct"/>
            <w:vMerge w:val="continue"/>
            <w:tcBorders>
              <w:left w:val="single" w:color="auto" w:sz="4" w:space="0"/>
              <w:right w:val="single" w:color="000000" w:sz="4" w:space="0"/>
            </w:tcBorders>
            <w:shd w:val="clear" w:color="auto" w:fill="auto"/>
            <w:vAlign w:val="center"/>
          </w:tcPr>
          <w:p w14:paraId="6141DAC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restart"/>
            <w:tcBorders>
              <w:top w:val="single" w:color="000000" w:sz="4" w:space="0"/>
              <w:left w:val="single" w:color="000000" w:sz="4" w:space="0"/>
              <w:right w:val="single" w:color="auto" w:sz="4" w:space="0"/>
            </w:tcBorders>
            <w:shd w:val="clear" w:color="auto" w:fill="auto"/>
            <w:vAlign w:val="center"/>
          </w:tcPr>
          <w:p w14:paraId="65B8AF1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产出指标</w:t>
            </w:r>
          </w:p>
          <w:p w14:paraId="1D9360B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518" w:type="pct"/>
            <w:tcBorders>
              <w:top w:val="single" w:color="000000" w:sz="4" w:space="0"/>
              <w:left w:val="single" w:color="auto" w:sz="4" w:space="0"/>
              <w:bottom w:val="single" w:color="000000" w:sz="4" w:space="0"/>
              <w:right w:val="single" w:color="000000" w:sz="4" w:space="0"/>
            </w:tcBorders>
            <w:shd w:val="clear" w:color="auto" w:fill="auto"/>
            <w:vAlign w:val="center"/>
          </w:tcPr>
          <w:p w14:paraId="08CF622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时效指标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8C56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1年内</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F340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1F1D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1</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079D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年</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4A0C8">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val="0"/>
                <w:iCs w:val="0"/>
                <w:color w:val="000000"/>
                <w:kern w:val="2"/>
                <w:sz w:val="16"/>
                <w:szCs w:val="16"/>
                <w:u w:val="none"/>
                <w:lang w:val="en-US" w:eastAsia="zh-CN" w:bidi="ar-SA"/>
              </w:rPr>
            </w:pPr>
            <w:r>
              <w:rPr>
                <w:rFonts w:hint="eastAsia" w:ascii="微软雅黑" w:hAnsi="微软雅黑" w:eastAsia="微软雅黑" w:cs="微软雅黑"/>
                <w:i w:val="0"/>
                <w:iCs w:val="0"/>
                <w:color w:val="000000"/>
                <w:sz w:val="16"/>
                <w:szCs w:val="16"/>
                <w:u w:val="none"/>
                <w:lang w:val="en-US" w:eastAsia="zh-CN"/>
              </w:rPr>
              <w:t>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85E6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15</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CB150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15</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080629">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3F400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352" w:type="pct"/>
            <w:vMerge w:val="continue"/>
            <w:tcBorders>
              <w:left w:val="single" w:color="auto" w:sz="4" w:space="0"/>
              <w:right w:val="single" w:color="000000" w:sz="4" w:space="0"/>
            </w:tcBorders>
            <w:shd w:val="clear" w:color="auto" w:fill="auto"/>
            <w:vAlign w:val="center"/>
          </w:tcPr>
          <w:p w14:paraId="4EE27C3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continue"/>
            <w:tcBorders>
              <w:left w:val="single" w:color="000000" w:sz="4" w:space="0"/>
              <w:right w:val="single" w:color="auto" w:sz="4" w:space="0"/>
            </w:tcBorders>
            <w:shd w:val="clear" w:color="auto" w:fill="auto"/>
            <w:vAlign w:val="center"/>
          </w:tcPr>
          <w:p w14:paraId="0AEED7E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518" w:type="pct"/>
            <w:tcBorders>
              <w:top w:val="single" w:color="000000" w:sz="4" w:space="0"/>
              <w:left w:val="single" w:color="auto" w:sz="4" w:space="0"/>
              <w:bottom w:val="single" w:color="000000" w:sz="4" w:space="0"/>
              <w:right w:val="single" w:color="000000" w:sz="4" w:space="0"/>
            </w:tcBorders>
            <w:shd w:val="clear" w:color="auto" w:fill="auto"/>
            <w:vAlign w:val="center"/>
          </w:tcPr>
          <w:p w14:paraId="7C8C71D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成本指标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CC6B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控制在</w:t>
            </w:r>
            <w:r>
              <w:rPr>
                <w:rFonts w:hint="eastAsia" w:ascii="宋体" w:hAnsi="宋体" w:cs="宋体"/>
                <w:i w:val="0"/>
                <w:iCs w:val="0"/>
                <w:color w:val="000000"/>
                <w:sz w:val="18"/>
                <w:szCs w:val="18"/>
                <w:u w:val="none"/>
                <w:lang w:val="en-US" w:eastAsia="zh-CN"/>
              </w:rPr>
              <w:t>100万以内</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CC99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1390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105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D45D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万元</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4D572">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val="0"/>
                <w:iCs w:val="0"/>
                <w:color w:val="000000"/>
                <w:kern w:val="2"/>
                <w:sz w:val="16"/>
                <w:szCs w:val="16"/>
                <w:u w:val="none"/>
                <w:lang w:val="en-US" w:eastAsia="zh-CN" w:bidi="ar-SA"/>
              </w:rPr>
            </w:pPr>
            <w:r>
              <w:rPr>
                <w:rFonts w:hint="eastAsia" w:ascii="微软雅黑" w:hAnsi="微软雅黑" w:eastAsia="微软雅黑" w:cs="微软雅黑"/>
                <w:i w:val="0"/>
                <w:iCs w:val="0"/>
                <w:color w:val="000000"/>
                <w:sz w:val="16"/>
                <w:szCs w:val="16"/>
                <w:u w:val="none"/>
                <w:lang w:val="en-US" w:eastAsia="zh-CN"/>
              </w:rPr>
              <w:t>104</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E45BD">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15</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CBD8E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15</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346C9D">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6F642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352" w:type="pct"/>
            <w:vMerge w:val="continue"/>
            <w:tcBorders>
              <w:left w:val="single" w:color="auto" w:sz="4" w:space="0"/>
              <w:right w:val="single" w:color="000000" w:sz="4" w:space="0"/>
            </w:tcBorders>
            <w:shd w:val="clear" w:color="auto" w:fill="auto"/>
            <w:vAlign w:val="center"/>
          </w:tcPr>
          <w:p w14:paraId="2B3DDA4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continue"/>
            <w:tcBorders>
              <w:left w:val="single" w:color="000000" w:sz="4" w:space="0"/>
              <w:right w:val="single" w:color="auto" w:sz="4" w:space="0"/>
            </w:tcBorders>
            <w:shd w:val="clear" w:color="auto" w:fill="auto"/>
            <w:vAlign w:val="center"/>
          </w:tcPr>
          <w:p w14:paraId="690D655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518" w:type="pct"/>
            <w:tcBorders>
              <w:top w:val="single" w:color="000000" w:sz="4" w:space="0"/>
              <w:left w:val="single" w:color="auto" w:sz="4" w:space="0"/>
              <w:bottom w:val="single" w:color="000000" w:sz="4" w:space="0"/>
              <w:right w:val="single" w:color="000000" w:sz="4" w:space="0"/>
            </w:tcBorders>
            <w:shd w:val="clear" w:color="auto" w:fill="auto"/>
            <w:vAlign w:val="center"/>
          </w:tcPr>
          <w:p w14:paraId="0A5DD0E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质量指标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3B7F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财政综合业务保质保量完成</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D2659">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定性</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4E2F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优良中低差</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8B60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63535">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val="0"/>
                <w:iCs w:val="0"/>
                <w:color w:val="000000"/>
                <w:kern w:val="2"/>
                <w:sz w:val="16"/>
                <w:szCs w:val="16"/>
                <w:u w:val="none"/>
                <w:lang w:val="en-US" w:eastAsia="zh-CN" w:bidi="ar-SA"/>
              </w:rPr>
            </w:pPr>
            <w:r>
              <w:rPr>
                <w:rFonts w:hint="eastAsia" w:ascii="微软雅黑" w:hAnsi="微软雅黑" w:eastAsia="微软雅黑" w:cs="微软雅黑"/>
                <w:i w:val="0"/>
                <w:iCs w:val="0"/>
                <w:color w:val="000000"/>
                <w:sz w:val="16"/>
                <w:szCs w:val="16"/>
                <w:u w:val="none"/>
                <w:lang w:eastAsia="zh-CN"/>
              </w:rPr>
              <w:t>良</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1272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15</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DFA4C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15</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62C13B">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4A5AC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352" w:type="pct"/>
            <w:vMerge w:val="continue"/>
            <w:tcBorders>
              <w:left w:val="single" w:color="auto" w:sz="4" w:space="0"/>
              <w:right w:val="single" w:color="000000" w:sz="4" w:space="0"/>
            </w:tcBorders>
            <w:shd w:val="clear" w:color="auto" w:fill="auto"/>
            <w:vAlign w:val="center"/>
          </w:tcPr>
          <w:p w14:paraId="7F9CFA8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continue"/>
            <w:tcBorders>
              <w:left w:val="single" w:color="000000" w:sz="4" w:space="0"/>
              <w:bottom w:val="single" w:color="000000" w:sz="4" w:space="0"/>
              <w:right w:val="single" w:color="auto" w:sz="4" w:space="0"/>
            </w:tcBorders>
            <w:shd w:val="clear" w:color="auto" w:fill="auto"/>
            <w:vAlign w:val="center"/>
          </w:tcPr>
          <w:p w14:paraId="343CA55D">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518" w:type="pct"/>
            <w:tcBorders>
              <w:top w:val="single" w:color="000000" w:sz="4" w:space="0"/>
              <w:left w:val="single" w:color="auto" w:sz="4" w:space="0"/>
              <w:bottom w:val="single" w:color="000000" w:sz="4" w:space="0"/>
              <w:right w:val="single" w:color="000000" w:sz="4" w:space="0"/>
            </w:tcBorders>
            <w:shd w:val="clear" w:color="auto" w:fill="auto"/>
            <w:vAlign w:val="center"/>
          </w:tcPr>
          <w:p w14:paraId="7453C0F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质量指标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9F6F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预算执行率</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1A12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8014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90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9A33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03931">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val="0"/>
                <w:iCs w:val="0"/>
                <w:color w:val="000000"/>
                <w:kern w:val="2"/>
                <w:sz w:val="16"/>
                <w:szCs w:val="16"/>
                <w:u w:val="none"/>
                <w:lang w:val="en-US" w:eastAsia="zh-CN" w:bidi="ar-SA"/>
              </w:rPr>
            </w:pPr>
            <w:r>
              <w:rPr>
                <w:rFonts w:hint="eastAsia" w:ascii="微软雅黑" w:hAnsi="微软雅黑" w:eastAsia="微软雅黑" w:cs="微软雅黑"/>
                <w:i w:val="0"/>
                <w:iCs w:val="0"/>
                <w:color w:val="000000"/>
                <w:sz w:val="16"/>
                <w:szCs w:val="16"/>
                <w:u w:val="none"/>
                <w:lang w:val="en-US" w:eastAsia="zh-CN"/>
              </w:rPr>
              <w:t>100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330F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15</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675AD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15</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D84A9D">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1A2E3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352" w:type="pct"/>
            <w:vMerge w:val="continue"/>
            <w:tcBorders>
              <w:left w:val="single" w:color="auto" w:sz="4" w:space="0"/>
              <w:bottom w:val="single" w:color="auto" w:sz="4" w:space="0"/>
              <w:right w:val="single" w:color="000000" w:sz="4" w:space="0"/>
            </w:tcBorders>
            <w:shd w:val="clear" w:color="auto" w:fill="auto"/>
            <w:vAlign w:val="center"/>
          </w:tcPr>
          <w:p w14:paraId="7EAE107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restart"/>
            <w:tcBorders>
              <w:top w:val="single" w:color="000000" w:sz="4" w:space="0"/>
              <w:left w:val="single" w:color="000000" w:sz="4" w:space="0"/>
              <w:bottom w:val="single" w:color="auto" w:sz="4" w:space="0"/>
              <w:right w:val="single" w:color="auto" w:sz="4" w:space="0"/>
            </w:tcBorders>
            <w:shd w:val="clear" w:color="auto" w:fill="auto"/>
            <w:vAlign w:val="center"/>
          </w:tcPr>
          <w:p w14:paraId="0519B8E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效益指标</w:t>
            </w:r>
          </w:p>
          <w:p w14:paraId="7985E56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518" w:type="pct"/>
            <w:tcBorders>
              <w:top w:val="single" w:color="000000" w:sz="4" w:space="0"/>
              <w:left w:val="single" w:color="auto" w:sz="4" w:space="0"/>
              <w:bottom w:val="single" w:color="000000" w:sz="4" w:space="0"/>
              <w:right w:val="single" w:color="000000" w:sz="4" w:space="0"/>
            </w:tcBorders>
            <w:shd w:val="clear" w:color="auto" w:fill="auto"/>
            <w:vAlign w:val="center"/>
          </w:tcPr>
          <w:p w14:paraId="031A6E6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经济效益指标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A505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保障财政资金的有效利用</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285D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定性</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6933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优良中低差</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C0D1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F090D">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val="0"/>
                <w:iCs w:val="0"/>
                <w:color w:val="000000"/>
                <w:kern w:val="2"/>
                <w:sz w:val="16"/>
                <w:szCs w:val="16"/>
                <w:u w:val="none"/>
                <w:lang w:val="en-US" w:eastAsia="zh-CN" w:bidi="ar-SA"/>
              </w:rPr>
            </w:pPr>
            <w:r>
              <w:rPr>
                <w:rFonts w:hint="eastAsia" w:ascii="微软雅黑" w:hAnsi="微软雅黑" w:eastAsia="微软雅黑" w:cs="微软雅黑"/>
                <w:i w:val="0"/>
                <w:iCs w:val="0"/>
                <w:color w:val="000000"/>
                <w:sz w:val="16"/>
                <w:szCs w:val="16"/>
                <w:u w:val="none"/>
                <w:lang w:eastAsia="zh-CN"/>
              </w:rPr>
              <w:t>良</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0D52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10</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DDF49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10</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B57671">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464A2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352" w:type="pct"/>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235916F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4BFE361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518" w:type="pct"/>
            <w:tcBorders>
              <w:top w:val="single" w:color="000000" w:sz="4" w:space="0"/>
              <w:left w:val="single" w:color="auto" w:sz="4" w:space="0"/>
              <w:bottom w:val="single" w:color="000000" w:sz="4" w:space="0"/>
              <w:right w:val="single" w:color="000000" w:sz="4" w:space="0"/>
            </w:tcBorders>
            <w:shd w:val="clear" w:color="auto" w:fill="auto"/>
            <w:vAlign w:val="center"/>
          </w:tcPr>
          <w:p w14:paraId="184E97E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社会效益指标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AF5D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保障财政资金正常运转</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0360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定性</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6488D">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优良中低差</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6721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16314">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val="0"/>
                <w:iCs w:val="0"/>
                <w:color w:val="000000"/>
                <w:kern w:val="2"/>
                <w:sz w:val="16"/>
                <w:szCs w:val="16"/>
                <w:u w:val="none"/>
                <w:lang w:val="en-US" w:eastAsia="zh-CN" w:bidi="ar-SA"/>
              </w:rPr>
            </w:pPr>
            <w:r>
              <w:rPr>
                <w:rFonts w:hint="eastAsia" w:ascii="微软雅黑" w:hAnsi="微软雅黑" w:eastAsia="微软雅黑" w:cs="微软雅黑"/>
                <w:i w:val="0"/>
                <w:iCs w:val="0"/>
                <w:color w:val="000000"/>
                <w:sz w:val="16"/>
                <w:szCs w:val="16"/>
                <w:u w:val="none"/>
                <w:lang w:eastAsia="zh-CN"/>
              </w:rPr>
              <w:t>良</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86D6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10</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56FD3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10</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3839C0">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0BA84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352"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14:paraId="30177CA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auto" w:sz="4" w:space="0"/>
              <w:left w:val="single" w:color="000000" w:sz="4" w:space="0"/>
              <w:bottom w:val="single" w:color="000000" w:sz="4" w:space="0"/>
              <w:right w:val="single" w:color="000000" w:sz="4" w:space="0"/>
            </w:tcBorders>
            <w:shd w:val="clear" w:color="auto" w:fill="auto"/>
            <w:vAlign w:val="center"/>
          </w:tcPr>
          <w:p w14:paraId="2CE9872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满意度指标</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1B32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服务对象满意度指标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D7FB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服务对象满意率</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8CFC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A6B7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95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8A6C9">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73CAE">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val="0"/>
                <w:iCs w:val="0"/>
                <w:color w:val="000000"/>
                <w:kern w:val="2"/>
                <w:sz w:val="16"/>
                <w:szCs w:val="16"/>
                <w:u w:val="none"/>
                <w:lang w:val="en-US" w:eastAsia="zh-CN" w:bidi="ar-SA"/>
              </w:rPr>
            </w:pPr>
            <w:r>
              <w:rPr>
                <w:rFonts w:hint="eastAsia" w:ascii="微软雅黑" w:hAnsi="微软雅黑" w:eastAsia="微软雅黑" w:cs="微软雅黑"/>
                <w:i w:val="0"/>
                <w:iCs w:val="0"/>
                <w:color w:val="000000"/>
                <w:sz w:val="16"/>
                <w:szCs w:val="16"/>
                <w:u w:val="none"/>
                <w:lang w:val="en-US" w:eastAsia="zh-CN"/>
              </w:rPr>
              <w:t>100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B485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10</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B5CEB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10</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F65D31">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37E77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372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14BD20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合计</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97D8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328468">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100</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DC7E77">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iCs w:val="0"/>
                <w:color w:val="000000"/>
                <w:sz w:val="18"/>
                <w:szCs w:val="18"/>
                <w:u w:val="none"/>
              </w:rPr>
            </w:pPr>
          </w:p>
        </w:tc>
      </w:tr>
      <w:tr w14:paraId="26688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0520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评价结论</w:t>
            </w:r>
          </w:p>
        </w:tc>
        <w:tc>
          <w:tcPr>
            <w:tcW w:w="4647"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59BB28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项目自评总分 100 分，保障机关基本运转以及各项工作的顺利开展</w:t>
            </w:r>
          </w:p>
        </w:tc>
      </w:tr>
      <w:tr w14:paraId="4F0DE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8756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存在问题</w:t>
            </w:r>
          </w:p>
        </w:tc>
        <w:tc>
          <w:tcPr>
            <w:tcW w:w="4647"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6F9294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无</w:t>
            </w:r>
          </w:p>
        </w:tc>
      </w:tr>
      <w:tr w14:paraId="43EAB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BBAB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改进措施</w:t>
            </w:r>
          </w:p>
        </w:tc>
        <w:tc>
          <w:tcPr>
            <w:tcW w:w="4647"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7E1FE6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无</w:t>
            </w:r>
          </w:p>
        </w:tc>
      </w:tr>
      <w:tr w14:paraId="55E34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5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9A94D4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项目负责人：孙余娇</w:t>
            </w:r>
          </w:p>
        </w:tc>
        <w:tc>
          <w:tcPr>
            <w:tcW w:w="254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A9DB9D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财务负责人：王敏</w:t>
            </w:r>
          </w:p>
        </w:tc>
      </w:tr>
      <w:tr w14:paraId="48D47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5000"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36EBEB6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rPr>
              <w:t>部门预算项目支出绩效自评表（2022年度）</w:t>
            </w:r>
          </w:p>
        </w:tc>
      </w:tr>
      <w:tr w14:paraId="0AE7E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9D679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项目名称</w:t>
            </w:r>
          </w:p>
        </w:tc>
        <w:tc>
          <w:tcPr>
            <w:tcW w:w="4041"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0ADA06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51118123T000007858086-经济团队顾问经费</w:t>
            </w:r>
          </w:p>
        </w:tc>
      </w:tr>
      <w:tr w14:paraId="7632F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622AE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主管部门</w:t>
            </w:r>
          </w:p>
        </w:tc>
        <w:tc>
          <w:tcPr>
            <w:tcW w:w="230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B4934C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财政局</w:t>
            </w:r>
          </w:p>
        </w:tc>
        <w:tc>
          <w:tcPr>
            <w:tcW w:w="459" w:type="pct"/>
            <w:tcBorders>
              <w:top w:val="nil"/>
              <w:left w:val="nil"/>
              <w:bottom w:val="nil"/>
              <w:right w:val="nil"/>
            </w:tcBorders>
            <w:shd w:val="clear" w:color="auto" w:fill="auto"/>
            <w:vAlign w:val="center"/>
          </w:tcPr>
          <w:p w14:paraId="1CF9F95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实施单位 （盖章）</w:t>
            </w:r>
          </w:p>
        </w:tc>
        <w:tc>
          <w:tcPr>
            <w:tcW w:w="12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B98FCC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峨眉山市财政局</w:t>
            </w:r>
          </w:p>
        </w:tc>
      </w:tr>
      <w:tr w14:paraId="5C6C4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EDAE9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项目基本情况</w:t>
            </w:r>
          </w:p>
        </w:tc>
        <w:tc>
          <w:tcPr>
            <w:tcW w:w="6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88F07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1.项目年度目标完成情况</w:t>
            </w:r>
          </w:p>
        </w:tc>
        <w:tc>
          <w:tcPr>
            <w:tcW w:w="230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F49E6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项目年度目标</w:t>
            </w:r>
          </w:p>
        </w:tc>
        <w:tc>
          <w:tcPr>
            <w:tcW w:w="173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F2CEB9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年度目标完成情况</w:t>
            </w:r>
          </w:p>
        </w:tc>
      </w:tr>
      <w:tr w14:paraId="11C4B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FD56DC">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iCs w:val="0"/>
                <w:color w:val="000000"/>
                <w:sz w:val="18"/>
                <w:szCs w:val="18"/>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342B29">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iCs w:val="0"/>
                <w:color w:val="000000"/>
                <w:sz w:val="18"/>
                <w:szCs w:val="18"/>
                <w:u w:val="none"/>
              </w:rPr>
            </w:pPr>
          </w:p>
        </w:tc>
        <w:tc>
          <w:tcPr>
            <w:tcW w:w="230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308625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及时足额保障经济团队顾问经费。</w:t>
            </w:r>
          </w:p>
        </w:tc>
        <w:tc>
          <w:tcPr>
            <w:tcW w:w="173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47D187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及时足额保障经济团队顾问经费。</w:t>
            </w:r>
          </w:p>
        </w:tc>
      </w:tr>
      <w:tr w14:paraId="5AD7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BFB44A">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DB21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2.项目实施内容及过程概述</w:t>
            </w:r>
          </w:p>
        </w:tc>
        <w:tc>
          <w:tcPr>
            <w:tcW w:w="4041"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CE3E16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及时足额保障经济团队顾问经费。</w:t>
            </w:r>
          </w:p>
        </w:tc>
      </w:tr>
      <w:tr w14:paraId="536A3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79E36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预算执行情况（10分）</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C5AE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年度预算数（万元）</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7416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年初预算</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A035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调整后预算数</w:t>
            </w: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C2DC8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预算执行数</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3B20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预算执行率</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6A7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权重</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9C8AB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得分</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D0FDF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原因</w:t>
            </w:r>
          </w:p>
        </w:tc>
      </w:tr>
      <w:tr w14:paraId="5BC5D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C32FD">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ADB0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总额</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A0C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A89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24.00</w:t>
            </w: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280C2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24.00</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8C77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08A0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5E49F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73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B79EC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支付经济团队顾问费用。</w:t>
            </w:r>
          </w:p>
        </w:tc>
      </w:tr>
      <w:tr w14:paraId="106A4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497CD">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2466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其中：财政资金</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95DD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4D5B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24.00</w:t>
            </w: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18E10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24.00</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015D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850F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19168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73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2F8CE5">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val="0"/>
                <w:iCs w:val="0"/>
                <w:color w:val="000000"/>
                <w:sz w:val="18"/>
                <w:szCs w:val="18"/>
                <w:u w:val="none"/>
              </w:rPr>
            </w:pPr>
          </w:p>
        </w:tc>
      </w:tr>
      <w:tr w14:paraId="562BB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D8B57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D6E3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财政专户管理资金</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9F63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E684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1FA44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061B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474E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86569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73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159FD">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val="0"/>
                <w:iCs w:val="0"/>
                <w:color w:val="000000"/>
                <w:sz w:val="18"/>
                <w:szCs w:val="18"/>
                <w:u w:val="none"/>
              </w:rPr>
            </w:pPr>
          </w:p>
        </w:tc>
      </w:tr>
      <w:tr w14:paraId="14BB0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EC2DC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2521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单位资金</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E8EA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66CD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08499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613A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66EC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E1658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73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D1F16">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val="0"/>
                <w:iCs w:val="0"/>
                <w:color w:val="000000"/>
                <w:sz w:val="18"/>
                <w:szCs w:val="18"/>
                <w:u w:val="none"/>
              </w:rPr>
            </w:pPr>
          </w:p>
        </w:tc>
      </w:tr>
      <w:tr w14:paraId="625DC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352"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7371552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auto" w:sz="4" w:space="0"/>
              <w:right w:val="single" w:color="000000" w:sz="4" w:space="0"/>
            </w:tcBorders>
            <w:shd w:val="clear" w:color="auto" w:fill="auto"/>
            <w:vAlign w:val="center"/>
          </w:tcPr>
          <w:p w14:paraId="744CD25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其他资金</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CEADB">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DEB39">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5057CC">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F5937">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4CB3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30EEE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73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94950">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val="0"/>
                <w:iCs w:val="0"/>
                <w:color w:val="000000"/>
                <w:sz w:val="18"/>
                <w:szCs w:val="18"/>
                <w:u w:val="none"/>
              </w:rPr>
            </w:pPr>
          </w:p>
        </w:tc>
      </w:tr>
      <w:tr w14:paraId="14DD9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352" w:type="pct"/>
            <w:vMerge w:val="restart"/>
            <w:tcBorders>
              <w:top w:val="single" w:color="auto" w:sz="4" w:space="0"/>
              <w:left w:val="single" w:color="auto" w:sz="4" w:space="0"/>
              <w:right w:val="single" w:color="000000" w:sz="4" w:space="0"/>
            </w:tcBorders>
            <w:shd w:val="clear" w:color="auto" w:fill="auto"/>
            <w:vAlign w:val="center"/>
          </w:tcPr>
          <w:p w14:paraId="607B7F5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绩效指标（90分）</w:t>
            </w:r>
          </w:p>
        </w:tc>
        <w:tc>
          <w:tcPr>
            <w:tcW w:w="606" w:type="pct"/>
            <w:tcBorders>
              <w:top w:val="single" w:color="auto" w:sz="4" w:space="0"/>
              <w:left w:val="single" w:color="000000" w:sz="4" w:space="0"/>
              <w:bottom w:val="single" w:color="000000" w:sz="4" w:space="0"/>
              <w:right w:val="single" w:color="auto" w:sz="4" w:space="0"/>
            </w:tcBorders>
            <w:shd w:val="clear" w:color="auto" w:fill="auto"/>
            <w:vAlign w:val="center"/>
          </w:tcPr>
          <w:p w14:paraId="1987E60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一级指标</w:t>
            </w:r>
          </w:p>
        </w:tc>
        <w:tc>
          <w:tcPr>
            <w:tcW w:w="518" w:type="pct"/>
            <w:tcBorders>
              <w:top w:val="single" w:color="000000" w:sz="4" w:space="0"/>
              <w:left w:val="single" w:color="auto" w:sz="4" w:space="0"/>
              <w:bottom w:val="single" w:color="000000" w:sz="4" w:space="0"/>
              <w:right w:val="single" w:color="000000" w:sz="4" w:space="0"/>
            </w:tcBorders>
            <w:shd w:val="clear" w:color="auto" w:fill="auto"/>
            <w:vAlign w:val="center"/>
          </w:tcPr>
          <w:p w14:paraId="3E72296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二级指标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FA06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三级指标</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108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指标性质</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BB57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指标值</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D148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度量单位</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5CB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完成值</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FD42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权重</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F66D6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得分</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3C92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未完成原因分析</w:t>
            </w:r>
          </w:p>
        </w:tc>
      </w:tr>
      <w:tr w14:paraId="00298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352" w:type="pct"/>
            <w:vMerge w:val="continue"/>
            <w:tcBorders>
              <w:left w:val="single" w:color="auto" w:sz="4" w:space="0"/>
              <w:right w:val="single" w:color="000000" w:sz="4" w:space="0"/>
            </w:tcBorders>
            <w:shd w:val="clear" w:color="auto" w:fill="auto"/>
            <w:vAlign w:val="center"/>
          </w:tcPr>
          <w:p w14:paraId="05C25C4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restart"/>
            <w:tcBorders>
              <w:top w:val="single" w:color="000000" w:sz="4" w:space="0"/>
              <w:left w:val="single" w:color="000000" w:sz="4" w:space="0"/>
              <w:right w:val="single" w:color="auto" w:sz="4" w:space="0"/>
            </w:tcBorders>
            <w:shd w:val="clear" w:color="auto" w:fill="auto"/>
            <w:vAlign w:val="center"/>
          </w:tcPr>
          <w:p w14:paraId="0406F747">
            <w:pPr>
              <w:keepNext w:val="0"/>
              <w:keepLines w:val="0"/>
              <w:pageBreakBefore w:val="0"/>
              <w:kinsoku/>
              <w:wordWrap/>
              <w:overflowPunct/>
              <w:topLinePunct w:val="0"/>
              <w:autoSpaceDE/>
              <w:autoSpaceDN/>
              <w:bidi w:val="0"/>
              <w:adjustRightInd/>
              <w:snapToGrid/>
              <w:spacing w:line="280" w:lineRule="exact"/>
              <w:jc w:val="both"/>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产出指标</w:t>
            </w:r>
          </w:p>
          <w:p w14:paraId="21F42EA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518" w:type="pct"/>
            <w:tcBorders>
              <w:top w:val="single" w:color="000000" w:sz="4" w:space="0"/>
              <w:left w:val="single" w:color="auto" w:sz="4" w:space="0"/>
              <w:bottom w:val="single" w:color="000000" w:sz="4" w:space="0"/>
              <w:right w:val="single" w:color="000000" w:sz="4" w:space="0"/>
            </w:tcBorders>
            <w:shd w:val="clear" w:color="auto" w:fill="auto"/>
            <w:vAlign w:val="center"/>
          </w:tcPr>
          <w:p w14:paraId="5C23192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数量指标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1B61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财务报告出具数量</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DAB9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D410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38</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2E3C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份</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58C08">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val="0"/>
                <w:iCs w:val="0"/>
                <w:color w:val="000000"/>
                <w:kern w:val="2"/>
                <w:sz w:val="16"/>
                <w:szCs w:val="16"/>
                <w:u w:val="none"/>
                <w:lang w:val="en-US" w:eastAsia="zh-CN" w:bidi="ar-SA"/>
              </w:rPr>
            </w:pPr>
            <w:r>
              <w:rPr>
                <w:rFonts w:hint="eastAsia" w:ascii="微软雅黑" w:hAnsi="微软雅黑" w:eastAsia="微软雅黑" w:cs="微软雅黑"/>
                <w:i w:val="0"/>
                <w:iCs w:val="0"/>
                <w:color w:val="000000"/>
                <w:sz w:val="16"/>
                <w:szCs w:val="16"/>
                <w:u w:val="none"/>
                <w:lang w:val="en-US" w:eastAsia="zh-CN"/>
              </w:rPr>
              <w:t>38</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C456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20</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412BD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20</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94672D">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06419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352" w:type="pct"/>
            <w:vMerge w:val="continue"/>
            <w:tcBorders>
              <w:left w:val="single" w:color="auto" w:sz="4" w:space="0"/>
              <w:right w:val="single" w:color="000000" w:sz="4" w:space="0"/>
            </w:tcBorders>
            <w:shd w:val="clear" w:color="auto" w:fill="auto"/>
            <w:vAlign w:val="center"/>
          </w:tcPr>
          <w:p w14:paraId="01682AB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continue"/>
            <w:tcBorders>
              <w:left w:val="single" w:color="000000" w:sz="4" w:space="0"/>
              <w:bottom w:val="single" w:color="000000" w:sz="4" w:space="0"/>
              <w:right w:val="single" w:color="auto" w:sz="4" w:space="0"/>
            </w:tcBorders>
            <w:shd w:val="clear" w:color="auto" w:fill="auto"/>
            <w:vAlign w:val="center"/>
          </w:tcPr>
          <w:p w14:paraId="0C13F95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518" w:type="pct"/>
            <w:tcBorders>
              <w:top w:val="single" w:color="000000" w:sz="4" w:space="0"/>
              <w:left w:val="single" w:color="auto" w:sz="4" w:space="0"/>
              <w:bottom w:val="single" w:color="000000" w:sz="4" w:space="0"/>
              <w:right w:val="single" w:color="000000" w:sz="4" w:space="0"/>
            </w:tcBorders>
            <w:shd w:val="clear" w:color="auto" w:fill="auto"/>
            <w:vAlign w:val="center"/>
          </w:tcPr>
          <w:p w14:paraId="472131F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质量指标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54A5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债务工作解决完成度</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5371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FD42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95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DEA8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5C5A6">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val="0"/>
                <w:iCs w:val="0"/>
                <w:color w:val="000000"/>
                <w:kern w:val="2"/>
                <w:sz w:val="16"/>
                <w:szCs w:val="16"/>
                <w:u w:val="none"/>
                <w:lang w:val="en-US" w:eastAsia="zh-CN" w:bidi="ar-SA"/>
              </w:rPr>
            </w:pPr>
            <w:r>
              <w:rPr>
                <w:rFonts w:hint="eastAsia" w:ascii="微软雅黑" w:hAnsi="微软雅黑" w:eastAsia="微软雅黑" w:cs="微软雅黑"/>
                <w:i w:val="0"/>
                <w:iCs w:val="0"/>
                <w:color w:val="000000"/>
                <w:sz w:val="16"/>
                <w:szCs w:val="16"/>
                <w:u w:val="none"/>
                <w:lang w:val="en-US" w:eastAsia="zh-CN"/>
              </w:rPr>
              <w:t>100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EEDDD">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20</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DE7E6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20</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0C5FD7">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3F4EF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352" w:type="pct"/>
            <w:vMerge w:val="continue"/>
            <w:tcBorders>
              <w:left w:val="single" w:color="auto" w:sz="4" w:space="0"/>
              <w:bottom w:val="single" w:color="auto" w:sz="4" w:space="0"/>
              <w:right w:val="single" w:color="000000" w:sz="4" w:space="0"/>
            </w:tcBorders>
            <w:shd w:val="clear" w:color="auto" w:fill="auto"/>
            <w:vAlign w:val="center"/>
          </w:tcPr>
          <w:p w14:paraId="431936C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restart"/>
            <w:tcBorders>
              <w:top w:val="single" w:color="000000" w:sz="4" w:space="0"/>
              <w:left w:val="single" w:color="000000" w:sz="4" w:space="0"/>
              <w:bottom w:val="single" w:color="auto" w:sz="4" w:space="0"/>
              <w:right w:val="single" w:color="auto" w:sz="4" w:space="0"/>
            </w:tcBorders>
            <w:shd w:val="clear" w:color="auto" w:fill="auto"/>
            <w:vAlign w:val="center"/>
          </w:tcPr>
          <w:p w14:paraId="70DB0AF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效益指标</w:t>
            </w:r>
          </w:p>
          <w:p w14:paraId="76F4F03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518" w:type="pct"/>
            <w:tcBorders>
              <w:top w:val="single" w:color="000000" w:sz="4" w:space="0"/>
              <w:left w:val="single" w:color="auto" w:sz="4" w:space="0"/>
              <w:bottom w:val="single" w:color="000000" w:sz="4" w:space="0"/>
              <w:right w:val="single" w:color="000000" w:sz="4" w:space="0"/>
            </w:tcBorders>
            <w:shd w:val="clear" w:color="auto" w:fill="auto"/>
            <w:vAlign w:val="center"/>
          </w:tcPr>
          <w:p w14:paraId="24565BB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可持续影响指标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90C3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债务工作解决时效性</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AA54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794E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95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52F7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92668">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val="0"/>
                <w:iCs w:val="0"/>
                <w:color w:val="000000"/>
                <w:kern w:val="2"/>
                <w:sz w:val="16"/>
                <w:szCs w:val="16"/>
                <w:u w:val="none"/>
                <w:lang w:val="en-US" w:eastAsia="zh-CN" w:bidi="ar-SA"/>
              </w:rPr>
            </w:pPr>
            <w:r>
              <w:rPr>
                <w:rFonts w:hint="eastAsia" w:ascii="微软雅黑" w:hAnsi="微软雅黑" w:eastAsia="微软雅黑" w:cs="微软雅黑"/>
                <w:i w:val="0"/>
                <w:iCs w:val="0"/>
                <w:color w:val="000000"/>
                <w:sz w:val="16"/>
                <w:szCs w:val="16"/>
                <w:u w:val="none"/>
                <w:lang w:val="en-US" w:eastAsia="zh-CN"/>
              </w:rPr>
              <w:t>100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1112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15</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BF394D">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15</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755CF6">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12053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352" w:type="pct"/>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4B645B9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772109D9">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518" w:type="pct"/>
            <w:tcBorders>
              <w:top w:val="single" w:color="000000" w:sz="4" w:space="0"/>
              <w:left w:val="single" w:color="auto" w:sz="4" w:space="0"/>
              <w:bottom w:val="single" w:color="000000" w:sz="4" w:space="0"/>
              <w:right w:val="single" w:color="000000" w:sz="4" w:space="0"/>
            </w:tcBorders>
            <w:shd w:val="clear" w:color="auto" w:fill="auto"/>
            <w:vAlign w:val="center"/>
          </w:tcPr>
          <w:p w14:paraId="6F1E491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可持续发展指标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0214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推进专项债券发行工作</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8B44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定性</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EEFA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优良中低差</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772B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050F4">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val="0"/>
                <w:iCs w:val="0"/>
                <w:color w:val="000000"/>
                <w:kern w:val="2"/>
                <w:sz w:val="16"/>
                <w:szCs w:val="16"/>
                <w:u w:val="none"/>
                <w:lang w:val="en-US" w:eastAsia="zh-CN" w:bidi="ar-SA"/>
              </w:rPr>
            </w:pPr>
            <w:r>
              <w:rPr>
                <w:rFonts w:hint="eastAsia" w:ascii="微软雅黑" w:hAnsi="微软雅黑" w:eastAsia="微软雅黑" w:cs="微软雅黑"/>
                <w:i w:val="0"/>
                <w:iCs w:val="0"/>
                <w:color w:val="000000"/>
                <w:sz w:val="16"/>
                <w:szCs w:val="16"/>
                <w:u w:val="none"/>
                <w:lang w:eastAsia="zh-CN"/>
              </w:rPr>
              <w:t>良</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8F61D">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10</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BE1F3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10</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DE31A0">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15DA3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352" w:type="pct"/>
            <w:vMerge w:val="continue"/>
            <w:tcBorders>
              <w:top w:val="single" w:color="auto" w:sz="4" w:space="0"/>
              <w:left w:val="single" w:color="auto" w:sz="4" w:space="0"/>
              <w:right w:val="single" w:color="000000" w:sz="4" w:space="0"/>
            </w:tcBorders>
            <w:shd w:val="clear" w:color="auto" w:fill="auto"/>
            <w:vAlign w:val="center"/>
          </w:tcPr>
          <w:p w14:paraId="7EA87F9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auto" w:sz="4" w:space="0"/>
              <w:left w:val="single" w:color="000000" w:sz="4" w:space="0"/>
              <w:bottom w:val="single" w:color="000000" w:sz="4" w:space="0"/>
              <w:right w:val="single" w:color="000000" w:sz="4" w:space="0"/>
            </w:tcBorders>
            <w:shd w:val="clear" w:color="auto" w:fill="auto"/>
            <w:vAlign w:val="center"/>
          </w:tcPr>
          <w:p w14:paraId="17A5CDE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满意度指标</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160D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服务对象满意度指标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E56A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服务对象满意度</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2BEF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10BD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95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7BEB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C4FF9">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val="0"/>
                <w:iCs w:val="0"/>
                <w:color w:val="000000"/>
                <w:kern w:val="2"/>
                <w:sz w:val="16"/>
                <w:szCs w:val="16"/>
                <w:u w:val="none"/>
                <w:lang w:val="en-US" w:eastAsia="zh-CN" w:bidi="ar-SA"/>
              </w:rPr>
            </w:pPr>
            <w:r>
              <w:rPr>
                <w:rFonts w:hint="eastAsia" w:ascii="微软雅黑" w:hAnsi="微软雅黑" w:eastAsia="微软雅黑" w:cs="微软雅黑"/>
                <w:i w:val="0"/>
                <w:iCs w:val="0"/>
                <w:color w:val="000000"/>
                <w:sz w:val="16"/>
                <w:szCs w:val="16"/>
                <w:u w:val="none"/>
                <w:lang w:val="en-US" w:eastAsia="zh-CN"/>
              </w:rPr>
              <w:t>100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7052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10</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8B8E0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10</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658284">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40722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352" w:type="pct"/>
            <w:vMerge w:val="continue"/>
            <w:tcBorders>
              <w:left w:val="single" w:color="auto" w:sz="4" w:space="0"/>
              <w:bottom w:val="single" w:color="000000" w:sz="4" w:space="0"/>
              <w:right w:val="single" w:color="000000" w:sz="4" w:space="0"/>
            </w:tcBorders>
            <w:shd w:val="clear" w:color="auto" w:fill="auto"/>
            <w:vAlign w:val="center"/>
          </w:tcPr>
          <w:p w14:paraId="375DB56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3031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成本指标</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FA8E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经济成本指标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C185D">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债务工作咨询服务费</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B1E3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 xml:space="preserve"> ≤</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DD56D">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24</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ED6D9">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eastAsia="zh-CN"/>
              </w:rPr>
              <w:t>万元</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495C7">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val="0"/>
                <w:iCs w:val="0"/>
                <w:color w:val="000000"/>
                <w:kern w:val="2"/>
                <w:sz w:val="16"/>
                <w:szCs w:val="16"/>
                <w:u w:val="none"/>
                <w:lang w:val="en-US" w:eastAsia="zh-CN" w:bidi="ar-SA"/>
              </w:rPr>
            </w:pPr>
            <w:r>
              <w:rPr>
                <w:rFonts w:hint="eastAsia" w:ascii="微软雅黑" w:hAnsi="微软雅黑" w:eastAsia="微软雅黑" w:cs="微软雅黑"/>
                <w:i w:val="0"/>
                <w:iCs w:val="0"/>
                <w:color w:val="000000"/>
                <w:sz w:val="16"/>
                <w:szCs w:val="16"/>
                <w:u w:val="none"/>
                <w:lang w:val="en-US" w:eastAsia="zh-CN"/>
              </w:rPr>
              <w:t>24</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E7D1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15</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A1E51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15</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252486">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1E9EB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372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01A6AC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合计</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D6D6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w:t>
            </w:r>
          </w:p>
        </w:tc>
        <w:tc>
          <w:tcPr>
            <w:tcW w:w="277"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41F9149B">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100</w:t>
            </w:r>
          </w:p>
        </w:tc>
        <w:tc>
          <w:tcPr>
            <w:tcW w:w="7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ABBA0F">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iCs w:val="0"/>
                <w:color w:val="000000"/>
                <w:sz w:val="18"/>
                <w:szCs w:val="18"/>
                <w:u w:val="none"/>
              </w:rPr>
            </w:pPr>
          </w:p>
        </w:tc>
      </w:tr>
      <w:tr w14:paraId="4FF75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33DF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评价结论</w:t>
            </w:r>
          </w:p>
        </w:tc>
        <w:tc>
          <w:tcPr>
            <w:tcW w:w="4647"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8BFE61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项目自评总分 100 分，及时足额保障经济团队顾问经费。</w:t>
            </w:r>
          </w:p>
        </w:tc>
      </w:tr>
      <w:tr w14:paraId="380CA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A44F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存在问题</w:t>
            </w:r>
          </w:p>
        </w:tc>
        <w:tc>
          <w:tcPr>
            <w:tcW w:w="4647"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0F617F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无</w:t>
            </w:r>
          </w:p>
        </w:tc>
      </w:tr>
      <w:tr w14:paraId="0395C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5472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改进措施</w:t>
            </w:r>
          </w:p>
        </w:tc>
        <w:tc>
          <w:tcPr>
            <w:tcW w:w="4647"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8092CF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无</w:t>
            </w:r>
          </w:p>
        </w:tc>
      </w:tr>
      <w:tr w14:paraId="784C6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5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35A848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项目负责人：何甜</w:t>
            </w:r>
          </w:p>
        </w:tc>
        <w:tc>
          <w:tcPr>
            <w:tcW w:w="254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C45D85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财务负责人：王敏</w:t>
            </w:r>
          </w:p>
        </w:tc>
      </w:tr>
      <w:tr w14:paraId="030FB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904" w:hRule="atLeast"/>
        </w:trPr>
        <w:tc>
          <w:tcPr>
            <w:tcW w:w="4973"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C6633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rPr>
              <w:t>部门预算项目支出绩效自评表（2022年度）</w:t>
            </w:r>
          </w:p>
        </w:tc>
      </w:tr>
      <w:tr w14:paraId="2E0B4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634E5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项目名称</w:t>
            </w:r>
          </w:p>
        </w:tc>
        <w:tc>
          <w:tcPr>
            <w:tcW w:w="4014"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B46105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51118122T000004676582-金算盘系统维护费</w:t>
            </w:r>
          </w:p>
        </w:tc>
      </w:tr>
      <w:tr w14:paraId="31EA8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F7672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主管部门</w:t>
            </w:r>
          </w:p>
        </w:tc>
        <w:tc>
          <w:tcPr>
            <w:tcW w:w="230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8C62AB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财政局</w:t>
            </w:r>
          </w:p>
        </w:tc>
        <w:tc>
          <w:tcPr>
            <w:tcW w:w="459" w:type="pct"/>
            <w:tcBorders>
              <w:top w:val="nil"/>
              <w:left w:val="nil"/>
              <w:bottom w:val="nil"/>
              <w:right w:val="nil"/>
            </w:tcBorders>
            <w:shd w:val="clear" w:color="auto" w:fill="auto"/>
            <w:vAlign w:val="center"/>
          </w:tcPr>
          <w:p w14:paraId="0549F4B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实施单位 （盖章）</w:t>
            </w:r>
          </w:p>
        </w:tc>
        <w:tc>
          <w:tcPr>
            <w:tcW w:w="124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AA4020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峨眉山市财政服务中心</w:t>
            </w:r>
          </w:p>
        </w:tc>
      </w:tr>
      <w:tr w14:paraId="671A8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286" w:hRule="atLeast"/>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FFE83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项目基本情况</w:t>
            </w:r>
          </w:p>
        </w:tc>
        <w:tc>
          <w:tcPr>
            <w:tcW w:w="6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D8258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1.项目年度目标完成情况</w:t>
            </w:r>
          </w:p>
        </w:tc>
        <w:tc>
          <w:tcPr>
            <w:tcW w:w="230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0D3583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项目年度目标</w:t>
            </w:r>
          </w:p>
        </w:tc>
        <w:tc>
          <w:tcPr>
            <w:tcW w:w="1705"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14A844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年度目标完成情况</w:t>
            </w:r>
          </w:p>
        </w:tc>
      </w:tr>
      <w:tr w14:paraId="6E41E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708"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B79EA">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iCs w:val="0"/>
                <w:color w:val="000000"/>
                <w:sz w:val="18"/>
                <w:szCs w:val="18"/>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2B44D3">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iCs w:val="0"/>
                <w:color w:val="000000"/>
                <w:sz w:val="18"/>
                <w:szCs w:val="18"/>
                <w:u w:val="none"/>
              </w:rPr>
            </w:pPr>
          </w:p>
        </w:tc>
        <w:tc>
          <w:tcPr>
            <w:tcW w:w="230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55E23D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为全市预算单位账务处理提供服务</w:t>
            </w:r>
          </w:p>
        </w:tc>
        <w:tc>
          <w:tcPr>
            <w:tcW w:w="1705"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D5A8A6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为全市预算单位账务处理提供服务</w:t>
            </w:r>
          </w:p>
        </w:tc>
      </w:tr>
      <w:tr w14:paraId="50F89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693"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F570E">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BF60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2.项目实施内容及过程概述</w:t>
            </w:r>
          </w:p>
        </w:tc>
        <w:tc>
          <w:tcPr>
            <w:tcW w:w="4014"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1D9118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服务全市预算单位账务处理，保障单位财务正常运行。</w:t>
            </w:r>
          </w:p>
        </w:tc>
      </w:tr>
      <w:tr w14:paraId="7D22D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460" w:hRule="atLeast"/>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31A28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预算执行情况（10分）</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3652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年度预算数（万元）</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EC37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年初预算</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A2B8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调整后预算数</w:t>
            </w: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C5055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预算执行数</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CF13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预算执行率</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57E2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权重</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65EF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得分</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07D49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原因</w:t>
            </w:r>
          </w:p>
        </w:tc>
      </w:tr>
      <w:tr w14:paraId="39628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387"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53C44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9159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总额</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DEB7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3.00</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9EC4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17.03</w:t>
            </w: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3B058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17.03</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BEFE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CA75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8E48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71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97736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据实支付金算盘系统维护费用。</w:t>
            </w:r>
          </w:p>
        </w:tc>
      </w:tr>
      <w:tr w14:paraId="51D56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432"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D3F08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CD02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其中：财政资金</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A2C5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3.00</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5FBB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17.03</w:t>
            </w: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5154C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17.03</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0E6E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8E9E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7890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71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8152C7">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val="0"/>
                <w:iCs w:val="0"/>
                <w:color w:val="000000"/>
                <w:sz w:val="18"/>
                <w:szCs w:val="18"/>
                <w:u w:val="none"/>
              </w:rPr>
            </w:pPr>
          </w:p>
        </w:tc>
      </w:tr>
      <w:tr w14:paraId="5040D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447"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3BD0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6A82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财政专户管理资金</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258B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7654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8C72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88E4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833E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F050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71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B78CD">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val="0"/>
                <w:iCs w:val="0"/>
                <w:color w:val="000000"/>
                <w:sz w:val="18"/>
                <w:szCs w:val="18"/>
                <w:u w:val="none"/>
              </w:rPr>
            </w:pPr>
          </w:p>
        </w:tc>
      </w:tr>
      <w:tr w14:paraId="38B35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402"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9E88FD">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5951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单位资金</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17EA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5F26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4ABDE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F5B6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1DB8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1DE4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71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E05775">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val="0"/>
                <w:iCs w:val="0"/>
                <w:color w:val="000000"/>
                <w:sz w:val="18"/>
                <w:szCs w:val="18"/>
                <w:u w:val="none"/>
              </w:rPr>
            </w:pPr>
          </w:p>
        </w:tc>
      </w:tr>
      <w:tr w14:paraId="71C6E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379"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4F86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57CB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其他资金</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1A315">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3F551">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0F5E43">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25EBD">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924B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D0BF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71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5E3AA">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val="0"/>
                <w:iCs w:val="0"/>
                <w:color w:val="000000"/>
                <w:sz w:val="18"/>
                <w:szCs w:val="18"/>
                <w:u w:val="none"/>
              </w:rPr>
            </w:pPr>
          </w:p>
        </w:tc>
      </w:tr>
      <w:tr w14:paraId="726D1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452" w:hRule="atLeast"/>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BFC49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绩效指标（90分）</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A4C5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一级指标</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874E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二级指标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CA99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三级指标</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F5C6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指标性质</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A733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指标值</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2E77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度量单位</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94B3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完成值</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7C36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权重</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633A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得分</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2A567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未完成原因分析</w:t>
            </w:r>
          </w:p>
        </w:tc>
      </w:tr>
      <w:tr w14:paraId="74474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339"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F604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C3F17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产出指标</w:t>
            </w:r>
          </w:p>
        </w:tc>
        <w:tc>
          <w:tcPr>
            <w:tcW w:w="5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E76A8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数量指标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968E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账务处理准确率</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FB37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37B0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98</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5722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AEC1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4E8C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20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A3CE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20</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C374FE">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1A20D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1220"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DC4A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E464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3A70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8E04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保障全市所有预算单位账务完成</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E25F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CA42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718E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AC08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061C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668E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9954EC">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383D4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659"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EB14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458C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4EB8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质量指标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D6E5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正确率</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099D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定性</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B8EF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优良中低差</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3389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25CB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Style w:val="38"/>
                <w:lang w:val="en-US" w:eastAsia="zh-CN"/>
              </w:rPr>
              <w:t>良</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B6B4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8954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D43496">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0F843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339"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5A52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7B550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3E19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时效指标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C396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按时完成</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69B4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331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89C2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年</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22B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EB0C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20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3781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20</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CB5D05">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54F3E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339"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5EF3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9617C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22F2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成本指标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2A18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成本控制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7FFC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8FB1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180000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8EFC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元</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B77E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170000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29E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5737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9A22BA">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5BDE9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339"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7EA7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38299">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E7A6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安全指标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55C3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账务安全性</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9A36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定性</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B134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优良中低差</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2D7A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CAAA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Style w:val="38"/>
                <w:lang w:val="en-US" w:eastAsia="zh-CN"/>
              </w:rPr>
              <w:t>良</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C762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6624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4E9E73">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04162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452"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26C4B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7DF5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满意度指标</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FE74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服务对象满意度指标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22CB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服务对象满意率</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0813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837F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95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311D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9DD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28C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15BE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E1E9D4">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00919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286" w:hRule="atLeast"/>
        </w:trPr>
        <w:tc>
          <w:tcPr>
            <w:tcW w:w="372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2C7E55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合计</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2D0D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17E84">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210DAE">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iCs w:val="0"/>
                <w:color w:val="000000"/>
                <w:sz w:val="18"/>
                <w:szCs w:val="18"/>
                <w:u w:val="none"/>
              </w:rPr>
            </w:pPr>
          </w:p>
        </w:tc>
      </w:tr>
      <w:tr w14:paraId="0BD06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603"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3ED9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评价结论</w:t>
            </w:r>
          </w:p>
        </w:tc>
        <w:tc>
          <w:tcPr>
            <w:tcW w:w="462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B9944B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项目自评总分 100 分，为全市预算单位账务处理提供服务</w:t>
            </w:r>
          </w:p>
        </w:tc>
      </w:tr>
      <w:tr w14:paraId="5DAF3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572"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1AE6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存在问题</w:t>
            </w:r>
          </w:p>
        </w:tc>
        <w:tc>
          <w:tcPr>
            <w:tcW w:w="462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954524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无</w:t>
            </w:r>
          </w:p>
        </w:tc>
      </w:tr>
      <w:tr w14:paraId="77ABE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633"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21E8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改进措施</w:t>
            </w:r>
          </w:p>
        </w:tc>
        <w:tc>
          <w:tcPr>
            <w:tcW w:w="462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E823B5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无</w:t>
            </w:r>
          </w:p>
        </w:tc>
      </w:tr>
      <w:tr w14:paraId="5554B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286" w:hRule="atLeast"/>
        </w:trPr>
        <w:tc>
          <w:tcPr>
            <w:tcW w:w="245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C9BB60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项目负责人：宋坤</w:t>
            </w:r>
          </w:p>
        </w:tc>
        <w:tc>
          <w:tcPr>
            <w:tcW w:w="252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F6E9E9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财务负责人：符松梅</w:t>
            </w:r>
          </w:p>
        </w:tc>
      </w:tr>
      <w:tr w14:paraId="41E34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904" w:hRule="atLeast"/>
        </w:trPr>
        <w:tc>
          <w:tcPr>
            <w:tcW w:w="4973"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6076C6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rPr>
              <w:t>部门预算项目支出绩效自评表（2022年度）</w:t>
            </w:r>
          </w:p>
        </w:tc>
      </w:tr>
      <w:tr w14:paraId="2884F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370FB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项目名称</w:t>
            </w:r>
          </w:p>
        </w:tc>
        <w:tc>
          <w:tcPr>
            <w:tcW w:w="4014"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DBEA9B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51118122T000005167449-全市工资代发银行手续费</w:t>
            </w:r>
          </w:p>
        </w:tc>
      </w:tr>
      <w:tr w14:paraId="2CA47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86B26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主管部门</w:t>
            </w:r>
          </w:p>
        </w:tc>
        <w:tc>
          <w:tcPr>
            <w:tcW w:w="2309" w:type="pct"/>
            <w:gridSpan w:val="5"/>
            <w:tcBorders>
              <w:top w:val="single" w:color="000000" w:sz="4" w:space="0"/>
              <w:left w:val="single" w:color="000000" w:sz="4" w:space="0"/>
              <w:bottom w:val="single" w:color="000000" w:sz="4" w:space="0"/>
              <w:right w:val="single" w:color="auto" w:sz="4" w:space="0"/>
            </w:tcBorders>
            <w:shd w:val="clear" w:color="auto" w:fill="auto"/>
            <w:vAlign w:val="center"/>
          </w:tcPr>
          <w:p w14:paraId="1112427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财政局</w:t>
            </w:r>
          </w:p>
        </w:tc>
        <w:tc>
          <w:tcPr>
            <w:tcW w:w="459" w:type="pct"/>
            <w:tcBorders>
              <w:top w:val="single" w:color="auto" w:sz="4" w:space="0"/>
              <w:left w:val="single" w:color="auto" w:sz="4" w:space="0"/>
              <w:bottom w:val="single" w:color="auto" w:sz="4" w:space="0"/>
              <w:right w:val="nil"/>
            </w:tcBorders>
            <w:shd w:val="clear" w:color="auto" w:fill="auto"/>
            <w:vAlign w:val="center"/>
          </w:tcPr>
          <w:p w14:paraId="67CC9D0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实施单位 （盖章）</w:t>
            </w:r>
          </w:p>
        </w:tc>
        <w:tc>
          <w:tcPr>
            <w:tcW w:w="1245" w:type="pct"/>
            <w:gridSpan w:val="4"/>
            <w:tcBorders>
              <w:top w:val="single" w:color="auto" w:sz="4" w:space="0"/>
              <w:left w:val="single" w:color="000000" w:sz="4" w:space="0"/>
              <w:bottom w:val="single" w:color="auto" w:sz="4" w:space="0"/>
              <w:right w:val="single" w:color="auto" w:sz="4" w:space="0"/>
            </w:tcBorders>
            <w:shd w:val="clear" w:color="auto" w:fill="auto"/>
            <w:vAlign w:val="center"/>
          </w:tcPr>
          <w:p w14:paraId="1663D66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峨眉山市财政服务中心</w:t>
            </w:r>
          </w:p>
        </w:tc>
      </w:tr>
      <w:tr w14:paraId="06799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286" w:hRule="atLeast"/>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94859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项目基本情况</w:t>
            </w:r>
          </w:p>
        </w:tc>
        <w:tc>
          <w:tcPr>
            <w:tcW w:w="6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73A0E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1.项目年度目标完成情况</w:t>
            </w:r>
          </w:p>
        </w:tc>
        <w:tc>
          <w:tcPr>
            <w:tcW w:w="230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937014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项目年度目标</w:t>
            </w:r>
          </w:p>
        </w:tc>
        <w:tc>
          <w:tcPr>
            <w:tcW w:w="1705" w:type="pct"/>
            <w:gridSpan w:val="5"/>
            <w:tcBorders>
              <w:top w:val="single" w:color="auto" w:sz="4" w:space="0"/>
              <w:left w:val="single" w:color="000000" w:sz="4" w:space="0"/>
              <w:bottom w:val="single" w:color="000000" w:sz="4" w:space="0"/>
              <w:right w:val="single" w:color="000000" w:sz="4" w:space="0"/>
            </w:tcBorders>
            <w:shd w:val="clear" w:color="auto" w:fill="auto"/>
            <w:vAlign w:val="center"/>
          </w:tcPr>
          <w:p w14:paraId="23BD340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年度目标完成情况</w:t>
            </w:r>
          </w:p>
        </w:tc>
      </w:tr>
      <w:tr w14:paraId="5964D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708"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F92DA6">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iCs w:val="0"/>
                <w:color w:val="000000"/>
                <w:sz w:val="18"/>
                <w:szCs w:val="18"/>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B7532E">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iCs w:val="0"/>
                <w:color w:val="000000"/>
                <w:sz w:val="18"/>
                <w:szCs w:val="18"/>
                <w:u w:val="none"/>
              </w:rPr>
            </w:pPr>
          </w:p>
        </w:tc>
        <w:tc>
          <w:tcPr>
            <w:tcW w:w="230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5878CB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付给银行代发全市工资的手续费，保障全市工资正常发放。</w:t>
            </w:r>
          </w:p>
        </w:tc>
        <w:tc>
          <w:tcPr>
            <w:tcW w:w="1705"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75EA3A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完成全市工资发放</w:t>
            </w:r>
          </w:p>
        </w:tc>
      </w:tr>
      <w:tr w14:paraId="1A05F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693"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E9D16A">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DD22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2.项目实施内容及过程概述</w:t>
            </w:r>
          </w:p>
        </w:tc>
        <w:tc>
          <w:tcPr>
            <w:tcW w:w="4014"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705542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发放全市工资，保障每月足额及时发放。</w:t>
            </w:r>
          </w:p>
        </w:tc>
      </w:tr>
      <w:tr w14:paraId="6A25B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361" w:hRule="atLeast"/>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7A7AA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预算执行情况（10分）</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EA5A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年度预算数（万元）</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F565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年初预算</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0567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调整后预算数</w:t>
            </w: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958CF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预算执行数</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9AFC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预算执行率</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3D9E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权重</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764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得分</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40AE5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原因</w:t>
            </w:r>
          </w:p>
        </w:tc>
      </w:tr>
      <w:tr w14:paraId="6511E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387"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A3E7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3A08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总额</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4EAC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5.00</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9D8B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4.04</w:t>
            </w: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5DD5C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4.04</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E846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B0A6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2652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71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03D21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iCs w:val="0"/>
                <w:color w:val="000000"/>
                <w:sz w:val="18"/>
                <w:szCs w:val="18"/>
                <w:u w:val="none"/>
                <w:lang w:val="en-US" w:eastAsia="zh-CN"/>
              </w:rPr>
            </w:pPr>
            <w:r>
              <w:rPr>
                <w:rFonts w:hint="eastAsia" w:ascii="黑体" w:hAnsi="黑体" w:eastAsia="黑体" w:cs="黑体"/>
                <w:i w:val="0"/>
                <w:iCs w:val="0"/>
                <w:color w:val="000000"/>
                <w:sz w:val="18"/>
                <w:szCs w:val="18"/>
                <w:u w:val="none"/>
                <w:lang w:val="en-US" w:eastAsia="zh-CN"/>
              </w:rPr>
              <w:t>据实支付。</w:t>
            </w:r>
          </w:p>
        </w:tc>
      </w:tr>
      <w:tr w14:paraId="2BEDD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432"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CE7F79">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FBAF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其中：财政资金</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652B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5.00</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8F73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4.04</w:t>
            </w: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94ED6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4.04</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7C06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221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FD3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71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FAB1C">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val="0"/>
                <w:iCs w:val="0"/>
                <w:color w:val="000000"/>
                <w:sz w:val="18"/>
                <w:szCs w:val="18"/>
                <w:u w:val="none"/>
              </w:rPr>
            </w:pPr>
          </w:p>
        </w:tc>
      </w:tr>
      <w:tr w14:paraId="215CD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447"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F192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D17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财政专户管理资金</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4C67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2414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42612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C131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1C6B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9010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71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54501">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val="0"/>
                <w:iCs w:val="0"/>
                <w:color w:val="000000"/>
                <w:sz w:val="18"/>
                <w:szCs w:val="18"/>
                <w:u w:val="none"/>
              </w:rPr>
            </w:pPr>
          </w:p>
        </w:tc>
      </w:tr>
      <w:tr w14:paraId="5BD7F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402"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7376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5364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单位资金</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9EB4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63ED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6AAC5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8B8B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EF3B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94A3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71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7BFD8">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val="0"/>
                <w:iCs w:val="0"/>
                <w:color w:val="000000"/>
                <w:sz w:val="18"/>
                <w:szCs w:val="18"/>
                <w:u w:val="none"/>
              </w:rPr>
            </w:pPr>
          </w:p>
        </w:tc>
      </w:tr>
      <w:tr w14:paraId="7EA79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379"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BFD9D">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0271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其他资金</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DC03E">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C82E7">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98B831">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CBE85">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F282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2BD6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71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C030A">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val="0"/>
                <w:iCs w:val="0"/>
                <w:color w:val="000000"/>
                <w:sz w:val="18"/>
                <w:szCs w:val="18"/>
                <w:u w:val="none"/>
              </w:rPr>
            </w:pPr>
          </w:p>
        </w:tc>
      </w:tr>
      <w:tr w14:paraId="2543A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1205" w:hRule="atLeast"/>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A3502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绩效指标（90分）</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8E86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一级指标</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6F67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二级指标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B00C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三级指标</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752A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指标性质</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0CBC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指标值</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EC9E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度量单位</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5FD8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完成值</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A0A4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权重</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1E45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得分</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96C1D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未完成原因分析</w:t>
            </w:r>
          </w:p>
        </w:tc>
      </w:tr>
      <w:tr w14:paraId="50ED2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715"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83AD69">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1E850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产出指标</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304B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数量指标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211B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为全市预算单位发放工资</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7D18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DA8B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D993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624E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92C3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110D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B367D5">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3DCD6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339"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EDD4B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1766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3C39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质量指标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9C4A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发放正确率</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1F6E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ECA7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98</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D622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538C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BE7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332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BBA774">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71C06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339"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035D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6D939">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CBCF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时效指标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F207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按月</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156A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4133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D8D2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次</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D8D5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892C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93E4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F66BC5">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523F2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339"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666A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E4AF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AF00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成本指标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0C39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全年手续费</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360B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5B44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791F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万元</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E18C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4</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8544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260F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CEE082">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1769D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339"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782E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0F71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836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效果指标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F143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发放效果</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596A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定性</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2A4B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优良中低差</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F9DC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F3AD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Style w:val="39"/>
                <w:lang w:val="en-US" w:eastAsia="zh-CN"/>
              </w:rPr>
              <w:t>良</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7002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077D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48D27C">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032DE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339"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3370A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4D3AC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效益指标</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859A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经济效益指标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D540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保障社会经济平稳运行</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8E41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定性</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F6DB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优良中低差</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CA9D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B719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Style w:val="39"/>
                <w:lang w:val="en-US" w:eastAsia="zh-CN"/>
              </w:rPr>
              <w:t>良</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9CE7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15</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27E6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15</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782F53">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30B50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339"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06795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0518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40DA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社会效益指标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2DD2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保障社会效益稳定</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E7B2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定性</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28FC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优良中低差</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35E9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F25C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Style w:val="39"/>
                <w:lang w:val="en-US" w:eastAsia="zh-CN"/>
              </w:rPr>
              <w:t>良</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E625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15</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7A06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15</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684BCC">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6FF7D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452"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CA772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3FBD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满意度指标</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FC81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服务对象满意度指标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40F4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服务对象满意度</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E6AA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4717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5F34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86D1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5E66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0C48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5C81C5">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43451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286" w:hRule="atLeast"/>
        </w:trPr>
        <w:tc>
          <w:tcPr>
            <w:tcW w:w="372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F8D483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合计</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9408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6F317">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024C04">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iCs w:val="0"/>
                <w:color w:val="000000"/>
                <w:sz w:val="18"/>
                <w:szCs w:val="18"/>
                <w:u w:val="none"/>
              </w:rPr>
            </w:pPr>
          </w:p>
        </w:tc>
      </w:tr>
      <w:tr w14:paraId="139AE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603"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048F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评价结论</w:t>
            </w:r>
          </w:p>
        </w:tc>
        <w:tc>
          <w:tcPr>
            <w:tcW w:w="462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60C3A2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项目自评总分 100 分，完成全市工资发放。</w:t>
            </w:r>
          </w:p>
        </w:tc>
      </w:tr>
      <w:tr w14:paraId="05E58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572"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9A50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存在问题</w:t>
            </w:r>
          </w:p>
        </w:tc>
        <w:tc>
          <w:tcPr>
            <w:tcW w:w="462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8F4304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无</w:t>
            </w:r>
          </w:p>
        </w:tc>
      </w:tr>
      <w:tr w14:paraId="3B6AC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633"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D49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改进措施</w:t>
            </w:r>
          </w:p>
        </w:tc>
        <w:tc>
          <w:tcPr>
            <w:tcW w:w="462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EF8FB8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无</w:t>
            </w:r>
          </w:p>
        </w:tc>
      </w:tr>
      <w:tr w14:paraId="148E6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286" w:hRule="atLeast"/>
        </w:trPr>
        <w:tc>
          <w:tcPr>
            <w:tcW w:w="245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A4E224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项目负责人：宋坤</w:t>
            </w:r>
          </w:p>
        </w:tc>
        <w:tc>
          <w:tcPr>
            <w:tcW w:w="252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157616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财务负责人：符松梅</w:t>
            </w:r>
          </w:p>
        </w:tc>
      </w:tr>
      <w:tr w14:paraId="37D4B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904" w:hRule="atLeast"/>
        </w:trPr>
        <w:tc>
          <w:tcPr>
            <w:tcW w:w="4973"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EA148B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rPr>
              <w:t>部门预算项目支出绩效自评表（2022年度）</w:t>
            </w:r>
          </w:p>
        </w:tc>
      </w:tr>
      <w:tr w14:paraId="63087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04D42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项目名称</w:t>
            </w:r>
          </w:p>
        </w:tc>
        <w:tc>
          <w:tcPr>
            <w:tcW w:w="4014"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4AD34F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51118122T000000342722-评审专项业务经费</w:t>
            </w:r>
          </w:p>
        </w:tc>
      </w:tr>
      <w:tr w14:paraId="7F635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EEF59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主管部门</w:t>
            </w:r>
          </w:p>
        </w:tc>
        <w:tc>
          <w:tcPr>
            <w:tcW w:w="230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1D1DBD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财政局</w:t>
            </w:r>
          </w:p>
        </w:tc>
        <w:tc>
          <w:tcPr>
            <w:tcW w:w="459" w:type="pct"/>
            <w:tcBorders>
              <w:top w:val="nil"/>
              <w:left w:val="nil"/>
              <w:bottom w:val="nil"/>
              <w:right w:val="nil"/>
            </w:tcBorders>
            <w:shd w:val="clear" w:color="auto" w:fill="auto"/>
            <w:vAlign w:val="center"/>
          </w:tcPr>
          <w:p w14:paraId="4A0647D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实施单位 （盖章）</w:t>
            </w:r>
          </w:p>
        </w:tc>
        <w:tc>
          <w:tcPr>
            <w:tcW w:w="124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6ECCAD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峨眉山市财政投资评审中心</w:t>
            </w:r>
          </w:p>
        </w:tc>
      </w:tr>
      <w:tr w14:paraId="398B4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286" w:hRule="atLeast"/>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71934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项目基本情况</w:t>
            </w:r>
          </w:p>
        </w:tc>
        <w:tc>
          <w:tcPr>
            <w:tcW w:w="6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0F700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1.项目年度目标完成情况</w:t>
            </w:r>
          </w:p>
        </w:tc>
        <w:tc>
          <w:tcPr>
            <w:tcW w:w="230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83531A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项目年度目标</w:t>
            </w:r>
          </w:p>
        </w:tc>
        <w:tc>
          <w:tcPr>
            <w:tcW w:w="1705"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D8C7CC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年度目标完成情况</w:t>
            </w:r>
          </w:p>
        </w:tc>
      </w:tr>
      <w:tr w14:paraId="3C3BC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708"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468AE">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iCs w:val="0"/>
                <w:color w:val="000000"/>
                <w:sz w:val="18"/>
                <w:szCs w:val="18"/>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C51745">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iCs w:val="0"/>
                <w:color w:val="000000"/>
                <w:sz w:val="18"/>
                <w:szCs w:val="18"/>
                <w:u w:val="none"/>
              </w:rPr>
            </w:pPr>
          </w:p>
        </w:tc>
        <w:tc>
          <w:tcPr>
            <w:tcW w:w="230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D46057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为持续政府投资项目评审，进一步强化项目现场监管力度，保障财政投资评审工作顺利开展。</w:t>
            </w:r>
          </w:p>
        </w:tc>
        <w:tc>
          <w:tcPr>
            <w:tcW w:w="1705"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6B6986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2022年，完成项目评审743个。送审金额17.42亿元，审定金额15.60亿元，审减金额1.82亿元，审减率10.45%。</w:t>
            </w:r>
          </w:p>
        </w:tc>
      </w:tr>
      <w:tr w14:paraId="31549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693"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4CA415">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0E41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2.项目实施内容及过程概述</w:t>
            </w:r>
          </w:p>
        </w:tc>
        <w:tc>
          <w:tcPr>
            <w:tcW w:w="4014"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0849A6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根据评审工作需要进行软件更新、评审业务费用支出，保障评审业务顺利开展</w:t>
            </w:r>
          </w:p>
        </w:tc>
      </w:tr>
      <w:tr w14:paraId="3F600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361" w:hRule="atLeast"/>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6795C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预算执行情况（10分）</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5BC8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年度预算数（万元）</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0B04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年初预算</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C788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调整后预算数</w:t>
            </w: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EAAE1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预算执行数</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1A98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预算执行率</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F063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权重</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7B6C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得分</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4E8F3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原因</w:t>
            </w:r>
          </w:p>
        </w:tc>
      </w:tr>
      <w:tr w14:paraId="21220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387"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5E76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F866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总额</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CB8B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50.00</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B95A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47.09</w:t>
            </w: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C28DF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47.09</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A461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BF70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F8BF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71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D0055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iCs/>
                <w:color w:val="000000"/>
                <w:sz w:val="18"/>
                <w:szCs w:val="18"/>
                <w:u w:val="none"/>
                <w:lang w:eastAsia="zh-CN"/>
              </w:rPr>
            </w:pPr>
            <w:r>
              <w:rPr>
                <w:rFonts w:hint="eastAsia" w:ascii="宋体" w:hAnsi="宋体" w:eastAsia="宋体" w:cs="宋体"/>
                <w:i w:val="0"/>
                <w:iCs w:val="0"/>
                <w:color w:val="000000"/>
                <w:kern w:val="0"/>
                <w:sz w:val="18"/>
                <w:szCs w:val="18"/>
                <w:u w:val="none"/>
                <w:lang w:val="en-US" w:eastAsia="zh-CN"/>
              </w:rPr>
              <w:t>据实支付。</w:t>
            </w:r>
          </w:p>
        </w:tc>
      </w:tr>
      <w:tr w14:paraId="41C35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432"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B557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42F8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其中：财政资金</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19EF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50.00</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9891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47.09</w:t>
            </w: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6F219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47.09</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EA57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88BA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E58D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71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D939D3">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iCs/>
                <w:color w:val="000000"/>
                <w:sz w:val="18"/>
                <w:szCs w:val="18"/>
                <w:u w:val="none"/>
              </w:rPr>
            </w:pPr>
          </w:p>
        </w:tc>
      </w:tr>
      <w:tr w14:paraId="5A090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447"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9C20B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A079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财政专户管理资金</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4BAD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9052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5F01C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DA7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09C8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1104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71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118B2">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iCs/>
                <w:color w:val="000000"/>
                <w:sz w:val="18"/>
                <w:szCs w:val="18"/>
                <w:u w:val="none"/>
              </w:rPr>
            </w:pPr>
          </w:p>
        </w:tc>
      </w:tr>
      <w:tr w14:paraId="02305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402"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55CF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A2E9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单位资金</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23C5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CAE9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6A051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FC40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0.00%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930C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8613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71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577ADA">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iCs/>
                <w:color w:val="000000"/>
                <w:sz w:val="18"/>
                <w:szCs w:val="18"/>
                <w:u w:val="none"/>
              </w:rPr>
            </w:pPr>
          </w:p>
        </w:tc>
      </w:tr>
      <w:tr w14:paraId="328BE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379"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0427D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969D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其他资金</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0806D">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BD740">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c>
          <w:tcPr>
            <w:tcW w:w="116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74FB22">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26DAD">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A9A1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D0E8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71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F1745F">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iCs/>
                <w:color w:val="000000"/>
                <w:sz w:val="18"/>
                <w:szCs w:val="18"/>
                <w:u w:val="none"/>
              </w:rPr>
            </w:pPr>
          </w:p>
        </w:tc>
      </w:tr>
      <w:tr w14:paraId="77AAF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452" w:hRule="atLeast"/>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ECC65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绩效指标（90分）</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A1C8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一级指标</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4640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二级指标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167A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三级指标</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4343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指标性质</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026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指标值</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F59C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度量单位</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FADC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完成值</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B9A2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权重</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707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得分</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CAA5A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未完成原因分析</w:t>
            </w:r>
          </w:p>
        </w:tc>
      </w:tr>
      <w:tr w14:paraId="680F0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339"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12E5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E6532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产出指标</w:t>
            </w:r>
          </w:p>
        </w:tc>
        <w:tc>
          <w:tcPr>
            <w:tcW w:w="5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CFDAE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数量指标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D0E8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工程进度核查</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DEFE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1F55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40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58F6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次</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014C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55</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4FD6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5</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EB5E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5</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8EB544">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30F4B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339"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4689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E08FD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921BD">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D0B5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电力项目评审</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C85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70CB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50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7DCE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个</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9096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83</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AFDA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5</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DC1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5</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D37208">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05721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339"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83CD4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F988F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D840D">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66BA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结算详审</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9E67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6671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200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03BC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个</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3D80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472</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967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5</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281B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5</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6D9474">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2A31B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339"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0297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D07B5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E565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2222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合同审查</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55BE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456D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50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DB75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个</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D15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105</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551C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5</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94B6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5</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F58D26">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7FEE5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339"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282C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E7BC2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4879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63D7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招标文件审查</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76AD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3AC6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50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833A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个</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08A4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155</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D9DD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5</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77B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5</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118983">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2450F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339"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215C4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071B9">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CC59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25F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预算评审</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1959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12F0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200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046D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个</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2A57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271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BBC8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5</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0331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5</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57CD18">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40E37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339"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23452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5612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5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2EB52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质量指标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C97D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客观性</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68D4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定性</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27F4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优良中低差</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B047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06E2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优</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C7D0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D82F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F09922">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654D9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339"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ADEB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63AD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C54C2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FA87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准确性</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DB83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定性</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46D2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优良中低差</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793C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0106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优</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9EA7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6836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EB7374">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400E9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339"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79AF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99384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效益指标</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9C93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经济效益指标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4B19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审减率</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ADDD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213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2</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3589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727D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10.45</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C4C5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15</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FE42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15</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15E4D5">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1BF58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339"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3453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8B9C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4C12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社会效益指标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8DF1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及时完成项目评审</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F1BA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定性</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557C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好坏</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AF0C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374A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好</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F1B9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15</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5B43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15</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978009">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1E2BE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452"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979A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ECDC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满意度指标</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0044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服务对象满意度指标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FF68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送审满意度</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955A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F72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90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015D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7D4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100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2D71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02B2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11F80D">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iCs/>
                <w:color w:val="000000"/>
                <w:sz w:val="16"/>
                <w:szCs w:val="16"/>
                <w:u w:val="none"/>
              </w:rPr>
            </w:pPr>
          </w:p>
        </w:tc>
      </w:tr>
      <w:tr w14:paraId="5E495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176" w:hRule="atLeast"/>
        </w:trPr>
        <w:tc>
          <w:tcPr>
            <w:tcW w:w="372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BD471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合计</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1AA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634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100</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57D1E0">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iCs w:val="0"/>
                <w:color w:val="000000"/>
                <w:sz w:val="18"/>
                <w:szCs w:val="18"/>
                <w:u w:val="none"/>
              </w:rPr>
            </w:pPr>
          </w:p>
        </w:tc>
      </w:tr>
      <w:tr w14:paraId="60AA2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417"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8244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评价结论</w:t>
            </w:r>
          </w:p>
        </w:tc>
        <w:tc>
          <w:tcPr>
            <w:tcW w:w="462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109B78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严格按照预算安排，在规定范围内安排支出。预算数与执行数一致</w:t>
            </w:r>
          </w:p>
        </w:tc>
      </w:tr>
      <w:tr w14:paraId="4F3EF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333"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665F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存在问题</w:t>
            </w:r>
          </w:p>
        </w:tc>
        <w:tc>
          <w:tcPr>
            <w:tcW w:w="462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3D1913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无</w:t>
            </w:r>
          </w:p>
        </w:tc>
      </w:tr>
      <w:tr w14:paraId="788BA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6" w:type="pct"/>
          <w:trHeight w:val="317"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B064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rPr>
              <w:t>改进措施</w:t>
            </w:r>
          </w:p>
        </w:tc>
        <w:tc>
          <w:tcPr>
            <w:tcW w:w="462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77B63D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rPr>
              <w:t>无</w:t>
            </w:r>
          </w:p>
        </w:tc>
      </w:tr>
      <w:tr w14:paraId="563DF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6" w:type="pct"/>
          <w:trHeight w:val="286" w:hRule="atLeast"/>
        </w:trPr>
        <w:tc>
          <w:tcPr>
            <w:tcW w:w="245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83BE7A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项目负责人：曾诚</w:t>
            </w:r>
          </w:p>
        </w:tc>
        <w:tc>
          <w:tcPr>
            <w:tcW w:w="252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1B3F0E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rPr>
              <w:t>财务负责人：葛敏</w:t>
            </w:r>
          </w:p>
        </w:tc>
      </w:tr>
    </w:tbl>
    <w:p w14:paraId="23FA4295">
      <w:pPr>
        <w:pStyle w:val="6"/>
        <w:spacing w:before="93"/>
        <w:rPr>
          <w:rFonts w:hint="eastAsia" w:hAnsi="宋体" w:cs="宋体"/>
          <w:sz w:val="32"/>
          <w:szCs w:val="32"/>
          <w:shd w:val="clear" w:color="auto" w:fill="FFFFFF"/>
          <w:lang w:val="zh-CN"/>
        </w:rPr>
      </w:pPr>
    </w:p>
    <w:p w14:paraId="4D8F86F6">
      <w:pPr>
        <w:pStyle w:val="6"/>
        <w:spacing w:before="93"/>
        <w:rPr>
          <w:rFonts w:hint="eastAsia" w:hAnsi="宋体" w:cs="宋体"/>
          <w:sz w:val="32"/>
          <w:szCs w:val="32"/>
          <w:shd w:val="clear" w:color="auto" w:fill="FFFFFF"/>
          <w:lang w:val="zh-CN"/>
        </w:rPr>
      </w:pPr>
    </w:p>
    <w:p w14:paraId="31764D97">
      <w:pPr>
        <w:pStyle w:val="6"/>
        <w:spacing w:before="93"/>
        <w:rPr>
          <w:rFonts w:hint="eastAsia" w:hAnsi="宋体" w:cs="宋体"/>
          <w:sz w:val="32"/>
          <w:szCs w:val="32"/>
          <w:shd w:val="clear" w:color="auto" w:fill="FFFFFF"/>
          <w:lang w:val="zh-CN"/>
        </w:rPr>
      </w:pPr>
    </w:p>
    <w:p w14:paraId="77B53D6C">
      <w:pPr>
        <w:pStyle w:val="6"/>
        <w:spacing w:before="93"/>
        <w:rPr>
          <w:rFonts w:hint="eastAsia" w:hAnsi="宋体" w:cs="宋体"/>
          <w:sz w:val="32"/>
          <w:szCs w:val="32"/>
          <w:shd w:val="clear" w:color="auto" w:fill="FFFFFF"/>
          <w:lang w:val="zh-CN"/>
        </w:rPr>
      </w:pP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6"/>
        <w:gridCol w:w="1360"/>
        <w:gridCol w:w="1165"/>
        <w:gridCol w:w="1507"/>
        <w:gridCol w:w="396"/>
        <w:gridCol w:w="1093"/>
        <w:gridCol w:w="396"/>
        <w:gridCol w:w="846"/>
        <w:gridCol w:w="486"/>
        <w:gridCol w:w="487"/>
        <w:gridCol w:w="874"/>
      </w:tblGrid>
      <w:tr w14:paraId="67D43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319A537">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14:paraId="2F59B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4AAD3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3948" w:type="pct"/>
            <w:gridSpan w:val="9"/>
            <w:tcBorders>
              <w:top w:val="single" w:color="000000" w:sz="4" w:space="0"/>
              <w:left w:val="single" w:color="000000" w:sz="4" w:space="0"/>
              <w:bottom w:val="single" w:color="auto" w:sz="4" w:space="0"/>
              <w:right w:val="single" w:color="000000" w:sz="4" w:space="0"/>
            </w:tcBorders>
            <w:shd w:val="clear" w:color="auto" w:fill="auto"/>
            <w:vAlign w:val="center"/>
          </w:tcPr>
          <w:p w14:paraId="72C3B14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51118122T000004904162-会计服务中心开办费</w:t>
            </w:r>
          </w:p>
        </w:tc>
      </w:tr>
      <w:tr w14:paraId="5E06A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1051"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272B8AA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595" w:type="pct"/>
            <w:gridSpan w:val="5"/>
            <w:tcBorders>
              <w:top w:val="single" w:color="auto" w:sz="4" w:space="0"/>
              <w:left w:val="single" w:color="auto" w:sz="4" w:space="0"/>
              <w:bottom w:val="single" w:color="auto" w:sz="4" w:space="0"/>
              <w:right w:val="single" w:color="000000" w:sz="4" w:space="0"/>
            </w:tcBorders>
            <w:shd w:val="clear" w:color="auto" w:fill="auto"/>
            <w:vAlign w:val="center"/>
          </w:tcPr>
          <w:p w14:paraId="1D9E2C3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财政局</w:t>
            </w:r>
          </w:p>
        </w:tc>
        <w:tc>
          <w:tcPr>
            <w:tcW w:w="421" w:type="pct"/>
            <w:tcBorders>
              <w:top w:val="single" w:color="auto" w:sz="4" w:space="0"/>
              <w:left w:val="nil"/>
              <w:bottom w:val="single" w:color="auto" w:sz="4" w:space="0"/>
              <w:right w:val="nil"/>
            </w:tcBorders>
            <w:shd w:val="clear" w:color="auto" w:fill="auto"/>
            <w:vAlign w:val="center"/>
          </w:tcPr>
          <w:p w14:paraId="274D07AF">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931" w:type="pct"/>
            <w:gridSpan w:val="3"/>
            <w:tcBorders>
              <w:top w:val="single" w:color="auto" w:sz="4" w:space="0"/>
              <w:left w:val="single" w:color="000000" w:sz="4" w:space="0"/>
              <w:bottom w:val="single" w:color="auto" w:sz="4" w:space="0"/>
              <w:right w:val="single" w:color="auto" w:sz="4" w:space="0"/>
            </w:tcBorders>
            <w:shd w:val="clear" w:color="auto" w:fill="auto"/>
            <w:vAlign w:val="center"/>
          </w:tcPr>
          <w:p w14:paraId="16F5A6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峨眉山市会计服务中心</w:t>
            </w:r>
          </w:p>
        </w:tc>
      </w:tr>
      <w:tr w14:paraId="0E977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29681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4B06E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595" w:type="pct"/>
            <w:gridSpan w:val="5"/>
            <w:tcBorders>
              <w:top w:val="single" w:color="auto" w:sz="4" w:space="0"/>
              <w:left w:val="single" w:color="000000" w:sz="4" w:space="0"/>
              <w:bottom w:val="single" w:color="000000" w:sz="4" w:space="0"/>
              <w:right w:val="single" w:color="000000" w:sz="4" w:space="0"/>
            </w:tcBorders>
            <w:shd w:val="clear" w:color="auto" w:fill="auto"/>
            <w:vAlign w:val="center"/>
          </w:tcPr>
          <w:p w14:paraId="5F777D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352" w:type="pct"/>
            <w:gridSpan w:val="4"/>
            <w:tcBorders>
              <w:top w:val="single" w:color="auto" w:sz="4" w:space="0"/>
              <w:left w:val="single" w:color="000000" w:sz="4" w:space="0"/>
              <w:bottom w:val="nil"/>
              <w:right w:val="single" w:color="000000" w:sz="4" w:space="0"/>
            </w:tcBorders>
            <w:shd w:val="clear" w:color="auto" w:fill="auto"/>
            <w:vAlign w:val="center"/>
          </w:tcPr>
          <w:p w14:paraId="68E1149E">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6A737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5" w:hRule="atLeast"/>
        </w:trPr>
        <w:tc>
          <w:tcPr>
            <w:tcW w:w="2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C3FAA">
            <w:pPr>
              <w:rPr>
                <w:rFonts w:hint="eastAsia" w:ascii="宋体" w:hAnsi="宋体" w:eastAsia="宋体" w:cs="宋体"/>
                <w:i w:val="0"/>
                <w:iCs w:val="0"/>
                <w:color w:val="000000"/>
                <w:sz w:val="18"/>
                <w:szCs w:val="18"/>
                <w:u w:val="none"/>
              </w:rPr>
            </w:pPr>
          </w:p>
        </w:tc>
        <w:tc>
          <w:tcPr>
            <w:tcW w:w="7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08984F">
            <w:pPr>
              <w:rPr>
                <w:rFonts w:hint="eastAsia" w:ascii="宋体" w:hAnsi="宋体" w:eastAsia="宋体" w:cs="宋体"/>
                <w:i w:val="0"/>
                <w:iCs w:val="0"/>
                <w:color w:val="000000"/>
                <w:sz w:val="18"/>
                <w:szCs w:val="18"/>
                <w:u w:val="none"/>
              </w:rPr>
            </w:pPr>
          </w:p>
        </w:tc>
        <w:tc>
          <w:tcPr>
            <w:tcW w:w="2595"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11CA28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（一）规范会计核算。通过委托代理记账，使个别会计人员短缺、会计工作薄弱的预算单位能够严格按照国家统一会计制度进行核算，提高其会计核算工作质量及准确性，保证会计核算资料真实、完整和统一。</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（二）加强会计监督。通过委托代理记账方式对预算单位的支出事项和原始凭证进行审查，规范报账程序及报账要素，在一定程度上减少部分单位使用预算资金的随意性，预防财经领域违纪违法行为发生。</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（三）提高财务收支透明度。实行会计委托代理记账的预算单位使用统一的财务核算软件进行会计核算，及时提供财务报表等相关会计信息资料，促进预算单位财务公开、透明，提高财政资金使用绩效。</w:t>
            </w:r>
          </w:p>
        </w:tc>
        <w:tc>
          <w:tcPr>
            <w:tcW w:w="135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1CF94D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2022年截至12月7日共完成代理记账单位财政资金32825笔，36.91亿元资金支付。出具书面提示单5份，涉及资金23.55万元；口头或电话提示80余次，涉及资金1200余万元。通过代理记账，进一步增强了部门单位遵守财经法律法规的意识，一些超标准、不合规的支出明显减少，确保了财政资金规范、有序、高效运行。</w:t>
            </w:r>
          </w:p>
        </w:tc>
      </w:tr>
      <w:tr w14:paraId="7ACA3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2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0795E5">
            <w:pPr>
              <w:rPr>
                <w:rFonts w:hint="eastAsia" w:ascii="宋体" w:hAnsi="宋体" w:eastAsia="宋体" w:cs="宋体"/>
                <w:i w:val="0"/>
                <w:iCs w:val="0"/>
                <w:color w:val="000000"/>
                <w:sz w:val="18"/>
                <w:szCs w:val="18"/>
                <w:u w:val="none"/>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0103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3948"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C3376B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根据《中华人民共和国会计法》、《中华人民共和国预算法》等相关法律法规，在明确会计法律责任主体，坚持财务自主权不变、资金所有权不变、资金使用权不变的原则下，与预算单位签订《行政事业单位委托代理记账协议》，开展代理记账服务。目前代理记账共有89个部门单位。</w:t>
            </w:r>
          </w:p>
        </w:tc>
      </w:tr>
      <w:tr w14:paraId="7AA39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2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060B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4E6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14F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8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275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04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B20D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B7D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083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7BA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520" w:type="pct"/>
            <w:tcBorders>
              <w:top w:val="single" w:color="000000" w:sz="4" w:space="0"/>
              <w:left w:val="single" w:color="000000" w:sz="4" w:space="0"/>
              <w:bottom w:val="nil"/>
              <w:right w:val="single" w:color="000000" w:sz="4" w:space="0"/>
            </w:tcBorders>
            <w:shd w:val="clear" w:color="auto" w:fill="auto"/>
            <w:vAlign w:val="center"/>
          </w:tcPr>
          <w:p w14:paraId="7D2255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6A09E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2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D01BA">
            <w:pPr>
              <w:jc w:val="center"/>
              <w:rPr>
                <w:rFonts w:hint="eastAsia" w:ascii="宋体" w:hAnsi="宋体" w:eastAsia="宋体" w:cs="宋体"/>
                <w:i w:val="0"/>
                <w:iCs w:val="0"/>
                <w:color w:val="000000"/>
                <w:sz w:val="18"/>
                <w:szCs w:val="18"/>
                <w:u w:val="none"/>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0AB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EBF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80.00</w:t>
            </w:r>
          </w:p>
        </w:tc>
        <w:tc>
          <w:tcPr>
            <w:tcW w:w="8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362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24.57</w:t>
            </w:r>
          </w:p>
        </w:tc>
        <w:tc>
          <w:tcPr>
            <w:tcW w:w="104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C49E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24.57</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440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C1D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5" w:type="pct"/>
            <w:tcBorders>
              <w:top w:val="single" w:color="000000" w:sz="4" w:space="0"/>
              <w:left w:val="single" w:color="000000" w:sz="4" w:space="0"/>
              <w:bottom w:val="single" w:color="000000" w:sz="4" w:space="0"/>
              <w:right w:val="nil"/>
            </w:tcBorders>
            <w:shd w:val="clear" w:color="auto" w:fill="auto"/>
            <w:vAlign w:val="center"/>
          </w:tcPr>
          <w:p w14:paraId="6211DB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20"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3EC66867">
            <w:pPr>
              <w:keepNext w:val="0"/>
              <w:keepLines w:val="0"/>
              <w:widowControl/>
              <w:suppressLineNumbers w:val="0"/>
              <w:jc w:val="both"/>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单位新成立，项目支出本着</w:t>
            </w:r>
            <w:r>
              <w:rPr>
                <w:rFonts w:hint="eastAsia" w:ascii="宋体" w:hAnsi="宋体" w:cs="宋体"/>
                <w:i w:val="0"/>
                <w:iCs w:val="0"/>
                <w:color w:val="000000"/>
                <w:kern w:val="0"/>
                <w:sz w:val="18"/>
                <w:szCs w:val="18"/>
                <w:u w:val="none"/>
                <w:lang w:val="en-US" w:eastAsia="zh-CN" w:bidi="ar"/>
              </w:rPr>
              <w:t>厉</w:t>
            </w:r>
            <w:r>
              <w:rPr>
                <w:rFonts w:ascii="宋体" w:hAnsi="宋体" w:eastAsia="宋体" w:cs="宋体"/>
                <w:i w:val="0"/>
                <w:iCs w:val="0"/>
                <w:color w:val="000000"/>
                <w:kern w:val="0"/>
                <w:sz w:val="18"/>
                <w:szCs w:val="18"/>
                <w:u w:val="none"/>
                <w:lang w:val="en-US" w:eastAsia="zh-CN" w:bidi="ar"/>
              </w:rPr>
              <w:t>行节约和据实支出的原则，加强事业单位项目经费管理</w:t>
            </w:r>
          </w:p>
        </w:tc>
      </w:tr>
      <w:tr w14:paraId="1BC02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2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3AFEF3">
            <w:pPr>
              <w:jc w:val="center"/>
              <w:rPr>
                <w:rFonts w:hint="eastAsia" w:ascii="宋体" w:hAnsi="宋体" w:eastAsia="宋体" w:cs="宋体"/>
                <w:i w:val="0"/>
                <w:iCs w:val="0"/>
                <w:color w:val="000000"/>
                <w:sz w:val="18"/>
                <w:szCs w:val="18"/>
                <w:u w:val="none"/>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211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235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80.00</w:t>
            </w:r>
          </w:p>
        </w:tc>
        <w:tc>
          <w:tcPr>
            <w:tcW w:w="8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A6F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24.57</w:t>
            </w:r>
          </w:p>
        </w:tc>
        <w:tc>
          <w:tcPr>
            <w:tcW w:w="104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4D97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24.57</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63D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359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5" w:type="pct"/>
            <w:tcBorders>
              <w:top w:val="single" w:color="000000" w:sz="4" w:space="0"/>
              <w:left w:val="single" w:color="000000" w:sz="4" w:space="0"/>
              <w:bottom w:val="single" w:color="000000" w:sz="4" w:space="0"/>
              <w:right w:val="nil"/>
            </w:tcBorders>
            <w:shd w:val="clear" w:color="auto" w:fill="auto"/>
            <w:vAlign w:val="center"/>
          </w:tcPr>
          <w:p w14:paraId="26F2FE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5AD10">
            <w:pPr>
              <w:jc w:val="left"/>
              <w:rPr>
                <w:rFonts w:hint="eastAsia" w:ascii="宋体" w:hAnsi="宋体" w:eastAsia="宋体" w:cs="宋体"/>
                <w:i w:val="0"/>
                <w:iCs w:val="0"/>
                <w:color w:val="000000"/>
                <w:sz w:val="18"/>
                <w:szCs w:val="18"/>
                <w:u w:val="none"/>
              </w:rPr>
            </w:pPr>
          </w:p>
        </w:tc>
      </w:tr>
      <w:tr w14:paraId="4011D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trPr>
        <w:tc>
          <w:tcPr>
            <w:tcW w:w="2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F2F13">
            <w:pPr>
              <w:jc w:val="center"/>
              <w:rPr>
                <w:rFonts w:hint="eastAsia" w:ascii="宋体" w:hAnsi="宋体" w:eastAsia="宋体" w:cs="宋体"/>
                <w:i w:val="0"/>
                <w:iCs w:val="0"/>
                <w:color w:val="000000"/>
                <w:sz w:val="18"/>
                <w:szCs w:val="18"/>
                <w:u w:val="none"/>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7F6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EE7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8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98D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4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BE4F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869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881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5" w:type="pct"/>
            <w:tcBorders>
              <w:top w:val="single" w:color="000000" w:sz="4" w:space="0"/>
              <w:left w:val="single" w:color="000000" w:sz="4" w:space="0"/>
              <w:bottom w:val="single" w:color="000000" w:sz="4" w:space="0"/>
              <w:right w:val="nil"/>
            </w:tcBorders>
            <w:shd w:val="clear" w:color="auto" w:fill="auto"/>
            <w:vAlign w:val="center"/>
          </w:tcPr>
          <w:p w14:paraId="3AB2A0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C5CF9">
            <w:pPr>
              <w:jc w:val="left"/>
              <w:rPr>
                <w:rFonts w:hint="eastAsia" w:ascii="宋体" w:hAnsi="宋体" w:eastAsia="宋体" w:cs="宋体"/>
                <w:i w:val="0"/>
                <w:iCs w:val="0"/>
                <w:color w:val="000000"/>
                <w:sz w:val="18"/>
                <w:szCs w:val="18"/>
                <w:u w:val="none"/>
              </w:rPr>
            </w:pPr>
          </w:p>
        </w:tc>
      </w:tr>
      <w:tr w14:paraId="5570E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902F7">
            <w:pPr>
              <w:jc w:val="center"/>
              <w:rPr>
                <w:rFonts w:hint="eastAsia" w:ascii="宋体" w:hAnsi="宋体" w:eastAsia="宋体" w:cs="宋体"/>
                <w:i w:val="0"/>
                <w:iCs w:val="0"/>
                <w:color w:val="000000"/>
                <w:sz w:val="18"/>
                <w:szCs w:val="18"/>
                <w:u w:val="none"/>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F4D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8D4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8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67F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4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8FF6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9A9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3AF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5" w:type="pct"/>
            <w:tcBorders>
              <w:top w:val="single" w:color="000000" w:sz="4" w:space="0"/>
              <w:left w:val="single" w:color="000000" w:sz="4" w:space="0"/>
              <w:bottom w:val="single" w:color="000000" w:sz="4" w:space="0"/>
              <w:right w:val="nil"/>
            </w:tcBorders>
            <w:shd w:val="clear" w:color="auto" w:fill="auto"/>
            <w:vAlign w:val="center"/>
          </w:tcPr>
          <w:p w14:paraId="1AC3AC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FB773">
            <w:pPr>
              <w:jc w:val="left"/>
              <w:rPr>
                <w:rFonts w:hint="eastAsia" w:ascii="宋体" w:hAnsi="宋体" w:eastAsia="宋体" w:cs="宋体"/>
                <w:i w:val="0"/>
                <w:iCs w:val="0"/>
                <w:color w:val="000000"/>
                <w:sz w:val="18"/>
                <w:szCs w:val="18"/>
                <w:u w:val="none"/>
              </w:rPr>
            </w:pPr>
          </w:p>
        </w:tc>
      </w:tr>
      <w:tr w14:paraId="63E33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6" w:hRule="atLeast"/>
        </w:trPr>
        <w:tc>
          <w:tcPr>
            <w:tcW w:w="2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FBB92">
            <w:pPr>
              <w:jc w:val="center"/>
              <w:rPr>
                <w:rFonts w:hint="eastAsia" w:ascii="宋体" w:hAnsi="宋体" w:eastAsia="宋体" w:cs="宋体"/>
                <w:i w:val="0"/>
                <w:iCs w:val="0"/>
                <w:color w:val="000000"/>
                <w:sz w:val="18"/>
                <w:szCs w:val="18"/>
                <w:u w:val="none"/>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794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99AF6">
            <w:pPr>
              <w:jc w:val="center"/>
              <w:rPr>
                <w:rFonts w:hint="eastAsia" w:ascii="微软雅黑" w:hAnsi="微软雅黑" w:eastAsia="微软雅黑" w:cs="微软雅黑"/>
                <w:i/>
                <w:iCs/>
                <w:color w:val="000000"/>
                <w:sz w:val="16"/>
                <w:szCs w:val="16"/>
                <w:u w:val="none"/>
              </w:rPr>
            </w:pPr>
          </w:p>
        </w:tc>
        <w:tc>
          <w:tcPr>
            <w:tcW w:w="8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4C087">
            <w:pPr>
              <w:jc w:val="center"/>
              <w:rPr>
                <w:rFonts w:hint="eastAsia" w:ascii="微软雅黑" w:hAnsi="微软雅黑" w:eastAsia="微软雅黑" w:cs="微软雅黑"/>
                <w:i/>
                <w:iCs/>
                <w:color w:val="000000"/>
                <w:sz w:val="16"/>
                <w:szCs w:val="16"/>
                <w:u w:val="none"/>
              </w:rPr>
            </w:pPr>
          </w:p>
        </w:tc>
        <w:tc>
          <w:tcPr>
            <w:tcW w:w="104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21B86F">
            <w:pPr>
              <w:jc w:val="center"/>
              <w:rPr>
                <w:rFonts w:hint="eastAsia" w:ascii="微软雅黑" w:hAnsi="微软雅黑" w:eastAsia="微软雅黑" w:cs="微软雅黑"/>
                <w:i/>
                <w:iCs/>
                <w:color w:val="000000"/>
                <w:sz w:val="16"/>
                <w:szCs w:val="16"/>
                <w:u w:val="none"/>
              </w:rPr>
            </w:pP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D8DB6">
            <w:pPr>
              <w:jc w:val="center"/>
              <w:rPr>
                <w:rFonts w:hint="eastAsia" w:ascii="微软雅黑" w:hAnsi="微软雅黑" w:eastAsia="微软雅黑" w:cs="微软雅黑"/>
                <w:i/>
                <w:iCs/>
                <w:color w:val="000000"/>
                <w:sz w:val="16"/>
                <w:szCs w:val="16"/>
                <w:u w:val="none"/>
              </w:rPr>
            </w:pPr>
          </w:p>
        </w:tc>
        <w:tc>
          <w:tcPr>
            <w:tcW w:w="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5DD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5" w:type="pct"/>
            <w:tcBorders>
              <w:top w:val="single" w:color="000000" w:sz="4" w:space="0"/>
              <w:left w:val="single" w:color="000000" w:sz="4" w:space="0"/>
              <w:bottom w:val="single" w:color="auto" w:sz="4" w:space="0"/>
              <w:right w:val="nil"/>
            </w:tcBorders>
            <w:shd w:val="clear" w:color="auto" w:fill="auto"/>
            <w:vAlign w:val="center"/>
          </w:tcPr>
          <w:p w14:paraId="1D737A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20"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7C77CC7C">
            <w:pPr>
              <w:jc w:val="left"/>
              <w:rPr>
                <w:rFonts w:hint="eastAsia" w:ascii="宋体" w:hAnsi="宋体" w:eastAsia="宋体" w:cs="宋体"/>
                <w:i w:val="0"/>
                <w:iCs w:val="0"/>
                <w:color w:val="000000"/>
                <w:sz w:val="18"/>
                <w:szCs w:val="18"/>
                <w:u w:val="none"/>
              </w:rPr>
            </w:pPr>
          </w:p>
        </w:tc>
      </w:tr>
      <w:tr w14:paraId="0F670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4" w:hRule="atLeast"/>
        </w:trPr>
        <w:tc>
          <w:tcPr>
            <w:tcW w:w="2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18B5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75F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453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8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80E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1E2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AA3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486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306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05" w:type="pct"/>
            <w:tcBorders>
              <w:top w:val="single" w:color="000000" w:sz="4" w:space="0"/>
              <w:left w:val="single" w:color="000000" w:sz="4" w:space="0"/>
              <w:bottom w:val="single" w:color="000000" w:sz="4" w:space="0"/>
              <w:right w:val="single" w:color="auto" w:sz="4" w:space="0"/>
            </w:tcBorders>
            <w:shd w:val="clear" w:color="auto" w:fill="auto"/>
            <w:vAlign w:val="center"/>
          </w:tcPr>
          <w:p w14:paraId="6DA5B0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5" w:type="pct"/>
            <w:tcBorders>
              <w:top w:val="single" w:color="auto" w:sz="4" w:space="0"/>
              <w:left w:val="single" w:color="auto" w:sz="4" w:space="0"/>
              <w:bottom w:val="single" w:color="auto" w:sz="4" w:space="0"/>
              <w:right w:val="single" w:color="000000" w:sz="4" w:space="0"/>
            </w:tcBorders>
            <w:shd w:val="clear" w:color="auto" w:fill="auto"/>
            <w:vAlign w:val="center"/>
          </w:tcPr>
          <w:p w14:paraId="2F59E7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520" w:type="pct"/>
            <w:tcBorders>
              <w:top w:val="single" w:color="auto" w:sz="4" w:space="0"/>
              <w:left w:val="single" w:color="000000" w:sz="4" w:space="0"/>
              <w:bottom w:val="single" w:color="auto" w:sz="4" w:space="0"/>
              <w:right w:val="single" w:color="auto" w:sz="4" w:space="0"/>
            </w:tcBorders>
            <w:shd w:val="clear" w:color="auto" w:fill="auto"/>
            <w:vAlign w:val="center"/>
          </w:tcPr>
          <w:p w14:paraId="1FBF49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1A8F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2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DAD57">
            <w:pPr>
              <w:jc w:val="center"/>
              <w:rPr>
                <w:rFonts w:hint="eastAsia" w:ascii="宋体" w:hAnsi="宋体" w:eastAsia="宋体" w:cs="宋体"/>
                <w:i w:val="0"/>
                <w:iCs w:val="0"/>
                <w:color w:val="000000"/>
                <w:sz w:val="18"/>
                <w:szCs w:val="18"/>
                <w:u w:val="none"/>
              </w:rPr>
            </w:pPr>
          </w:p>
        </w:tc>
        <w:tc>
          <w:tcPr>
            <w:tcW w:w="7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82FC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DE6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8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A8B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保障全市所有预算单位账务完成</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1AE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CD5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885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416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8B0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5" w:type="pct"/>
            <w:tcBorders>
              <w:top w:val="single" w:color="auto" w:sz="4" w:space="0"/>
              <w:left w:val="single" w:color="000000" w:sz="4" w:space="0"/>
              <w:bottom w:val="single" w:color="000000" w:sz="4" w:space="0"/>
              <w:right w:val="single" w:color="000000" w:sz="4" w:space="0"/>
            </w:tcBorders>
            <w:shd w:val="clear" w:color="auto" w:fill="auto"/>
            <w:vAlign w:val="center"/>
          </w:tcPr>
          <w:p w14:paraId="670A7F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20" w:type="pct"/>
            <w:tcBorders>
              <w:top w:val="single" w:color="auto" w:sz="4" w:space="0"/>
              <w:left w:val="single" w:color="000000" w:sz="4" w:space="0"/>
              <w:bottom w:val="single" w:color="000000" w:sz="4" w:space="0"/>
              <w:right w:val="single" w:color="000000" w:sz="4" w:space="0"/>
            </w:tcBorders>
            <w:shd w:val="clear" w:color="auto" w:fill="auto"/>
            <w:vAlign w:val="center"/>
          </w:tcPr>
          <w:p w14:paraId="7D8F738A">
            <w:pPr>
              <w:jc w:val="center"/>
              <w:rPr>
                <w:rFonts w:hint="eastAsia" w:ascii="微软雅黑" w:hAnsi="微软雅黑" w:eastAsia="微软雅黑" w:cs="微软雅黑"/>
                <w:i/>
                <w:iCs/>
                <w:color w:val="000000"/>
                <w:sz w:val="16"/>
                <w:szCs w:val="16"/>
                <w:u w:val="none"/>
              </w:rPr>
            </w:pPr>
          </w:p>
        </w:tc>
      </w:tr>
      <w:tr w14:paraId="2CB9F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2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9E7CBA">
            <w:pPr>
              <w:jc w:val="center"/>
              <w:rPr>
                <w:rFonts w:hint="eastAsia" w:ascii="宋体" w:hAnsi="宋体" w:eastAsia="宋体" w:cs="宋体"/>
                <w:i w:val="0"/>
                <w:iCs w:val="0"/>
                <w:color w:val="000000"/>
                <w:sz w:val="18"/>
                <w:szCs w:val="18"/>
                <w:u w:val="none"/>
              </w:rPr>
            </w:pPr>
          </w:p>
        </w:tc>
        <w:tc>
          <w:tcPr>
            <w:tcW w:w="7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7E17B2">
            <w:pPr>
              <w:jc w:val="center"/>
              <w:rPr>
                <w:rFonts w:hint="eastAsia" w:ascii="宋体" w:hAnsi="宋体" w:eastAsia="宋体" w:cs="宋体"/>
                <w:i w:val="0"/>
                <w:iCs w:val="0"/>
                <w:color w:val="000000"/>
                <w:sz w:val="18"/>
                <w:szCs w:val="1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CE1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8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E59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账务处理正确率</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48A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6A7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高中低</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DD569">
            <w:pPr>
              <w:jc w:val="center"/>
              <w:rPr>
                <w:rFonts w:hint="eastAsia" w:ascii="宋体" w:hAnsi="宋体" w:eastAsia="宋体" w:cs="宋体"/>
                <w:i w:val="0"/>
                <w:iCs w:val="0"/>
                <w:color w:val="000000"/>
                <w:sz w:val="18"/>
                <w:szCs w:val="18"/>
                <w:u w:val="none"/>
              </w:rPr>
            </w:pP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F7D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高</w:t>
            </w:r>
          </w:p>
        </w:tc>
        <w:tc>
          <w:tcPr>
            <w:tcW w:w="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B15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79F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CEDA2">
            <w:pPr>
              <w:jc w:val="center"/>
              <w:rPr>
                <w:rFonts w:hint="eastAsia" w:ascii="微软雅黑" w:hAnsi="微软雅黑" w:eastAsia="微软雅黑" w:cs="微软雅黑"/>
                <w:i/>
                <w:iCs/>
                <w:color w:val="000000"/>
                <w:sz w:val="16"/>
                <w:szCs w:val="16"/>
                <w:u w:val="none"/>
              </w:rPr>
            </w:pPr>
          </w:p>
        </w:tc>
      </w:tr>
      <w:tr w14:paraId="034CD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F0111B">
            <w:pPr>
              <w:jc w:val="center"/>
              <w:rPr>
                <w:rFonts w:hint="eastAsia" w:ascii="宋体" w:hAnsi="宋体" w:eastAsia="宋体" w:cs="宋体"/>
                <w:i w:val="0"/>
                <w:iCs w:val="0"/>
                <w:color w:val="000000"/>
                <w:sz w:val="18"/>
                <w:szCs w:val="18"/>
                <w:u w:val="none"/>
              </w:rPr>
            </w:pPr>
          </w:p>
        </w:tc>
        <w:tc>
          <w:tcPr>
            <w:tcW w:w="7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9788D1">
            <w:pPr>
              <w:jc w:val="center"/>
              <w:rPr>
                <w:rFonts w:hint="eastAsia" w:ascii="宋体" w:hAnsi="宋体" w:eastAsia="宋体" w:cs="宋体"/>
                <w:i w:val="0"/>
                <w:iCs w:val="0"/>
                <w:color w:val="000000"/>
                <w:sz w:val="18"/>
                <w:szCs w:val="1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380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8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C64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按会计年度要求及时完成代理记账</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844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5C1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862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F74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BEC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823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0C63A">
            <w:pPr>
              <w:jc w:val="center"/>
              <w:rPr>
                <w:rFonts w:hint="eastAsia" w:ascii="微软雅黑" w:hAnsi="微软雅黑" w:eastAsia="微软雅黑" w:cs="微软雅黑"/>
                <w:i/>
                <w:iCs/>
                <w:color w:val="000000"/>
                <w:sz w:val="16"/>
                <w:szCs w:val="16"/>
                <w:u w:val="none"/>
              </w:rPr>
            </w:pPr>
          </w:p>
        </w:tc>
      </w:tr>
      <w:tr w14:paraId="69A27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8A265">
            <w:pPr>
              <w:jc w:val="center"/>
              <w:rPr>
                <w:rFonts w:hint="eastAsia" w:ascii="宋体" w:hAnsi="宋体" w:eastAsia="宋体" w:cs="宋体"/>
                <w:i w:val="0"/>
                <w:iCs w:val="0"/>
                <w:color w:val="000000"/>
                <w:sz w:val="18"/>
                <w:szCs w:val="18"/>
                <w:u w:val="none"/>
              </w:rPr>
            </w:pPr>
          </w:p>
        </w:tc>
        <w:tc>
          <w:tcPr>
            <w:tcW w:w="7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04AE7">
            <w:pPr>
              <w:jc w:val="center"/>
              <w:rPr>
                <w:rFonts w:hint="eastAsia" w:ascii="宋体" w:hAnsi="宋体" w:eastAsia="宋体" w:cs="宋体"/>
                <w:i w:val="0"/>
                <w:iCs w:val="0"/>
                <w:color w:val="000000"/>
                <w:sz w:val="18"/>
                <w:szCs w:val="1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B10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8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167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成本控制</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0E6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7E7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D4A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EC5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24.57</w:t>
            </w:r>
          </w:p>
        </w:tc>
        <w:tc>
          <w:tcPr>
            <w:tcW w:w="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CDE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CC3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163A8">
            <w:pPr>
              <w:jc w:val="center"/>
              <w:rPr>
                <w:rFonts w:hint="eastAsia" w:ascii="微软雅黑" w:hAnsi="微软雅黑" w:eastAsia="微软雅黑" w:cs="微软雅黑"/>
                <w:i/>
                <w:iCs/>
                <w:color w:val="000000"/>
                <w:sz w:val="16"/>
                <w:szCs w:val="16"/>
                <w:u w:val="none"/>
              </w:rPr>
            </w:pPr>
          </w:p>
        </w:tc>
      </w:tr>
      <w:tr w14:paraId="148C9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2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FBCEAA">
            <w:pPr>
              <w:jc w:val="center"/>
              <w:rPr>
                <w:rFonts w:hint="eastAsia" w:ascii="宋体" w:hAnsi="宋体" w:eastAsia="宋体" w:cs="宋体"/>
                <w:i w:val="0"/>
                <w:iCs w:val="0"/>
                <w:color w:val="000000"/>
                <w:sz w:val="18"/>
                <w:szCs w:val="18"/>
                <w:u w:val="none"/>
              </w:rPr>
            </w:pPr>
          </w:p>
        </w:tc>
        <w:tc>
          <w:tcPr>
            <w:tcW w:w="7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3D69F6">
            <w:pPr>
              <w:jc w:val="center"/>
              <w:rPr>
                <w:rFonts w:hint="eastAsia" w:ascii="宋体" w:hAnsi="宋体" w:eastAsia="宋体" w:cs="宋体"/>
                <w:i w:val="0"/>
                <w:iCs w:val="0"/>
                <w:color w:val="000000"/>
                <w:sz w:val="18"/>
                <w:szCs w:val="1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FDC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安全指标</w:t>
            </w:r>
          </w:p>
        </w:tc>
        <w:tc>
          <w:tcPr>
            <w:tcW w:w="8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AE6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预算单位账务安全性</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330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DDA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高中低</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99405">
            <w:pPr>
              <w:jc w:val="center"/>
              <w:rPr>
                <w:rFonts w:hint="eastAsia" w:ascii="宋体" w:hAnsi="宋体" w:eastAsia="宋体" w:cs="宋体"/>
                <w:i w:val="0"/>
                <w:iCs w:val="0"/>
                <w:color w:val="000000"/>
                <w:sz w:val="18"/>
                <w:szCs w:val="18"/>
                <w:u w:val="none"/>
              </w:rPr>
            </w:pP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AAF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高</w:t>
            </w:r>
          </w:p>
        </w:tc>
        <w:tc>
          <w:tcPr>
            <w:tcW w:w="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A7F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E07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A6209">
            <w:pPr>
              <w:jc w:val="center"/>
              <w:rPr>
                <w:rFonts w:hint="eastAsia" w:ascii="微软雅黑" w:hAnsi="微软雅黑" w:eastAsia="微软雅黑" w:cs="微软雅黑"/>
                <w:i/>
                <w:iCs/>
                <w:color w:val="000000"/>
                <w:sz w:val="16"/>
                <w:szCs w:val="16"/>
                <w:u w:val="none"/>
              </w:rPr>
            </w:pPr>
          </w:p>
        </w:tc>
      </w:tr>
      <w:tr w14:paraId="596D3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2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575F0">
            <w:pPr>
              <w:jc w:val="center"/>
              <w:rPr>
                <w:rFonts w:hint="eastAsia" w:ascii="宋体" w:hAnsi="宋体" w:eastAsia="宋体" w:cs="宋体"/>
                <w:i w:val="0"/>
                <w:iCs w:val="0"/>
                <w:color w:val="000000"/>
                <w:sz w:val="18"/>
                <w:szCs w:val="18"/>
                <w:u w:val="none"/>
              </w:rPr>
            </w:pPr>
          </w:p>
        </w:tc>
        <w:tc>
          <w:tcPr>
            <w:tcW w:w="7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3383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DCD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8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9A4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提高财政资金使用绩效</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439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666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优良中低差</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3D97E">
            <w:pPr>
              <w:jc w:val="center"/>
              <w:rPr>
                <w:rFonts w:hint="eastAsia" w:ascii="宋体" w:hAnsi="宋体" w:eastAsia="宋体" w:cs="宋体"/>
                <w:i w:val="0"/>
                <w:iCs w:val="0"/>
                <w:color w:val="000000"/>
                <w:sz w:val="18"/>
                <w:szCs w:val="18"/>
                <w:u w:val="none"/>
              </w:rPr>
            </w:pP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73F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w:t>
            </w:r>
          </w:p>
        </w:tc>
        <w:tc>
          <w:tcPr>
            <w:tcW w:w="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1BE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96A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064C7">
            <w:pPr>
              <w:jc w:val="center"/>
              <w:rPr>
                <w:rFonts w:hint="eastAsia" w:ascii="微软雅黑" w:hAnsi="微软雅黑" w:eastAsia="微软雅黑" w:cs="微软雅黑"/>
                <w:i/>
                <w:iCs/>
                <w:color w:val="000000"/>
                <w:sz w:val="16"/>
                <w:szCs w:val="16"/>
                <w:u w:val="none"/>
              </w:rPr>
            </w:pPr>
          </w:p>
        </w:tc>
      </w:tr>
      <w:tr w14:paraId="5EECB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2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891A63">
            <w:pPr>
              <w:jc w:val="center"/>
              <w:rPr>
                <w:rFonts w:hint="eastAsia" w:ascii="宋体" w:hAnsi="宋体" w:eastAsia="宋体" w:cs="宋体"/>
                <w:i w:val="0"/>
                <w:iCs w:val="0"/>
                <w:color w:val="000000"/>
                <w:sz w:val="18"/>
                <w:szCs w:val="18"/>
                <w:u w:val="none"/>
              </w:rPr>
            </w:pPr>
          </w:p>
        </w:tc>
        <w:tc>
          <w:tcPr>
            <w:tcW w:w="7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7C4ED5">
            <w:pPr>
              <w:jc w:val="center"/>
              <w:rPr>
                <w:rFonts w:hint="eastAsia" w:ascii="宋体" w:hAnsi="宋体" w:eastAsia="宋体" w:cs="宋体"/>
                <w:i w:val="0"/>
                <w:iCs w:val="0"/>
                <w:color w:val="000000"/>
                <w:sz w:val="18"/>
                <w:szCs w:val="1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667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8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E56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预防财经领域违纪违法行为发生</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B11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FEE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优良中低差</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12D3E">
            <w:pPr>
              <w:jc w:val="center"/>
              <w:rPr>
                <w:rFonts w:hint="eastAsia" w:ascii="宋体" w:hAnsi="宋体" w:eastAsia="宋体" w:cs="宋体"/>
                <w:i w:val="0"/>
                <w:iCs w:val="0"/>
                <w:color w:val="000000"/>
                <w:sz w:val="18"/>
                <w:szCs w:val="18"/>
                <w:u w:val="none"/>
              </w:rPr>
            </w:pP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65B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w:t>
            </w:r>
          </w:p>
        </w:tc>
        <w:tc>
          <w:tcPr>
            <w:tcW w:w="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830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963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6EF35">
            <w:pPr>
              <w:jc w:val="center"/>
              <w:rPr>
                <w:rFonts w:hint="eastAsia" w:ascii="微软雅黑" w:hAnsi="微软雅黑" w:eastAsia="微软雅黑" w:cs="微软雅黑"/>
                <w:i/>
                <w:iCs/>
                <w:color w:val="000000"/>
                <w:sz w:val="16"/>
                <w:szCs w:val="16"/>
                <w:u w:val="none"/>
              </w:rPr>
            </w:pPr>
          </w:p>
        </w:tc>
      </w:tr>
      <w:tr w14:paraId="4CDF0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2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D9686">
            <w:pPr>
              <w:jc w:val="center"/>
              <w:rPr>
                <w:rFonts w:hint="eastAsia" w:ascii="宋体" w:hAnsi="宋体" w:eastAsia="宋体" w:cs="宋体"/>
                <w:i w:val="0"/>
                <w:iCs w:val="0"/>
                <w:color w:val="000000"/>
                <w:sz w:val="18"/>
                <w:szCs w:val="18"/>
                <w:u w:val="none"/>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AC9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610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8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B86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服务对象满意率</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FCD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30D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D9F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E1E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3B1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3C9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BA33A">
            <w:pPr>
              <w:jc w:val="center"/>
              <w:rPr>
                <w:rFonts w:hint="eastAsia" w:ascii="微软雅黑" w:hAnsi="微软雅黑" w:eastAsia="微软雅黑" w:cs="微软雅黑"/>
                <w:i/>
                <w:iCs/>
                <w:color w:val="000000"/>
                <w:sz w:val="16"/>
                <w:szCs w:val="16"/>
                <w:u w:val="none"/>
              </w:rPr>
            </w:pPr>
          </w:p>
        </w:tc>
      </w:tr>
      <w:tr w14:paraId="3A771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068"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63EBC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989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D33A5">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F7C29">
            <w:pPr>
              <w:rPr>
                <w:rFonts w:hint="eastAsia" w:ascii="宋体" w:hAnsi="宋体" w:eastAsia="宋体" w:cs="宋体"/>
                <w:i w:val="0"/>
                <w:iCs w:val="0"/>
                <w:color w:val="000000"/>
                <w:sz w:val="18"/>
                <w:szCs w:val="18"/>
                <w:u w:val="none"/>
              </w:rPr>
            </w:pPr>
          </w:p>
        </w:tc>
      </w:tr>
      <w:tr w14:paraId="7A41D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406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735"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50A3F5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自评总分100分。2022年截至12月7日共完成代理记账单位财政资金32825笔，36.91亿元资金支付。出具书面提示单5份，涉及资金23.55万元；口头或电话提示80余次，涉及资金1200余万元。通过代理记账，进一步增强了部门单位遵守财经法律法规的意识，一些超标准、不合规的支出明显减少，确保了财政资金规范、有序、高效运行。</w:t>
            </w:r>
          </w:p>
        </w:tc>
      </w:tr>
      <w:tr w14:paraId="28B32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87D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735"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552B03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预算一体化系统有待完善，加强单位财经知识普及。</w:t>
            </w:r>
          </w:p>
        </w:tc>
      </w:tr>
      <w:tr w14:paraId="5294F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74A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735"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E5B30B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我单位将针对预算一体化中的单位核算模块，积极与预算股、国库股、软件公司等各方协调，及时上报并解决运行中的问题。进一步优化完善实施方案和绩效目标，加强运行监控，节约财政资金并提升资金效益，提升预算绩效管理水平。</w:t>
            </w:r>
          </w:p>
        </w:tc>
      </w:tr>
      <w:tr w14:paraId="587DF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80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3577FA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项目负责人：张淑芬</w:t>
            </w:r>
          </w:p>
        </w:tc>
        <w:tc>
          <w:tcPr>
            <w:tcW w:w="2198"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2A83F3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财务负责人：张淑芬</w:t>
            </w:r>
          </w:p>
        </w:tc>
      </w:tr>
    </w:tbl>
    <w:p w14:paraId="42316886">
      <w:pPr>
        <w:pStyle w:val="6"/>
        <w:spacing w:before="93"/>
        <w:rPr>
          <w:rFonts w:hint="eastAsia" w:hAnsi="宋体" w:cs="宋体"/>
          <w:b/>
          <w:bCs/>
          <w:sz w:val="32"/>
          <w:szCs w:val="32"/>
          <w:highlight w:val="green"/>
          <w:shd w:val="clear" w:color="auto" w:fill="FFFFFF"/>
          <w:lang w:val="zh-CN"/>
        </w:rPr>
      </w:pPr>
    </w:p>
    <w:p w14:paraId="5A22CEA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36"/>
          <w:szCs w:val="36"/>
          <w:lang w:val="en-US"/>
        </w:rPr>
      </w:pPr>
    </w:p>
    <w:p w14:paraId="5EAEAFDE">
      <w:pPr>
        <w:pStyle w:val="2"/>
        <w:rPr>
          <w:rFonts w:hint="eastAsia" w:ascii="方正小标宋_GBK" w:hAnsi="方正小标宋_GBK" w:eastAsia="方正小标宋_GBK" w:cs="方正小标宋_GBK"/>
          <w:sz w:val="36"/>
          <w:szCs w:val="36"/>
          <w:lang w:val="en-US"/>
        </w:rPr>
      </w:pPr>
    </w:p>
    <w:p w14:paraId="3CCF4906">
      <w:pPr>
        <w:rPr>
          <w:rFonts w:hint="eastAsia" w:ascii="方正小标宋_GBK" w:hAnsi="方正小标宋_GBK" w:eastAsia="方正小标宋_GBK" w:cs="方正小标宋_GBK"/>
          <w:sz w:val="36"/>
          <w:szCs w:val="36"/>
          <w:lang w:val="en-US"/>
        </w:rPr>
      </w:pPr>
    </w:p>
    <w:p w14:paraId="0E0D80B2">
      <w:pPr>
        <w:pStyle w:val="2"/>
        <w:rPr>
          <w:rFonts w:hint="eastAsia"/>
          <w:lang w:val="en-US"/>
        </w:rPr>
      </w:pPr>
    </w:p>
    <w:p w14:paraId="0236D0B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36"/>
          <w:szCs w:val="36"/>
          <w:lang w:val="en-US"/>
        </w:rPr>
      </w:pPr>
      <w:r>
        <w:rPr>
          <w:rFonts w:hint="eastAsia" w:ascii="方正小标宋_GBK" w:hAnsi="方正小标宋_GBK" w:eastAsia="方正小标宋_GBK" w:cs="方正小标宋_GBK"/>
          <w:sz w:val="36"/>
          <w:szCs w:val="36"/>
          <w:lang w:val="en-US"/>
        </w:rPr>
        <w:t>202</w:t>
      </w:r>
      <w:r>
        <w:rPr>
          <w:rFonts w:hint="eastAsia" w:ascii="方正小标宋_GBK" w:hAnsi="方正小标宋_GBK" w:eastAsia="方正小标宋_GBK" w:cs="方正小标宋_GBK"/>
          <w:sz w:val="36"/>
          <w:szCs w:val="36"/>
          <w:lang w:val="en-US" w:eastAsia="zh-CN"/>
        </w:rPr>
        <w:t>2</w:t>
      </w:r>
      <w:r>
        <w:rPr>
          <w:rFonts w:hint="eastAsia" w:ascii="方正小标宋_GBK" w:hAnsi="方正小标宋_GBK" w:eastAsia="方正小标宋_GBK" w:cs="方正小标宋_GBK"/>
          <w:sz w:val="36"/>
          <w:szCs w:val="36"/>
          <w:lang w:val="en-US"/>
        </w:rPr>
        <w:t>年</w:t>
      </w:r>
      <w:r>
        <w:rPr>
          <w:rFonts w:hint="eastAsia" w:ascii="方正小标宋_GBK" w:hAnsi="方正小标宋_GBK" w:eastAsia="方正小标宋_GBK" w:cs="方正小标宋_GBK"/>
          <w:sz w:val="36"/>
          <w:szCs w:val="36"/>
          <w:lang w:val="en-US" w:eastAsia="zh-CN"/>
        </w:rPr>
        <w:t>经济团队顾问经费</w:t>
      </w:r>
      <w:r>
        <w:rPr>
          <w:rFonts w:hint="eastAsia" w:ascii="方正小标宋_GBK" w:hAnsi="方正小标宋_GBK" w:eastAsia="方正小标宋_GBK" w:cs="方正小标宋_GBK"/>
          <w:sz w:val="36"/>
          <w:szCs w:val="36"/>
          <w:lang w:val="en-US"/>
        </w:rPr>
        <w:t>绩效自评报告</w:t>
      </w:r>
    </w:p>
    <w:p w14:paraId="18B541E1">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val="en-US"/>
        </w:rPr>
      </w:pPr>
    </w:p>
    <w:p w14:paraId="0344C6C5">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14:paraId="7AC5EA94">
      <w:pPr>
        <w:keepNext w:val="0"/>
        <w:keepLines w:val="0"/>
        <w:pageBreakBefore w:val="0"/>
        <w:numPr>
          <w:ilvl w:val="0"/>
          <w:numId w:val="0"/>
        </w:numPr>
        <w:kinsoku/>
        <w:wordWrap/>
        <w:overflowPunct/>
        <w:topLinePunct w:val="0"/>
        <w:autoSpaceDE/>
        <w:autoSpaceDN/>
        <w:bidi w:val="0"/>
        <w:adjustRightInd w:val="0"/>
        <w:snapToGrid w:val="0"/>
        <w:spacing w:line="600" w:lineRule="exact"/>
        <w:ind w:left="630" w:leftChars="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（一）项目基本情况</w:t>
      </w:r>
    </w:p>
    <w:p w14:paraId="791AB4A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zh-CN"/>
        </w:rPr>
        <w:t>该项目属于政府购买</w:t>
      </w:r>
      <w:r>
        <w:rPr>
          <w:rFonts w:hint="eastAsia" w:ascii="仿宋_GB2312" w:hAnsi="仿宋_GB2312" w:eastAsia="仿宋_GB2312" w:cs="仿宋_GB2312"/>
          <w:sz w:val="32"/>
          <w:szCs w:val="32"/>
          <w:lang w:val="en-US" w:eastAsia="zh-CN"/>
        </w:rPr>
        <w:t>服务，依据《峨眉山市财政局经济顾问服务合同》，通过汇集不同领域的专家、学者为政府决策层提供专业的理论分析、保障决策的科学化和民主化。该</w:t>
      </w:r>
      <w:r>
        <w:rPr>
          <w:rFonts w:hint="eastAsia" w:ascii="仿宋_GB2312" w:hAnsi="仿宋_GB2312" w:eastAsia="仿宋_GB2312" w:cs="仿宋_GB2312"/>
          <w:sz w:val="32"/>
          <w:szCs w:val="32"/>
          <w:lang w:val="zh-CN"/>
        </w:rPr>
        <w:t>项目资金</w:t>
      </w:r>
      <w:r>
        <w:rPr>
          <w:rFonts w:hint="eastAsia" w:ascii="仿宋_GB2312" w:hAnsi="仿宋_GB2312" w:eastAsia="仿宋_GB2312" w:cs="仿宋_GB2312"/>
          <w:sz w:val="32"/>
          <w:szCs w:val="32"/>
          <w:lang w:val="en-US" w:eastAsia="zh-CN"/>
        </w:rPr>
        <w:t>纳入政府预算，有规范的采购流程，采购过程合规合法，采购结果公平、公正。</w:t>
      </w:r>
      <w:r>
        <w:rPr>
          <w:rFonts w:hint="eastAsia" w:ascii="仿宋_GB2312" w:hAnsi="仿宋_GB2312" w:eastAsia="仿宋_GB2312" w:cs="仿宋_GB2312"/>
          <w:sz w:val="32"/>
          <w:szCs w:val="32"/>
          <w:lang w:val="zh-CN"/>
        </w:rPr>
        <w:t>项目申报内容与具体实施内容相符、申报目标合理可行。</w:t>
      </w:r>
    </w:p>
    <w:p w14:paraId="4E344E9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该项目具体包含两个方面内容，首先是提供财政管理咨询服务，包含经济政策、财政管理、财务管理等管理咨询服务。具体从三个方面进行考核，主要包含提供的咨询内容、咨询结果和后续服务。</w:t>
      </w:r>
    </w:p>
    <w:p w14:paraId="55F7A75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lang w:val="en-US" w:eastAsia="zh-CN"/>
        </w:rPr>
        <w:t>其次是发行地方政府专项债券咨询服务，就专项债券项目申请工作的部署和推进提出专业的意见并编制相应的文件。主要从两个方面进行考察，包含编制的文件内容和后续的项目结果。</w:t>
      </w:r>
    </w:p>
    <w:p w14:paraId="3BBF5FB8">
      <w:pPr>
        <w:keepNext w:val="0"/>
        <w:keepLines w:val="0"/>
        <w:pageBreakBefore w:val="0"/>
        <w:numPr>
          <w:ilvl w:val="0"/>
          <w:numId w:val="0"/>
        </w:numPr>
        <w:kinsoku/>
        <w:wordWrap/>
        <w:overflowPunct/>
        <w:topLinePunct w:val="0"/>
        <w:autoSpaceDE/>
        <w:autoSpaceDN/>
        <w:bidi w:val="0"/>
        <w:adjustRightInd w:val="0"/>
        <w:snapToGrid w:val="0"/>
        <w:spacing w:line="600" w:lineRule="exact"/>
        <w:ind w:left="630" w:leftChars="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（二）项目绩效目标</w:t>
      </w:r>
    </w:p>
    <w:p w14:paraId="2052868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就不同的服务内容分别考察，即考察财政管理咨询服务和发行地方政府专项债券咨询服务。</w:t>
      </w:r>
    </w:p>
    <w:p w14:paraId="4C4D6CF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1.财政管理咨询服务考察指标</w:t>
      </w:r>
    </w:p>
    <w:p w14:paraId="492DC63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包括咨询内容、咨询结果和后续服务质量的考察。咨询内容主要考察内容针对性和严谨性。针对性指的是能够针对财政局的现状找出管理中存在的具体问题，找到的问题具体、针对性强，严谨性指的是对项目相关的政策、背景、现状理解分析的透彻，问题把握准确、重点突出；咨询结果考察结果合理性和有效性。合理性指的是能够根据当地的收支情况提供项目，提供的项目在财政承受能力范围内，有效性指的是提供财政经济决策相关的咨询报告，提出的方案被政府和财政部门采纳数量；后续服务考察对方是否能够及时有效的提供手续的服务方案。</w:t>
      </w:r>
    </w:p>
    <w:p w14:paraId="6A63F29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val="zh-CN" w:eastAsia="zh-CN"/>
        </w:rPr>
        <w:t>发行地方政府专项债券咨询服务</w:t>
      </w:r>
    </w:p>
    <w:p w14:paraId="6412BCD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从文件内容和项目效果进行考察。文件内容考察内容的合规性和严谨性。内容合规性指的是编制的相关资料内容严格符合相应法律法规标准，内容严谨性指的是编制的内容格式规范、结构完整、逻辑层次清晰、语言准确；项目效果主要考察项目通过上级财政部门组织的专家评审并纳入省财政厅转向债券备选库和其它未纳入备选库项目的比率。</w:t>
      </w:r>
    </w:p>
    <w:p w14:paraId="2141A7E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申报内容与实际基本相符，申报目标基本合理可行。</w:t>
      </w:r>
    </w:p>
    <w:p w14:paraId="19242A88">
      <w:pPr>
        <w:keepNext w:val="0"/>
        <w:keepLines w:val="0"/>
        <w:pageBreakBefore w:val="0"/>
        <w:numPr>
          <w:ilvl w:val="0"/>
          <w:numId w:val="0"/>
        </w:numPr>
        <w:kinsoku/>
        <w:wordWrap/>
        <w:overflowPunct/>
        <w:topLinePunct w:val="0"/>
        <w:autoSpaceDE/>
        <w:autoSpaceDN/>
        <w:bidi w:val="0"/>
        <w:adjustRightInd w:val="0"/>
        <w:snapToGrid w:val="0"/>
        <w:spacing w:line="600" w:lineRule="exact"/>
        <w:ind w:left="630" w:leftChars="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w:t>
      </w:r>
      <w:r>
        <w:rPr>
          <w:rFonts w:hint="eastAsia" w:ascii="楷体_GB2312" w:hAnsi="宋体" w:eastAsia="楷体_GB2312"/>
          <w:b/>
          <w:sz w:val="32"/>
          <w:szCs w:val="32"/>
          <w:lang w:val="en-US" w:eastAsia="zh-CN"/>
        </w:rPr>
        <w:t>三</w:t>
      </w:r>
      <w:r>
        <w:rPr>
          <w:rFonts w:hint="eastAsia" w:ascii="楷体_GB2312" w:hAnsi="宋体" w:eastAsia="楷体_GB2312"/>
          <w:b/>
          <w:sz w:val="32"/>
          <w:szCs w:val="32"/>
          <w:lang w:val="zh-CN"/>
        </w:rPr>
        <w:t>）项目自评步骤及方法</w:t>
      </w:r>
    </w:p>
    <w:p w14:paraId="6C37776D">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通过明确项目目标，最终是否实现，项目库的建立是否规范完善，财务资料是否规范完善等内容和步骤进行综合自评。</w:t>
      </w:r>
    </w:p>
    <w:p w14:paraId="37B93BE6">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黑体" w:hAnsi="宋体" w:eastAsia="黑体"/>
          <w:sz w:val="32"/>
          <w:szCs w:val="32"/>
        </w:rPr>
      </w:pPr>
      <w:r>
        <w:rPr>
          <w:rFonts w:hint="eastAsia" w:ascii="黑体" w:hAnsi="宋体" w:eastAsia="黑体"/>
          <w:sz w:val="32"/>
          <w:szCs w:val="32"/>
        </w:rPr>
        <w:t>二、项目资金申报及使用情况</w:t>
      </w:r>
    </w:p>
    <w:p w14:paraId="7824959E">
      <w:pPr>
        <w:keepNext w:val="0"/>
        <w:keepLines w:val="0"/>
        <w:pageBreakBefore w:val="0"/>
        <w:numPr>
          <w:ilvl w:val="0"/>
          <w:numId w:val="0"/>
        </w:numPr>
        <w:kinsoku/>
        <w:wordWrap/>
        <w:overflowPunct/>
        <w:topLinePunct w:val="0"/>
        <w:autoSpaceDE/>
        <w:autoSpaceDN/>
        <w:bidi w:val="0"/>
        <w:adjustRightInd w:val="0"/>
        <w:snapToGrid w:val="0"/>
        <w:spacing w:line="600" w:lineRule="exact"/>
        <w:ind w:left="630" w:leftChars="0"/>
        <w:textAlignment w:val="auto"/>
        <w:rPr>
          <w:rFonts w:hint="eastAsia" w:ascii="楷体_GB2312" w:hAnsi="宋体" w:eastAsia="楷体_GB2312"/>
          <w:b/>
          <w:sz w:val="32"/>
          <w:szCs w:val="32"/>
          <w:lang w:val="zh-CN" w:eastAsia="zh-CN"/>
        </w:rPr>
      </w:pPr>
      <w:r>
        <w:rPr>
          <w:rFonts w:hint="eastAsia" w:ascii="楷体_GB2312" w:hAnsi="宋体" w:eastAsia="楷体_GB2312"/>
          <w:b/>
          <w:sz w:val="32"/>
          <w:szCs w:val="32"/>
          <w:lang w:val="zh-CN" w:eastAsia="zh-CN"/>
        </w:rPr>
        <w:t>（一）项目资金申报及批复情况</w:t>
      </w:r>
    </w:p>
    <w:p w14:paraId="42FD2686">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default" w:ascii="仿宋_GB2312" w:hAnsi="仿宋_GB2312" w:eastAsia="仿宋_GB2312" w:cs="仿宋_GB2312"/>
          <w:kern w:val="0"/>
          <w:sz w:val="32"/>
          <w:szCs w:val="32"/>
          <w:shd w:val="clear" w:color="auto" w:fill="FFFFFF"/>
          <w:lang w:val="en-US" w:eastAsia="zh-CN"/>
        </w:rPr>
      </w:pPr>
      <w:r>
        <w:rPr>
          <w:rFonts w:hint="eastAsia" w:ascii="仿宋_GB2312" w:hAnsi="仿宋_GB2312" w:eastAsia="仿宋_GB2312" w:cs="仿宋_GB2312"/>
          <w:kern w:val="0"/>
          <w:sz w:val="32"/>
          <w:szCs w:val="32"/>
          <w:shd w:val="clear" w:color="auto" w:fill="FFFFFF"/>
          <w:lang w:val="en-US" w:eastAsia="zh-CN"/>
        </w:rPr>
        <w:t>结合项目实际情况和我单位实际需要，我部门相关经办人、负责人与被购买服务方公司通过协商签订合同，申报项目资金。</w:t>
      </w:r>
    </w:p>
    <w:p w14:paraId="42626E79">
      <w:pPr>
        <w:keepNext w:val="0"/>
        <w:keepLines w:val="0"/>
        <w:pageBreakBefore w:val="0"/>
        <w:numPr>
          <w:ilvl w:val="0"/>
          <w:numId w:val="0"/>
        </w:numPr>
        <w:kinsoku/>
        <w:wordWrap/>
        <w:overflowPunct/>
        <w:topLinePunct w:val="0"/>
        <w:autoSpaceDE/>
        <w:autoSpaceDN/>
        <w:bidi w:val="0"/>
        <w:adjustRightInd w:val="0"/>
        <w:snapToGrid w:val="0"/>
        <w:spacing w:line="600" w:lineRule="exact"/>
        <w:ind w:left="630" w:leftChars="0"/>
        <w:textAlignment w:val="auto"/>
        <w:rPr>
          <w:rFonts w:hint="eastAsia" w:ascii="楷体_GB2312" w:hAnsi="宋体" w:eastAsia="楷体_GB2312"/>
          <w:b/>
          <w:sz w:val="32"/>
          <w:szCs w:val="32"/>
          <w:lang w:val="zh-CN" w:eastAsia="zh-CN"/>
        </w:rPr>
      </w:pPr>
      <w:r>
        <w:rPr>
          <w:rFonts w:hint="eastAsia" w:ascii="楷体_GB2312" w:hAnsi="宋体" w:eastAsia="楷体_GB2312"/>
          <w:b/>
          <w:sz w:val="32"/>
          <w:szCs w:val="32"/>
          <w:lang w:val="zh-CN" w:eastAsia="zh-CN"/>
        </w:rPr>
        <w:t>（二）资金计划、到位及使用情况</w:t>
      </w:r>
    </w:p>
    <w:p w14:paraId="44C11E74">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default" w:ascii="仿宋_GB2312" w:hAnsi="仿宋_GB2312" w:eastAsia="仿宋_GB2312" w:cs="仿宋_GB2312"/>
          <w:kern w:val="0"/>
          <w:sz w:val="32"/>
          <w:szCs w:val="32"/>
          <w:shd w:val="clear" w:color="auto" w:fill="FFFFFF"/>
          <w:lang w:val="en-US" w:eastAsia="zh-CN"/>
        </w:rPr>
      </w:pPr>
      <w:r>
        <w:rPr>
          <w:rFonts w:hint="eastAsia" w:ascii="仿宋_GB2312" w:hAnsi="仿宋_GB2312" w:eastAsia="仿宋_GB2312" w:cs="仿宋_GB2312"/>
          <w:kern w:val="0"/>
          <w:sz w:val="32"/>
          <w:szCs w:val="32"/>
          <w:shd w:val="clear" w:color="auto" w:fill="FFFFFF"/>
          <w:lang w:val="en-US" w:eastAsia="zh-CN"/>
        </w:rPr>
        <w:t>该项目资金为本级资金，及时到位，支付数为24万元，预算执行率100%，支付进度合理，支付依据合规合法，资金使用符合安全性、规范性、有效性的要求。</w:t>
      </w:r>
    </w:p>
    <w:p w14:paraId="1DB5B422">
      <w:pPr>
        <w:keepNext w:val="0"/>
        <w:keepLines w:val="0"/>
        <w:pageBreakBefore w:val="0"/>
        <w:numPr>
          <w:ilvl w:val="0"/>
          <w:numId w:val="0"/>
        </w:numPr>
        <w:kinsoku/>
        <w:wordWrap/>
        <w:overflowPunct/>
        <w:topLinePunct w:val="0"/>
        <w:autoSpaceDE/>
        <w:autoSpaceDN/>
        <w:bidi w:val="0"/>
        <w:adjustRightInd w:val="0"/>
        <w:snapToGrid w:val="0"/>
        <w:spacing w:line="600" w:lineRule="exact"/>
        <w:ind w:left="630" w:leftChars="0"/>
        <w:textAlignment w:val="auto"/>
        <w:rPr>
          <w:rFonts w:hint="eastAsia" w:ascii="楷体_GB2312" w:hAnsi="宋体" w:eastAsia="楷体_GB2312"/>
          <w:b/>
          <w:sz w:val="32"/>
          <w:szCs w:val="32"/>
          <w:lang w:val="zh-CN" w:eastAsia="zh-CN"/>
        </w:rPr>
      </w:pPr>
      <w:r>
        <w:rPr>
          <w:rFonts w:hint="eastAsia" w:ascii="楷体_GB2312" w:hAnsi="宋体" w:eastAsia="楷体_GB2312"/>
          <w:b/>
          <w:sz w:val="32"/>
          <w:szCs w:val="32"/>
          <w:lang w:val="zh-CN" w:eastAsia="zh-CN"/>
        </w:rPr>
        <w:t>（三）项目财务管理情况</w:t>
      </w:r>
    </w:p>
    <w:p w14:paraId="44829C03">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kern w:val="0"/>
          <w:sz w:val="32"/>
          <w:szCs w:val="32"/>
          <w:shd w:val="clear" w:color="auto" w:fill="FFFFFF"/>
          <w:lang w:val="en-US" w:eastAsia="zh-CN"/>
        </w:rPr>
      </w:pPr>
      <w:r>
        <w:rPr>
          <w:rFonts w:hint="eastAsia" w:ascii="仿宋_GB2312" w:hAnsi="仿宋_GB2312" w:eastAsia="仿宋_GB2312" w:cs="仿宋_GB2312"/>
          <w:kern w:val="0"/>
          <w:sz w:val="32"/>
          <w:szCs w:val="32"/>
          <w:shd w:val="clear" w:color="auto" w:fill="FFFFFF"/>
          <w:lang w:val="en-US" w:eastAsia="zh-CN"/>
        </w:rPr>
        <w:t>我部门在开展工作的同时，不断完善单位财务管理制度，严格执行财务管理制度，及时处理账务，规范会计核算。</w:t>
      </w:r>
    </w:p>
    <w:p w14:paraId="72BE2382">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黑体" w:hAnsi="宋体" w:eastAsia="黑体"/>
          <w:sz w:val="32"/>
          <w:szCs w:val="32"/>
        </w:rPr>
      </w:pPr>
      <w:r>
        <w:rPr>
          <w:rFonts w:hint="eastAsia" w:ascii="黑体" w:hAnsi="宋体" w:eastAsia="黑体"/>
          <w:sz w:val="32"/>
          <w:szCs w:val="32"/>
        </w:rPr>
        <w:t>三、项目实施及管理情况</w:t>
      </w:r>
    </w:p>
    <w:p w14:paraId="3E59F66C">
      <w:pPr>
        <w:keepNext w:val="0"/>
        <w:keepLines w:val="0"/>
        <w:pageBreakBefore w:val="0"/>
        <w:numPr>
          <w:ilvl w:val="0"/>
          <w:numId w:val="2"/>
        </w:numPr>
        <w:kinsoku/>
        <w:wordWrap/>
        <w:overflowPunct/>
        <w:topLinePunct w:val="0"/>
        <w:autoSpaceDE/>
        <w:autoSpaceDN/>
        <w:bidi w:val="0"/>
        <w:adjustRightInd w:val="0"/>
        <w:snapToGrid w:val="0"/>
        <w:spacing w:line="600" w:lineRule="exact"/>
        <w:ind w:left="-90" w:leftChars="0" w:firstLine="720" w:firstLineChars="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项目组织架构及实施流程</w:t>
      </w:r>
    </w:p>
    <w:p w14:paraId="46325047">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楷体_GB2312" w:hAnsi="宋体" w:eastAsia="楷体_GB2312"/>
          <w:b/>
          <w:sz w:val="32"/>
          <w:szCs w:val="32"/>
          <w:lang w:val="zh-CN"/>
        </w:rPr>
      </w:pPr>
      <w:r>
        <w:rPr>
          <w:rFonts w:hint="eastAsia" w:ascii="仿宋_GB2312" w:hAnsi="仿宋_GB2312" w:eastAsia="仿宋_GB2312" w:cs="仿宋_GB2312"/>
          <w:kern w:val="0"/>
          <w:sz w:val="32"/>
          <w:szCs w:val="32"/>
          <w:shd w:val="clear" w:color="auto" w:fill="FFFFFF"/>
          <w:lang w:val="en-US" w:eastAsia="zh-CN"/>
        </w:rPr>
        <w:t>通过双方签订合同，严格按照合同内容执行服务内容，控制过程主要包含以下几点，首先确定咨询服务的时效，和合同相对方就咨询服务的时间进行确定，督促对方及时高效完成咨询服务内容，其次确保沟通畅通性，定期会议就项目的相关内容进行讨论，及时提供对方所需要的相关资料，最后就对方的服务内容和成效继续考核，确保财政资金使用的有效性。</w:t>
      </w:r>
    </w:p>
    <w:p w14:paraId="74446905">
      <w:pPr>
        <w:keepNext w:val="0"/>
        <w:keepLines w:val="0"/>
        <w:pageBreakBefore w:val="0"/>
        <w:numPr>
          <w:ilvl w:val="0"/>
          <w:numId w:val="2"/>
        </w:numPr>
        <w:kinsoku/>
        <w:wordWrap/>
        <w:overflowPunct/>
        <w:topLinePunct w:val="0"/>
        <w:autoSpaceDE/>
        <w:autoSpaceDN/>
        <w:bidi w:val="0"/>
        <w:adjustRightInd w:val="0"/>
        <w:snapToGrid w:val="0"/>
        <w:spacing w:line="600" w:lineRule="exact"/>
        <w:ind w:left="-90" w:leftChars="0" w:firstLine="720" w:firstLineChars="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项目管理情况</w:t>
      </w:r>
    </w:p>
    <w:p w14:paraId="47F44166">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textAlignment w:val="auto"/>
        <w:rPr>
          <w:rFonts w:hint="default" w:ascii="仿宋_GB2312" w:hAnsi="仿宋_GB2312" w:eastAsia="仿宋_GB2312" w:cs="仿宋_GB2312"/>
          <w:kern w:val="0"/>
          <w:sz w:val="32"/>
          <w:szCs w:val="32"/>
          <w:shd w:val="clear" w:color="auto" w:fill="FFFFFF"/>
          <w:lang w:val="en-US" w:eastAsia="zh-CN"/>
        </w:rPr>
      </w:pPr>
      <w:r>
        <w:rPr>
          <w:rFonts w:hint="eastAsia" w:ascii="仿宋_GB2312" w:hAnsi="仿宋_GB2312" w:eastAsia="仿宋_GB2312" w:cs="仿宋_GB2312"/>
          <w:kern w:val="0"/>
          <w:sz w:val="32"/>
          <w:szCs w:val="32"/>
          <w:shd w:val="clear" w:color="auto" w:fill="FFFFFF"/>
          <w:lang w:val="en-US" w:eastAsia="zh-CN"/>
        </w:rPr>
        <w:t>实施项目时，严格依据</w:t>
      </w:r>
      <w:r>
        <w:rPr>
          <w:rFonts w:hint="eastAsia" w:ascii="仿宋_GB2312" w:hAnsi="仿宋_GB2312" w:eastAsia="仿宋_GB2312" w:cs="仿宋_GB2312"/>
          <w:kern w:val="0"/>
          <w:sz w:val="32"/>
          <w:szCs w:val="32"/>
          <w:shd w:val="clear" w:color="auto" w:fill="FFFFFF"/>
          <w:lang w:val="zh-CN" w:eastAsia="zh-CN"/>
        </w:rPr>
        <w:t>相关法律法规</w:t>
      </w:r>
      <w:r>
        <w:rPr>
          <w:rFonts w:hint="eastAsia" w:ascii="仿宋_GB2312" w:hAnsi="仿宋_GB2312" w:eastAsia="仿宋_GB2312" w:cs="仿宋_GB2312"/>
          <w:kern w:val="0"/>
          <w:sz w:val="32"/>
          <w:szCs w:val="32"/>
          <w:shd w:val="clear" w:color="auto" w:fill="FFFFFF"/>
          <w:lang w:val="en-US" w:eastAsia="zh-CN"/>
        </w:rPr>
        <w:t>以及拟定的合同，确保资金使用的合法合规性。</w:t>
      </w:r>
    </w:p>
    <w:p w14:paraId="12213E51">
      <w:pPr>
        <w:keepNext w:val="0"/>
        <w:keepLines w:val="0"/>
        <w:pageBreakBefore w:val="0"/>
        <w:numPr>
          <w:ilvl w:val="0"/>
          <w:numId w:val="2"/>
        </w:numPr>
        <w:kinsoku/>
        <w:wordWrap/>
        <w:overflowPunct/>
        <w:topLinePunct w:val="0"/>
        <w:autoSpaceDE/>
        <w:autoSpaceDN/>
        <w:bidi w:val="0"/>
        <w:adjustRightInd w:val="0"/>
        <w:snapToGrid w:val="0"/>
        <w:spacing w:line="600" w:lineRule="exact"/>
        <w:ind w:left="-90" w:leftChars="0" w:firstLine="720" w:firstLineChars="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项目监管情况</w:t>
      </w:r>
    </w:p>
    <w:p w14:paraId="6C6F2D15">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textAlignment w:val="auto"/>
        <w:rPr>
          <w:rFonts w:hint="eastAsia"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en-US" w:eastAsia="zh-CN"/>
        </w:rPr>
        <w:t>不定时查看项目执行进度，了解项目执行情况，对项目执行不到位之处及时提出建议予以整改，整体上加强项目管理，提高项目执行效率，提高项目实施满意度。</w:t>
      </w:r>
    </w:p>
    <w:p w14:paraId="15D6F99A">
      <w:pPr>
        <w:adjustRightInd w:val="0"/>
        <w:snapToGrid w:val="0"/>
        <w:spacing w:line="578" w:lineRule="exact"/>
        <w:ind w:firstLine="720"/>
        <w:rPr>
          <w:rFonts w:ascii="仿宋_GB2312" w:hAnsi="宋体"/>
          <w:sz w:val="32"/>
          <w:szCs w:val="32"/>
          <w:lang w:val="zh-CN"/>
        </w:rPr>
      </w:pPr>
      <w:r>
        <w:rPr>
          <w:rFonts w:hint="eastAsia" w:ascii="黑体" w:hAnsi="宋体" w:eastAsia="黑体"/>
          <w:sz w:val="32"/>
          <w:szCs w:val="32"/>
        </w:rPr>
        <w:t>四、项目绩效情况</w:t>
      </w:r>
      <w:r>
        <w:rPr>
          <w:rFonts w:hint="eastAsia" w:ascii="仿宋_GB2312" w:hAnsi="宋体"/>
          <w:sz w:val="32"/>
          <w:szCs w:val="32"/>
          <w:lang w:val="zh-CN"/>
        </w:rPr>
        <w:tab/>
      </w:r>
    </w:p>
    <w:p w14:paraId="09AA9426">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（一）项目完成情况</w:t>
      </w:r>
    </w:p>
    <w:p w14:paraId="6E8D972A">
      <w:pPr>
        <w:widowControl/>
        <w:adjustRightInd w:val="0"/>
        <w:snapToGrid w:val="0"/>
        <w:spacing w:line="578" w:lineRule="exact"/>
        <w:ind w:firstLine="640" w:firstLineChars="200"/>
        <w:contextualSpacing/>
        <w:rPr>
          <w:rFonts w:hint="default" w:ascii="仿宋_GB2312" w:hAnsi="仿宋_GB2312" w:eastAsia="仿宋_GB2312" w:cs="仿宋_GB2312"/>
          <w:kern w:val="0"/>
          <w:sz w:val="32"/>
          <w:szCs w:val="32"/>
          <w:shd w:val="clear" w:color="auto" w:fill="FFFFFF"/>
          <w:lang w:val="en-US"/>
        </w:rPr>
      </w:pPr>
      <w:r>
        <w:rPr>
          <w:rFonts w:hint="eastAsia" w:ascii="仿宋_GB2312" w:hAnsi="仿宋_GB2312" w:eastAsia="仿宋_GB2312" w:cs="仿宋_GB2312"/>
          <w:kern w:val="0"/>
          <w:sz w:val="32"/>
          <w:szCs w:val="32"/>
          <w:shd w:val="clear" w:color="auto" w:fill="FFFFFF"/>
          <w:lang w:val="zh-CN"/>
        </w:rPr>
        <w:t>该项目</w:t>
      </w:r>
      <w:r>
        <w:rPr>
          <w:rFonts w:hint="eastAsia" w:ascii="仿宋_GB2312" w:hAnsi="仿宋_GB2312" w:eastAsia="仿宋_GB2312" w:cs="仿宋_GB2312"/>
          <w:kern w:val="0"/>
          <w:sz w:val="32"/>
          <w:szCs w:val="32"/>
          <w:shd w:val="clear" w:color="auto" w:fill="FFFFFF"/>
          <w:lang w:val="en-US" w:eastAsia="zh-CN"/>
        </w:rPr>
        <w:t>通过</w:t>
      </w:r>
      <w:r>
        <w:rPr>
          <w:rFonts w:hint="eastAsia" w:ascii="仿宋_GB2312" w:hAnsi="仿宋_GB2312" w:eastAsia="仿宋_GB2312" w:cs="仿宋_GB2312"/>
          <w:kern w:val="0"/>
          <w:sz w:val="32"/>
          <w:szCs w:val="32"/>
          <w:shd w:val="clear" w:color="auto" w:fill="FFFFFF"/>
          <w:lang w:val="zh-CN"/>
        </w:rPr>
        <w:t>政府购买</w:t>
      </w:r>
      <w:r>
        <w:rPr>
          <w:rFonts w:hint="eastAsia" w:ascii="仿宋_GB2312" w:hAnsi="仿宋_GB2312" w:eastAsia="仿宋_GB2312" w:cs="仿宋_GB2312"/>
          <w:kern w:val="0"/>
          <w:sz w:val="32"/>
          <w:szCs w:val="32"/>
          <w:shd w:val="clear" w:color="auto" w:fill="FFFFFF"/>
          <w:lang w:val="en-US" w:eastAsia="zh-CN"/>
        </w:rPr>
        <w:t>服务，汇集不同领域的专家、学者为政府决策层提供专业的理论分析、保障决策的科学化和民主化。截至2022年底，已完成提供服务，预算执行率100%，保障了政府决策的科学性和民主性，进度计划、成本控制均达到了预期目标。</w:t>
      </w:r>
    </w:p>
    <w:p w14:paraId="02023AA7">
      <w:pPr>
        <w:adjustRightInd w:val="0"/>
        <w:snapToGrid w:val="0"/>
        <w:spacing w:line="578" w:lineRule="exact"/>
        <w:ind w:firstLine="643" w:firstLineChars="200"/>
        <w:rPr>
          <w:rFonts w:ascii="楷体_GB2312" w:hAnsi="宋体" w:eastAsia="楷体_GB2312"/>
          <w:b/>
          <w:sz w:val="32"/>
          <w:szCs w:val="32"/>
          <w:lang w:val="zh-CN"/>
        </w:rPr>
      </w:pPr>
      <w:r>
        <w:rPr>
          <w:rFonts w:hint="eastAsia" w:ascii="楷体_GB2312" w:hAnsi="宋体" w:eastAsia="楷体_GB2312"/>
          <w:b/>
          <w:sz w:val="32"/>
          <w:szCs w:val="32"/>
          <w:lang w:val="zh-CN"/>
        </w:rPr>
        <w:t>（二）项目效益情况</w:t>
      </w:r>
    </w:p>
    <w:p w14:paraId="681A4C24">
      <w:pPr>
        <w:widowControl/>
        <w:adjustRightInd w:val="0"/>
        <w:snapToGrid w:val="0"/>
        <w:spacing w:line="578" w:lineRule="exact"/>
        <w:ind w:firstLine="640" w:firstLineChars="200"/>
        <w:contextualSpacing/>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en-US" w:eastAsia="zh-CN"/>
        </w:rPr>
        <w:t>该专项支出的执行，保障了本部门决策的科学性和民主性，规范了我部门的决策、提高了决策质量，推动我部门工作更为有序科学地开展。</w:t>
      </w:r>
    </w:p>
    <w:p w14:paraId="3C4F3528">
      <w:pPr>
        <w:adjustRightInd w:val="0"/>
        <w:snapToGrid w:val="0"/>
        <w:spacing w:line="578" w:lineRule="exact"/>
        <w:ind w:firstLine="720"/>
        <w:rPr>
          <w:rFonts w:ascii="黑体" w:hAnsi="宋体" w:eastAsia="黑体"/>
          <w:sz w:val="32"/>
          <w:szCs w:val="32"/>
        </w:rPr>
      </w:pPr>
      <w:r>
        <w:rPr>
          <w:rFonts w:hint="eastAsia" w:ascii="黑体" w:hAnsi="宋体" w:eastAsia="黑体"/>
          <w:sz w:val="32"/>
          <w:szCs w:val="32"/>
        </w:rPr>
        <w:t>五、评价结论及建议</w:t>
      </w:r>
    </w:p>
    <w:p w14:paraId="2C07EA0C">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（一）评价结论</w:t>
      </w:r>
    </w:p>
    <w:p w14:paraId="4396E2F5">
      <w:pPr>
        <w:widowControl/>
        <w:adjustRightInd w:val="0"/>
        <w:snapToGrid w:val="0"/>
        <w:spacing w:line="578" w:lineRule="exact"/>
        <w:ind w:firstLine="640" w:firstLineChars="200"/>
        <w:contextualSpacing/>
        <w:jc w:val="left"/>
        <w:rPr>
          <w:rFonts w:hint="default" w:ascii="仿宋_GB2312" w:hAnsi="仿宋_GB2312" w:eastAsia="仿宋_GB2312" w:cs="仿宋_GB2312"/>
          <w:kern w:val="0"/>
          <w:sz w:val="32"/>
          <w:szCs w:val="32"/>
          <w:shd w:val="clear" w:color="auto" w:fill="FFFFFF"/>
          <w:lang w:val="en-US" w:eastAsia="zh-CN"/>
        </w:rPr>
      </w:pPr>
      <w:r>
        <w:rPr>
          <w:rFonts w:hint="eastAsia" w:ascii="仿宋_GB2312" w:hAnsi="仿宋_GB2312" w:eastAsia="仿宋_GB2312" w:cs="仿宋_GB2312"/>
          <w:kern w:val="0"/>
          <w:sz w:val="32"/>
          <w:szCs w:val="32"/>
          <w:shd w:val="clear" w:color="auto" w:fill="FFFFFF"/>
          <w:lang w:val="en-US" w:eastAsia="zh-CN"/>
        </w:rPr>
        <w:t>项目自评总分100分。该项目保障了决策的科学性和民主性，改善了工作的质量，</w:t>
      </w:r>
      <w:r>
        <w:rPr>
          <w:rFonts w:hint="eastAsia" w:ascii="仿宋_GB2312" w:hAnsi="仿宋_GB2312" w:eastAsia="仿宋_GB2312" w:cs="仿宋_GB2312"/>
          <w:kern w:val="0"/>
          <w:sz w:val="32"/>
          <w:szCs w:val="32"/>
          <w:highlight w:val="none"/>
          <w:shd w:val="clear" w:color="auto" w:fill="FFFFFF"/>
          <w:lang w:val="en-US" w:eastAsia="zh-CN"/>
        </w:rPr>
        <w:t>满足了预期需求</w:t>
      </w:r>
      <w:r>
        <w:rPr>
          <w:rFonts w:hint="eastAsia" w:ascii="仿宋_GB2312" w:hAnsi="仿宋_GB2312" w:eastAsia="仿宋_GB2312" w:cs="仿宋_GB2312"/>
          <w:kern w:val="0"/>
          <w:sz w:val="32"/>
          <w:szCs w:val="32"/>
          <w:shd w:val="clear" w:color="auto" w:fill="FFFFFF"/>
          <w:lang w:val="en-US" w:eastAsia="zh-CN"/>
        </w:rPr>
        <w:t>。</w:t>
      </w:r>
    </w:p>
    <w:p w14:paraId="455B6051">
      <w:pPr>
        <w:numPr>
          <w:ilvl w:val="0"/>
          <w:numId w:val="3"/>
        </w:numPr>
        <w:adjustRightInd w:val="0"/>
        <w:snapToGrid w:val="0"/>
        <w:spacing w:line="578" w:lineRule="exact"/>
        <w:ind w:firstLine="720"/>
        <w:rPr>
          <w:rFonts w:hint="eastAsia" w:ascii="楷体_GB2312" w:hAnsi="宋体" w:eastAsia="楷体_GB2312"/>
          <w:b/>
          <w:sz w:val="32"/>
          <w:szCs w:val="32"/>
          <w:lang w:val="zh-CN"/>
        </w:rPr>
      </w:pPr>
      <w:r>
        <w:rPr>
          <w:rFonts w:hint="eastAsia" w:ascii="楷体_GB2312" w:hAnsi="宋体" w:eastAsia="楷体_GB2312"/>
          <w:b/>
          <w:sz w:val="32"/>
          <w:szCs w:val="32"/>
          <w:lang w:val="zh-CN"/>
        </w:rPr>
        <w:t>存在的问题</w:t>
      </w:r>
    </w:p>
    <w:p w14:paraId="692B6803">
      <w:pPr>
        <w:numPr>
          <w:ilvl w:val="0"/>
          <w:numId w:val="0"/>
        </w:numPr>
        <w:adjustRightInd w:val="0"/>
        <w:snapToGrid w:val="0"/>
        <w:spacing w:line="578" w:lineRule="exact"/>
        <w:ind w:firstLine="640" w:firstLineChars="200"/>
        <w:rPr>
          <w:rFonts w:hint="eastAsia" w:ascii="楷体_GB2312" w:hAnsi="宋体" w:eastAsia="楷体_GB2312"/>
          <w:b/>
          <w:sz w:val="32"/>
          <w:szCs w:val="32"/>
          <w:lang w:val="en-US" w:eastAsia="zh-CN"/>
        </w:rPr>
      </w:pPr>
      <w:r>
        <w:rPr>
          <w:rFonts w:hint="eastAsia" w:ascii="仿宋_GB2312" w:hAnsi="仿宋_GB2312" w:eastAsia="仿宋_GB2312" w:cs="仿宋_GB2312"/>
          <w:kern w:val="0"/>
          <w:sz w:val="32"/>
          <w:szCs w:val="32"/>
          <w:shd w:val="clear" w:color="auto" w:fill="FFFFFF"/>
          <w:lang w:val="en-US" w:eastAsia="zh-CN"/>
        </w:rPr>
        <w:t>无</w:t>
      </w:r>
    </w:p>
    <w:p w14:paraId="52CFBEB5">
      <w:pPr>
        <w:numPr>
          <w:ilvl w:val="0"/>
          <w:numId w:val="3"/>
        </w:numPr>
        <w:adjustRightInd w:val="0"/>
        <w:snapToGrid w:val="0"/>
        <w:spacing w:line="578" w:lineRule="exact"/>
        <w:ind w:left="0" w:leftChars="0" w:firstLine="720" w:firstLineChars="0"/>
        <w:rPr>
          <w:rFonts w:hint="eastAsia" w:ascii="楷体_GB2312" w:hAnsi="宋体" w:eastAsia="楷体_GB2312"/>
          <w:b/>
          <w:sz w:val="32"/>
          <w:szCs w:val="32"/>
          <w:lang w:val="zh-CN"/>
        </w:rPr>
      </w:pPr>
      <w:r>
        <w:rPr>
          <w:rFonts w:hint="eastAsia" w:ascii="楷体_GB2312" w:hAnsi="宋体" w:eastAsia="楷体_GB2312"/>
          <w:b/>
          <w:sz w:val="32"/>
          <w:szCs w:val="32"/>
          <w:lang w:val="zh-CN"/>
        </w:rPr>
        <w:t>相关建议</w:t>
      </w:r>
    </w:p>
    <w:p w14:paraId="43F2C18A">
      <w:pPr>
        <w:numPr>
          <w:ilvl w:val="0"/>
          <w:numId w:val="0"/>
        </w:numPr>
        <w:adjustRightInd w:val="0"/>
        <w:snapToGrid w:val="0"/>
        <w:spacing w:line="578" w:lineRule="exact"/>
        <w:ind w:firstLine="640" w:firstLineChars="200"/>
        <w:rPr>
          <w:rFonts w:hint="eastAsia" w:ascii="仿宋_GB2312" w:hAnsi="仿宋_GB2312" w:eastAsia="仿宋_GB2312" w:cs="仿宋_GB2312"/>
          <w:kern w:val="0"/>
          <w:sz w:val="32"/>
          <w:szCs w:val="32"/>
          <w:shd w:val="clear" w:color="auto" w:fill="FFFFFF"/>
          <w:lang w:val="en-US" w:eastAsia="zh-CN"/>
        </w:rPr>
      </w:pPr>
      <w:r>
        <w:rPr>
          <w:rFonts w:hint="eastAsia" w:ascii="仿宋_GB2312" w:hAnsi="仿宋_GB2312" w:eastAsia="仿宋_GB2312" w:cs="仿宋_GB2312"/>
          <w:kern w:val="0"/>
          <w:sz w:val="32"/>
          <w:szCs w:val="32"/>
          <w:shd w:val="clear" w:color="auto" w:fill="FFFFFF"/>
          <w:lang w:val="en-US" w:eastAsia="zh-CN"/>
        </w:rPr>
        <w:t>无</w:t>
      </w:r>
    </w:p>
    <w:p w14:paraId="549A047C">
      <w:pPr>
        <w:pStyle w:val="6"/>
        <w:rPr>
          <w:rFonts w:hint="default"/>
          <w:lang w:val="en-US" w:eastAsia="zh-CN"/>
        </w:rPr>
      </w:pPr>
    </w:p>
    <w:p w14:paraId="3874C52D">
      <w:pPr>
        <w:pStyle w:val="36"/>
        <w:keepNext w:val="0"/>
        <w:keepLines w:val="0"/>
        <w:pageBreakBefore w:val="0"/>
        <w:kinsoku/>
        <w:wordWrap/>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color w:val="auto"/>
          <w:kern w:val="2"/>
          <w:sz w:val="36"/>
          <w:szCs w:val="36"/>
          <w:lang w:val="en-US"/>
        </w:rPr>
      </w:pPr>
      <w:r>
        <w:rPr>
          <w:rFonts w:hint="eastAsia" w:ascii="方正小标宋简体" w:hAnsi="方正小标宋简体" w:eastAsia="方正小标宋简体" w:cs="方正小标宋简体"/>
          <w:color w:val="auto"/>
          <w:kern w:val="2"/>
          <w:sz w:val="36"/>
          <w:szCs w:val="36"/>
          <w:lang w:val="en-US"/>
        </w:rPr>
        <w:t>202</w:t>
      </w:r>
      <w:r>
        <w:rPr>
          <w:rFonts w:hint="eastAsia" w:ascii="方正小标宋简体" w:hAnsi="方正小标宋简体" w:eastAsia="方正小标宋简体" w:cs="方正小标宋简体"/>
          <w:color w:val="auto"/>
          <w:kern w:val="2"/>
          <w:sz w:val="36"/>
          <w:szCs w:val="36"/>
          <w:lang w:val="en-US" w:eastAsia="zh-CN"/>
        </w:rPr>
        <w:t>2</w:t>
      </w:r>
      <w:r>
        <w:rPr>
          <w:rFonts w:hint="eastAsia" w:ascii="方正小标宋简体" w:hAnsi="方正小标宋简体" w:eastAsia="方正小标宋简体" w:cs="方正小标宋简体"/>
          <w:color w:val="auto"/>
          <w:kern w:val="2"/>
          <w:sz w:val="36"/>
          <w:szCs w:val="36"/>
          <w:lang w:val="en-US"/>
        </w:rPr>
        <w:t>年</w:t>
      </w:r>
      <w:r>
        <w:rPr>
          <w:rFonts w:hint="eastAsia" w:ascii="方正小标宋简体" w:hAnsi="方正小标宋简体" w:eastAsia="方正小标宋简体" w:cs="方正小标宋简体"/>
          <w:color w:val="auto"/>
          <w:kern w:val="2"/>
          <w:sz w:val="36"/>
          <w:szCs w:val="36"/>
          <w:lang w:val="zh-CN" w:eastAsia="zh-CN"/>
        </w:rPr>
        <w:t>评审专项业务</w:t>
      </w:r>
      <w:r>
        <w:rPr>
          <w:rFonts w:hint="eastAsia" w:ascii="方正小标宋简体" w:hAnsi="方正小标宋简体" w:eastAsia="方正小标宋简体" w:cs="方正小标宋简体"/>
          <w:color w:val="auto"/>
          <w:kern w:val="2"/>
          <w:sz w:val="36"/>
          <w:szCs w:val="36"/>
          <w:lang w:val="en-US" w:eastAsia="zh-CN"/>
        </w:rPr>
        <w:t>经费</w:t>
      </w:r>
      <w:r>
        <w:rPr>
          <w:rFonts w:hint="eastAsia" w:ascii="方正小标宋简体" w:hAnsi="方正小标宋简体" w:eastAsia="方正小标宋简体" w:cs="方正小标宋简体"/>
          <w:color w:val="auto"/>
          <w:kern w:val="2"/>
          <w:sz w:val="36"/>
          <w:szCs w:val="36"/>
          <w:lang w:val="en-US"/>
        </w:rPr>
        <w:t>绩效自评报告</w:t>
      </w:r>
    </w:p>
    <w:p w14:paraId="629B67A1">
      <w:pPr>
        <w:pStyle w:val="36"/>
        <w:keepNext w:val="0"/>
        <w:keepLines w:val="0"/>
        <w:pageBreakBefore w:val="0"/>
        <w:kinsoku/>
        <w:wordWrap/>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color w:val="auto"/>
          <w:kern w:val="2"/>
          <w:sz w:val="32"/>
          <w:szCs w:val="32"/>
          <w:lang w:val="en-US"/>
        </w:rPr>
      </w:pPr>
    </w:p>
    <w:p w14:paraId="2BB9EF0A">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14:paraId="19FAFADD">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（一）项目基本情况</w:t>
      </w:r>
    </w:p>
    <w:p w14:paraId="6A47A465">
      <w:pPr>
        <w:keepNext w:val="0"/>
        <w:keepLines w:val="0"/>
        <w:pageBreakBefore w:val="0"/>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评审专项业务支出项目</w:t>
      </w:r>
      <w:r>
        <w:rPr>
          <w:rFonts w:hint="eastAsia" w:ascii="仿宋_GB2312" w:hAnsi="仿宋_GB2312" w:eastAsia="仿宋_GB2312" w:cs="仿宋_GB2312"/>
          <w:sz w:val="32"/>
          <w:szCs w:val="32"/>
        </w:rPr>
        <w:t>主要用于完成全市财政投资预算评审、结算评审，项目监管，招标文件及合同审查，工程进度款拨付核查</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w:t>
      </w:r>
    </w:p>
    <w:p w14:paraId="0EFEAD14">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（二）项目绩效目标</w:t>
      </w:r>
    </w:p>
    <w:p w14:paraId="178043B6">
      <w:pPr>
        <w:keepNext w:val="0"/>
        <w:keepLines w:val="0"/>
        <w:pageBreakBefore w:val="0"/>
        <w:kinsoku/>
        <w:wordWrap/>
        <w:overflowPunct/>
        <w:topLinePunct w:val="0"/>
        <w:autoSpaceDE/>
        <w:autoSpaceDN/>
        <w:bidi w:val="0"/>
        <w:spacing w:line="600" w:lineRule="exact"/>
        <w:ind w:firstLine="420" w:firstLineChars="200"/>
        <w:textAlignment w:val="auto"/>
        <w:rPr>
          <w:rFonts w:hint="default" w:ascii="仿宋_GB2312" w:hAnsi="仿宋_GB2312" w:eastAsia="仿宋_GB2312" w:cs="仿宋_GB2312"/>
          <w:kern w:val="0"/>
          <w:sz w:val="32"/>
          <w:szCs w:val="32"/>
          <w:shd w:val="clear" w:color="auto" w:fill="FFFFFF"/>
          <w:lang w:val="en-US" w:eastAsia="zh-CN"/>
        </w:rPr>
      </w:pPr>
      <w:r>
        <w:rPr>
          <w:rFonts w:hint="eastAsia" w:ascii="仿宋_GB2312" w:hAnsi="宋体"/>
          <w:lang w:val="en-US" w:eastAsia="zh-CN"/>
        </w:rPr>
        <w:t xml:space="preserve"> </w:t>
      </w:r>
      <w:r>
        <w:rPr>
          <w:rFonts w:hint="eastAsia" w:ascii="仿宋_GB2312" w:hAnsi="仿宋_GB2312" w:eastAsia="仿宋_GB2312" w:cs="仿宋_GB2312"/>
          <w:color w:val="000000"/>
          <w:kern w:val="0"/>
          <w:sz w:val="32"/>
          <w:szCs w:val="32"/>
          <w:lang w:val="zh-CN" w:eastAsia="zh-CN" w:bidi="ar-SA"/>
        </w:rPr>
        <w:t>该项目年初预算安排资金</w:t>
      </w:r>
      <w:r>
        <w:rPr>
          <w:rFonts w:hint="eastAsia" w:ascii="仿宋_GB2312" w:hAnsi="仿宋_GB2312" w:eastAsia="仿宋_GB2312" w:cs="仿宋_GB2312"/>
          <w:color w:val="000000"/>
          <w:kern w:val="0"/>
          <w:sz w:val="32"/>
          <w:szCs w:val="32"/>
          <w:lang w:val="en-US" w:eastAsia="zh-CN" w:bidi="ar-SA"/>
        </w:rPr>
        <w:t>47.09</w:t>
      </w:r>
      <w:r>
        <w:rPr>
          <w:rFonts w:hint="eastAsia" w:ascii="仿宋_GB2312" w:hAnsi="仿宋_GB2312" w:eastAsia="仿宋_GB2312" w:cs="仿宋_GB2312"/>
          <w:color w:val="000000"/>
          <w:kern w:val="0"/>
          <w:sz w:val="32"/>
          <w:szCs w:val="32"/>
          <w:lang w:val="zh-CN" w:eastAsia="zh-CN" w:bidi="ar-SA"/>
        </w:rPr>
        <w:t>万元，截至评价之日到位</w:t>
      </w:r>
      <w:r>
        <w:rPr>
          <w:rFonts w:hint="eastAsia" w:ascii="仿宋_GB2312" w:hAnsi="仿宋_GB2312" w:eastAsia="仿宋_GB2312" w:cs="仿宋_GB2312"/>
          <w:color w:val="000000"/>
          <w:kern w:val="0"/>
          <w:sz w:val="32"/>
          <w:szCs w:val="32"/>
          <w:lang w:val="en-US" w:eastAsia="zh-CN" w:bidi="ar-SA"/>
        </w:rPr>
        <w:t>47.09万元</w:t>
      </w:r>
      <w:r>
        <w:rPr>
          <w:rFonts w:hint="eastAsia" w:ascii="仿宋_GB2312" w:hAnsi="仿宋_GB2312" w:eastAsia="仿宋_GB2312" w:cs="仿宋_GB2312"/>
          <w:color w:val="000000"/>
          <w:kern w:val="0"/>
          <w:sz w:val="32"/>
          <w:szCs w:val="32"/>
          <w:lang w:val="zh-CN" w:eastAsia="zh-CN" w:bidi="ar-SA"/>
        </w:rPr>
        <w:t>。截至20</w:t>
      </w:r>
      <w:r>
        <w:rPr>
          <w:rFonts w:hint="eastAsia" w:ascii="仿宋_GB2312" w:hAnsi="仿宋_GB2312" w:eastAsia="仿宋_GB2312" w:cs="仿宋_GB2312"/>
          <w:color w:val="000000"/>
          <w:kern w:val="0"/>
          <w:sz w:val="32"/>
          <w:szCs w:val="32"/>
          <w:lang w:val="en-US" w:eastAsia="zh-CN" w:bidi="ar-SA"/>
        </w:rPr>
        <w:t>22</w:t>
      </w:r>
      <w:r>
        <w:rPr>
          <w:rFonts w:hint="eastAsia" w:ascii="仿宋_GB2312" w:hAnsi="仿宋_GB2312" w:eastAsia="仿宋_GB2312" w:cs="仿宋_GB2312"/>
          <w:color w:val="000000"/>
          <w:kern w:val="0"/>
          <w:sz w:val="32"/>
          <w:szCs w:val="32"/>
          <w:lang w:val="zh-CN" w:eastAsia="zh-CN" w:bidi="ar-SA"/>
        </w:rPr>
        <w:t>年年底，该项目资金实际支出</w:t>
      </w:r>
      <w:r>
        <w:rPr>
          <w:rFonts w:hint="eastAsia" w:ascii="仿宋_GB2312" w:hAnsi="仿宋_GB2312" w:eastAsia="仿宋_GB2312" w:cs="仿宋_GB2312"/>
          <w:color w:val="000000"/>
          <w:kern w:val="0"/>
          <w:sz w:val="32"/>
          <w:szCs w:val="32"/>
          <w:lang w:val="en-US" w:eastAsia="zh-CN" w:bidi="ar-SA"/>
        </w:rPr>
        <w:t>47.09</w:t>
      </w:r>
      <w:r>
        <w:rPr>
          <w:rFonts w:hint="eastAsia" w:ascii="仿宋_GB2312" w:hAnsi="仿宋_GB2312" w:eastAsia="仿宋_GB2312" w:cs="仿宋_GB2312"/>
          <w:color w:val="000000"/>
          <w:kern w:val="0"/>
          <w:sz w:val="32"/>
          <w:szCs w:val="32"/>
          <w:lang w:val="zh-CN" w:eastAsia="zh-CN" w:bidi="ar-SA"/>
        </w:rPr>
        <w:t>万元，已全额支付完毕，完成了项目计划目标的100%。支付依据合规合法，资金支付与预算相符。</w:t>
      </w:r>
      <w:r>
        <w:rPr>
          <w:rFonts w:hint="eastAsia" w:ascii="仿宋_GB2312" w:hAnsi="仿宋_GB2312" w:eastAsia="仿宋_GB2312" w:cs="仿宋_GB2312"/>
          <w:sz w:val="32"/>
          <w:szCs w:val="32"/>
        </w:rPr>
        <w:t>评审专项业务费申报内容与具体实施内容相符、申报目标合理可行。</w:t>
      </w:r>
    </w:p>
    <w:p w14:paraId="08423A2B">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w:t>
      </w:r>
      <w:r>
        <w:rPr>
          <w:rFonts w:hint="eastAsia" w:ascii="楷体_GB2312" w:hAnsi="宋体" w:eastAsia="楷体_GB2312" w:cs="Times New Roman"/>
          <w:b/>
          <w:sz w:val="32"/>
          <w:szCs w:val="32"/>
          <w:lang w:val="en-US" w:eastAsia="zh-CN"/>
        </w:rPr>
        <w:t>三</w:t>
      </w:r>
      <w:r>
        <w:rPr>
          <w:rFonts w:hint="eastAsia" w:ascii="楷体_GB2312" w:hAnsi="宋体" w:eastAsia="楷体_GB2312" w:cs="Times New Roman"/>
          <w:b/>
          <w:sz w:val="32"/>
          <w:szCs w:val="32"/>
          <w:lang w:val="zh-CN"/>
        </w:rPr>
        <w:t>）项目自评步骤及方法</w:t>
      </w:r>
    </w:p>
    <w:p w14:paraId="7A666AFC">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default" w:ascii="仿宋_GB2312" w:hAnsi="仿宋_GB2312" w:eastAsia="仿宋_GB2312" w:cs="仿宋_GB2312"/>
          <w:kern w:val="0"/>
          <w:sz w:val="32"/>
          <w:szCs w:val="32"/>
          <w:shd w:val="clear" w:color="auto" w:fill="FFFFFF"/>
          <w:lang w:val="en-US" w:eastAsia="zh-CN"/>
        </w:rPr>
      </w:pPr>
      <w:r>
        <w:rPr>
          <w:rFonts w:hint="eastAsia" w:ascii="仿宋_GB2312" w:hAnsi="仿宋_GB2312" w:eastAsia="仿宋_GB2312" w:cs="仿宋_GB2312"/>
          <w:kern w:val="0"/>
          <w:sz w:val="32"/>
          <w:szCs w:val="32"/>
          <w:shd w:val="clear" w:color="auto" w:fill="FFFFFF"/>
          <w:lang w:val="zh-CN"/>
        </w:rPr>
        <w:t>通过明确项目目标，最终是否实现，项目库的建立是否规范完善，财务资料是否规范完善等内容和步骤进行综合自评。</w:t>
      </w:r>
    </w:p>
    <w:p w14:paraId="46A351FD">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黑体" w:hAnsi="宋体" w:eastAsia="黑体"/>
          <w:sz w:val="32"/>
          <w:szCs w:val="32"/>
        </w:rPr>
      </w:pPr>
      <w:r>
        <w:rPr>
          <w:rFonts w:hint="eastAsia" w:ascii="黑体" w:hAnsi="宋体" w:eastAsia="黑体"/>
          <w:sz w:val="32"/>
          <w:szCs w:val="32"/>
        </w:rPr>
        <w:t>二、项目资金申报及使用情况</w:t>
      </w:r>
    </w:p>
    <w:p w14:paraId="73012499">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（一）项目资金申报及批复情况</w:t>
      </w:r>
    </w:p>
    <w:p w14:paraId="10C36873">
      <w:pPr>
        <w:keepNext w:val="0"/>
        <w:keepLines w:val="0"/>
        <w:pageBreakBefore w:val="0"/>
        <w:widowControl/>
        <w:kinsoku/>
        <w:wordWrap/>
        <w:overflowPunct/>
        <w:topLinePunct w:val="0"/>
        <w:autoSpaceDE/>
        <w:autoSpaceDN/>
        <w:bidi w:val="0"/>
        <w:adjustRightInd w:val="0"/>
        <w:snapToGrid w:val="0"/>
        <w:spacing w:line="600" w:lineRule="exact"/>
        <w:ind w:firstLine="720"/>
        <w:jc w:val="left"/>
        <w:textAlignment w:val="auto"/>
        <w:rPr>
          <w:rFonts w:hint="eastAsia" w:ascii="仿宋_GB2312" w:hAnsi="仿宋_GB2312" w:eastAsia="仿宋_GB2312" w:cs="仿宋_GB2312"/>
          <w:color w:val="000000"/>
          <w:kern w:val="0"/>
          <w:sz w:val="32"/>
          <w:szCs w:val="32"/>
          <w:lang w:val="zh-CN" w:eastAsia="zh-CN" w:bidi="ar-SA"/>
        </w:rPr>
      </w:pPr>
      <w:r>
        <w:rPr>
          <w:rFonts w:hint="eastAsia" w:ascii="仿宋_GB2312" w:hAnsi="仿宋_GB2312" w:eastAsia="仿宋_GB2312" w:cs="仿宋_GB2312"/>
          <w:color w:val="000000"/>
          <w:kern w:val="0"/>
          <w:sz w:val="32"/>
          <w:szCs w:val="32"/>
          <w:lang w:val="zh-CN" w:eastAsia="zh-CN" w:bidi="ar-SA"/>
        </w:rPr>
        <w:t>该项目年初预算安排资金</w:t>
      </w:r>
      <w:r>
        <w:rPr>
          <w:rFonts w:hint="eastAsia" w:ascii="仿宋_GB2312" w:hAnsi="仿宋_GB2312" w:eastAsia="仿宋_GB2312" w:cs="仿宋_GB2312"/>
          <w:color w:val="000000"/>
          <w:kern w:val="0"/>
          <w:sz w:val="32"/>
          <w:szCs w:val="32"/>
          <w:lang w:val="en-US" w:eastAsia="zh-CN" w:bidi="ar-SA"/>
        </w:rPr>
        <w:t>47.09</w:t>
      </w:r>
      <w:r>
        <w:rPr>
          <w:rFonts w:hint="eastAsia" w:ascii="仿宋_GB2312" w:hAnsi="仿宋_GB2312" w:eastAsia="仿宋_GB2312" w:cs="仿宋_GB2312"/>
          <w:color w:val="000000"/>
          <w:kern w:val="0"/>
          <w:sz w:val="32"/>
          <w:szCs w:val="32"/>
          <w:lang w:val="zh-CN" w:eastAsia="zh-CN" w:bidi="ar-SA"/>
        </w:rPr>
        <w:t>万元，截至评价之日到位</w:t>
      </w:r>
      <w:r>
        <w:rPr>
          <w:rFonts w:hint="eastAsia" w:ascii="仿宋_GB2312" w:hAnsi="仿宋_GB2312" w:eastAsia="仿宋_GB2312" w:cs="仿宋_GB2312"/>
          <w:color w:val="000000"/>
          <w:kern w:val="0"/>
          <w:sz w:val="32"/>
          <w:szCs w:val="32"/>
          <w:lang w:val="en-US" w:eastAsia="zh-CN" w:bidi="ar-SA"/>
        </w:rPr>
        <w:t>47.09万元</w:t>
      </w:r>
      <w:r>
        <w:rPr>
          <w:rFonts w:hint="eastAsia" w:ascii="仿宋_GB2312" w:hAnsi="仿宋_GB2312" w:eastAsia="仿宋_GB2312" w:cs="仿宋_GB2312"/>
          <w:color w:val="000000"/>
          <w:kern w:val="0"/>
          <w:sz w:val="32"/>
          <w:szCs w:val="32"/>
          <w:lang w:val="zh-CN" w:eastAsia="zh-CN" w:bidi="ar-SA"/>
        </w:rPr>
        <w:t>。</w:t>
      </w:r>
    </w:p>
    <w:p w14:paraId="1FCCBBAB">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仿宋_GB2312" w:hAnsi="宋体"/>
          <w:sz w:val="32"/>
          <w:szCs w:val="32"/>
          <w:lang w:val="zh-CN"/>
        </w:rPr>
      </w:pPr>
      <w:r>
        <w:rPr>
          <w:rFonts w:hint="eastAsia" w:ascii="楷体_GB2312" w:hAnsi="宋体" w:eastAsia="楷体_GB2312"/>
          <w:b/>
          <w:sz w:val="32"/>
          <w:szCs w:val="32"/>
          <w:lang w:val="zh-CN"/>
        </w:rPr>
        <w:t>（二）资金计划、到位及使用情况</w:t>
      </w:r>
    </w:p>
    <w:p w14:paraId="34A708FA">
      <w:pPr>
        <w:keepNext w:val="0"/>
        <w:keepLines w:val="0"/>
        <w:pageBreakBefore w:val="0"/>
        <w:widowControl/>
        <w:kinsoku/>
        <w:wordWrap/>
        <w:overflowPunct/>
        <w:topLinePunct w:val="0"/>
        <w:autoSpaceDE/>
        <w:autoSpaceDN/>
        <w:bidi w:val="0"/>
        <w:adjustRightInd w:val="0"/>
        <w:snapToGrid w:val="0"/>
        <w:spacing w:line="600" w:lineRule="exact"/>
        <w:ind w:firstLine="72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zh-CN" w:eastAsia="zh-CN" w:bidi="ar-SA"/>
        </w:rPr>
        <w:t>截至20</w:t>
      </w:r>
      <w:r>
        <w:rPr>
          <w:rFonts w:hint="eastAsia" w:ascii="仿宋_GB2312" w:hAnsi="仿宋_GB2312" w:eastAsia="仿宋_GB2312" w:cs="仿宋_GB2312"/>
          <w:color w:val="000000"/>
          <w:kern w:val="0"/>
          <w:sz w:val="32"/>
          <w:szCs w:val="32"/>
          <w:lang w:val="en-US" w:eastAsia="zh-CN" w:bidi="ar-SA"/>
        </w:rPr>
        <w:t>22</w:t>
      </w:r>
      <w:r>
        <w:rPr>
          <w:rFonts w:hint="eastAsia" w:ascii="仿宋_GB2312" w:hAnsi="仿宋_GB2312" w:eastAsia="仿宋_GB2312" w:cs="仿宋_GB2312"/>
          <w:color w:val="000000"/>
          <w:kern w:val="0"/>
          <w:sz w:val="32"/>
          <w:szCs w:val="32"/>
          <w:lang w:val="zh-CN" w:eastAsia="zh-CN" w:bidi="ar-SA"/>
        </w:rPr>
        <w:t>年年底，该项目资金实际支出</w:t>
      </w:r>
      <w:r>
        <w:rPr>
          <w:rFonts w:hint="eastAsia" w:ascii="仿宋_GB2312" w:hAnsi="仿宋_GB2312" w:eastAsia="仿宋_GB2312" w:cs="仿宋_GB2312"/>
          <w:color w:val="000000"/>
          <w:kern w:val="0"/>
          <w:sz w:val="32"/>
          <w:szCs w:val="32"/>
          <w:lang w:val="en-US" w:eastAsia="zh-CN" w:bidi="ar-SA"/>
        </w:rPr>
        <w:t>47.09</w:t>
      </w:r>
      <w:r>
        <w:rPr>
          <w:rFonts w:hint="eastAsia" w:ascii="仿宋_GB2312" w:hAnsi="仿宋_GB2312" w:eastAsia="仿宋_GB2312" w:cs="仿宋_GB2312"/>
          <w:color w:val="000000"/>
          <w:kern w:val="0"/>
          <w:sz w:val="32"/>
          <w:szCs w:val="32"/>
          <w:lang w:val="zh-CN" w:eastAsia="zh-CN" w:bidi="ar-SA"/>
        </w:rPr>
        <w:t>万元，已全额支付完毕，完成了项目计划目标的100%。支付依据合规合法，资金支付与预算相符。</w:t>
      </w:r>
    </w:p>
    <w:p w14:paraId="0D162158">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w:t>
      </w:r>
      <w:r>
        <w:rPr>
          <w:rFonts w:hint="eastAsia" w:ascii="楷体_GB2312" w:hAnsi="宋体" w:eastAsia="楷体_GB2312" w:cs="Times New Roman"/>
          <w:b/>
          <w:sz w:val="32"/>
          <w:szCs w:val="32"/>
          <w:lang w:val="en-US" w:eastAsia="zh-CN"/>
        </w:rPr>
        <w:t>三</w:t>
      </w:r>
      <w:r>
        <w:rPr>
          <w:rFonts w:hint="eastAsia" w:ascii="楷体_GB2312" w:hAnsi="宋体" w:eastAsia="楷体_GB2312" w:cs="Times New Roman"/>
          <w:b/>
          <w:sz w:val="32"/>
          <w:szCs w:val="32"/>
          <w:lang w:val="zh-CN"/>
        </w:rPr>
        <w:t>）项目财务管理情况</w:t>
      </w:r>
    </w:p>
    <w:p w14:paraId="59CA0630">
      <w:pPr>
        <w:keepNext w:val="0"/>
        <w:keepLines w:val="0"/>
        <w:pageBreakBefore w:val="0"/>
        <w:kinsoku/>
        <w:wordWrap/>
        <w:overflowPunct/>
        <w:topLinePunct w:val="0"/>
        <w:autoSpaceDE/>
        <w:autoSpaceDN/>
        <w:bidi w:val="0"/>
        <w:spacing w:line="600" w:lineRule="exact"/>
        <w:ind w:firstLine="645"/>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财评中心属财政局下属事业单位，财务管理严格按照财政局财务管理制度执行，财务处理及时、会计核算规范。</w:t>
      </w:r>
    </w:p>
    <w:p w14:paraId="14A7FCE1">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黑体" w:hAnsi="宋体" w:eastAsia="黑体"/>
          <w:sz w:val="32"/>
          <w:szCs w:val="32"/>
        </w:rPr>
      </w:pPr>
      <w:r>
        <w:rPr>
          <w:rFonts w:hint="eastAsia" w:ascii="黑体" w:hAnsi="宋体" w:eastAsia="黑体"/>
          <w:sz w:val="32"/>
          <w:szCs w:val="32"/>
        </w:rPr>
        <w:t>三、项目实施及管理情况</w:t>
      </w:r>
    </w:p>
    <w:p w14:paraId="2644F276">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w:t>
      </w:r>
      <w:r>
        <w:rPr>
          <w:rFonts w:hint="eastAsia" w:ascii="楷体_GB2312" w:hAnsi="宋体" w:eastAsia="楷体_GB2312" w:cs="Times New Roman"/>
          <w:b/>
          <w:sz w:val="32"/>
          <w:szCs w:val="32"/>
          <w:lang w:val="en-US" w:eastAsia="zh-CN"/>
        </w:rPr>
        <w:t>一</w:t>
      </w:r>
      <w:r>
        <w:rPr>
          <w:rFonts w:hint="eastAsia" w:ascii="楷体_GB2312" w:hAnsi="宋体" w:eastAsia="楷体_GB2312" w:cs="Times New Roman"/>
          <w:b/>
          <w:sz w:val="32"/>
          <w:szCs w:val="32"/>
          <w:lang w:val="zh-CN"/>
        </w:rPr>
        <w:t>）项目组织架构及实施流程</w:t>
      </w:r>
    </w:p>
    <w:p w14:paraId="1BA0E9E4">
      <w:pPr>
        <w:keepNext w:val="0"/>
        <w:keepLines w:val="0"/>
        <w:pageBreakBefore w:val="0"/>
        <w:kinsoku/>
        <w:wordWrap/>
        <w:overflowPunct/>
        <w:topLinePunct w:val="0"/>
        <w:autoSpaceDE/>
        <w:autoSpaceDN/>
        <w:bidi w:val="0"/>
        <w:spacing w:line="600" w:lineRule="exact"/>
        <w:ind w:firstLine="645"/>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该项目资金</w:t>
      </w:r>
      <w:r>
        <w:rPr>
          <w:rFonts w:hint="eastAsia" w:ascii="仿宋_GB2312" w:hAnsi="仿宋_GB2312" w:eastAsia="仿宋_GB2312" w:cs="仿宋_GB2312"/>
          <w:sz w:val="32"/>
          <w:szCs w:val="32"/>
          <w:lang w:eastAsia="zh-CN"/>
        </w:rPr>
        <w:t>实际支出</w:t>
      </w:r>
      <w:r>
        <w:rPr>
          <w:rFonts w:hint="eastAsia" w:ascii="仿宋_GB2312" w:hAnsi="仿宋_GB2312" w:eastAsia="仿宋_GB2312" w:cs="仿宋_GB2312"/>
          <w:sz w:val="32"/>
          <w:szCs w:val="32"/>
          <w:lang w:val="en-US" w:eastAsia="zh-CN"/>
        </w:rPr>
        <w:t>47.09</w:t>
      </w:r>
      <w:r>
        <w:rPr>
          <w:rFonts w:hint="eastAsia" w:ascii="仿宋_GB2312" w:hAnsi="仿宋_GB2312" w:eastAsia="仿宋_GB2312" w:cs="仿宋_GB2312"/>
          <w:sz w:val="32"/>
          <w:szCs w:val="32"/>
        </w:rPr>
        <w:t>万元，主要用于评审项目</w:t>
      </w:r>
      <w:r>
        <w:rPr>
          <w:rFonts w:hint="eastAsia" w:ascii="仿宋_GB2312" w:hAnsi="仿宋_GB2312" w:eastAsia="仿宋_GB2312" w:cs="仿宋_GB2312"/>
          <w:sz w:val="32"/>
          <w:szCs w:val="32"/>
          <w:lang w:eastAsia="zh-CN"/>
        </w:rPr>
        <w:t>现场勘察公务用车运行费</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工程类软件升级、</w:t>
      </w:r>
      <w:r>
        <w:rPr>
          <w:rFonts w:hint="eastAsia" w:ascii="仿宋_GB2312" w:hAnsi="仿宋_GB2312" w:eastAsia="仿宋_GB2312" w:cs="仿宋_GB2312"/>
          <w:sz w:val="32"/>
          <w:szCs w:val="32"/>
        </w:rPr>
        <w:t>评审</w:t>
      </w:r>
      <w:r>
        <w:rPr>
          <w:rFonts w:hint="eastAsia" w:ascii="仿宋_GB2312" w:hAnsi="仿宋_GB2312" w:eastAsia="仿宋_GB2312" w:cs="仿宋_GB2312"/>
          <w:sz w:val="32"/>
          <w:szCs w:val="32"/>
          <w:lang w:eastAsia="zh-CN"/>
        </w:rPr>
        <w:t>专家绩效</w:t>
      </w:r>
      <w:r>
        <w:rPr>
          <w:rFonts w:hint="eastAsia" w:ascii="仿宋_GB2312" w:hAnsi="仿宋_GB2312" w:eastAsia="仿宋_GB2312" w:cs="仿宋_GB2312"/>
          <w:sz w:val="32"/>
          <w:szCs w:val="32"/>
        </w:rPr>
        <w:t>等基本</w:t>
      </w:r>
      <w:r>
        <w:rPr>
          <w:rFonts w:hint="eastAsia" w:ascii="仿宋_GB2312" w:hAnsi="仿宋_GB2312" w:eastAsia="仿宋_GB2312" w:cs="仿宋_GB2312"/>
          <w:sz w:val="32"/>
          <w:szCs w:val="32"/>
          <w:lang w:eastAsia="zh-CN"/>
        </w:rPr>
        <w:t>支出。</w:t>
      </w:r>
    </w:p>
    <w:p w14:paraId="1815CC2F">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w:t>
      </w:r>
      <w:r>
        <w:rPr>
          <w:rFonts w:hint="eastAsia" w:ascii="楷体_GB2312" w:hAnsi="宋体" w:eastAsia="楷体_GB2312" w:cs="Times New Roman"/>
          <w:b/>
          <w:sz w:val="32"/>
          <w:szCs w:val="32"/>
          <w:lang w:val="en-US" w:eastAsia="zh-CN"/>
        </w:rPr>
        <w:t>二</w:t>
      </w:r>
      <w:r>
        <w:rPr>
          <w:rFonts w:hint="eastAsia" w:ascii="楷体_GB2312" w:hAnsi="宋体" w:eastAsia="楷体_GB2312" w:cs="Times New Roman"/>
          <w:b/>
          <w:sz w:val="32"/>
          <w:szCs w:val="32"/>
          <w:lang w:val="zh-CN"/>
        </w:rPr>
        <w:t>）项目管理情况</w:t>
      </w:r>
    </w:p>
    <w:p w14:paraId="20C7FF5A">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textAlignment w:val="auto"/>
        <w:rPr>
          <w:rFonts w:hint="default" w:ascii="仿宋_GB2312" w:hAnsi="仿宋_GB2312" w:eastAsia="仿宋_GB2312" w:cs="仿宋_GB2312"/>
          <w:kern w:val="0"/>
          <w:sz w:val="32"/>
          <w:szCs w:val="32"/>
          <w:shd w:val="clear" w:color="auto" w:fill="FFFFFF"/>
          <w:lang w:val="en-US" w:eastAsia="zh-CN"/>
        </w:rPr>
      </w:pPr>
      <w:r>
        <w:rPr>
          <w:rFonts w:hint="eastAsia" w:ascii="仿宋_GB2312" w:hAnsi="仿宋_GB2312" w:eastAsia="仿宋_GB2312" w:cs="仿宋_GB2312"/>
          <w:kern w:val="0"/>
          <w:sz w:val="32"/>
          <w:szCs w:val="32"/>
          <w:shd w:val="clear" w:color="auto" w:fill="FFFFFF"/>
          <w:lang w:val="en-US" w:eastAsia="zh-CN"/>
        </w:rPr>
        <w:t>实施项目时，严格依据</w:t>
      </w:r>
      <w:r>
        <w:rPr>
          <w:rFonts w:hint="eastAsia" w:ascii="仿宋_GB2312" w:hAnsi="仿宋_GB2312" w:eastAsia="仿宋_GB2312" w:cs="仿宋_GB2312"/>
          <w:kern w:val="0"/>
          <w:sz w:val="32"/>
          <w:szCs w:val="32"/>
          <w:shd w:val="clear" w:color="auto" w:fill="FFFFFF"/>
          <w:lang w:val="zh-CN" w:eastAsia="zh-CN"/>
        </w:rPr>
        <w:t>相关法律法规</w:t>
      </w:r>
      <w:r>
        <w:rPr>
          <w:rFonts w:hint="eastAsia" w:ascii="仿宋_GB2312" w:hAnsi="仿宋_GB2312" w:eastAsia="仿宋_GB2312" w:cs="仿宋_GB2312"/>
          <w:kern w:val="0"/>
          <w:sz w:val="32"/>
          <w:szCs w:val="32"/>
          <w:shd w:val="clear" w:color="auto" w:fill="FFFFFF"/>
          <w:lang w:val="en-US" w:eastAsia="zh-CN"/>
        </w:rPr>
        <w:t>和具体规定，确保资金使用的合法合规性。</w:t>
      </w:r>
    </w:p>
    <w:p w14:paraId="56451522">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w:t>
      </w:r>
      <w:r>
        <w:rPr>
          <w:rFonts w:hint="eastAsia" w:ascii="楷体_GB2312" w:hAnsi="宋体" w:eastAsia="楷体_GB2312" w:cs="Times New Roman"/>
          <w:b/>
          <w:sz w:val="32"/>
          <w:szCs w:val="32"/>
          <w:lang w:val="en-US" w:eastAsia="zh-CN"/>
        </w:rPr>
        <w:t>三</w:t>
      </w:r>
      <w:r>
        <w:rPr>
          <w:rFonts w:hint="eastAsia" w:ascii="楷体_GB2312" w:hAnsi="宋体" w:eastAsia="楷体_GB2312" w:cs="Times New Roman"/>
          <w:b/>
          <w:sz w:val="32"/>
          <w:szCs w:val="32"/>
          <w:lang w:val="zh-CN"/>
        </w:rPr>
        <w:t>）项目监管情况</w:t>
      </w:r>
    </w:p>
    <w:p w14:paraId="3A944146">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textAlignment w:val="auto"/>
        <w:rPr>
          <w:rFonts w:hint="eastAsia"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en-US" w:eastAsia="zh-CN"/>
        </w:rPr>
        <w:t>不定时查看项目执行进度，了解项目执行情况，对项目执行不到位之处及时提出建议予以整改，整体上加强项目管理，提高项目执行效率，提高项目实施满意度。</w:t>
      </w:r>
    </w:p>
    <w:p w14:paraId="50F2F3F7">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仿宋_GB2312" w:hAnsi="宋体"/>
          <w:sz w:val="32"/>
          <w:szCs w:val="32"/>
          <w:lang w:val="zh-CN"/>
        </w:rPr>
      </w:pPr>
      <w:r>
        <w:rPr>
          <w:rFonts w:hint="eastAsia" w:ascii="黑体" w:hAnsi="宋体" w:eastAsia="黑体"/>
          <w:sz w:val="32"/>
          <w:szCs w:val="32"/>
        </w:rPr>
        <w:t>四、项目绩效情况</w:t>
      </w:r>
      <w:r>
        <w:rPr>
          <w:rFonts w:hint="eastAsia" w:ascii="仿宋_GB2312" w:hAnsi="宋体"/>
          <w:sz w:val="32"/>
          <w:szCs w:val="32"/>
          <w:lang w:val="zh-CN"/>
        </w:rPr>
        <w:tab/>
      </w:r>
    </w:p>
    <w:p w14:paraId="61A11BDC">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（一）项目完成情况</w:t>
      </w:r>
    </w:p>
    <w:p w14:paraId="56A1243C">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2022年，完成项目评审743个。送审金额17.42亿元，审定金额15.60亿元，审减金额1.82亿元，审减率10.45%。其中：</w:t>
      </w:r>
    </w:p>
    <w:p w14:paraId="0670072D">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预算项目评审271个，送审金额11.06亿元，审定金额9.88亿元，审减金额1.18亿元，审减率10.67%。</w:t>
      </w:r>
    </w:p>
    <w:p w14:paraId="4D6D855B">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结算项目评审472个，送审金额6.36亿元，审定金额5.72亿元，审减金额0.64亿元，审减率11.19%。</w:t>
      </w:r>
    </w:p>
    <w:p w14:paraId="1DC51FD3">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严格按照相关规定对招标文件、施工合同进行符合性审查，共完成招标文件审查155个，合同审查105个。坚持资料审核配合现场踏勘的监管方式，采用不定期主动到现场等方式跟踪踏勘，进行现场踏勘389次。结合财政资金安排情况，及时完成对工程进度款的核查，同时将建设项目监理、施工负责人压证及现场履职情况一并纳入监管范围。</w:t>
      </w:r>
    </w:p>
    <w:p w14:paraId="5BC6574F">
      <w:pPr>
        <w:keepNext w:val="0"/>
        <w:keepLines w:val="0"/>
        <w:pageBreakBefore w:val="0"/>
        <w:kinsoku/>
        <w:wordWrap/>
        <w:overflowPunct/>
        <w:topLinePunct w:val="0"/>
        <w:autoSpaceDE/>
        <w:autoSpaceDN/>
        <w:bidi w:val="0"/>
        <w:adjustRightInd w:val="0"/>
        <w:snapToGrid w:val="0"/>
        <w:spacing w:line="600" w:lineRule="exact"/>
        <w:ind w:firstLine="643" w:firstLineChars="20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（二）项目效益情况</w:t>
      </w:r>
    </w:p>
    <w:p w14:paraId="4EC9F30A">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该专项支出的执行，保障了本单位评审工作按时、保质保量的完成。使评审中心在切实把好项目评审关，规范我市政府投资行为、提高财政资金使用效益方面发挥了更大作用。</w:t>
      </w:r>
    </w:p>
    <w:p w14:paraId="0ED11CC1">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黑体" w:hAnsi="宋体" w:eastAsia="黑体"/>
          <w:sz w:val="32"/>
          <w:szCs w:val="32"/>
        </w:rPr>
      </w:pPr>
      <w:r>
        <w:rPr>
          <w:rFonts w:hint="eastAsia" w:ascii="黑体" w:hAnsi="宋体" w:eastAsia="黑体"/>
          <w:sz w:val="32"/>
          <w:szCs w:val="32"/>
        </w:rPr>
        <w:t>五、评价结论及建议</w:t>
      </w:r>
    </w:p>
    <w:p w14:paraId="295331FE">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（一）评价结论</w:t>
      </w:r>
    </w:p>
    <w:p w14:paraId="492EAAAE">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项目自评总分100分。该项目为我部门按时有效、保质保量的完成评审工作提供了保障。提升了工作的质量，达到了预期要求。</w:t>
      </w:r>
    </w:p>
    <w:p w14:paraId="458CF669">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w:t>
      </w:r>
      <w:r>
        <w:rPr>
          <w:rFonts w:hint="eastAsia" w:ascii="楷体_GB2312" w:hAnsi="宋体" w:eastAsia="楷体_GB2312"/>
          <w:b/>
          <w:sz w:val="32"/>
          <w:szCs w:val="32"/>
          <w:lang w:val="en-US" w:eastAsia="zh-CN"/>
        </w:rPr>
        <w:t>二</w:t>
      </w:r>
      <w:r>
        <w:rPr>
          <w:rFonts w:hint="eastAsia" w:ascii="楷体_GB2312" w:hAnsi="宋体" w:eastAsia="楷体_GB2312"/>
          <w:b/>
          <w:sz w:val="32"/>
          <w:szCs w:val="32"/>
          <w:lang w:val="zh-CN"/>
        </w:rPr>
        <w:t>）存在的问题</w:t>
      </w:r>
    </w:p>
    <w:p w14:paraId="5FEFA2FD">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楷体_GB2312" w:hAnsi="宋体" w:eastAsia="楷体_GB2312"/>
          <w:b/>
          <w:sz w:val="32"/>
          <w:szCs w:val="32"/>
          <w:lang w:val="en-US" w:eastAsia="zh-CN"/>
        </w:rPr>
      </w:pPr>
      <w:r>
        <w:rPr>
          <w:rFonts w:hint="eastAsia" w:ascii="仿宋_GB2312" w:hAnsi="仿宋_GB2312" w:eastAsia="仿宋_GB2312" w:cs="仿宋_GB2312"/>
          <w:kern w:val="0"/>
          <w:sz w:val="32"/>
          <w:szCs w:val="32"/>
          <w:shd w:val="clear" w:color="auto" w:fill="FFFFFF"/>
          <w:lang w:val="en-US" w:eastAsia="zh-CN"/>
        </w:rPr>
        <w:t>无</w:t>
      </w:r>
    </w:p>
    <w:p w14:paraId="7E07EB13">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w:t>
      </w:r>
      <w:r>
        <w:rPr>
          <w:rFonts w:hint="eastAsia" w:ascii="楷体_GB2312" w:hAnsi="宋体" w:eastAsia="楷体_GB2312"/>
          <w:b/>
          <w:sz w:val="32"/>
          <w:szCs w:val="32"/>
          <w:lang w:val="en-US" w:eastAsia="zh-CN"/>
        </w:rPr>
        <w:t>三</w:t>
      </w:r>
      <w:r>
        <w:rPr>
          <w:rFonts w:hint="eastAsia" w:ascii="楷体_GB2312" w:hAnsi="宋体" w:eastAsia="楷体_GB2312"/>
          <w:b/>
          <w:sz w:val="32"/>
          <w:szCs w:val="32"/>
          <w:lang w:val="zh-CN"/>
        </w:rPr>
        <w:t>）相关建议</w:t>
      </w:r>
    </w:p>
    <w:p w14:paraId="7D0B4C63">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kern w:val="0"/>
          <w:sz w:val="32"/>
          <w:szCs w:val="32"/>
          <w:highlight w:val="none"/>
          <w:shd w:val="clear" w:color="auto" w:fill="FFFFFF"/>
          <w:lang w:val="en-US" w:eastAsia="zh-CN"/>
        </w:rPr>
      </w:pPr>
      <w:r>
        <w:rPr>
          <w:rFonts w:hint="eastAsia" w:ascii="仿宋_GB2312" w:hAnsi="仿宋_GB2312" w:eastAsia="仿宋_GB2312" w:cs="仿宋_GB2312"/>
          <w:kern w:val="0"/>
          <w:sz w:val="32"/>
          <w:szCs w:val="32"/>
          <w:highlight w:val="none"/>
          <w:shd w:val="clear" w:color="auto" w:fill="FFFFFF"/>
          <w:lang w:val="en-US" w:eastAsia="zh-CN"/>
        </w:rPr>
        <w:t>无</w:t>
      </w:r>
    </w:p>
    <w:p w14:paraId="6F284F2B">
      <w:pPr>
        <w:pStyle w:val="36"/>
        <w:keepNext w:val="0"/>
        <w:keepLines w:val="0"/>
        <w:pageBreakBefore w:val="0"/>
        <w:kinsoku/>
        <w:wordWrap/>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color w:val="auto"/>
          <w:kern w:val="2"/>
          <w:sz w:val="32"/>
          <w:szCs w:val="32"/>
          <w:lang w:val="en-US"/>
        </w:rPr>
      </w:pPr>
    </w:p>
    <w:p w14:paraId="5AE4935E">
      <w:pPr>
        <w:pStyle w:val="36"/>
        <w:keepNext w:val="0"/>
        <w:keepLines w:val="0"/>
        <w:pageBreakBefore w:val="0"/>
        <w:kinsoku/>
        <w:wordWrap/>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color w:val="auto"/>
          <w:kern w:val="2"/>
          <w:sz w:val="36"/>
          <w:szCs w:val="36"/>
          <w:lang w:val="en-US"/>
        </w:rPr>
      </w:pPr>
      <w:r>
        <w:rPr>
          <w:rFonts w:hint="eastAsia" w:ascii="方正小标宋简体" w:hAnsi="方正小标宋简体" w:eastAsia="方正小标宋简体" w:cs="方正小标宋简体"/>
          <w:color w:val="auto"/>
          <w:kern w:val="2"/>
          <w:sz w:val="36"/>
          <w:szCs w:val="36"/>
          <w:lang w:val="en-US"/>
        </w:rPr>
        <w:t>202</w:t>
      </w:r>
      <w:r>
        <w:rPr>
          <w:rFonts w:hint="eastAsia" w:ascii="方正小标宋简体" w:hAnsi="方正小标宋简体" w:eastAsia="方正小标宋简体" w:cs="方正小标宋简体"/>
          <w:color w:val="auto"/>
          <w:kern w:val="2"/>
          <w:sz w:val="36"/>
          <w:szCs w:val="36"/>
          <w:lang w:val="en-US" w:eastAsia="zh-CN"/>
        </w:rPr>
        <w:t>2</w:t>
      </w:r>
      <w:r>
        <w:rPr>
          <w:rFonts w:hint="eastAsia" w:ascii="方正小标宋简体" w:hAnsi="方正小标宋简体" w:eastAsia="方正小标宋简体" w:cs="方正小标宋简体"/>
          <w:color w:val="auto"/>
          <w:kern w:val="2"/>
          <w:sz w:val="36"/>
          <w:szCs w:val="36"/>
          <w:lang w:val="en-US"/>
        </w:rPr>
        <w:t>年</w:t>
      </w:r>
      <w:r>
        <w:rPr>
          <w:rFonts w:hint="eastAsia" w:ascii="方正小标宋简体" w:hAnsi="方正小标宋简体" w:eastAsia="方正小标宋简体" w:cs="方正小标宋简体"/>
          <w:color w:val="auto"/>
          <w:kern w:val="2"/>
          <w:sz w:val="36"/>
          <w:szCs w:val="36"/>
          <w:lang w:val="zh-CN" w:eastAsia="zh-CN"/>
        </w:rPr>
        <w:t>财政信息化建设及运行经费</w:t>
      </w:r>
      <w:r>
        <w:rPr>
          <w:rFonts w:hint="eastAsia" w:ascii="方正小标宋简体" w:hAnsi="方正小标宋简体" w:eastAsia="方正小标宋简体" w:cs="方正小标宋简体"/>
          <w:color w:val="auto"/>
          <w:kern w:val="2"/>
          <w:sz w:val="36"/>
          <w:szCs w:val="36"/>
          <w:lang w:val="en-US"/>
        </w:rPr>
        <w:t>绩效自评报告</w:t>
      </w:r>
    </w:p>
    <w:p w14:paraId="7332CC2B">
      <w:pPr>
        <w:pStyle w:val="36"/>
        <w:keepNext w:val="0"/>
        <w:keepLines w:val="0"/>
        <w:pageBreakBefore w:val="0"/>
        <w:kinsoku/>
        <w:wordWrap/>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color w:val="auto"/>
          <w:kern w:val="2"/>
          <w:sz w:val="32"/>
          <w:szCs w:val="32"/>
          <w:lang w:val="en-US"/>
        </w:rPr>
      </w:pPr>
    </w:p>
    <w:p w14:paraId="089E3A7C">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14:paraId="43B08DE8">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（一）项目基本情况</w:t>
      </w:r>
    </w:p>
    <w:p w14:paraId="4358D617">
      <w:pPr>
        <w:keepNext w:val="0"/>
        <w:keepLines w:val="0"/>
        <w:pageBreakBefore w:val="0"/>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该项目</w:t>
      </w:r>
      <w:r>
        <w:rPr>
          <w:rFonts w:hint="eastAsia" w:ascii="仿宋_GB2312" w:hAnsi="仿宋_GB2312" w:eastAsia="仿宋_GB2312" w:cs="仿宋_GB2312"/>
          <w:sz w:val="32"/>
          <w:szCs w:val="32"/>
        </w:rPr>
        <w:t>主要用于</w:t>
      </w:r>
      <w:r>
        <w:rPr>
          <w:rFonts w:hint="eastAsia" w:ascii="仿宋_GB2312" w:hAnsi="仿宋_GB2312" w:eastAsia="仿宋_GB2312" w:cs="仿宋_GB2312"/>
          <w:sz w:val="32"/>
          <w:szCs w:val="32"/>
          <w:lang w:eastAsia="zh-CN"/>
        </w:rPr>
        <w:t>完善</w:t>
      </w:r>
      <w:r>
        <w:rPr>
          <w:rFonts w:hint="eastAsia" w:ascii="仿宋_GB2312" w:hAnsi="仿宋_GB2312" w:eastAsia="仿宋_GB2312" w:cs="仿宋_GB2312"/>
          <w:sz w:val="32"/>
          <w:szCs w:val="32"/>
          <w:lang w:val="en-US" w:eastAsia="zh-CN"/>
        </w:rPr>
        <w:t>一体化上线运行第三方服务、数据技术咨询服务、建设财政身份认证系统等</w:t>
      </w:r>
      <w:r>
        <w:rPr>
          <w:rFonts w:hint="eastAsia" w:ascii="仿宋_GB2312" w:hAnsi="仿宋_GB2312" w:eastAsia="仿宋_GB2312" w:cs="仿宋_GB2312"/>
          <w:color w:val="000000"/>
          <w:kern w:val="0"/>
          <w:sz w:val="32"/>
          <w:szCs w:val="32"/>
          <w:lang w:val="en-US" w:eastAsia="zh-CN" w:bidi="ar-SA"/>
        </w:rPr>
        <w:t>，加快解决我市财政系统信息化建设中存在的问题，排除财政信息系统存在的隐患风险。</w:t>
      </w:r>
    </w:p>
    <w:p w14:paraId="13E66270">
      <w:pPr>
        <w:keepNext w:val="0"/>
        <w:keepLines w:val="0"/>
        <w:pageBreakBefore w:val="0"/>
        <w:numPr>
          <w:ilvl w:val="0"/>
          <w:numId w:val="4"/>
        </w:numPr>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项目绩效目标</w:t>
      </w:r>
    </w:p>
    <w:p w14:paraId="19E6EAE6">
      <w:pPr>
        <w:keepNext w:val="0"/>
        <w:keepLines w:val="0"/>
        <w:pageBreakBefore w:val="0"/>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color w:val="000000"/>
          <w:kern w:val="0"/>
          <w:sz w:val="32"/>
          <w:szCs w:val="32"/>
          <w:lang w:val="zh-CN" w:eastAsia="zh-CN" w:bidi="ar-SA"/>
        </w:rPr>
      </w:pPr>
      <w:r>
        <w:rPr>
          <w:rFonts w:hint="eastAsia" w:ascii="仿宋_GB2312" w:hAnsi="仿宋_GB2312" w:eastAsia="仿宋_GB2312" w:cs="仿宋_GB2312"/>
          <w:color w:val="000000"/>
          <w:kern w:val="0"/>
          <w:sz w:val="32"/>
          <w:szCs w:val="32"/>
          <w:lang w:val="en-US" w:eastAsia="zh-CN" w:bidi="ar-SA"/>
        </w:rPr>
        <w:t>为加快解决我市财政系统信息化建设中存在的问题，排除财政信息系统存在的隐患风险，按照相关规范，该项目主要用于完善一体化上线运行第三方服务、数据技术咨询服务、建设财政身份认证系统等方面，项目实施完成了预定目标，执行进度合理</w:t>
      </w:r>
      <w:r>
        <w:rPr>
          <w:rFonts w:hint="eastAsia" w:ascii="仿宋_GB2312" w:hAnsi="仿宋_GB2312" w:eastAsia="仿宋_GB2312" w:cs="仿宋_GB2312"/>
          <w:color w:val="000000"/>
          <w:kern w:val="0"/>
          <w:sz w:val="32"/>
          <w:szCs w:val="32"/>
          <w:lang w:val="zh-CN" w:eastAsia="zh-CN" w:bidi="ar-SA"/>
        </w:rPr>
        <w:t>。</w:t>
      </w:r>
    </w:p>
    <w:p w14:paraId="23CB5A3E">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w:t>
      </w:r>
      <w:r>
        <w:rPr>
          <w:rFonts w:hint="eastAsia" w:ascii="楷体_GB2312" w:hAnsi="宋体" w:eastAsia="楷体_GB2312" w:cs="Times New Roman"/>
          <w:b/>
          <w:sz w:val="32"/>
          <w:szCs w:val="32"/>
          <w:lang w:val="en-US" w:eastAsia="zh-CN"/>
        </w:rPr>
        <w:t>三</w:t>
      </w:r>
      <w:r>
        <w:rPr>
          <w:rFonts w:hint="eastAsia" w:ascii="楷体_GB2312" w:hAnsi="宋体" w:eastAsia="楷体_GB2312" w:cs="Times New Roman"/>
          <w:b/>
          <w:sz w:val="32"/>
          <w:szCs w:val="32"/>
          <w:lang w:val="zh-CN"/>
        </w:rPr>
        <w:t>）项目自评步骤及方法</w:t>
      </w:r>
    </w:p>
    <w:p w14:paraId="08B8F3C8">
      <w:pPr>
        <w:keepNext w:val="0"/>
        <w:keepLines w:val="0"/>
        <w:pageBreakBefore w:val="0"/>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color w:val="000000"/>
          <w:kern w:val="0"/>
          <w:sz w:val="32"/>
          <w:szCs w:val="32"/>
          <w:lang w:val="zh-CN" w:eastAsia="zh-CN" w:bidi="ar-SA"/>
        </w:rPr>
      </w:pPr>
      <w:r>
        <w:rPr>
          <w:rFonts w:hint="eastAsia" w:ascii="仿宋_GB2312" w:hAnsi="仿宋_GB2312" w:eastAsia="仿宋_GB2312" w:cs="仿宋_GB2312"/>
          <w:color w:val="000000"/>
          <w:kern w:val="0"/>
          <w:sz w:val="32"/>
          <w:szCs w:val="32"/>
          <w:lang w:val="zh-CN" w:eastAsia="zh-CN" w:bidi="ar-SA"/>
        </w:rPr>
        <w:t>通过明确项目目标最终是否实现，财务资料是否规范完善等内容和步骤进行综合自评。</w:t>
      </w:r>
    </w:p>
    <w:p w14:paraId="1FC9FFEA">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黑体" w:hAnsi="宋体" w:eastAsia="黑体"/>
          <w:sz w:val="32"/>
          <w:szCs w:val="32"/>
        </w:rPr>
      </w:pPr>
      <w:r>
        <w:rPr>
          <w:rFonts w:hint="eastAsia" w:ascii="黑体" w:hAnsi="宋体" w:eastAsia="黑体"/>
          <w:sz w:val="32"/>
          <w:szCs w:val="32"/>
        </w:rPr>
        <w:t>二、项目资金申报及使用情况</w:t>
      </w:r>
    </w:p>
    <w:p w14:paraId="162BD46D">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b/>
          <w:sz w:val="32"/>
          <w:szCs w:val="32"/>
          <w:highlight w:val="none"/>
          <w:lang w:val="zh-CN"/>
        </w:rPr>
      </w:pPr>
      <w:r>
        <w:rPr>
          <w:rFonts w:hint="eastAsia" w:ascii="楷体_GB2312" w:hAnsi="宋体" w:eastAsia="楷体_GB2312"/>
          <w:b/>
          <w:sz w:val="32"/>
          <w:szCs w:val="32"/>
          <w:highlight w:val="none"/>
          <w:lang w:val="zh-CN"/>
        </w:rPr>
        <w:t>（一）项目资金申报及批复情况</w:t>
      </w:r>
    </w:p>
    <w:p w14:paraId="614C1C5C">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结合项目实际情况和我单位实际需要，预计本年度所需金额，提前做好年初预算。</w:t>
      </w:r>
    </w:p>
    <w:p w14:paraId="08B5F1F6">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仿宋_GB2312" w:hAnsi="宋体"/>
          <w:sz w:val="32"/>
          <w:szCs w:val="32"/>
          <w:lang w:val="zh-CN"/>
        </w:rPr>
      </w:pPr>
      <w:r>
        <w:rPr>
          <w:rFonts w:hint="eastAsia" w:ascii="楷体_GB2312" w:hAnsi="宋体" w:eastAsia="楷体_GB2312"/>
          <w:b/>
          <w:sz w:val="32"/>
          <w:szCs w:val="32"/>
          <w:lang w:val="zh-CN"/>
        </w:rPr>
        <w:t>（二）资金计划、到位及使用情况</w:t>
      </w:r>
    </w:p>
    <w:p w14:paraId="492B8A12">
      <w:pPr>
        <w:keepNext w:val="0"/>
        <w:keepLines w:val="0"/>
        <w:pageBreakBefore w:val="0"/>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zh-CN" w:eastAsia="zh-CN" w:bidi="ar-SA"/>
        </w:rPr>
        <w:t>截至20</w:t>
      </w:r>
      <w:r>
        <w:rPr>
          <w:rFonts w:hint="eastAsia" w:ascii="仿宋_GB2312" w:hAnsi="仿宋_GB2312" w:eastAsia="仿宋_GB2312" w:cs="仿宋_GB2312"/>
          <w:color w:val="000000"/>
          <w:kern w:val="0"/>
          <w:sz w:val="32"/>
          <w:szCs w:val="32"/>
          <w:lang w:val="en-US" w:eastAsia="zh-CN" w:bidi="ar-SA"/>
        </w:rPr>
        <w:t>22</w:t>
      </w:r>
      <w:r>
        <w:rPr>
          <w:rFonts w:hint="eastAsia" w:ascii="仿宋_GB2312" w:hAnsi="仿宋_GB2312" w:eastAsia="仿宋_GB2312" w:cs="仿宋_GB2312"/>
          <w:color w:val="000000"/>
          <w:kern w:val="0"/>
          <w:sz w:val="32"/>
          <w:szCs w:val="32"/>
          <w:lang w:val="zh-CN" w:eastAsia="zh-CN" w:bidi="ar-SA"/>
        </w:rPr>
        <w:t>年年底，该项目资金实际支出</w:t>
      </w:r>
      <w:r>
        <w:rPr>
          <w:rFonts w:hint="eastAsia" w:ascii="仿宋_GB2312" w:hAnsi="仿宋_GB2312" w:eastAsia="仿宋_GB2312" w:cs="仿宋_GB2312"/>
          <w:color w:val="000000"/>
          <w:kern w:val="0"/>
          <w:sz w:val="32"/>
          <w:szCs w:val="32"/>
          <w:lang w:val="en-US" w:eastAsia="zh-CN" w:bidi="ar-SA"/>
        </w:rPr>
        <w:t>119.08</w:t>
      </w:r>
      <w:r>
        <w:rPr>
          <w:rFonts w:hint="eastAsia" w:ascii="仿宋_GB2312" w:hAnsi="仿宋_GB2312" w:eastAsia="仿宋_GB2312" w:cs="仿宋_GB2312"/>
          <w:color w:val="000000"/>
          <w:kern w:val="0"/>
          <w:sz w:val="32"/>
          <w:szCs w:val="32"/>
          <w:lang w:val="zh-CN" w:eastAsia="zh-CN" w:bidi="ar-SA"/>
        </w:rPr>
        <w:t>万元，已全额支付完毕，支付依据合规合法。</w:t>
      </w:r>
    </w:p>
    <w:p w14:paraId="04D2C268">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w:t>
      </w:r>
      <w:r>
        <w:rPr>
          <w:rFonts w:hint="eastAsia" w:ascii="楷体_GB2312" w:hAnsi="宋体" w:eastAsia="楷体_GB2312" w:cs="Times New Roman"/>
          <w:b/>
          <w:sz w:val="32"/>
          <w:szCs w:val="32"/>
          <w:lang w:val="en-US" w:eastAsia="zh-CN"/>
        </w:rPr>
        <w:t>三</w:t>
      </w:r>
      <w:r>
        <w:rPr>
          <w:rFonts w:hint="eastAsia" w:ascii="楷体_GB2312" w:hAnsi="宋体" w:eastAsia="楷体_GB2312" w:cs="Times New Roman"/>
          <w:b/>
          <w:sz w:val="32"/>
          <w:szCs w:val="32"/>
          <w:lang w:val="zh-CN"/>
        </w:rPr>
        <w:t>）项目财务管理情况</w:t>
      </w:r>
    </w:p>
    <w:p w14:paraId="392334DA">
      <w:pPr>
        <w:keepNext w:val="0"/>
        <w:keepLines w:val="0"/>
        <w:pageBreakBefore w:val="0"/>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color w:val="000000"/>
          <w:kern w:val="0"/>
          <w:sz w:val="32"/>
          <w:szCs w:val="32"/>
          <w:lang w:val="zh-CN" w:eastAsia="zh-CN" w:bidi="ar-SA"/>
        </w:rPr>
      </w:pPr>
      <w:r>
        <w:rPr>
          <w:rFonts w:hint="eastAsia" w:ascii="仿宋_GB2312" w:hAnsi="仿宋_GB2312" w:eastAsia="仿宋_GB2312" w:cs="仿宋_GB2312"/>
          <w:color w:val="000000"/>
          <w:kern w:val="0"/>
          <w:sz w:val="32"/>
          <w:szCs w:val="32"/>
          <w:lang w:val="zh-CN" w:eastAsia="zh-CN" w:bidi="ar-SA"/>
        </w:rPr>
        <w:t>项目支出严格按照我局财务管理制度进行财务管理、会计核算及账务处理等相关工作。该项目严格执行相关规定、财务处理及时、会计核算规范。</w:t>
      </w:r>
    </w:p>
    <w:p w14:paraId="664FA13D">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黑体" w:hAnsi="宋体" w:eastAsia="黑体"/>
          <w:sz w:val="32"/>
          <w:szCs w:val="32"/>
        </w:rPr>
      </w:pPr>
      <w:r>
        <w:rPr>
          <w:rFonts w:hint="eastAsia" w:ascii="黑体" w:hAnsi="宋体" w:eastAsia="黑体"/>
          <w:sz w:val="32"/>
          <w:szCs w:val="32"/>
        </w:rPr>
        <w:t>三、项目实施及管理情况</w:t>
      </w:r>
    </w:p>
    <w:p w14:paraId="0992D2B6">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sz w:val="32"/>
          <w:szCs w:val="32"/>
          <w:lang w:val="en-US" w:eastAsia="zh-CN"/>
        </w:rPr>
      </w:pPr>
      <w:r>
        <w:rPr>
          <w:rFonts w:hint="eastAsia" w:ascii="楷体_GB2312" w:hAnsi="宋体" w:eastAsia="楷体_GB2312" w:cs="Times New Roman"/>
          <w:b/>
          <w:sz w:val="32"/>
          <w:szCs w:val="32"/>
          <w:lang w:val="zh-CN"/>
        </w:rPr>
        <w:t>（</w:t>
      </w:r>
      <w:r>
        <w:rPr>
          <w:rFonts w:hint="eastAsia" w:ascii="楷体_GB2312" w:hAnsi="宋体" w:eastAsia="楷体_GB2312" w:cs="Times New Roman"/>
          <w:b/>
          <w:sz w:val="32"/>
          <w:szCs w:val="32"/>
          <w:lang w:val="en-US" w:eastAsia="zh-CN"/>
        </w:rPr>
        <w:t>一</w:t>
      </w:r>
      <w:r>
        <w:rPr>
          <w:rFonts w:hint="eastAsia" w:ascii="楷体_GB2312" w:hAnsi="宋体" w:eastAsia="楷体_GB2312" w:cs="Times New Roman"/>
          <w:b/>
          <w:sz w:val="32"/>
          <w:szCs w:val="32"/>
          <w:lang w:val="zh-CN"/>
        </w:rPr>
        <w:t>）项目组织架构及实施流程</w:t>
      </w:r>
    </w:p>
    <w:p w14:paraId="3B84FE2B">
      <w:pPr>
        <w:keepNext w:val="0"/>
        <w:keepLines w:val="0"/>
        <w:pageBreakBefore w:val="0"/>
        <w:widowControl/>
        <w:kinsoku/>
        <w:wordWrap/>
        <w:overflowPunct/>
        <w:topLinePunct w:val="0"/>
        <w:autoSpaceDE/>
        <w:autoSpaceDN/>
        <w:bidi w:val="0"/>
        <w:adjustRightInd w:val="0"/>
        <w:snapToGrid w:val="0"/>
        <w:spacing w:line="600" w:lineRule="exact"/>
        <w:ind w:firstLine="720"/>
        <w:jc w:val="left"/>
        <w:textAlignment w:val="auto"/>
        <w:rPr>
          <w:rFonts w:hint="eastAsia" w:ascii="仿宋_GB2312" w:hAnsi="仿宋_GB2312" w:eastAsia="仿宋_GB2312" w:cs="仿宋_GB2312"/>
          <w:color w:val="000000"/>
          <w:kern w:val="0"/>
          <w:sz w:val="32"/>
          <w:szCs w:val="32"/>
          <w:lang w:val="zh-CN" w:eastAsia="zh-CN" w:bidi="ar-SA"/>
        </w:rPr>
      </w:pPr>
      <w:r>
        <w:rPr>
          <w:rFonts w:hint="eastAsia" w:ascii="仿宋_GB2312" w:hAnsi="仿宋_GB2312" w:eastAsia="仿宋_GB2312" w:cs="仿宋_GB2312"/>
          <w:color w:val="000000"/>
          <w:kern w:val="0"/>
          <w:sz w:val="32"/>
          <w:szCs w:val="32"/>
          <w:lang w:val="zh-CN" w:eastAsia="zh-CN" w:bidi="ar-SA"/>
        </w:rPr>
        <w:t>该项目资金实际支出</w:t>
      </w:r>
      <w:r>
        <w:rPr>
          <w:rFonts w:hint="eastAsia" w:ascii="仿宋_GB2312" w:hAnsi="仿宋_GB2312" w:eastAsia="仿宋_GB2312" w:cs="仿宋_GB2312"/>
          <w:color w:val="000000"/>
          <w:kern w:val="0"/>
          <w:sz w:val="32"/>
          <w:szCs w:val="32"/>
          <w:lang w:val="en-US" w:eastAsia="zh-CN" w:bidi="ar-SA"/>
        </w:rPr>
        <w:t>119.08</w:t>
      </w:r>
      <w:r>
        <w:rPr>
          <w:rFonts w:hint="eastAsia" w:ascii="仿宋_GB2312" w:hAnsi="仿宋_GB2312" w:eastAsia="仿宋_GB2312" w:cs="仿宋_GB2312"/>
          <w:color w:val="000000"/>
          <w:kern w:val="0"/>
          <w:sz w:val="32"/>
          <w:szCs w:val="32"/>
          <w:lang w:val="zh-CN" w:eastAsia="zh-CN" w:bidi="ar-SA"/>
        </w:rPr>
        <w:t>万元，主要用于</w:t>
      </w:r>
      <w:r>
        <w:rPr>
          <w:rFonts w:hint="eastAsia" w:ascii="仿宋_GB2312" w:hAnsi="仿宋_GB2312" w:eastAsia="仿宋_GB2312" w:cs="仿宋_GB2312"/>
          <w:color w:val="000000"/>
          <w:kern w:val="0"/>
          <w:sz w:val="32"/>
          <w:szCs w:val="32"/>
          <w:lang w:val="en-US" w:eastAsia="zh-CN" w:bidi="ar-SA"/>
        </w:rPr>
        <w:t>一体化上线运行第三方服务费、债务数据技术咨询服务费、建设财政身份认证系统</w:t>
      </w:r>
      <w:r>
        <w:rPr>
          <w:rFonts w:hint="eastAsia" w:ascii="仿宋_GB2312" w:hAnsi="仿宋_GB2312" w:eastAsia="仿宋_GB2312" w:cs="仿宋_GB2312"/>
          <w:color w:val="000000"/>
          <w:kern w:val="0"/>
          <w:sz w:val="32"/>
          <w:szCs w:val="32"/>
          <w:lang w:val="zh-CN" w:eastAsia="zh-CN" w:bidi="ar-SA"/>
        </w:rPr>
        <w:t>等</w:t>
      </w:r>
      <w:r>
        <w:rPr>
          <w:rFonts w:hint="eastAsia" w:ascii="仿宋_GB2312" w:hAnsi="仿宋_GB2312" w:eastAsia="仿宋_GB2312" w:cs="仿宋_GB2312"/>
          <w:color w:val="000000"/>
          <w:kern w:val="0"/>
          <w:sz w:val="32"/>
          <w:szCs w:val="32"/>
          <w:lang w:val="en-US" w:eastAsia="zh-CN" w:bidi="ar-SA"/>
        </w:rPr>
        <w:t>方面</w:t>
      </w:r>
      <w:r>
        <w:rPr>
          <w:rFonts w:hint="eastAsia" w:ascii="仿宋_GB2312" w:hAnsi="仿宋_GB2312" w:eastAsia="仿宋_GB2312" w:cs="仿宋_GB2312"/>
          <w:color w:val="000000"/>
          <w:kern w:val="0"/>
          <w:sz w:val="32"/>
          <w:szCs w:val="32"/>
          <w:lang w:val="zh-CN" w:eastAsia="zh-CN" w:bidi="ar-SA"/>
        </w:rPr>
        <w:t>。</w:t>
      </w:r>
    </w:p>
    <w:p w14:paraId="2585903B">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w:t>
      </w:r>
      <w:r>
        <w:rPr>
          <w:rFonts w:hint="eastAsia" w:ascii="楷体_GB2312" w:hAnsi="宋体" w:eastAsia="楷体_GB2312" w:cs="Times New Roman"/>
          <w:b/>
          <w:sz w:val="32"/>
          <w:szCs w:val="32"/>
          <w:lang w:val="en-US" w:eastAsia="zh-CN"/>
        </w:rPr>
        <w:t>二</w:t>
      </w:r>
      <w:r>
        <w:rPr>
          <w:rFonts w:hint="eastAsia" w:ascii="楷体_GB2312" w:hAnsi="宋体" w:eastAsia="楷体_GB2312" w:cs="Times New Roman"/>
          <w:b/>
          <w:sz w:val="32"/>
          <w:szCs w:val="32"/>
          <w:lang w:val="zh-CN"/>
        </w:rPr>
        <w:t>）项目管理情况</w:t>
      </w:r>
    </w:p>
    <w:p w14:paraId="518E340E">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实施项目时，严格依据</w:t>
      </w:r>
      <w:r>
        <w:rPr>
          <w:rFonts w:hint="eastAsia" w:ascii="仿宋_GB2312" w:hAnsi="仿宋_GB2312" w:eastAsia="仿宋_GB2312" w:cs="仿宋_GB2312"/>
          <w:color w:val="000000"/>
          <w:kern w:val="0"/>
          <w:sz w:val="32"/>
          <w:szCs w:val="32"/>
          <w:lang w:val="zh-CN" w:eastAsia="zh-CN" w:bidi="ar-SA"/>
        </w:rPr>
        <w:t>相关</w:t>
      </w:r>
      <w:r>
        <w:rPr>
          <w:rFonts w:hint="eastAsia" w:ascii="仿宋_GB2312" w:hAnsi="仿宋_GB2312" w:eastAsia="仿宋_GB2312" w:cs="仿宋_GB2312"/>
          <w:color w:val="000000"/>
          <w:kern w:val="0"/>
          <w:sz w:val="32"/>
          <w:szCs w:val="32"/>
          <w:lang w:val="en-US" w:eastAsia="zh-CN" w:bidi="ar-SA"/>
        </w:rPr>
        <w:t>具体规定，确保资金使用的合法合规性。</w:t>
      </w:r>
    </w:p>
    <w:p w14:paraId="3088FBAB">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w:t>
      </w:r>
      <w:r>
        <w:rPr>
          <w:rFonts w:hint="eastAsia" w:ascii="楷体_GB2312" w:hAnsi="宋体" w:eastAsia="楷体_GB2312" w:cs="Times New Roman"/>
          <w:b/>
          <w:sz w:val="32"/>
          <w:szCs w:val="32"/>
          <w:lang w:val="en-US" w:eastAsia="zh-CN"/>
        </w:rPr>
        <w:t>三</w:t>
      </w:r>
      <w:r>
        <w:rPr>
          <w:rFonts w:hint="eastAsia" w:ascii="楷体_GB2312" w:hAnsi="宋体" w:eastAsia="楷体_GB2312" w:cs="Times New Roman"/>
          <w:b/>
          <w:sz w:val="32"/>
          <w:szCs w:val="32"/>
          <w:lang w:val="zh-CN"/>
        </w:rPr>
        <w:t>）项目监管情况</w:t>
      </w:r>
    </w:p>
    <w:p w14:paraId="6DD076A5">
      <w:pPr>
        <w:keepNext w:val="0"/>
        <w:keepLines w:val="0"/>
        <w:pageBreakBefore w:val="0"/>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color w:val="000000"/>
          <w:kern w:val="0"/>
          <w:sz w:val="32"/>
          <w:szCs w:val="32"/>
          <w:lang w:val="zh-CN" w:eastAsia="zh-CN" w:bidi="ar-SA"/>
        </w:rPr>
      </w:pPr>
      <w:r>
        <w:rPr>
          <w:rFonts w:hint="eastAsia" w:ascii="仿宋_GB2312" w:hAnsi="仿宋_GB2312" w:eastAsia="仿宋_GB2312" w:cs="仿宋_GB2312"/>
          <w:color w:val="000000"/>
          <w:kern w:val="0"/>
          <w:sz w:val="32"/>
          <w:szCs w:val="32"/>
          <w:lang w:val="en-US" w:eastAsia="zh-CN" w:bidi="ar-SA"/>
        </w:rPr>
        <w:t>不定时查看项目执行进度，了解项目执行情况，对项目执行不到位之处及时提出建议予以整改，整体上加强项目管理，提高项目执行效率，提高项目实施满意度。</w:t>
      </w:r>
    </w:p>
    <w:p w14:paraId="3C9C6919">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仿宋_GB2312" w:hAnsi="宋体"/>
          <w:sz w:val="32"/>
          <w:szCs w:val="32"/>
          <w:lang w:val="zh-CN"/>
        </w:rPr>
      </w:pPr>
      <w:r>
        <w:rPr>
          <w:rFonts w:hint="eastAsia" w:ascii="黑体" w:hAnsi="宋体" w:eastAsia="黑体"/>
          <w:sz w:val="32"/>
          <w:szCs w:val="32"/>
        </w:rPr>
        <w:t>四、项目绩效情况</w:t>
      </w:r>
      <w:r>
        <w:rPr>
          <w:rFonts w:hint="eastAsia" w:ascii="仿宋_GB2312" w:hAnsi="宋体"/>
          <w:sz w:val="32"/>
          <w:szCs w:val="32"/>
          <w:lang w:val="zh-CN"/>
        </w:rPr>
        <w:tab/>
      </w:r>
    </w:p>
    <w:p w14:paraId="65C4C433">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（一）项目完成情况</w:t>
      </w:r>
    </w:p>
    <w:p w14:paraId="3B2056E4">
      <w:pPr>
        <w:keepNext w:val="0"/>
        <w:keepLines w:val="0"/>
        <w:pageBreakBefore w:val="0"/>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color w:val="000000"/>
          <w:kern w:val="0"/>
          <w:sz w:val="32"/>
          <w:szCs w:val="32"/>
          <w:lang w:val="zh-CN" w:eastAsia="zh-CN" w:bidi="ar-SA"/>
        </w:rPr>
      </w:pPr>
      <w:r>
        <w:rPr>
          <w:rFonts w:hint="eastAsia" w:ascii="仿宋_GB2312" w:hAnsi="仿宋_GB2312" w:eastAsia="仿宋_GB2312" w:cs="仿宋_GB2312"/>
          <w:color w:val="000000"/>
          <w:kern w:val="0"/>
          <w:sz w:val="32"/>
          <w:szCs w:val="32"/>
          <w:lang w:val="en-US" w:eastAsia="zh-CN" w:bidi="ar-SA"/>
        </w:rPr>
        <w:t>项目建设包括完善债务数据技术、建设财政身份认证系统等。截止2022年年底，预算执行率100%，进度计划、成本控制均达到了预期目标。</w:t>
      </w:r>
    </w:p>
    <w:p w14:paraId="594791A9">
      <w:pPr>
        <w:keepNext w:val="0"/>
        <w:keepLines w:val="0"/>
        <w:pageBreakBefore w:val="0"/>
        <w:kinsoku/>
        <w:wordWrap/>
        <w:overflowPunct/>
        <w:topLinePunct w:val="0"/>
        <w:autoSpaceDE/>
        <w:autoSpaceDN/>
        <w:bidi w:val="0"/>
        <w:adjustRightInd w:val="0"/>
        <w:snapToGrid w:val="0"/>
        <w:spacing w:line="600" w:lineRule="exact"/>
        <w:ind w:firstLine="643" w:firstLineChars="20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（二）项目效益情况</w:t>
      </w:r>
    </w:p>
    <w:p w14:paraId="7D3B1054">
      <w:pPr>
        <w:keepNext w:val="0"/>
        <w:keepLines w:val="0"/>
        <w:pageBreakBefore w:val="0"/>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color w:val="000000"/>
          <w:kern w:val="0"/>
          <w:sz w:val="32"/>
          <w:szCs w:val="32"/>
          <w:lang w:val="zh-CN" w:eastAsia="zh-CN" w:bidi="ar-SA"/>
        </w:rPr>
      </w:pPr>
      <w:r>
        <w:rPr>
          <w:rFonts w:hint="eastAsia" w:ascii="仿宋_GB2312" w:hAnsi="仿宋_GB2312" w:eastAsia="仿宋_GB2312" w:cs="仿宋_GB2312"/>
          <w:color w:val="000000"/>
          <w:kern w:val="0"/>
          <w:sz w:val="32"/>
          <w:szCs w:val="32"/>
          <w:lang w:val="en-US" w:eastAsia="zh-CN" w:bidi="ar-SA"/>
        </w:rPr>
        <w:t>该项目的实施提高了财政资金使用效率，确保了财政资金安全、可靠、准确、高效运行，加强了财政信息化建设。</w:t>
      </w:r>
    </w:p>
    <w:p w14:paraId="69DD79F9">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黑体" w:hAnsi="宋体" w:eastAsia="黑体"/>
          <w:sz w:val="32"/>
          <w:szCs w:val="32"/>
        </w:rPr>
      </w:pPr>
      <w:r>
        <w:rPr>
          <w:rFonts w:hint="eastAsia" w:ascii="黑体" w:hAnsi="宋体" w:eastAsia="黑体"/>
          <w:sz w:val="32"/>
          <w:szCs w:val="32"/>
        </w:rPr>
        <w:t>五、评价结论及建议</w:t>
      </w:r>
    </w:p>
    <w:p w14:paraId="5EA301C8">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（一）评价结论</w:t>
      </w:r>
    </w:p>
    <w:p w14:paraId="64C0B93B">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项目自评总分100分。该项目为我部门保质保量的完成工作提供了保障，使工作的质量得到了提升，达到了预期要求。</w:t>
      </w:r>
    </w:p>
    <w:p w14:paraId="258AD311">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w:t>
      </w:r>
      <w:r>
        <w:rPr>
          <w:rFonts w:hint="eastAsia" w:ascii="楷体_GB2312" w:hAnsi="宋体" w:eastAsia="楷体_GB2312" w:cs="Times New Roman"/>
          <w:b/>
          <w:sz w:val="32"/>
          <w:szCs w:val="32"/>
          <w:lang w:val="en-US" w:eastAsia="zh-CN"/>
        </w:rPr>
        <w:t>二</w:t>
      </w:r>
      <w:r>
        <w:rPr>
          <w:rFonts w:hint="eastAsia" w:ascii="楷体_GB2312" w:hAnsi="宋体" w:eastAsia="楷体_GB2312" w:cs="Times New Roman"/>
          <w:b/>
          <w:sz w:val="32"/>
          <w:szCs w:val="32"/>
          <w:lang w:val="zh-CN"/>
        </w:rPr>
        <w:t>）存在的问题</w:t>
      </w:r>
    </w:p>
    <w:p w14:paraId="2A76FFF5">
      <w:pPr>
        <w:keepNext w:val="0"/>
        <w:keepLines w:val="0"/>
        <w:pageBreakBefore w:val="0"/>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本单位</w:t>
      </w:r>
      <w:r>
        <w:rPr>
          <w:rFonts w:hint="eastAsia" w:ascii="仿宋_GB2312" w:hAnsi="仿宋_GB2312" w:eastAsia="仿宋_GB2312" w:cs="仿宋_GB2312"/>
          <w:color w:val="000000"/>
          <w:kern w:val="0"/>
          <w:sz w:val="32"/>
          <w:szCs w:val="32"/>
          <w:lang w:val="zh-CN" w:eastAsia="zh-CN" w:bidi="ar-SA"/>
        </w:rPr>
        <w:t>信息化建设离省财政厅对财政信息化建设的要求尚有一定差距。</w:t>
      </w:r>
    </w:p>
    <w:p w14:paraId="023DD193">
      <w:pPr>
        <w:keepNext w:val="0"/>
        <w:keepLines w:val="0"/>
        <w:pageBreakBefore w:val="0"/>
        <w:numPr>
          <w:ilvl w:val="0"/>
          <w:numId w:val="4"/>
        </w:numPr>
        <w:kinsoku/>
        <w:wordWrap/>
        <w:overflowPunct/>
        <w:topLinePunct w:val="0"/>
        <w:autoSpaceDE/>
        <w:autoSpaceDN/>
        <w:bidi w:val="0"/>
        <w:adjustRightInd w:val="0"/>
        <w:snapToGrid w:val="0"/>
        <w:spacing w:line="600" w:lineRule="exact"/>
        <w:ind w:left="0" w:leftChars="0" w:firstLine="720" w:firstLineChars="0"/>
        <w:textAlignment w:val="auto"/>
        <w:rPr>
          <w:rFonts w:hint="eastAsia" w:ascii="楷体_GB2312" w:hAnsi="宋体" w:eastAsia="楷体_GB2312"/>
          <w:b/>
          <w:sz w:val="32"/>
          <w:szCs w:val="32"/>
          <w:lang w:val="en-US" w:eastAsia="zh-CN"/>
        </w:rPr>
      </w:pPr>
      <w:r>
        <w:rPr>
          <w:rFonts w:hint="eastAsia" w:ascii="楷体_GB2312" w:hAnsi="宋体" w:eastAsia="楷体_GB2312"/>
          <w:b/>
          <w:sz w:val="32"/>
          <w:szCs w:val="32"/>
          <w:lang w:val="en-US" w:eastAsia="zh-CN"/>
        </w:rPr>
        <w:t>相关建议</w:t>
      </w:r>
    </w:p>
    <w:p w14:paraId="395D91ED">
      <w:pPr>
        <w:keepNext w:val="0"/>
        <w:keepLines w:val="0"/>
        <w:pageBreakBefore w:val="0"/>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color w:val="000000"/>
          <w:kern w:val="0"/>
          <w:sz w:val="32"/>
          <w:szCs w:val="32"/>
          <w:lang w:val="zh-CN" w:eastAsia="zh-CN" w:bidi="ar-SA"/>
        </w:rPr>
      </w:pPr>
      <w:r>
        <w:rPr>
          <w:rFonts w:hint="eastAsia" w:ascii="仿宋_GB2312" w:hAnsi="仿宋_GB2312" w:eastAsia="仿宋_GB2312" w:cs="仿宋_GB2312"/>
          <w:color w:val="000000"/>
          <w:kern w:val="0"/>
          <w:sz w:val="32"/>
          <w:szCs w:val="32"/>
          <w:lang w:val="zh-CN" w:eastAsia="zh-CN" w:bidi="ar-SA"/>
        </w:rPr>
        <w:t>信息化系统建设不是一蹴而就的工作，需要持续不断的投入人力财力。建议继续加大投入，充分保障财政信息系统安全可靠运行。</w:t>
      </w:r>
    </w:p>
    <w:p w14:paraId="3A47DCD0">
      <w:pPr>
        <w:keepNext w:val="0"/>
        <w:keepLines w:val="0"/>
        <w:pageBreakBefore w:val="0"/>
        <w:numPr>
          <w:ilvl w:val="0"/>
          <w:numId w:val="0"/>
        </w:numPr>
        <w:kinsoku/>
        <w:wordWrap/>
        <w:overflowPunct/>
        <w:topLinePunct w:val="0"/>
        <w:autoSpaceDE/>
        <w:autoSpaceDN/>
        <w:bidi w:val="0"/>
        <w:adjustRightInd w:val="0"/>
        <w:snapToGrid w:val="0"/>
        <w:spacing w:line="600" w:lineRule="exact"/>
        <w:textAlignment w:val="auto"/>
        <w:rPr>
          <w:rFonts w:hint="eastAsia" w:ascii="楷体_GB2312" w:hAnsi="宋体" w:eastAsia="楷体_GB2312"/>
          <w:b/>
          <w:sz w:val="32"/>
          <w:szCs w:val="32"/>
          <w:lang w:val="en-US" w:eastAsia="zh-CN"/>
        </w:rPr>
      </w:pPr>
    </w:p>
    <w:p w14:paraId="530C388B">
      <w:pPr>
        <w:pStyle w:val="6"/>
        <w:keepNext w:val="0"/>
        <w:keepLines w:val="0"/>
        <w:pageBreakBefore w:val="0"/>
        <w:kinsoku/>
        <w:wordWrap/>
        <w:overflowPunct/>
        <w:topLinePunct w:val="0"/>
        <w:autoSpaceDE/>
        <w:autoSpaceDN/>
        <w:bidi w:val="0"/>
        <w:spacing w:line="600" w:lineRule="exact"/>
        <w:textAlignment w:val="auto"/>
        <w:rPr>
          <w:rFonts w:hint="eastAsia" w:ascii="仿宋_GB2312" w:hAnsi="仿宋_GB2312" w:eastAsia="仿宋_GB2312" w:cs="仿宋_GB2312"/>
          <w:kern w:val="0"/>
          <w:sz w:val="32"/>
          <w:szCs w:val="32"/>
          <w:shd w:val="clear" w:color="auto" w:fill="FFFFFF"/>
          <w:lang w:val="en-US" w:eastAsia="zh-CN"/>
        </w:rPr>
      </w:pPr>
    </w:p>
    <w:p w14:paraId="0B767E20">
      <w:pPr>
        <w:pStyle w:val="6"/>
        <w:keepNext w:val="0"/>
        <w:keepLines w:val="0"/>
        <w:pageBreakBefore w:val="0"/>
        <w:kinsoku/>
        <w:wordWrap/>
        <w:overflowPunct/>
        <w:topLinePunct w:val="0"/>
        <w:autoSpaceDE/>
        <w:autoSpaceDN/>
        <w:bidi w:val="0"/>
        <w:spacing w:line="600" w:lineRule="exact"/>
        <w:textAlignment w:val="auto"/>
        <w:rPr>
          <w:rFonts w:hint="eastAsia"/>
        </w:rPr>
      </w:pPr>
    </w:p>
    <w:p w14:paraId="531FCD04">
      <w:pPr>
        <w:pStyle w:val="36"/>
        <w:keepNext w:val="0"/>
        <w:keepLines w:val="0"/>
        <w:pageBreakBefore w:val="0"/>
        <w:kinsoku/>
        <w:wordWrap/>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color w:val="auto"/>
          <w:kern w:val="2"/>
          <w:sz w:val="32"/>
          <w:szCs w:val="32"/>
          <w:lang w:val="en-US"/>
        </w:rPr>
      </w:pPr>
    </w:p>
    <w:p w14:paraId="5B85FE5A">
      <w:pPr>
        <w:pStyle w:val="36"/>
        <w:keepNext w:val="0"/>
        <w:keepLines w:val="0"/>
        <w:pageBreakBefore w:val="0"/>
        <w:kinsoku/>
        <w:wordWrap/>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color w:val="auto"/>
          <w:kern w:val="2"/>
          <w:sz w:val="32"/>
          <w:szCs w:val="32"/>
          <w:lang w:val="en-US"/>
        </w:rPr>
      </w:pPr>
    </w:p>
    <w:p w14:paraId="74B8A857">
      <w:pPr>
        <w:pStyle w:val="36"/>
        <w:keepNext w:val="0"/>
        <w:keepLines w:val="0"/>
        <w:pageBreakBefore w:val="0"/>
        <w:kinsoku/>
        <w:wordWrap/>
        <w:overflowPunct/>
        <w:topLinePunct w:val="0"/>
        <w:autoSpaceDE/>
        <w:autoSpaceDN/>
        <w:bidi w:val="0"/>
        <w:spacing w:line="600" w:lineRule="exact"/>
        <w:jc w:val="both"/>
        <w:textAlignment w:val="auto"/>
        <w:rPr>
          <w:rFonts w:hint="eastAsia" w:ascii="方正小标宋简体" w:hAnsi="方正小标宋简体" w:eastAsia="方正小标宋简体" w:cs="方正小标宋简体"/>
          <w:color w:val="auto"/>
          <w:kern w:val="2"/>
          <w:sz w:val="32"/>
          <w:szCs w:val="32"/>
          <w:lang w:val="en-US"/>
        </w:rPr>
      </w:pPr>
    </w:p>
    <w:p w14:paraId="19B3C75D">
      <w:pPr>
        <w:pStyle w:val="36"/>
        <w:keepNext w:val="0"/>
        <w:keepLines w:val="0"/>
        <w:pageBreakBefore w:val="0"/>
        <w:kinsoku/>
        <w:wordWrap/>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color w:val="auto"/>
          <w:kern w:val="2"/>
          <w:sz w:val="36"/>
          <w:szCs w:val="36"/>
          <w:lang w:val="en-US"/>
        </w:rPr>
      </w:pPr>
    </w:p>
    <w:p w14:paraId="4FDD78F5">
      <w:pPr>
        <w:pStyle w:val="36"/>
        <w:keepNext w:val="0"/>
        <w:keepLines w:val="0"/>
        <w:pageBreakBefore w:val="0"/>
        <w:kinsoku/>
        <w:wordWrap/>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color w:val="auto"/>
          <w:kern w:val="2"/>
          <w:sz w:val="36"/>
          <w:szCs w:val="36"/>
          <w:lang w:val="en-US"/>
        </w:rPr>
      </w:pPr>
    </w:p>
    <w:p w14:paraId="192ED5D3">
      <w:pPr>
        <w:pStyle w:val="36"/>
        <w:keepNext w:val="0"/>
        <w:keepLines w:val="0"/>
        <w:pageBreakBefore w:val="0"/>
        <w:kinsoku/>
        <w:wordWrap/>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color w:val="auto"/>
          <w:kern w:val="2"/>
          <w:sz w:val="32"/>
          <w:szCs w:val="32"/>
          <w:lang w:val="en-US"/>
        </w:rPr>
      </w:pPr>
      <w:r>
        <w:rPr>
          <w:rFonts w:hint="eastAsia" w:ascii="方正小标宋简体" w:hAnsi="方正小标宋简体" w:eastAsia="方正小标宋简体" w:cs="方正小标宋简体"/>
          <w:color w:val="auto"/>
          <w:kern w:val="2"/>
          <w:sz w:val="36"/>
          <w:szCs w:val="36"/>
          <w:lang w:val="en-US"/>
        </w:rPr>
        <w:t>202</w:t>
      </w:r>
      <w:r>
        <w:rPr>
          <w:rFonts w:hint="eastAsia" w:ascii="方正小标宋简体" w:hAnsi="方正小标宋简体" w:eastAsia="方正小标宋简体" w:cs="方正小标宋简体"/>
          <w:color w:val="auto"/>
          <w:kern w:val="2"/>
          <w:sz w:val="36"/>
          <w:szCs w:val="36"/>
          <w:lang w:val="en-US" w:eastAsia="zh-CN"/>
        </w:rPr>
        <w:t>2</w:t>
      </w:r>
      <w:r>
        <w:rPr>
          <w:rFonts w:hint="eastAsia" w:ascii="方正小标宋简体" w:hAnsi="方正小标宋简体" w:eastAsia="方正小标宋简体" w:cs="方正小标宋简体"/>
          <w:color w:val="auto"/>
          <w:kern w:val="2"/>
          <w:sz w:val="36"/>
          <w:szCs w:val="36"/>
          <w:lang w:val="en-US"/>
        </w:rPr>
        <w:t>年</w:t>
      </w:r>
      <w:r>
        <w:rPr>
          <w:rFonts w:hint="eastAsia" w:ascii="方正小标宋简体" w:hAnsi="方正小标宋简体" w:eastAsia="方正小标宋简体" w:cs="方正小标宋简体"/>
          <w:color w:val="auto"/>
          <w:kern w:val="2"/>
          <w:sz w:val="36"/>
          <w:szCs w:val="36"/>
          <w:lang w:val="zh-CN" w:eastAsia="zh-CN"/>
        </w:rPr>
        <w:t>全市工资代发银行手续费</w:t>
      </w:r>
      <w:r>
        <w:rPr>
          <w:rFonts w:hint="eastAsia" w:ascii="方正小标宋简体" w:hAnsi="方正小标宋简体" w:eastAsia="方正小标宋简体" w:cs="方正小标宋简体"/>
          <w:color w:val="auto"/>
          <w:kern w:val="2"/>
          <w:sz w:val="36"/>
          <w:szCs w:val="36"/>
          <w:lang w:val="en-US"/>
        </w:rPr>
        <w:t>绩效自评报告</w:t>
      </w:r>
    </w:p>
    <w:p w14:paraId="35670B5A">
      <w:pPr>
        <w:pStyle w:val="36"/>
        <w:keepNext w:val="0"/>
        <w:keepLines w:val="0"/>
        <w:pageBreakBefore w:val="0"/>
        <w:kinsoku/>
        <w:wordWrap/>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color w:val="auto"/>
          <w:kern w:val="2"/>
          <w:sz w:val="32"/>
          <w:szCs w:val="32"/>
          <w:lang w:val="en-US"/>
        </w:rPr>
      </w:pPr>
    </w:p>
    <w:p w14:paraId="364DDDE8">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14:paraId="52BAB329">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（一）项目基本情况</w:t>
      </w:r>
    </w:p>
    <w:p w14:paraId="7DEC0DEE">
      <w:pPr>
        <w:pStyle w:val="14"/>
        <w:keepNext w:val="0"/>
        <w:keepLines w:val="0"/>
        <w:pageBreakBefore w:val="0"/>
        <w:numPr>
          <w:ilvl w:val="0"/>
          <w:numId w:val="0"/>
        </w:numPr>
        <w:kinsoku/>
        <w:wordWrap/>
        <w:overflowPunct/>
        <w:topLinePunct w:val="0"/>
        <w:autoSpaceDE/>
        <w:autoSpaceDN/>
        <w:bidi w:val="0"/>
        <w:spacing w:line="600" w:lineRule="exact"/>
        <w:ind w:leftChars="0" w:firstLine="640" w:firstLineChars="200"/>
        <w:textAlignment w:val="auto"/>
        <w:rPr>
          <w:rFonts w:hint="eastAsia" w:ascii="仿宋_GB2312" w:hAnsi="Calibri" w:eastAsia="仿宋_GB2312" w:cs="仿宋"/>
          <w:color w:val="000000"/>
          <w:kern w:val="0"/>
          <w:sz w:val="32"/>
          <w:szCs w:val="32"/>
          <w:lang w:val="zh-CN" w:eastAsia="zh-CN" w:bidi="ar-SA"/>
        </w:rPr>
      </w:pPr>
      <w:r>
        <w:rPr>
          <w:rFonts w:hint="eastAsia" w:ascii="仿宋_GB2312" w:hAnsi="Calibri" w:eastAsia="仿宋_GB2312" w:cs="仿宋"/>
          <w:color w:val="000000"/>
          <w:kern w:val="0"/>
          <w:sz w:val="32"/>
          <w:szCs w:val="32"/>
          <w:lang w:val="zh-CN" w:eastAsia="zh-CN" w:bidi="ar-SA"/>
        </w:rPr>
        <w:t>该项目主要用于加强与银行的合作与沟通,保证资金安全及顺利调度使用、全市行政事业单位工资发放顺利进行，要求单位建立项目库，按规定公开，按照相关规定实施。</w:t>
      </w:r>
    </w:p>
    <w:p w14:paraId="615406BB">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（二）项目绩效目标</w:t>
      </w:r>
    </w:p>
    <w:p w14:paraId="28BC270D">
      <w:pPr>
        <w:keepNext w:val="0"/>
        <w:keepLines w:val="0"/>
        <w:pageBreakBefore w:val="0"/>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zh-CN" w:eastAsia="zh-CN" w:bidi="ar-SA"/>
        </w:rPr>
        <w:t>项目</w:t>
      </w:r>
      <w:r>
        <w:rPr>
          <w:rFonts w:hint="eastAsia" w:ascii="仿宋_GB2312" w:hAnsi="仿宋_GB2312" w:eastAsia="仿宋_GB2312" w:cs="仿宋_GB2312"/>
          <w:color w:val="000000"/>
          <w:kern w:val="0"/>
          <w:sz w:val="32"/>
          <w:szCs w:val="32"/>
          <w:lang w:val="en-US" w:eastAsia="zh-CN" w:bidi="ar-SA"/>
        </w:rPr>
        <w:t>年初</w:t>
      </w:r>
      <w:r>
        <w:rPr>
          <w:rFonts w:hint="eastAsia" w:ascii="仿宋_GB2312" w:hAnsi="仿宋_GB2312" w:eastAsia="仿宋_GB2312" w:cs="仿宋_GB2312"/>
          <w:color w:val="000000"/>
          <w:kern w:val="0"/>
          <w:sz w:val="32"/>
          <w:szCs w:val="32"/>
          <w:lang w:val="zh-CN" w:eastAsia="zh-CN" w:bidi="ar-SA"/>
        </w:rPr>
        <w:t>预算申报</w:t>
      </w:r>
      <w:r>
        <w:rPr>
          <w:rFonts w:hint="eastAsia" w:ascii="仿宋_GB2312" w:hAnsi="仿宋_GB2312" w:eastAsia="仿宋_GB2312" w:cs="仿宋_GB2312"/>
          <w:color w:val="000000"/>
          <w:kern w:val="0"/>
          <w:sz w:val="32"/>
          <w:szCs w:val="32"/>
          <w:lang w:val="en-US" w:eastAsia="zh-CN" w:bidi="ar-SA"/>
        </w:rPr>
        <w:t>5万元，批复5万元，调整0.96万元，调整预算数4.04万元</w:t>
      </w:r>
      <w:r>
        <w:rPr>
          <w:rFonts w:hint="eastAsia" w:ascii="仿宋_GB2312" w:hAnsi="仿宋_GB2312" w:eastAsia="仿宋_GB2312" w:cs="仿宋_GB2312"/>
          <w:color w:val="000000"/>
          <w:kern w:val="0"/>
          <w:sz w:val="32"/>
          <w:szCs w:val="32"/>
          <w:lang w:val="zh-CN" w:eastAsia="zh-CN" w:bidi="ar-SA"/>
        </w:rPr>
        <w:t>。</w:t>
      </w:r>
      <w:r>
        <w:rPr>
          <w:rFonts w:hint="eastAsia" w:ascii="仿宋_GB2312" w:hAnsi="仿宋_GB2312" w:eastAsia="仿宋_GB2312" w:cs="仿宋_GB2312"/>
          <w:color w:val="000000"/>
          <w:kern w:val="0"/>
          <w:sz w:val="32"/>
          <w:szCs w:val="32"/>
          <w:lang w:val="en-US" w:eastAsia="zh-CN" w:bidi="ar-SA"/>
        </w:rPr>
        <w:t>本</w:t>
      </w:r>
      <w:r>
        <w:rPr>
          <w:rFonts w:hint="eastAsia" w:ascii="仿宋_GB2312" w:hAnsi="仿宋_GB2312" w:eastAsia="仿宋_GB2312" w:cs="仿宋_GB2312"/>
          <w:color w:val="000000"/>
          <w:kern w:val="0"/>
          <w:sz w:val="32"/>
          <w:szCs w:val="32"/>
          <w:lang w:val="zh-CN" w:eastAsia="zh-CN" w:bidi="ar-SA"/>
        </w:rPr>
        <w:t>项目主要</w:t>
      </w:r>
      <w:r>
        <w:rPr>
          <w:rFonts w:hint="eastAsia" w:ascii="仿宋_GB2312" w:hAnsi="仿宋_GB2312" w:eastAsia="仿宋_GB2312" w:cs="仿宋_GB2312"/>
          <w:color w:val="000000"/>
          <w:kern w:val="0"/>
          <w:sz w:val="32"/>
          <w:szCs w:val="32"/>
          <w:lang w:val="en-US" w:eastAsia="zh-CN" w:bidi="ar-SA"/>
        </w:rPr>
        <w:t>用于保证资金安全及顺利调度使用、全市行政事业单位工资顺利发放而支付的手续费。项目按照实施进度计划达到了预期目标。</w:t>
      </w:r>
    </w:p>
    <w:p w14:paraId="5DFB3788">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w:t>
      </w:r>
      <w:r>
        <w:rPr>
          <w:rFonts w:hint="eastAsia" w:ascii="楷体_GB2312" w:hAnsi="宋体" w:eastAsia="楷体_GB2312" w:cs="Times New Roman"/>
          <w:b/>
          <w:sz w:val="32"/>
          <w:szCs w:val="32"/>
          <w:lang w:val="en-US" w:eastAsia="zh-CN"/>
        </w:rPr>
        <w:t>三</w:t>
      </w:r>
      <w:r>
        <w:rPr>
          <w:rFonts w:hint="eastAsia" w:ascii="楷体_GB2312" w:hAnsi="宋体" w:eastAsia="楷体_GB2312" w:cs="Times New Roman"/>
          <w:b/>
          <w:sz w:val="32"/>
          <w:szCs w:val="32"/>
          <w:lang w:val="zh-CN"/>
        </w:rPr>
        <w:t>）项目自评步骤及方法</w:t>
      </w:r>
    </w:p>
    <w:p w14:paraId="7BF774C1">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通过明确项目目标，最终是否实现，财务资料是否规范完善等内容和步骤进行综合自评。</w:t>
      </w:r>
    </w:p>
    <w:p w14:paraId="5C6BCC06">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黑体" w:hAnsi="宋体" w:eastAsia="黑体"/>
          <w:sz w:val="32"/>
          <w:szCs w:val="32"/>
        </w:rPr>
      </w:pPr>
      <w:r>
        <w:rPr>
          <w:rFonts w:hint="eastAsia" w:ascii="黑体" w:hAnsi="宋体" w:eastAsia="黑体"/>
          <w:sz w:val="32"/>
          <w:szCs w:val="32"/>
        </w:rPr>
        <w:t>二、项目资金申报及使用情况</w:t>
      </w:r>
    </w:p>
    <w:p w14:paraId="6E0187D6">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（一）项目资金申报及批复情况</w:t>
      </w:r>
    </w:p>
    <w:p w14:paraId="0379E1EA">
      <w:pPr>
        <w:keepNext w:val="0"/>
        <w:keepLines w:val="0"/>
        <w:pageBreakBefore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kern w:val="0"/>
          <w:sz w:val="32"/>
          <w:szCs w:val="32"/>
          <w:shd w:val="clear" w:color="auto" w:fill="FFFFFF"/>
          <w:lang w:val="en-US" w:eastAsia="zh-CN"/>
        </w:rPr>
      </w:pPr>
      <w:r>
        <w:rPr>
          <w:rFonts w:hint="eastAsia" w:ascii="仿宋_GB2312" w:hAnsi="仿宋_GB2312" w:eastAsia="仿宋_GB2312" w:cs="仿宋_GB2312"/>
          <w:kern w:val="0"/>
          <w:sz w:val="32"/>
          <w:szCs w:val="32"/>
          <w:shd w:val="clear" w:color="auto" w:fill="FFFFFF"/>
          <w:lang w:val="zh-CN"/>
        </w:rPr>
        <w:t>项目</w:t>
      </w:r>
      <w:r>
        <w:rPr>
          <w:rFonts w:hint="eastAsia" w:ascii="仿宋_GB2312" w:hAnsi="仿宋_GB2312" w:eastAsia="仿宋_GB2312" w:cs="仿宋_GB2312"/>
          <w:kern w:val="0"/>
          <w:sz w:val="32"/>
          <w:szCs w:val="32"/>
          <w:shd w:val="clear" w:color="auto" w:fill="FFFFFF"/>
          <w:lang w:val="en-US" w:eastAsia="zh-CN"/>
        </w:rPr>
        <w:t>年初</w:t>
      </w:r>
      <w:r>
        <w:rPr>
          <w:rFonts w:hint="eastAsia" w:ascii="仿宋_GB2312" w:hAnsi="仿宋_GB2312" w:eastAsia="仿宋_GB2312" w:cs="仿宋_GB2312"/>
          <w:kern w:val="0"/>
          <w:sz w:val="32"/>
          <w:szCs w:val="32"/>
          <w:shd w:val="clear" w:color="auto" w:fill="FFFFFF"/>
          <w:lang w:val="zh-CN"/>
        </w:rPr>
        <w:t>预算申报5万元，批复5万元，调整0.96万元，调整预算数4.04万元。</w:t>
      </w:r>
      <w:r>
        <w:rPr>
          <w:rFonts w:hint="eastAsia" w:ascii="仿宋_GB2312" w:hAnsi="仿宋_GB2312" w:eastAsia="仿宋_GB2312" w:cs="仿宋_GB2312"/>
          <w:kern w:val="0"/>
          <w:sz w:val="32"/>
          <w:szCs w:val="32"/>
          <w:shd w:val="clear" w:color="auto" w:fill="FFFFFF"/>
          <w:lang w:val="en-US" w:eastAsia="zh-CN"/>
        </w:rPr>
        <w:t xml:space="preserve">     </w:t>
      </w:r>
    </w:p>
    <w:p w14:paraId="6192311C">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（二）资金计划、到位及使用情况</w:t>
      </w:r>
    </w:p>
    <w:p w14:paraId="13250DC9">
      <w:pPr>
        <w:ind w:firstLine="640" w:firstLineChars="200"/>
        <w:rPr>
          <w:rFonts w:hint="eastAsia"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该项目资金计划按期及时到位，到位率100%，主要用于保证资金安全及顺利调度使用、全市行政事业单位工资发放顺利进行，实际支付4.04万元。</w:t>
      </w:r>
    </w:p>
    <w:p w14:paraId="05E59207">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w:t>
      </w:r>
      <w:r>
        <w:rPr>
          <w:rFonts w:hint="eastAsia" w:ascii="楷体_GB2312" w:hAnsi="宋体" w:eastAsia="楷体_GB2312" w:cs="Times New Roman"/>
          <w:b/>
          <w:sz w:val="32"/>
          <w:szCs w:val="32"/>
          <w:lang w:val="en-US" w:eastAsia="zh-CN"/>
        </w:rPr>
        <w:t>三</w:t>
      </w:r>
      <w:r>
        <w:rPr>
          <w:rFonts w:hint="eastAsia" w:ascii="楷体_GB2312" w:hAnsi="宋体" w:eastAsia="楷体_GB2312" w:cs="Times New Roman"/>
          <w:b/>
          <w:sz w:val="32"/>
          <w:szCs w:val="32"/>
          <w:lang w:val="zh-CN"/>
        </w:rPr>
        <w:t>）项目财务管理情况</w:t>
      </w:r>
    </w:p>
    <w:p w14:paraId="234B736D">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eastAsia="zh-CN"/>
        </w:rPr>
        <w:t>项目管理依照相关规定由经办人、审核人、分管领导及主要领导签字确认后支付费用，会计核算和账务处理由专人负责，及时规范。</w:t>
      </w:r>
    </w:p>
    <w:p w14:paraId="3D8BC169">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黑体" w:hAnsi="宋体" w:eastAsia="黑体"/>
          <w:sz w:val="32"/>
          <w:szCs w:val="32"/>
        </w:rPr>
      </w:pPr>
      <w:r>
        <w:rPr>
          <w:rFonts w:hint="eastAsia" w:ascii="黑体" w:hAnsi="宋体" w:eastAsia="黑体"/>
          <w:sz w:val="32"/>
          <w:szCs w:val="32"/>
        </w:rPr>
        <w:t>三、项目实施及管理情况</w:t>
      </w:r>
    </w:p>
    <w:p w14:paraId="456EAB70">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w:t>
      </w:r>
      <w:r>
        <w:rPr>
          <w:rFonts w:hint="eastAsia" w:ascii="楷体_GB2312" w:hAnsi="宋体" w:eastAsia="楷体_GB2312" w:cs="Times New Roman"/>
          <w:b/>
          <w:sz w:val="32"/>
          <w:szCs w:val="32"/>
          <w:lang w:val="en-US" w:eastAsia="zh-CN"/>
        </w:rPr>
        <w:t>一</w:t>
      </w:r>
      <w:r>
        <w:rPr>
          <w:rFonts w:hint="eastAsia" w:ascii="楷体_GB2312" w:hAnsi="宋体" w:eastAsia="楷体_GB2312" w:cs="Times New Roman"/>
          <w:b/>
          <w:sz w:val="32"/>
          <w:szCs w:val="32"/>
          <w:lang w:val="zh-CN"/>
        </w:rPr>
        <w:t>）项目组织架构及实施流程</w:t>
      </w:r>
    </w:p>
    <w:p w14:paraId="47D006CB">
      <w:pPr>
        <w:pStyle w:val="14"/>
        <w:keepNext w:val="0"/>
        <w:keepLines w:val="0"/>
        <w:pageBreakBefore w:val="0"/>
        <w:numPr>
          <w:ilvl w:val="0"/>
          <w:numId w:val="0"/>
        </w:numPr>
        <w:kinsoku/>
        <w:wordWrap/>
        <w:overflowPunct/>
        <w:topLinePunct w:val="0"/>
        <w:autoSpaceDE/>
        <w:autoSpaceDN/>
        <w:bidi w:val="0"/>
        <w:spacing w:line="600" w:lineRule="exact"/>
        <w:ind w:leftChars="0" w:firstLine="640" w:firstLineChars="200"/>
        <w:textAlignment w:val="auto"/>
        <w:rPr>
          <w:rFonts w:hint="eastAsia" w:ascii="仿宋_GB2312" w:hAnsi="Calibri" w:eastAsia="仿宋_GB2312" w:cs="仿宋"/>
          <w:color w:val="000000"/>
          <w:kern w:val="0"/>
          <w:sz w:val="32"/>
          <w:szCs w:val="32"/>
          <w:lang w:val="zh-CN" w:eastAsia="zh-CN" w:bidi="ar-SA"/>
        </w:rPr>
      </w:pPr>
      <w:r>
        <w:rPr>
          <w:rFonts w:hint="eastAsia" w:ascii="仿宋_GB2312" w:hAnsi="Calibri" w:eastAsia="仿宋_GB2312" w:cs="仿宋"/>
          <w:color w:val="000000"/>
          <w:kern w:val="0"/>
          <w:sz w:val="32"/>
          <w:szCs w:val="32"/>
          <w:lang w:val="zh-CN" w:eastAsia="zh-CN" w:bidi="ar-SA"/>
        </w:rPr>
        <w:t>该项目实际支付</w:t>
      </w:r>
      <w:r>
        <w:rPr>
          <w:rFonts w:hint="eastAsia" w:ascii="仿宋_GB2312" w:hAnsi="Calibri" w:eastAsia="仿宋_GB2312" w:cs="仿宋"/>
          <w:color w:val="000000"/>
          <w:kern w:val="0"/>
          <w:sz w:val="32"/>
          <w:szCs w:val="32"/>
          <w:lang w:val="en-US" w:eastAsia="zh-CN" w:bidi="ar-SA"/>
        </w:rPr>
        <w:t>4.04万元，涉及工商银行、建设银行等多家银行，保障了</w:t>
      </w:r>
      <w:r>
        <w:rPr>
          <w:rFonts w:hint="eastAsia" w:ascii="仿宋_GB2312" w:hAnsi="仿宋_GB2312" w:eastAsia="仿宋_GB2312" w:cs="仿宋_GB2312"/>
          <w:kern w:val="0"/>
          <w:sz w:val="32"/>
          <w:szCs w:val="32"/>
          <w:shd w:val="clear" w:color="auto" w:fill="FFFFFF"/>
          <w:lang w:val="en-US" w:eastAsia="zh-CN"/>
        </w:rPr>
        <w:t>资金安全及顺利调度使用、全市行政事业单位工资顺利发放</w:t>
      </w:r>
      <w:r>
        <w:rPr>
          <w:rFonts w:hint="eastAsia" w:ascii="仿宋_GB2312" w:hAnsi="仿宋_GB2312" w:eastAsia="仿宋_GB2312" w:cs="仿宋_GB2312"/>
          <w:kern w:val="0"/>
          <w:sz w:val="32"/>
          <w:szCs w:val="32"/>
          <w:shd w:val="clear" w:color="auto" w:fill="FFFFFF"/>
          <w:lang w:val="zh-CN"/>
        </w:rPr>
        <w:t>。</w:t>
      </w:r>
    </w:p>
    <w:p w14:paraId="4591FD01">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w:t>
      </w:r>
      <w:r>
        <w:rPr>
          <w:rFonts w:hint="eastAsia" w:ascii="楷体_GB2312" w:hAnsi="宋体" w:eastAsia="楷体_GB2312" w:cs="Times New Roman"/>
          <w:b/>
          <w:sz w:val="32"/>
          <w:szCs w:val="32"/>
          <w:lang w:val="en-US" w:eastAsia="zh-CN"/>
        </w:rPr>
        <w:t>二</w:t>
      </w:r>
      <w:r>
        <w:rPr>
          <w:rFonts w:hint="eastAsia" w:ascii="楷体_GB2312" w:hAnsi="宋体" w:eastAsia="楷体_GB2312" w:cs="Times New Roman"/>
          <w:b/>
          <w:sz w:val="32"/>
          <w:szCs w:val="32"/>
          <w:lang w:val="zh-CN"/>
        </w:rPr>
        <w:t>）项目管理情况</w:t>
      </w:r>
    </w:p>
    <w:p w14:paraId="5AF29DB0">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kern w:val="0"/>
          <w:sz w:val="32"/>
          <w:szCs w:val="32"/>
          <w:shd w:val="clear" w:color="auto" w:fill="FFFFFF"/>
          <w:lang w:val="zh-CN" w:eastAsia="zh-CN"/>
        </w:rPr>
      </w:pPr>
      <w:r>
        <w:rPr>
          <w:rFonts w:hint="eastAsia" w:ascii="仿宋_GB2312" w:hAnsi="仿宋_GB2312" w:eastAsia="仿宋_GB2312" w:cs="仿宋_GB2312"/>
          <w:kern w:val="0"/>
          <w:sz w:val="32"/>
          <w:szCs w:val="32"/>
          <w:shd w:val="clear" w:color="auto" w:fill="FFFFFF"/>
          <w:lang w:val="zh-CN" w:eastAsia="zh-CN"/>
        </w:rPr>
        <w:t>项目管理依照相关规定由经办人、审核人、分管领导及主要领导签字确认后支付费用，会计核算和账务处理由专人负责，及时规范。</w:t>
      </w:r>
    </w:p>
    <w:p w14:paraId="63C887BC">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w:t>
      </w:r>
      <w:r>
        <w:rPr>
          <w:rFonts w:hint="eastAsia" w:ascii="楷体_GB2312" w:hAnsi="宋体" w:eastAsia="楷体_GB2312" w:cs="Times New Roman"/>
          <w:b/>
          <w:sz w:val="32"/>
          <w:szCs w:val="32"/>
          <w:lang w:val="en-US" w:eastAsia="zh-CN"/>
        </w:rPr>
        <w:t>三</w:t>
      </w:r>
      <w:r>
        <w:rPr>
          <w:rFonts w:hint="eastAsia" w:ascii="楷体_GB2312" w:hAnsi="宋体" w:eastAsia="楷体_GB2312" w:cs="Times New Roman"/>
          <w:b/>
          <w:sz w:val="32"/>
          <w:szCs w:val="32"/>
          <w:lang w:val="zh-CN"/>
        </w:rPr>
        <w:t>）项目监管情况</w:t>
      </w:r>
    </w:p>
    <w:p w14:paraId="63706D54">
      <w:pPr>
        <w:ind w:firstLine="640" w:firstLineChars="200"/>
        <w:rPr>
          <w:rFonts w:hint="eastAsia" w:ascii="仿宋_GB2312" w:hAnsi="仿宋_GB2312" w:eastAsia="仿宋_GB2312" w:cs="仿宋_GB2312"/>
          <w:kern w:val="0"/>
          <w:sz w:val="32"/>
          <w:szCs w:val="32"/>
          <w:shd w:val="clear" w:color="auto" w:fill="FFFFFF"/>
          <w:lang w:val="zh-CN" w:eastAsia="zh-CN"/>
        </w:rPr>
      </w:pPr>
      <w:r>
        <w:rPr>
          <w:rFonts w:hint="eastAsia" w:ascii="仿宋_GB2312" w:hAnsi="仿宋_GB2312" w:eastAsia="仿宋_GB2312" w:cs="仿宋_GB2312"/>
          <w:kern w:val="0"/>
          <w:sz w:val="32"/>
          <w:szCs w:val="32"/>
          <w:shd w:val="clear" w:color="auto" w:fill="FFFFFF"/>
          <w:lang w:val="zh-CN" w:eastAsia="zh-CN"/>
        </w:rPr>
        <w:t>项目使用金额超过一定数额均需主管部门领导审核签字，确保项目在主管部门的监管下使用。</w:t>
      </w:r>
    </w:p>
    <w:p w14:paraId="3B09B437">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仿宋_GB2312" w:hAnsi="宋体"/>
          <w:sz w:val="32"/>
          <w:szCs w:val="32"/>
          <w:lang w:val="zh-CN"/>
        </w:rPr>
      </w:pPr>
      <w:r>
        <w:rPr>
          <w:rFonts w:hint="eastAsia" w:ascii="黑体" w:hAnsi="宋体" w:eastAsia="黑体"/>
          <w:sz w:val="32"/>
          <w:szCs w:val="32"/>
        </w:rPr>
        <w:t>四、项目绩效情况</w:t>
      </w:r>
      <w:r>
        <w:rPr>
          <w:rFonts w:hint="eastAsia" w:ascii="仿宋_GB2312" w:hAnsi="宋体"/>
          <w:sz w:val="32"/>
          <w:szCs w:val="32"/>
          <w:lang w:val="zh-CN"/>
        </w:rPr>
        <w:tab/>
      </w:r>
    </w:p>
    <w:p w14:paraId="243EB189">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（一）项目完成情况</w:t>
      </w:r>
    </w:p>
    <w:p w14:paraId="34929FF3">
      <w:pPr>
        <w:ind w:firstLine="640" w:firstLineChars="200"/>
        <w:rPr>
          <w:rFonts w:hint="eastAsia" w:ascii="仿宋_GB2312" w:hAnsi="仿宋_GB2312" w:eastAsia="仿宋_GB2312" w:cs="仿宋_GB2312"/>
          <w:kern w:val="0"/>
          <w:sz w:val="32"/>
          <w:szCs w:val="32"/>
          <w:shd w:val="clear" w:color="auto" w:fill="FFFFFF"/>
          <w:lang w:val="zh-CN" w:eastAsia="zh-CN"/>
        </w:rPr>
      </w:pPr>
      <w:r>
        <w:rPr>
          <w:rFonts w:hint="eastAsia" w:ascii="仿宋_GB2312" w:hAnsi="仿宋_GB2312" w:eastAsia="仿宋_GB2312" w:cs="仿宋_GB2312"/>
          <w:kern w:val="0"/>
          <w:sz w:val="32"/>
          <w:szCs w:val="32"/>
          <w:shd w:val="clear" w:color="auto" w:fill="FFFFFF"/>
          <w:lang w:val="en-US" w:eastAsia="zh-CN"/>
        </w:rPr>
        <w:t>该项目主要用于</w:t>
      </w:r>
      <w:r>
        <w:rPr>
          <w:rFonts w:hint="eastAsia" w:ascii="仿宋_GB2312" w:hAnsi="仿宋_GB2312" w:eastAsia="仿宋_GB2312" w:cs="仿宋_GB2312"/>
          <w:kern w:val="0"/>
          <w:sz w:val="32"/>
          <w:szCs w:val="32"/>
          <w:shd w:val="clear" w:color="auto" w:fill="FFFFFF"/>
          <w:lang w:val="zh-CN"/>
        </w:rPr>
        <w:t>加强与银行的合作与沟通，保证资金安全及顺利调度使用、全市行政事业单位工资发放顺利进行</w:t>
      </w:r>
      <w:r>
        <w:rPr>
          <w:rFonts w:hint="eastAsia" w:ascii="仿宋_GB2312" w:hAnsi="仿宋_GB2312" w:eastAsia="仿宋_GB2312" w:cs="仿宋_GB2312"/>
          <w:kern w:val="0"/>
          <w:sz w:val="32"/>
          <w:szCs w:val="32"/>
          <w:shd w:val="clear" w:color="auto" w:fill="FFFFFF"/>
          <w:lang w:val="en-US" w:eastAsia="zh-CN"/>
        </w:rPr>
        <w:t>，截止2022年年底，预算执行率100%，进度计划、成本控制均达到了预期目标。</w:t>
      </w:r>
    </w:p>
    <w:p w14:paraId="55585D16">
      <w:pPr>
        <w:keepNext w:val="0"/>
        <w:keepLines w:val="0"/>
        <w:pageBreakBefore w:val="0"/>
        <w:kinsoku/>
        <w:wordWrap/>
        <w:overflowPunct/>
        <w:topLinePunct w:val="0"/>
        <w:autoSpaceDE/>
        <w:autoSpaceDN/>
        <w:bidi w:val="0"/>
        <w:adjustRightInd w:val="0"/>
        <w:snapToGrid w:val="0"/>
        <w:spacing w:line="600" w:lineRule="exact"/>
        <w:ind w:firstLine="643" w:firstLineChars="20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（二）项目效益情况</w:t>
      </w:r>
    </w:p>
    <w:p w14:paraId="3931D977">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default" w:ascii="仿宋_GB2312" w:hAnsi="仿宋_GB2312" w:eastAsia="仿宋_GB2312" w:cs="仿宋_GB2312"/>
          <w:kern w:val="0"/>
          <w:sz w:val="32"/>
          <w:szCs w:val="32"/>
          <w:shd w:val="clear" w:color="auto" w:fill="FFFFFF"/>
          <w:lang w:val="en-US" w:eastAsia="zh-CN"/>
        </w:rPr>
      </w:pPr>
      <w:r>
        <w:rPr>
          <w:rFonts w:hint="eastAsia" w:ascii="仿宋_GB2312" w:hAnsi="仿宋_GB2312" w:eastAsia="仿宋_GB2312" w:cs="仿宋_GB2312"/>
          <w:kern w:val="0"/>
          <w:sz w:val="32"/>
          <w:szCs w:val="32"/>
          <w:shd w:val="clear" w:color="auto" w:fill="FFFFFF"/>
          <w:lang w:val="en-US" w:eastAsia="zh-CN"/>
        </w:rPr>
        <w:t>该专项支出的执行，保障了本单位工作按时、保质保量的完成，提高了本单位职工的工作质量和效率。</w:t>
      </w:r>
    </w:p>
    <w:p w14:paraId="1282B17A">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黑体" w:hAnsi="宋体" w:eastAsia="黑体"/>
          <w:sz w:val="32"/>
          <w:szCs w:val="32"/>
        </w:rPr>
      </w:pPr>
      <w:r>
        <w:rPr>
          <w:rFonts w:hint="eastAsia" w:ascii="黑体" w:hAnsi="宋体" w:eastAsia="黑体"/>
          <w:sz w:val="32"/>
          <w:szCs w:val="32"/>
        </w:rPr>
        <w:t>五、评价结论及建议</w:t>
      </w:r>
    </w:p>
    <w:p w14:paraId="72182D38">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（一）评价结论</w:t>
      </w:r>
    </w:p>
    <w:p w14:paraId="517D22CC">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default" w:ascii="仿宋_GB2312" w:hAnsi="仿宋_GB2312" w:eastAsia="仿宋_GB2312" w:cs="仿宋_GB2312"/>
          <w:kern w:val="0"/>
          <w:sz w:val="32"/>
          <w:szCs w:val="32"/>
          <w:shd w:val="clear" w:color="auto" w:fill="FFFFFF"/>
          <w:lang w:val="en-US" w:eastAsia="zh-CN"/>
        </w:rPr>
      </w:pPr>
      <w:r>
        <w:rPr>
          <w:rFonts w:hint="eastAsia" w:ascii="仿宋_GB2312" w:hAnsi="仿宋_GB2312" w:eastAsia="仿宋_GB2312" w:cs="仿宋_GB2312"/>
          <w:kern w:val="0"/>
          <w:sz w:val="32"/>
          <w:szCs w:val="32"/>
          <w:shd w:val="clear" w:color="auto" w:fill="FFFFFF"/>
          <w:lang w:val="en-US" w:eastAsia="zh-CN"/>
        </w:rPr>
        <w:t>项目自评总分100分。</w:t>
      </w:r>
      <w:r>
        <w:rPr>
          <w:rFonts w:hint="eastAsia" w:ascii="仿宋_GB2312" w:hAnsi="仿宋_GB2312" w:eastAsia="仿宋_GB2312" w:cs="仿宋_GB2312"/>
          <w:kern w:val="0"/>
          <w:sz w:val="32"/>
          <w:szCs w:val="32"/>
          <w:shd w:val="clear" w:color="auto" w:fill="FFFFFF"/>
          <w:lang w:val="zh-CN" w:eastAsia="zh-CN"/>
        </w:rPr>
        <w:t>我单位认真开展绩效目标自评工作，绩效目标随同预决算及时向社会公开，项目实施基本达到预期目标，绩效结果应用自评良好。</w:t>
      </w:r>
    </w:p>
    <w:p w14:paraId="1759D871">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w:t>
      </w:r>
      <w:r>
        <w:rPr>
          <w:rFonts w:hint="eastAsia" w:ascii="楷体_GB2312" w:hAnsi="宋体" w:eastAsia="楷体_GB2312"/>
          <w:b/>
          <w:sz w:val="32"/>
          <w:szCs w:val="32"/>
          <w:lang w:val="en-US" w:eastAsia="zh-CN"/>
        </w:rPr>
        <w:t>二</w:t>
      </w:r>
      <w:r>
        <w:rPr>
          <w:rFonts w:hint="eastAsia" w:ascii="楷体_GB2312" w:hAnsi="宋体" w:eastAsia="楷体_GB2312"/>
          <w:b/>
          <w:sz w:val="32"/>
          <w:szCs w:val="32"/>
          <w:lang w:val="zh-CN"/>
        </w:rPr>
        <w:t>）存在的问题</w:t>
      </w:r>
    </w:p>
    <w:p w14:paraId="480B8B93">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项目资金的预算编制准确率需要提高。项目资金的预算编制应多考察、论证，提高准确率。</w:t>
      </w:r>
    </w:p>
    <w:p w14:paraId="4DB80090">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w:t>
      </w:r>
      <w:r>
        <w:rPr>
          <w:rFonts w:hint="eastAsia" w:ascii="楷体_GB2312" w:hAnsi="宋体" w:eastAsia="楷体_GB2312"/>
          <w:b/>
          <w:sz w:val="32"/>
          <w:szCs w:val="32"/>
          <w:lang w:val="en-US" w:eastAsia="zh-CN"/>
        </w:rPr>
        <w:t>三</w:t>
      </w:r>
      <w:r>
        <w:rPr>
          <w:rFonts w:hint="eastAsia" w:ascii="楷体_GB2312" w:hAnsi="宋体" w:eastAsia="楷体_GB2312"/>
          <w:b/>
          <w:sz w:val="32"/>
          <w:szCs w:val="32"/>
          <w:lang w:val="zh-CN"/>
        </w:rPr>
        <w:t>）相关建议</w:t>
      </w:r>
    </w:p>
    <w:p w14:paraId="6AD7136B">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方正小标宋简体" w:hAnsi="方正小标宋简体" w:eastAsia="方正小标宋简体" w:cs="方正小标宋简体"/>
          <w:color w:val="auto"/>
          <w:kern w:val="2"/>
          <w:sz w:val="36"/>
          <w:szCs w:val="36"/>
          <w:lang w:val="en-US"/>
        </w:rPr>
      </w:pPr>
      <w:r>
        <w:rPr>
          <w:rFonts w:hint="eastAsia" w:ascii="仿宋_GB2312" w:hAnsi="仿宋_GB2312" w:eastAsia="仿宋_GB2312" w:cs="仿宋_GB2312"/>
          <w:kern w:val="0"/>
          <w:sz w:val="32"/>
          <w:szCs w:val="32"/>
          <w:shd w:val="clear" w:color="auto" w:fill="FFFFFF"/>
          <w:lang w:val="zh-CN"/>
        </w:rPr>
        <w:t>细化预算编制工作，认真做好预算的编制。进一步加强预算管理意识，严格按照预算编制的相关制度和要求进行预算编制；全面编制预算项目，优先保障固定性的、相对刚性的费用支出项目，尽量压缩变动性的、有控制空间的费用项目，进一步提高预算编制的科学性、严谨性和可控性。加强</w:t>
      </w:r>
      <w:r>
        <w:rPr>
          <w:rFonts w:hint="eastAsia" w:ascii="仿宋_GB2312" w:hAnsi="仿宋_GB2312" w:eastAsia="仿宋_GB2312" w:cs="仿宋_GB2312"/>
          <w:kern w:val="0"/>
          <w:sz w:val="32"/>
          <w:szCs w:val="32"/>
          <w:highlight w:val="none"/>
          <w:shd w:val="clear" w:color="auto" w:fill="FFFFFF"/>
          <w:lang w:val="zh-CN"/>
        </w:rPr>
        <w:t>内部预算编制的审核和预算控制指标的下达。</w:t>
      </w:r>
    </w:p>
    <w:p w14:paraId="2077947E">
      <w:pPr>
        <w:pStyle w:val="36"/>
        <w:keepNext w:val="0"/>
        <w:keepLines w:val="0"/>
        <w:pageBreakBefore w:val="0"/>
        <w:kinsoku/>
        <w:wordWrap/>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color w:val="auto"/>
          <w:kern w:val="2"/>
          <w:sz w:val="36"/>
          <w:szCs w:val="36"/>
          <w:lang w:val="en-US"/>
        </w:rPr>
      </w:pPr>
      <w:r>
        <w:rPr>
          <w:rFonts w:hint="eastAsia" w:ascii="方正小标宋简体" w:hAnsi="方正小标宋简体" w:eastAsia="方正小标宋简体" w:cs="方正小标宋简体"/>
          <w:color w:val="auto"/>
          <w:kern w:val="2"/>
          <w:sz w:val="36"/>
          <w:szCs w:val="36"/>
          <w:lang w:val="en-US"/>
        </w:rPr>
        <w:t>202</w:t>
      </w:r>
      <w:r>
        <w:rPr>
          <w:rFonts w:hint="default" w:ascii="方正小标宋简体" w:hAnsi="方正小标宋简体" w:eastAsia="方正小标宋简体" w:cs="方正小标宋简体"/>
          <w:color w:val="auto"/>
          <w:kern w:val="2"/>
          <w:sz w:val="36"/>
          <w:szCs w:val="36"/>
          <w:lang w:val="en-US"/>
        </w:rPr>
        <w:t>2</w:t>
      </w:r>
      <w:r>
        <w:rPr>
          <w:rFonts w:hint="eastAsia" w:ascii="方正小标宋简体" w:hAnsi="方正小标宋简体" w:eastAsia="方正小标宋简体" w:cs="方正小标宋简体"/>
          <w:color w:val="auto"/>
          <w:kern w:val="2"/>
          <w:sz w:val="36"/>
          <w:szCs w:val="36"/>
          <w:lang w:val="en-US"/>
        </w:rPr>
        <w:t>年</w:t>
      </w:r>
      <w:r>
        <w:rPr>
          <w:rFonts w:hint="eastAsia" w:ascii="方正小标宋简体" w:hAnsi="方正小标宋简体" w:eastAsia="方正小标宋简体" w:cs="方正小标宋简体"/>
          <w:color w:val="auto"/>
          <w:kern w:val="2"/>
          <w:sz w:val="36"/>
          <w:szCs w:val="36"/>
          <w:lang w:val="en-US" w:eastAsia="zh-CN"/>
        </w:rPr>
        <w:t>会计服务中心开办费</w:t>
      </w:r>
      <w:r>
        <w:rPr>
          <w:rFonts w:hint="eastAsia" w:ascii="方正小标宋简体" w:hAnsi="方正小标宋简体" w:eastAsia="方正小标宋简体" w:cs="方正小标宋简体"/>
          <w:color w:val="auto"/>
          <w:kern w:val="2"/>
          <w:sz w:val="36"/>
          <w:szCs w:val="36"/>
          <w:lang w:val="en-US"/>
        </w:rPr>
        <w:t>绩效自评报告</w:t>
      </w:r>
    </w:p>
    <w:p w14:paraId="2D77D2F4">
      <w:pPr>
        <w:pStyle w:val="36"/>
        <w:keepNext w:val="0"/>
        <w:keepLines w:val="0"/>
        <w:pageBreakBefore w:val="0"/>
        <w:kinsoku/>
        <w:wordWrap/>
        <w:overflowPunct/>
        <w:topLinePunct w:val="0"/>
        <w:autoSpaceDE/>
        <w:autoSpaceDN/>
        <w:bidi w:val="0"/>
        <w:spacing w:line="600" w:lineRule="exact"/>
        <w:ind w:firstLine="640"/>
        <w:jc w:val="center"/>
        <w:textAlignment w:val="auto"/>
        <w:rPr>
          <w:rFonts w:ascii="宋体" w:hAnsi="宋体"/>
          <w:color w:val="auto"/>
          <w:kern w:val="2"/>
          <w:sz w:val="32"/>
          <w:szCs w:val="32"/>
        </w:rPr>
      </w:pPr>
    </w:p>
    <w:p w14:paraId="2E2E2FB1">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14:paraId="09EB1A8F">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b/>
          <w:sz w:val="32"/>
          <w:szCs w:val="32"/>
          <w:lang w:val="en-US" w:eastAsia="zh-CN"/>
        </w:rPr>
      </w:pPr>
      <w:r>
        <w:rPr>
          <w:rFonts w:hint="eastAsia" w:ascii="楷体_GB2312" w:hAnsi="宋体" w:eastAsia="楷体_GB2312"/>
          <w:b/>
          <w:sz w:val="32"/>
          <w:szCs w:val="32"/>
          <w:lang w:val="zh-CN"/>
        </w:rPr>
        <w:t>（一）项目基本情况</w:t>
      </w:r>
    </w:p>
    <w:p w14:paraId="4F80E0F9">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kern w:val="0"/>
          <w:sz w:val="32"/>
          <w:szCs w:val="32"/>
          <w:shd w:val="clear" w:color="auto" w:fill="FFFFFF"/>
          <w:lang w:val="en-US" w:eastAsia="zh-CN"/>
        </w:rPr>
      </w:pPr>
      <w:r>
        <w:rPr>
          <w:rFonts w:hint="eastAsia" w:ascii="仿宋_GB2312" w:hAnsi="仿宋_GB2312" w:eastAsia="仿宋_GB2312" w:cs="仿宋_GB2312"/>
          <w:kern w:val="0"/>
          <w:sz w:val="32"/>
          <w:szCs w:val="32"/>
          <w:shd w:val="clear" w:color="auto" w:fill="FFFFFF"/>
          <w:lang w:val="en-US" w:eastAsia="zh-CN"/>
        </w:rPr>
        <w:t>为提高全市行政事业单位财务管理和会计核算水平，加强对财务工作重点环节的监督，确保财政资金规范、有序、高效运行，根据《中华人民共和国会计法》《中华人民共和国预算法》等相关法律法规，和中共峨眉山市委办公室 峨眉山市人民政府办公室关于印发《峨眉山市深化事业单位改革工作方案》（峨委办〔2021〕39号）、以及中共峨眉山市委机构编制委员会《关于调整市财政局事业单位机构编制事项的通知》（峨编发〔2021〕39号）文件精神，结合我市实际，自2022年1月1日起，由市会计服务中心开展全市行政事业单位委托代理记账工作。</w:t>
      </w:r>
    </w:p>
    <w:p w14:paraId="695FD4B9">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（二）项目绩效目标</w:t>
      </w:r>
    </w:p>
    <w:p w14:paraId="61EDED8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kern w:val="0"/>
          <w:sz w:val="32"/>
          <w:szCs w:val="32"/>
          <w:shd w:val="clear" w:color="auto" w:fill="FFFFFF"/>
          <w:lang w:val="zh-CN" w:eastAsia="zh-CN"/>
        </w:rPr>
        <w:t>1</w:t>
      </w:r>
      <w:r>
        <w:rPr>
          <w:rFonts w:hint="eastAsia" w:ascii="仿宋_GB2312" w:hAnsi="仿宋_GB2312" w:eastAsia="仿宋_GB2312" w:cs="仿宋_GB2312"/>
          <w:kern w:val="0"/>
          <w:sz w:val="32"/>
          <w:szCs w:val="32"/>
          <w:shd w:val="clear" w:color="auto" w:fill="FFFFFF"/>
          <w:lang w:val="en-US" w:eastAsia="zh-CN"/>
        </w:rPr>
        <w:t>.</w:t>
      </w:r>
      <w:r>
        <w:rPr>
          <w:rFonts w:hint="eastAsia" w:ascii="仿宋_GB2312" w:hAnsi="仿宋_GB2312" w:eastAsia="仿宋_GB2312" w:cs="仿宋_GB2312"/>
          <w:kern w:val="0"/>
          <w:sz w:val="32"/>
          <w:szCs w:val="32"/>
          <w:shd w:val="clear" w:color="auto" w:fill="FFFFFF"/>
          <w:lang w:val="zh-CN" w:eastAsia="zh-CN"/>
        </w:rPr>
        <w:t>项目主要内容。</w:t>
      </w:r>
      <w:r>
        <w:rPr>
          <w:rFonts w:hint="eastAsia" w:ascii="仿宋_GB2312" w:hAnsi="仿宋_GB2312" w:eastAsia="仿宋_GB2312" w:cs="仿宋_GB2312"/>
          <w:kern w:val="0"/>
          <w:sz w:val="32"/>
          <w:szCs w:val="32"/>
          <w:shd w:val="clear" w:color="auto" w:fill="FFFFFF"/>
          <w:lang w:val="en-US" w:eastAsia="zh-CN"/>
        </w:rPr>
        <w:t>根据《中华人民共和国会计法》、《中华人民共和国预算法》等相关法律法规，在明确会计法律责任主体，坚持财务自主权不变、资金所有权不变、资金使用权不变的原则下，与预算单位签订《行政事业单位委托代理记账协议》，开展代理记账服务，提高部门单位会计核算工作质量及准确性。规范报账程序及报账要素，预防财经领域违纪违法行为发生。及时提供财务报表等相关会计信息资料，促进预算单位财务公开、透明。</w:t>
      </w:r>
      <w:r>
        <w:rPr>
          <w:rFonts w:hint="eastAsia" w:ascii="仿宋_GB2312" w:hAnsi="仿宋_GB2312" w:eastAsia="仿宋_GB2312" w:cs="仿宋_GB2312"/>
          <w:sz w:val="32"/>
          <w:szCs w:val="32"/>
          <w:lang w:val="en-US" w:eastAsia="zh-CN"/>
        </w:rPr>
        <w:t>有效发挥财政职能作用、提高财政政策效率、维护财政资金安全。代理记账共有89个部门单位。</w:t>
      </w:r>
    </w:p>
    <w:p w14:paraId="2DC5F7C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zh-CN"/>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zh-CN"/>
        </w:rPr>
        <w:t>一是</w:t>
      </w:r>
      <w:r>
        <w:rPr>
          <w:rFonts w:hint="eastAsia" w:ascii="仿宋_GB2312" w:hAnsi="仿宋_GB2312" w:eastAsia="仿宋_GB2312" w:cs="仿宋_GB2312"/>
          <w:sz w:val="32"/>
          <w:szCs w:val="32"/>
          <w:lang w:val="en-US" w:eastAsia="zh-CN"/>
        </w:rPr>
        <w:t>产出指标权重50%，其中：数量指标权重10%，保障全市所有签约代理记账预算单位账务完成；质量指标权重10%，行政事业单位账务处理正确率；时效指标权重10%，按会计年度要求及时完成代理记账；成本指标权重10%，代理记账成本控制在80万元以内；安全指标权重10%，保障预算单位账务安全性。二是效益指标权重30%，其中：经济效益指标权重15%，提高财政资金使用绩效；社会效益指标15%，预防财经领域违纪违法行为发生。三是满意度指标权重10%，服务对象满意率≧95%。</w:t>
      </w:r>
    </w:p>
    <w:p w14:paraId="33663F6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zh-CN"/>
        </w:rPr>
        <w:t>该项目申报内容与实际相符，</w:t>
      </w:r>
      <w:r>
        <w:rPr>
          <w:rFonts w:hint="eastAsia" w:ascii="仿宋_GB2312" w:hAnsi="仿宋_GB2312" w:eastAsia="仿宋_GB2312" w:cs="仿宋_GB2312"/>
          <w:sz w:val="32"/>
          <w:szCs w:val="32"/>
          <w:lang w:val="en-US" w:eastAsia="zh-CN"/>
        </w:rPr>
        <w:t>绩效目标和绩效指标量化可考核，相匹配，全面完整，契合政策或项目实质，与会计服务中心的长期规划目标、年度工作目标相一致。</w:t>
      </w:r>
    </w:p>
    <w:p w14:paraId="48D6F92A">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（三）项目自评步骤及方法</w:t>
      </w:r>
    </w:p>
    <w:p w14:paraId="067C57A9">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我单位认真对照项目绩效评价指标体系，对开办费项目绩效目标管理、动态调整、完成结果、信息公开等方面进行了客观评价。</w:t>
      </w:r>
    </w:p>
    <w:p w14:paraId="32A90F3E">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黑体" w:hAnsi="宋体" w:eastAsia="黑体"/>
          <w:sz w:val="32"/>
          <w:szCs w:val="32"/>
        </w:rPr>
      </w:pPr>
      <w:r>
        <w:rPr>
          <w:rFonts w:hint="eastAsia" w:ascii="黑体" w:hAnsi="宋体" w:eastAsia="黑体"/>
          <w:sz w:val="32"/>
          <w:szCs w:val="32"/>
        </w:rPr>
        <w:t>二、项目资金申报及使用情况</w:t>
      </w:r>
    </w:p>
    <w:p w14:paraId="63539F2A">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（一）项目资金申报及批复情况</w:t>
      </w:r>
    </w:p>
    <w:p w14:paraId="77CF03F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zh-CN"/>
        </w:rPr>
        <w:t>开办费项目资金申报金额</w:t>
      </w:r>
      <w:r>
        <w:rPr>
          <w:rFonts w:hint="default" w:ascii="仿宋_GB2312" w:hAnsi="仿宋_GB2312" w:eastAsia="仿宋_GB2312" w:cs="仿宋_GB2312"/>
          <w:sz w:val="32"/>
          <w:szCs w:val="32"/>
          <w:lang w:val="en-US"/>
        </w:rPr>
        <w:t>80</w:t>
      </w:r>
      <w:r>
        <w:rPr>
          <w:rFonts w:hint="eastAsia" w:ascii="仿宋_GB2312" w:hAnsi="仿宋_GB2312" w:eastAsia="仿宋_GB2312" w:cs="仿宋_GB2312"/>
          <w:sz w:val="32"/>
          <w:szCs w:val="32"/>
          <w:lang w:val="en-US" w:eastAsia="zh-CN"/>
        </w:rPr>
        <w:t>万，人代会</w:t>
      </w:r>
      <w:r>
        <w:rPr>
          <w:rFonts w:hint="eastAsia" w:ascii="仿宋_GB2312" w:hAnsi="仿宋_GB2312" w:eastAsia="仿宋_GB2312" w:cs="仿宋_GB2312"/>
          <w:sz w:val="32"/>
          <w:szCs w:val="32"/>
          <w:lang w:val="zh-CN"/>
        </w:rPr>
        <w:t>批复</w:t>
      </w:r>
      <w:r>
        <w:rPr>
          <w:rFonts w:hint="default" w:ascii="仿宋_GB2312" w:hAnsi="仿宋_GB2312" w:eastAsia="仿宋_GB2312" w:cs="仿宋_GB2312"/>
          <w:sz w:val="32"/>
          <w:szCs w:val="32"/>
          <w:lang w:val="en-US"/>
        </w:rPr>
        <w:t>80</w:t>
      </w:r>
      <w:r>
        <w:rPr>
          <w:rFonts w:hint="eastAsia" w:ascii="仿宋_GB2312" w:hAnsi="仿宋_GB2312" w:eastAsia="仿宋_GB2312" w:cs="仿宋_GB2312"/>
          <w:sz w:val="32"/>
          <w:szCs w:val="32"/>
          <w:lang w:val="en-US" w:eastAsia="zh-CN"/>
        </w:rPr>
        <w:t>万。单位新成立，项目支出本着厉行节约和据实支出的原则，加强事业单位         项目经费管理，年中按程序进行了预算调整，全年预算调整为</w:t>
      </w:r>
      <w:r>
        <w:rPr>
          <w:rFonts w:hint="default" w:ascii="仿宋_GB2312" w:hAnsi="仿宋_GB2312" w:eastAsia="仿宋_GB2312" w:cs="仿宋_GB2312"/>
          <w:sz w:val="32"/>
          <w:szCs w:val="32"/>
          <w:lang w:val="en-US" w:eastAsia="zh-CN"/>
        </w:rPr>
        <w:t>24.57</w:t>
      </w:r>
      <w:r>
        <w:rPr>
          <w:rFonts w:hint="eastAsia" w:ascii="仿宋_GB2312" w:hAnsi="仿宋_GB2312" w:eastAsia="仿宋_GB2312" w:cs="仿宋_GB2312"/>
          <w:sz w:val="32"/>
          <w:szCs w:val="32"/>
          <w:lang w:val="en-US" w:eastAsia="zh-CN"/>
        </w:rPr>
        <w:t>万元。</w:t>
      </w:r>
    </w:p>
    <w:p w14:paraId="551A5277">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（二）资金计划、到位及使用情况</w:t>
      </w:r>
    </w:p>
    <w:p w14:paraId="2D7F000A">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1</w:t>
      </w:r>
      <w:r>
        <w:rPr>
          <w:rFonts w:hint="eastAsia" w:ascii="仿宋_GB2312" w:hAnsi="仿宋_GB2312" w:eastAsia="仿宋_GB2312" w:cs="仿宋_GB2312"/>
          <w:kern w:val="0"/>
          <w:sz w:val="32"/>
          <w:szCs w:val="32"/>
          <w:shd w:val="clear" w:color="auto" w:fill="FFFFFF"/>
          <w:lang w:val="en-US" w:eastAsia="zh-CN"/>
        </w:rPr>
        <w:t>.</w:t>
      </w:r>
      <w:r>
        <w:rPr>
          <w:rFonts w:hint="eastAsia" w:ascii="仿宋_GB2312" w:hAnsi="仿宋_GB2312" w:eastAsia="仿宋_GB2312" w:cs="仿宋_GB2312"/>
          <w:kern w:val="0"/>
          <w:sz w:val="32"/>
          <w:szCs w:val="32"/>
          <w:shd w:val="clear" w:color="auto" w:fill="FFFFFF"/>
          <w:lang w:val="zh-CN"/>
        </w:rPr>
        <w:t>资金计划。开办费项目资金预算来源为本级财政一般公共预算资金。</w:t>
      </w:r>
    </w:p>
    <w:p w14:paraId="11B67625">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2</w:t>
      </w:r>
      <w:r>
        <w:rPr>
          <w:rFonts w:hint="eastAsia" w:ascii="仿宋_GB2312" w:hAnsi="仿宋_GB2312" w:eastAsia="仿宋_GB2312" w:cs="仿宋_GB2312"/>
          <w:kern w:val="0"/>
          <w:sz w:val="32"/>
          <w:szCs w:val="32"/>
          <w:shd w:val="clear" w:color="auto" w:fill="FFFFFF"/>
          <w:lang w:val="en-US" w:eastAsia="zh-CN"/>
        </w:rPr>
        <w:t>.</w:t>
      </w:r>
      <w:r>
        <w:rPr>
          <w:rFonts w:hint="eastAsia" w:ascii="仿宋_GB2312" w:hAnsi="仿宋_GB2312" w:eastAsia="仿宋_GB2312" w:cs="仿宋_GB2312"/>
          <w:kern w:val="0"/>
          <w:sz w:val="32"/>
          <w:szCs w:val="32"/>
          <w:shd w:val="clear" w:color="auto" w:fill="FFFFFF"/>
          <w:lang w:val="zh-CN"/>
        </w:rPr>
        <w:t>资金到位。根据市人代会批复，到位即时。</w:t>
      </w:r>
    </w:p>
    <w:p w14:paraId="5D0CC0B8">
      <w:pPr>
        <w:keepNext w:val="0"/>
        <w:keepLines w:val="0"/>
        <w:pageBreakBefore w:val="0"/>
        <w:widowControl/>
        <w:suppressLineNumbers w:val="0"/>
        <w:kinsoku/>
        <w:wordWrap/>
        <w:overflowPunct/>
        <w:topLinePunct w:val="0"/>
        <w:autoSpaceDE/>
        <w:autoSpaceDN/>
        <w:bidi w:val="0"/>
        <w:spacing w:line="600" w:lineRule="exact"/>
        <w:ind w:firstLine="640" w:firstLineChars="200"/>
        <w:jc w:val="left"/>
        <w:textAlignment w:val="auto"/>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3</w:t>
      </w:r>
      <w:r>
        <w:rPr>
          <w:rFonts w:hint="eastAsia" w:ascii="仿宋_GB2312" w:hAnsi="仿宋_GB2312" w:eastAsia="仿宋_GB2312" w:cs="仿宋_GB2312"/>
          <w:kern w:val="0"/>
          <w:sz w:val="32"/>
          <w:szCs w:val="32"/>
          <w:shd w:val="clear" w:color="auto" w:fill="FFFFFF"/>
          <w:lang w:val="en-US" w:eastAsia="zh-CN"/>
        </w:rPr>
        <w:t>.</w:t>
      </w:r>
      <w:r>
        <w:rPr>
          <w:rFonts w:hint="eastAsia" w:ascii="仿宋_GB2312" w:hAnsi="仿宋_GB2312" w:eastAsia="仿宋_GB2312" w:cs="仿宋_GB2312"/>
          <w:kern w:val="0"/>
          <w:sz w:val="32"/>
          <w:szCs w:val="32"/>
          <w:shd w:val="clear" w:color="auto" w:fill="FFFFFF"/>
          <w:lang w:val="zh-CN"/>
        </w:rPr>
        <w:t>资金使用。</w:t>
      </w:r>
      <w:r>
        <w:rPr>
          <w:rFonts w:hint="eastAsia" w:ascii="仿宋_GB2312" w:hAnsi="仿宋_GB2312" w:eastAsia="仿宋_GB2312" w:cs="仿宋_GB2312"/>
          <w:sz w:val="32"/>
          <w:szCs w:val="32"/>
          <w:lang w:val="en-US" w:eastAsia="zh-CN"/>
        </w:rPr>
        <w:t>该项目调整后预算总金额为</w:t>
      </w:r>
      <w:r>
        <w:rPr>
          <w:rFonts w:hint="default" w:ascii="仿宋_GB2312" w:hAnsi="仿宋_GB2312" w:eastAsia="仿宋_GB2312" w:cs="仿宋_GB2312"/>
          <w:sz w:val="32"/>
          <w:szCs w:val="32"/>
          <w:lang w:val="en-US" w:eastAsia="zh-CN"/>
        </w:rPr>
        <w:t>24.57</w:t>
      </w:r>
      <w:r>
        <w:rPr>
          <w:rFonts w:hint="eastAsia" w:ascii="仿宋_GB2312" w:hAnsi="仿宋_GB2312" w:eastAsia="仿宋_GB2312" w:cs="仿宋_GB2312"/>
          <w:sz w:val="32"/>
          <w:szCs w:val="32"/>
          <w:lang w:val="en-US" w:eastAsia="zh-CN"/>
        </w:rPr>
        <w:t>万元，根据代理记账内容及成本，项目经费主要用于核算模块维护</w:t>
      </w:r>
      <w:r>
        <w:rPr>
          <w:rFonts w:hint="default" w:ascii="仿宋_GB2312" w:hAnsi="仿宋_GB2312" w:eastAsia="仿宋_GB2312" w:cs="仿宋_GB2312"/>
          <w:sz w:val="32"/>
          <w:szCs w:val="32"/>
          <w:lang w:val="en-US" w:eastAsia="zh-CN"/>
        </w:rPr>
        <w:t>3.4</w:t>
      </w:r>
      <w:r>
        <w:rPr>
          <w:rFonts w:hint="eastAsia" w:ascii="仿宋_GB2312" w:hAnsi="仿宋_GB2312" w:eastAsia="仿宋_GB2312" w:cs="仿宋_GB2312"/>
          <w:sz w:val="32"/>
          <w:szCs w:val="32"/>
          <w:lang w:val="en-US" w:eastAsia="zh-CN"/>
        </w:rPr>
        <w:t>万元；工行办公场地租金</w:t>
      </w:r>
      <w:r>
        <w:rPr>
          <w:rFonts w:hint="default"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lang w:val="en-US" w:eastAsia="zh-CN"/>
        </w:rPr>
        <w:t>万元；电脑打印机装订机等耗材约</w:t>
      </w:r>
      <w:r>
        <w:rPr>
          <w:rFonts w:hint="default" w:ascii="仿宋_GB2312" w:hAnsi="仿宋_GB2312" w:eastAsia="仿宋_GB2312" w:cs="仿宋_GB2312"/>
          <w:sz w:val="32"/>
          <w:szCs w:val="32"/>
          <w:lang w:val="en-US" w:eastAsia="zh-CN"/>
        </w:rPr>
        <w:t>11.31</w:t>
      </w:r>
      <w:r>
        <w:rPr>
          <w:rFonts w:hint="eastAsia" w:ascii="仿宋_GB2312" w:hAnsi="仿宋_GB2312" w:eastAsia="仿宋_GB2312" w:cs="仿宋_GB2312"/>
          <w:sz w:val="32"/>
          <w:szCs w:val="32"/>
          <w:lang w:val="en-US" w:eastAsia="zh-CN"/>
        </w:rPr>
        <w:t>万元；打印纸购买、印刷专用报销凭证、凭证封面等约</w:t>
      </w:r>
      <w:r>
        <w:rPr>
          <w:rFonts w:hint="default" w:ascii="仿宋_GB2312" w:hAnsi="仿宋_GB2312" w:eastAsia="仿宋_GB2312" w:cs="仿宋_GB2312"/>
          <w:sz w:val="32"/>
          <w:szCs w:val="32"/>
          <w:lang w:val="en-US" w:eastAsia="zh-CN"/>
        </w:rPr>
        <w:t>0.85</w:t>
      </w:r>
      <w:r>
        <w:rPr>
          <w:rFonts w:hint="eastAsia" w:ascii="仿宋_GB2312" w:hAnsi="仿宋_GB2312" w:eastAsia="仿宋_GB2312" w:cs="仿宋_GB2312"/>
          <w:sz w:val="32"/>
          <w:szCs w:val="32"/>
          <w:lang w:val="en-US" w:eastAsia="zh-CN"/>
        </w:rPr>
        <w:t>万元；办公用品、保洁、专网使用费等约</w:t>
      </w:r>
      <w:r>
        <w:rPr>
          <w:rFonts w:hint="default" w:ascii="仿宋_GB2312" w:hAnsi="仿宋_GB2312" w:eastAsia="仿宋_GB2312" w:cs="仿宋_GB2312"/>
          <w:sz w:val="32"/>
          <w:szCs w:val="32"/>
          <w:lang w:val="en-US" w:eastAsia="zh-CN"/>
        </w:rPr>
        <w:t>4.11</w:t>
      </w:r>
      <w:r>
        <w:rPr>
          <w:rFonts w:hint="eastAsia" w:ascii="仿宋_GB2312" w:hAnsi="仿宋_GB2312" w:eastAsia="仿宋_GB2312" w:cs="仿宋_GB2312"/>
          <w:sz w:val="32"/>
          <w:szCs w:val="32"/>
          <w:lang w:val="en-US" w:eastAsia="zh-CN"/>
        </w:rPr>
        <w:t>万元；其他业务等方面约</w:t>
      </w:r>
      <w:r>
        <w:rPr>
          <w:rFonts w:hint="default" w:ascii="仿宋_GB2312" w:hAnsi="仿宋_GB2312" w:eastAsia="仿宋_GB2312" w:cs="仿宋_GB2312"/>
          <w:sz w:val="32"/>
          <w:szCs w:val="32"/>
          <w:lang w:val="en-US" w:eastAsia="zh-CN"/>
        </w:rPr>
        <w:t>3.4</w:t>
      </w:r>
      <w:r>
        <w:rPr>
          <w:rFonts w:hint="eastAsia" w:ascii="仿宋_GB2312" w:hAnsi="仿宋_GB2312" w:eastAsia="仿宋_GB2312" w:cs="仿宋_GB2312"/>
          <w:sz w:val="32"/>
          <w:szCs w:val="32"/>
          <w:lang w:val="en-US" w:eastAsia="zh-CN"/>
        </w:rPr>
        <w:t>万元。利用一体化系统来约束和规范财政资金管理，加强对财务工作重点环节的监督，审核中发现问题及时与单位报账员沟通，及时整改，及时支付，确保财政资金规范、有序、高效运行。</w:t>
      </w:r>
    </w:p>
    <w:p w14:paraId="0E1FA2FB">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（三）项目财务管理情况</w:t>
      </w:r>
    </w:p>
    <w:p w14:paraId="7020E694">
      <w:pPr>
        <w:keepNext w:val="0"/>
        <w:keepLines w:val="0"/>
        <w:pageBreakBefore w:val="0"/>
        <w:widowControl/>
        <w:suppressLineNumbers w:val="0"/>
        <w:kinsoku/>
        <w:wordWrap/>
        <w:overflowPunct/>
        <w:topLinePunct w:val="0"/>
        <w:autoSpaceDE/>
        <w:autoSpaceDN/>
        <w:bidi w:val="0"/>
        <w:spacing w:line="600" w:lineRule="exact"/>
        <w:ind w:firstLine="640" w:firstLineChars="200"/>
        <w:jc w:val="left"/>
        <w:textAlignment w:val="auto"/>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我单位财务管理制度健全，严格执行财务管理制度，账务处理及时，会计核算规范。</w:t>
      </w:r>
    </w:p>
    <w:p w14:paraId="263A7F34">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黑体" w:hAnsi="宋体" w:eastAsia="黑体"/>
          <w:sz w:val="32"/>
          <w:szCs w:val="32"/>
        </w:rPr>
      </w:pPr>
      <w:r>
        <w:rPr>
          <w:rFonts w:hint="eastAsia" w:ascii="黑体" w:hAnsi="宋体" w:eastAsia="黑体"/>
          <w:sz w:val="32"/>
          <w:szCs w:val="32"/>
        </w:rPr>
        <w:t>三、项目实施及管理情况</w:t>
      </w:r>
    </w:p>
    <w:p w14:paraId="683016DE">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（一）项目组织架构及实施流程</w:t>
      </w:r>
    </w:p>
    <w:p w14:paraId="30E9012A">
      <w:pPr>
        <w:keepNext w:val="0"/>
        <w:keepLines w:val="0"/>
        <w:pageBreakBefore w:val="0"/>
        <w:widowControl/>
        <w:suppressLineNumbers w:val="0"/>
        <w:kinsoku/>
        <w:wordWrap/>
        <w:overflowPunct/>
        <w:topLinePunct w:val="0"/>
        <w:autoSpaceDE/>
        <w:autoSpaceDN/>
        <w:bidi w:val="0"/>
        <w:spacing w:line="600" w:lineRule="exact"/>
        <w:ind w:firstLine="640" w:firstLineChars="200"/>
        <w:jc w:val="left"/>
        <w:textAlignment w:val="auto"/>
        <w:rPr>
          <w:rFonts w:ascii="楷体_GB2312" w:hAnsi="宋体" w:eastAsia="楷体_GB2312"/>
          <w:b w:val="0"/>
          <w:bCs/>
          <w:sz w:val="32"/>
          <w:szCs w:val="32"/>
          <w:lang w:val="zh-CN"/>
        </w:rPr>
      </w:pPr>
      <w:r>
        <w:rPr>
          <w:rFonts w:hint="eastAsia" w:ascii="仿宋_GB2312" w:hAnsi="仿宋_GB2312" w:eastAsia="仿宋_GB2312" w:cs="仿宋_GB2312"/>
          <w:b w:val="0"/>
          <w:bCs/>
          <w:sz w:val="32"/>
          <w:szCs w:val="32"/>
          <w:lang w:val="zh-CN" w:eastAsia="zh-CN"/>
        </w:rPr>
        <w:t>我单位</w:t>
      </w:r>
      <w:r>
        <w:rPr>
          <w:rFonts w:hint="eastAsia" w:ascii="仿宋_GB2312" w:hAnsi="仿宋_GB2312" w:eastAsia="仿宋_GB2312" w:cs="仿宋_GB2312"/>
          <w:b w:val="0"/>
          <w:bCs/>
          <w:sz w:val="32"/>
          <w:szCs w:val="32"/>
          <w:lang w:val="en-US" w:eastAsia="zh-CN"/>
        </w:rPr>
        <w:t>目前组织机构健全、人员职责分工明确、有年度工作计划和明确的工作程序、办公条</w:t>
      </w:r>
      <w:r>
        <w:rPr>
          <w:rFonts w:hint="eastAsia" w:ascii="仿宋_GB2312" w:hAnsi="仿宋_GB2312" w:eastAsia="仿宋_GB2312" w:cs="仿宋_GB2312"/>
          <w:b w:val="0"/>
          <w:bCs/>
          <w:sz w:val="32"/>
          <w:szCs w:val="32"/>
          <w:highlight w:val="none"/>
          <w:lang w:val="en-US" w:eastAsia="zh-CN"/>
        </w:rPr>
        <w:t>件及人员配备完全能满足代理记账业务工作要求，项目实施方案可行。</w:t>
      </w:r>
    </w:p>
    <w:p w14:paraId="307E96B2">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（二）项目管理情况</w:t>
      </w:r>
    </w:p>
    <w:p w14:paraId="557BB7FB">
      <w:pPr>
        <w:keepNext w:val="0"/>
        <w:keepLines w:val="0"/>
        <w:pageBreakBefore w:val="0"/>
        <w:widowControl/>
        <w:suppressLineNumbers w:val="0"/>
        <w:kinsoku/>
        <w:wordWrap/>
        <w:overflowPunct/>
        <w:topLinePunct w:val="0"/>
        <w:autoSpaceDE/>
        <w:autoSpaceDN/>
        <w:bidi w:val="0"/>
        <w:spacing w:line="600" w:lineRule="exact"/>
        <w:ind w:firstLine="640" w:firstLineChars="200"/>
        <w:jc w:val="left"/>
        <w:textAlignment w:val="auto"/>
        <w:rPr>
          <w:rFonts w:hint="eastAsia" w:ascii="仿宋_GB2312" w:hAnsi="仿宋_GB2312" w:eastAsia="仿宋_GB2312" w:cs="仿宋_GB2312"/>
          <w:b w:val="0"/>
          <w:bCs/>
          <w:sz w:val="32"/>
          <w:szCs w:val="32"/>
          <w:lang w:val="zh-CN" w:eastAsia="zh-CN"/>
        </w:rPr>
      </w:pPr>
      <w:r>
        <w:rPr>
          <w:rFonts w:hint="eastAsia" w:ascii="仿宋_GB2312" w:hAnsi="仿宋_GB2312" w:eastAsia="仿宋_GB2312" w:cs="仿宋_GB2312"/>
          <w:b w:val="0"/>
          <w:bCs/>
          <w:sz w:val="32"/>
          <w:szCs w:val="32"/>
          <w:lang w:val="zh-CN" w:eastAsia="zh-CN"/>
        </w:rPr>
        <w:t>我单位该项目严格按照财经法规要求进行管理，无预算不支出，并进行期中项目绩效评价，结合项目特点及时进行预算调整。</w:t>
      </w:r>
    </w:p>
    <w:p w14:paraId="69608524">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（三）项目监管情况</w:t>
      </w:r>
    </w:p>
    <w:p w14:paraId="691FE1B8">
      <w:pPr>
        <w:keepNext w:val="0"/>
        <w:keepLines w:val="0"/>
        <w:pageBreakBefore w:val="0"/>
        <w:widowControl/>
        <w:suppressLineNumbers w:val="0"/>
        <w:kinsoku/>
        <w:wordWrap/>
        <w:overflowPunct/>
        <w:topLinePunct w:val="0"/>
        <w:autoSpaceDE/>
        <w:autoSpaceDN/>
        <w:bidi w:val="0"/>
        <w:spacing w:line="600" w:lineRule="exact"/>
        <w:ind w:firstLine="640" w:firstLineChars="200"/>
        <w:jc w:val="left"/>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zh-CN" w:eastAsia="zh-CN"/>
        </w:rPr>
        <w:t>严格按照局党组规定的报销流程，规范项目相关支出，超过一万元的大额支出，上报局党组会。</w:t>
      </w:r>
      <w:r>
        <w:rPr>
          <w:rFonts w:hint="default" w:ascii="仿宋_GB2312" w:hAnsi="仿宋_GB2312" w:eastAsia="仿宋_GB2312" w:cs="仿宋_GB2312"/>
          <w:b w:val="0"/>
          <w:bCs/>
          <w:sz w:val="32"/>
          <w:szCs w:val="32"/>
          <w:lang w:val="en-US" w:eastAsia="zh-CN"/>
        </w:rPr>
        <w:t xml:space="preserve">  </w:t>
      </w:r>
    </w:p>
    <w:p w14:paraId="2E482864">
      <w:pPr>
        <w:keepNext w:val="0"/>
        <w:keepLines w:val="0"/>
        <w:pageBreakBefore w:val="0"/>
        <w:kinsoku/>
        <w:wordWrap/>
        <w:overflowPunct/>
        <w:topLinePunct w:val="0"/>
        <w:autoSpaceDE/>
        <w:autoSpaceDN/>
        <w:bidi w:val="0"/>
        <w:adjustRightInd w:val="0"/>
        <w:snapToGrid w:val="0"/>
        <w:spacing w:line="600" w:lineRule="exact"/>
        <w:ind w:firstLine="960" w:firstLineChars="300"/>
        <w:textAlignment w:val="auto"/>
        <w:rPr>
          <w:rFonts w:ascii="仿宋_GB2312" w:hAnsi="宋体"/>
          <w:sz w:val="32"/>
          <w:szCs w:val="32"/>
          <w:lang w:val="zh-CN"/>
        </w:rPr>
      </w:pPr>
      <w:r>
        <w:rPr>
          <w:rFonts w:hint="eastAsia" w:ascii="黑体" w:hAnsi="宋体" w:eastAsia="黑体"/>
          <w:sz w:val="32"/>
          <w:szCs w:val="32"/>
        </w:rPr>
        <w:t>四、项目绩效情况</w:t>
      </w:r>
      <w:r>
        <w:rPr>
          <w:rFonts w:hint="eastAsia" w:ascii="仿宋_GB2312" w:hAnsi="宋体"/>
          <w:sz w:val="32"/>
          <w:szCs w:val="32"/>
          <w:lang w:val="zh-CN"/>
        </w:rPr>
        <w:tab/>
      </w:r>
    </w:p>
    <w:p w14:paraId="3780391E">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（一）项目完成情况</w:t>
      </w:r>
    </w:p>
    <w:p w14:paraId="45830907">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kern w:val="0"/>
          <w:sz w:val="32"/>
          <w:szCs w:val="32"/>
          <w:shd w:val="clear" w:color="auto" w:fill="FFFFFF"/>
          <w:lang w:val="zh-CN" w:eastAsia="zh-CN"/>
        </w:rPr>
      </w:pPr>
      <w:r>
        <w:rPr>
          <w:rFonts w:hint="eastAsia" w:ascii="仿宋_GB2312" w:hAnsi="仿宋_GB2312" w:eastAsia="仿宋_GB2312" w:cs="仿宋_GB2312"/>
          <w:b w:val="0"/>
          <w:bCs/>
          <w:kern w:val="0"/>
          <w:sz w:val="32"/>
          <w:szCs w:val="32"/>
          <w:shd w:val="clear" w:color="auto" w:fill="FFFFFF"/>
          <w:lang w:val="zh-CN" w:eastAsia="zh-CN"/>
        </w:rPr>
        <w:t>该项目数量指标方面，</w:t>
      </w:r>
      <w:r>
        <w:rPr>
          <w:rFonts w:hint="eastAsia" w:ascii="仿宋_GB2312" w:hAnsi="仿宋_GB2312" w:eastAsia="仿宋_GB2312" w:cs="仿宋_GB2312"/>
          <w:b w:val="0"/>
          <w:bCs/>
          <w:kern w:val="0"/>
          <w:sz w:val="32"/>
          <w:szCs w:val="32"/>
          <w:shd w:val="clear" w:color="auto" w:fill="FFFFFF"/>
          <w:lang w:val="en-US" w:eastAsia="zh-CN"/>
        </w:rPr>
        <w:t>保障了全市所有代理记账预算单位账务完成，同时指导乡镇、教育系统、卫健系统及时完成一体化核算任务；质量指标方面，账务处理正确率较高，圆满完成省厅考核任务；时效指标方面，按会计年度要求及时完成</w:t>
      </w:r>
      <w:r>
        <w:rPr>
          <w:rFonts w:hint="eastAsia" w:ascii="仿宋_GB2312" w:hAnsi="仿宋_GB2312" w:eastAsia="仿宋_GB2312" w:cs="仿宋_GB2312"/>
          <w:b w:val="0"/>
          <w:bCs/>
          <w:sz w:val="32"/>
          <w:szCs w:val="32"/>
          <w:lang w:eastAsia="zh-CN"/>
        </w:rPr>
        <w:t>账务月结、年结，会计凭证装订，会计档案归档整理及</w:t>
      </w:r>
      <w:r>
        <w:rPr>
          <w:rFonts w:hint="eastAsia" w:ascii="仿宋_GB2312" w:hAnsi="仿宋_GB2312" w:eastAsia="仿宋_GB2312" w:cs="仿宋_GB2312"/>
          <w:b w:val="0"/>
          <w:bCs/>
          <w:kern w:val="0"/>
          <w:sz w:val="32"/>
          <w:szCs w:val="32"/>
          <w:shd w:val="clear" w:color="auto" w:fill="FFFFFF"/>
          <w:lang w:val="en-US" w:eastAsia="zh-CN"/>
        </w:rPr>
        <w:t>移交；成本指标方面，本着厉行节约和据实支出的原则，加强事业单位项目经费管理，年中按程序进行了预算调整，全年预算调整为</w:t>
      </w:r>
      <w:r>
        <w:rPr>
          <w:rFonts w:hint="default" w:ascii="仿宋_GB2312" w:hAnsi="仿宋_GB2312" w:eastAsia="仿宋_GB2312" w:cs="仿宋_GB2312"/>
          <w:b w:val="0"/>
          <w:bCs/>
          <w:kern w:val="0"/>
          <w:sz w:val="32"/>
          <w:szCs w:val="32"/>
          <w:shd w:val="clear" w:color="auto" w:fill="FFFFFF"/>
          <w:lang w:val="en-US" w:eastAsia="zh-CN"/>
        </w:rPr>
        <w:t>24.57</w:t>
      </w:r>
      <w:r>
        <w:rPr>
          <w:rFonts w:hint="eastAsia" w:ascii="仿宋_GB2312" w:hAnsi="仿宋_GB2312" w:eastAsia="仿宋_GB2312" w:cs="仿宋_GB2312"/>
          <w:b w:val="0"/>
          <w:bCs/>
          <w:kern w:val="0"/>
          <w:sz w:val="32"/>
          <w:szCs w:val="32"/>
          <w:shd w:val="clear" w:color="auto" w:fill="FFFFFF"/>
          <w:lang w:val="en-US" w:eastAsia="zh-CN"/>
        </w:rPr>
        <w:t>万元；安全指标方面，加强对中心干部职工的廉政教育和管理，恪守职业道德，严守工作秘密，保障了预算单位账务安全性。</w:t>
      </w:r>
    </w:p>
    <w:p w14:paraId="74B52BA6">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（二）项目效益情况</w:t>
      </w:r>
      <w:bookmarkStart w:id="103" w:name="_GoBack"/>
      <w:bookmarkEnd w:id="103"/>
    </w:p>
    <w:p w14:paraId="2159B1DB">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textAlignment w:val="auto"/>
        <w:rPr>
          <w:rFonts w:hint="eastAsia" w:ascii="仿宋_GB2312" w:hAnsi="仿宋_GB2312" w:eastAsia="仿宋_GB2312" w:cs="仿宋_GB2312"/>
          <w:b w:val="0"/>
          <w:bCs/>
          <w:kern w:val="0"/>
          <w:sz w:val="32"/>
          <w:szCs w:val="32"/>
          <w:shd w:val="clear" w:color="auto" w:fill="FFFFFF"/>
          <w:lang w:val="zh-CN"/>
        </w:rPr>
      </w:pPr>
      <w:r>
        <w:rPr>
          <w:rFonts w:hint="eastAsia" w:ascii="仿宋_GB2312" w:hAnsi="仿宋_GB2312" w:eastAsia="仿宋_GB2312" w:cs="仿宋_GB2312"/>
          <w:b w:val="0"/>
          <w:bCs/>
          <w:kern w:val="0"/>
          <w:sz w:val="32"/>
          <w:szCs w:val="32"/>
          <w:shd w:val="clear" w:color="auto" w:fill="FFFFFF"/>
          <w:lang w:val="zh-CN"/>
        </w:rPr>
        <w:t>该项目从经济效益指标来看，</w:t>
      </w:r>
      <w:r>
        <w:rPr>
          <w:rFonts w:hint="eastAsia" w:ascii="仿宋_GB2312" w:hAnsi="仿宋_GB2312" w:eastAsia="仿宋_GB2312" w:cs="仿宋_GB2312"/>
          <w:b w:val="0"/>
          <w:bCs/>
          <w:kern w:val="0"/>
          <w:sz w:val="32"/>
          <w:szCs w:val="32"/>
          <w:shd w:val="clear" w:color="auto" w:fill="FFFFFF"/>
          <w:lang w:val="en-US" w:eastAsia="zh-CN"/>
        </w:rPr>
        <w:t>提高了财政资金使用绩效</w:t>
      </w:r>
      <w:r>
        <w:rPr>
          <w:rFonts w:hint="eastAsia" w:ascii="仿宋_GB2312" w:hAnsi="仿宋_GB2312" w:eastAsia="仿宋_GB2312" w:cs="仿宋_GB2312"/>
          <w:b w:val="0"/>
          <w:bCs/>
          <w:kern w:val="0"/>
          <w:sz w:val="32"/>
          <w:szCs w:val="32"/>
          <w:shd w:val="clear" w:color="auto" w:fill="FFFFFF"/>
          <w:lang w:val="zh-CN"/>
        </w:rPr>
        <w:t>；从社会效益指标来看，对</w:t>
      </w:r>
      <w:r>
        <w:rPr>
          <w:rFonts w:hint="eastAsia" w:ascii="仿宋_GB2312" w:hAnsi="仿宋_GB2312" w:eastAsia="仿宋_GB2312" w:cs="仿宋_GB2312"/>
          <w:b w:val="0"/>
          <w:bCs/>
          <w:kern w:val="0"/>
          <w:sz w:val="32"/>
          <w:szCs w:val="32"/>
          <w:shd w:val="clear" w:color="auto" w:fill="FFFFFF"/>
          <w:lang w:val="en-US" w:eastAsia="zh-CN"/>
        </w:rPr>
        <w:t>预防财经领域违纪违法行为发生，起到了重要作用</w:t>
      </w:r>
      <w:r>
        <w:rPr>
          <w:rFonts w:hint="eastAsia" w:ascii="仿宋_GB2312" w:hAnsi="仿宋_GB2312" w:eastAsia="仿宋_GB2312" w:cs="仿宋_GB2312"/>
          <w:b w:val="0"/>
          <w:bCs/>
          <w:kern w:val="0"/>
          <w:sz w:val="32"/>
          <w:szCs w:val="32"/>
          <w:shd w:val="clear" w:color="auto" w:fill="FFFFFF"/>
          <w:lang w:val="zh-CN"/>
        </w:rPr>
        <w:t>、从服务对象满意度指标来看，代理记账的各行政事业单位满意度都较高。</w:t>
      </w:r>
    </w:p>
    <w:p w14:paraId="26A0A5E1">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黑体" w:hAnsi="宋体" w:eastAsia="黑体"/>
          <w:sz w:val="32"/>
          <w:szCs w:val="32"/>
        </w:rPr>
      </w:pPr>
      <w:r>
        <w:rPr>
          <w:rFonts w:hint="eastAsia" w:ascii="黑体" w:hAnsi="宋体" w:eastAsia="黑体"/>
          <w:sz w:val="32"/>
          <w:szCs w:val="32"/>
        </w:rPr>
        <w:t>五、评价结论及建议</w:t>
      </w:r>
    </w:p>
    <w:p w14:paraId="009B6EAC">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（一）评价结论</w:t>
      </w:r>
    </w:p>
    <w:p w14:paraId="1446B030">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textAlignment w:val="auto"/>
        <w:rPr>
          <w:rFonts w:hint="default" w:ascii="仿宋_GB2312" w:hAnsi="仿宋_GB2312" w:eastAsia="仿宋_GB2312" w:cs="仿宋_GB2312"/>
          <w:b w:val="0"/>
          <w:bCs/>
          <w:kern w:val="0"/>
          <w:sz w:val="32"/>
          <w:szCs w:val="32"/>
          <w:shd w:val="clear" w:color="auto" w:fill="FFFFFF"/>
          <w:lang w:val="en-US" w:eastAsia="zh-CN"/>
        </w:rPr>
      </w:pPr>
      <w:r>
        <w:rPr>
          <w:rFonts w:hint="eastAsia" w:ascii="仿宋_GB2312" w:hAnsi="仿宋_GB2312" w:eastAsia="仿宋_GB2312" w:cs="仿宋_GB2312"/>
          <w:b w:val="0"/>
          <w:bCs/>
          <w:kern w:val="0"/>
          <w:sz w:val="32"/>
          <w:szCs w:val="32"/>
          <w:shd w:val="clear" w:color="auto" w:fill="FFFFFF"/>
          <w:lang w:val="en-US" w:eastAsia="zh-CN"/>
        </w:rPr>
        <w:t>项目自评总分100分。2022年截至12月7日共完成代理记账单位财政资金32825笔，36.91亿元资金支付。出具书面提示单5份，涉及资金23.55万元；口头或电话提示80余次，涉及资金1200余万元。通过代理记账，进一步增强了部门单位遵守财经法律法规的意识，一些超标准、不合规的支出明显减少，确保了财政资金规范、有序、高效运行。</w:t>
      </w:r>
      <w:r>
        <w:rPr>
          <w:rFonts w:hint="default" w:ascii="仿宋_GB2312" w:hAnsi="仿宋_GB2312" w:eastAsia="仿宋_GB2312" w:cs="仿宋_GB2312"/>
          <w:b w:val="0"/>
          <w:bCs/>
          <w:kern w:val="0"/>
          <w:sz w:val="32"/>
          <w:szCs w:val="32"/>
          <w:shd w:val="clear" w:color="auto" w:fill="FFFFFF"/>
          <w:lang w:val="en-US" w:eastAsia="zh-CN"/>
        </w:rPr>
        <w:t xml:space="preserve">      </w:t>
      </w:r>
    </w:p>
    <w:p w14:paraId="570230AD">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（二）存在的问题</w:t>
      </w:r>
    </w:p>
    <w:p w14:paraId="736A747C">
      <w:pPr>
        <w:keepNext w:val="0"/>
        <w:keepLines w:val="0"/>
        <w:pageBreakBefore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b w:val="0"/>
          <w:bCs/>
          <w:kern w:val="0"/>
          <w:sz w:val="32"/>
          <w:szCs w:val="32"/>
          <w:shd w:val="clear" w:color="auto" w:fill="FFFFFF"/>
          <w:lang w:val="en-US" w:eastAsia="zh-CN"/>
        </w:rPr>
      </w:pPr>
      <w:r>
        <w:rPr>
          <w:rFonts w:hint="eastAsia" w:ascii="仿宋_GB2312" w:hAnsi="仿宋_GB2312" w:eastAsia="仿宋_GB2312" w:cs="仿宋_GB2312"/>
          <w:b w:val="0"/>
          <w:bCs/>
          <w:kern w:val="0"/>
          <w:sz w:val="32"/>
          <w:szCs w:val="32"/>
          <w:shd w:val="clear" w:color="auto" w:fill="FFFFFF"/>
          <w:lang w:val="en-US" w:eastAsia="zh-CN"/>
        </w:rPr>
        <w:t>预算一体化系统有待完善，加强单位财经知识普及。</w:t>
      </w:r>
    </w:p>
    <w:p w14:paraId="2D234BD8">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（三）相关建议</w:t>
      </w:r>
    </w:p>
    <w:p w14:paraId="4131614D">
      <w:pPr>
        <w:keepNext w:val="0"/>
        <w:keepLines w:val="0"/>
        <w:pageBreakBefore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b w:val="0"/>
          <w:bCs/>
          <w:kern w:val="0"/>
          <w:sz w:val="32"/>
          <w:szCs w:val="32"/>
          <w:shd w:val="clear" w:color="auto" w:fill="FFFFFF"/>
          <w:lang w:val="en-US" w:eastAsia="zh-CN"/>
        </w:rPr>
      </w:pPr>
      <w:r>
        <w:rPr>
          <w:rFonts w:hint="eastAsia" w:ascii="仿宋_GB2312" w:hAnsi="仿宋_GB2312" w:eastAsia="仿宋_GB2312" w:cs="仿宋_GB2312"/>
          <w:b w:val="0"/>
          <w:bCs/>
          <w:kern w:val="0"/>
          <w:sz w:val="32"/>
          <w:szCs w:val="32"/>
          <w:shd w:val="clear" w:color="auto" w:fill="FFFFFF"/>
          <w:lang w:val="en-US" w:eastAsia="zh-CN"/>
        </w:rPr>
        <w:t>我单位将针对预算一体化中的单位核算模块，积极与预算股、国库股、软件公司等各方协调，及时上报并解决运行中的问题。进一步优化完善实施方案和绩效目标，加强运行监控，节约财政资金并提升资金效益，提升预算绩效管理水平。</w:t>
      </w:r>
    </w:p>
    <w:p w14:paraId="7F50FEC8">
      <w:pPr>
        <w:spacing w:line="600" w:lineRule="exact"/>
        <w:jc w:val="center"/>
        <w:outlineLvl w:val="0"/>
        <w:rPr>
          <w:rFonts w:hint="eastAsia" w:ascii="黑体" w:hAnsi="黑体" w:eastAsia="黑体"/>
          <w:sz w:val="44"/>
          <w:szCs w:val="44"/>
        </w:rPr>
      </w:pPr>
      <w:bookmarkStart w:id="75" w:name="_Toc15396618"/>
      <w:bookmarkStart w:id="76" w:name="_Toc15291"/>
    </w:p>
    <w:p w14:paraId="6D292AE6">
      <w:pPr>
        <w:spacing w:line="600" w:lineRule="exact"/>
        <w:jc w:val="center"/>
        <w:outlineLvl w:val="0"/>
        <w:rPr>
          <w:rFonts w:hint="eastAsia" w:ascii="黑体" w:hAnsi="黑体" w:eastAsia="黑体"/>
          <w:sz w:val="44"/>
          <w:szCs w:val="44"/>
        </w:rPr>
      </w:pPr>
    </w:p>
    <w:p w14:paraId="5C0B8B55">
      <w:pPr>
        <w:spacing w:line="600" w:lineRule="exact"/>
        <w:jc w:val="center"/>
        <w:outlineLvl w:val="0"/>
        <w:rPr>
          <w:rFonts w:hint="eastAsia" w:ascii="黑体" w:hAnsi="黑体" w:eastAsia="黑体"/>
          <w:sz w:val="44"/>
          <w:szCs w:val="44"/>
        </w:rPr>
      </w:pPr>
    </w:p>
    <w:p w14:paraId="133C4354">
      <w:pPr>
        <w:pStyle w:val="9"/>
        <w:rPr>
          <w:rFonts w:hint="eastAsia" w:ascii="黑体" w:hAnsi="黑体" w:eastAsia="黑体"/>
          <w:sz w:val="44"/>
          <w:szCs w:val="44"/>
        </w:rPr>
      </w:pPr>
    </w:p>
    <w:p w14:paraId="65B73A01">
      <w:pPr>
        <w:pStyle w:val="9"/>
        <w:rPr>
          <w:rFonts w:hint="eastAsia" w:ascii="黑体" w:hAnsi="黑体" w:eastAsia="黑体"/>
          <w:sz w:val="44"/>
          <w:szCs w:val="44"/>
        </w:rPr>
      </w:pPr>
    </w:p>
    <w:p w14:paraId="66898F51">
      <w:pPr>
        <w:pStyle w:val="9"/>
        <w:rPr>
          <w:rFonts w:hint="eastAsia" w:ascii="黑体" w:hAnsi="黑体" w:eastAsia="黑体"/>
          <w:sz w:val="44"/>
          <w:szCs w:val="44"/>
        </w:rPr>
      </w:pPr>
    </w:p>
    <w:p w14:paraId="273D184A">
      <w:pPr>
        <w:pStyle w:val="9"/>
        <w:rPr>
          <w:rFonts w:hint="eastAsia" w:ascii="黑体" w:hAnsi="黑体" w:eastAsia="黑体"/>
          <w:b/>
          <w:bCs/>
          <w:sz w:val="44"/>
          <w:szCs w:val="44"/>
        </w:rPr>
      </w:pPr>
    </w:p>
    <w:p w14:paraId="20A18FC5">
      <w:pPr>
        <w:keepNext w:val="0"/>
        <w:keepLines w:val="0"/>
        <w:pageBreakBefore w:val="0"/>
        <w:widowControl w:val="0"/>
        <w:numPr>
          <w:ilvl w:val="0"/>
          <w:numId w:val="5"/>
        </w:numPr>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附</w:t>
      </w:r>
      <w:r>
        <w:rPr>
          <w:rFonts w:hint="eastAsia" w:ascii="方正小标宋_GBK" w:hAnsi="方正小标宋_GBK" w:eastAsia="方正小标宋_GBK" w:cs="方正小标宋_GBK"/>
          <w:sz w:val="36"/>
          <w:szCs w:val="36"/>
          <w:lang w:val="en-US" w:eastAsia="zh-CN"/>
        </w:rPr>
        <w:t xml:space="preserve">  </w:t>
      </w:r>
      <w:r>
        <w:rPr>
          <w:rFonts w:hint="eastAsia" w:ascii="方正小标宋_GBK" w:hAnsi="方正小标宋_GBK" w:eastAsia="方正小标宋_GBK" w:cs="方正小标宋_GBK"/>
          <w:sz w:val="36"/>
          <w:szCs w:val="36"/>
        </w:rPr>
        <w:t>表</w:t>
      </w:r>
      <w:bookmarkEnd w:id="72"/>
      <w:bookmarkEnd w:id="75"/>
      <w:bookmarkEnd w:id="76"/>
      <w:bookmarkStart w:id="77" w:name="_Toc15396619"/>
    </w:p>
    <w:p w14:paraId="0FDC745D">
      <w:pPr>
        <w:pStyle w:val="9"/>
        <w:numPr>
          <w:ilvl w:val="0"/>
          <w:numId w:val="0"/>
        </w:numPr>
        <w:rPr>
          <w:rFonts w:hint="eastAsia"/>
        </w:rPr>
      </w:pPr>
    </w:p>
    <w:p w14:paraId="79A6CC4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bookmarkStart w:id="78" w:name="_Toc368"/>
      <w:r>
        <w:rPr>
          <w:rFonts w:hint="eastAsia" w:ascii="黑体" w:hAnsi="黑体" w:eastAsia="黑体" w:cs="黑体"/>
          <w:sz w:val="32"/>
          <w:szCs w:val="32"/>
        </w:rPr>
        <w:t>一、收入支出决算总表</w:t>
      </w:r>
      <w:bookmarkEnd w:id="77"/>
      <w:bookmarkEnd w:id="78"/>
    </w:p>
    <w:p w14:paraId="0BE36C0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bookmarkStart w:id="79" w:name="_Toc24530"/>
      <w:bookmarkStart w:id="80" w:name="_Toc15396620"/>
      <w:r>
        <w:rPr>
          <w:rFonts w:hint="eastAsia" w:ascii="黑体" w:hAnsi="黑体" w:eastAsia="黑体" w:cs="黑体"/>
          <w:sz w:val="32"/>
          <w:szCs w:val="32"/>
        </w:rPr>
        <w:t>二、收入决算表</w:t>
      </w:r>
      <w:bookmarkEnd w:id="79"/>
      <w:bookmarkEnd w:id="80"/>
    </w:p>
    <w:p w14:paraId="1677EC0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bookmarkStart w:id="81" w:name="_Toc5208"/>
      <w:bookmarkStart w:id="82" w:name="_Toc15396621"/>
      <w:r>
        <w:rPr>
          <w:rFonts w:hint="eastAsia" w:ascii="黑体" w:hAnsi="黑体" w:eastAsia="黑体" w:cs="黑体"/>
          <w:sz w:val="32"/>
          <w:szCs w:val="32"/>
        </w:rPr>
        <w:t>三、支出决算表</w:t>
      </w:r>
      <w:bookmarkEnd w:id="81"/>
      <w:bookmarkEnd w:id="82"/>
    </w:p>
    <w:p w14:paraId="58C847A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bookmarkStart w:id="83" w:name="_Toc15396622"/>
      <w:bookmarkStart w:id="84" w:name="_Toc11573"/>
      <w:r>
        <w:rPr>
          <w:rFonts w:hint="eastAsia" w:ascii="黑体" w:hAnsi="黑体" w:eastAsia="黑体" w:cs="黑体"/>
          <w:sz w:val="32"/>
          <w:szCs w:val="32"/>
        </w:rPr>
        <w:t>四、财政拨款收入支出决算总表</w:t>
      </w:r>
      <w:bookmarkEnd w:id="83"/>
      <w:bookmarkEnd w:id="84"/>
    </w:p>
    <w:p w14:paraId="06E5089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bookmarkStart w:id="85" w:name="_Toc15396623"/>
      <w:bookmarkStart w:id="86" w:name="_Toc3839"/>
      <w:r>
        <w:rPr>
          <w:rFonts w:hint="eastAsia" w:ascii="黑体" w:hAnsi="黑体" w:eastAsia="黑体" w:cs="黑体"/>
          <w:sz w:val="32"/>
          <w:szCs w:val="32"/>
        </w:rPr>
        <w:t>五、财政拨款支出决算明细表</w:t>
      </w:r>
      <w:bookmarkEnd w:id="85"/>
      <w:bookmarkEnd w:id="86"/>
      <w:bookmarkStart w:id="87" w:name="_Toc15396624"/>
    </w:p>
    <w:p w14:paraId="5A76ECB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bookmarkStart w:id="88" w:name="_Toc13681"/>
      <w:r>
        <w:rPr>
          <w:rFonts w:hint="eastAsia" w:ascii="黑体" w:hAnsi="黑体" w:eastAsia="黑体" w:cs="黑体"/>
          <w:sz w:val="32"/>
          <w:szCs w:val="32"/>
        </w:rPr>
        <w:t>六、一般公共预算财政拨款支出决算表</w:t>
      </w:r>
      <w:bookmarkEnd w:id="87"/>
      <w:bookmarkEnd w:id="88"/>
    </w:p>
    <w:p w14:paraId="37F7366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bookmarkStart w:id="89" w:name="_Toc15396625"/>
      <w:bookmarkStart w:id="90" w:name="_Toc11225"/>
      <w:r>
        <w:rPr>
          <w:rFonts w:hint="eastAsia" w:ascii="黑体" w:hAnsi="黑体" w:eastAsia="黑体" w:cs="黑体"/>
          <w:sz w:val="32"/>
          <w:szCs w:val="32"/>
        </w:rPr>
        <w:t>七、一般公共预算财政拨款支出决算明细表</w:t>
      </w:r>
      <w:bookmarkEnd w:id="89"/>
      <w:bookmarkEnd w:id="90"/>
    </w:p>
    <w:p w14:paraId="0AF708A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bookmarkStart w:id="91" w:name="_Toc15396626"/>
      <w:bookmarkStart w:id="92" w:name="_Toc25567"/>
      <w:r>
        <w:rPr>
          <w:rFonts w:hint="eastAsia" w:ascii="黑体" w:hAnsi="黑体" w:eastAsia="黑体" w:cs="黑体"/>
          <w:sz w:val="32"/>
          <w:szCs w:val="32"/>
        </w:rPr>
        <w:t>八、一般公共预算财政拨款基本支出决算表</w:t>
      </w:r>
      <w:bookmarkEnd w:id="91"/>
      <w:bookmarkEnd w:id="92"/>
    </w:p>
    <w:p w14:paraId="5576ABD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bookmarkStart w:id="93" w:name="_Toc8387"/>
      <w:bookmarkStart w:id="94" w:name="_Toc15396627"/>
      <w:r>
        <w:rPr>
          <w:rFonts w:hint="eastAsia" w:ascii="黑体" w:hAnsi="黑体" w:eastAsia="黑体" w:cs="黑体"/>
          <w:sz w:val="32"/>
          <w:szCs w:val="32"/>
        </w:rPr>
        <w:t>九、一般公共预算财政拨款项目支出决算表</w:t>
      </w:r>
      <w:bookmarkEnd w:id="93"/>
      <w:bookmarkEnd w:id="94"/>
    </w:p>
    <w:p w14:paraId="30D53AC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bookmarkStart w:id="95" w:name="_Toc15396628"/>
      <w:bookmarkStart w:id="96" w:name="_Toc22307"/>
      <w:r>
        <w:rPr>
          <w:rFonts w:hint="eastAsia" w:ascii="黑体" w:hAnsi="黑体" w:eastAsia="黑体" w:cs="黑体"/>
          <w:sz w:val="32"/>
          <w:szCs w:val="32"/>
        </w:rPr>
        <w:t>十、</w:t>
      </w:r>
      <w:bookmarkEnd w:id="95"/>
      <w:r>
        <w:rPr>
          <w:rFonts w:hint="eastAsia" w:ascii="黑体" w:hAnsi="黑体" w:eastAsia="黑体" w:cs="黑体"/>
          <w:sz w:val="32"/>
          <w:szCs w:val="32"/>
        </w:rPr>
        <w:t>政府性基金预算财政拨款收入支出决算表</w:t>
      </w:r>
      <w:bookmarkEnd w:id="96"/>
    </w:p>
    <w:p w14:paraId="641427C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bookmarkStart w:id="97" w:name="_Toc15396629"/>
      <w:bookmarkStart w:id="98" w:name="_Toc22795"/>
      <w:r>
        <w:rPr>
          <w:rFonts w:hint="eastAsia" w:ascii="黑体" w:hAnsi="黑体" w:eastAsia="黑体" w:cs="黑体"/>
          <w:sz w:val="32"/>
          <w:szCs w:val="32"/>
        </w:rPr>
        <w:t>十一、</w:t>
      </w:r>
      <w:bookmarkEnd w:id="97"/>
      <w:r>
        <w:rPr>
          <w:rFonts w:hint="eastAsia" w:ascii="黑体" w:hAnsi="黑体" w:eastAsia="黑体" w:cs="黑体"/>
          <w:sz w:val="32"/>
          <w:szCs w:val="32"/>
        </w:rPr>
        <w:t>国有资本经营预算财政拨款收入支出决算表</w:t>
      </w:r>
      <w:bookmarkEnd w:id="98"/>
    </w:p>
    <w:p w14:paraId="1945F9D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bookmarkStart w:id="99" w:name="_Toc15396630"/>
      <w:bookmarkStart w:id="100" w:name="_Toc24491"/>
      <w:r>
        <w:rPr>
          <w:rFonts w:hint="eastAsia" w:ascii="黑体" w:hAnsi="黑体" w:eastAsia="黑体" w:cs="黑体"/>
          <w:sz w:val="32"/>
          <w:szCs w:val="32"/>
        </w:rPr>
        <w:t>十二、</w:t>
      </w:r>
      <w:bookmarkEnd w:id="99"/>
      <w:r>
        <w:rPr>
          <w:rFonts w:hint="eastAsia" w:ascii="黑体" w:hAnsi="黑体" w:eastAsia="黑体" w:cs="黑体"/>
          <w:sz w:val="32"/>
          <w:szCs w:val="32"/>
        </w:rPr>
        <w:t>国有资本经营预算财政拨款支出决算表</w:t>
      </w:r>
      <w:bookmarkEnd w:id="100"/>
    </w:p>
    <w:p w14:paraId="4F9E810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bookmarkStart w:id="101" w:name="_Toc15396631"/>
      <w:bookmarkStart w:id="102" w:name="_Toc29812"/>
      <w:r>
        <w:rPr>
          <w:rFonts w:hint="eastAsia" w:ascii="黑体" w:hAnsi="黑体" w:eastAsia="黑体" w:cs="黑体"/>
          <w:sz w:val="32"/>
          <w:szCs w:val="32"/>
        </w:rPr>
        <w:t>十三、</w:t>
      </w:r>
      <w:bookmarkEnd w:id="101"/>
      <w:r>
        <w:rPr>
          <w:rFonts w:hint="eastAsia" w:ascii="黑体" w:hAnsi="黑体" w:eastAsia="黑体" w:cs="黑体"/>
          <w:sz w:val="32"/>
          <w:szCs w:val="32"/>
        </w:rPr>
        <w:t>财政拨款“三公”经费支出决算表</w:t>
      </w:r>
      <w:bookmarkEnd w:id="102"/>
    </w:p>
    <w:sectPr>
      <w:headerReference r:id="rId4" w:type="first"/>
      <w:footerReference r:id="rId6" w:type="first"/>
      <w:headerReference r:id="rId3" w:type="default"/>
      <w:footerReference r:id="rId5" w:type="default"/>
      <w:pgSz w:w="11906" w:h="16838"/>
      <w:pgMar w:top="2041" w:right="1468" w:bottom="1587" w:left="1468" w:header="851" w:footer="1077"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4A981A9-4264-4ACB-A00F-64333F2D317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B423F13D-0CAE-42E4-9F40-12A4100BD82C}"/>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B420E811-AB49-4685-AF65-6472E5615D48}"/>
  </w:font>
  <w:font w:name="仿宋">
    <w:panose1 w:val="02010609060101010101"/>
    <w:charset w:val="86"/>
    <w:family w:val="modern"/>
    <w:pitch w:val="default"/>
    <w:sig w:usb0="800002BF" w:usb1="38CF7CFA" w:usb2="00000016" w:usb3="00000000" w:csb0="00040001" w:csb1="00000000"/>
    <w:embedRegular r:id="rId4" w:fontKey="{2D0FA6EF-6072-45E9-A567-62C78EB5E2B7}"/>
  </w:font>
  <w:font w:name="??">
    <w:altName w:val="Times New Roman"/>
    <w:panose1 w:val="00000000000000000000"/>
    <w:charset w:val="00"/>
    <w:family w:val="roman"/>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embedRegular r:id="rId5" w:fontKey="{48F345D7-3E4F-4C13-AD31-3DE7041D4700}"/>
  </w:font>
  <w:font w:name="方正小标宋简体">
    <w:panose1 w:val="02010601030101010101"/>
    <w:charset w:val="86"/>
    <w:family w:val="script"/>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embedRegular r:id="rId6" w:fontKey="{76DD5DC3-8413-419D-A00D-33B635551EF5}"/>
  </w:font>
  <w:font w:name="楷体_GB2312">
    <w:panose1 w:val="02010609030101010101"/>
    <w:charset w:val="86"/>
    <w:family w:val="modern"/>
    <w:pitch w:val="default"/>
    <w:sig w:usb0="00000001" w:usb1="080E0000" w:usb2="00000000" w:usb3="00000000" w:csb0="00040000" w:csb1="00000000"/>
    <w:embedRegular r:id="rId7" w:fontKey="{B8AAD064-131C-4B9C-87D9-3310329512B8}"/>
  </w:font>
  <w:font w:name="方正小标宋_GBK">
    <w:panose1 w:val="03000509000000000000"/>
    <w:charset w:val="86"/>
    <w:family w:val="auto"/>
    <w:pitch w:val="default"/>
    <w:sig w:usb0="00000001" w:usb1="080E0000" w:usb2="00000000" w:usb3="00000000" w:csb0="00040000" w:csb1="00000000"/>
    <w:embedRegular r:id="rId8" w:fontKey="{1C0CD091-652A-428F-88B3-2613970F57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8EBEF">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-114300</wp:posOffset>
              </wp:positionV>
              <wp:extent cx="1006475" cy="25082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006475" cy="250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ED9BC9">
                          <w:pPr>
                            <w:pStyle w:val="11"/>
                            <w:ind w:firstLine="280" w:firstLineChars="1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9pt;height:19.75pt;width:79.25pt;mso-position-horizontal:outside;mso-position-horizontal-relative:margin;z-index:251659264;mso-width-relative:page;mso-height-relative:page;" filled="f" stroked="f" coordsize="21600,21600" o:gfxdata="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AA3oD1QAAAAcBAAAPAAAAAAAAAAEAIAAAACIAAABkcnMvZG93bnJldi54&#10;bWxQSwECFAAUAAAACACHTuJAHZWVjzYCAABiBAAADgAAAAAAAAABACAAAAAkAQAAZHJzL2Uyb0Rv&#10;Yy54bWxQSwUGAAAAAAYABgBZAQAAzAUAAAAA&#10;">
              <v:fill on="f" focussize="0,0"/>
              <v:stroke on="f" weight="0.5pt"/>
              <v:imagedata o:title=""/>
              <o:lock v:ext="edit" aspectratio="f"/>
              <v:textbox inset="0mm,0mm,0mm,0mm">
                <w:txbxContent>
                  <w:p w14:paraId="55ED9BC9">
                    <w:pPr>
                      <w:pStyle w:val="11"/>
                      <w:ind w:firstLine="280" w:firstLineChars="1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A8267">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-114300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B1DCB9">
                          <w:pPr>
                            <w:pStyle w:val="11"/>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9pt;height:144pt;width:144pt;mso-position-horizontal:outside;mso-position-horizontal-relative:margin;mso-wrap-style:none;z-index:251660288;mso-width-relative:page;mso-height-relative:page;" filled="f" stroked="f" coordsize="21600,21600" o:gfxdata="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don/n1AAAAAgBAAAPAAAAAAAAAAEAIAAAACIAAABkcnMvZG93bnJldi54bWxQSwEC&#10;FAAUAAAACACHTuJAJIJGtDECAABhBAAADgAAAAAAAAABACAAAAAjAQAAZHJzL2Uyb0RvYy54bWxQ&#10;SwUGAAAAAAYABgBZAQAAxgUAAAAA&#10;">
              <v:fill on="f" focussize="0,0"/>
              <v:stroke on="f" weight="0.5pt"/>
              <v:imagedata o:title=""/>
              <o:lock v:ext="edit" aspectratio="f"/>
              <v:textbox inset="0mm,0mm,0mm,0mm" style="mso-fit-shape-to-text:t;">
                <w:txbxContent>
                  <w:p w14:paraId="02B1DCB9">
                    <w:pPr>
                      <w:pStyle w:val="11"/>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898DA">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E334F">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1F2F0F"/>
    <w:multiLevelType w:val="singleLevel"/>
    <w:tmpl w:val="9C1F2F0F"/>
    <w:lvl w:ilvl="0" w:tentative="0">
      <w:start w:val="5"/>
      <w:numFmt w:val="chineseCounting"/>
      <w:suff w:val="space"/>
      <w:lvlText w:val="第%1部分"/>
      <w:lvlJc w:val="left"/>
      <w:rPr>
        <w:rFonts w:hint="eastAsia"/>
      </w:rPr>
    </w:lvl>
  </w:abstractNum>
  <w:abstractNum w:abstractNumId="1">
    <w:nsid w:val="00000000"/>
    <w:multiLevelType w:val="singleLevel"/>
    <w:tmpl w:val="00000000"/>
    <w:lvl w:ilvl="0" w:tentative="0">
      <w:start w:val="2"/>
      <w:numFmt w:val="chineseCounting"/>
      <w:suff w:val="nothing"/>
      <w:lvlText w:val="（%1）"/>
      <w:lvlJc w:val="left"/>
      <w:rPr>
        <w:rFonts w:hint="eastAsia"/>
      </w:rPr>
    </w:lvl>
  </w:abstractNum>
  <w:abstractNum w:abstractNumId="2">
    <w:nsid w:val="00000002"/>
    <w:multiLevelType w:val="singleLevel"/>
    <w:tmpl w:val="00000002"/>
    <w:lvl w:ilvl="0" w:tentative="0">
      <w:start w:val="9"/>
      <w:numFmt w:val="chineseCounting"/>
      <w:suff w:val="nothing"/>
      <w:lvlText w:val="%1、"/>
      <w:lvlJc w:val="left"/>
      <w:rPr>
        <w:rFonts w:hint="eastAsia"/>
      </w:rPr>
    </w:lvl>
  </w:abstractNum>
  <w:abstractNum w:abstractNumId="3">
    <w:nsid w:val="0000000C"/>
    <w:multiLevelType w:val="singleLevel"/>
    <w:tmpl w:val="0000000C"/>
    <w:lvl w:ilvl="0" w:tentative="0">
      <w:start w:val="2"/>
      <w:numFmt w:val="chineseCounting"/>
      <w:suff w:val="nothing"/>
      <w:lvlText w:val="（%1）"/>
      <w:lvlJc w:val="left"/>
      <w:rPr>
        <w:rFonts w:hint="eastAsia"/>
      </w:rPr>
    </w:lvl>
  </w:abstractNum>
  <w:abstractNum w:abstractNumId="4">
    <w:nsid w:val="0000000D"/>
    <w:multiLevelType w:val="singleLevel"/>
    <w:tmpl w:val="0000000D"/>
    <w:lvl w:ilvl="0" w:tentative="0">
      <w:start w:val="1"/>
      <w:numFmt w:val="chineseCounting"/>
      <w:suff w:val="nothing"/>
      <w:lvlText w:val="（%1）"/>
      <w:lvlJc w:val="left"/>
      <w:pPr>
        <w:ind w:left="-90"/>
      </w:pPr>
      <w:rPr>
        <w:rFonts w:hint="eastAsia"/>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U4ODNjNzhiOTkyZTlkNzZmOGY5ODQ3MGJmODIxYjUifQ=="/>
  </w:docVars>
  <w:rsids>
    <w:rsidRoot w:val="00000000"/>
    <w:rsid w:val="00973FB8"/>
    <w:rsid w:val="00F54158"/>
    <w:rsid w:val="01213882"/>
    <w:rsid w:val="01814321"/>
    <w:rsid w:val="01A1163F"/>
    <w:rsid w:val="02094A42"/>
    <w:rsid w:val="022573A2"/>
    <w:rsid w:val="024C77AE"/>
    <w:rsid w:val="02D96CAF"/>
    <w:rsid w:val="03045209"/>
    <w:rsid w:val="03B30D15"/>
    <w:rsid w:val="03DE5A5A"/>
    <w:rsid w:val="04365896"/>
    <w:rsid w:val="04770389"/>
    <w:rsid w:val="04EC3681"/>
    <w:rsid w:val="04F25C61"/>
    <w:rsid w:val="05085485"/>
    <w:rsid w:val="05791EDF"/>
    <w:rsid w:val="05B80C59"/>
    <w:rsid w:val="05D37841"/>
    <w:rsid w:val="06503885"/>
    <w:rsid w:val="07CC09EB"/>
    <w:rsid w:val="084F6F27"/>
    <w:rsid w:val="086230FE"/>
    <w:rsid w:val="089F6E20"/>
    <w:rsid w:val="08A76D63"/>
    <w:rsid w:val="08EC0C19"/>
    <w:rsid w:val="08FF019C"/>
    <w:rsid w:val="09150170"/>
    <w:rsid w:val="0939108D"/>
    <w:rsid w:val="0A2D14EA"/>
    <w:rsid w:val="0A2F466E"/>
    <w:rsid w:val="0AD45054"/>
    <w:rsid w:val="0ADC4AE3"/>
    <w:rsid w:val="0AEE6ECB"/>
    <w:rsid w:val="0AFE4248"/>
    <w:rsid w:val="0B3F7726"/>
    <w:rsid w:val="0B927856"/>
    <w:rsid w:val="0C632FA1"/>
    <w:rsid w:val="0C8732E3"/>
    <w:rsid w:val="0CEA2B4F"/>
    <w:rsid w:val="0D183013"/>
    <w:rsid w:val="0D2D4F52"/>
    <w:rsid w:val="0DDE3227"/>
    <w:rsid w:val="0EA030B2"/>
    <w:rsid w:val="0EB14A06"/>
    <w:rsid w:val="0EFF16A6"/>
    <w:rsid w:val="0F6B4665"/>
    <w:rsid w:val="0FA933C0"/>
    <w:rsid w:val="0FB07A16"/>
    <w:rsid w:val="0FDF12B9"/>
    <w:rsid w:val="0FE4089C"/>
    <w:rsid w:val="0FF705D0"/>
    <w:rsid w:val="100D1BA1"/>
    <w:rsid w:val="10615A49"/>
    <w:rsid w:val="108F3E01"/>
    <w:rsid w:val="10C5422A"/>
    <w:rsid w:val="10C91C32"/>
    <w:rsid w:val="10D31F69"/>
    <w:rsid w:val="11484E1A"/>
    <w:rsid w:val="11496C09"/>
    <w:rsid w:val="1191235E"/>
    <w:rsid w:val="11EC3A38"/>
    <w:rsid w:val="11FF19BD"/>
    <w:rsid w:val="1214410B"/>
    <w:rsid w:val="132C0590"/>
    <w:rsid w:val="135B2C24"/>
    <w:rsid w:val="146B333A"/>
    <w:rsid w:val="148C0AB2"/>
    <w:rsid w:val="148D32B1"/>
    <w:rsid w:val="14DF603C"/>
    <w:rsid w:val="15367641"/>
    <w:rsid w:val="15B4486D"/>
    <w:rsid w:val="15CC09DD"/>
    <w:rsid w:val="15EB4733"/>
    <w:rsid w:val="161029E6"/>
    <w:rsid w:val="16D45DA9"/>
    <w:rsid w:val="16FA09A5"/>
    <w:rsid w:val="171B1048"/>
    <w:rsid w:val="176A3D0C"/>
    <w:rsid w:val="17E4768B"/>
    <w:rsid w:val="17F6119F"/>
    <w:rsid w:val="185C7097"/>
    <w:rsid w:val="18E216F1"/>
    <w:rsid w:val="192A178A"/>
    <w:rsid w:val="1A02029D"/>
    <w:rsid w:val="1A8E38DF"/>
    <w:rsid w:val="1AC11F06"/>
    <w:rsid w:val="1B245FF1"/>
    <w:rsid w:val="1B3C333B"/>
    <w:rsid w:val="1B811695"/>
    <w:rsid w:val="1B866CAC"/>
    <w:rsid w:val="1C83719E"/>
    <w:rsid w:val="1C9868C0"/>
    <w:rsid w:val="1CED3FDB"/>
    <w:rsid w:val="1DB73400"/>
    <w:rsid w:val="1DBE44DB"/>
    <w:rsid w:val="1DC835AB"/>
    <w:rsid w:val="1EDF0BAD"/>
    <w:rsid w:val="1FE3647B"/>
    <w:rsid w:val="20344F28"/>
    <w:rsid w:val="208F6602"/>
    <w:rsid w:val="20A1348F"/>
    <w:rsid w:val="21B42CDC"/>
    <w:rsid w:val="21EC46D7"/>
    <w:rsid w:val="221D6C29"/>
    <w:rsid w:val="2265761B"/>
    <w:rsid w:val="233A0AA7"/>
    <w:rsid w:val="236478D2"/>
    <w:rsid w:val="237F470C"/>
    <w:rsid w:val="2423153B"/>
    <w:rsid w:val="254A2AF8"/>
    <w:rsid w:val="25535E50"/>
    <w:rsid w:val="257D2ECD"/>
    <w:rsid w:val="258370EC"/>
    <w:rsid w:val="25EE7DC2"/>
    <w:rsid w:val="260E5580"/>
    <w:rsid w:val="26B741BD"/>
    <w:rsid w:val="272F1DE5"/>
    <w:rsid w:val="276A122F"/>
    <w:rsid w:val="2898252A"/>
    <w:rsid w:val="28F74D45"/>
    <w:rsid w:val="298C1931"/>
    <w:rsid w:val="29DC6DF2"/>
    <w:rsid w:val="2ABD3739"/>
    <w:rsid w:val="2AD73080"/>
    <w:rsid w:val="2ADE7F6A"/>
    <w:rsid w:val="2B165956"/>
    <w:rsid w:val="2B1B2F6C"/>
    <w:rsid w:val="2B30453E"/>
    <w:rsid w:val="2B3402AE"/>
    <w:rsid w:val="2B577D1D"/>
    <w:rsid w:val="2BD5201F"/>
    <w:rsid w:val="2C142774"/>
    <w:rsid w:val="2C4B7881"/>
    <w:rsid w:val="2C82701B"/>
    <w:rsid w:val="2CB05936"/>
    <w:rsid w:val="2D0619FA"/>
    <w:rsid w:val="2D4F6B6B"/>
    <w:rsid w:val="2DBA4DD6"/>
    <w:rsid w:val="2DD10887"/>
    <w:rsid w:val="2E6D7396"/>
    <w:rsid w:val="2E81758A"/>
    <w:rsid w:val="2EA71A0D"/>
    <w:rsid w:val="2F1F32BF"/>
    <w:rsid w:val="2F535B76"/>
    <w:rsid w:val="2F8D2A62"/>
    <w:rsid w:val="2FAD0853"/>
    <w:rsid w:val="30CE7C8C"/>
    <w:rsid w:val="312D39F9"/>
    <w:rsid w:val="317C04DD"/>
    <w:rsid w:val="31A17F44"/>
    <w:rsid w:val="31D11919"/>
    <w:rsid w:val="32C0264B"/>
    <w:rsid w:val="3433268A"/>
    <w:rsid w:val="349D49F2"/>
    <w:rsid w:val="34DF14AF"/>
    <w:rsid w:val="35011425"/>
    <w:rsid w:val="35753BC1"/>
    <w:rsid w:val="359027A9"/>
    <w:rsid w:val="3595159F"/>
    <w:rsid w:val="35BF4E3C"/>
    <w:rsid w:val="3676530A"/>
    <w:rsid w:val="36E508D2"/>
    <w:rsid w:val="37C30C14"/>
    <w:rsid w:val="37FC2378"/>
    <w:rsid w:val="38303DCF"/>
    <w:rsid w:val="3833384F"/>
    <w:rsid w:val="38910D12"/>
    <w:rsid w:val="389B220F"/>
    <w:rsid w:val="38B467AE"/>
    <w:rsid w:val="38C8225A"/>
    <w:rsid w:val="397D3044"/>
    <w:rsid w:val="3A4D6EBA"/>
    <w:rsid w:val="3AC058DE"/>
    <w:rsid w:val="3AD71D29"/>
    <w:rsid w:val="3B3A045A"/>
    <w:rsid w:val="3B457B92"/>
    <w:rsid w:val="3C3976F6"/>
    <w:rsid w:val="3CD9790C"/>
    <w:rsid w:val="3CE65F8F"/>
    <w:rsid w:val="3D282429"/>
    <w:rsid w:val="3D6267D9"/>
    <w:rsid w:val="3D931088"/>
    <w:rsid w:val="3DB82EC7"/>
    <w:rsid w:val="3E29379B"/>
    <w:rsid w:val="3EA16330"/>
    <w:rsid w:val="3F310B59"/>
    <w:rsid w:val="3F6E3B5B"/>
    <w:rsid w:val="3FF04570"/>
    <w:rsid w:val="408E2A64"/>
    <w:rsid w:val="409018AF"/>
    <w:rsid w:val="40955117"/>
    <w:rsid w:val="40A92971"/>
    <w:rsid w:val="410C362B"/>
    <w:rsid w:val="4174388F"/>
    <w:rsid w:val="41DE664A"/>
    <w:rsid w:val="4370693A"/>
    <w:rsid w:val="438F3A45"/>
    <w:rsid w:val="43D16466"/>
    <w:rsid w:val="44140221"/>
    <w:rsid w:val="44B57B36"/>
    <w:rsid w:val="459B6A00"/>
    <w:rsid w:val="45A831F7"/>
    <w:rsid w:val="45F25F74"/>
    <w:rsid w:val="46026DAB"/>
    <w:rsid w:val="461F3FED"/>
    <w:rsid w:val="465D66D7"/>
    <w:rsid w:val="46BD7176"/>
    <w:rsid w:val="46C6602A"/>
    <w:rsid w:val="46CC1167"/>
    <w:rsid w:val="47352751"/>
    <w:rsid w:val="47537E36"/>
    <w:rsid w:val="483F42E6"/>
    <w:rsid w:val="484D0086"/>
    <w:rsid w:val="485811E2"/>
    <w:rsid w:val="48693111"/>
    <w:rsid w:val="48961A2D"/>
    <w:rsid w:val="49095DF0"/>
    <w:rsid w:val="493E5906"/>
    <w:rsid w:val="494B0A69"/>
    <w:rsid w:val="499523D7"/>
    <w:rsid w:val="4A1E5AAC"/>
    <w:rsid w:val="4A556FE7"/>
    <w:rsid w:val="4AEE5B50"/>
    <w:rsid w:val="4AF7544C"/>
    <w:rsid w:val="4B09298A"/>
    <w:rsid w:val="4B4962BD"/>
    <w:rsid w:val="4CBD57DA"/>
    <w:rsid w:val="4D344DF7"/>
    <w:rsid w:val="4D491763"/>
    <w:rsid w:val="4D5F4AE3"/>
    <w:rsid w:val="4E7E1755"/>
    <w:rsid w:val="4EB33338"/>
    <w:rsid w:val="4F820F5D"/>
    <w:rsid w:val="4FB21842"/>
    <w:rsid w:val="4FC1669B"/>
    <w:rsid w:val="50100316"/>
    <w:rsid w:val="50451E54"/>
    <w:rsid w:val="50874A7C"/>
    <w:rsid w:val="509677D0"/>
    <w:rsid w:val="50AA4B2B"/>
    <w:rsid w:val="50DA209B"/>
    <w:rsid w:val="50E023DF"/>
    <w:rsid w:val="514C1822"/>
    <w:rsid w:val="514F5C6A"/>
    <w:rsid w:val="517008C5"/>
    <w:rsid w:val="51D35A9F"/>
    <w:rsid w:val="51E67581"/>
    <w:rsid w:val="522D3402"/>
    <w:rsid w:val="52BE04FE"/>
    <w:rsid w:val="52F537F4"/>
    <w:rsid w:val="52F55ED8"/>
    <w:rsid w:val="5379147E"/>
    <w:rsid w:val="53B15D31"/>
    <w:rsid w:val="53D224B3"/>
    <w:rsid w:val="542E520F"/>
    <w:rsid w:val="54BC247B"/>
    <w:rsid w:val="55425416"/>
    <w:rsid w:val="559A4213"/>
    <w:rsid w:val="562C1C22"/>
    <w:rsid w:val="562E14F6"/>
    <w:rsid w:val="564C575A"/>
    <w:rsid w:val="5684380C"/>
    <w:rsid w:val="575B20A9"/>
    <w:rsid w:val="577713A1"/>
    <w:rsid w:val="57957137"/>
    <w:rsid w:val="5805272B"/>
    <w:rsid w:val="58371109"/>
    <w:rsid w:val="585C67EF"/>
    <w:rsid w:val="58DD0FB2"/>
    <w:rsid w:val="594B7339"/>
    <w:rsid w:val="59DF76D7"/>
    <w:rsid w:val="5ABA77FD"/>
    <w:rsid w:val="5AD05272"/>
    <w:rsid w:val="5AE900E2"/>
    <w:rsid w:val="5B9E482C"/>
    <w:rsid w:val="5BFA12B3"/>
    <w:rsid w:val="5C0F1DCA"/>
    <w:rsid w:val="5C392AD6"/>
    <w:rsid w:val="5CF54548"/>
    <w:rsid w:val="5CFC343A"/>
    <w:rsid w:val="5D755C5D"/>
    <w:rsid w:val="5DE6128F"/>
    <w:rsid w:val="5DF64FF0"/>
    <w:rsid w:val="5F1C6CD8"/>
    <w:rsid w:val="5F27742B"/>
    <w:rsid w:val="5F4B4EC7"/>
    <w:rsid w:val="5F922AF6"/>
    <w:rsid w:val="5FD77CF4"/>
    <w:rsid w:val="603708EB"/>
    <w:rsid w:val="60CD2CBA"/>
    <w:rsid w:val="61016185"/>
    <w:rsid w:val="616F2979"/>
    <w:rsid w:val="618A333F"/>
    <w:rsid w:val="62612D76"/>
    <w:rsid w:val="62A72D5C"/>
    <w:rsid w:val="62E01DCA"/>
    <w:rsid w:val="631310CC"/>
    <w:rsid w:val="63666773"/>
    <w:rsid w:val="6399194E"/>
    <w:rsid w:val="63E05484"/>
    <w:rsid w:val="63E57717"/>
    <w:rsid w:val="63E762F0"/>
    <w:rsid w:val="63E76481"/>
    <w:rsid w:val="63FF0976"/>
    <w:rsid w:val="642E6B65"/>
    <w:rsid w:val="646E64AD"/>
    <w:rsid w:val="649966D5"/>
    <w:rsid w:val="649C62B2"/>
    <w:rsid w:val="65624D19"/>
    <w:rsid w:val="65B763A9"/>
    <w:rsid w:val="65F02F85"/>
    <w:rsid w:val="6635242D"/>
    <w:rsid w:val="665926B5"/>
    <w:rsid w:val="66631110"/>
    <w:rsid w:val="67317098"/>
    <w:rsid w:val="675D7E8D"/>
    <w:rsid w:val="676761D3"/>
    <w:rsid w:val="676A25AA"/>
    <w:rsid w:val="67753429"/>
    <w:rsid w:val="6776097B"/>
    <w:rsid w:val="682B3AE8"/>
    <w:rsid w:val="68474187"/>
    <w:rsid w:val="6874270D"/>
    <w:rsid w:val="68D104C1"/>
    <w:rsid w:val="694F2EC9"/>
    <w:rsid w:val="69BB70ED"/>
    <w:rsid w:val="6AB75B07"/>
    <w:rsid w:val="6AD11D51"/>
    <w:rsid w:val="6B2324F2"/>
    <w:rsid w:val="6B3D425E"/>
    <w:rsid w:val="6BBB33D4"/>
    <w:rsid w:val="6C41626E"/>
    <w:rsid w:val="6CCA5D55"/>
    <w:rsid w:val="6CCB7647"/>
    <w:rsid w:val="6CED3A62"/>
    <w:rsid w:val="6CFC0073"/>
    <w:rsid w:val="6D544E73"/>
    <w:rsid w:val="6DE77B49"/>
    <w:rsid w:val="6E0B2BF4"/>
    <w:rsid w:val="6E0E2569"/>
    <w:rsid w:val="6E1B09FD"/>
    <w:rsid w:val="6E837F13"/>
    <w:rsid w:val="6EBD1212"/>
    <w:rsid w:val="6EDA5791"/>
    <w:rsid w:val="6EFC4430"/>
    <w:rsid w:val="6FFB46E7"/>
    <w:rsid w:val="700C06A3"/>
    <w:rsid w:val="70822713"/>
    <w:rsid w:val="7125457C"/>
    <w:rsid w:val="71893AFC"/>
    <w:rsid w:val="72210BEB"/>
    <w:rsid w:val="72451C4A"/>
    <w:rsid w:val="72695938"/>
    <w:rsid w:val="72872262"/>
    <w:rsid w:val="72BA06E7"/>
    <w:rsid w:val="73EB05CF"/>
    <w:rsid w:val="7416564C"/>
    <w:rsid w:val="74233190"/>
    <w:rsid w:val="746111AE"/>
    <w:rsid w:val="74DF1EE2"/>
    <w:rsid w:val="7555087C"/>
    <w:rsid w:val="759A46CB"/>
    <w:rsid w:val="75F776FF"/>
    <w:rsid w:val="763F69C9"/>
    <w:rsid w:val="767D5E56"/>
    <w:rsid w:val="773B0E7C"/>
    <w:rsid w:val="77A70E58"/>
    <w:rsid w:val="78512A81"/>
    <w:rsid w:val="787065C4"/>
    <w:rsid w:val="79164340"/>
    <w:rsid w:val="79202AC9"/>
    <w:rsid w:val="7971028C"/>
    <w:rsid w:val="7A3028B6"/>
    <w:rsid w:val="7A4A2C13"/>
    <w:rsid w:val="7A98414B"/>
    <w:rsid w:val="7B1D3764"/>
    <w:rsid w:val="7B3C5469"/>
    <w:rsid w:val="7B90009C"/>
    <w:rsid w:val="7BE559D6"/>
    <w:rsid w:val="7BEA793B"/>
    <w:rsid w:val="7C0D35DB"/>
    <w:rsid w:val="7C151FDC"/>
    <w:rsid w:val="7CFE57E6"/>
    <w:rsid w:val="7D4A0A5C"/>
    <w:rsid w:val="7E70004F"/>
    <w:rsid w:val="7E906943"/>
    <w:rsid w:val="7EA06B86"/>
    <w:rsid w:val="7F264BB1"/>
    <w:rsid w:val="7F6D458E"/>
    <w:rsid w:val="7FEA409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1"/>
    <w:qFormat/>
    <w:uiPriority w:val="9"/>
    <w:pPr>
      <w:keepNext/>
      <w:keepLines/>
      <w:spacing w:before="260" w:after="260" w:line="416" w:lineRule="auto"/>
      <w:outlineLvl w:val="1"/>
    </w:pPr>
    <w:rPr>
      <w:rFonts w:ascii="Cambria" w:hAnsi="Cambria" w:eastAsia="宋体" w:cs="宋体"/>
      <w:b/>
      <w:bCs/>
      <w:sz w:val="32"/>
      <w:szCs w:val="32"/>
    </w:rPr>
  </w:style>
  <w:style w:type="paragraph" w:styleId="5">
    <w:name w:val="heading 3"/>
    <w:basedOn w:val="1"/>
    <w:next w:val="1"/>
    <w:link w:val="34"/>
    <w:qFormat/>
    <w:uiPriority w:val="9"/>
    <w:pPr>
      <w:keepNext/>
      <w:keepLines/>
      <w:spacing w:before="260" w:after="260" w:line="416" w:lineRule="auto"/>
      <w:outlineLvl w:val="2"/>
    </w:pPr>
    <w:rPr>
      <w:b/>
      <w:bCs/>
      <w:sz w:val="32"/>
      <w:szCs w:val="32"/>
    </w:rPr>
  </w:style>
  <w:style w:type="character" w:default="1" w:styleId="18">
    <w:name w:val="Default Paragraph Font"/>
    <w:qFormat/>
    <w:uiPriority w:val="1"/>
  </w:style>
  <w:style w:type="table" w:default="1" w:styleId="17">
    <w:name w:val="Normal Table"/>
    <w:qFormat/>
    <w:uiPriority w:val="99"/>
    <w:tblPr>
      <w:tblCellMar>
        <w:top w:w="0" w:type="dxa"/>
        <w:left w:w="108" w:type="dxa"/>
        <w:bottom w:w="0" w:type="dxa"/>
        <w:right w:w="108" w:type="dxa"/>
      </w:tblCellMar>
    </w:tblPr>
  </w:style>
  <w:style w:type="paragraph" w:styleId="2">
    <w:name w:val="Salutation"/>
    <w:basedOn w:val="1"/>
    <w:next w:val="1"/>
    <w:qFormat/>
    <w:uiPriority w:val="0"/>
    <w:pPr>
      <w:adjustRightInd w:val="0"/>
      <w:snapToGrid w:val="0"/>
    </w:pPr>
    <w:rPr>
      <w:rFonts w:ascii="Calibri" w:hAnsi="Calibri"/>
    </w:rPr>
  </w:style>
  <w:style w:type="paragraph" w:styleId="6">
    <w:name w:val="Body Text"/>
    <w:basedOn w:val="1"/>
    <w:link w:val="27"/>
    <w:qFormat/>
    <w:uiPriority w:val="99"/>
    <w:pPr>
      <w:spacing w:beforeLines="30"/>
    </w:pPr>
    <w:rPr>
      <w:rFonts w:ascii="仿宋_GB2312" w:eastAsia="仿宋_GB2312"/>
      <w:kern w:val="0"/>
      <w:sz w:val="30"/>
    </w:rPr>
  </w:style>
  <w:style w:type="paragraph" w:styleId="7">
    <w:name w:val="Body Text Indent"/>
    <w:basedOn w:val="1"/>
    <w:qFormat/>
    <w:uiPriority w:val="0"/>
    <w:pPr>
      <w:spacing w:after="120"/>
      <w:ind w:left="200" w:leftChars="200"/>
    </w:pPr>
    <w:rPr>
      <w:rFonts w:ascii="仿宋_GB2312"/>
      <w:szCs w:val="32"/>
    </w:rPr>
  </w:style>
  <w:style w:type="paragraph" w:styleId="8">
    <w:name w:val="toc 3"/>
    <w:basedOn w:val="1"/>
    <w:next w:val="1"/>
    <w:qFormat/>
    <w:uiPriority w:val="39"/>
    <w:pPr>
      <w:tabs>
        <w:tab w:val="right" w:leader="dot" w:pos="8296"/>
      </w:tabs>
      <w:ind w:left="840" w:leftChars="400"/>
    </w:pPr>
  </w:style>
  <w:style w:type="paragraph" w:styleId="9">
    <w:name w:val="Plain Text"/>
    <w:basedOn w:val="1"/>
    <w:qFormat/>
    <w:uiPriority w:val="99"/>
    <w:rPr>
      <w:rFonts w:ascii="宋体" w:hAnsi="Courier New" w:eastAsia="宋体"/>
      <w:szCs w:val="21"/>
    </w:rPr>
  </w:style>
  <w:style w:type="paragraph" w:styleId="10">
    <w:name w:val="Balloon Text"/>
    <w:basedOn w:val="1"/>
    <w:link w:val="33"/>
    <w:qFormat/>
    <w:uiPriority w:val="99"/>
    <w:rPr>
      <w:sz w:val="18"/>
      <w:szCs w:val="18"/>
    </w:rPr>
  </w:style>
  <w:style w:type="paragraph" w:styleId="11">
    <w:name w:val="footer"/>
    <w:basedOn w:val="1"/>
    <w:link w:val="25"/>
    <w:qFormat/>
    <w:uiPriority w:val="99"/>
    <w:pPr>
      <w:tabs>
        <w:tab w:val="center" w:pos="4153"/>
        <w:tab w:val="right" w:pos="8306"/>
      </w:tabs>
      <w:snapToGrid w:val="0"/>
      <w:jc w:val="left"/>
    </w:pPr>
    <w:rPr>
      <w:rFonts w:ascii="Calibri" w:hAnsi="Calibri"/>
      <w:kern w:val="0"/>
      <w:sz w:val="18"/>
      <w:szCs w:val="18"/>
    </w:rPr>
  </w:style>
  <w:style w:type="paragraph" w:styleId="12">
    <w:name w:val="header"/>
    <w:basedOn w:val="1"/>
    <w:link w:val="23"/>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3">
    <w:name w:val="toc 1"/>
    <w:basedOn w:val="1"/>
    <w:next w:val="1"/>
    <w:qFormat/>
    <w:uiPriority w:val="39"/>
    <w:pPr>
      <w:tabs>
        <w:tab w:val="right" w:leader="dot" w:pos="8296"/>
      </w:tabs>
      <w:spacing w:before="93"/>
      <w:jc w:val="center"/>
    </w:pPr>
    <w:rPr>
      <w:rFonts w:ascii="仿宋" w:hAnsi="仿宋" w:eastAsia="仿宋"/>
      <w:sz w:val="28"/>
      <w:szCs w:val="28"/>
    </w:rPr>
  </w:style>
  <w:style w:type="paragraph" w:styleId="14">
    <w:name w:val="table of figures"/>
    <w:basedOn w:val="1"/>
    <w:next w:val="1"/>
    <w:qFormat/>
    <w:uiPriority w:val="0"/>
    <w:pPr>
      <w:ind w:left="200" w:leftChars="200" w:hanging="200" w:hangingChars="200"/>
    </w:pPr>
  </w:style>
  <w:style w:type="paragraph" w:styleId="15">
    <w:name w:val="toc 2"/>
    <w:basedOn w:val="1"/>
    <w:next w:val="1"/>
    <w:qFormat/>
    <w:uiPriority w:val="39"/>
    <w:pPr>
      <w:tabs>
        <w:tab w:val="right" w:leader="dot" w:pos="8296"/>
      </w:tabs>
      <w:ind w:left="420" w:leftChars="200"/>
    </w:pPr>
  </w:style>
  <w:style w:type="paragraph" w:styleId="16">
    <w:name w:val="Body Text First Indent 2"/>
    <w:basedOn w:val="7"/>
    <w:qFormat/>
    <w:uiPriority w:val="99"/>
    <w:pPr>
      <w:ind w:firstLine="420" w:firstLineChars="200"/>
    </w:pPr>
  </w:style>
  <w:style w:type="character" w:styleId="19">
    <w:name w:val="Strong"/>
    <w:basedOn w:val="18"/>
    <w:qFormat/>
    <w:uiPriority w:val="99"/>
    <w:rPr>
      <w:b/>
    </w:rPr>
  </w:style>
  <w:style w:type="character" w:styleId="20">
    <w:name w:val="Hyperlink"/>
    <w:basedOn w:val="18"/>
    <w:qFormat/>
    <w:uiPriority w:val="99"/>
    <w:rPr>
      <w:color w:val="0000FF"/>
      <w:u w:val="single"/>
    </w:rPr>
  </w:style>
  <w:style w:type="paragraph" w:customStyle="1" w:styleId="21">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22">
    <w:name w:val="Header Char_d3acd3db-d79b-4550-b6d9-b86474903cdb"/>
    <w:basedOn w:val="18"/>
    <w:qFormat/>
    <w:uiPriority w:val="99"/>
    <w:rPr>
      <w:rFonts w:ascii="Times New Roman" w:hAnsi="Times New Roman"/>
      <w:sz w:val="18"/>
      <w:szCs w:val="18"/>
    </w:rPr>
  </w:style>
  <w:style w:type="character" w:customStyle="1" w:styleId="23">
    <w:name w:val="页眉 字符"/>
    <w:link w:val="12"/>
    <w:qFormat/>
    <w:uiPriority w:val="99"/>
    <w:rPr>
      <w:sz w:val="18"/>
    </w:rPr>
  </w:style>
  <w:style w:type="character" w:customStyle="1" w:styleId="24">
    <w:name w:val="Footer Char_b6f12fff-9a39-4e9c-a8b2-c045df0c9ff3"/>
    <w:basedOn w:val="18"/>
    <w:qFormat/>
    <w:uiPriority w:val="99"/>
    <w:rPr>
      <w:rFonts w:ascii="Times New Roman" w:hAnsi="Times New Roman"/>
      <w:sz w:val="18"/>
      <w:szCs w:val="18"/>
    </w:rPr>
  </w:style>
  <w:style w:type="character" w:customStyle="1" w:styleId="25">
    <w:name w:val="页脚 字符"/>
    <w:link w:val="11"/>
    <w:qFormat/>
    <w:uiPriority w:val="99"/>
    <w:rPr>
      <w:sz w:val="18"/>
    </w:rPr>
  </w:style>
  <w:style w:type="character" w:customStyle="1" w:styleId="26">
    <w:name w:val="Body Text Char"/>
    <w:basedOn w:val="18"/>
    <w:qFormat/>
    <w:uiPriority w:val="99"/>
    <w:rPr>
      <w:rFonts w:ascii="Times New Roman" w:hAnsi="Times New Roman"/>
      <w:szCs w:val="24"/>
    </w:rPr>
  </w:style>
  <w:style w:type="character" w:customStyle="1" w:styleId="27">
    <w:name w:val="正文文本 字符"/>
    <w:link w:val="6"/>
    <w:qFormat/>
    <w:uiPriority w:val="99"/>
    <w:rPr>
      <w:rFonts w:ascii="仿宋_GB2312" w:hAnsi="Times New Roman" w:eastAsia="仿宋_GB2312"/>
      <w:sz w:val="24"/>
    </w:rPr>
  </w:style>
  <w:style w:type="paragraph" w:customStyle="1" w:styleId="28">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9">
    <w:name w:val="List Paragraph"/>
    <w:basedOn w:val="1"/>
    <w:qFormat/>
    <w:uiPriority w:val="34"/>
    <w:pPr>
      <w:ind w:firstLine="420" w:firstLineChars="200"/>
    </w:pPr>
  </w:style>
  <w:style w:type="character" w:customStyle="1" w:styleId="30">
    <w:name w:val="标题 1 字符"/>
    <w:basedOn w:val="18"/>
    <w:link w:val="3"/>
    <w:qFormat/>
    <w:uiPriority w:val="9"/>
    <w:rPr>
      <w:rFonts w:ascii="Times New Roman" w:hAnsi="Times New Roman"/>
      <w:b/>
      <w:bCs/>
      <w:kern w:val="44"/>
      <w:sz w:val="44"/>
      <w:szCs w:val="44"/>
    </w:rPr>
  </w:style>
  <w:style w:type="character" w:customStyle="1" w:styleId="31">
    <w:name w:val="标题 2 字符"/>
    <w:basedOn w:val="18"/>
    <w:link w:val="4"/>
    <w:qFormat/>
    <w:uiPriority w:val="9"/>
    <w:rPr>
      <w:rFonts w:ascii="Cambria" w:hAnsi="Cambria" w:eastAsia="宋体" w:cs="宋体"/>
      <w:b/>
      <w:bCs/>
      <w:kern w:val="2"/>
      <w:sz w:val="32"/>
      <w:szCs w:val="32"/>
    </w:rPr>
  </w:style>
  <w:style w:type="paragraph" w:customStyle="1" w:styleId="32">
    <w:name w:val="TOC 标题1"/>
    <w:basedOn w:val="3"/>
    <w:next w:val="1"/>
    <w:qFormat/>
    <w:uiPriority w:val="39"/>
    <w:pPr>
      <w:widowControl/>
      <w:spacing w:before="480" w:after="0" w:line="276" w:lineRule="auto"/>
      <w:jc w:val="left"/>
      <w:outlineLvl w:val="9"/>
    </w:pPr>
    <w:rPr>
      <w:rFonts w:ascii="Cambria" w:hAnsi="Cambria" w:eastAsia="宋体" w:cs="宋体"/>
      <w:color w:val="376092"/>
      <w:kern w:val="0"/>
      <w:sz w:val="28"/>
      <w:szCs w:val="28"/>
    </w:rPr>
  </w:style>
  <w:style w:type="character" w:customStyle="1" w:styleId="33">
    <w:name w:val="批注框文本 字符"/>
    <w:basedOn w:val="18"/>
    <w:link w:val="10"/>
    <w:qFormat/>
    <w:uiPriority w:val="99"/>
    <w:rPr>
      <w:rFonts w:ascii="Times New Roman" w:hAnsi="Times New Roman"/>
      <w:kern w:val="2"/>
      <w:sz w:val="18"/>
      <w:szCs w:val="18"/>
    </w:rPr>
  </w:style>
  <w:style w:type="character" w:customStyle="1" w:styleId="34">
    <w:name w:val="标题 3 字符"/>
    <w:basedOn w:val="18"/>
    <w:link w:val="5"/>
    <w:qFormat/>
    <w:uiPriority w:val="9"/>
    <w:rPr>
      <w:rFonts w:ascii="Times New Roman" w:hAnsi="Times New Roman"/>
      <w:b/>
      <w:bCs/>
      <w:kern w:val="2"/>
      <w:sz w:val="32"/>
      <w:szCs w:val="32"/>
    </w:rPr>
  </w:style>
  <w:style w:type="paragraph" w:customStyle="1" w:styleId="35">
    <w:name w:val="TOC 标题2"/>
    <w:basedOn w:val="3"/>
    <w:next w:val="1"/>
    <w:qFormat/>
    <w:uiPriority w:val="39"/>
    <w:pPr>
      <w:widowControl/>
      <w:spacing w:before="480" w:after="0" w:line="276" w:lineRule="auto"/>
      <w:jc w:val="left"/>
      <w:outlineLvl w:val="9"/>
    </w:pPr>
    <w:rPr>
      <w:rFonts w:ascii="Cambria" w:hAnsi="Cambria" w:eastAsia="宋体" w:cs="宋体"/>
      <w:color w:val="376092"/>
      <w:kern w:val="0"/>
      <w:sz w:val="28"/>
      <w:szCs w:val="28"/>
    </w:rPr>
  </w:style>
  <w:style w:type="paragraph" w:customStyle="1" w:styleId="36">
    <w:name w:val="四号正文"/>
    <w:basedOn w:val="1"/>
    <w:qFormat/>
    <w:uiPriority w:val="0"/>
    <w:pPr>
      <w:spacing w:line="360" w:lineRule="auto"/>
    </w:pPr>
    <w:rPr>
      <w:rFonts w:ascii="??" w:hAnsi="??"/>
      <w:color w:val="000000"/>
      <w:kern w:val="0"/>
      <w:sz w:val="28"/>
      <w:szCs w:val="21"/>
      <w:lang w:val="zh-CN"/>
    </w:rPr>
  </w:style>
  <w:style w:type="paragraph" w:customStyle="1" w:styleId="37">
    <w:name w:val="〖C01〗正文"/>
    <w:qFormat/>
    <w:uiPriority w:val="99"/>
    <w:pPr>
      <w:widowControl w:val="0"/>
      <w:topLinePunct/>
      <w:spacing w:line="600" w:lineRule="exact"/>
      <w:ind w:firstLine="637" w:firstLineChars="200"/>
    </w:pPr>
    <w:rPr>
      <w:rFonts w:ascii="仿宋_GB2312" w:hAnsi="Calibri" w:eastAsia="仿宋_GB2312" w:cs="Times New Roman"/>
      <w:kern w:val="2"/>
      <w:sz w:val="32"/>
      <w:szCs w:val="32"/>
      <w:lang w:val="en-US" w:eastAsia="zh-CN" w:bidi="ar-SA"/>
    </w:rPr>
  </w:style>
  <w:style w:type="character" w:customStyle="1" w:styleId="38">
    <w:name w:val="font51"/>
    <w:basedOn w:val="18"/>
    <w:qFormat/>
    <w:uiPriority w:val="0"/>
    <w:rPr>
      <w:rFonts w:hint="eastAsia" w:ascii="微软雅黑" w:hAnsi="微软雅黑" w:eastAsia="微软雅黑" w:cs="微软雅黑"/>
      <w:color w:val="000000"/>
      <w:sz w:val="16"/>
      <w:szCs w:val="16"/>
      <w:u w:val="none"/>
    </w:rPr>
  </w:style>
  <w:style w:type="character" w:customStyle="1" w:styleId="39">
    <w:name w:val="font61"/>
    <w:basedOn w:val="18"/>
    <w:qFormat/>
    <w:uiPriority w:val="0"/>
    <w:rPr>
      <w:rFonts w:hint="eastAsia" w:ascii="微软雅黑" w:hAnsi="微软雅黑" w:eastAsia="微软雅黑" w:cs="微软雅黑"/>
      <w:color w:val="000000"/>
      <w:sz w:val="16"/>
      <w:szCs w:val="16"/>
      <w:u w:val="none"/>
    </w:rPr>
  </w:style>
  <w:style w:type="paragraph" w:customStyle="1" w:styleId="40">
    <w:name w:val="WPSOffice手动目录 1"/>
    <w:qFormat/>
    <w:uiPriority w:val="0"/>
    <w:pPr>
      <w:ind w:leftChars="0"/>
    </w:pPr>
    <w:rPr>
      <w:rFonts w:ascii="Times New Roman" w:hAnsi="Times New Roman" w:eastAsia="宋体" w:cs="Times New Roman"/>
      <w:sz w:val="20"/>
      <w:szCs w:val="20"/>
    </w:rPr>
  </w:style>
  <w:style w:type="paragraph" w:customStyle="1" w:styleId="41">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chart" Target="charts/chart7.xml"/><Relationship Id="rId13" Type="http://schemas.openxmlformats.org/officeDocument/2006/relationships/chart" Target="charts/chart6.xml"/><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7.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7.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260" b="1" i="0" u="none" strike="noStrike" kern="1200" baseline="0">
              <a:solidFill>
                <a:schemeClr val="tx1">
                  <a:lumMod val="75000"/>
                  <a:lumOff val="25000"/>
                </a:schemeClr>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收、支决算总计变动情况图   单位：万元</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5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2021年</c:v>
                </c:pt>
                <c:pt idx="1">
                  <c:v>2022年</c:v>
                </c:pt>
              </c:strCache>
            </c:strRef>
          </c:cat>
          <c:val>
            <c:numRef>
              <c:f>Sheet1!$B$2:$B$3</c:f>
              <c:numCache>
                <c:formatCode>General</c:formatCode>
                <c:ptCount val="2"/>
                <c:pt idx="0">
                  <c:v>1958.37</c:v>
                </c:pt>
                <c:pt idx="1">
                  <c:v>2025.91</c:v>
                </c:pt>
              </c:numCache>
            </c:numRef>
          </c:val>
        </c:ser>
        <c:dLbls>
          <c:showLegendKey val="0"/>
          <c:showVal val="1"/>
          <c:showCatName val="0"/>
          <c:showSerName val="0"/>
          <c:showPercent val="0"/>
          <c:showBubbleSize val="0"/>
        </c:dLbls>
        <c:gapWidth val="246"/>
        <c:overlap val="-28"/>
        <c:axId val="350431818"/>
        <c:axId val="916712096"/>
      </c:barChart>
      <c:catAx>
        <c:axId val="35043181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mn-lt"/>
                <a:ea typeface="+mn-ea"/>
                <a:cs typeface="+mn-cs"/>
              </a:defRPr>
            </a:pPr>
          </a:p>
        </c:txPr>
        <c:crossAx val="916712096"/>
        <c:crosses val="autoZero"/>
        <c:auto val="1"/>
        <c:lblAlgn val="ctr"/>
        <c:lblOffset val="100"/>
        <c:noMultiLvlLbl val="0"/>
      </c:catAx>
      <c:valAx>
        <c:axId val="916712096"/>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mn-lt"/>
                <a:ea typeface="+mn-ea"/>
                <a:cs typeface="+mn-cs"/>
              </a:defRPr>
            </a:pPr>
          </a:p>
        </c:txPr>
        <c:crossAx val="350431818"/>
        <c:crosses val="autoZero"/>
        <c:crossBetween val="between"/>
      </c:valAx>
      <c:spPr>
        <a:noFill/>
        <a:ln>
          <a:noFill/>
        </a:ln>
        <a:effectLst/>
      </c:spPr>
    </c:plotArea>
    <c:plotVisOnly val="1"/>
    <c:dispBlanksAs val="gap"/>
    <c:showDLblsOverMax val="0"/>
    <c:extLst>
      <c:ext uri="{0b15fc19-7d7d-44ad-8c2d-2c3a37ce22c3}">
        <chartProps xmlns="https://web.wps.cn/et/2018/main" chartId="{07902ff5-2feb-42ab-b2ae-aa676047591a}"/>
      </c:ext>
    </c:extLst>
  </c:chart>
  <c:spPr>
    <a:solidFill>
      <a:schemeClr val="bg1"/>
    </a:solidFill>
    <a:ln w="9525" cap="flat" cmpd="sng" algn="ctr">
      <a:solidFill>
        <a:schemeClr val="tx1">
          <a:lumMod val="15000"/>
          <a:lumOff val="85000"/>
        </a:schemeClr>
      </a:solidFill>
      <a:round/>
    </a:ln>
    <a:effectLst/>
  </c:spPr>
  <c:txPr>
    <a:bodyPr/>
    <a:lstStyle/>
    <a:p>
      <a:pPr>
        <a:defRPr lang="zh-CN" sz="1050"/>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pieChart>
        <c:varyColors val="1"/>
        <c:ser>
          <c:idx val="0"/>
          <c:order val="0"/>
          <c:tx>
            <c:strRef>
              <c:f>Sheet1!$B$1</c:f>
              <c:strCache>
                <c:ptCount val="1"/>
                <c:pt idx="0">
                  <c:v>收入决算结构图   </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Lbls>
            <c:dLbl>
              <c:idx val="0"/>
              <c:layout>
                <c:manualLayout>
                  <c:x val="-0.00362406378352259"/>
                  <c:y val="-0.176370590735232"/>
                </c:manualLayout>
              </c:layout>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0736892969316261"/>
                  <c:y val="-0.099872503187420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140130466296207"/>
                  <c:y val="0.033999150021249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10630587098333"/>
                  <c:y val="0.0424989375265618"/>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0.125634211162116"/>
                  <c:y val="-0.016999575010624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0.0398647016187485"/>
                  <c:y val="-0.121121971950701"/>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0.122010147378594"/>
                  <c:y val="-0.0403739906502338"/>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7"/>
              <c:layout>
                <c:manualLayout>
                  <c:x val="-0.102681807199807"/>
                  <c:y val="-0.0658733531661709"/>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一般公共预算财政拨款收入</c:v>
                </c:pt>
                <c:pt idx="1">
                  <c:v>政府性基金预算财政拨款收入</c:v>
                </c:pt>
                <c:pt idx="2">
                  <c:v>国有资本经营预算财政拨款收入</c:v>
                </c:pt>
                <c:pt idx="3">
                  <c:v>上级补助收入</c:v>
                </c:pt>
                <c:pt idx="4">
                  <c:v>事业收入</c:v>
                </c:pt>
                <c:pt idx="5">
                  <c:v>经营收入</c:v>
                </c:pt>
                <c:pt idx="6">
                  <c:v>附属单位上缴收入</c:v>
                </c:pt>
                <c:pt idx="7">
                  <c:v>其他收入</c:v>
                </c:pt>
              </c:strCache>
            </c:strRef>
          </c:cat>
          <c:val>
            <c:numRef>
              <c:f>Sheet1!$B$2:$B$9</c:f>
              <c:numCache>
                <c:formatCode>General</c:formatCode>
                <c:ptCount val="8"/>
                <c:pt idx="0">
                  <c:v>1983.18</c:v>
                </c:pt>
                <c:pt idx="1">
                  <c:v>32.58</c:v>
                </c:pt>
                <c:pt idx="2">
                  <c:v>0</c:v>
                </c:pt>
                <c:pt idx="3">
                  <c:v>0</c:v>
                </c:pt>
                <c:pt idx="4">
                  <c:v>0</c:v>
                </c:pt>
                <c:pt idx="5">
                  <c:v>0</c:v>
                </c:pt>
                <c:pt idx="6">
                  <c:v>0</c:v>
                </c:pt>
                <c:pt idx="7">
                  <c:v>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128050253684465"/>
          <c:y val="0.12027199320017"/>
          <c:w val="0.721671901425465"/>
          <c:h val="0.13748406289842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cadf1384-8ef4-489f-b1f9-fed064ed3d2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pieChart>
        <c:varyColors val="1"/>
        <c:ser>
          <c:idx val="0"/>
          <c:order val="0"/>
          <c:tx>
            <c:strRef>
              <c:f>Sheet1!$B$1</c:f>
              <c:strCache>
                <c:ptCount val="1"/>
                <c:pt idx="0">
                  <c:v>支出决算结构图   </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079729403237497"/>
                  <c:y val="-0.15299617509562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0652331481034066"/>
                  <c:y val="0.112622184445389"/>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073689296931626"/>
                  <c:y val="-0.023374415639609"/>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117178062333897"/>
                  <c:y val="-0.023374415639609"/>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0.130466296206813"/>
                  <c:y val="0.040373990650233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1616.08</c:v>
                </c:pt>
                <c:pt idx="1">
                  <c:v>402.46</c:v>
                </c:pt>
                <c:pt idx="2">
                  <c:v>0</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6bdf159-0237-436f-aa4b-52ed7e5bb96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260" b="1" i="0" u="none" strike="noStrike" kern="1200" baseline="0">
              <a:solidFill>
                <a:schemeClr val="tx1">
                  <a:lumMod val="75000"/>
                  <a:lumOff val="25000"/>
                </a:schemeClr>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财政拨款收、支决算总计变动情况   单位：万元</c:v>
                </c:pt>
              </c:strCache>
            </c:strRef>
          </c:tx>
          <c:spPr>
            <a:solidFill>
              <a:schemeClr val="accent1"/>
            </a:solidFill>
            <a:ln>
              <a:noFill/>
            </a:ln>
            <a:effectLst/>
          </c:spPr>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105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2021年</c:v>
                </c:pt>
                <c:pt idx="1">
                  <c:v>2022年</c:v>
                </c:pt>
              </c:strCache>
            </c:strRef>
          </c:cat>
          <c:val>
            <c:numRef>
              <c:f>Sheet1!$B$2:$B$3</c:f>
              <c:numCache>
                <c:formatCode>General</c:formatCode>
                <c:ptCount val="2"/>
                <c:pt idx="0">
                  <c:v>1948.26</c:v>
                </c:pt>
                <c:pt idx="1">
                  <c:v>2017.7</c:v>
                </c:pt>
              </c:numCache>
            </c:numRef>
          </c:val>
        </c:ser>
        <c:dLbls>
          <c:showLegendKey val="0"/>
          <c:showVal val="1"/>
          <c:showCatName val="0"/>
          <c:showSerName val="0"/>
          <c:showPercent val="0"/>
          <c:showBubbleSize val="0"/>
        </c:dLbls>
        <c:gapWidth val="246"/>
        <c:overlap val="-28"/>
        <c:axId val="175444600"/>
        <c:axId val="24839702"/>
      </c:barChart>
      <c:catAx>
        <c:axId val="17544460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mn-lt"/>
                <a:ea typeface="+mn-ea"/>
                <a:cs typeface="+mn-cs"/>
              </a:defRPr>
            </a:pPr>
          </a:p>
        </c:txPr>
        <c:crossAx val="24839702"/>
        <c:crosses val="autoZero"/>
        <c:auto val="1"/>
        <c:lblAlgn val="ctr"/>
        <c:lblOffset val="100"/>
        <c:noMultiLvlLbl val="0"/>
      </c:catAx>
      <c:valAx>
        <c:axId val="2483970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mn-lt"/>
                <a:ea typeface="+mn-ea"/>
                <a:cs typeface="+mn-cs"/>
              </a:defRPr>
            </a:pPr>
          </a:p>
        </c:txPr>
        <c:crossAx val="175444600"/>
        <c:crosses val="autoZero"/>
        <c:crossBetween val="between"/>
      </c:valAx>
      <c:spPr>
        <a:noFill/>
        <a:ln>
          <a:noFill/>
        </a:ln>
        <a:effectLst/>
      </c:spPr>
    </c:plotArea>
    <c:plotVisOnly val="1"/>
    <c:dispBlanksAs val="gap"/>
    <c:showDLblsOverMax val="0"/>
    <c:extLst>
      <c:ext uri="{0b15fc19-7d7d-44ad-8c2d-2c3a37ce22c3}">
        <chartProps xmlns="https://web.wps.cn/et/2018/main" chartId="{f662e361-1976-4691-a2dd-1b4e149cf939}"/>
      </c:ext>
    </c:extLst>
  </c:chart>
  <c:spPr>
    <a:solidFill>
      <a:schemeClr val="bg1"/>
    </a:solidFill>
    <a:ln w="9525" cap="flat" cmpd="sng" algn="ctr">
      <a:solidFill>
        <a:schemeClr val="tx1">
          <a:lumMod val="15000"/>
          <a:lumOff val="85000"/>
        </a:schemeClr>
      </a:solidFill>
      <a:round/>
    </a:ln>
    <a:effectLst/>
  </c:spPr>
  <c:txPr>
    <a:bodyPr/>
    <a:lstStyle/>
    <a:p>
      <a:pPr>
        <a:defRPr lang="zh-CN" sz="1050"/>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0865547233631312"/>
          <c:y val="0.023374415639609"/>
        </c:manualLayout>
      </c:layout>
      <c:overlay val="0"/>
      <c:spPr>
        <a:noFill/>
        <a:ln>
          <a:noFill/>
        </a:ln>
        <a:effectLst/>
      </c:spPr>
      <c:txPr>
        <a:bodyPr rot="0" spcFirstLastPara="0" vertOverflow="ellipsis" vert="horz" wrap="square" anchor="ctr" anchorCtr="1"/>
        <a:lstStyle/>
        <a:p>
          <a:pPr>
            <a:defRPr lang="zh-CN" sz="900" b="1" i="0" u="none" strike="noStrike" kern="1200" baseline="0">
              <a:solidFill>
                <a:schemeClr val="tx1">
                  <a:lumMod val="75000"/>
                  <a:lumOff val="25000"/>
                </a:schemeClr>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一般公共预算财政拨款支出决算变动情况   单位：万元</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75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2021年</c:v>
                </c:pt>
                <c:pt idx="1">
                  <c:v>2022年</c:v>
                </c:pt>
              </c:strCache>
            </c:strRef>
          </c:cat>
          <c:val>
            <c:numRef>
              <c:f>Sheet1!$B$2:$B$3</c:f>
              <c:numCache>
                <c:formatCode>General</c:formatCode>
                <c:ptCount val="2"/>
                <c:pt idx="0">
                  <c:v>1834.62</c:v>
                </c:pt>
                <c:pt idx="1">
                  <c:v>1983.18</c:v>
                </c:pt>
              </c:numCache>
            </c:numRef>
          </c:val>
        </c:ser>
        <c:dLbls>
          <c:showLegendKey val="0"/>
          <c:showVal val="1"/>
          <c:showCatName val="0"/>
          <c:showSerName val="0"/>
          <c:showPercent val="0"/>
          <c:showBubbleSize val="0"/>
        </c:dLbls>
        <c:gapWidth val="246"/>
        <c:overlap val="-28"/>
        <c:axId val="277153041"/>
        <c:axId val="31850717"/>
      </c:barChart>
      <c:catAx>
        <c:axId val="27715304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750" b="0" i="0" u="none" strike="noStrike" kern="1200" baseline="0">
                <a:solidFill>
                  <a:schemeClr val="tx1">
                    <a:lumMod val="65000"/>
                    <a:lumOff val="35000"/>
                  </a:schemeClr>
                </a:solidFill>
                <a:latin typeface="+mn-lt"/>
                <a:ea typeface="+mn-ea"/>
                <a:cs typeface="+mn-cs"/>
              </a:defRPr>
            </a:pPr>
          </a:p>
        </c:txPr>
        <c:crossAx val="31850717"/>
        <c:crosses val="autoZero"/>
        <c:auto val="1"/>
        <c:lblAlgn val="ctr"/>
        <c:lblOffset val="100"/>
        <c:noMultiLvlLbl val="0"/>
      </c:catAx>
      <c:valAx>
        <c:axId val="31850717"/>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750" b="0" i="0" u="none" strike="noStrike" kern="1200" baseline="0">
                <a:solidFill>
                  <a:schemeClr val="tx1">
                    <a:lumMod val="65000"/>
                    <a:lumOff val="35000"/>
                  </a:schemeClr>
                </a:solidFill>
                <a:latin typeface="+mn-lt"/>
                <a:ea typeface="+mn-ea"/>
                <a:cs typeface="+mn-cs"/>
              </a:defRPr>
            </a:pPr>
          </a:p>
        </c:txPr>
        <c:crossAx val="277153041"/>
        <c:crosses val="autoZero"/>
        <c:crossBetween val="between"/>
      </c:valAx>
      <c:spPr>
        <a:noFill/>
        <a:ln>
          <a:noFill/>
        </a:ln>
        <a:effectLst/>
      </c:spPr>
    </c:plotArea>
    <c:plotVisOnly val="1"/>
    <c:dispBlanksAs val="gap"/>
    <c:showDLblsOverMax val="0"/>
    <c:extLst>
      <c:ext uri="{0b15fc19-7d7d-44ad-8c2d-2c3a37ce22c3}">
        <chartProps xmlns="https://web.wps.cn/et/2018/main" chartId="{ec08945c-59ee-47ca-ab1f-689bbd5d4a2d}"/>
      </c:ext>
    </c:extLst>
  </c:chart>
  <c:spPr>
    <a:solidFill>
      <a:schemeClr val="bg1"/>
    </a:solidFill>
    <a:ln w="9525" cap="flat" cmpd="sng" algn="ctr">
      <a:solidFill>
        <a:schemeClr val="tx1">
          <a:lumMod val="15000"/>
          <a:lumOff val="85000"/>
        </a:schemeClr>
      </a:solidFill>
      <a:round/>
    </a:ln>
    <a:effectLst/>
  </c:spPr>
  <c:txPr>
    <a:bodyPr/>
    <a:lstStyle/>
    <a:p>
      <a:pPr>
        <a:defRPr lang="zh-CN" sz="750"/>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pieChart>
        <c:varyColors val="1"/>
        <c:ser>
          <c:idx val="0"/>
          <c:order val="0"/>
          <c:tx>
            <c:strRef>
              <c:f>Sheet1!$B$1</c:f>
              <c:strCache>
                <c:ptCount val="1"/>
                <c:pt idx="0">
                  <c:v>一般公共预算财政拨款支出决算结构  </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Lbls>
            <c:dLbl>
              <c:idx val="1"/>
              <c:layout>
                <c:manualLayout>
                  <c:x val="-0.129124511787119"/>
                  <c:y val="0.0380984740290908"/>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0650993849448866"/>
                  <c:y val="0.0784724646793246"/>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061475321161364"/>
                  <c:y val="-0.00865035725012719"/>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0.0437743992193139"/>
                  <c:y val="-0.084818440271856"/>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0.0195766643570945"/>
                  <c:y val="-0.084492987666639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0.0757210013648106"/>
                  <c:y val="-0.0205959031451756"/>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一般公共服务支出</c:v>
                </c:pt>
                <c:pt idx="1">
                  <c:v>教育支出</c:v>
                </c:pt>
                <c:pt idx="2">
                  <c:v>科学技术支出</c:v>
                </c:pt>
                <c:pt idx="3">
                  <c:v>文化旅游体育与传媒支出</c:v>
                </c:pt>
                <c:pt idx="4">
                  <c:v>社会保障和就业支出</c:v>
                </c:pt>
                <c:pt idx="5">
                  <c:v>卫生健康支出</c:v>
                </c:pt>
                <c:pt idx="6">
                  <c:v>住房保障支出</c:v>
                </c:pt>
              </c:strCache>
            </c:strRef>
          </c:cat>
          <c:val>
            <c:numRef>
              <c:f>Sheet1!$B$2:$B$8</c:f>
              <c:numCache>
                <c:formatCode>General</c:formatCode>
                <c:ptCount val="7"/>
                <c:pt idx="0">
                  <c:v>1719.09</c:v>
                </c:pt>
                <c:pt idx="1">
                  <c:v>0</c:v>
                </c:pt>
                <c:pt idx="2">
                  <c:v>0</c:v>
                </c:pt>
                <c:pt idx="3">
                  <c:v>0</c:v>
                </c:pt>
                <c:pt idx="4">
                  <c:v>122.51</c:v>
                </c:pt>
                <c:pt idx="5">
                  <c:v>44.41</c:v>
                </c:pt>
                <c:pt idx="6">
                  <c:v>97.16</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58167948-696a-43d4-a859-b939eaa9ba3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pieChart>
        <c:varyColors val="1"/>
        <c:ser>
          <c:idx val="0"/>
          <c:order val="0"/>
          <c:tx>
            <c:strRef>
              <c:f>Sheet1!$B$1</c:f>
              <c:strCache>
                <c:ptCount val="1"/>
                <c:pt idx="0">
                  <c:v>“三公”经费财政拨款支出结构  </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dLbl>
              <c:idx val="0"/>
              <c:layout>
                <c:manualLayout>
                  <c:x val="-0.0604010630587098"/>
                  <c:y val="-0.0148746281342966"/>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0724812756704518"/>
                  <c:y val="0.0084997875053123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因公出国（境）费支出</c:v>
                </c:pt>
                <c:pt idx="1">
                  <c:v>公务用车购置及运行维护费支出</c:v>
                </c:pt>
                <c:pt idx="2">
                  <c:v>公务接待费支出</c:v>
                </c:pt>
              </c:strCache>
            </c:strRef>
          </c:cat>
          <c:val>
            <c:numRef>
              <c:f>Sheet1!$B$2:$B$4</c:f>
              <c:numCache>
                <c:formatCode>General</c:formatCode>
                <c:ptCount val="3"/>
                <c:pt idx="0">
                  <c:v>0</c:v>
                </c:pt>
                <c:pt idx="1">
                  <c:v>10.88</c:v>
                </c:pt>
                <c:pt idx="2">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e8532d5-3550-440e-b7db-11f84b44e1d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四川省财政厅</Company>
  <Pages>58</Pages>
  <Words>12363</Words>
  <Characters>13145</Characters>
  <Paragraphs>3073</Paragraphs>
  <TotalTime>16</TotalTime>
  <ScaleCrop>false</ScaleCrop>
  <LinksUpToDate>false</LinksUpToDate>
  <CharactersWithSpaces>13279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2023-11-30T13:49:00Z</dcterms:created>
  <dc:creator>曹颖</dc:creator>
  <cp:lastModifiedBy>WPS_1559555363</cp:lastModifiedBy>
  <cp:lastPrinted>2023-12-12T08:13:00Z</cp:lastPrinted>
  <dcterms:modified xsi:type="dcterms:W3CDTF">2024-12-24T06:20:52Z</dcterms:modified>
  <dc:title>四川省***</dc:title>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BDC15E33AFCD4E28B635DC9C5BEDCA33_13</vt:lpwstr>
  </property>
</Properties>
</file>