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eastAsia"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7974"/>
      <w:bookmarkStart w:id="3" w:name="_Toc15396475"/>
      <w:bookmarkStart w:id="4" w:name="_Toc15378441"/>
      <w:bookmarkStart w:id="5" w:name="_Toc15396597"/>
      <w:bookmarkStart w:id="6"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bookmarkStart w:id="7" w:name="_Toc15378442"/>
      <w:bookmarkStart w:id="8" w:name="_Toc15377426"/>
      <w:bookmarkStart w:id="9" w:name="_Toc666"/>
      <w:bookmarkStart w:id="10" w:name="_Toc15306268"/>
      <w:bookmarkStart w:id="11" w:name="_Toc15396476"/>
      <w:bookmarkStart w:id="12" w:name="_Toc15377194"/>
      <w:bookmarkStart w:id="13" w:name="_Toc15396598"/>
      <w:r>
        <w:rPr>
          <w:rFonts w:hint="eastAsia" w:ascii="方正小标宋简体" w:hAnsi="方正小标宋简体" w:eastAsia="方正小标宋简体" w:cs="方正小标宋简体"/>
          <w:sz w:val="56"/>
          <w:szCs w:val="56"/>
          <w:lang w:val="en-US" w:eastAsia="zh-CN"/>
        </w:rPr>
        <w:t>峨眉山市财政服务中心</w:t>
      </w:r>
      <w:r>
        <w:rPr>
          <w:rFonts w:hint="eastAsia" w:ascii="方正小标宋简体" w:hAnsi="方正小标宋简体" w:eastAsia="方正小标宋简体" w:cs="方正小标宋简体"/>
          <w:sz w:val="56"/>
          <w:szCs w:val="56"/>
        </w:rPr>
        <w:t>决算</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1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公开时间：2023年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bookmarkStart w:id="100" w:name="_GoBack"/>
      <w:bookmarkEnd w:id="100"/>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黑体" w:eastAsia="黑体" w:cstheme="minorBidi"/>
          <w:sz w:val="28"/>
          <w:szCs w:val="28"/>
        </w:rPr>
      </w:pPr>
    </w:p>
    <w:sdt>
      <w:sdtPr>
        <w:rPr>
          <w:rFonts w:ascii="宋体" w:hAnsi="宋体" w:eastAsia="宋体" w:cs="Times New Roman"/>
          <w:kern w:val="2"/>
          <w:sz w:val="21"/>
          <w:szCs w:val="24"/>
          <w:lang w:val="en-US" w:eastAsia="zh-CN" w:bidi="ar-SA"/>
        </w:rPr>
        <w:id w:val="14745190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pStyle w:val="33"/>
            <w:tabs>
              <w:tab w:val="right" w:leader="dot" w:pos="8306"/>
            </w:tabs>
            <w:rPr>
              <w:b/>
            </w:rPr>
          </w:pPr>
          <w:bookmarkStart w:id="14" w:name="_Toc15396599"/>
          <w:bookmarkStart w:id="15" w:name="_Toc15377196"/>
          <w:r>
            <w:fldChar w:fldCharType="begin"/>
          </w:r>
          <w:r>
            <w:instrText xml:space="preserve">TOC \o "1-2" \h \u </w:instrText>
          </w:r>
          <w:r>
            <w:fldChar w:fldCharType="separate"/>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黑体" w:hAnsi="黑体" w:eastAsia="黑体" w:cs="黑体"/>
              <w:b/>
              <w:sz w:val="24"/>
              <w:szCs w:val="24"/>
            </w:rPr>
          </w:pP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HYPERLINK \l _Toc30631 </w:instrText>
          </w:r>
          <w:r>
            <w:rPr>
              <w:rFonts w:hint="eastAsia" w:ascii="黑体" w:hAnsi="黑体" w:eastAsia="黑体" w:cs="黑体"/>
              <w:b/>
              <w:sz w:val="24"/>
              <w:szCs w:val="24"/>
            </w:rPr>
            <w:fldChar w:fldCharType="separate"/>
          </w:r>
          <w:r>
            <w:rPr>
              <w:rFonts w:hint="eastAsia" w:ascii="黑体" w:hAnsi="黑体" w:eastAsia="黑体" w:cs="黑体"/>
              <w:b/>
              <w:sz w:val="24"/>
              <w:szCs w:val="24"/>
            </w:rPr>
            <w:t>第一部分 单位概况</w:t>
          </w:r>
          <w:r>
            <w:rPr>
              <w:rFonts w:hint="eastAsia" w:ascii="黑体" w:hAnsi="黑体" w:eastAsia="黑体" w:cs="黑体"/>
              <w:b/>
              <w:sz w:val="24"/>
              <w:szCs w:val="24"/>
            </w:rPr>
            <w:tab/>
          </w:r>
          <w:r>
            <w:rPr>
              <w:rFonts w:hint="eastAsia" w:ascii="黑体" w:hAnsi="黑体" w:eastAsia="黑体" w:cs="黑体"/>
              <w:b/>
              <w:sz w:val="24"/>
              <w:szCs w:val="24"/>
              <w:lang w:val="en-US" w:eastAsia="zh-CN"/>
            </w:rPr>
            <w:t>3</w:t>
          </w:r>
          <w:r>
            <w:rPr>
              <w:rFonts w:hint="eastAsia" w:ascii="黑体" w:hAnsi="黑体" w:eastAsia="黑体" w:cs="黑体"/>
              <w:b/>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_Toc25139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eastAsia="zh-CN"/>
            </w:rPr>
            <w:t>一、主要职责</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_Toc3490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en-US" w:eastAsia="zh-CN"/>
            </w:rPr>
            <w:t>二、机构设置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黑体" w:hAnsi="黑体" w:eastAsia="黑体" w:cs="黑体"/>
              <w:b/>
              <w:sz w:val="24"/>
              <w:szCs w:val="24"/>
            </w:rPr>
          </w:pP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HYPERLINK \l _Toc12684 </w:instrText>
          </w:r>
          <w:r>
            <w:rPr>
              <w:rFonts w:hint="eastAsia" w:ascii="黑体" w:hAnsi="黑体" w:eastAsia="黑体" w:cs="黑体"/>
              <w:b/>
              <w:sz w:val="24"/>
              <w:szCs w:val="24"/>
            </w:rPr>
            <w:fldChar w:fldCharType="separate"/>
          </w:r>
          <w:r>
            <w:rPr>
              <w:rFonts w:hint="eastAsia" w:ascii="黑体" w:hAnsi="黑体" w:eastAsia="黑体" w:cs="黑体"/>
              <w:b/>
              <w:sz w:val="24"/>
              <w:szCs w:val="24"/>
            </w:rPr>
            <w:t>第二部分 2022年度单位决算情况说明</w:t>
          </w:r>
          <w:r>
            <w:rPr>
              <w:rFonts w:hint="eastAsia" w:ascii="黑体" w:hAnsi="黑体" w:eastAsia="黑体" w:cs="黑体"/>
              <w:b/>
              <w:sz w:val="24"/>
              <w:szCs w:val="24"/>
            </w:rPr>
            <w:tab/>
          </w: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PAGEREF _Toc12684 </w:instrText>
          </w:r>
          <w:r>
            <w:rPr>
              <w:rFonts w:hint="eastAsia" w:ascii="黑体" w:hAnsi="黑体" w:eastAsia="黑体" w:cs="黑体"/>
              <w:b/>
              <w:sz w:val="24"/>
              <w:szCs w:val="24"/>
            </w:rPr>
            <w:fldChar w:fldCharType="separate"/>
          </w:r>
          <w:r>
            <w:rPr>
              <w:rFonts w:hint="eastAsia" w:ascii="黑体" w:hAnsi="黑体" w:eastAsia="黑体" w:cs="黑体"/>
              <w:b/>
              <w:sz w:val="24"/>
              <w:szCs w:val="24"/>
            </w:rPr>
            <w:t>4</w:t>
          </w:r>
          <w:r>
            <w:rPr>
              <w:rFonts w:hint="eastAsia" w:ascii="黑体" w:hAnsi="黑体" w:eastAsia="黑体" w:cs="黑体"/>
              <w:b/>
              <w:sz w:val="24"/>
              <w:szCs w:val="24"/>
            </w:rPr>
            <w:fldChar w:fldCharType="end"/>
          </w:r>
          <w:r>
            <w:rPr>
              <w:rFonts w:hint="eastAsia" w:ascii="黑体" w:hAnsi="黑体" w:eastAsia="黑体" w:cs="黑体"/>
              <w:b/>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_Toc23770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eastAsia="zh-CN"/>
            </w:rPr>
            <w:t>一、收入支出决算总体情况说明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_Toc23770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_Toc14524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kern w:val="2"/>
              <w:sz w:val="24"/>
              <w:szCs w:val="24"/>
              <w:lang w:val="en-US" w:eastAsia="zh-CN" w:bidi="ar-SA"/>
            </w:rPr>
            <w:t>二、收入决算情况说明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_Toc14524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_Toc25980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_Toc25980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_Toc16211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_Toc16211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_Toc10566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_Toc10566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_Toc13852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kern w:val="2"/>
              <w:sz w:val="24"/>
              <w:szCs w:val="24"/>
              <w:lang w:val="en-US" w:eastAsia="zh-CN" w:bidi="ar-SA"/>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_Toc13852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_Toc30526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七、财政拨款“三公”经费支出决算情况说明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_Toc30526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_Toc2368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_Toc2368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_Toc7708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eastAsia="zh-CN"/>
            </w:rPr>
            <w:t>十、其他重要事项的情况说明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_Toc7708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黑体" w:hAnsi="黑体" w:eastAsia="黑体" w:cs="黑体"/>
              <w:b/>
              <w:sz w:val="24"/>
              <w:szCs w:val="24"/>
            </w:rPr>
          </w:pP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HYPERLINK \l _Toc27395 </w:instrText>
          </w:r>
          <w:r>
            <w:rPr>
              <w:rFonts w:hint="eastAsia" w:ascii="黑体" w:hAnsi="黑体" w:eastAsia="黑体" w:cs="黑体"/>
              <w:b/>
              <w:sz w:val="24"/>
              <w:szCs w:val="24"/>
            </w:rPr>
            <w:fldChar w:fldCharType="separate"/>
          </w:r>
          <w:r>
            <w:rPr>
              <w:rFonts w:hint="eastAsia" w:ascii="黑体" w:hAnsi="黑体" w:eastAsia="黑体" w:cs="黑体"/>
              <w:b/>
              <w:sz w:val="24"/>
              <w:szCs w:val="24"/>
              <w:lang w:val="en-US" w:eastAsia="zh-CN"/>
            </w:rPr>
            <w:t>第三部分 名词解释</w:t>
          </w:r>
          <w:r>
            <w:rPr>
              <w:rFonts w:hint="eastAsia" w:ascii="黑体" w:hAnsi="黑体" w:eastAsia="黑体" w:cs="黑体"/>
              <w:b/>
              <w:sz w:val="24"/>
              <w:szCs w:val="24"/>
            </w:rPr>
            <w:tab/>
          </w: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PAGEREF _Toc27395 </w:instrText>
          </w:r>
          <w:r>
            <w:rPr>
              <w:rFonts w:hint="eastAsia" w:ascii="黑体" w:hAnsi="黑体" w:eastAsia="黑体" w:cs="黑体"/>
              <w:b/>
              <w:sz w:val="24"/>
              <w:szCs w:val="24"/>
            </w:rPr>
            <w:fldChar w:fldCharType="separate"/>
          </w:r>
          <w:r>
            <w:rPr>
              <w:rFonts w:hint="eastAsia" w:ascii="黑体" w:hAnsi="黑体" w:eastAsia="黑体" w:cs="黑体"/>
              <w:b/>
              <w:sz w:val="24"/>
              <w:szCs w:val="24"/>
            </w:rPr>
            <w:t>12</w:t>
          </w:r>
          <w:r>
            <w:rPr>
              <w:rFonts w:hint="eastAsia" w:ascii="黑体" w:hAnsi="黑体" w:eastAsia="黑体" w:cs="黑体"/>
              <w:b/>
              <w:sz w:val="24"/>
              <w:szCs w:val="24"/>
            </w:rPr>
            <w:fldChar w:fldCharType="end"/>
          </w:r>
          <w:r>
            <w:rPr>
              <w:rFonts w:hint="eastAsia" w:ascii="黑体" w:hAnsi="黑体" w:eastAsia="黑体" w:cs="黑体"/>
              <w:b/>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黑体" w:hAnsi="黑体" w:eastAsia="黑体" w:cs="黑体"/>
              <w:b/>
              <w:sz w:val="24"/>
              <w:szCs w:val="24"/>
            </w:rPr>
          </w:pP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HYPERLINK \l _Toc17325 </w:instrText>
          </w:r>
          <w:r>
            <w:rPr>
              <w:rFonts w:hint="eastAsia" w:ascii="黑体" w:hAnsi="黑体" w:eastAsia="黑体" w:cs="黑体"/>
              <w:b/>
              <w:sz w:val="24"/>
              <w:szCs w:val="24"/>
            </w:rPr>
            <w:fldChar w:fldCharType="separate"/>
          </w:r>
          <w:r>
            <w:rPr>
              <w:rFonts w:hint="eastAsia" w:ascii="黑体" w:hAnsi="黑体" w:eastAsia="黑体" w:cs="黑体"/>
              <w:b/>
              <w:sz w:val="24"/>
              <w:szCs w:val="24"/>
            </w:rPr>
            <w:t>第四部分 附件</w:t>
          </w:r>
          <w:r>
            <w:rPr>
              <w:rFonts w:hint="eastAsia" w:ascii="黑体" w:hAnsi="黑体" w:eastAsia="黑体" w:cs="黑体"/>
              <w:b/>
              <w:sz w:val="24"/>
              <w:szCs w:val="24"/>
            </w:rPr>
            <w:tab/>
          </w: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PAGEREF _Toc17325 </w:instrText>
          </w:r>
          <w:r>
            <w:rPr>
              <w:rFonts w:hint="eastAsia" w:ascii="黑体" w:hAnsi="黑体" w:eastAsia="黑体" w:cs="黑体"/>
              <w:b/>
              <w:sz w:val="24"/>
              <w:szCs w:val="24"/>
            </w:rPr>
            <w:fldChar w:fldCharType="separate"/>
          </w:r>
          <w:r>
            <w:rPr>
              <w:rFonts w:hint="eastAsia" w:ascii="黑体" w:hAnsi="黑体" w:eastAsia="黑体" w:cs="黑体"/>
              <w:b/>
              <w:sz w:val="24"/>
              <w:szCs w:val="24"/>
            </w:rPr>
            <w:t>15</w:t>
          </w:r>
          <w:r>
            <w:rPr>
              <w:rFonts w:hint="eastAsia" w:ascii="黑体" w:hAnsi="黑体" w:eastAsia="黑体" w:cs="黑体"/>
              <w:b/>
              <w:sz w:val="24"/>
              <w:szCs w:val="24"/>
            </w:rPr>
            <w:fldChar w:fldCharType="end"/>
          </w:r>
          <w:r>
            <w:rPr>
              <w:rFonts w:hint="eastAsia" w:ascii="黑体" w:hAnsi="黑体" w:eastAsia="黑体" w:cs="黑体"/>
              <w:b/>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黑体" w:hAnsi="黑体" w:eastAsia="黑体" w:cs="黑体"/>
              <w:b w:val="0"/>
              <w:bCs/>
              <w:sz w:val="24"/>
              <w:szCs w:val="24"/>
            </w:rPr>
          </w:pP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HYPERLINK \l _Toc20228 </w:instrText>
          </w:r>
          <w:r>
            <w:rPr>
              <w:rFonts w:hint="eastAsia" w:ascii="黑体" w:hAnsi="黑体" w:eastAsia="黑体" w:cs="黑体"/>
              <w:b/>
              <w:sz w:val="24"/>
              <w:szCs w:val="24"/>
            </w:rPr>
            <w:fldChar w:fldCharType="separate"/>
          </w:r>
          <w:r>
            <w:rPr>
              <w:rFonts w:hint="eastAsia" w:ascii="黑体" w:hAnsi="黑体" w:eastAsia="黑体" w:cs="黑体"/>
              <w:b/>
              <w:sz w:val="24"/>
              <w:szCs w:val="24"/>
            </w:rPr>
            <w:t>第五部分 附表</w:t>
          </w:r>
          <w:r>
            <w:rPr>
              <w:rFonts w:hint="eastAsia" w:ascii="黑体" w:hAnsi="黑体" w:eastAsia="黑体" w:cs="黑体"/>
              <w:b/>
              <w:sz w:val="24"/>
              <w:szCs w:val="24"/>
            </w:rPr>
            <w:tab/>
          </w:r>
          <w:r>
            <w:rPr>
              <w:rFonts w:hint="eastAsia" w:ascii="黑体" w:hAnsi="黑体" w:eastAsia="黑体" w:cs="黑体"/>
              <w:b/>
              <w:sz w:val="24"/>
              <w:szCs w:val="24"/>
            </w:rPr>
            <w:fldChar w:fldCharType="begin"/>
          </w:r>
          <w:r>
            <w:rPr>
              <w:rFonts w:hint="eastAsia" w:ascii="黑体" w:hAnsi="黑体" w:eastAsia="黑体" w:cs="黑体"/>
              <w:b/>
              <w:sz w:val="24"/>
              <w:szCs w:val="24"/>
            </w:rPr>
            <w:instrText xml:space="preserve"> PAGEREF _Toc20228 </w:instrText>
          </w:r>
          <w:r>
            <w:rPr>
              <w:rFonts w:hint="eastAsia" w:ascii="黑体" w:hAnsi="黑体" w:eastAsia="黑体" w:cs="黑体"/>
              <w:b/>
              <w:sz w:val="24"/>
              <w:szCs w:val="24"/>
            </w:rPr>
            <w:fldChar w:fldCharType="separate"/>
          </w:r>
          <w:r>
            <w:rPr>
              <w:rFonts w:hint="eastAsia" w:ascii="黑体" w:hAnsi="黑体" w:eastAsia="黑体" w:cs="黑体"/>
              <w:b/>
              <w:sz w:val="24"/>
              <w:szCs w:val="24"/>
            </w:rPr>
            <w:t>17</w:t>
          </w:r>
          <w:r>
            <w:rPr>
              <w:rFonts w:hint="eastAsia" w:ascii="黑体" w:hAnsi="黑体" w:eastAsia="黑体" w:cs="黑体"/>
              <w:b/>
              <w:sz w:val="24"/>
              <w:szCs w:val="24"/>
            </w:rPr>
            <w:fldChar w:fldCharType="end"/>
          </w:r>
          <w:r>
            <w:rPr>
              <w:rFonts w:hint="eastAsia" w:ascii="黑体" w:hAnsi="黑体" w:eastAsia="黑体" w:cs="黑体"/>
              <w:b/>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_Toc12973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_Toc12973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_Toc26005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二、收入决算表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_Toc26005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_Toc9829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_Toc9829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_Toc15824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_Toc15824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_Toc30380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_Toc30380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_Toc26799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_Toc26799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_Toc12048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七、一般公共预算财政拨款支出决算明细表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_Toc12048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_Toc28699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八、一般公共预算财政拨款基本支出决算表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_Toc28699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_Toc29732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九、一般公共预算财政拨款项目支出决算表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_Toc29732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_Toc18302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十、政府性基金预算财政拨款收入支出决算表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_Toc18302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_Toc20540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十一、国有资本经营预算财政拨款收入支出决算表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_Toc20540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十二、国有资本经营预算财政拨款支出决算表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_Toc2856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十三、财政拨款“三公”经费支出决算表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_Toc2856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r>
            <w:rPr>
              <w:b/>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bookmarkEnd w:id="14"/>
    <w:bookmarkEnd w:id="15"/>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eastAsia="zh-CN"/>
        </w:rPr>
      </w:pPr>
      <w:bookmarkStart w:id="16" w:name="_Toc15396600"/>
      <w:bookmarkStart w:id="17" w:name="_Toc15377197"/>
      <w:bookmarkStart w:id="18" w:name="_Hlk146544157"/>
      <w:r>
        <w:rPr>
          <w:rFonts w:hint="eastAsia" w:ascii="方正小标宋_GBK" w:hAnsi="方正小标宋_GBK" w:eastAsia="方正小标宋_GBK" w:cs="方正小标宋_GBK"/>
          <w:sz w:val="36"/>
          <w:szCs w:val="36"/>
          <w:lang w:eastAsia="zh-CN"/>
        </w:rPr>
        <w:t>第一部分 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承担市级财政集中支付业务工作，承担专用票据的领购、登记、销号、保管等工作。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峨眉山市财政服务中心属于峨眉山市财政局部门下属的二级预算单位，下设独立编制机构1个，其中行政机构0个，参照公务员法管理的事业机构1个，其他事业机构0个。未设立内设机构，人员编制数38人（参公编制28个，工勤编制10个）。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纳入2022年度单位决算编制范围的独立编制机构包括：峨眉山市财政服务中心。</w:t>
      </w:r>
    </w:p>
    <w:bookmarkEnd w:id="16"/>
    <w:bookmarkEnd w:id="17"/>
    <w:bookmarkEnd w:id="18"/>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19" w:name="_Toc15377204"/>
      <w:bookmarkStart w:id="20" w:name="_Toc12684"/>
      <w:bookmarkStart w:id="21" w:name="_Toc15396602"/>
      <w:r>
        <w:rPr>
          <w:rFonts w:hint="eastAsia" w:ascii="方正小标宋_GBK" w:hAnsi="方正小标宋_GBK" w:eastAsia="方正小标宋_GBK" w:cs="方正小标宋_GBK"/>
          <w:sz w:val="36"/>
          <w:szCs w:val="36"/>
        </w:rPr>
        <w:t>第二部分 2022年度单位决算情况说明</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bookmarkStart w:id="22" w:name="_Toc23770"/>
      <w:bookmarkStart w:id="23" w:name="_Toc15377205"/>
      <w:bookmarkStart w:id="24" w:name="_Toc15396603"/>
      <w:r>
        <w:rPr>
          <w:rFonts w:hint="eastAsia" w:ascii="黑体" w:hAnsi="黑体" w:eastAsia="黑体" w:cs="黑体"/>
          <w:sz w:val="32"/>
          <w:szCs w:val="32"/>
          <w:lang w:val="en-US" w:eastAsia="zh-CN"/>
        </w:rPr>
        <w:t>一、收入支出决算总体情况说明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2022年度收、支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573.87</w:t>
      </w:r>
      <w:r>
        <w:rPr>
          <w:rFonts w:hint="eastAsia" w:ascii="仿宋_GB2312" w:hAnsi="仿宋_GB2312" w:eastAsia="仿宋_GB2312" w:cs="仿宋_GB2312"/>
          <w:sz w:val="32"/>
          <w:szCs w:val="32"/>
        </w:rPr>
        <w:t>万元。与2021年相比，收、支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151.88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35.99</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是2022年人员增加</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59264" behindDoc="1" locked="0" layoutInCell="1" allowOverlap="1">
            <wp:simplePos x="0" y="0"/>
            <wp:positionH relativeFrom="column">
              <wp:posOffset>385445</wp:posOffset>
            </wp:positionH>
            <wp:positionV relativeFrom="paragraph">
              <wp:posOffset>62230</wp:posOffset>
            </wp:positionV>
            <wp:extent cx="4841875" cy="2762250"/>
            <wp:effectExtent l="4445" t="4445" r="11430"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hint="eastAsia" w:ascii="仿宋_GB2312" w:hAnsi="仿宋_GB2312" w:eastAsia="仿宋_GB2312" w:cs="仿宋_GB2312"/>
          <w:sz w:val="32"/>
          <w:szCs w:val="32"/>
        </w:rPr>
      </w:pPr>
    </w:p>
    <w:p>
      <w:pPr>
        <w:pStyle w:val="2"/>
        <w:rPr>
          <w:rFonts w:hint="eastAsia"/>
        </w:rPr>
      </w:pPr>
    </w:p>
    <w:p>
      <w:pPr>
        <w:pStyle w:val="6"/>
        <w:rPr>
          <w:rFonts w:hint="eastAsia" w:ascii="仿宋" w:hAnsi="仿宋" w:eastAsia="仿宋"/>
          <w:sz w:val="32"/>
          <w:szCs w:val="32"/>
          <w:lang w:eastAsia="zh-CN"/>
        </w:rPr>
      </w:pPr>
    </w:p>
    <w:p>
      <w:pPr>
        <w:spacing w:line="600" w:lineRule="exact"/>
        <w:ind w:firstLine="1280" w:firstLineChars="400"/>
        <w:rPr>
          <w:rFonts w:hint="eastAsia" w:ascii="仿宋" w:hAnsi="仿宋" w:eastAsia="仿宋"/>
          <w:sz w:val="32"/>
          <w:szCs w:val="32"/>
        </w:rPr>
      </w:pPr>
    </w:p>
    <w:p>
      <w:pPr>
        <w:spacing w:line="600" w:lineRule="exact"/>
        <w:ind w:firstLine="1280" w:firstLineChars="400"/>
        <w:rPr>
          <w:rFonts w:hint="eastAsia" w:ascii="仿宋" w:hAnsi="仿宋" w:eastAsia="仿宋"/>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图1：收、支决算总计变动情况图</w:t>
      </w:r>
      <w:r>
        <w:rPr>
          <w:rFonts w:hint="eastAsia" w:ascii="仿宋_GB2312" w:hAnsi="仿宋_GB2312" w:eastAsia="仿宋_GB2312" w:cs="仿宋_GB2312"/>
          <w:sz w:val="32"/>
          <w:szCs w:val="32"/>
        </w:rPr>
        <w:t>）</w:t>
      </w:r>
      <w:bookmarkStart w:id="25" w:name="_Toc15377206"/>
      <w:bookmarkStart w:id="26" w:name="_Toc14524"/>
      <w:bookmarkStart w:id="27" w:name="_Toc153966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二、收入决算情况说明</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8" w:name="_Toc25314"/>
      <w:r>
        <w:rPr>
          <w:rFonts w:hint="eastAsia" w:ascii="仿宋_GB2312" w:hAnsi="仿宋_GB2312" w:eastAsia="仿宋_GB2312" w:cs="仿宋_GB2312"/>
          <w:sz w:val="32"/>
          <w:szCs w:val="32"/>
        </w:rPr>
        <w:t>2022年本年收入合计</w:t>
      </w:r>
      <w:r>
        <w:rPr>
          <w:rFonts w:hint="eastAsia" w:ascii="仿宋_GB2312" w:hAnsi="仿宋_GB2312" w:eastAsia="仿宋_GB2312" w:cs="仿宋_GB2312"/>
          <w:sz w:val="32"/>
          <w:szCs w:val="32"/>
          <w:lang w:val="en-US" w:eastAsia="zh-CN"/>
        </w:rPr>
        <w:t>573.67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570.53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99.45</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0.55</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w:t>
      </w:r>
      <w:r>
        <w:rPr>
          <w:rFonts w:hint="eastAsia" w:ascii="仿宋_GB2312" w:hAnsi="仿宋_GB2312" w:eastAsia="仿宋_GB2312" w:cs="仿宋_GB2312"/>
          <w:sz w:val="32"/>
          <w:szCs w:val="32"/>
          <w:lang w:val="en-US" w:eastAsia="zh-CN"/>
        </w:rPr>
        <w:t>入0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28"/>
    </w:p>
    <w:p>
      <w:pPr>
        <w:pStyle w:val="6"/>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804545</wp:posOffset>
            </wp:positionH>
            <wp:positionV relativeFrom="paragraph">
              <wp:posOffset>-46355</wp:posOffset>
            </wp:positionV>
            <wp:extent cx="4403725" cy="2780665"/>
            <wp:effectExtent l="4445" t="4445" r="11430" b="1524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图2：收入决算结构图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9" w:name="_Toc15396605"/>
      <w:bookmarkStart w:id="30" w:name="_Toc15377207"/>
      <w:bookmarkStart w:id="31" w:name="_Toc25980"/>
      <w:r>
        <w:rPr>
          <w:rFonts w:hint="eastAsia" w:ascii="黑体" w:hAnsi="黑体" w:eastAsia="黑体" w:cs="黑体"/>
          <w:sz w:val="32"/>
          <w:szCs w:val="32"/>
          <w:lang w:eastAsia="zh-CN"/>
        </w:rPr>
        <w:t>三、</w:t>
      </w:r>
      <w:r>
        <w:rPr>
          <w:rFonts w:hint="eastAsia" w:ascii="黑体" w:hAnsi="黑体" w:eastAsia="黑体" w:cs="黑体"/>
          <w:sz w:val="32"/>
          <w:szCs w:val="32"/>
        </w:rPr>
        <w:t>支出决算情况说明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2" w:name="_Toc27449"/>
      <w:r>
        <w:rPr>
          <w:rFonts w:hint="eastAsia" w:ascii="仿宋_GB2312" w:hAnsi="仿宋_GB2312" w:eastAsia="仿宋_GB2312" w:cs="仿宋_GB2312"/>
          <w:sz w:val="32"/>
          <w:szCs w:val="32"/>
        </w:rPr>
        <w:t>2022年本年支出合计</w:t>
      </w:r>
      <w:r>
        <w:rPr>
          <w:rFonts w:hint="eastAsia" w:ascii="仿宋_GB2312" w:hAnsi="仿宋_GB2312" w:eastAsia="仿宋_GB2312" w:cs="仿宋_GB2312"/>
          <w:sz w:val="32"/>
          <w:szCs w:val="32"/>
          <w:lang w:val="en-US" w:eastAsia="zh-CN"/>
        </w:rPr>
        <w:t>573.67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549.46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95.78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24.21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eastAsia="zh-CN"/>
        </w:rPr>
        <w:drawing>
          <wp:anchor distT="0" distB="0" distL="114300" distR="114300" simplePos="0" relativeHeight="251661312" behindDoc="1" locked="0" layoutInCell="1" allowOverlap="1">
            <wp:simplePos x="0" y="0"/>
            <wp:positionH relativeFrom="column">
              <wp:posOffset>699770</wp:posOffset>
            </wp:positionH>
            <wp:positionV relativeFrom="paragraph">
              <wp:posOffset>100330</wp:posOffset>
            </wp:positionV>
            <wp:extent cx="4632960" cy="2800985"/>
            <wp:effectExtent l="4445" t="4445" r="1079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33" w:name="_Toc15377208"/>
      <w:bookmarkStart w:id="34" w:name="_Toc16211"/>
      <w:bookmarkStart w:id="35" w:name="_Toc15396606"/>
      <w:r>
        <w:rPr>
          <w:rFonts w:hint="eastAsia" w:ascii="黑体" w:hAnsi="黑体" w:eastAsia="黑体" w:cs="黑体"/>
          <w:sz w:val="32"/>
          <w:szCs w:val="32"/>
        </w:rPr>
        <w:t>四、财政拨款收入支出决算总体情况说明</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drawing>
          <wp:anchor distT="0" distB="0" distL="114300" distR="114300" simplePos="0" relativeHeight="251662336" behindDoc="1" locked="0" layoutInCell="1" allowOverlap="1">
            <wp:simplePos x="0" y="0"/>
            <wp:positionH relativeFrom="column">
              <wp:posOffset>594995</wp:posOffset>
            </wp:positionH>
            <wp:positionV relativeFrom="paragraph">
              <wp:posOffset>1135380</wp:posOffset>
            </wp:positionV>
            <wp:extent cx="4433570" cy="1972945"/>
            <wp:effectExtent l="4445" t="4445" r="19685" b="2286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sz w:val="32"/>
          <w:szCs w:val="32"/>
        </w:rPr>
        <w:t>2022年财政拨款收、支</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573.84</w:t>
      </w:r>
      <w:r>
        <w:rPr>
          <w:rFonts w:hint="eastAsia" w:ascii="仿宋_GB2312" w:hAnsi="仿宋_GB2312" w:eastAsia="仿宋_GB2312" w:cs="仿宋_GB2312"/>
          <w:sz w:val="32"/>
          <w:szCs w:val="32"/>
        </w:rPr>
        <w:t>万元。与2021年相比，财政拨款收、支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151.88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35.99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2022年人员增加。</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6"/>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36" w:name="_Toc15377209"/>
      <w:bookmarkStart w:id="37" w:name="_Toc15396607"/>
      <w:bookmarkStart w:id="38" w:name="_Toc10566"/>
      <w:r>
        <w:rPr>
          <w:rFonts w:hint="eastAsia" w:ascii="黑体" w:hAnsi="黑体" w:eastAsia="黑体" w:cs="黑体"/>
          <w:sz w:val="32"/>
          <w:szCs w:val="32"/>
        </w:rPr>
        <w:t>五、一般公共预算财政拨款支出决算情况说明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39" w:name="_Toc15377210"/>
      <w:r>
        <w:rPr>
          <w:rFonts w:hint="eastAsia" w:ascii="楷体_GB2312" w:hAnsi="楷体_GB2312" w:eastAsia="楷体_GB2312" w:cs="楷体_GB2312"/>
          <w:sz w:val="32"/>
          <w:szCs w:val="32"/>
        </w:rPr>
        <w:t>（一）一般公共预算财政拨款支出决算总体情况</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drawing>
          <wp:anchor distT="0" distB="0" distL="114300" distR="114300" simplePos="0" relativeHeight="251663360" behindDoc="1" locked="0" layoutInCell="1" allowOverlap="1">
            <wp:simplePos x="0" y="0"/>
            <wp:positionH relativeFrom="column">
              <wp:posOffset>718820</wp:posOffset>
            </wp:positionH>
            <wp:positionV relativeFrom="paragraph">
              <wp:posOffset>1448435</wp:posOffset>
            </wp:positionV>
            <wp:extent cx="4376420" cy="1878330"/>
            <wp:effectExtent l="4445" t="4445" r="19685" b="2222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570.53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99.45</w:t>
      </w:r>
      <w:r>
        <w:rPr>
          <w:rFonts w:hint="eastAsia" w:ascii="仿宋_GB2312" w:hAnsi="仿宋_GB2312" w:eastAsia="仿宋_GB2312" w:cs="仿宋_GB2312"/>
          <w:sz w:val="32"/>
          <w:szCs w:val="32"/>
        </w:rPr>
        <w:t>%。与2021年相比，一般公共预算财政拨款支出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148.74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35.26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2022年人员经费增加。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0" w:name="_Toc15377211"/>
      <w:r>
        <w:rPr>
          <w:rFonts w:hint="eastAsia" w:ascii="楷体_GB2312" w:hAnsi="楷体_GB2312" w:eastAsia="楷体_GB2312" w:cs="楷体_GB2312"/>
          <w:b w:val="0"/>
          <w:bCs/>
          <w:sz w:val="32"/>
          <w:szCs w:val="32"/>
        </w:rPr>
        <w:t>（二）一般公共预算财政拨款支出决算结构情况</w:t>
      </w:r>
      <w:bookmarkEnd w:id="40"/>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2022年一般公共预算财政拨款支出</w:t>
      </w:r>
      <w:r>
        <w:rPr>
          <w:rFonts w:hint="eastAsia" w:ascii="仿宋_GB2312" w:hAnsi="仿宋_GB2312" w:eastAsia="仿宋_GB2312" w:cs="仿宋_GB2312"/>
          <w:b w:val="0"/>
          <w:bCs w:val="0"/>
          <w:sz w:val="32"/>
          <w:szCs w:val="32"/>
          <w:lang w:val="en-US" w:eastAsia="zh-CN"/>
        </w:rPr>
        <w:t>570.53</w:t>
      </w:r>
      <w:r>
        <w:rPr>
          <w:rFonts w:hint="eastAsia" w:ascii="仿宋_GB2312" w:hAnsi="仿宋_GB2312" w:eastAsia="仿宋_GB2312" w:cs="仿宋_GB2312"/>
          <w:b w:val="0"/>
          <w:bCs w:val="0"/>
          <w:sz w:val="32"/>
          <w:szCs w:val="32"/>
        </w:rPr>
        <w:t>万元，主要用于以下方面:一般公共服务支出</w:t>
      </w:r>
      <w:r>
        <w:rPr>
          <w:rFonts w:hint="eastAsia" w:ascii="仿宋_GB2312" w:hAnsi="仿宋_GB2312" w:eastAsia="仿宋_GB2312" w:cs="仿宋_GB2312"/>
          <w:b w:val="0"/>
          <w:bCs w:val="0"/>
          <w:sz w:val="32"/>
          <w:szCs w:val="32"/>
          <w:lang w:val="en-US" w:eastAsia="zh-CN"/>
        </w:rPr>
        <w:t>443.78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77.78</w:t>
      </w:r>
      <w:r>
        <w:rPr>
          <w:rFonts w:hint="eastAsia" w:ascii="仿宋_GB2312" w:hAnsi="仿宋_GB2312" w:eastAsia="仿宋_GB2312" w:cs="仿宋_GB2312"/>
          <w:b w:val="0"/>
          <w:bCs w:val="0"/>
          <w:sz w:val="32"/>
          <w:szCs w:val="32"/>
        </w:rPr>
        <w:t>%；教育支出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%；科学技术支出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%；文化旅游体育与传媒支出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val="en-US" w:eastAsia="zh-CN"/>
        </w:rPr>
        <w:t>58.55</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10.26</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21.76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3.81</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46.44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8.14</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1" locked="0" layoutInCell="1" allowOverlap="1">
            <wp:simplePos x="0" y="0"/>
            <wp:positionH relativeFrom="column">
              <wp:posOffset>696595</wp:posOffset>
            </wp:positionH>
            <wp:positionV relativeFrom="paragraph">
              <wp:posOffset>52070</wp:posOffset>
            </wp:positionV>
            <wp:extent cx="4204335" cy="2790825"/>
            <wp:effectExtent l="4445" t="4445" r="20320" b="508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2"/>
          <w:szCs w:val="32"/>
        </w:rPr>
      </w:pP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（图6：一般公共预算财政拨款支出决算结构）</w:t>
      </w:r>
    </w:p>
    <w:p>
      <w:pPr>
        <w:spacing w:line="600" w:lineRule="exact"/>
        <w:ind w:firstLine="640" w:firstLineChars="200"/>
        <w:outlineLvl w:val="2"/>
        <w:rPr>
          <w:rFonts w:hint="eastAsia" w:ascii="楷体_GB2312" w:hAnsi="楷体_GB2312" w:eastAsia="楷体_GB2312" w:cs="楷体_GB2312"/>
          <w:b w:val="0"/>
          <w:bCs/>
          <w:sz w:val="32"/>
          <w:szCs w:val="32"/>
        </w:rPr>
      </w:pPr>
      <w:bookmarkStart w:id="41" w:name="_Toc15377212"/>
      <w:r>
        <w:rPr>
          <w:rFonts w:hint="eastAsia" w:ascii="楷体_GB2312" w:hAnsi="楷体_GB2312" w:eastAsia="楷体_GB2312" w:cs="楷体_GB2312"/>
          <w:b w:val="0"/>
          <w:bCs/>
          <w:sz w:val="32"/>
          <w:szCs w:val="32"/>
        </w:rPr>
        <w:t>（三）一般公共预算财政拨款支出决算具体情况</w:t>
      </w:r>
      <w:bookmarkEnd w:id="41"/>
    </w:p>
    <w:p>
      <w:pPr>
        <w:spacing w:line="600" w:lineRule="exact"/>
        <w:ind w:firstLine="640" w:firstLineChars="200"/>
        <w:outlineLvl w:val="2"/>
        <w:rPr>
          <w:rFonts w:hint="eastAsia" w:ascii="仿宋_GB2312" w:hAnsi="仿宋_GB2312" w:eastAsia="仿宋_GB2312" w:cs="仿宋_GB2312"/>
          <w:b w:val="0"/>
          <w:bCs/>
          <w:sz w:val="32"/>
          <w:szCs w:val="32"/>
        </w:rPr>
      </w:pPr>
      <w:bookmarkStart w:id="42" w:name="_Toc15377213"/>
      <w:bookmarkStart w:id="43" w:name="_Toc15378460"/>
      <w:bookmarkStart w:id="44" w:name="_Toc15377444"/>
      <w:r>
        <w:rPr>
          <w:rFonts w:hint="eastAsia" w:ascii="仿宋_GB2312" w:hAnsi="仿宋_GB2312" w:eastAsia="仿宋_GB2312" w:cs="仿宋_GB2312"/>
          <w:b w:val="0"/>
          <w:bCs/>
          <w:sz w:val="32"/>
          <w:szCs w:val="32"/>
        </w:rPr>
        <w:t>2022年一般公共预算支出决算数为</w:t>
      </w:r>
      <w:r>
        <w:rPr>
          <w:rFonts w:hint="eastAsia" w:ascii="仿宋_GB2312" w:hAnsi="仿宋_GB2312" w:eastAsia="仿宋_GB2312" w:cs="仿宋_GB2312"/>
          <w:b w:val="0"/>
          <w:bCs/>
          <w:sz w:val="32"/>
          <w:szCs w:val="32"/>
          <w:lang w:val="en-US" w:eastAsia="zh-CN"/>
        </w:rPr>
        <w:t>570.53</w:t>
      </w:r>
      <w:r>
        <w:rPr>
          <w:rFonts w:hint="eastAsia" w:ascii="仿宋_GB2312" w:hAnsi="仿宋_GB2312" w:eastAsia="仿宋_GB2312" w:cs="仿宋_GB2312"/>
          <w:b w:val="0"/>
          <w:bCs/>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%。其中：</w:t>
      </w:r>
      <w:bookmarkEnd w:id="42"/>
      <w:bookmarkEnd w:id="43"/>
      <w:bookmarkEnd w:id="44"/>
    </w:p>
    <w:p>
      <w:pPr>
        <w:numPr>
          <w:ilvl w:val="0"/>
          <w:numId w:val="0"/>
        </w:numPr>
        <w:spacing w:line="600" w:lineRule="exact"/>
        <w:ind w:firstLine="640" w:firstLineChars="200"/>
        <w:rPr>
          <w:rStyle w:val="16"/>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 w:val="0"/>
          <w:bCs/>
          <w:sz w:val="32"/>
          <w:szCs w:val="32"/>
          <w:lang w:val="en-US" w:eastAsia="zh-CN"/>
        </w:rPr>
        <w:t>1.</w:t>
      </w:r>
      <w:r>
        <w:rPr>
          <w:rStyle w:val="16"/>
          <w:rFonts w:hint="eastAsia" w:ascii="仿宋_GB2312" w:hAnsi="仿宋_GB2312" w:eastAsia="仿宋_GB2312" w:cs="仿宋_GB2312"/>
          <w:b w:val="0"/>
          <w:bCs/>
          <w:sz w:val="32"/>
          <w:szCs w:val="32"/>
        </w:rPr>
        <w:t>一般公共服务（类）</w:t>
      </w:r>
      <w:r>
        <w:rPr>
          <w:rStyle w:val="16"/>
          <w:rFonts w:hint="eastAsia" w:ascii="仿宋_GB2312" w:hAnsi="仿宋_GB2312" w:eastAsia="仿宋_GB2312" w:cs="仿宋_GB2312"/>
          <w:b w:val="0"/>
          <w:bCs/>
          <w:sz w:val="32"/>
          <w:szCs w:val="32"/>
          <w:lang w:val="en-US" w:eastAsia="zh-CN"/>
        </w:rPr>
        <w:t>财政事务</w:t>
      </w:r>
      <w:r>
        <w:rPr>
          <w:rStyle w:val="16"/>
          <w:rFonts w:hint="eastAsia" w:ascii="仿宋_GB2312" w:hAnsi="仿宋_GB2312" w:eastAsia="仿宋_GB2312" w:cs="仿宋_GB2312"/>
          <w:b w:val="0"/>
          <w:bCs/>
          <w:sz w:val="32"/>
          <w:szCs w:val="32"/>
        </w:rPr>
        <w:t>（款）</w:t>
      </w:r>
      <w:r>
        <w:rPr>
          <w:rStyle w:val="16"/>
          <w:rFonts w:hint="eastAsia" w:ascii="仿宋_GB2312" w:hAnsi="仿宋_GB2312" w:eastAsia="仿宋_GB2312" w:cs="仿宋_GB2312"/>
          <w:b w:val="0"/>
          <w:bCs/>
          <w:sz w:val="32"/>
          <w:szCs w:val="32"/>
          <w:lang w:val="en-US" w:eastAsia="zh-CN"/>
        </w:rPr>
        <w:t>行政运行</w:t>
      </w:r>
      <w:r>
        <w:rPr>
          <w:rStyle w:val="16"/>
          <w:rFonts w:hint="eastAsia" w:ascii="仿宋_GB2312" w:hAnsi="仿宋_GB2312" w:eastAsia="仿宋_GB2312" w:cs="仿宋_GB2312"/>
          <w:b w:val="0"/>
          <w:bCs/>
          <w:sz w:val="32"/>
          <w:szCs w:val="32"/>
        </w:rPr>
        <w:t>（项）: 支出决算为</w:t>
      </w:r>
      <w:r>
        <w:rPr>
          <w:rStyle w:val="16"/>
          <w:rFonts w:hint="eastAsia" w:ascii="仿宋_GB2312" w:hAnsi="仿宋_GB2312" w:eastAsia="仿宋_GB2312" w:cs="仿宋_GB2312"/>
          <w:b w:val="0"/>
          <w:bCs/>
          <w:sz w:val="32"/>
          <w:szCs w:val="32"/>
          <w:lang w:val="en-US" w:eastAsia="zh-CN"/>
        </w:rPr>
        <w:t>422.71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2.</w:t>
      </w:r>
      <w:r>
        <w:rPr>
          <w:rStyle w:val="16"/>
          <w:rFonts w:hint="eastAsia" w:ascii="仿宋_GB2312" w:hAnsi="仿宋_GB2312" w:eastAsia="仿宋_GB2312" w:cs="仿宋_GB2312"/>
          <w:b w:val="0"/>
          <w:bCs/>
          <w:sz w:val="32"/>
          <w:szCs w:val="32"/>
        </w:rPr>
        <w:t>一般公共服务（类）</w:t>
      </w:r>
      <w:r>
        <w:rPr>
          <w:rStyle w:val="16"/>
          <w:rFonts w:hint="eastAsia" w:ascii="仿宋_GB2312" w:hAnsi="仿宋_GB2312" w:eastAsia="仿宋_GB2312" w:cs="仿宋_GB2312"/>
          <w:b w:val="0"/>
          <w:bCs/>
          <w:sz w:val="32"/>
          <w:szCs w:val="32"/>
          <w:lang w:val="en-US" w:eastAsia="zh-CN"/>
        </w:rPr>
        <w:t>财政事务</w:t>
      </w:r>
      <w:r>
        <w:rPr>
          <w:rStyle w:val="16"/>
          <w:rFonts w:hint="eastAsia" w:ascii="仿宋_GB2312" w:hAnsi="仿宋_GB2312" w:eastAsia="仿宋_GB2312" w:cs="仿宋_GB2312"/>
          <w:b w:val="0"/>
          <w:bCs/>
          <w:sz w:val="32"/>
          <w:szCs w:val="32"/>
        </w:rPr>
        <w:t>（款）</w:t>
      </w:r>
      <w:r>
        <w:rPr>
          <w:rStyle w:val="16"/>
          <w:rFonts w:hint="eastAsia" w:ascii="仿宋_GB2312" w:hAnsi="仿宋_GB2312" w:eastAsia="仿宋_GB2312" w:cs="仿宋_GB2312"/>
          <w:b w:val="0"/>
          <w:bCs/>
          <w:sz w:val="32"/>
          <w:szCs w:val="32"/>
          <w:lang w:val="en-US" w:eastAsia="zh-CN"/>
        </w:rPr>
        <w:t>一般行政管理事务</w:t>
      </w:r>
      <w:r>
        <w:rPr>
          <w:rStyle w:val="16"/>
          <w:rFonts w:hint="eastAsia" w:ascii="仿宋_GB2312" w:hAnsi="仿宋_GB2312" w:eastAsia="仿宋_GB2312" w:cs="仿宋_GB2312"/>
          <w:b w:val="0"/>
          <w:bCs/>
          <w:sz w:val="32"/>
          <w:szCs w:val="32"/>
        </w:rPr>
        <w:t>（项）: 支出决算为</w:t>
      </w:r>
      <w:r>
        <w:rPr>
          <w:rStyle w:val="16"/>
          <w:rFonts w:hint="eastAsia" w:ascii="仿宋_GB2312" w:hAnsi="仿宋_GB2312" w:eastAsia="仿宋_GB2312" w:cs="仿宋_GB2312"/>
          <w:b w:val="0"/>
          <w:bCs/>
          <w:sz w:val="32"/>
          <w:szCs w:val="32"/>
          <w:lang w:val="en-US" w:eastAsia="zh-CN"/>
        </w:rPr>
        <w:t>21.07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spacing w:line="600" w:lineRule="exact"/>
        <w:ind w:firstLine="640" w:firstLineChars="200"/>
        <w:rPr>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3.社会保障和就业支出（类）行政事业单位养老支出（款）机关事业单位基本养老保险缴费支出（项）: 支出决算为</w:t>
      </w:r>
      <w:r>
        <w:rPr>
          <w:rStyle w:val="16"/>
          <w:rFonts w:hint="eastAsia" w:ascii="仿宋_GB2312" w:hAnsi="仿宋_GB2312" w:eastAsia="仿宋_GB2312" w:cs="仿宋_GB2312"/>
          <w:b w:val="0"/>
          <w:bCs/>
          <w:sz w:val="32"/>
          <w:szCs w:val="32"/>
          <w:lang w:val="en-US" w:eastAsia="zh-CN"/>
        </w:rPr>
        <w:t>37.02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4</w:t>
      </w:r>
      <w:r>
        <w:rPr>
          <w:rStyle w:val="16"/>
          <w:rFonts w:hint="eastAsia" w:ascii="仿宋_GB2312" w:hAnsi="仿宋_GB2312" w:eastAsia="仿宋_GB2312" w:cs="仿宋_GB2312"/>
          <w:b w:val="0"/>
          <w:bCs/>
          <w:sz w:val="32"/>
          <w:szCs w:val="32"/>
        </w:rPr>
        <w:t>.社会保障和就业支出（类）行政事业单位养老支出（款）机关事业单位职业年金缴费支出（项）:支出决算为</w:t>
      </w:r>
      <w:r>
        <w:rPr>
          <w:rStyle w:val="16"/>
          <w:rFonts w:hint="eastAsia" w:ascii="仿宋_GB2312" w:hAnsi="仿宋_GB2312" w:eastAsia="仿宋_GB2312" w:cs="仿宋_GB2312"/>
          <w:b w:val="0"/>
          <w:bCs/>
          <w:sz w:val="32"/>
          <w:szCs w:val="32"/>
          <w:lang w:val="en-US" w:eastAsia="zh-CN"/>
        </w:rPr>
        <w:t>19.75</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5</w:t>
      </w:r>
      <w:r>
        <w:rPr>
          <w:rStyle w:val="16"/>
          <w:rFonts w:hint="eastAsia" w:ascii="仿宋_GB2312" w:hAnsi="仿宋_GB2312" w:eastAsia="仿宋_GB2312" w:cs="仿宋_GB2312"/>
          <w:b w:val="0"/>
          <w:bCs/>
          <w:sz w:val="32"/>
          <w:szCs w:val="32"/>
        </w:rPr>
        <w:t>.社会保障和就业支出（类）</w:t>
      </w:r>
      <w:r>
        <w:rPr>
          <w:rStyle w:val="16"/>
          <w:rFonts w:hint="eastAsia" w:ascii="仿宋_GB2312" w:hAnsi="仿宋_GB2312" w:eastAsia="仿宋_GB2312" w:cs="仿宋_GB2312"/>
          <w:b w:val="0"/>
          <w:bCs/>
          <w:sz w:val="32"/>
          <w:szCs w:val="32"/>
          <w:lang w:val="en-US" w:eastAsia="zh-CN"/>
        </w:rPr>
        <w:t>其他社会保障和就业支出</w:t>
      </w:r>
      <w:r>
        <w:rPr>
          <w:rStyle w:val="16"/>
          <w:rFonts w:hint="eastAsia" w:ascii="仿宋_GB2312" w:hAnsi="仿宋_GB2312" w:eastAsia="仿宋_GB2312" w:cs="仿宋_GB2312"/>
          <w:b w:val="0"/>
          <w:bCs/>
          <w:sz w:val="32"/>
          <w:szCs w:val="32"/>
        </w:rPr>
        <w:t>（款）其他社会保障和就业支出（项）:支出决算为</w:t>
      </w:r>
      <w:r>
        <w:rPr>
          <w:rStyle w:val="16"/>
          <w:rFonts w:hint="eastAsia" w:ascii="仿宋_GB2312" w:hAnsi="仿宋_GB2312" w:eastAsia="仿宋_GB2312" w:cs="仿宋_GB2312"/>
          <w:b w:val="0"/>
          <w:bCs/>
          <w:sz w:val="32"/>
          <w:szCs w:val="32"/>
          <w:lang w:val="en-US" w:eastAsia="zh-CN"/>
        </w:rPr>
        <w:t>1.78</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6.</w:t>
      </w:r>
      <w:r>
        <w:rPr>
          <w:rStyle w:val="16"/>
          <w:rFonts w:hint="eastAsia" w:ascii="仿宋_GB2312" w:hAnsi="仿宋_GB2312" w:eastAsia="仿宋_GB2312" w:cs="仿宋_GB2312"/>
          <w:b w:val="0"/>
          <w:bCs/>
          <w:sz w:val="32"/>
          <w:szCs w:val="32"/>
        </w:rPr>
        <w:t>卫生健康支出（类）</w:t>
      </w:r>
      <w:r>
        <w:rPr>
          <w:rStyle w:val="16"/>
          <w:rFonts w:hint="eastAsia" w:ascii="仿宋_GB2312" w:hAnsi="仿宋_GB2312" w:eastAsia="仿宋_GB2312" w:cs="仿宋_GB2312"/>
          <w:b w:val="0"/>
          <w:bCs/>
          <w:sz w:val="32"/>
          <w:szCs w:val="32"/>
          <w:lang w:val="en-US" w:eastAsia="zh-CN"/>
        </w:rPr>
        <w:t>行政事业单位医疗</w:t>
      </w:r>
      <w:r>
        <w:rPr>
          <w:rStyle w:val="16"/>
          <w:rFonts w:hint="eastAsia" w:ascii="仿宋_GB2312" w:hAnsi="仿宋_GB2312" w:eastAsia="仿宋_GB2312" w:cs="仿宋_GB2312"/>
          <w:b w:val="0"/>
          <w:bCs/>
          <w:sz w:val="32"/>
          <w:szCs w:val="32"/>
        </w:rPr>
        <w:t>（款）行政单位医疗（项）:支出决算为</w:t>
      </w:r>
      <w:r>
        <w:rPr>
          <w:rStyle w:val="16"/>
          <w:rFonts w:hint="eastAsia" w:ascii="仿宋_GB2312" w:hAnsi="仿宋_GB2312" w:eastAsia="仿宋_GB2312" w:cs="仿宋_GB2312"/>
          <w:b w:val="0"/>
          <w:bCs/>
          <w:sz w:val="32"/>
          <w:szCs w:val="32"/>
          <w:lang w:val="en-US" w:eastAsia="zh-CN"/>
        </w:rPr>
        <w:t>21.76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7.</w:t>
      </w:r>
      <w:r>
        <w:rPr>
          <w:rStyle w:val="16"/>
          <w:rFonts w:hint="eastAsia" w:ascii="仿宋_GB2312" w:hAnsi="仿宋_GB2312" w:eastAsia="仿宋_GB2312" w:cs="仿宋_GB2312"/>
          <w:b w:val="0"/>
          <w:bCs/>
          <w:sz w:val="32"/>
          <w:szCs w:val="32"/>
        </w:rPr>
        <w:t>住房保障支出（类）</w:t>
      </w:r>
      <w:r>
        <w:rPr>
          <w:rStyle w:val="16"/>
          <w:rFonts w:hint="eastAsia" w:ascii="仿宋_GB2312" w:hAnsi="仿宋_GB2312" w:eastAsia="仿宋_GB2312" w:cs="仿宋_GB2312"/>
          <w:b w:val="0"/>
          <w:bCs/>
          <w:sz w:val="32"/>
          <w:szCs w:val="32"/>
          <w:lang w:val="en-US" w:eastAsia="zh-CN"/>
        </w:rPr>
        <w:t>住房改革支出</w:t>
      </w:r>
      <w:r>
        <w:rPr>
          <w:rStyle w:val="16"/>
          <w:rFonts w:hint="eastAsia" w:ascii="仿宋_GB2312" w:hAnsi="仿宋_GB2312" w:eastAsia="仿宋_GB2312" w:cs="仿宋_GB2312"/>
          <w:b w:val="0"/>
          <w:bCs/>
          <w:sz w:val="32"/>
          <w:szCs w:val="32"/>
        </w:rPr>
        <w:t>（款）</w:t>
      </w:r>
      <w:r>
        <w:rPr>
          <w:rStyle w:val="16"/>
          <w:rFonts w:hint="eastAsia" w:ascii="仿宋_GB2312" w:hAnsi="仿宋_GB2312" w:eastAsia="仿宋_GB2312" w:cs="仿宋_GB2312"/>
          <w:b w:val="0"/>
          <w:bCs/>
          <w:sz w:val="32"/>
          <w:szCs w:val="32"/>
          <w:lang w:val="en-US" w:eastAsia="zh-CN"/>
        </w:rPr>
        <w:t>住房公积金</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46.44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tabs>
          <w:tab w:val="right" w:pos="8306"/>
        </w:tabs>
        <w:spacing w:line="600" w:lineRule="exact"/>
        <w:ind w:firstLine="640"/>
        <w:outlineLvl w:val="1"/>
        <w:rPr>
          <w:rStyle w:val="27"/>
          <w:rFonts w:hint="eastAsia" w:ascii="黑体" w:hAnsi="黑体" w:eastAsia="黑体" w:cs="黑体"/>
          <w:b w:val="0"/>
          <w:bCs w:val="0"/>
        </w:rPr>
      </w:pPr>
      <w:bookmarkStart w:id="45" w:name="_Toc13852"/>
      <w:bookmarkStart w:id="46" w:name="_Toc15377214"/>
      <w:bookmarkStart w:id="47" w:name="_Toc15396608"/>
      <w:r>
        <w:rPr>
          <w:rFonts w:hint="eastAsia" w:ascii="黑体" w:hAnsi="黑体" w:eastAsia="黑体" w:cs="黑体"/>
          <w:b w:val="0"/>
          <w:bCs w:val="0"/>
          <w:kern w:val="2"/>
          <w:sz w:val="32"/>
          <w:szCs w:val="32"/>
          <w:lang w:val="en-US" w:eastAsia="zh-CN" w:bidi="ar-SA"/>
        </w:rPr>
        <w:t>六、一般公共预算财政拨款基本支出决算情况说明</w:t>
      </w:r>
      <w:bookmarkEnd w:id="45"/>
      <w:bookmarkEnd w:id="46"/>
      <w:bookmarkEnd w:id="47"/>
      <w:r>
        <w:rPr>
          <w:rStyle w:val="27"/>
          <w:rFonts w:hint="eastAsia" w:ascii="黑体" w:hAnsi="黑体" w:eastAsia="黑体" w:cs="黑体"/>
          <w:b w:val="0"/>
          <w:bCs w:val="0"/>
        </w:rPr>
        <w:tab/>
      </w:r>
    </w:p>
    <w:p>
      <w:pPr>
        <w:spacing w:line="60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2022年一般公共预算财政拨款基本支出</w:t>
      </w:r>
      <w:r>
        <w:rPr>
          <w:rFonts w:hint="eastAsia" w:ascii="仿宋_GB2312" w:hAnsi="仿宋_GB2312" w:eastAsia="仿宋_GB2312" w:cs="仿宋_GB2312"/>
          <w:b w:val="0"/>
          <w:bCs w:val="0"/>
          <w:sz w:val="32"/>
          <w:szCs w:val="32"/>
          <w:lang w:val="en-US" w:eastAsia="zh-CN"/>
        </w:rPr>
        <w:t>549.46</w:t>
      </w:r>
      <w:r>
        <w:rPr>
          <w:rFonts w:hint="eastAsia" w:ascii="仿宋_GB2312" w:hAnsi="仿宋_GB2312" w:eastAsia="仿宋_GB2312" w:cs="仿宋_GB2312"/>
          <w:b w:val="0"/>
          <w:bCs w:val="0"/>
          <w:sz w:val="32"/>
          <w:szCs w:val="32"/>
        </w:rPr>
        <w:t>万元，其中：</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522.59</w:t>
      </w:r>
      <w:r>
        <w:rPr>
          <w:rFonts w:hint="eastAsia" w:ascii="仿宋_GB2312" w:hAnsi="仿宋_GB2312" w:eastAsia="仿宋_GB2312" w:cs="仿宋_GB2312"/>
          <w:b w:val="0"/>
          <w:bCs w:val="0"/>
          <w:sz w:val="32"/>
          <w:szCs w:val="32"/>
        </w:rPr>
        <w:t>万元，主要包括：基本工资、津贴补贴、奖金、绩效工资、机关事业单位基本养老保险缴费、职业年金缴费、其他社会保障缴费、其他工资福利支出、医疗费补助、住房公积金等。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26.87</w:t>
      </w:r>
      <w:r>
        <w:rPr>
          <w:rFonts w:hint="eastAsia" w:ascii="仿宋_GB2312" w:hAnsi="仿宋_GB2312" w:eastAsia="仿宋_GB2312" w:cs="仿宋_GB2312"/>
          <w:b w:val="0"/>
          <w:bCs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48" w:name="_Toc15396609"/>
      <w:bookmarkStart w:id="49" w:name="_Toc15377215"/>
      <w:bookmarkStart w:id="50" w:name="_Toc30526"/>
      <w:r>
        <w:rPr>
          <w:rFonts w:hint="eastAsia" w:ascii="黑体" w:hAnsi="黑体" w:eastAsia="黑体" w:cs="黑体"/>
          <w:sz w:val="32"/>
          <w:szCs w:val="32"/>
        </w:rPr>
        <w:t>七、财政拨款“三公”经费支出决算情况说明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51" w:name="_Toc15377216"/>
      <w:bookmarkStart w:id="52" w:name="_Toc15377218"/>
      <w:bookmarkStart w:id="53" w:name="_Toc15396610"/>
      <w:r>
        <w:rPr>
          <w:rFonts w:hint="eastAsia" w:ascii="楷体_GB2312" w:hAnsi="楷体_GB2312" w:eastAsia="楷体_GB2312" w:cs="楷体_GB2312"/>
          <w:sz w:val="32"/>
          <w:szCs w:val="32"/>
        </w:rPr>
        <w:t>（一）“三公”经费财政拨款支出决算总体情况说明</w:t>
      </w:r>
      <w:bookmarkEnd w:id="5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%，与预算数持平的主要原因是</w:t>
      </w:r>
      <w:r>
        <w:rPr>
          <w:rFonts w:hint="eastAsia" w:ascii="仿宋_GB2312" w:hAnsi="仿宋_GB2312" w:eastAsia="仿宋_GB2312" w:cs="仿宋_GB2312"/>
          <w:sz w:val="32"/>
          <w:szCs w:val="32"/>
          <w:lang w:eastAsia="zh-CN"/>
        </w:rPr>
        <w:t>均无支出发生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54" w:name="_Toc15377217"/>
      <w:r>
        <w:rPr>
          <w:rFonts w:hint="eastAsia" w:ascii="楷体_GB2312" w:hAnsi="楷体_GB2312" w:eastAsia="楷体_GB2312" w:cs="楷体_GB2312"/>
          <w:sz w:val="32"/>
          <w:szCs w:val="32"/>
        </w:rPr>
        <w:t>（二）“三公”经费财政拨款支出决算具体情况说明</w:t>
      </w:r>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w:t>
      </w:r>
      <w:r>
        <w:rPr>
          <w:rFonts w:hint="eastAsia" w:ascii="仿宋_GB2312" w:hAnsi="仿宋_GB2312" w:eastAsia="仿宋_GB2312" w:cs="仿宋_GB2312"/>
          <w:sz w:val="32"/>
          <w:szCs w:val="32"/>
          <w:lang w:eastAsia="zh-CN"/>
        </w:rPr>
        <w:t>支出决算与</w:t>
      </w:r>
      <w:r>
        <w:rPr>
          <w:rFonts w:hint="eastAsia" w:ascii="仿宋_GB2312" w:hAnsi="仿宋_GB2312" w:eastAsia="仿宋_GB2312" w:cs="仿宋_GB2312"/>
          <w:sz w:val="32"/>
          <w:szCs w:val="32"/>
          <w:lang w:val="en-US" w:eastAsia="zh-CN"/>
        </w:rPr>
        <w:t>2021年持平。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公务用车购置。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公务接待</w:t>
      </w:r>
      <w:r>
        <w:rPr>
          <w:rFonts w:hint="eastAsia" w:ascii="仿宋_GB2312" w:hAnsi="仿宋_GB2312" w:eastAsia="仿宋_GB2312" w:cs="仿宋_GB2312"/>
          <w:sz w:val="32"/>
          <w:szCs w:val="32"/>
          <w:lang w:eastAsia="zh-CN"/>
        </w:rPr>
        <w:t>，未产生公务接待费</w:t>
      </w:r>
      <w:r>
        <w:rPr>
          <w:rFonts w:hint="eastAsia" w:ascii="仿宋_GB2312" w:hAnsi="仿宋_GB2312" w:eastAsia="仿宋_GB2312" w:cs="仿宋_GB2312"/>
          <w:sz w:val="32"/>
          <w:szCs w:val="32"/>
        </w:rPr>
        <w:t>。其中：国内公务接待支出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万元。国内公务接待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55" w:name="_Toc26070"/>
      <w:r>
        <w:rPr>
          <w:rFonts w:hint="eastAsia" w:ascii="仿宋_GB2312" w:hAnsi="仿宋_GB2312" w:eastAsia="仿宋_GB2312" w:cs="仿宋_GB2312"/>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bookmarkStart w:id="56" w:name="_Toc2368"/>
      <w:r>
        <w:rPr>
          <w:rFonts w:hint="eastAsia" w:ascii="黑体" w:hAnsi="黑体" w:eastAsia="黑体" w:cs="黑体"/>
          <w:b w:val="0"/>
          <w:bCs w:val="0"/>
          <w:sz w:val="32"/>
          <w:szCs w:val="32"/>
        </w:rPr>
        <w:t>八、政府性基金预算支出决算情况说明</w:t>
      </w:r>
      <w:bookmarkEnd w:id="52"/>
      <w:bookmarkEnd w:id="53"/>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2022年政府性基金预算财政拨款支出</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bookmarkStart w:id="57" w:name="_Toc15377219"/>
      <w:bookmarkStart w:id="58" w:name="_Toc480"/>
      <w:bookmarkStart w:id="59" w:name="_Toc15396611"/>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国有资本经营预算支出决算情况说明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bookmarkStart w:id="60" w:name="_Toc15377221"/>
      <w:bookmarkStart w:id="61" w:name="_Toc15396612"/>
      <w:bookmarkStart w:id="62" w:name="_Toc7708"/>
      <w:r>
        <w:rPr>
          <w:rFonts w:hint="eastAsia" w:ascii="黑体" w:hAnsi="黑体" w:eastAsia="黑体" w:cs="黑体"/>
          <w:b w:val="0"/>
          <w:bCs w:val="0"/>
          <w:sz w:val="32"/>
          <w:szCs w:val="32"/>
          <w:lang w:eastAsia="zh-CN"/>
        </w:rPr>
        <w:t>十、其他重要事项的情况说明</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3" w:name="_Toc15377222"/>
      <w:r>
        <w:rPr>
          <w:rFonts w:hint="eastAsia" w:ascii="楷体_GB2312" w:hAnsi="楷体_GB2312" w:eastAsia="楷体_GB2312" w:cs="楷体_GB2312"/>
          <w:sz w:val="32"/>
          <w:szCs w:val="32"/>
        </w:rPr>
        <w:t>（一）机关运行经费支出情况</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峨眉山市财政服务中心</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26.87</w:t>
      </w:r>
      <w:r>
        <w:rPr>
          <w:rFonts w:hint="eastAsia" w:ascii="仿宋_GB2312" w:hAnsi="仿宋_GB2312" w:eastAsia="仿宋_GB2312" w:cs="仿宋_GB2312"/>
          <w:sz w:val="32"/>
          <w:szCs w:val="32"/>
        </w:rPr>
        <w:t>万元，比2021年增加</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18.84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4" w:name="_Toc15377223"/>
      <w:r>
        <w:rPr>
          <w:rFonts w:hint="eastAsia" w:ascii="楷体_GB2312" w:hAnsi="楷体_GB2312" w:eastAsia="楷体_GB2312" w:cs="楷体_GB2312"/>
          <w:sz w:val="32"/>
          <w:szCs w:val="32"/>
        </w:rPr>
        <w:t>（二）政府采购支出情况</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峨眉山市财政服务中心</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购买电脑</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5" w:name="_Toc15377224"/>
      <w:r>
        <w:rPr>
          <w:rFonts w:hint="eastAsia" w:ascii="楷体_GB2312" w:hAnsi="楷体_GB2312" w:eastAsia="楷体_GB2312" w:cs="楷体_GB2312"/>
          <w:sz w:val="32"/>
          <w:szCs w:val="32"/>
        </w:rPr>
        <w:t>（三）国有资产占有使用情况</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sz w:val="32"/>
          <w:szCs w:val="32"/>
          <w:lang w:val="en-US" w:eastAsia="zh-CN"/>
        </w:rPr>
        <w:t>峨眉山市财政服务中心</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eastAsia="zh-CN"/>
        </w:rPr>
        <w:t>（无其他用车），</w:t>
      </w:r>
      <w:r>
        <w:rPr>
          <w:rFonts w:hint="eastAsia" w:ascii="仿宋_GB2312" w:hAnsi="仿宋_GB2312" w:eastAsia="仿宋_GB2312" w:cs="仿宋_GB2312"/>
          <w:sz w:val="32"/>
          <w:szCs w:val="32"/>
        </w:rPr>
        <w:t>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根据预算绩效管理要求，本单位在2022年度预算编制阶段，对</w:t>
      </w:r>
      <w:r>
        <w:rPr>
          <w:rFonts w:hint="eastAsia" w:ascii="仿宋_GB2312" w:hAnsi="仿宋_GB2312" w:eastAsia="仿宋_GB2312" w:cs="仿宋_GB2312"/>
          <w:sz w:val="32"/>
          <w:szCs w:val="32"/>
          <w:lang w:eastAsia="zh-CN"/>
        </w:rPr>
        <w:t>金算盘系统维护费以及</w:t>
      </w:r>
      <w:r>
        <w:rPr>
          <w:rFonts w:hint="eastAsia" w:ascii="仿宋_GB2312" w:hAnsi="仿宋_GB2312" w:eastAsia="仿宋_GB2312" w:cs="仿宋_GB2312"/>
          <w:sz w:val="32"/>
          <w:szCs w:val="32"/>
          <w:lang w:val="en-US" w:eastAsia="zh-CN"/>
        </w:rPr>
        <w:t>全市工资代发银行手续费共2</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66" w:name="_Toc15396613"/>
      <w:bookmarkStart w:id="67" w:name="_Toc27395"/>
      <w:bookmarkStart w:id="68" w:name="_Toc15377225"/>
      <w:r>
        <w:rPr>
          <w:rFonts w:hint="eastAsia" w:ascii="方正小标宋_GBK" w:hAnsi="方正小标宋_GBK" w:eastAsia="方正小标宋_GBK" w:cs="方正小标宋_GBK"/>
          <w:sz w:val="36"/>
          <w:szCs w:val="36"/>
          <w:lang w:val="en-US" w:eastAsia="zh-CN"/>
        </w:rPr>
        <w:t>第三部分 名词解释</w:t>
      </w:r>
      <w:bookmarkEnd w:id="66"/>
      <w:bookmarkEnd w:id="67"/>
      <w:bookmarkEnd w:id="6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财政拨款收入：</w:t>
      </w:r>
      <w:r>
        <w:rPr>
          <w:rFonts w:hint="eastAsia" w:ascii="仿宋_GB2312" w:hAnsi="仿宋_GB2312" w:eastAsia="仿宋_GB2312" w:cs="仿宋_GB2312"/>
          <w:sz w:val="32"/>
          <w:szCs w:val="32"/>
        </w:rPr>
        <w:t>指单位从同级财政部门取得的财政预算资金。</w:t>
      </w:r>
    </w:p>
    <w:p>
      <w:pPr>
        <w:pStyle w:val="24"/>
        <w:keepNext w:val="0"/>
        <w:keepLines w:val="0"/>
        <w:pageBreakBefore w:val="0"/>
        <w:widowControl w:val="0"/>
        <w:kinsoku/>
        <w:wordWrap/>
        <w:overflowPunct/>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其他收入：</w:t>
      </w:r>
      <w:r>
        <w:rPr>
          <w:rFonts w:hint="eastAsia" w:ascii="仿宋_GB2312" w:eastAsia="仿宋_GB2312"/>
          <w:sz w:val="32"/>
          <w:szCs w:val="32"/>
        </w:rPr>
        <w:t>指单位取得的除上述收入以外的各项收入。主要是利息收入、国有资产出租收入等。</w:t>
      </w:r>
      <w:r>
        <w:rPr>
          <w:rFonts w:ascii="仿宋_GB2312" w:eastAsia="仿宋_GB2312"/>
          <w:sz w:val="32"/>
          <w:szCs w:val="32"/>
        </w:rPr>
        <w:t xml:space="preserve"> </w:t>
      </w:r>
    </w:p>
    <w:p>
      <w:pPr>
        <w:pStyle w:val="24"/>
        <w:keepNext w:val="0"/>
        <w:keepLines w:val="0"/>
        <w:pageBreakBefore w:val="0"/>
        <w:widowControl w:val="0"/>
        <w:kinsoku/>
        <w:wordWrap/>
        <w:overflowPunct/>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用事业基金弥补收支差额：</w:t>
      </w:r>
      <w:r>
        <w:rPr>
          <w:rFonts w:hint="eastAsia" w:ascii="仿宋_GB2312" w:eastAsia="仿宋_GB2312"/>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keepNext w:val="0"/>
        <w:keepLines w:val="0"/>
        <w:pageBreakBefore w:val="0"/>
        <w:widowControl w:val="0"/>
        <w:kinsoku/>
        <w:wordWrap/>
        <w:overflowPunct/>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年初结转和结余：</w:t>
      </w:r>
      <w:r>
        <w:rPr>
          <w:rFonts w:hint="eastAsia" w:ascii="仿宋_GB2312" w:eastAsia="仿宋_GB2312"/>
          <w:sz w:val="32"/>
          <w:szCs w:val="32"/>
        </w:rPr>
        <w:t>指以前年度尚未完成、结转到本年按有关规定继续使用的资金。</w:t>
      </w:r>
      <w:r>
        <w:rPr>
          <w:rFonts w:ascii="仿宋_GB2312" w:eastAsia="仿宋_GB2312"/>
          <w:sz w:val="32"/>
          <w:szCs w:val="32"/>
        </w:rPr>
        <w:t xml:space="preserve"> </w:t>
      </w:r>
    </w:p>
    <w:p>
      <w:pPr>
        <w:pStyle w:val="24"/>
        <w:keepNext w:val="0"/>
        <w:keepLines w:val="0"/>
        <w:pageBreakBefore w:val="0"/>
        <w:widowControl w:val="0"/>
        <w:kinsoku/>
        <w:wordWrap/>
        <w:overflowPunct/>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结余分配：</w:t>
      </w:r>
      <w:r>
        <w:rPr>
          <w:rFonts w:hint="eastAsia" w:ascii="仿宋_GB2312" w:eastAsia="仿宋_GB2312"/>
          <w:sz w:val="32"/>
          <w:szCs w:val="32"/>
        </w:rPr>
        <w:t>指事业单位按照事业单位会计制度的规定从非财政补助结余中分配的事业基金和职工福利基金等。</w:t>
      </w:r>
    </w:p>
    <w:p>
      <w:pPr>
        <w:pStyle w:val="24"/>
        <w:keepNext w:val="0"/>
        <w:keepLines w:val="0"/>
        <w:pageBreakBefore w:val="0"/>
        <w:widowControl w:val="0"/>
        <w:kinsoku/>
        <w:wordWrap/>
        <w:overflowPunct/>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年末结转和结余：</w:t>
      </w:r>
      <w:r>
        <w:rPr>
          <w:rFonts w:hint="eastAsia" w:ascii="仿宋_GB2312" w:eastAsia="仿宋_GB2312"/>
          <w:sz w:val="32"/>
          <w:szCs w:val="32"/>
        </w:rPr>
        <w:t>指单位按有关规定结转到下年或以后年度继续使用的资金。</w:t>
      </w:r>
    </w:p>
    <w:p>
      <w:pPr>
        <w:pStyle w:val="32"/>
        <w:keepNext w:val="0"/>
        <w:keepLines w:val="0"/>
        <w:pageBreakBefore w:val="0"/>
        <w:widowControl w:val="0"/>
        <w:kinsoku/>
        <w:wordWrap/>
        <w:overflowPunct/>
        <w:bidi w:val="0"/>
        <w:snapToGrid/>
        <w:spacing w:line="600" w:lineRule="exact"/>
        <w:ind w:firstLine="640"/>
        <w:textAlignment w:val="auto"/>
        <w:rPr>
          <w:rFonts w:hint="eastAsia"/>
        </w:rPr>
      </w:pPr>
      <w:r>
        <w:rPr>
          <w:rFonts w:hint="eastAsia" w:ascii="黑体" w:hAnsi="黑体" w:eastAsia="黑体" w:cs="黑体"/>
          <w:lang w:val="en-US" w:eastAsia="zh-CN"/>
        </w:rPr>
        <w:t>七、</w:t>
      </w:r>
      <w:r>
        <w:rPr>
          <w:rFonts w:hint="eastAsia" w:ascii="黑体" w:hAnsi="黑体" w:eastAsia="黑体" w:cs="黑体"/>
        </w:rPr>
        <w:t>一般公共服务支出（类）财政事务（款）行政运行（项）：</w:t>
      </w:r>
      <w:r>
        <w:rPr>
          <w:rFonts w:hint="eastAsia"/>
        </w:rPr>
        <w:t>反映行政单位（包括实行公务员管理的事业单位）的基本支出。</w:t>
      </w:r>
    </w:p>
    <w:p>
      <w:pPr>
        <w:pStyle w:val="32"/>
        <w:keepNext w:val="0"/>
        <w:keepLines w:val="0"/>
        <w:pageBreakBefore w:val="0"/>
        <w:widowControl w:val="0"/>
        <w:kinsoku/>
        <w:wordWrap/>
        <w:overflowPunct/>
        <w:bidi w:val="0"/>
        <w:snapToGrid/>
        <w:spacing w:line="600" w:lineRule="exact"/>
        <w:ind w:firstLine="640"/>
        <w:textAlignment w:val="auto"/>
        <w:rPr>
          <w:rFonts w:hint="eastAsia"/>
        </w:rPr>
      </w:pPr>
      <w:r>
        <w:rPr>
          <w:rFonts w:hint="eastAsia" w:ascii="黑体" w:hAnsi="黑体" w:eastAsia="黑体" w:cs="黑体"/>
          <w:lang w:val="en-US" w:eastAsia="zh-CN"/>
        </w:rPr>
        <w:t>八、</w:t>
      </w:r>
      <w:r>
        <w:rPr>
          <w:rFonts w:hint="eastAsia" w:ascii="黑体" w:hAnsi="黑体" w:eastAsia="黑体" w:cs="黑体"/>
        </w:rPr>
        <w:t>一般公共服务支出（类）财政事务（款）一般行政管理事务（项）：</w:t>
      </w:r>
      <w:r>
        <w:rPr>
          <w:rFonts w:hint="eastAsia"/>
        </w:rPr>
        <w:t>反映行政单位（包括实行公务员管理的事业单位）未单独设置项级科目的其他项目支出。</w:t>
      </w:r>
    </w:p>
    <w:p>
      <w:pPr>
        <w:pStyle w:val="32"/>
        <w:keepNext w:val="0"/>
        <w:keepLines w:val="0"/>
        <w:pageBreakBefore w:val="0"/>
        <w:widowControl w:val="0"/>
        <w:kinsoku/>
        <w:wordWrap/>
        <w:overflowPunct/>
        <w:bidi w:val="0"/>
        <w:snapToGrid/>
        <w:spacing w:line="600" w:lineRule="exact"/>
        <w:ind w:firstLine="640"/>
        <w:textAlignment w:val="auto"/>
      </w:pPr>
      <w:r>
        <w:rPr>
          <w:rFonts w:hint="eastAsia" w:ascii="黑体" w:hAnsi="黑体" w:eastAsia="黑体" w:cs="黑体"/>
          <w:lang w:val="en-US" w:eastAsia="zh-CN"/>
        </w:rPr>
        <w:t>九、</w:t>
      </w:r>
      <w:r>
        <w:rPr>
          <w:rFonts w:hint="eastAsia" w:ascii="黑体" w:hAnsi="黑体" w:eastAsia="黑体" w:cs="黑体"/>
        </w:rPr>
        <w:t>一般公共服务支出（类）财政事务（款）其他财政事务（项）：</w:t>
      </w:r>
      <w:r>
        <w:rPr>
          <w:rFonts w:hint="eastAsia"/>
        </w:rPr>
        <w:t>反映其他财政事务方面的支出。</w:t>
      </w:r>
    </w:p>
    <w:p>
      <w:pPr>
        <w:pStyle w:val="32"/>
        <w:keepNext w:val="0"/>
        <w:keepLines w:val="0"/>
        <w:pageBreakBefore w:val="0"/>
        <w:widowControl w:val="0"/>
        <w:kinsoku/>
        <w:wordWrap/>
        <w:overflowPunct/>
        <w:bidi w:val="0"/>
        <w:snapToGrid/>
        <w:spacing w:line="600" w:lineRule="exact"/>
        <w:ind w:firstLine="640"/>
        <w:textAlignment w:val="auto"/>
        <w:rPr>
          <w:rFonts w:hint="eastAsia"/>
        </w:rPr>
      </w:pPr>
      <w:r>
        <w:rPr>
          <w:rFonts w:hint="eastAsia" w:ascii="黑体" w:hAnsi="黑体" w:eastAsia="黑体" w:cs="黑体"/>
          <w:lang w:eastAsia="zh-CN"/>
        </w:rPr>
        <w:t>十、</w:t>
      </w:r>
      <w:r>
        <w:rPr>
          <w:rFonts w:hint="eastAsia" w:ascii="黑体" w:hAnsi="黑体" w:eastAsia="黑体" w:cs="黑体"/>
        </w:rPr>
        <w:t>社会保障和就业支出（类）行政事业单位养老支出（款）机关事业单位职业年金缴费支出（项）：</w:t>
      </w:r>
      <w:r>
        <w:rPr>
          <w:rFonts w:hint="eastAsia"/>
        </w:rPr>
        <w:t>反映机关事业单位实施养老保险制度由单位缴纳的基本养老保险费支出。</w:t>
      </w:r>
      <w:r>
        <w:br w:type="textWrapping"/>
      </w:r>
      <w:r>
        <w:rPr>
          <w:rFonts w:hint="eastAsia"/>
        </w:rPr>
        <w:t>　　</w:t>
      </w:r>
      <w:r>
        <w:rPr>
          <w:rFonts w:hint="eastAsia" w:ascii="黑体" w:hAnsi="黑体" w:eastAsia="黑体" w:cs="黑体"/>
          <w:lang w:val="en-US" w:eastAsia="zh-CN"/>
        </w:rPr>
        <w:t>十一、</w:t>
      </w:r>
      <w:r>
        <w:rPr>
          <w:rFonts w:hint="eastAsia" w:ascii="黑体" w:hAnsi="黑体" w:eastAsia="黑体" w:cs="黑体"/>
        </w:rPr>
        <w:t>社会保障和就业支出（类）行政事业单位养老支出（款）机关事业单位基本养老保险缴费支出（项）：</w:t>
      </w:r>
      <w:r>
        <w:rPr>
          <w:rFonts w:hint="eastAsia"/>
        </w:rPr>
        <w:t>反映机关事业单位实施养老保险制度由单位缴纳的职业年金支出。</w:t>
      </w:r>
      <w:r>
        <w:br w:type="textWrapping"/>
      </w:r>
      <w:r>
        <w:rPr>
          <w:rFonts w:hint="eastAsia"/>
        </w:rPr>
        <w:t>　　</w:t>
      </w:r>
      <w:r>
        <w:rPr>
          <w:rFonts w:hint="eastAsia" w:ascii="黑体" w:hAnsi="黑体" w:eastAsia="黑体" w:cs="黑体"/>
          <w:lang w:val="en-US" w:eastAsia="zh-CN"/>
        </w:rPr>
        <w:t>十二、</w:t>
      </w:r>
      <w:r>
        <w:rPr>
          <w:rFonts w:hint="eastAsia" w:ascii="黑体" w:hAnsi="黑体" w:eastAsia="黑体" w:cs="黑体"/>
        </w:rPr>
        <w:t>社会保障和就业支出（类）抚恤（款）其他优抚支出（项）：</w:t>
      </w:r>
      <w:r>
        <w:rPr>
          <w:rFonts w:hint="eastAsia"/>
        </w:rPr>
        <w:t>反映其他用于优抚方面的支出。</w:t>
      </w:r>
    </w:p>
    <w:p>
      <w:pPr>
        <w:pStyle w:val="32"/>
        <w:keepNext w:val="0"/>
        <w:keepLines w:val="0"/>
        <w:pageBreakBefore w:val="0"/>
        <w:widowControl w:val="0"/>
        <w:kinsoku/>
        <w:wordWrap/>
        <w:overflowPunct/>
        <w:bidi w:val="0"/>
        <w:snapToGrid/>
        <w:spacing w:line="600" w:lineRule="exact"/>
        <w:ind w:firstLine="640"/>
        <w:textAlignment w:val="auto"/>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lang w:val="en-US" w:eastAsia="zh-CN"/>
        </w:rPr>
        <w:t>十三、</w:t>
      </w:r>
      <w:r>
        <w:rPr>
          <w:rFonts w:hint="eastAsia" w:ascii="黑体" w:hAnsi="黑体" w:eastAsia="黑体" w:cs="黑体"/>
        </w:rPr>
        <w:t>社会保障和就业支出（类）其他社会保障和就业支出（款）其他社会保障和就业支出（项）：</w:t>
      </w:r>
      <w:r>
        <w:rPr>
          <w:rFonts w:hint="eastAsia"/>
        </w:rPr>
        <w:t>反映其他用于社会保障和就业方面的支出。</w:t>
      </w:r>
      <w:r>
        <w:br w:type="textWrapping"/>
      </w:r>
      <w:r>
        <w:rPr>
          <w:rFonts w:hint="eastAsia"/>
        </w:rPr>
        <w:t>　　</w:t>
      </w:r>
      <w:r>
        <w:rPr>
          <w:rFonts w:hint="eastAsia" w:ascii="黑体" w:hAnsi="黑体" w:eastAsia="黑体" w:cs="黑体"/>
          <w:lang w:val="en-US" w:eastAsia="zh-CN"/>
        </w:rPr>
        <w:t>十四、</w:t>
      </w:r>
      <w:r>
        <w:rPr>
          <w:rFonts w:hint="eastAsia" w:ascii="黑体" w:hAnsi="黑体" w:eastAsia="黑体" w:cs="黑体"/>
        </w:rPr>
        <w:t>卫生健康支出（类）行政事业单位医疗（款）行政单位医疗（项）：</w:t>
      </w:r>
      <w:r>
        <w:rPr>
          <w:rFonts w:hint="eastAsia"/>
        </w:rPr>
        <w:t>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pPr>
        <w:keepNext w:val="0"/>
        <w:keepLines w:val="0"/>
        <w:pageBreakBefore w:val="0"/>
        <w:widowControl w:val="0"/>
        <w:kinsoku/>
        <w:wordWrap/>
        <w:overflowPunct/>
        <w:bidi w:val="0"/>
        <w:snapToGrid/>
        <w:spacing w:line="600" w:lineRule="exact"/>
        <w:ind w:firstLine="640"/>
        <w:textAlignment w:val="auto"/>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十五、卫生健康支出（类）行政事业单位医疗（款）事业单位医疗（项）：</w:t>
      </w:r>
      <w:r>
        <w:rPr>
          <w:rFonts w:hint="eastAsia" w:ascii="仿宋_GB2312" w:hAnsi="Calibri" w:eastAsia="仿宋_GB2312" w:cs="仿宋"/>
          <w:color w:val="000000"/>
          <w:kern w:val="0"/>
          <w:sz w:val="32"/>
          <w:szCs w:val="32"/>
          <w:lang w:val="en-US" w:eastAsia="zh-CN" w:bidi="ar-SA"/>
        </w:rPr>
        <w:t>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w:t>
      </w:r>
      <w:r>
        <w:rPr>
          <w:rFonts w:hint="eastAsia" w:ascii="黑体" w:hAnsi="黑体" w:eastAsia="黑体" w:cs="黑体"/>
          <w:color w:val="000000"/>
          <w:kern w:val="0"/>
          <w:sz w:val="32"/>
          <w:szCs w:val="32"/>
          <w:lang w:val="en-US" w:eastAsia="zh-CN" w:bidi="ar-SA"/>
        </w:rPr>
        <w:t>十六、住房保障支出（类）住房改革支出（款）住房公积金（项）：</w:t>
      </w:r>
      <w:r>
        <w:rPr>
          <w:rFonts w:hint="eastAsia" w:ascii="仿宋_GB2312" w:hAnsi="Calibri" w:eastAsia="仿宋_GB2312" w:cs="仿宋"/>
          <w:color w:val="000000"/>
          <w:kern w:val="0"/>
          <w:sz w:val="32"/>
          <w:szCs w:val="32"/>
          <w:lang w:val="en-US" w:eastAsia="zh-CN" w:bidi="ar-SA"/>
        </w:rPr>
        <w:t>反映行政事业单位按人力资源和社会保障部、财政部规定的基本工资和津贴补贴以及规定比例为职工缴纳的住房公积金。</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kern w:val="0"/>
          <w:sz w:val="32"/>
          <w:szCs w:val="32"/>
          <w:lang w:val="en-US" w:eastAsia="zh-CN" w:bidi="ar-SA"/>
        </w:rPr>
        <w:t>十七、基本支出：</w:t>
      </w:r>
      <w:r>
        <w:rPr>
          <w:rFonts w:hint="eastAsia" w:ascii="仿宋_GB2312" w:hAnsi="Calibri" w:eastAsia="仿宋_GB2312" w:cs="仿宋"/>
          <w:color w:val="000000"/>
          <w:kern w:val="0"/>
          <w:sz w:val="32"/>
          <w:szCs w:val="32"/>
          <w:lang w:val="en-US" w:eastAsia="zh-CN" w:bidi="ar-SA"/>
        </w:rPr>
        <w:t>指为保障机构正常运转、完成日常工作任务而发生的人员支</w:t>
      </w:r>
      <w:r>
        <w:rPr>
          <w:rFonts w:hint="eastAsia" w:ascii="仿宋_GB2312" w:eastAsia="仿宋_GB2312"/>
          <w:color w:val="000000"/>
          <w:sz w:val="32"/>
          <w:szCs w:val="32"/>
        </w:rPr>
        <w:t>出和公用支出。</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sz w:val="32"/>
          <w:szCs w:val="32"/>
          <w:lang w:val="en-US" w:eastAsia="zh-CN"/>
        </w:rPr>
        <w:t>十八、</w:t>
      </w:r>
      <w:r>
        <w:rPr>
          <w:rFonts w:hint="eastAsia" w:ascii="黑体" w:hAnsi="黑体" w:eastAsia="黑体" w:cs="黑体"/>
          <w:color w:val="000000"/>
          <w:sz w:val="32"/>
          <w:szCs w:val="32"/>
        </w:rPr>
        <w:t>项目支出：</w:t>
      </w: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sz w:val="32"/>
          <w:szCs w:val="32"/>
          <w:lang w:val="en-US" w:eastAsia="zh-CN"/>
        </w:rPr>
        <w:t>十九、</w:t>
      </w:r>
      <w:r>
        <w:rPr>
          <w:rFonts w:hint="eastAsia" w:ascii="黑体" w:hAnsi="黑体" w:eastAsia="黑体" w:cs="黑体"/>
          <w:color w:val="000000"/>
          <w:sz w:val="32"/>
          <w:szCs w:val="32"/>
        </w:rPr>
        <w:t>经营支出：</w:t>
      </w:r>
      <w:r>
        <w:rPr>
          <w:rFonts w:hint="eastAsia" w:ascii="仿宋_GB2312" w:eastAsia="仿宋_GB2312"/>
          <w:color w:val="000000"/>
          <w:sz w:val="32"/>
          <w:szCs w:val="32"/>
        </w:rPr>
        <w:t>指事业单位在专业业务活动及其辅助活动之外开展非独立核算经营活动发生的支出。</w:t>
      </w:r>
    </w:p>
    <w:p>
      <w:pPr>
        <w:pStyle w:val="24"/>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二十、</w:t>
      </w:r>
      <w:r>
        <w:rPr>
          <w:rFonts w:hint="eastAsia" w:ascii="黑体" w:hAnsi="黑体" w:eastAsia="黑体" w:cs="黑体"/>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b/>
          <w:sz w:val="32"/>
          <w:szCs w:val="32"/>
        </w:rPr>
      </w:pPr>
      <w:r>
        <w:rPr>
          <w:rFonts w:hint="eastAsia" w:ascii="黑体" w:hAnsi="黑体" w:eastAsia="黑体" w:cs="黑体"/>
          <w:sz w:val="32"/>
          <w:szCs w:val="32"/>
          <w:lang w:val="en-US" w:eastAsia="zh-CN"/>
        </w:rPr>
        <w:t>二十一、</w:t>
      </w:r>
      <w:r>
        <w:rPr>
          <w:rFonts w:hint="eastAsia" w:ascii="黑体" w:hAnsi="黑体" w:eastAsia="黑体" w:cs="黑体"/>
          <w:sz w:val="32"/>
          <w:szCs w:val="32"/>
        </w:rPr>
        <w:t>机关运行经费：</w:t>
      </w:r>
      <w:r>
        <w:rPr>
          <w:rFonts w:hint="eastAsia" w:ascii="仿宋_GB2312" w:hAnsi="Calibri" w:eastAsia="仿宋_GB2312" w:cs="仿宋"/>
          <w:b w:val="0"/>
          <w:bCs w:val="0"/>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b w:val="0"/>
          <w:bCs w:val="0"/>
          <w:color w:val="000000"/>
          <w:kern w:val="0"/>
          <w:sz w:val="32"/>
          <w:szCs w:val="32"/>
          <w:lang w:val="en-US" w:eastAsia="zh-CN" w:bidi="ar-SA"/>
        </w:rPr>
        <w:br w:type="page"/>
      </w:r>
    </w:p>
    <w:p>
      <w:pPr>
        <w:jc w:val="center"/>
        <w:rPr>
          <w:rFonts w:ascii="仿宋_GB2312" w:hAnsi="仿宋_GB2312" w:eastAsia="仿宋_GB2312" w:cs="仿宋_GB2312"/>
          <w:sz w:val="32"/>
          <w:szCs w:val="32"/>
        </w:rPr>
      </w:pPr>
      <w:bookmarkStart w:id="69" w:name="_Toc17325"/>
      <w:bookmarkStart w:id="70" w:name="_Toc15396614"/>
      <w:bookmarkStart w:id="71" w:name="_Toc15377226"/>
      <w:bookmarkStart w:id="72" w:name="_Toc15396618"/>
      <w:r>
        <w:rPr>
          <w:rFonts w:hint="eastAsia" w:ascii="方正小标宋_GBK" w:hAnsi="方正小标宋_GBK" w:eastAsia="方正小标宋_GBK" w:cs="方正小标宋_GBK"/>
          <w:sz w:val="36"/>
          <w:szCs w:val="36"/>
        </w:rPr>
        <w:t>第四部分 附件</w:t>
      </w:r>
      <w:bookmarkEnd w:id="69"/>
      <w:bookmarkEnd w:id="70"/>
    </w:p>
    <w:tbl>
      <w:tblPr>
        <w:tblStyle w:val="14"/>
        <w:tblW w:w="5037" w:type="pct"/>
        <w:tblInd w:w="0" w:type="dxa"/>
        <w:shd w:val="clear" w:color="auto" w:fill="auto"/>
        <w:tblLayout w:type="fixed"/>
        <w:tblCellMar>
          <w:top w:w="0" w:type="dxa"/>
          <w:left w:w="0" w:type="dxa"/>
          <w:bottom w:w="0" w:type="dxa"/>
          <w:right w:w="0" w:type="dxa"/>
        </w:tblCellMar>
      </w:tblPr>
      <w:tblGrid>
        <w:gridCol w:w="412"/>
        <w:gridCol w:w="1221"/>
        <w:gridCol w:w="1087"/>
        <w:gridCol w:w="1319"/>
        <w:gridCol w:w="511"/>
        <w:gridCol w:w="960"/>
        <w:gridCol w:w="660"/>
        <w:gridCol w:w="915"/>
        <w:gridCol w:w="465"/>
        <w:gridCol w:w="480"/>
        <w:gridCol w:w="1031"/>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CellMar>
            <w:top w:w="0" w:type="dxa"/>
            <w:left w:w="0" w:type="dxa"/>
            <w:bottom w:w="0" w:type="dxa"/>
            <w:right w:w="0" w:type="dxa"/>
          </w:tblCellMar>
        </w:tblPrEx>
        <w:trPr>
          <w:trHeight w:val="286"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8"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51118122T000004676582-金算盘系统维护费</w:t>
            </w:r>
          </w:p>
        </w:tc>
      </w:tr>
      <w:tr>
        <w:tblPrEx>
          <w:tblCellMar>
            <w:top w:w="0" w:type="dxa"/>
            <w:left w:w="0" w:type="dxa"/>
            <w:bottom w:w="0" w:type="dxa"/>
            <w:right w:w="0" w:type="dxa"/>
          </w:tblCellMar>
        </w:tblPrEx>
        <w:trPr>
          <w:trHeight w:val="512"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财政局</w:t>
            </w:r>
          </w:p>
        </w:tc>
        <w:tc>
          <w:tcPr>
            <w:tcW w:w="504"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峨眉山市财政服务中心</w:t>
            </w:r>
          </w:p>
        </w:tc>
      </w:tr>
      <w:tr>
        <w:tblPrEx>
          <w:tblCellMar>
            <w:top w:w="0" w:type="dxa"/>
            <w:left w:w="0" w:type="dxa"/>
            <w:bottom w:w="0" w:type="dxa"/>
            <w:right w:w="0" w:type="dxa"/>
          </w:tblCellMar>
        </w:tblPrEx>
        <w:trPr>
          <w:trHeight w:val="286"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为全市预算单位账务处理提供服务</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为全市预算单位账务处理提供服务</w:t>
            </w:r>
          </w:p>
        </w:tc>
      </w:tr>
      <w:tr>
        <w:tblPrEx>
          <w:tblCellMar>
            <w:top w:w="0" w:type="dxa"/>
            <w:left w:w="0" w:type="dxa"/>
            <w:bottom w:w="0" w:type="dxa"/>
            <w:right w:w="0" w:type="dxa"/>
          </w:tblCellMar>
        </w:tblPrEx>
        <w:trPr>
          <w:trHeight w:val="693"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8"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服务全市预算单位账务处理，保障单位财务正常运行。</w:t>
            </w:r>
          </w:p>
        </w:tc>
      </w:tr>
      <w:tr>
        <w:tblPrEx>
          <w:tblCellMar>
            <w:top w:w="0" w:type="dxa"/>
            <w:left w:w="0" w:type="dxa"/>
            <w:bottom w:w="0" w:type="dxa"/>
            <w:right w:w="0" w:type="dxa"/>
          </w:tblCellMar>
        </w:tblPrEx>
        <w:trPr>
          <w:trHeight w:val="361"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17.03</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17.03</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lang w:val="en-US" w:eastAsia="zh-CN"/>
              </w:rPr>
            </w:pPr>
            <w:r>
              <w:rPr>
                <w:rFonts w:hint="eastAsia" w:ascii="黑体" w:hAnsi="黑体" w:eastAsia="黑体" w:cs="黑体"/>
                <w:i w:val="0"/>
                <w:color w:val="000000"/>
                <w:kern w:val="0"/>
                <w:sz w:val="18"/>
                <w:szCs w:val="18"/>
                <w:u w:val="none"/>
                <w:lang w:val="en-US" w:eastAsia="zh-CN" w:bidi="ar"/>
              </w:rPr>
              <w:t>据实支付系统维护费。</w:t>
            </w:r>
          </w:p>
        </w:tc>
      </w:tr>
      <w:tr>
        <w:tblPrEx>
          <w:tblCellMar>
            <w:top w:w="0" w:type="dxa"/>
            <w:left w:w="0" w:type="dxa"/>
            <w:bottom w:w="0" w:type="dxa"/>
            <w:right w:w="0" w:type="dxa"/>
          </w:tblCellMar>
        </w:tblPrEx>
        <w:trPr>
          <w:trHeight w:val="43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17.03</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17.03</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账务处理准确率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保障全市所有预算单位账务完成</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正确率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良</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180000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170000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安全指标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账务安全性</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良</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3909"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 100 分，</w:t>
            </w:r>
            <w:r>
              <w:rPr>
                <w:rFonts w:ascii="宋体" w:hAnsi="宋体" w:eastAsia="宋体" w:cs="宋体"/>
                <w:i w:val="0"/>
                <w:color w:val="000000"/>
                <w:kern w:val="0"/>
                <w:sz w:val="18"/>
                <w:szCs w:val="18"/>
                <w:u w:val="none"/>
                <w:lang w:val="en-US" w:eastAsia="zh-CN" w:bidi="ar"/>
              </w:rPr>
              <w:t>为全市预算单位账务处理提供服务</w:t>
            </w:r>
          </w:p>
        </w:tc>
      </w:tr>
      <w:tr>
        <w:tblPrEx>
          <w:tblCellMar>
            <w:top w:w="0" w:type="dxa"/>
            <w:left w:w="0" w:type="dxa"/>
            <w:bottom w:w="0" w:type="dxa"/>
            <w:right w:w="0" w:type="dxa"/>
          </w:tblCellMar>
        </w:tblPrEx>
        <w:trPr>
          <w:trHeight w:val="572"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无</w:t>
            </w:r>
          </w:p>
        </w:tc>
      </w:tr>
      <w:tr>
        <w:tblPrEx>
          <w:tblCellMar>
            <w:top w:w="0" w:type="dxa"/>
            <w:left w:w="0" w:type="dxa"/>
            <w:bottom w:w="0" w:type="dxa"/>
            <w:right w:w="0" w:type="dxa"/>
          </w:tblCellMar>
        </w:tblPrEx>
        <w:trPr>
          <w:trHeight w:val="633"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无</w:t>
            </w:r>
          </w:p>
        </w:tc>
      </w:tr>
      <w:tr>
        <w:tblPrEx>
          <w:tblCellMar>
            <w:top w:w="0" w:type="dxa"/>
            <w:left w:w="0" w:type="dxa"/>
            <w:bottom w:w="0" w:type="dxa"/>
            <w:right w:w="0" w:type="dxa"/>
          </w:tblCellMar>
        </w:tblPrEx>
        <w:trPr>
          <w:trHeight w:val="286" w:hRule="atLeast"/>
        </w:trPr>
        <w:tc>
          <w:tcPr>
            <w:tcW w:w="2510"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项目负责人：宋坤</w:t>
            </w:r>
          </w:p>
        </w:tc>
        <w:tc>
          <w:tcPr>
            <w:tcW w:w="2489"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财务负责人：符松梅</w:t>
            </w:r>
          </w:p>
        </w:tc>
      </w:tr>
      <w:tr>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CellMar>
            <w:top w:w="0" w:type="dxa"/>
            <w:left w:w="0" w:type="dxa"/>
            <w:bottom w:w="0" w:type="dxa"/>
            <w:right w:w="0" w:type="dxa"/>
          </w:tblCellMar>
        </w:tblPrEx>
        <w:trPr>
          <w:trHeight w:val="286"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8"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51118122T000005167449-全市工资代发银行手续费</w:t>
            </w:r>
          </w:p>
        </w:tc>
      </w:tr>
      <w:tr>
        <w:tblPrEx>
          <w:tblCellMar>
            <w:top w:w="0" w:type="dxa"/>
            <w:left w:w="0" w:type="dxa"/>
            <w:bottom w:w="0" w:type="dxa"/>
            <w:right w:w="0" w:type="dxa"/>
          </w:tblCellMar>
        </w:tblPrEx>
        <w:trPr>
          <w:trHeight w:val="417"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财政局</w:t>
            </w:r>
          </w:p>
        </w:tc>
        <w:tc>
          <w:tcPr>
            <w:tcW w:w="504"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峨眉山市财政服务中心</w:t>
            </w:r>
          </w:p>
        </w:tc>
      </w:tr>
      <w:tr>
        <w:tblPrEx>
          <w:tblCellMar>
            <w:top w:w="0" w:type="dxa"/>
            <w:left w:w="0" w:type="dxa"/>
            <w:bottom w:w="0" w:type="dxa"/>
            <w:right w:w="0" w:type="dxa"/>
          </w:tblCellMar>
        </w:tblPrEx>
        <w:trPr>
          <w:trHeight w:val="286"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457"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付给银行代发全市工资的手续费，保障全市工资正常发放。</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宋体" w:hAnsi="宋体" w:cs="宋体"/>
                <w:i w:val="0"/>
                <w:color w:val="000000"/>
                <w:kern w:val="0"/>
                <w:sz w:val="18"/>
                <w:szCs w:val="18"/>
                <w:u w:val="none"/>
                <w:lang w:val="en-US" w:eastAsia="zh-CN" w:bidi="ar"/>
              </w:rPr>
              <w:t>完成</w:t>
            </w:r>
            <w:r>
              <w:rPr>
                <w:rFonts w:ascii="宋体" w:hAnsi="宋体" w:eastAsia="宋体" w:cs="宋体"/>
                <w:i w:val="0"/>
                <w:color w:val="000000"/>
                <w:kern w:val="0"/>
                <w:sz w:val="18"/>
                <w:szCs w:val="18"/>
                <w:u w:val="none"/>
                <w:lang w:val="en-US" w:eastAsia="zh-CN" w:bidi="ar"/>
              </w:rPr>
              <w:t>全市工资</w:t>
            </w:r>
            <w:r>
              <w:rPr>
                <w:rFonts w:hint="eastAsia" w:ascii="宋体" w:hAnsi="宋体" w:cs="宋体"/>
                <w:i w:val="0"/>
                <w:color w:val="000000"/>
                <w:kern w:val="0"/>
                <w:sz w:val="18"/>
                <w:szCs w:val="18"/>
                <w:u w:val="none"/>
                <w:lang w:val="en-US" w:eastAsia="zh-CN" w:bidi="ar"/>
              </w:rPr>
              <w:t>发放</w:t>
            </w:r>
          </w:p>
        </w:tc>
      </w:tr>
      <w:tr>
        <w:tblPrEx>
          <w:tblCellMar>
            <w:top w:w="0" w:type="dxa"/>
            <w:left w:w="0" w:type="dxa"/>
            <w:bottom w:w="0" w:type="dxa"/>
            <w:right w:w="0" w:type="dxa"/>
          </w:tblCellMar>
        </w:tblPrEx>
        <w:trPr>
          <w:trHeight w:val="575"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8"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发放全市工资，保障每月足额及时发放。</w:t>
            </w:r>
          </w:p>
        </w:tc>
      </w:tr>
      <w:tr>
        <w:tblPrEx>
          <w:tblCellMar>
            <w:top w:w="0" w:type="dxa"/>
            <w:left w:w="0" w:type="dxa"/>
            <w:bottom w:w="0" w:type="dxa"/>
            <w:right w:w="0" w:type="dxa"/>
          </w:tblCellMar>
        </w:tblPrEx>
        <w:trPr>
          <w:trHeight w:val="361"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87"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4.04</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4.04</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r>
              <w:rPr>
                <w:rFonts w:hint="eastAsia" w:ascii="黑体" w:hAnsi="黑体" w:eastAsia="黑体" w:cs="黑体"/>
                <w:i w:val="0"/>
                <w:iCs w:val="0"/>
                <w:color w:val="000000"/>
                <w:kern w:val="0"/>
                <w:sz w:val="18"/>
                <w:szCs w:val="18"/>
                <w:u w:val="none"/>
                <w:lang w:val="en-US" w:eastAsia="zh-CN" w:bidi="ar"/>
              </w:rPr>
              <w:t>据实支付</w:t>
            </w:r>
          </w:p>
        </w:tc>
      </w:tr>
      <w:tr>
        <w:tblPrEx>
          <w:tblCellMar>
            <w:top w:w="0" w:type="dxa"/>
            <w:left w:w="0" w:type="dxa"/>
            <w:bottom w:w="0" w:type="dxa"/>
            <w:right w:w="0" w:type="dxa"/>
          </w:tblCellMar>
        </w:tblPrEx>
        <w:trPr>
          <w:trHeight w:val="43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4.04</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4.04</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为全市预算单位发放工资</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发放正确率</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按月</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全年手续费</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效果指标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发放效果</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良</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保障社会经济平稳运行</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良</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保障社会效益稳定</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良</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color w:val="000000"/>
                <w:sz w:val="16"/>
                <w:szCs w:val="16"/>
                <w:u w:val="none"/>
                <w:lang w:val="en-US" w:eastAsia="zh-CN"/>
              </w:rPr>
            </w:pPr>
            <w:r>
              <w:rPr>
                <w:rFonts w:hint="eastAsia" w:ascii="微软雅黑" w:hAnsi="微软雅黑" w:eastAsia="微软雅黑" w:cs="微软雅黑"/>
                <w:i w:val="0"/>
                <w:iCs/>
                <w:color w:val="000000"/>
                <w:sz w:val="16"/>
                <w:szCs w:val="16"/>
                <w:u w:val="none"/>
                <w:lang w:val="en-US" w:eastAsia="zh-CN"/>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3909"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 100 分，</w:t>
            </w:r>
            <w:r>
              <w:rPr>
                <w:rFonts w:hint="eastAsia" w:ascii="宋体" w:hAnsi="宋体" w:cs="宋体"/>
                <w:i w:val="0"/>
                <w:color w:val="000000"/>
                <w:kern w:val="0"/>
                <w:sz w:val="18"/>
                <w:szCs w:val="18"/>
                <w:u w:val="none"/>
                <w:lang w:val="en-US" w:eastAsia="zh-CN" w:bidi="ar"/>
              </w:rPr>
              <w:t>完成</w:t>
            </w:r>
            <w:r>
              <w:rPr>
                <w:rFonts w:ascii="宋体" w:hAnsi="宋体" w:eastAsia="宋体" w:cs="宋体"/>
                <w:i w:val="0"/>
                <w:color w:val="000000"/>
                <w:kern w:val="0"/>
                <w:sz w:val="18"/>
                <w:szCs w:val="18"/>
                <w:u w:val="none"/>
                <w:lang w:val="en-US" w:eastAsia="zh-CN" w:bidi="ar"/>
              </w:rPr>
              <w:t>全市工资</w:t>
            </w:r>
            <w:r>
              <w:rPr>
                <w:rFonts w:hint="eastAsia" w:ascii="宋体" w:hAnsi="宋体" w:cs="宋体"/>
                <w:i w:val="0"/>
                <w:color w:val="000000"/>
                <w:kern w:val="0"/>
                <w:sz w:val="18"/>
                <w:szCs w:val="18"/>
                <w:u w:val="none"/>
                <w:lang w:val="en-US" w:eastAsia="zh-CN" w:bidi="ar"/>
              </w:rPr>
              <w:t>发放。</w:t>
            </w:r>
          </w:p>
        </w:tc>
      </w:tr>
      <w:tr>
        <w:tblPrEx>
          <w:tblCellMar>
            <w:top w:w="0" w:type="dxa"/>
            <w:left w:w="0" w:type="dxa"/>
            <w:bottom w:w="0" w:type="dxa"/>
            <w:right w:w="0" w:type="dxa"/>
          </w:tblCellMar>
        </w:tblPrEx>
        <w:trPr>
          <w:trHeight w:val="572"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r>
        <w:tblPrEx>
          <w:tblCellMar>
            <w:top w:w="0" w:type="dxa"/>
            <w:left w:w="0" w:type="dxa"/>
            <w:bottom w:w="0" w:type="dxa"/>
            <w:right w:w="0" w:type="dxa"/>
          </w:tblCellMar>
        </w:tblPrEx>
        <w:trPr>
          <w:trHeight w:val="4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2"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r>
        <w:tblPrEx>
          <w:tblCellMar>
            <w:top w:w="0" w:type="dxa"/>
            <w:left w:w="0" w:type="dxa"/>
            <w:bottom w:w="0" w:type="dxa"/>
            <w:right w:w="0" w:type="dxa"/>
          </w:tblCellMar>
        </w:tblPrEx>
        <w:trPr>
          <w:trHeight w:val="286" w:hRule="atLeast"/>
        </w:trPr>
        <w:tc>
          <w:tcPr>
            <w:tcW w:w="2510"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项目负责人：宋坤</w:t>
            </w:r>
          </w:p>
        </w:tc>
        <w:tc>
          <w:tcPr>
            <w:tcW w:w="2489"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财务负责人：符松梅</w:t>
            </w:r>
          </w:p>
        </w:tc>
      </w:tr>
    </w:tbl>
    <w:p>
      <w:pPr>
        <w:pStyle w:val="2"/>
        <w:jc w:val="both"/>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73" w:name="_Toc20228"/>
      <w:r>
        <w:rPr>
          <w:rFonts w:hint="eastAsia" w:ascii="方正小标宋_GBK" w:hAnsi="方正小标宋_GBK" w:eastAsia="方正小标宋_GBK" w:cs="方正小标宋_GBK"/>
          <w:sz w:val="36"/>
          <w:szCs w:val="36"/>
        </w:rPr>
        <w:t>附</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表</w:t>
      </w:r>
      <w:bookmarkEnd w:id="71"/>
      <w:bookmarkEnd w:id="72"/>
      <w:bookmarkEnd w:id="73"/>
      <w:bookmarkStart w:id="74" w:name="_Toc15396619"/>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5" w:name="_Toc12973"/>
      <w:r>
        <w:rPr>
          <w:rFonts w:hint="eastAsia" w:ascii="黑体" w:hAnsi="黑体" w:eastAsia="黑体" w:cs="黑体"/>
          <w:sz w:val="32"/>
          <w:szCs w:val="32"/>
        </w:rPr>
        <w:t>一、收入支出决算总表</w:t>
      </w:r>
      <w:bookmarkEnd w:id="74"/>
      <w:bookmarkEnd w:id="7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6" w:name="_Toc26005"/>
      <w:bookmarkStart w:id="77" w:name="_Toc15396620"/>
      <w:r>
        <w:rPr>
          <w:rFonts w:hint="eastAsia" w:ascii="黑体" w:hAnsi="黑体" w:eastAsia="黑体" w:cs="黑体"/>
          <w:sz w:val="32"/>
          <w:szCs w:val="32"/>
        </w:rPr>
        <w:t>二、收入决算表</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8" w:name="_Toc15396621"/>
      <w:bookmarkStart w:id="79" w:name="_Toc9829"/>
      <w:r>
        <w:rPr>
          <w:rFonts w:hint="eastAsia" w:ascii="黑体" w:hAnsi="黑体" w:eastAsia="黑体" w:cs="黑体"/>
          <w:sz w:val="32"/>
          <w:szCs w:val="32"/>
        </w:rPr>
        <w:t>三、支出决算表</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0" w:name="_Toc15396622"/>
      <w:bookmarkStart w:id="81" w:name="_Toc15824"/>
      <w:r>
        <w:rPr>
          <w:rFonts w:hint="eastAsia" w:ascii="黑体" w:hAnsi="黑体" w:eastAsia="黑体" w:cs="黑体"/>
          <w:sz w:val="32"/>
          <w:szCs w:val="32"/>
        </w:rPr>
        <w:t>四、财政拨款收入支出决算总表</w:t>
      </w:r>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2" w:name="_Toc15396623"/>
      <w:bookmarkStart w:id="83" w:name="_Toc30380"/>
      <w:r>
        <w:rPr>
          <w:rFonts w:hint="eastAsia" w:ascii="黑体" w:hAnsi="黑体" w:eastAsia="黑体" w:cs="黑体"/>
          <w:sz w:val="32"/>
          <w:szCs w:val="32"/>
        </w:rPr>
        <w:t>五、财政拨款支出决算明细表</w:t>
      </w:r>
      <w:bookmarkEnd w:id="82"/>
      <w:bookmarkEnd w:id="83"/>
      <w:bookmarkStart w:id="84"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5" w:name="_Toc26799"/>
      <w:r>
        <w:rPr>
          <w:rFonts w:hint="eastAsia" w:ascii="黑体" w:hAnsi="黑体" w:eastAsia="黑体" w:cs="黑体"/>
          <w:sz w:val="32"/>
          <w:szCs w:val="32"/>
        </w:rPr>
        <w:t>六、一般公共预算财政拨款支出决算表</w:t>
      </w:r>
      <w:bookmarkEnd w:id="84"/>
      <w:bookmarkEnd w:id="8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6" w:name="_Toc15396625"/>
      <w:bookmarkStart w:id="87" w:name="_Toc12048"/>
      <w:r>
        <w:rPr>
          <w:rFonts w:hint="eastAsia" w:ascii="黑体" w:hAnsi="黑体" w:eastAsia="黑体" w:cs="黑体"/>
          <w:sz w:val="32"/>
          <w:szCs w:val="32"/>
        </w:rPr>
        <w:t>七、一般公共预算财政拨款支出决算明细表</w:t>
      </w:r>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8" w:name="_Toc28699"/>
      <w:bookmarkStart w:id="89" w:name="_Toc15396626"/>
      <w:r>
        <w:rPr>
          <w:rFonts w:hint="eastAsia" w:ascii="黑体" w:hAnsi="黑体" w:eastAsia="黑体" w:cs="黑体"/>
          <w:sz w:val="32"/>
          <w:szCs w:val="32"/>
        </w:rPr>
        <w:t>八、一般公共预算财政拨款基本支出决算表</w:t>
      </w:r>
      <w:bookmarkEnd w:id="88"/>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0" w:name="_Toc15396627"/>
      <w:bookmarkStart w:id="91" w:name="_Toc29732"/>
      <w:r>
        <w:rPr>
          <w:rFonts w:hint="eastAsia" w:ascii="黑体" w:hAnsi="黑体" w:eastAsia="黑体" w:cs="黑体"/>
          <w:sz w:val="32"/>
          <w:szCs w:val="32"/>
        </w:rPr>
        <w:t>九、一般公共预算财政拨款项目支出决算表</w:t>
      </w:r>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2" w:name="_Toc15396628"/>
      <w:bookmarkStart w:id="93" w:name="_Toc18302"/>
      <w:r>
        <w:rPr>
          <w:rFonts w:hint="eastAsia" w:ascii="黑体" w:hAnsi="黑体" w:eastAsia="黑体" w:cs="黑体"/>
          <w:sz w:val="32"/>
          <w:szCs w:val="32"/>
        </w:rPr>
        <w:t>十、</w:t>
      </w:r>
      <w:bookmarkEnd w:id="92"/>
      <w:r>
        <w:rPr>
          <w:rFonts w:hint="eastAsia" w:ascii="黑体" w:hAnsi="黑体" w:eastAsia="黑体" w:cs="黑体"/>
          <w:sz w:val="32"/>
          <w:szCs w:val="32"/>
        </w:rPr>
        <w:t>政府性基金预算财政拨款收入支出决算表</w:t>
      </w:r>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4" w:name="_Toc15396629"/>
      <w:bookmarkStart w:id="95" w:name="_Toc20540"/>
      <w:r>
        <w:rPr>
          <w:rFonts w:hint="eastAsia" w:ascii="黑体" w:hAnsi="黑体" w:eastAsia="黑体" w:cs="黑体"/>
          <w:sz w:val="32"/>
          <w:szCs w:val="32"/>
        </w:rPr>
        <w:t>十一、</w:t>
      </w:r>
      <w:bookmarkEnd w:id="94"/>
      <w:r>
        <w:rPr>
          <w:rFonts w:hint="eastAsia" w:ascii="黑体" w:hAnsi="黑体" w:eastAsia="黑体" w:cs="黑体"/>
          <w:sz w:val="32"/>
          <w:szCs w:val="32"/>
        </w:rPr>
        <w:t>国有资本经营预算财政拨款收入支出决算表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6" w:name="_Toc15396630"/>
      <w:bookmarkStart w:id="97" w:name="_Toc2574"/>
      <w:r>
        <w:rPr>
          <w:rFonts w:hint="eastAsia" w:ascii="黑体" w:hAnsi="黑体" w:eastAsia="黑体" w:cs="黑体"/>
          <w:sz w:val="32"/>
          <w:szCs w:val="32"/>
        </w:rPr>
        <w:t>十二、</w:t>
      </w:r>
      <w:bookmarkEnd w:id="96"/>
      <w:r>
        <w:rPr>
          <w:rFonts w:hint="eastAsia" w:ascii="黑体" w:hAnsi="黑体" w:eastAsia="黑体" w:cs="黑体"/>
          <w:sz w:val="32"/>
          <w:szCs w:val="32"/>
        </w:rPr>
        <w:t>国有资本经营预算财政拨款支出决算表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8" w:name="_Toc15396631"/>
      <w:bookmarkStart w:id="99" w:name="_Toc2856"/>
      <w:r>
        <w:rPr>
          <w:rFonts w:hint="eastAsia" w:ascii="黑体" w:hAnsi="黑体" w:eastAsia="黑体" w:cs="黑体"/>
          <w:sz w:val="32"/>
          <w:szCs w:val="32"/>
        </w:rPr>
        <w:t>十三、</w:t>
      </w:r>
      <w:bookmarkEnd w:id="98"/>
      <w:r>
        <w:rPr>
          <w:rFonts w:hint="eastAsia" w:ascii="黑体" w:hAnsi="黑体" w:eastAsia="黑体" w:cs="黑体"/>
          <w:sz w:val="32"/>
          <w:szCs w:val="32"/>
        </w:rPr>
        <w:t>财政拨款“三公”经费支出决算表</w:t>
      </w:r>
      <w:bookmarkEnd w:id="99"/>
    </w:p>
    <w:sectPr>
      <w:footerReference r:id="rId5" w:type="first"/>
      <w:headerReference r:id="rId3" w:type="default"/>
      <w:footerReference r:id="rId4" w:type="default"/>
      <w:pgSz w:w="11906" w:h="16838"/>
      <w:pgMar w:top="2041" w:right="1468" w:bottom="1587" w:left="1468" w:header="851" w:footer="107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-104140</wp:posOffset>
              </wp:positionV>
              <wp:extent cx="1027430" cy="2501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743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pt;height:19.7pt;width:80.9pt;mso-position-horizontal:outside;mso-position-horizontal-relative:margin;z-index:251659264;mso-width-relative:page;mso-height-relative:page;" filled="f" stroked="f" coordsize="21600,21600" o:gfxdata="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irV8PWAAAABwEAAA8AAAAAAAAAAQAgAAAAIgAAAGRycy9kb3ducmV2&#10;LnhtbFBLAQIUABQAAAAIAIdO4kCSjtyO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-104140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pt;height:144pt;width:144pt;mso-position-horizontal:outside;mso-position-horizontal-relative:margin;mso-wrap-style:none;z-index:251660288;mso-width-relative:page;mso-height-relative:page;" filled="f" stroked="f" coordsize="21600,21600" o:gfxdata="UEsDBAoAAAAAAIdO4kAAAAAAAAAAAAAAAAAEAAAAZHJzL1BLAwQUAAAACACHTuJA7z4mXd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tgXB8ibP+XLk4THN&#10;QFal/F+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PiZd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4E040"/>
    <w:multiLevelType w:val="singleLevel"/>
    <w:tmpl w:val="68A4E040"/>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NjNzhiOTkyZTlkNzZmOGY5ODQ3MGJmODIxYjU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A1B"/>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646A"/>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20DF2"/>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150672C"/>
    <w:rsid w:val="01CB166B"/>
    <w:rsid w:val="03497A06"/>
    <w:rsid w:val="034B47D7"/>
    <w:rsid w:val="034E3DFF"/>
    <w:rsid w:val="03E54B54"/>
    <w:rsid w:val="043C5AB7"/>
    <w:rsid w:val="044D3275"/>
    <w:rsid w:val="0513694B"/>
    <w:rsid w:val="052D4EEB"/>
    <w:rsid w:val="053A62B5"/>
    <w:rsid w:val="05B505E3"/>
    <w:rsid w:val="05B57CF5"/>
    <w:rsid w:val="05DC1897"/>
    <w:rsid w:val="061F622A"/>
    <w:rsid w:val="06231531"/>
    <w:rsid w:val="0655338B"/>
    <w:rsid w:val="06ED1F84"/>
    <w:rsid w:val="07274089"/>
    <w:rsid w:val="07424329"/>
    <w:rsid w:val="07FC628E"/>
    <w:rsid w:val="089074C5"/>
    <w:rsid w:val="08FD204C"/>
    <w:rsid w:val="091343F8"/>
    <w:rsid w:val="095051C5"/>
    <w:rsid w:val="097B6CFD"/>
    <w:rsid w:val="09B26A41"/>
    <w:rsid w:val="09B81DAF"/>
    <w:rsid w:val="09E938F4"/>
    <w:rsid w:val="0A2032A3"/>
    <w:rsid w:val="0B1F1CB7"/>
    <w:rsid w:val="0B2412BE"/>
    <w:rsid w:val="0B4D2D95"/>
    <w:rsid w:val="0B602CBC"/>
    <w:rsid w:val="0B7A250D"/>
    <w:rsid w:val="0B8A37D8"/>
    <w:rsid w:val="0BE535BA"/>
    <w:rsid w:val="0C0149DC"/>
    <w:rsid w:val="0C014F6D"/>
    <w:rsid w:val="0C29007B"/>
    <w:rsid w:val="0CA51A29"/>
    <w:rsid w:val="0CC67D21"/>
    <w:rsid w:val="0DBA12E6"/>
    <w:rsid w:val="0E070867"/>
    <w:rsid w:val="0E127C70"/>
    <w:rsid w:val="0E240F6E"/>
    <w:rsid w:val="0EE378AD"/>
    <w:rsid w:val="0F3C10CF"/>
    <w:rsid w:val="0F4E7912"/>
    <w:rsid w:val="0FAA4865"/>
    <w:rsid w:val="0FF90A95"/>
    <w:rsid w:val="10AF6EF2"/>
    <w:rsid w:val="10C055FF"/>
    <w:rsid w:val="116D5E84"/>
    <w:rsid w:val="118107EC"/>
    <w:rsid w:val="11CA009A"/>
    <w:rsid w:val="11DD6519"/>
    <w:rsid w:val="126822C3"/>
    <w:rsid w:val="131C13FD"/>
    <w:rsid w:val="13C133CE"/>
    <w:rsid w:val="14201F5E"/>
    <w:rsid w:val="1486441C"/>
    <w:rsid w:val="149707F7"/>
    <w:rsid w:val="14A05482"/>
    <w:rsid w:val="15FE6DA5"/>
    <w:rsid w:val="16021A7C"/>
    <w:rsid w:val="16904476"/>
    <w:rsid w:val="16951C25"/>
    <w:rsid w:val="16BB723D"/>
    <w:rsid w:val="171C091C"/>
    <w:rsid w:val="174635D9"/>
    <w:rsid w:val="175E0F34"/>
    <w:rsid w:val="17A34661"/>
    <w:rsid w:val="18015F3F"/>
    <w:rsid w:val="18472E81"/>
    <w:rsid w:val="18522A50"/>
    <w:rsid w:val="18707997"/>
    <w:rsid w:val="18CB3FBD"/>
    <w:rsid w:val="19151AC7"/>
    <w:rsid w:val="192B74F8"/>
    <w:rsid w:val="19D3136E"/>
    <w:rsid w:val="19F22C78"/>
    <w:rsid w:val="1A1D7576"/>
    <w:rsid w:val="1A701B69"/>
    <w:rsid w:val="1B0E4362"/>
    <w:rsid w:val="1B3B4ADE"/>
    <w:rsid w:val="1B477D36"/>
    <w:rsid w:val="1BC901A8"/>
    <w:rsid w:val="1BE8440E"/>
    <w:rsid w:val="1C78352D"/>
    <w:rsid w:val="1CA66585"/>
    <w:rsid w:val="1D0F2047"/>
    <w:rsid w:val="1D155CEE"/>
    <w:rsid w:val="1D3A1C72"/>
    <w:rsid w:val="1D4A12A6"/>
    <w:rsid w:val="1DC93F7C"/>
    <w:rsid w:val="1E86249B"/>
    <w:rsid w:val="1E8A5D8D"/>
    <w:rsid w:val="1EB9644E"/>
    <w:rsid w:val="1EF26E5F"/>
    <w:rsid w:val="1F1466E7"/>
    <w:rsid w:val="1F9318BA"/>
    <w:rsid w:val="201009A4"/>
    <w:rsid w:val="201B4C37"/>
    <w:rsid w:val="20991F44"/>
    <w:rsid w:val="20EB55A3"/>
    <w:rsid w:val="20F57F95"/>
    <w:rsid w:val="21051BB1"/>
    <w:rsid w:val="22356338"/>
    <w:rsid w:val="23710CE8"/>
    <w:rsid w:val="23835111"/>
    <w:rsid w:val="23A72639"/>
    <w:rsid w:val="23C83873"/>
    <w:rsid w:val="240371BF"/>
    <w:rsid w:val="2483184E"/>
    <w:rsid w:val="256333F6"/>
    <w:rsid w:val="25711CC6"/>
    <w:rsid w:val="25C741E6"/>
    <w:rsid w:val="26096FA8"/>
    <w:rsid w:val="26605DA7"/>
    <w:rsid w:val="26C85BD3"/>
    <w:rsid w:val="26CD39E1"/>
    <w:rsid w:val="27306516"/>
    <w:rsid w:val="2753038A"/>
    <w:rsid w:val="27842671"/>
    <w:rsid w:val="27935843"/>
    <w:rsid w:val="283C0E1E"/>
    <w:rsid w:val="285B3A62"/>
    <w:rsid w:val="286E0553"/>
    <w:rsid w:val="28F667B7"/>
    <w:rsid w:val="29116E5E"/>
    <w:rsid w:val="29596B38"/>
    <w:rsid w:val="295C3E29"/>
    <w:rsid w:val="29BC0418"/>
    <w:rsid w:val="29FD04D3"/>
    <w:rsid w:val="2A781D8B"/>
    <w:rsid w:val="2AAD309E"/>
    <w:rsid w:val="2ABE7A3E"/>
    <w:rsid w:val="2AE77C20"/>
    <w:rsid w:val="2B1A1567"/>
    <w:rsid w:val="2B5C4AF5"/>
    <w:rsid w:val="2BAE0E01"/>
    <w:rsid w:val="2BC67CE7"/>
    <w:rsid w:val="2BFE0F1C"/>
    <w:rsid w:val="2C566DF5"/>
    <w:rsid w:val="2C676898"/>
    <w:rsid w:val="2C8E3DEC"/>
    <w:rsid w:val="2CA234A8"/>
    <w:rsid w:val="2D2F40CB"/>
    <w:rsid w:val="2D87020C"/>
    <w:rsid w:val="2DA412F9"/>
    <w:rsid w:val="2DDA4495"/>
    <w:rsid w:val="2DE2034D"/>
    <w:rsid w:val="2DF95FA0"/>
    <w:rsid w:val="2E204056"/>
    <w:rsid w:val="2EE31FF3"/>
    <w:rsid w:val="2EFA178C"/>
    <w:rsid w:val="2F114E4B"/>
    <w:rsid w:val="2F3565C7"/>
    <w:rsid w:val="30267027"/>
    <w:rsid w:val="30B46D73"/>
    <w:rsid w:val="30D36097"/>
    <w:rsid w:val="319F7F4E"/>
    <w:rsid w:val="324373C0"/>
    <w:rsid w:val="324A5C5B"/>
    <w:rsid w:val="32C03FA8"/>
    <w:rsid w:val="32F7465A"/>
    <w:rsid w:val="33BD3DDC"/>
    <w:rsid w:val="347E55D3"/>
    <w:rsid w:val="34D869F3"/>
    <w:rsid w:val="34EA675F"/>
    <w:rsid w:val="35553E38"/>
    <w:rsid w:val="35D87C78"/>
    <w:rsid w:val="36146F36"/>
    <w:rsid w:val="36576AE5"/>
    <w:rsid w:val="36A8708C"/>
    <w:rsid w:val="36AD267E"/>
    <w:rsid w:val="371663D5"/>
    <w:rsid w:val="37701BF6"/>
    <w:rsid w:val="37DC5B9F"/>
    <w:rsid w:val="383D272C"/>
    <w:rsid w:val="384D2B16"/>
    <w:rsid w:val="38516086"/>
    <w:rsid w:val="38AA6BF2"/>
    <w:rsid w:val="38F0217A"/>
    <w:rsid w:val="39074B30"/>
    <w:rsid w:val="39094440"/>
    <w:rsid w:val="391026C5"/>
    <w:rsid w:val="39AE70AB"/>
    <w:rsid w:val="3A3C2EFF"/>
    <w:rsid w:val="3AFC79F7"/>
    <w:rsid w:val="3B1D688D"/>
    <w:rsid w:val="3B36794F"/>
    <w:rsid w:val="3B821690"/>
    <w:rsid w:val="3BCF1B7D"/>
    <w:rsid w:val="3BE20E8C"/>
    <w:rsid w:val="3C057265"/>
    <w:rsid w:val="3C0C0783"/>
    <w:rsid w:val="3C2569E5"/>
    <w:rsid w:val="3C4542ED"/>
    <w:rsid w:val="3C6329C5"/>
    <w:rsid w:val="3CF90A30"/>
    <w:rsid w:val="3D2D6B2F"/>
    <w:rsid w:val="3E287A97"/>
    <w:rsid w:val="3E4D616E"/>
    <w:rsid w:val="3E8B55F2"/>
    <w:rsid w:val="3F0D0FCA"/>
    <w:rsid w:val="3F396C13"/>
    <w:rsid w:val="3F4D34B9"/>
    <w:rsid w:val="3F9F3A96"/>
    <w:rsid w:val="3FA4757D"/>
    <w:rsid w:val="402B5830"/>
    <w:rsid w:val="4070487D"/>
    <w:rsid w:val="409F0BDE"/>
    <w:rsid w:val="40F321A0"/>
    <w:rsid w:val="418C02C8"/>
    <w:rsid w:val="421D5BA1"/>
    <w:rsid w:val="422D7784"/>
    <w:rsid w:val="428129AA"/>
    <w:rsid w:val="43307C79"/>
    <w:rsid w:val="43CA0DE3"/>
    <w:rsid w:val="43D2417C"/>
    <w:rsid w:val="43F34645"/>
    <w:rsid w:val="448509CD"/>
    <w:rsid w:val="449E5D65"/>
    <w:rsid w:val="44D77AAC"/>
    <w:rsid w:val="455C6204"/>
    <w:rsid w:val="45D109A0"/>
    <w:rsid w:val="45E567C3"/>
    <w:rsid w:val="46A87C1D"/>
    <w:rsid w:val="46F00D43"/>
    <w:rsid w:val="4703222F"/>
    <w:rsid w:val="47152B0E"/>
    <w:rsid w:val="47431429"/>
    <w:rsid w:val="4749094D"/>
    <w:rsid w:val="47C85980"/>
    <w:rsid w:val="484440CC"/>
    <w:rsid w:val="48751DC1"/>
    <w:rsid w:val="4894283D"/>
    <w:rsid w:val="48A578B9"/>
    <w:rsid w:val="48AE4E18"/>
    <w:rsid w:val="48BF60AB"/>
    <w:rsid w:val="493C27E9"/>
    <w:rsid w:val="496F39ED"/>
    <w:rsid w:val="497615EF"/>
    <w:rsid w:val="49867365"/>
    <w:rsid w:val="49AD43FF"/>
    <w:rsid w:val="49FF41D3"/>
    <w:rsid w:val="4A056E6A"/>
    <w:rsid w:val="4AB6052B"/>
    <w:rsid w:val="4ADD3BE3"/>
    <w:rsid w:val="4B466E7B"/>
    <w:rsid w:val="4B671670"/>
    <w:rsid w:val="4BE068DB"/>
    <w:rsid w:val="4BF6002B"/>
    <w:rsid w:val="4C1710D6"/>
    <w:rsid w:val="4C8A7AFA"/>
    <w:rsid w:val="4D01532F"/>
    <w:rsid w:val="4D116F2F"/>
    <w:rsid w:val="4DB56D41"/>
    <w:rsid w:val="4EBE34A9"/>
    <w:rsid w:val="4ECE2238"/>
    <w:rsid w:val="4ED57470"/>
    <w:rsid w:val="4EDC0153"/>
    <w:rsid w:val="4F2C1ABC"/>
    <w:rsid w:val="4F566B02"/>
    <w:rsid w:val="4FE16ACA"/>
    <w:rsid w:val="4FEE38E5"/>
    <w:rsid w:val="50414974"/>
    <w:rsid w:val="504E4354"/>
    <w:rsid w:val="509E2753"/>
    <w:rsid w:val="5180036E"/>
    <w:rsid w:val="51DB4B86"/>
    <w:rsid w:val="51DD7FDE"/>
    <w:rsid w:val="51F441D0"/>
    <w:rsid w:val="523429E2"/>
    <w:rsid w:val="524621F3"/>
    <w:rsid w:val="52470CD5"/>
    <w:rsid w:val="527903F5"/>
    <w:rsid w:val="52D72B46"/>
    <w:rsid w:val="53CA4C80"/>
    <w:rsid w:val="53F841A0"/>
    <w:rsid w:val="53FC752F"/>
    <w:rsid w:val="54680CCF"/>
    <w:rsid w:val="550B2D68"/>
    <w:rsid w:val="5510661E"/>
    <w:rsid w:val="55333C3E"/>
    <w:rsid w:val="55376407"/>
    <w:rsid w:val="559E63C4"/>
    <w:rsid w:val="55AD3109"/>
    <w:rsid w:val="55B31EE4"/>
    <w:rsid w:val="564E3947"/>
    <w:rsid w:val="579161E1"/>
    <w:rsid w:val="581A4428"/>
    <w:rsid w:val="582E5F0A"/>
    <w:rsid w:val="584C035A"/>
    <w:rsid w:val="58CC5A22"/>
    <w:rsid w:val="58D55985"/>
    <w:rsid w:val="58EA3F8A"/>
    <w:rsid w:val="594F6EF9"/>
    <w:rsid w:val="5AAE0E58"/>
    <w:rsid w:val="5AF82BFF"/>
    <w:rsid w:val="5AF906AD"/>
    <w:rsid w:val="5B3A3B90"/>
    <w:rsid w:val="5B4D241F"/>
    <w:rsid w:val="5BE72313"/>
    <w:rsid w:val="5C3A6A67"/>
    <w:rsid w:val="5D0D7A4E"/>
    <w:rsid w:val="5D213B63"/>
    <w:rsid w:val="5D2C7E82"/>
    <w:rsid w:val="5DCD0986"/>
    <w:rsid w:val="5DE649F5"/>
    <w:rsid w:val="5DFB0858"/>
    <w:rsid w:val="5E8E209B"/>
    <w:rsid w:val="5E916F7A"/>
    <w:rsid w:val="5EA7453C"/>
    <w:rsid w:val="5EBF7429"/>
    <w:rsid w:val="5F0100EB"/>
    <w:rsid w:val="608B036D"/>
    <w:rsid w:val="60B012F6"/>
    <w:rsid w:val="60B60CB6"/>
    <w:rsid w:val="61DA5DDA"/>
    <w:rsid w:val="62014381"/>
    <w:rsid w:val="62936C75"/>
    <w:rsid w:val="6327404C"/>
    <w:rsid w:val="63B523BD"/>
    <w:rsid w:val="64592D67"/>
    <w:rsid w:val="64832997"/>
    <w:rsid w:val="64AC1D45"/>
    <w:rsid w:val="64CA39A1"/>
    <w:rsid w:val="65182F10"/>
    <w:rsid w:val="65526956"/>
    <w:rsid w:val="659C143A"/>
    <w:rsid w:val="65BA4B55"/>
    <w:rsid w:val="65C0086C"/>
    <w:rsid w:val="66611EAB"/>
    <w:rsid w:val="66CA0F9B"/>
    <w:rsid w:val="66EF2222"/>
    <w:rsid w:val="66FF699D"/>
    <w:rsid w:val="67065989"/>
    <w:rsid w:val="678154B3"/>
    <w:rsid w:val="6794296C"/>
    <w:rsid w:val="67C82321"/>
    <w:rsid w:val="67DE1C4C"/>
    <w:rsid w:val="67E055DB"/>
    <w:rsid w:val="68F23857"/>
    <w:rsid w:val="69630ADE"/>
    <w:rsid w:val="69894F6A"/>
    <w:rsid w:val="69C2591D"/>
    <w:rsid w:val="6A0202A5"/>
    <w:rsid w:val="6A1A6328"/>
    <w:rsid w:val="6A1F1CDF"/>
    <w:rsid w:val="6A5A6D6E"/>
    <w:rsid w:val="6B00255C"/>
    <w:rsid w:val="6B166CD1"/>
    <w:rsid w:val="6B5C045C"/>
    <w:rsid w:val="6B5D36D8"/>
    <w:rsid w:val="6B845659"/>
    <w:rsid w:val="6C014A7F"/>
    <w:rsid w:val="6C183322"/>
    <w:rsid w:val="6C4A05C8"/>
    <w:rsid w:val="6CD94BE9"/>
    <w:rsid w:val="6D3B1A89"/>
    <w:rsid w:val="6D672C21"/>
    <w:rsid w:val="6D8003B4"/>
    <w:rsid w:val="6D94212F"/>
    <w:rsid w:val="6D9E5285"/>
    <w:rsid w:val="6DEC7831"/>
    <w:rsid w:val="6DF826BE"/>
    <w:rsid w:val="6EB904DD"/>
    <w:rsid w:val="6EF54E4F"/>
    <w:rsid w:val="6F0923BD"/>
    <w:rsid w:val="6F8B601B"/>
    <w:rsid w:val="7055079B"/>
    <w:rsid w:val="707728AE"/>
    <w:rsid w:val="70E700FA"/>
    <w:rsid w:val="71894974"/>
    <w:rsid w:val="71BF4EC2"/>
    <w:rsid w:val="71F413EE"/>
    <w:rsid w:val="72734D90"/>
    <w:rsid w:val="72B64351"/>
    <w:rsid w:val="72ED7BA2"/>
    <w:rsid w:val="7412278C"/>
    <w:rsid w:val="74150907"/>
    <w:rsid w:val="748565CB"/>
    <w:rsid w:val="75727C2E"/>
    <w:rsid w:val="75D05D09"/>
    <w:rsid w:val="75D5566E"/>
    <w:rsid w:val="75FF3AE1"/>
    <w:rsid w:val="76BC5F20"/>
    <w:rsid w:val="76E54B12"/>
    <w:rsid w:val="78021C8C"/>
    <w:rsid w:val="784A35BC"/>
    <w:rsid w:val="786A4DE6"/>
    <w:rsid w:val="790B29CD"/>
    <w:rsid w:val="79164340"/>
    <w:rsid w:val="79E7B28D"/>
    <w:rsid w:val="7A672A5C"/>
    <w:rsid w:val="7AED0DB7"/>
    <w:rsid w:val="7B2D6042"/>
    <w:rsid w:val="7BB45E5D"/>
    <w:rsid w:val="7BC857D9"/>
    <w:rsid w:val="7BC95140"/>
    <w:rsid w:val="7BC9794B"/>
    <w:rsid w:val="7C7362B0"/>
    <w:rsid w:val="7D9307C8"/>
    <w:rsid w:val="7E5C3F9A"/>
    <w:rsid w:val="7E7538B7"/>
    <w:rsid w:val="7F9F20EE"/>
    <w:rsid w:val="7FE05816"/>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421.99</c:v>
                </c:pt>
                <c:pt idx="1">
                  <c:v>573.87</c:v>
                </c:pt>
              </c:numCache>
            </c:numRef>
          </c:val>
        </c:ser>
        <c:dLbls>
          <c:showLegendKey val="0"/>
          <c:showVal val="0"/>
          <c:showCatName val="0"/>
          <c:showSerName val="0"/>
          <c:showPercent val="0"/>
          <c:showBubbleSize val="0"/>
        </c:dLbls>
        <c:gapWidth val="219"/>
        <c:overlap val="-27"/>
        <c:axId val="174711037"/>
        <c:axId val="375392744"/>
      </c:barChart>
      <c:catAx>
        <c:axId val="1747110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5392744"/>
        <c:crosses val="autoZero"/>
        <c:auto val="1"/>
        <c:lblAlgn val="ctr"/>
        <c:lblOffset val="100"/>
        <c:noMultiLvlLbl val="0"/>
      </c:catAx>
      <c:valAx>
        <c:axId val="375392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7110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6125"/>
                  <c:y val="-0.05166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625"/>
                  <c:y val="0.0033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570.53</c:v>
                </c:pt>
                <c:pt idx="1">
                  <c:v>3.14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549.46</c:v>
                </c:pt>
                <c:pt idx="1">
                  <c:v>24.21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财政拨款收、支决算总计变动情况   单位：万元</a:t>
            </a:r>
            <a:endParaRPr sz="1200"/>
          </a:p>
        </c:rich>
      </c:tx>
      <c:layout>
        <c:manualLayout>
          <c:xMode val="edge"/>
          <c:yMode val="edge"/>
          <c:x val="0.164044784580499"/>
          <c:y val="0.047231697717134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财政拨款收、支决算总计变动情况   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421.96</c:v>
                </c:pt>
                <c:pt idx="1">
                  <c:v>573.84</c:v>
                </c:pt>
              </c:numCache>
            </c:numRef>
          </c:val>
        </c:ser>
        <c:dLbls>
          <c:showLegendKey val="0"/>
          <c:showVal val="1"/>
          <c:showCatName val="0"/>
          <c:showSerName val="0"/>
          <c:showPercent val="0"/>
          <c:showBubbleSize val="0"/>
        </c:dLbls>
        <c:gapWidth val="219"/>
        <c:overlap val="-27"/>
        <c:axId val="607347007"/>
        <c:axId val="875209626"/>
      </c:barChart>
      <c:catAx>
        <c:axId val="6073470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209626"/>
        <c:crosses val="autoZero"/>
        <c:auto val="1"/>
        <c:lblAlgn val="ctr"/>
        <c:lblOffset val="100"/>
        <c:noMultiLvlLbl val="0"/>
      </c:catAx>
      <c:valAx>
        <c:axId val="875209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347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0" i="0" u="none" strike="noStrike" kern="1200" spc="0" baseline="0">
                <a:solidFill>
                  <a:schemeClr val="tx1">
                    <a:lumMod val="65000"/>
                    <a:lumOff val="35000"/>
                  </a:schemeClr>
                </a:solidFill>
                <a:latin typeface="+mn-lt"/>
                <a:ea typeface="+mn-ea"/>
                <a:cs typeface="+mn-cs"/>
              </a:defRPr>
            </a:pPr>
            <a:r>
              <a:rPr sz="1080"/>
              <a:t>一般公共预算财政拨款支出决算变动情况   单位：万元</a:t>
            </a:r>
            <a:endParaRPr sz="1080"/>
          </a:p>
        </c:rich>
      </c:tx>
      <c:layout>
        <c:manualLayout>
          <c:xMode val="edge"/>
          <c:yMode val="edge"/>
          <c:x val="0.111187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一般公共预算财政拨款支出决算变动情况   单位：万元</c:v>
                </c:pt>
              </c:strCache>
            </c:strRef>
          </c:tx>
          <c:spPr>
            <a:solidFill>
              <a:schemeClr val="accent1"/>
            </a:solidFill>
            <a:ln>
              <a:noFill/>
            </a:ln>
            <a:effectLst/>
          </c:spPr>
          <c:invertIfNegative val="0"/>
          <c:dLbls>
            <c:dLbl>
              <c:idx val="0"/>
              <c:layout>
                <c:manualLayout>
                  <c:x val="0"/>
                  <c:y val="0.01166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421.79</c:v>
                </c:pt>
                <c:pt idx="1">
                  <c:v>570.53</c:v>
                </c:pt>
              </c:numCache>
            </c:numRef>
          </c:val>
        </c:ser>
        <c:dLbls>
          <c:showLegendKey val="0"/>
          <c:showVal val="1"/>
          <c:showCatName val="0"/>
          <c:showSerName val="0"/>
          <c:showPercent val="0"/>
          <c:showBubbleSize val="0"/>
        </c:dLbls>
        <c:gapWidth val="219"/>
        <c:overlap val="-27"/>
        <c:axId val="59509509"/>
        <c:axId val="924880048"/>
      </c:barChart>
      <c:catAx>
        <c:axId val="59509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880048"/>
        <c:crosses val="autoZero"/>
        <c:auto val="1"/>
        <c:lblAlgn val="ctr"/>
        <c:lblOffset val="100"/>
        <c:noMultiLvlLbl val="0"/>
      </c:catAx>
      <c:valAx>
        <c:axId val="92488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095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   </a:t>
            </a:r>
          </a:p>
        </c:rich>
      </c:tx>
      <c:layout>
        <c:manualLayout>
          <c:xMode val="edge"/>
          <c:yMode val="edge"/>
          <c:x val="0.191125"/>
          <c:y val="0.0116666666666667"/>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   单位：万元</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gradFill>
                <a:gsLst>
                  <a:gs pos="94000">
                    <a:srgbClr val="FE4444"/>
                  </a:gs>
                  <a:gs pos="98000">
                    <a:srgbClr val="832B2B"/>
                  </a:gs>
                </a:gsLst>
                <a:lin ang="5400000" scaled="0"/>
              </a:gra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6">
                  <a:lumMod val="40000"/>
                  <a:lumOff val="60000"/>
                </a:schemeClr>
              </a:solidFill>
              <a:ln w="19050">
                <a:solidFill>
                  <a:schemeClr val="lt1"/>
                </a:solidFill>
              </a:ln>
              <a:effectLst/>
            </c:spPr>
          </c:dPt>
          <c:dLbls>
            <c:dLbl>
              <c:idx val="0"/>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249342067402245"/>
                  <c:y val="0.00155587287194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11842067402245"/>
                  <c:y val="0.02322253953860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21576988887864"/>
                  <c:y val="-0.03677746046139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0881615235897259"/>
                  <c:y val="-0.0149782933558076"/>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0705445136107642"/>
                  <c:y val="-0.0148437665734839"/>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675"/>
                  <c:y val="0.00333333333333333"/>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443.78</c:v>
                </c:pt>
                <c:pt idx="1">
                  <c:v>0</c:v>
                </c:pt>
                <c:pt idx="2">
                  <c:v>0</c:v>
                </c:pt>
                <c:pt idx="3">
                  <c:v>0</c:v>
                </c:pt>
                <c:pt idx="4">
                  <c:v>58.55</c:v>
                </c:pt>
                <c:pt idx="5">
                  <c:v>21.76</c:v>
                </c:pt>
                <c:pt idx="6">
                  <c:v>46.44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12187</Words>
  <Characters>14501</Characters>
  <Lines>71</Lines>
  <Paragraphs>20</Paragraphs>
  <TotalTime>15</TotalTime>
  <ScaleCrop>false</ScaleCrop>
  <LinksUpToDate>false</LinksUpToDate>
  <CharactersWithSpaces>14685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杨璐凡</cp:lastModifiedBy>
  <cp:lastPrinted>2023-12-08T03:21:00Z</cp:lastPrinted>
  <dcterms:modified xsi:type="dcterms:W3CDTF">2023-12-13T03:13:18Z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4B9C80CC8B1C47B6AA500FA2E1ADBE0F_13</vt:lpwstr>
  </property>
</Properties>
</file>