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outlineLvl w:val="0"/>
        <w:rPr>
          <w:rFonts w:ascii="方正小标宋简体" w:hAnsi="宋体" w:eastAsia="方正小标宋简体"/>
          <w:szCs w:val="21"/>
        </w:rPr>
      </w:pPr>
      <w:bookmarkStart w:id="0"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77193"/>
      <w:bookmarkStart w:id="2" w:name="_Toc15396597"/>
      <w:bookmarkStart w:id="3" w:name="_Toc15378441"/>
      <w:bookmarkStart w:id="4" w:name="_Toc15396475"/>
      <w:bookmarkStart w:id="5" w:name="_Toc15377425"/>
      <w:r>
        <w:rPr>
          <w:rFonts w:hint="eastAsia" w:ascii="方正小标宋简体" w:hAnsi="方正小标宋简体" w:eastAsia="方正小标宋简体" w:cs="方正小标宋简体"/>
          <w:sz w:val="72"/>
          <w:szCs w:val="72"/>
        </w:rPr>
        <w:t>2022年度</w:t>
      </w:r>
      <w:bookmarkEnd w:id="1"/>
      <w:bookmarkEnd w:id="2"/>
      <w:bookmarkEnd w:id="3"/>
      <w:bookmarkEnd w:id="4"/>
      <w:bookmarkEnd w:id="5"/>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77194"/>
      <w:bookmarkStart w:id="7" w:name="_Toc15396598"/>
      <w:bookmarkStart w:id="8" w:name="_Toc15378442"/>
      <w:bookmarkStart w:id="9" w:name="_Toc15377426"/>
      <w:bookmarkStart w:id="10" w:name="_Toc15396476"/>
      <w:r>
        <w:rPr>
          <w:rFonts w:hint="eastAsia" w:ascii="方正小标宋简体" w:hAnsi="方正小标宋简体" w:eastAsia="方正小标宋简体" w:cs="方正小标宋简体"/>
          <w:sz w:val="72"/>
          <w:szCs w:val="72"/>
        </w:rPr>
        <w:t>四川省</w:t>
      </w:r>
      <w:bookmarkEnd w:id="0"/>
      <w:bookmarkStart w:id="11" w:name="_Toc15306268"/>
      <w:r>
        <w:rPr>
          <w:rFonts w:hint="eastAsia" w:ascii="方正小标宋简体" w:hAnsi="方正小标宋简体" w:eastAsia="方正小标宋简体" w:cs="方正小标宋简体"/>
          <w:sz w:val="72"/>
          <w:szCs w:val="72"/>
        </w:rPr>
        <w:t>峨眉山市应急管理局（本级）单位决算</w:t>
      </w:r>
      <w:bookmarkEnd w:id="6"/>
      <w:bookmarkEnd w:id="7"/>
      <w:bookmarkEnd w:id="8"/>
      <w:bookmarkEnd w:id="9"/>
      <w:bookmarkEnd w:id="10"/>
      <w:bookmarkEnd w:id="11"/>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rPr>
          <w:rFonts w:eastAsiaTheme="minorEastAsia"/>
        </w:rPr>
      </w:pPr>
    </w:p>
    <w:p>
      <w:pPr>
        <w:pStyle w:val="2"/>
        <w:spacing w:before="93"/>
        <w:rPr>
          <w:rFonts w:eastAsiaTheme="minorEastAsia"/>
        </w:rPr>
      </w:pPr>
    </w:p>
    <w:p>
      <w:pPr>
        <w:widowControl/>
        <w:jc w:val="center"/>
        <w:rPr>
          <w:rFonts w:ascii="黑体" w:hAnsi="黑体" w:eastAsia="黑体"/>
          <w:sz w:val="48"/>
          <w:szCs w:val="48"/>
        </w:rPr>
      </w:pPr>
      <w:r>
        <w:rPr>
          <w:rFonts w:hint="eastAsia" w:ascii="黑体" w:hAnsi="黑体" w:eastAsia="黑体"/>
          <w:sz w:val="48"/>
          <w:szCs w:val="48"/>
        </w:rPr>
        <w:t>目录</w:t>
      </w:r>
    </w:p>
    <w:p>
      <w:pPr>
        <w:widowControl/>
        <w:jc w:val="center"/>
        <w:rPr>
          <w:rFonts w:ascii="黑体" w:hAnsi="黑体" w:eastAsia="黑体" w:cstheme="minorBidi"/>
          <w:sz w:val="28"/>
          <w:szCs w:val="28"/>
        </w:rPr>
      </w:pPr>
    </w:p>
    <w:p>
      <w:pPr>
        <w:pStyle w:val="10"/>
        <w:rPr>
          <w:sz w:val="32"/>
          <w:szCs w:val="32"/>
        </w:rPr>
      </w:pPr>
      <w:r>
        <w:rPr>
          <w:rFonts w:hint="eastAsia"/>
          <w:sz w:val="32"/>
          <w:szCs w:val="32"/>
        </w:rPr>
        <w:t xml:space="preserve">公开时间：2023年 </w:t>
      </w:r>
      <w:r>
        <w:rPr>
          <w:sz w:val="32"/>
          <w:szCs w:val="32"/>
        </w:rPr>
        <w:t>1</w:t>
      </w:r>
      <w:r>
        <w:rPr>
          <w:rFonts w:hint="eastAsia"/>
          <w:sz w:val="32"/>
          <w:szCs w:val="32"/>
        </w:rPr>
        <w:t>2月1</w:t>
      </w:r>
      <w:r>
        <w:rPr>
          <w:rFonts w:hint="eastAsia"/>
          <w:sz w:val="32"/>
          <w:szCs w:val="32"/>
          <w:lang w:val="en-US" w:eastAsia="zh-CN"/>
        </w:rPr>
        <w:t>2</w:t>
      </w:r>
      <w:r>
        <w:rPr>
          <w:rFonts w:hint="eastAsia"/>
          <w:sz w:val="32"/>
          <w:szCs w:val="32"/>
        </w:rPr>
        <w:t xml:space="preserve"> 日</w:t>
      </w:r>
    </w:p>
    <w:p>
      <w:pPr>
        <w:rPr>
          <w:rFonts w:ascii="仿宋" w:hAnsi="仿宋" w:eastAsia="仿宋"/>
          <w:sz w:val="32"/>
          <w:szCs w:val="32"/>
        </w:rPr>
      </w:pPr>
      <w:bookmarkStart w:id="69" w:name="_GoBack"/>
      <w:bookmarkEnd w:id="69"/>
    </w:p>
    <w:p>
      <w:pPr>
        <w:pStyle w:val="10"/>
        <w:adjustRightInd w:val="0"/>
        <w:snapToGrid w:val="0"/>
        <w:spacing w:before="0" w:line="440" w:lineRule="exact"/>
        <w:jc w:val="left"/>
        <w:rPr>
          <w:rFonts w:cstheme="minorBidi"/>
          <w:sz w:val="32"/>
          <w:szCs w:val="32"/>
        </w:rPr>
      </w:pPr>
      <w:r>
        <w:rPr>
          <w:rFonts w:hint="eastAsia"/>
          <w:b/>
          <w:bCs/>
          <w:sz w:val="32"/>
          <w:szCs w:val="32"/>
        </w:rPr>
        <w:t>第一部分</w:t>
      </w:r>
      <w:r>
        <w:rPr>
          <w:b/>
          <w:bCs/>
          <w:sz w:val="32"/>
          <w:szCs w:val="32"/>
        </w:rPr>
        <w:t xml:space="preserve"> </w:t>
      </w:r>
      <w:r>
        <w:rPr>
          <w:rFonts w:hint="eastAsia"/>
          <w:b/>
          <w:bCs/>
          <w:sz w:val="32"/>
          <w:szCs w:val="32"/>
        </w:rPr>
        <w:t>单位概况</w:t>
      </w:r>
      <w:r>
        <w:rPr>
          <w:sz w:val="32"/>
          <w:szCs w:val="32"/>
        </w:rPr>
        <w:tab/>
      </w:r>
      <w:r>
        <w:rPr>
          <w:sz w:val="32"/>
          <w:szCs w:val="32"/>
        </w:rPr>
        <w:t>4</w:t>
      </w:r>
    </w:p>
    <w:p>
      <w:pPr>
        <w:pStyle w:val="11"/>
        <w:adjustRightInd w:val="0"/>
        <w:snapToGrid w:val="0"/>
        <w:spacing w:line="440" w:lineRule="exact"/>
        <w:jc w:val="left"/>
        <w:rPr>
          <w:rFonts w:ascii="仿宋" w:hAnsi="仿宋" w:eastAsia="仿宋"/>
          <w:sz w:val="32"/>
          <w:szCs w:val="32"/>
        </w:rPr>
      </w:pPr>
      <w:r>
        <w:rPr>
          <w:rFonts w:hint="eastAsia" w:asciiTheme="minorEastAsia" w:hAnsiTheme="minorEastAsia" w:eastAsiaTheme="minorEastAsia"/>
          <w:sz w:val="32"/>
          <w:szCs w:val="32"/>
        </w:rPr>
        <w:t>一、主要职责</w:t>
      </w:r>
      <w:r>
        <w:rPr>
          <w:rFonts w:ascii="仿宋" w:hAnsi="仿宋" w:eastAsia="仿宋"/>
          <w:sz w:val="32"/>
          <w:szCs w:val="32"/>
        </w:rPr>
        <w:tab/>
      </w:r>
      <w:r>
        <w:rPr>
          <w:rFonts w:ascii="仿宋" w:hAnsi="仿宋" w:eastAsia="仿宋"/>
          <w:sz w:val="32"/>
          <w:szCs w:val="32"/>
        </w:rPr>
        <w:t>4</w:t>
      </w:r>
    </w:p>
    <w:p>
      <w:pPr>
        <w:pStyle w:val="11"/>
        <w:adjustRightInd w:val="0"/>
        <w:snapToGrid w:val="0"/>
        <w:spacing w:line="440" w:lineRule="exact"/>
        <w:jc w:val="left"/>
        <w:rPr>
          <w:rFonts w:ascii="仿宋" w:hAnsi="仿宋" w:eastAsia="仿宋"/>
          <w:sz w:val="32"/>
          <w:szCs w:val="32"/>
        </w:rPr>
      </w:pPr>
      <w:r>
        <w:rPr>
          <w:rFonts w:hint="eastAsia" w:asciiTheme="minorEastAsia" w:hAnsiTheme="minorEastAsia" w:eastAsiaTheme="minorEastAsia"/>
          <w:sz w:val="32"/>
          <w:szCs w:val="32"/>
        </w:rPr>
        <w:t>二、机构设置</w:t>
      </w:r>
      <w:r>
        <w:rPr>
          <w:rFonts w:ascii="仿宋" w:hAnsi="仿宋" w:eastAsia="仿宋"/>
          <w:sz w:val="32"/>
          <w:szCs w:val="32"/>
        </w:rPr>
        <w:tab/>
      </w:r>
      <w:r>
        <w:rPr>
          <w:rFonts w:ascii="仿宋" w:hAnsi="仿宋" w:eastAsia="仿宋"/>
          <w:sz w:val="32"/>
          <w:szCs w:val="32"/>
        </w:rPr>
        <w:t>4</w:t>
      </w:r>
    </w:p>
    <w:p>
      <w:pPr>
        <w:pStyle w:val="10"/>
        <w:adjustRightInd w:val="0"/>
        <w:snapToGrid w:val="0"/>
        <w:spacing w:before="0" w:line="440" w:lineRule="exact"/>
        <w:jc w:val="left"/>
        <w:rPr>
          <w:sz w:val="32"/>
          <w:szCs w:val="32"/>
        </w:rPr>
      </w:pPr>
      <w:r>
        <w:rPr>
          <w:rFonts w:hint="eastAsia"/>
          <w:b/>
          <w:bCs/>
          <w:sz w:val="32"/>
          <w:szCs w:val="32"/>
        </w:rPr>
        <w:t>第二部分 2022年度单位决算情况说明</w:t>
      </w:r>
      <w:r>
        <w:rPr>
          <w:sz w:val="32"/>
          <w:szCs w:val="32"/>
        </w:rPr>
        <w:tab/>
      </w:r>
      <w:r>
        <w:rPr>
          <w:sz w:val="32"/>
          <w:szCs w:val="32"/>
        </w:rPr>
        <w:t>6</w:t>
      </w:r>
    </w:p>
    <w:p>
      <w:pPr>
        <w:pStyle w:val="11"/>
        <w:adjustRightInd w:val="0"/>
        <w:snapToGrid w:val="0"/>
        <w:spacing w:line="440" w:lineRule="exact"/>
        <w:jc w:val="left"/>
        <w:rPr>
          <w:rFonts w:asciiTheme="minorEastAsia" w:hAnsiTheme="minorEastAsia" w:eastAsiaTheme="minorEastAsia" w:cstheme="minorBidi"/>
          <w:sz w:val="32"/>
          <w:szCs w:val="32"/>
        </w:rPr>
      </w:pPr>
      <w:r>
        <w:rPr>
          <w:rFonts w:hint="eastAsia" w:asciiTheme="minorEastAsia" w:hAnsiTheme="minorEastAsia" w:eastAsiaTheme="minorEastAsia"/>
          <w:sz w:val="32"/>
          <w:szCs w:val="32"/>
        </w:rPr>
        <w:t>一、收入支出决算总体情况说明</w:t>
      </w:r>
      <w:r>
        <w:rPr>
          <w:rFonts w:asciiTheme="minorEastAsia" w:hAnsiTheme="minorEastAsia" w:eastAsiaTheme="minorEastAsia"/>
          <w:sz w:val="32"/>
          <w:szCs w:val="32"/>
        </w:rPr>
        <w:tab/>
      </w:r>
      <w:r>
        <w:rPr>
          <w:rFonts w:asciiTheme="minorEastAsia" w:hAnsiTheme="minorEastAsia" w:eastAsiaTheme="minorEastAsia"/>
          <w:sz w:val="32"/>
          <w:szCs w:val="32"/>
        </w:rPr>
        <w:t>6</w:t>
      </w:r>
    </w:p>
    <w:p>
      <w:pPr>
        <w:pStyle w:val="11"/>
        <w:adjustRightInd w:val="0"/>
        <w:snapToGrid w:val="0"/>
        <w:spacing w:line="440" w:lineRule="exact"/>
        <w:jc w:val="left"/>
        <w:rPr>
          <w:rFonts w:asciiTheme="minorEastAsia" w:hAnsiTheme="minorEastAsia" w:eastAsiaTheme="minorEastAsia" w:cstheme="minorBidi"/>
          <w:sz w:val="32"/>
          <w:szCs w:val="32"/>
        </w:rPr>
      </w:pPr>
      <w:r>
        <w:rPr>
          <w:rFonts w:hint="eastAsia" w:asciiTheme="minorEastAsia" w:hAnsiTheme="minorEastAsia" w:eastAsiaTheme="minorEastAsia"/>
          <w:sz w:val="32"/>
          <w:szCs w:val="32"/>
        </w:rPr>
        <w:t>二、收入决算情况说明</w:t>
      </w:r>
      <w:r>
        <w:rPr>
          <w:rFonts w:asciiTheme="minorEastAsia" w:hAnsiTheme="minorEastAsia" w:eastAsiaTheme="minorEastAsia"/>
          <w:sz w:val="32"/>
          <w:szCs w:val="32"/>
        </w:rPr>
        <w:tab/>
      </w:r>
      <w:r>
        <w:rPr>
          <w:rFonts w:asciiTheme="minorEastAsia" w:hAnsiTheme="minorEastAsia" w:eastAsiaTheme="minorEastAsia"/>
          <w:sz w:val="32"/>
          <w:szCs w:val="32"/>
        </w:rPr>
        <w:t>6</w:t>
      </w:r>
    </w:p>
    <w:p>
      <w:pPr>
        <w:pStyle w:val="11"/>
        <w:adjustRightInd w:val="0"/>
        <w:snapToGrid w:val="0"/>
        <w:spacing w:line="440" w:lineRule="exact"/>
        <w:jc w:val="left"/>
        <w:rPr>
          <w:rFonts w:asciiTheme="minorEastAsia" w:hAnsiTheme="minorEastAsia" w:eastAsiaTheme="minorEastAsia" w:cstheme="minorBidi"/>
          <w:sz w:val="32"/>
          <w:szCs w:val="32"/>
        </w:rPr>
      </w:pPr>
      <w:r>
        <w:rPr>
          <w:rFonts w:hint="eastAsia" w:asciiTheme="minorEastAsia" w:hAnsiTheme="minorEastAsia" w:eastAsiaTheme="minorEastAsia"/>
          <w:sz w:val="32"/>
          <w:szCs w:val="32"/>
        </w:rPr>
        <w:t>三、支出决算情况说明</w:t>
      </w:r>
      <w:r>
        <w:rPr>
          <w:rFonts w:asciiTheme="minorEastAsia" w:hAnsiTheme="minorEastAsia" w:eastAsiaTheme="minorEastAsia"/>
          <w:sz w:val="32"/>
          <w:szCs w:val="32"/>
        </w:rPr>
        <w:tab/>
      </w:r>
      <w:r>
        <w:rPr>
          <w:rFonts w:asciiTheme="minorEastAsia" w:hAnsiTheme="minorEastAsia" w:eastAsiaTheme="minorEastAsia"/>
          <w:sz w:val="32"/>
          <w:szCs w:val="32"/>
        </w:rPr>
        <w:t>7</w:t>
      </w:r>
    </w:p>
    <w:p>
      <w:pPr>
        <w:pStyle w:val="11"/>
        <w:adjustRightInd w:val="0"/>
        <w:snapToGrid w:val="0"/>
        <w:spacing w:line="440" w:lineRule="exact"/>
        <w:jc w:val="left"/>
        <w:rPr>
          <w:rFonts w:asciiTheme="minorEastAsia" w:hAnsiTheme="minorEastAsia" w:eastAsiaTheme="minorEastAsia" w:cstheme="minorBidi"/>
          <w:sz w:val="32"/>
          <w:szCs w:val="32"/>
        </w:rPr>
      </w:pPr>
      <w:r>
        <w:rPr>
          <w:rFonts w:hint="eastAsia" w:asciiTheme="minorEastAsia" w:hAnsiTheme="minorEastAsia" w:eastAsiaTheme="minorEastAsia"/>
          <w:sz w:val="32"/>
          <w:szCs w:val="32"/>
        </w:rPr>
        <w:t>四、财政拨款收入支出决算总体情况说明</w:t>
      </w:r>
      <w:r>
        <w:rPr>
          <w:rFonts w:asciiTheme="minorEastAsia" w:hAnsiTheme="minorEastAsia" w:eastAsiaTheme="minorEastAsia"/>
          <w:sz w:val="32"/>
          <w:szCs w:val="32"/>
        </w:rPr>
        <w:tab/>
      </w:r>
      <w:r>
        <w:rPr>
          <w:rFonts w:asciiTheme="minorEastAsia" w:hAnsiTheme="minorEastAsia" w:eastAsiaTheme="minorEastAsia"/>
          <w:sz w:val="32"/>
          <w:szCs w:val="32"/>
        </w:rPr>
        <w:t>8</w:t>
      </w:r>
    </w:p>
    <w:p>
      <w:pPr>
        <w:pStyle w:val="11"/>
        <w:adjustRightInd w:val="0"/>
        <w:snapToGrid w:val="0"/>
        <w:spacing w:line="440" w:lineRule="exact"/>
        <w:jc w:val="left"/>
        <w:rPr>
          <w:rFonts w:asciiTheme="minorEastAsia" w:hAnsiTheme="minorEastAsia" w:eastAsiaTheme="minorEastAsia" w:cstheme="minorBidi"/>
          <w:sz w:val="32"/>
          <w:szCs w:val="32"/>
        </w:rPr>
      </w:pPr>
      <w:r>
        <w:rPr>
          <w:rFonts w:hint="eastAsia" w:asciiTheme="minorEastAsia" w:hAnsiTheme="minorEastAsia" w:eastAsiaTheme="minorEastAsia"/>
          <w:sz w:val="32"/>
          <w:szCs w:val="32"/>
        </w:rPr>
        <w:t>五、一般公共预算财政拨款支出决算情况说明</w:t>
      </w:r>
      <w:r>
        <w:rPr>
          <w:rFonts w:asciiTheme="minorEastAsia" w:hAnsiTheme="minorEastAsia" w:eastAsiaTheme="minorEastAsia"/>
          <w:sz w:val="32"/>
          <w:szCs w:val="32"/>
        </w:rPr>
        <w:tab/>
      </w:r>
      <w:r>
        <w:rPr>
          <w:rFonts w:asciiTheme="minorEastAsia" w:hAnsiTheme="minorEastAsia" w:eastAsiaTheme="minorEastAsia"/>
          <w:sz w:val="32"/>
          <w:szCs w:val="32"/>
        </w:rPr>
        <w:t>9</w:t>
      </w:r>
    </w:p>
    <w:p>
      <w:pPr>
        <w:pStyle w:val="11"/>
        <w:adjustRightInd w:val="0"/>
        <w:snapToGrid w:val="0"/>
        <w:spacing w:line="440" w:lineRule="exact"/>
        <w:jc w:val="left"/>
        <w:rPr>
          <w:rFonts w:asciiTheme="minorEastAsia" w:hAnsiTheme="minorEastAsia" w:eastAsiaTheme="minorEastAsia" w:cstheme="minorBidi"/>
          <w:sz w:val="32"/>
          <w:szCs w:val="32"/>
        </w:rPr>
      </w:pPr>
      <w:r>
        <w:rPr>
          <w:rFonts w:hint="eastAsia" w:asciiTheme="minorEastAsia" w:hAnsiTheme="minorEastAsia" w:eastAsiaTheme="minorEastAsia"/>
          <w:sz w:val="32"/>
          <w:szCs w:val="32"/>
        </w:rPr>
        <w:t>六、一般公共预算财政拨款基本支出决算情况说明</w:t>
      </w:r>
      <w:r>
        <w:rPr>
          <w:rFonts w:asciiTheme="minorEastAsia" w:hAnsiTheme="minorEastAsia" w:eastAsiaTheme="minorEastAsia"/>
          <w:sz w:val="32"/>
          <w:szCs w:val="32"/>
        </w:rPr>
        <w:tab/>
      </w:r>
      <w:r>
        <w:rPr>
          <w:rFonts w:asciiTheme="minorEastAsia" w:hAnsiTheme="minorEastAsia" w:eastAsiaTheme="minorEastAsia"/>
          <w:sz w:val="32"/>
          <w:szCs w:val="32"/>
        </w:rPr>
        <w:t>14</w:t>
      </w:r>
    </w:p>
    <w:p>
      <w:pPr>
        <w:pStyle w:val="11"/>
        <w:adjustRightInd w:val="0"/>
        <w:snapToGrid w:val="0"/>
        <w:spacing w:line="440" w:lineRule="exact"/>
        <w:jc w:val="left"/>
        <w:rPr>
          <w:rFonts w:asciiTheme="minorEastAsia" w:hAnsiTheme="minorEastAsia" w:eastAsiaTheme="minorEastAsia" w:cstheme="minorBidi"/>
          <w:sz w:val="32"/>
          <w:szCs w:val="32"/>
        </w:rPr>
      </w:pPr>
      <w:r>
        <w:rPr>
          <w:rFonts w:hint="eastAsia" w:asciiTheme="minorEastAsia" w:hAnsiTheme="minorEastAsia" w:eastAsiaTheme="minorEastAsia"/>
          <w:sz w:val="32"/>
          <w:szCs w:val="32"/>
        </w:rPr>
        <w:t>七、财政拨款“三公”经费支出决算情况说明</w:t>
      </w:r>
      <w:r>
        <w:rPr>
          <w:rFonts w:asciiTheme="minorEastAsia" w:hAnsiTheme="minorEastAsia" w:eastAsiaTheme="minorEastAsia"/>
          <w:sz w:val="32"/>
          <w:szCs w:val="32"/>
        </w:rPr>
        <w:tab/>
      </w:r>
      <w:r>
        <w:rPr>
          <w:rFonts w:asciiTheme="minorEastAsia" w:hAnsiTheme="minorEastAsia" w:eastAsiaTheme="minorEastAsia"/>
          <w:sz w:val="32"/>
          <w:szCs w:val="32"/>
        </w:rPr>
        <w:t>15</w:t>
      </w:r>
    </w:p>
    <w:p>
      <w:pPr>
        <w:pStyle w:val="11"/>
        <w:adjustRightInd w:val="0"/>
        <w:snapToGrid w:val="0"/>
        <w:spacing w:line="440" w:lineRule="exact"/>
        <w:jc w:val="left"/>
        <w:rPr>
          <w:rFonts w:asciiTheme="minorEastAsia" w:hAnsiTheme="minorEastAsia" w:eastAsiaTheme="minorEastAsia" w:cstheme="minorBidi"/>
          <w:sz w:val="32"/>
          <w:szCs w:val="32"/>
        </w:rPr>
      </w:pPr>
      <w:r>
        <w:rPr>
          <w:rFonts w:hint="eastAsia" w:asciiTheme="minorEastAsia" w:hAnsiTheme="minorEastAsia" w:eastAsiaTheme="minorEastAsia"/>
          <w:sz w:val="32"/>
          <w:szCs w:val="32"/>
        </w:rPr>
        <w:t>八、政府性基金预算支出决算情况说明</w:t>
      </w:r>
      <w:r>
        <w:rPr>
          <w:rFonts w:asciiTheme="minorEastAsia" w:hAnsiTheme="minorEastAsia" w:eastAsiaTheme="minorEastAsia"/>
          <w:sz w:val="32"/>
          <w:szCs w:val="32"/>
        </w:rPr>
        <w:tab/>
      </w:r>
      <w:r>
        <w:rPr>
          <w:rFonts w:asciiTheme="minorEastAsia" w:hAnsiTheme="minorEastAsia" w:eastAsiaTheme="minorEastAsia"/>
          <w:sz w:val="32"/>
          <w:szCs w:val="32"/>
        </w:rPr>
        <w:t>17</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九、国有资本经营预算支出决算情况说明</w:t>
      </w:r>
      <w:r>
        <w:rPr>
          <w:rFonts w:asciiTheme="minorEastAsia" w:hAnsiTheme="minorEastAsia" w:eastAsiaTheme="minorEastAsia"/>
          <w:sz w:val="32"/>
          <w:szCs w:val="32"/>
        </w:rPr>
        <w:tab/>
      </w:r>
      <w:r>
        <w:rPr>
          <w:rFonts w:asciiTheme="minorEastAsia" w:hAnsiTheme="minorEastAsia" w:eastAsiaTheme="minorEastAsia"/>
          <w:sz w:val="32"/>
          <w:szCs w:val="32"/>
        </w:rPr>
        <w:t>17</w:t>
      </w:r>
    </w:p>
    <w:p>
      <w:pPr>
        <w:pStyle w:val="11"/>
        <w:adjustRightInd w:val="0"/>
        <w:snapToGrid w:val="0"/>
        <w:spacing w:line="440" w:lineRule="exact"/>
        <w:jc w:val="left"/>
        <w:rPr>
          <w:rFonts w:ascii="仿宋" w:hAnsi="仿宋" w:eastAsia="仿宋"/>
          <w:sz w:val="32"/>
          <w:szCs w:val="32"/>
        </w:rPr>
      </w:pPr>
      <w:r>
        <w:rPr>
          <w:rFonts w:hint="eastAsia" w:asciiTheme="minorEastAsia" w:hAnsiTheme="minorEastAsia" w:eastAsiaTheme="minorEastAsia"/>
          <w:sz w:val="32"/>
          <w:szCs w:val="32"/>
        </w:rPr>
        <w:t>十、其他重要事项的情况说明</w:t>
      </w:r>
      <w:r>
        <w:rPr>
          <w:rFonts w:ascii="仿宋" w:hAnsi="仿宋" w:eastAsia="仿宋"/>
          <w:sz w:val="32"/>
          <w:szCs w:val="32"/>
        </w:rPr>
        <w:tab/>
      </w:r>
      <w:r>
        <w:rPr>
          <w:rFonts w:ascii="仿宋" w:hAnsi="仿宋" w:eastAsia="仿宋"/>
          <w:sz w:val="32"/>
          <w:szCs w:val="32"/>
        </w:rPr>
        <w:t>17</w:t>
      </w:r>
    </w:p>
    <w:p>
      <w:pPr>
        <w:pStyle w:val="10"/>
        <w:adjustRightInd w:val="0"/>
        <w:snapToGrid w:val="0"/>
        <w:spacing w:before="0" w:line="440" w:lineRule="exact"/>
        <w:jc w:val="left"/>
        <w:rPr>
          <w:rFonts w:cstheme="minorBidi"/>
          <w:sz w:val="32"/>
          <w:szCs w:val="32"/>
        </w:rPr>
      </w:pPr>
      <w:r>
        <w:rPr>
          <w:rFonts w:hint="eastAsia"/>
          <w:b/>
          <w:bCs/>
          <w:sz w:val="32"/>
          <w:szCs w:val="32"/>
        </w:rPr>
        <w:t>第三部分</w:t>
      </w:r>
      <w:r>
        <w:rPr>
          <w:b/>
          <w:bCs/>
          <w:sz w:val="32"/>
          <w:szCs w:val="32"/>
        </w:rPr>
        <w:t xml:space="preserve"> </w:t>
      </w:r>
      <w:r>
        <w:rPr>
          <w:rFonts w:hint="eastAsia"/>
          <w:b/>
          <w:bCs/>
          <w:sz w:val="32"/>
          <w:szCs w:val="32"/>
        </w:rPr>
        <w:t>名词解释</w:t>
      </w:r>
      <w:r>
        <w:rPr>
          <w:sz w:val="32"/>
          <w:szCs w:val="32"/>
        </w:rPr>
        <w:tab/>
      </w:r>
      <w:r>
        <w:rPr>
          <w:sz w:val="32"/>
          <w:szCs w:val="32"/>
        </w:rPr>
        <w:t>18</w:t>
      </w:r>
    </w:p>
    <w:p>
      <w:pPr>
        <w:pStyle w:val="10"/>
        <w:adjustRightInd w:val="0"/>
        <w:snapToGrid w:val="0"/>
        <w:spacing w:before="0" w:line="440" w:lineRule="exact"/>
        <w:jc w:val="left"/>
        <w:rPr>
          <w:rFonts w:cstheme="minorBidi"/>
          <w:sz w:val="32"/>
          <w:szCs w:val="32"/>
        </w:rPr>
      </w:pPr>
      <w:r>
        <w:rPr>
          <w:rFonts w:hint="eastAsia"/>
          <w:b/>
          <w:bCs/>
          <w:sz w:val="32"/>
          <w:szCs w:val="32"/>
        </w:rPr>
        <w:t>第四部分</w:t>
      </w:r>
      <w:r>
        <w:rPr>
          <w:b/>
          <w:bCs/>
          <w:sz w:val="32"/>
          <w:szCs w:val="32"/>
        </w:rPr>
        <w:t xml:space="preserve"> </w:t>
      </w:r>
      <w:r>
        <w:rPr>
          <w:rFonts w:hint="eastAsia"/>
          <w:b/>
          <w:bCs/>
          <w:sz w:val="32"/>
          <w:szCs w:val="32"/>
        </w:rPr>
        <w:t>附件</w:t>
      </w:r>
      <w:r>
        <w:rPr>
          <w:sz w:val="32"/>
          <w:szCs w:val="32"/>
        </w:rPr>
        <w:tab/>
      </w:r>
      <w:r>
        <w:rPr>
          <w:sz w:val="32"/>
          <w:szCs w:val="32"/>
        </w:rPr>
        <w:t>25</w:t>
      </w:r>
    </w:p>
    <w:p>
      <w:pPr>
        <w:pStyle w:val="10"/>
        <w:adjustRightInd w:val="0"/>
        <w:snapToGrid w:val="0"/>
        <w:spacing w:before="0" w:line="440" w:lineRule="exact"/>
        <w:jc w:val="left"/>
        <w:rPr>
          <w:rFonts w:cstheme="minorBidi"/>
          <w:sz w:val="32"/>
          <w:szCs w:val="32"/>
        </w:rPr>
      </w:pPr>
      <w:r>
        <w:rPr>
          <w:rFonts w:hint="eastAsia"/>
          <w:b/>
          <w:bCs/>
          <w:sz w:val="32"/>
          <w:szCs w:val="32"/>
        </w:rPr>
        <w:t>第五部分</w:t>
      </w:r>
      <w:r>
        <w:rPr>
          <w:b/>
          <w:bCs/>
          <w:sz w:val="32"/>
          <w:szCs w:val="32"/>
        </w:rPr>
        <w:t xml:space="preserve"> </w:t>
      </w:r>
      <w:r>
        <w:rPr>
          <w:rFonts w:hint="eastAsia"/>
          <w:b/>
          <w:bCs/>
          <w:sz w:val="32"/>
          <w:szCs w:val="32"/>
        </w:rPr>
        <w:t>附表</w:t>
      </w:r>
      <w:r>
        <w:rPr>
          <w:sz w:val="32"/>
          <w:szCs w:val="32"/>
        </w:rPr>
        <w:tab/>
      </w:r>
      <w:r>
        <w:rPr>
          <w:rFonts w:hint="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一、收入支出决算总表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二、收入决算表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三、支出决算表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四、财政拨款收入支出决算总表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五、财政拨款支出决算明细表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六、一般公共预算财政拨款支出决算表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七、一般公共预算财政拨款支出决算明细表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八、一般公共预算财政拨款基本支出决算明细表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九、一般公共预算财政拨款项目支出决算表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十、政府性基金预算财政拨款收入支出决算表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十一、国有资本经营预算财政拨款收入支出决算表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十二、国有资本经营预算财政拨款支出决算表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pStyle w:val="11"/>
        <w:adjustRightInd w:val="0"/>
        <w:snapToGrid w:val="0"/>
        <w:spacing w:line="440" w:lineRule="exact"/>
        <w:jc w:val="left"/>
        <w:rPr>
          <w:rFonts w:asciiTheme="minorEastAsia" w:hAnsiTheme="minorEastAsia" w:eastAsiaTheme="minorEastAsia"/>
          <w:sz w:val="32"/>
          <w:szCs w:val="32"/>
        </w:rPr>
      </w:pPr>
      <w:r>
        <w:rPr>
          <w:rFonts w:hint="eastAsia" w:asciiTheme="minorEastAsia" w:hAnsiTheme="minorEastAsia" w:eastAsiaTheme="minorEastAsia"/>
          <w:sz w:val="32"/>
          <w:szCs w:val="32"/>
        </w:rPr>
        <w:t>十三、财政拨款“三公”经费支出决算表</w:t>
      </w:r>
      <w:r>
        <w:rPr>
          <w:rFonts w:asciiTheme="minorEastAsia" w:hAnsiTheme="minorEastAsia" w:eastAsiaTheme="minorEastAsia"/>
          <w:sz w:val="32"/>
          <w:szCs w:val="32"/>
        </w:rPr>
        <w:tab/>
      </w:r>
      <w:r>
        <w:rPr>
          <w:rFonts w:hint="eastAsia" w:asciiTheme="minorEastAsia" w:hAnsiTheme="minorEastAsia" w:eastAsiaTheme="minorEastAsia"/>
          <w:sz w:val="32"/>
          <w:szCs w:val="32"/>
        </w:rPr>
        <w:t>34</w:t>
      </w:r>
    </w:p>
    <w:p>
      <w:pPr>
        <w:widowControl/>
        <w:spacing w:line="440" w:lineRule="exact"/>
        <w:jc w:val="left"/>
        <w:rPr>
          <w:rFonts w:ascii="仿宋" w:hAnsi="仿宋" w:eastAsia="仿宋"/>
          <w:sz w:val="32"/>
          <w:szCs w:val="32"/>
        </w:rPr>
      </w:pPr>
      <w:bookmarkStart w:id="12" w:name="_Toc15377196"/>
      <w:bookmarkStart w:id="13" w:name="_Toc15396599"/>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rPr>
          <w:rFonts w:hint="eastAsia"/>
        </w:rPr>
      </w:pPr>
    </w:p>
    <w:p>
      <w:pPr>
        <w:pStyle w:val="3"/>
        <w:jc w:val="center"/>
        <w:rPr>
          <w:rFonts w:ascii="黑体" w:hAnsi="黑体" w:eastAsia="黑体"/>
          <w:bCs w:val="0"/>
        </w:rPr>
      </w:pPr>
      <w:bookmarkStart w:id="14" w:name="_Hlk146544157"/>
      <w:r>
        <w:rPr>
          <w:rFonts w:hint="eastAsia" w:ascii="黑体" w:hAnsi="黑体" w:eastAsia="黑体"/>
          <w:b w:val="0"/>
        </w:rPr>
        <w:t>第一部分 单位</w:t>
      </w:r>
      <w:r>
        <w:rPr>
          <w:rStyle w:val="24"/>
          <w:rFonts w:hint="eastAsia" w:ascii="黑体" w:hAnsi="黑体" w:eastAsia="黑体"/>
          <w:b w:val="0"/>
          <w:bCs w:val="0"/>
        </w:rPr>
        <w:t>概况</w:t>
      </w:r>
      <w:bookmarkEnd w:id="12"/>
      <w:bookmarkEnd w:id="13"/>
    </w:p>
    <w:p>
      <w:pPr>
        <w:pStyle w:val="4"/>
        <w:numPr>
          <w:ilvl w:val="0"/>
          <w:numId w:val="1"/>
        </w:numPr>
        <w:rPr>
          <w:rStyle w:val="25"/>
          <w:rFonts w:ascii="黑体" w:hAnsi="黑体" w:eastAsia="黑体"/>
          <w:b w:val="0"/>
          <w:bCs w:val="0"/>
        </w:rPr>
      </w:pPr>
      <w:bookmarkStart w:id="15" w:name="_Toc15396600"/>
      <w:bookmarkStart w:id="16" w:name="_Toc15377197"/>
      <w:r>
        <w:rPr>
          <w:rStyle w:val="25"/>
          <w:rFonts w:hint="eastAsia" w:ascii="黑体" w:hAnsi="黑体" w:eastAsia="黑体"/>
          <w:b w:val="0"/>
          <w:bCs w:val="0"/>
        </w:rPr>
        <w:t>主要职责</w:t>
      </w:r>
    </w:p>
    <w:p>
      <w:pPr>
        <w:snapToGrid w:val="0"/>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依法行使综合监督管理职责，指导协调、监督检查各镇乡人民政府和市级有关部门安全生产工作，协调解决安全生产重大问题，监督考核并通报安全生产控制指标执行情况，监督事故查处和责任追究落实情况；承担煤矿、非煤矿山、危险化学品和烟花爆竹行业安全生产监管和煤炭行业管理职责；开展应急管理和安全方面的交流与合作，组织参与安全生产类、自然灾害类等突发事件的跨区域救援工作；制定应急物质储备和应急救援装备规划并组织实施，会同有关部门建立健全应急物质信息平台和调拨制度，在救灾时统一调度；负责应急管理、安全生产宣传教育和培训共同工作，组织和指导应急管理、安全生产的科学技术研究、推广应用和信息化建设工作；完成市委、市政府交办的其它工作。</w:t>
      </w:r>
    </w:p>
    <w:p/>
    <w:p>
      <w:pPr>
        <w:pStyle w:val="4"/>
        <w:rPr>
          <w:rFonts w:ascii="黑体" w:hAnsi="黑体" w:eastAsia="黑体"/>
          <w:b w:val="0"/>
        </w:rPr>
      </w:pPr>
      <w:r>
        <w:rPr>
          <w:rFonts w:hint="eastAsia" w:ascii="黑体" w:hAnsi="黑体" w:eastAsia="黑体"/>
          <w:b w:val="0"/>
        </w:rPr>
        <w:t>二、机构设置</w:t>
      </w:r>
    </w:p>
    <w:p>
      <w:pPr>
        <w:ind w:firstLine="707" w:firstLineChars="221"/>
        <w:rPr>
          <w:rFonts w:ascii="仿宋" w:hAnsi="仿宋" w:eastAsia="仿宋"/>
          <w:sz w:val="32"/>
          <w:szCs w:val="32"/>
        </w:rPr>
      </w:pPr>
      <w:bookmarkStart w:id="17" w:name="_Hlk151813323"/>
      <w:r>
        <w:rPr>
          <w:rFonts w:hint="eastAsia" w:ascii="仿宋" w:hAnsi="仿宋" w:eastAsia="仿宋"/>
          <w:sz w:val="32"/>
          <w:szCs w:val="32"/>
        </w:rPr>
        <w:t>峨眉山市应急管理局（本级）</w:t>
      </w:r>
      <w:bookmarkEnd w:id="17"/>
      <w:r>
        <w:rPr>
          <w:rFonts w:hint="eastAsia" w:ascii="仿宋" w:hAnsi="仿宋" w:eastAsia="仿宋"/>
          <w:sz w:val="32"/>
          <w:szCs w:val="32"/>
        </w:rPr>
        <w:t>属于峨眉山市应急管理局部门下属的二级预算单位，下设独立编制机构</w:t>
      </w:r>
      <w:r>
        <w:rPr>
          <w:rFonts w:ascii="仿宋" w:hAnsi="仿宋" w:eastAsia="仿宋"/>
          <w:sz w:val="32"/>
          <w:szCs w:val="32"/>
        </w:rPr>
        <w:t>4</w:t>
      </w:r>
      <w:r>
        <w:rPr>
          <w:rFonts w:hint="eastAsia" w:ascii="仿宋" w:hAnsi="仿宋" w:eastAsia="仿宋"/>
          <w:sz w:val="32"/>
          <w:szCs w:val="32"/>
        </w:rPr>
        <w:t>个，其中行政机构1个，参照公务员法管理的事业机构1个，其他事业机构</w:t>
      </w:r>
      <w:r>
        <w:rPr>
          <w:rFonts w:ascii="仿宋" w:hAnsi="仿宋" w:eastAsia="仿宋"/>
          <w:sz w:val="32"/>
          <w:szCs w:val="32"/>
        </w:rPr>
        <w:t>2</w:t>
      </w:r>
      <w:r>
        <w:rPr>
          <w:rFonts w:hint="eastAsia" w:ascii="仿宋" w:hAnsi="仿宋" w:eastAsia="仿宋"/>
          <w:sz w:val="32"/>
          <w:szCs w:val="32"/>
        </w:rPr>
        <w:t>个。</w:t>
      </w:r>
    </w:p>
    <w:p>
      <w:pPr>
        <w:pStyle w:val="2"/>
        <w:spacing w:before="93"/>
        <w:ind w:firstLine="707" w:firstLineChars="221"/>
        <w:rPr>
          <w:rFonts w:ascii="仿宋" w:hAnsi="仿宋" w:eastAsia="仿宋"/>
          <w:kern w:val="2"/>
          <w:sz w:val="32"/>
          <w:szCs w:val="32"/>
          <w:shd w:val="clear" w:color="auto" w:fill="FFFF00"/>
        </w:rPr>
      </w:pPr>
      <w:r>
        <w:rPr>
          <w:rFonts w:ascii="仿宋" w:hAnsi="仿宋" w:eastAsia="仿宋"/>
          <w:kern w:val="2"/>
          <w:sz w:val="32"/>
          <w:szCs w:val="32"/>
        </w:rPr>
        <w:t xml:space="preserve">                                                </w:t>
      </w:r>
      <w:r>
        <w:rPr>
          <w:rFonts w:ascii="仿宋" w:hAnsi="仿宋" w:eastAsia="仿宋"/>
          <w:kern w:val="2"/>
          <w:sz w:val="32"/>
          <w:szCs w:val="32"/>
          <w:shd w:val="clear" w:color="auto" w:fill="FFFF00"/>
        </w:rPr>
        <w:t xml:space="preserve">                                                                                                                                                                                                                                                                                                                                                                                                                                                                                                                                                                                                                                                                                                                                                                                                                                                                                                                                                                                                                                                                                                                                                                                                                                                                                                                                                                                                                                                                                                                                                                                                                                                                                                                                                                                                                                                                                                                                                                                                                                                                                                                                                                                                                                                                                                                                                                                                                                                                                                                                                                                                                                                                                                                                                                                                                                                                                                                                                                                                                                                                                                                                                                                                                                                                                                                                                                                                                                                                                                                                                                                                                                                                                 </w:t>
      </w:r>
    </w:p>
    <w:p>
      <w:pPr>
        <w:pStyle w:val="2"/>
        <w:spacing w:before="93"/>
        <w:ind w:firstLine="707" w:firstLineChars="221"/>
        <w:rPr>
          <w:rFonts w:ascii="仿宋" w:hAnsi="仿宋" w:eastAsia="仿宋"/>
          <w:kern w:val="2"/>
          <w:sz w:val="32"/>
          <w:szCs w:val="32"/>
        </w:rPr>
      </w:pPr>
      <w:r>
        <w:rPr>
          <w:rFonts w:hint="eastAsia" w:ascii="仿宋" w:hAnsi="仿宋" w:eastAsia="仿宋"/>
          <w:kern w:val="2"/>
          <w:sz w:val="32"/>
          <w:szCs w:val="32"/>
        </w:rPr>
        <w:t>纳入2</w:t>
      </w:r>
      <w:r>
        <w:rPr>
          <w:rFonts w:ascii="仿宋" w:hAnsi="仿宋" w:eastAsia="仿宋"/>
          <w:kern w:val="2"/>
          <w:sz w:val="32"/>
          <w:szCs w:val="32"/>
        </w:rPr>
        <w:t>022</w:t>
      </w:r>
      <w:r>
        <w:rPr>
          <w:rFonts w:hint="eastAsia" w:ascii="仿宋" w:hAnsi="仿宋" w:eastAsia="仿宋"/>
          <w:kern w:val="2"/>
          <w:sz w:val="32"/>
          <w:szCs w:val="32"/>
        </w:rPr>
        <w:t>年度单位决算编制范围的独立编制机构包括：</w:t>
      </w:r>
    </w:p>
    <w:p>
      <w:pPr>
        <w:pStyle w:val="2"/>
        <w:spacing w:before="93"/>
        <w:ind w:firstLine="707" w:firstLineChars="221"/>
        <w:rPr>
          <w:rFonts w:ascii="仿宋" w:hAnsi="仿宋" w:eastAsia="仿宋"/>
          <w:kern w:val="2"/>
          <w:sz w:val="32"/>
          <w:szCs w:val="32"/>
        </w:rPr>
      </w:pPr>
      <w:r>
        <w:rPr>
          <w:rFonts w:hint="eastAsia" w:ascii="仿宋" w:hAnsi="仿宋" w:eastAsia="仿宋"/>
          <w:kern w:val="2"/>
          <w:sz w:val="32"/>
          <w:szCs w:val="32"/>
        </w:rPr>
        <w:t>1</w:t>
      </w:r>
      <w:r>
        <w:rPr>
          <w:rFonts w:ascii="仿宋" w:hAnsi="仿宋" w:eastAsia="仿宋"/>
          <w:kern w:val="2"/>
          <w:sz w:val="32"/>
          <w:szCs w:val="32"/>
        </w:rPr>
        <w:t>.</w:t>
      </w:r>
      <w:r>
        <w:rPr>
          <w:rFonts w:hint="eastAsia"/>
        </w:rPr>
        <w:t xml:space="preserve"> </w:t>
      </w:r>
      <w:r>
        <w:rPr>
          <w:rFonts w:hint="eastAsia" w:ascii="仿宋" w:hAnsi="仿宋" w:eastAsia="仿宋"/>
          <w:kern w:val="2"/>
          <w:sz w:val="32"/>
          <w:szCs w:val="32"/>
        </w:rPr>
        <w:t>峨眉山市应急管理局（本级）</w:t>
      </w:r>
      <w:r>
        <w:rPr>
          <w:rFonts w:hint="eastAsia"/>
        </w:rPr>
        <w:t xml:space="preserve"> </w:t>
      </w:r>
    </w:p>
    <w:p>
      <w:pPr>
        <w:pStyle w:val="2"/>
        <w:spacing w:before="93"/>
        <w:ind w:firstLine="707" w:firstLineChars="221"/>
        <w:rPr>
          <w:rFonts w:ascii="仿宋" w:hAnsi="仿宋" w:eastAsia="仿宋"/>
          <w:kern w:val="2"/>
          <w:sz w:val="32"/>
          <w:szCs w:val="32"/>
        </w:rPr>
      </w:pPr>
      <w:r>
        <w:rPr>
          <w:rFonts w:hint="eastAsia" w:ascii="仿宋" w:hAnsi="仿宋" w:eastAsia="仿宋"/>
          <w:kern w:val="2"/>
          <w:sz w:val="32"/>
          <w:szCs w:val="32"/>
        </w:rPr>
        <w:t>2</w:t>
      </w:r>
      <w:r>
        <w:rPr>
          <w:rFonts w:ascii="仿宋" w:hAnsi="仿宋" w:eastAsia="仿宋"/>
          <w:kern w:val="2"/>
          <w:sz w:val="32"/>
          <w:szCs w:val="32"/>
        </w:rPr>
        <w:t>.</w:t>
      </w:r>
      <w:r>
        <w:rPr>
          <w:rFonts w:hint="eastAsia" w:ascii="仿宋" w:hAnsi="仿宋" w:eastAsia="仿宋"/>
          <w:kern w:val="2"/>
          <w:sz w:val="32"/>
          <w:szCs w:val="32"/>
        </w:rPr>
        <w:t xml:space="preserve"> 峨眉山市防震减灾服务中心</w:t>
      </w:r>
    </w:p>
    <w:bookmarkEnd w:id="14"/>
    <w:bookmarkEnd w:id="15"/>
    <w:bookmarkEnd w:id="16"/>
    <w:p>
      <w:pPr>
        <w:widowControl/>
        <w:jc w:val="left"/>
        <w:rPr>
          <w:rFonts w:ascii="仿宋" w:hAnsi="仿宋" w:eastAsia="仿宋"/>
          <w:sz w:val="32"/>
          <w:szCs w:val="32"/>
        </w:rPr>
      </w:pPr>
      <w:r>
        <w:rPr>
          <w:rFonts w:ascii="仿宋" w:hAnsi="仿宋" w:eastAsia="仿宋"/>
          <w:sz w:val="32"/>
          <w:szCs w:val="32"/>
        </w:rPr>
        <w:br w:type="page"/>
      </w:r>
    </w:p>
    <w:p>
      <w:pPr>
        <w:pStyle w:val="3"/>
        <w:ind w:right="440"/>
        <w:jc w:val="center"/>
        <w:rPr>
          <w:rStyle w:val="24"/>
          <w:rFonts w:ascii="黑体" w:hAnsi="黑体" w:eastAsia="黑体"/>
          <w:b w:val="0"/>
          <w:bCs/>
        </w:rPr>
      </w:pPr>
      <w:bookmarkStart w:id="18" w:name="_Toc15396602"/>
      <w:bookmarkStart w:id="19" w:name="_Toc15377204"/>
      <w:r>
        <w:rPr>
          <w:rFonts w:hint="eastAsia" w:ascii="黑体" w:hAnsi="黑体" w:eastAsia="黑体"/>
          <w:b w:val="0"/>
        </w:rPr>
        <w:t>第二部分 2022年度</w:t>
      </w:r>
      <w:r>
        <w:rPr>
          <w:rStyle w:val="24"/>
          <w:rFonts w:hint="eastAsia" w:ascii="黑体" w:hAnsi="黑体" w:eastAsia="黑体"/>
          <w:b w:val="0"/>
          <w:bCs/>
        </w:rPr>
        <w:t>单位决算情况说明</w:t>
      </w:r>
      <w:bookmarkEnd w:id="18"/>
      <w:bookmarkEnd w:id="19"/>
    </w:p>
    <w:p/>
    <w:p>
      <w:pPr>
        <w:pStyle w:val="23"/>
        <w:numPr>
          <w:ilvl w:val="0"/>
          <w:numId w:val="2"/>
        </w:numPr>
        <w:spacing w:line="600" w:lineRule="exact"/>
        <w:ind w:firstLineChars="0"/>
        <w:outlineLvl w:val="1"/>
        <w:rPr>
          <w:rStyle w:val="25"/>
          <w:rFonts w:ascii="黑体" w:hAnsi="黑体" w:eastAsia="黑体"/>
          <w:b w:val="0"/>
        </w:rPr>
      </w:pPr>
      <w:bookmarkStart w:id="20" w:name="_Toc15396603"/>
      <w:bookmarkStart w:id="21" w:name="_Toc15377205"/>
      <w:r>
        <w:rPr>
          <w:rFonts w:hint="eastAsia" w:ascii="黑体" w:hAnsi="黑体" w:eastAsia="黑体"/>
          <w:sz w:val="32"/>
          <w:szCs w:val="32"/>
        </w:rPr>
        <w:t>收</w:t>
      </w:r>
      <w:r>
        <w:rPr>
          <w:rStyle w:val="25"/>
          <w:rFonts w:hint="eastAsia" w:ascii="黑体" w:hAnsi="黑体" w:eastAsia="黑体"/>
          <w:b w:val="0"/>
        </w:rPr>
        <w:t>入支出决算总体情况说明</w:t>
      </w:r>
      <w:bookmarkEnd w:id="20"/>
      <w:bookmarkEnd w:id="21"/>
    </w:p>
    <w:p>
      <w:pPr>
        <w:spacing w:line="600" w:lineRule="exact"/>
        <w:ind w:firstLine="640" w:firstLineChars="200"/>
        <w:rPr>
          <w:rFonts w:ascii="仿宋" w:hAnsi="仿宋" w:eastAsia="仿宋"/>
          <w:sz w:val="32"/>
          <w:szCs w:val="32"/>
        </w:rPr>
      </w:pPr>
      <w:r>
        <w:rPr>
          <w:rFonts w:hint="eastAsia" w:ascii="仿宋" w:hAnsi="仿宋" w:eastAsia="仿宋"/>
          <w:sz w:val="32"/>
          <w:szCs w:val="32"/>
        </w:rPr>
        <w:t>2022年度收、支总计</w:t>
      </w:r>
      <w:r>
        <w:rPr>
          <w:rFonts w:ascii="仿宋" w:hAnsi="仿宋" w:eastAsia="仿宋"/>
          <w:sz w:val="32"/>
          <w:szCs w:val="32"/>
        </w:rPr>
        <w:t>1930.86</w:t>
      </w:r>
      <w:r>
        <w:rPr>
          <w:rFonts w:hint="eastAsia" w:ascii="仿宋" w:hAnsi="仿宋" w:eastAsia="仿宋"/>
          <w:sz w:val="32"/>
          <w:szCs w:val="32"/>
        </w:rPr>
        <w:t>万元。与2021年相比，收、支总计各减少</w:t>
      </w:r>
      <w:r>
        <w:rPr>
          <w:rFonts w:ascii="仿宋" w:hAnsi="仿宋" w:eastAsia="仿宋"/>
          <w:sz w:val="32"/>
          <w:szCs w:val="32"/>
        </w:rPr>
        <w:t>3458.05</w:t>
      </w:r>
      <w:r>
        <w:rPr>
          <w:rFonts w:hint="eastAsia" w:ascii="仿宋" w:hAnsi="仿宋" w:eastAsia="仿宋"/>
          <w:sz w:val="32"/>
          <w:szCs w:val="32"/>
        </w:rPr>
        <w:t>万元，下降</w:t>
      </w:r>
      <w:r>
        <w:rPr>
          <w:rFonts w:ascii="仿宋" w:hAnsi="仿宋" w:eastAsia="仿宋"/>
          <w:sz w:val="32"/>
          <w:szCs w:val="32"/>
        </w:rPr>
        <w:t>64.17%</w:t>
      </w:r>
      <w:r>
        <w:rPr>
          <w:rFonts w:hint="eastAsia" w:ascii="仿宋" w:hAnsi="仿宋" w:eastAsia="仿宋"/>
          <w:sz w:val="32"/>
          <w:szCs w:val="32"/>
        </w:rPr>
        <w:t>。</w:t>
      </w:r>
      <w:r>
        <w:rPr>
          <w:rFonts w:hint="eastAsia" w:ascii="仿宋" w:hAnsi="仿宋" w:eastAsia="仿宋" w:cs="宋体"/>
          <w:sz w:val="32"/>
          <w:szCs w:val="32"/>
        </w:rPr>
        <w:t>其</w:t>
      </w:r>
      <w:r>
        <w:rPr>
          <w:rFonts w:hint="eastAsia" w:ascii="仿宋" w:hAnsi="仿宋" w:eastAsia="仿宋" w:cs="___WRD_EMBED_SUB_46"/>
          <w:sz w:val="32"/>
          <w:szCs w:val="32"/>
        </w:rPr>
        <w:t>原因主要</w:t>
      </w:r>
      <w:r>
        <w:rPr>
          <w:rFonts w:hint="eastAsia" w:ascii="仿宋" w:hAnsi="仿宋" w:eastAsia="仿宋"/>
          <w:sz w:val="32"/>
          <w:szCs w:val="32"/>
        </w:rPr>
        <w:t>项目减</w:t>
      </w:r>
      <w:r>
        <w:rPr>
          <w:rFonts w:hint="eastAsia" w:ascii="仿宋" w:hAnsi="仿宋" w:eastAsia="仿宋" w:cs="宋体"/>
          <w:sz w:val="32"/>
          <w:szCs w:val="32"/>
        </w:rPr>
        <w:t>少</w:t>
      </w:r>
      <w:r>
        <w:rPr>
          <w:rFonts w:hint="eastAsia" w:ascii="仿宋" w:hAnsi="仿宋" w:eastAsia="仿宋" w:cs="___WRD_EMBED_SUB_46"/>
          <w:sz w:val="32"/>
          <w:szCs w:val="32"/>
        </w:rPr>
        <w:t>，</w:t>
      </w:r>
      <w:r>
        <w:rPr>
          <w:rFonts w:hint="eastAsia" w:ascii="仿宋" w:hAnsi="仿宋" w:eastAsia="仿宋" w:cs="宋体"/>
          <w:sz w:val="32"/>
          <w:szCs w:val="32"/>
        </w:rPr>
        <w:t>收</w:t>
      </w:r>
      <w:r>
        <w:rPr>
          <w:rFonts w:hint="eastAsia" w:ascii="仿宋" w:hAnsi="仿宋" w:eastAsia="仿宋" w:cs="___WRD_EMBED_SUB_46"/>
          <w:sz w:val="32"/>
          <w:szCs w:val="32"/>
        </w:rPr>
        <w:t>支减</w:t>
      </w:r>
      <w:r>
        <w:rPr>
          <w:rFonts w:hint="eastAsia" w:ascii="仿宋" w:hAnsi="仿宋" w:eastAsia="仿宋" w:cs="宋体"/>
          <w:sz w:val="32"/>
          <w:szCs w:val="32"/>
        </w:rPr>
        <w:t>少</w:t>
      </w:r>
      <w:r>
        <w:rPr>
          <w:rFonts w:hint="eastAsia" w:ascii="仿宋" w:hAnsi="仿宋" w:eastAsia="仿宋"/>
          <w:sz w:val="32"/>
          <w:szCs w:val="32"/>
        </w:rPr>
        <w:t>。</w:t>
      </w:r>
    </w:p>
    <w:p>
      <w:pPr>
        <w:pStyle w:val="2"/>
        <w:spacing w:before="93"/>
      </w:pPr>
      <w:r>
        <w:rPr>
          <w:rFonts w:hint="eastAsia"/>
        </w:rPr>
        <w:t xml:space="preserve"> </w:t>
      </w:r>
      <w:r>
        <w:t xml:space="preserve">  </w:t>
      </w:r>
      <w:r>
        <w:drawing>
          <wp:inline distT="0" distB="0" distL="0" distR="0">
            <wp:extent cx="4867275" cy="4105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67275" cy="4105275"/>
                    </a:xfrm>
                    <a:prstGeom prst="rect">
                      <a:avLst/>
                    </a:prstGeom>
                  </pic:spPr>
                </pic:pic>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pPr>
        <w:spacing w:line="600" w:lineRule="exact"/>
        <w:ind w:firstLine="640" w:firstLineChars="200"/>
        <w:jc w:val="left"/>
        <w:rPr>
          <w:rFonts w:ascii="仿宋_GB2312" w:eastAsia="仿宋_GB2312"/>
          <w:sz w:val="32"/>
          <w:szCs w:val="32"/>
        </w:rPr>
      </w:pPr>
    </w:p>
    <w:p>
      <w:pPr>
        <w:pStyle w:val="23"/>
        <w:numPr>
          <w:ilvl w:val="0"/>
          <w:numId w:val="2"/>
        </w:numPr>
        <w:spacing w:line="600" w:lineRule="exact"/>
        <w:ind w:firstLineChars="0"/>
        <w:outlineLvl w:val="1"/>
        <w:rPr>
          <w:rStyle w:val="25"/>
          <w:rFonts w:ascii="黑体" w:hAnsi="黑体" w:eastAsia="黑体"/>
          <w:b w:val="0"/>
        </w:rPr>
      </w:pPr>
      <w:bookmarkStart w:id="22" w:name="_Toc15396604"/>
      <w:bookmarkStart w:id="23" w:name="_Toc15377206"/>
      <w:r>
        <w:rPr>
          <w:rFonts w:hint="eastAsia" w:ascii="黑体" w:hAnsi="黑体" w:eastAsia="黑体"/>
          <w:sz w:val="32"/>
          <w:szCs w:val="32"/>
        </w:rPr>
        <w:t>收</w:t>
      </w:r>
      <w:r>
        <w:rPr>
          <w:rStyle w:val="25"/>
          <w:rFonts w:hint="eastAsia" w:ascii="黑体" w:hAnsi="黑体" w:eastAsia="黑体"/>
          <w:b w:val="0"/>
        </w:rPr>
        <w:t>入决算情况说明</w:t>
      </w:r>
      <w:bookmarkEnd w:id="22"/>
      <w:bookmarkEnd w:id="23"/>
    </w:p>
    <w:p>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22年本年收入合计</w:t>
      </w:r>
      <w:r>
        <w:rPr>
          <w:rFonts w:ascii="仿宋" w:hAnsi="仿宋" w:eastAsia="仿宋"/>
          <w:sz w:val="32"/>
          <w:szCs w:val="32"/>
        </w:rPr>
        <w:t>1867.69</w:t>
      </w:r>
      <w:r>
        <w:rPr>
          <w:rFonts w:hint="eastAsia" w:ascii="仿宋" w:hAnsi="仿宋" w:eastAsia="仿宋"/>
          <w:sz w:val="32"/>
          <w:szCs w:val="32"/>
        </w:rPr>
        <w:t>万元，其中：一般公共预算财政拨款收入</w:t>
      </w:r>
      <w:r>
        <w:rPr>
          <w:rFonts w:ascii="仿宋" w:hAnsi="仿宋" w:eastAsia="仿宋"/>
          <w:sz w:val="32"/>
          <w:szCs w:val="32"/>
        </w:rPr>
        <w:t>1065.67</w:t>
      </w:r>
      <w:r>
        <w:rPr>
          <w:rFonts w:hint="eastAsia" w:ascii="仿宋" w:hAnsi="仿宋" w:eastAsia="仿宋"/>
          <w:sz w:val="32"/>
          <w:szCs w:val="32"/>
        </w:rPr>
        <w:t>万元，占</w:t>
      </w:r>
      <w:r>
        <w:rPr>
          <w:rFonts w:ascii="仿宋" w:hAnsi="仿宋" w:eastAsia="仿宋"/>
          <w:sz w:val="32"/>
          <w:szCs w:val="32"/>
        </w:rPr>
        <w:t>57.06%</w:t>
      </w:r>
      <w:r>
        <w:rPr>
          <w:rFonts w:hint="eastAsia" w:ascii="仿宋" w:hAnsi="仿宋" w:eastAsia="仿宋"/>
          <w:sz w:val="32"/>
          <w:szCs w:val="32"/>
        </w:rPr>
        <w:t>；政府性基金预算财政拨款收入</w:t>
      </w:r>
      <w:r>
        <w:rPr>
          <w:rFonts w:ascii="仿宋" w:hAnsi="仿宋" w:eastAsia="仿宋"/>
          <w:sz w:val="32"/>
          <w:szCs w:val="32"/>
        </w:rPr>
        <w:t>802.02</w:t>
      </w:r>
      <w:r>
        <w:rPr>
          <w:rFonts w:hint="eastAsia" w:ascii="仿宋" w:hAnsi="仿宋" w:eastAsia="仿宋"/>
          <w:sz w:val="32"/>
          <w:szCs w:val="32"/>
        </w:rPr>
        <w:t>万元，占</w:t>
      </w:r>
      <w:r>
        <w:rPr>
          <w:rFonts w:ascii="仿宋" w:hAnsi="仿宋" w:eastAsia="仿宋"/>
          <w:sz w:val="32"/>
          <w:szCs w:val="32"/>
        </w:rPr>
        <w:t>42.94%</w:t>
      </w:r>
      <w:r>
        <w:rPr>
          <w:rFonts w:hint="eastAsia" w:ascii="仿宋" w:hAnsi="仿宋" w:eastAsia="仿宋"/>
          <w:sz w:val="32"/>
          <w:szCs w:val="32"/>
        </w:rPr>
        <w:t>；国有资本经营预算财政拨款收入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；上级补助收入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；经营收入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；附属单位上缴收入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；其他收入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p>
    <w:p>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，仅罗列本单位涉及的收入。</w:t>
      </w:r>
      <w:r>
        <w:rPr>
          <w:rFonts w:ascii="仿宋" w:hAnsi="仿宋" w:eastAsia="仿宋"/>
          <w:b/>
          <w:sz w:val="32"/>
          <w:szCs w:val="32"/>
        </w:rPr>
        <w:t>）</w:t>
      </w:r>
    </w:p>
    <w:p>
      <w:pPr>
        <w:pStyle w:val="2"/>
        <w:spacing w:before="93"/>
        <w:ind w:firstLine="450" w:firstLineChars="150"/>
      </w:pPr>
      <w:r>
        <w:drawing>
          <wp:inline distT="0" distB="0" distL="0" distR="0">
            <wp:extent cx="5200650" cy="3876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00650" cy="3876675"/>
                    </a:xfrm>
                    <a:prstGeom prst="rect">
                      <a:avLst/>
                    </a:prstGeom>
                  </pic:spPr>
                </pic:pic>
              </a:graphicData>
            </a:graphic>
          </wp:inline>
        </w:drawing>
      </w:r>
    </w:p>
    <w:p>
      <w:pPr>
        <w:spacing w:line="600" w:lineRule="exact"/>
        <w:ind w:firstLine="1920" w:firstLineChars="600"/>
        <w:rPr>
          <w:rFonts w:ascii="仿宋" w:hAnsi="仿宋" w:eastAsia="仿宋"/>
          <w:sz w:val="32"/>
          <w:szCs w:val="32"/>
        </w:rPr>
      </w:pPr>
      <w:r>
        <w:rPr>
          <w:rFonts w:hint="eastAsia" w:ascii="仿宋" w:hAnsi="仿宋" w:eastAsia="仿宋"/>
          <w:sz w:val="32"/>
          <w:szCs w:val="32"/>
        </w:rPr>
        <w:t>（图2：收入决算结构图）（饼状图）</w:t>
      </w:r>
    </w:p>
    <w:p>
      <w:pPr>
        <w:spacing w:line="600" w:lineRule="exact"/>
        <w:ind w:firstLine="640" w:firstLineChars="200"/>
        <w:rPr>
          <w:rFonts w:ascii="仿宋_GB2312" w:eastAsia="仿宋_GB2312"/>
          <w:sz w:val="32"/>
          <w:szCs w:val="32"/>
        </w:rPr>
      </w:pPr>
    </w:p>
    <w:p>
      <w:pPr>
        <w:pStyle w:val="23"/>
        <w:numPr>
          <w:ilvl w:val="0"/>
          <w:numId w:val="2"/>
        </w:numPr>
        <w:spacing w:line="600" w:lineRule="exact"/>
        <w:ind w:firstLineChars="0"/>
        <w:outlineLvl w:val="1"/>
        <w:rPr>
          <w:rStyle w:val="25"/>
          <w:rFonts w:ascii="黑体" w:hAnsi="黑体" w:eastAsia="黑体"/>
          <w:b w:val="0"/>
        </w:rPr>
      </w:pPr>
      <w:bookmarkStart w:id="24" w:name="_Toc15377207"/>
      <w:bookmarkStart w:id="25" w:name="_Toc15396605"/>
      <w:r>
        <w:rPr>
          <w:rFonts w:hint="eastAsia" w:ascii="黑体" w:hAnsi="黑体" w:eastAsia="黑体"/>
          <w:sz w:val="32"/>
          <w:szCs w:val="32"/>
        </w:rPr>
        <w:t>支</w:t>
      </w:r>
      <w:r>
        <w:rPr>
          <w:rStyle w:val="25"/>
          <w:rFonts w:hint="eastAsia" w:ascii="黑体" w:hAnsi="黑体" w:eastAsia="黑体"/>
          <w:b w:val="0"/>
        </w:rPr>
        <w:t>出决算情况说明</w:t>
      </w:r>
      <w:bookmarkEnd w:id="24"/>
      <w:bookmarkEnd w:id="25"/>
    </w:p>
    <w:p>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22年本年支出合计</w:t>
      </w:r>
      <w:r>
        <w:rPr>
          <w:rFonts w:ascii="仿宋" w:hAnsi="仿宋" w:eastAsia="仿宋"/>
          <w:sz w:val="32"/>
          <w:szCs w:val="32"/>
        </w:rPr>
        <w:t>1930.86</w:t>
      </w:r>
      <w:r>
        <w:rPr>
          <w:rFonts w:hint="eastAsia" w:ascii="仿宋" w:hAnsi="仿宋" w:eastAsia="仿宋"/>
          <w:sz w:val="32"/>
          <w:szCs w:val="32"/>
        </w:rPr>
        <w:t>万元，其中：基本支出</w:t>
      </w:r>
      <w:r>
        <w:rPr>
          <w:rFonts w:ascii="仿宋" w:hAnsi="仿宋" w:eastAsia="仿宋"/>
          <w:sz w:val="32"/>
          <w:szCs w:val="32"/>
        </w:rPr>
        <w:t>855.97</w:t>
      </w:r>
      <w:r>
        <w:rPr>
          <w:rFonts w:hint="eastAsia" w:ascii="仿宋" w:hAnsi="仿宋" w:eastAsia="仿宋"/>
          <w:sz w:val="32"/>
          <w:szCs w:val="32"/>
        </w:rPr>
        <w:t>万元，占</w:t>
      </w:r>
      <w:r>
        <w:rPr>
          <w:rFonts w:ascii="仿宋" w:hAnsi="仿宋" w:eastAsia="仿宋"/>
          <w:sz w:val="32"/>
          <w:szCs w:val="32"/>
        </w:rPr>
        <w:t>44.33%</w:t>
      </w:r>
      <w:r>
        <w:rPr>
          <w:rFonts w:hint="eastAsia" w:ascii="仿宋" w:hAnsi="仿宋" w:eastAsia="仿宋"/>
          <w:sz w:val="32"/>
          <w:szCs w:val="32"/>
        </w:rPr>
        <w:t>；项目支出</w:t>
      </w:r>
      <w:r>
        <w:rPr>
          <w:rFonts w:ascii="仿宋" w:hAnsi="仿宋" w:eastAsia="仿宋"/>
          <w:sz w:val="32"/>
          <w:szCs w:val="32"/>
        </w:rPr>
        <w:t>1074.89</w:t>
      </w:r>
      <w:r>
        <w:rPr>
          <w:rFonts w:hint="eastAsia" w:ascii="仿宋" w:hAnsi="仿宋" w:eastAsia="仿宋"/>
          <w:sz w:val="32"/>
          <w:szCs w:val="32"/>
        </w:rPr>
        <w:t>万元，占</w:t>
      </w:r>
      <w:r>
        <w:rPr>
          <w:rFonts w:ascii="仿宋" w:hAnsi="仿宋" w:eastAsia="仿宋"/>
          <w:sz w:val="32"/>
          <w:szCs w:val="32"/>
        </w:rPr>
        <w:t>55.67%</w:t>
      </w:r>
      <w:r>
        <w:rPr>
          <w:rFonts w:hint="eastAsia" w:ascii="仿宋" w:hAnsi="仿宋" w:eastAsia="仿宋"/>
          <w:sz w:val="32"/>
          <w:szCs w:val="32"/>
        </w:rPr>
        <w:t>；上缴上级支出</w:t>
      </w:r>
      <w:r>
        <w:rPr>
          <w:rFonts w:ascii="仿宋" w:hAnsi="仿宋" w:eastAsia="仿宋"/>
          <w:sz w:val="32"/>
          <w:szCs w:val="32"/>
        </w:rPr>
        <w:t>0</w:t>
      </w:r>
      <w:r>
        <w:rPr>
          <w:rFonts w:hint="eastAsia" w:ascii="仿宋" w:hAnsi="仿宋" w:eastAsia="仿宋"/>
          <w:sz w:val="32"/>
          <w:szCs w:val="32"/>
        </w:rPr>
        <w:t>万元，占0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；对附属单位补助支出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p>
    <w:p>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表，仅罗列本单位涉及的支出。）</w:t>
      </w:r>
    </w:p>
    <w:p>
      <w:pPr>
        <w:pStyle w:val="2"/>
        <w:spacing w:before="93"/>
        <w:ind w:firstLine="900" w:firstLineChars="300"/>
      </w:pPr>
      <w:r>
        <w:drawing>
          <wp:inline distT="0" distB="0" distL="0" distR="0">
            <wp:extent cx="4881880" cy="3819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4883517" cy="3820633"/>
                    </a:xfrm>
                    <a:prstGeom prst="rect">
                      <a:avLst/>
                    </a:prstGeom>
                  </pic:spPr>
                </pic:pic>
              </a:graphicData>
            </a:graphic>
          </wp:inline>
        </w:drawing>
      </w:r>
    </w:p>
    <w:p>
      <w:pPr>
        <w:spacing w:line="600" w:lineRule="exact"/>
        <w:ind w:firstLine="1600" w:firstLineChars="500"/>
        <w:rPr>
          <w:rFonts w:ascii="仿宋" w:hAnsi="仿宋" w:eastAsia="仿宋"/>
          <w:sz w:val="32"/>
          <w:szCs w:val="32"/>
        </w:rPr>
      </w:pPr>
      <w:r>
        <w:rPr>
          <w:rFonts w:hint="eastAsia" w:ascii="仿宋" w:hAnsi="仿宋" w:eastAsia="仿宋"/>
          <w:sz w:val="32"/>
          <w:szCs w:val="32"/>
        </w:rPr>
        <w:t>（图3：支出决算结构图）（饼状图）</w:t>
      </w:r>
    </w:p>
    <w:p>
      <w:pPr>
        <w:spacing w:line="600" w:lineRule="exact"/>
        <w:ind w:firstLine="640" w:firstLineChars="200"/>
        <w:rPr>
          <w:rFonts w:ascii="仿宋_GB2312" w:eastAsia="仿宋_GB2312"/>
          <w:sz w:val="32"/>
          <w:szCs w:val="32"/>
        </w:rPr>
      </w:pPr>
    </w:p>
    <w:p>
      <w:pPr>
        <w:spacing w:line="600" w:lineRule="exact"/>
        <w:ind w:firstLine="640" w:firstLineChars="200"/>
        <w:outlineLvl w:val="1"/>
        <w:rPr>
          <w:rStyle w:val="25"/>
          <w:rFonts w:ascii="黑体" w:hAnsi="黑体" w:eastAsia="黑体"/>
          <w:b w:val="0"/>
        </w:rPr>
      </w:pPr>
      <w:bookmarkStart w:id="26" w:name="_Toc15396606"/>
      <w:bookmarkStart w:id="27" w:name="_Toc15377208"/>
      <w:r>
        <w:rPr>
          <w:rFonts w:hint="eastAsia" w:ascii="黑体" w:hAnsi="黑体" w:eastAsia="黑体"/>
          <w:sz w:val="32"/>
          <w:szCs w:val="32"/>
        </w:rPr>
        <w:t>四、财</w:t>
      </w:r>
      <w:r>
        <w:rPr>
          <w:rStyle w:val="25"/>
          <w:rFonts w:hint="eastAsia" w:ascii="黑体" w:hAnsi="黑体" w:eastAsia="黑体"/>
          <w:b w:val="0"/>
        </w:rPr>
        <w:t>政拨款收入支出决算总体情况说明</w:t>
      </w:r>
      <w:bookmarkEnd w:id="26"/>
      <w:bookmarkEnd w:id="27"/>
    </w:p>
    <w:p>
      <w:pPr>
        <w:spacing w:line="600" w:lineRule="exact"/>
        <w:ind w:firstLine="640"/>
        <w:rPr>
          <w:rFonts w:ascii="仿宋_GB2312" w:hAnsi="仿宋" w:eastAsiaTheme="minorEastAsia"/>
          <w:sz w:val="32"/>
          <w:szCs w:val="32"/>
        </w:rPr>
      </w:pPr>
      <w:r>
        <w:rPr>
          <w:rFonts w:ascii="仿宋" w:hAnsi="仿宋" w:eastAsia="仿宋"/>
          <w:sz w:val="32"/>
          <w:szCs w:val="32"/>
        </w:rPr>
        <w:t>20</w:t>
      </w:r>
      <w:r>
        <w:rPr>
          <w:rFonts w:hint="eastAsia" w:ascii="仿宋" w:hAnsi="仿宋" w:eastAsia="仿宋"/>
          <w:sz w:val="32"/>
          <w:szCs w:val="32"/>
        </w:rPr>
        <w:t>22年财政拨款收、支总计</w:t>
      </w:r>
      <w:r>
        <w:rPr>
          <w:rFonts w:ascii="仿宋" w:hAnsi="仿宋" w:eastAsia="仿宋"/>
          <w:sz w:val="32"/>
          <w:szCs w:val="32"/>
        </w:rPr>
        <w:t>1930.86</w:t>
      </w:r>
      <w:r>
        <w:rPr>
          <w:rFonts w:hint="eastAsia" w:ascii="仿宋" w:hAnsi="仿宋" w:eastAsia="仿宋"/>
          <w:sz w:val="32"/>
          <w:szCs w:val="32"/>
        </w:rPr>
        <w:t>万元。与</w:t>
      </w:r>
      <w:r>
        <w:rPr>
          <w:rFonts w:ascii="仿宋" w:hAnsi="仿宋" w:eastAsia="仿宋"/>
          <w:sz w:val="32"/>
          <w:szCs w:val="32"/>
        </w:rPr>
        <w:t>20</w:t>
      </w:r>
      <w:r>
        <w:rPr>
          <w:rFonts w:hint="eastAsia" w:ascii="仿宋" w:hAnsi="仿宋" w:eastAsia="仿宋"/>
          <w:sz w:val="32"/>
          <w:szCs w:val="32"/>
        </w:rPr>
        <w:t>21年相比，财政拨款收、支总计各减少</w:t>
      </w:r>
      <w:r>
        <w:rPr>
          <w:rFonts w:ascii="仿宋" w:hAnsi="仿宋" w:eastAsia="仿宋"/>
          <w:sz w:val="32"/>
          <w:szCs w:val="32"/>
        </w:rPr>
        <w:t>3458.05</w:t>
      </w:r>
      <w:r>
        <w:rPr>
          <w:rFonts w:hint="eastAsia" w:ascii="仿宋" w:hAnsi="仿宋" w:eastAsia="仿宋"/>
          <w:sz w:val="32"/>
          <w:szCs w:val="32"/>
        </w:rPr>
        <w:t>万元，下降</w:t>
      </w:r>
      <w:r>
        <w:rPr>
          <w:rFonts w:ascii="仿宋" w:hAnsi="仿宋" w:eastAsia="仿宋"/>
          <w:sz w:val="32"/>
          <w:szCs w:val="32"/>
        </w:rPr>
        <w:t>64.17%</w:t>
      </w:r>
      <w:r>
        <w:rPr>
          <w:rFonts w:hint="eastAsia" w:ascii="仿宋" w:hAnsi="仿宋" w:eastAsia="仿宋"/>
          <w:sz w:val="32"/>
          <w:szCs w:val="32"/>
        </w:rPr>
        <w:t>。其原因主要项目减少，收支减少。</w:t>
      </w:r>
    </w:p>
    <w:p>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pPr>
        <w:spacing w:line="600" w:lineRule="exact"/>
        <w:rPr>
          <w:rFonts w:ascii="仿宋" w:hAnsi="仿宋" w:eastAsia="仿宋"/>
          <w:sz w:val="32"/>
          <w:szCs w:val="32"/>
        </w:rPr>
      </w:pPr>
    </w:p>
    <w:p>
      <w:pPr>
        <w:pStyle w:val="2"/>
        <w:spacing w:before="93"/>
      </w:pPr>
      <w:r>
        <w:rPr>
          <w:rFonts w:hint="eastAsia"/>
        </w:rPr>
        <w:t xml:space="preserve"> </w:t>
      </w:r>
      <w:r>
        <w:t xml:space="preserve">   </w:t>
      </w:r>
      <w:r>
        <w:drawing>
          <wp:inline distT="0" distB="0" distL="0" distR="0">
            <wp:extent cx="5303520" cy="4333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305812" cy="4335748"/>
                    </a:xfrm>
                    <a:prstGeom prst="rect">
                      <a:avLst/>
                    </a:prstGeom>
                  </pic:spPr>
                </pic:pic>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pPr>
        <w:spacing w:line="600" w:lineRule="exact"/>
        <w:ind w:firstLine="640"/>
        <w:rPr>
          <w:rFonts w:ascii="仿宋" w:hAnsi="仿宋" w:eastAsia="仿宋"/>
          <w:b/>
          <w:sz w:val="32"/>
          <w:szCs w:val="32"/>
        </w:rPr>
      </w:pPr>
    </w:p>
    <w:p>
      <w:pPr>
        <w:spacing w:line="600" w:lineRule="exact"/>
        <w:ind w:firstLine="640" w:firstLineChars="200"/>
        <w:outlineLvl w:val="1"/>
        <w:rPr>
          <w:rStyle w:val="25"/>
          <w:rFonts w:ascii="黑体" w:hAnsi="黑体" w:eastAsia="黑体"/>
          <w:b w:val="0"/>
        </w:rPr>
      </w:pPr>
      <w:bookmarkStart w:id="28" w:name="_Toc15396607"/>
      <w:bookmarkStart w:id="29" w:name="_Toc15377209"/>
      <w:r>
        <w:rPr>
          <w:rFonts w:hint="eastAsia" w:ascii="黑体" w:hAnsi="黑体" w:eastAsia="黑体"/>
          <w:sz w:val="32"/>
          <w:szCs w:val="32"/>
        </w:rPr>
        <w:t>五、</w:t>
      </w:r>
      <w:r>
        <w:rPr>
          <w:rFonts w:hint="eastAsia" w:ascii="黑体" w:hAnsi="黑体" w:eastAsia="黑体"/>
          <w:b/>
          <w:sz w:val="32"/>
          <w:szCs w:val="32"/>
        </w:rPr>
        <w:t>一</w:t>
      </w:r>
      <w:r>
        <w:rPr>
          <w:rStyle w:val="25"/>
          <w:rFonts w:hint="eastAsia" w:ascii="黑体" w:hAnsi="黑体" w:eastAsia="黑体"/>
          <w:b w:val="0"/>
        </w:rPr>
        <w:t>般公共预算财政拨款支出决算情况说明</w:t>
      </w:r>
      <w:bookmarkEnd w:id="28"/>
      <w:bookmarkEnd w:id="29"/>
    </w:p>
    <w:p>
      <w:pPr>
        <w:spacing w:line="600" w:lineRule="exact"/>
        <w:ind w:firstLine="643" w:firstLineChars="200"/>
        <w:outlineLvl w:val="2"/>
        <w:rPr>
          <w:rFonts w:ascii="仿宋" w:hAnsi="仿宋" w:eastAsia="仿宋"/>
          <w:b/>
          <w:sz w:val="32"/>
          <w:szCs w:val="32"/>
        </w:rPr>
      </w:pPr>
      <w:bookmarkStart w:id="30" w:name="_Toc15377210"/>
      <w:r>
        <w:rPr>
          <w:rFonts w:hint="eastAsia" w:ascii="仿宋" w:hAnsi="仿宋" w:eastAsia="仿宋"/>
          <w:b/>
          <w:sz w:val="32"/>
          <w:szCs w:val="32"/>
        </w:rPr>
        <w:t>（一）一般公共预算财政拨款支出决算总体情况</w:t>
      </w:r>
      <w:bookmarkEnd w:id="30"/>
    </w:p>
    <w:p>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22年一般公共预算财政拨款支出</w:t>
      </w:r>
      <w:r>
        <w:rPr>
          <w:rFonts w:ascii="仿宋" w:hAnsi="仿宋" w:eastAsia="仿宋"/>
          <w:sz w:val="32"/>
          <w:szCs w:val="32"/>
        </w:rPr>
        <w:t>1128.84</w:t>
      </w:r>
      <w:r>
        <w:rPr>
          <w:rFonts w:hint="eastAsia" w:ascii="仿宋" w:hAnsi="仿宋" w:eastAsia="仿宋"/>
          <w:sz w:val="32"/>
          <w:szCs w:val="32"/>
        </w:rPr>
        <w:t>万元，占本年支出合计的</w:t>
      </w:r>
      <w:r>
        <w:rPr>
          <w:rFonts w:ascii="仿宋" w:hAnsi="仿宋" w:eastAsia="仿宋"/>
          <w:sz w:val="32"/>
          <w:szCs w:val="32"/>
        </w:rPr>
        <w:t>58.46%</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21年相比，一般公共预算财政拨款支出减少</w:t>
      </w:r>
      <w:r>
        <w:rPr>
          <w:rFonts w:ascii="仿宋" w:hAnsi="仿宋" w:eastAsia="仿宋"/>
          <w:sz w:val="32"/>
          <w:szCs w:val="32"/>
        </w:rPr>
        <w:t>429.34</w:t>
      </w:r>
      <w:r>
        <w:rPr>
          <w:rFonts w:hint="eastAsia" w:ascii="仿宋" w:hAnsi="仿宋" w:eastAsia="仿宋"/>
          <w:sz w:val="32"/>
          <w:szCs w:val="32"/>
        </w:rPr>
        <w:t>万元，下降</w:t>
      </w:r>
      <w:r>
        <w:rPr>
          <w:rFonts w:ascii="仿宋" w:hAnsi="仿宋" w:eastAsia="仿宋"/>
          <w:sz w:val="32"/>
          <w:szCs w:val="32"/>
        </w:rPr>
        <w:t>27.55%</w:t>
      </w:r>
      <w:r>
        <w:rPr>
          <w:rFonts w:hint="eastAsia" w:ascii="仿宋" w:hAnsi="仿宋" w:eastAsia="仿宋"/>
          <w:sz w:val="32"/>
          <w:szCs w:val="32"/>
        </w:rPr>
        <w:t>。其原因主要项目减少，收支减少。</w:t>
      </w:r>
    </w:p>
    <w:p>
      <w:pPr>
        <w:pStyle w:val="2"/>
        <w:spacing w:before="93"/>
      </w:pPr>
      <w:r>
        <w:rPr>
          <w:rFonts w:hint="eastAsia"/>
        </w:rPr>
        <w:t xml:space="preserve"> </w:t>
      </w:r>
      <w:r>
        <w:t xml:space="preserve"> </w:t>
      </w:r>
      <w:r>
        <w:drawing>
          <wp:inline distT="0" distB="0" distL="0" distR="0">
            <wp:extent cx="5207635" cy="4191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08933" cy="4191667"/>
                    </a:xfrm>
                    <a:prstGeom prst="rect">
                      <a:avLst/>
                    </a:prstGeom>
                  </pic:spPr>
                </pic:pic>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pPr>
        <w:spacing w:line="600" w:lineRule="exact"/>
        <w:ind w:firstLine="640" w:firstLineChars="200"/>
        <w:rPr>
          <w:rFonts w:ascii="仿宋" w:hAnsi="仿宋" w:eastAsia="仿宋"/>
          <w:sz w:val="32"/>
          <w:szCs w:val="32"/>
        </w:rPr>
      </w:pPr>
    </w:p>
    <w:p>
      <w:pPr>
        <w:spacing w:line="600" w:lineRule="exact"/>
        <w:ind w:firstLine="643" w:firstLineChars="200"/>
        <w:outlineLvl w:val="2"/>
        <w:rPr>
          <w:rFonts w:ascii="仿宋" w:hAnsi="仿宋" w:eastAsia="仿宋"/>
          <w:b/>
          <w:sz w:val="32"/>
          <w:szCs w:val="32"/>
        </w:rPr>
      </w:pPr>
      <w:bookmarkStart w:id="31" w:name="_Toc15377211"/>
      <w:r>
        <w:rPr>
          <w:rFonts w:hint="eastAsia" w:ascii="仿宋" w:hAnsi="仿宋" w:eastAsia="仿宋"/>
          <w:b/>
          <w:sz w:val="32"/>
          <w:szCs w:val="32"/>
        </w:rPr>
        <w:t>（二）一般公共预算财政拨款支出决算结构情况</w:t>
      </w:r>
      <w:bookmarkEnd w:id="31"/>
    </w:p>
    <w:p>
      <w:pPr>
        <w:spacing w:line="600" w:lineRule="exact"/>
        <w:ind w:firstLine="640"/>
        <w:rPr>
          <w:rFonts w:ascii="仿宋" w:hAnsi="仿宋" w:eastAsia="仿宋"/>
          <w:bCs/>
          <w:sz w:val="32"/>
          <w:szCs w:val="32"/>
        </w:rPr>
      </w:pPr>
      <w:r>
        <w:rPr>
          <w:rFonts w:ascii="仿宋" w:hAnsi="仿宋" w:eastAsia="仿宋"/>
          <w:sz w:val="32"/>
          <w:szCs w:val="32"/>
        </w:rPr>
        <w:t>20</w:t>
      </w:r>
      <w:r>
        <w:rPr>
          <w:rFonts w:hint="eastAsia" w:ascii="仿宋" w:hAnsi="仿宋" w:eastAsia="仿宋"/>
          <w:sz w:val="32"/>
          <w:szCs w:val="32"/>
        </w:rPr>
        <w:t>22年一般公共预算财政拨款支出</w:t>
      </w:r>
      <w:r>
        <w:rPr>
          <w:rFonts w:ascii="仿宋" w:hAnsi="仿宋" w:eastAsia="仿宋"/>
          <w:sz w:val="32"/>
          <w:szCs w:val="32"/>
        </w:rPr>
        <w:t>1128.84</w:t>
      </w:r>
      <w:r>
        <w:rPr>
          <w:rFonts w:hint="eastAsia" w:ascii="仿宋" w:hAnsi="仿宋" w:eastAsia="仿宋"/>
          <w:sz w:val="32"/>
          <w:szCs w:val="32"/>
        </w:rPr>
        <w:t>万元，主要用于以下方面</w:t>
      </w:r>
      <w:r>
        <w:rPr>
          <w:rFonts w:ascii="仿宋" w:hAnsi="仿宋" w:eastAsia="仿宋"/>
          <w:sz w:val="32"/>
          <w:szCs w:val="32"/>
        </w:rPr>
        <w:t>:</w:t>
      </w:r>
      <w:r>
        <w:rPr>
          <w:rFonts w:hint="eastAsia" w:ascii="仿宋" w:hAnsi="仿宋" w:eastAsia="仿宋"/>
          <w:bCs/>
          <w:sz w:val="32"/>
          <w:szCs w:val="32"/>
        </w:rPr>
        <w:t>一般公共服务支出</w:t>
      </w:r>
      <w:r>
        <w:rPr>
          <w:rFonts w:ascii="仿宋" w:hAnsi="仿宋" w:eastAsia="仿宋"/>
          <w:bCs/>
          <w:sz w:val="32"/>
          <w:szCs w:val="32"/>
        </w:rPr>
        <w:t>0</w:t>
      </w:r>
      <w:r>
        <w:rPr>
          <w:rFonts w:hint="eastAsia" w:ascii="仿宋" w:hAnsi="仿宋" w:eastAsia="仿宋"/>
          <w:bCs/>
          <w:sz w:val="32"/>
          <w:szCs w:val="32"/>
        </w:rPr>
        <w:t>万元，占</w:t>
      </w:r>
      <w:r>
        <w:rPr>
          <w:rFonts w:ascii="仿宋" w:hAnsi="仿宋" w:eastAsia="仿宋"/>
          <w:bCs/>
          <w:sz w:val="32"/>
          <w:szCs w:val="32"/>
        </w:rPr>
        <w:t>0%</w:t>
      </w:r>
      <w:r>
        <w:rPr>
          <w:rFonts w:hint="eastAsia" w:ascii="仿宋" w:hAnsi="仿宋" w:eastAsia="仿宋"/>
          <w:bCs/>
          <w:sz w:val="32"/>
          <w:szCs w:val="32"/>
        </w:rPr>
        <w:t>；教育支出</w:t>
      </w:r>
      <w:r>
        <w:rPr>
          <w:rFonts w:ascii="仿宋" w:hAnsi="仿宋" w:eastAsia="仿宋"/>
          <w:bCs/>
          <w:sz w:val="32"/>
          <w:szCs w:val="32"/>
        </w:rPr>
        <w:t>0</w:t>
      </w:r>
      <w:r>
        <w:rPr>
          <w:rFonts w:hint="eastAsia" w:ascii="仿宋" w:hAnsi="仿宋" w:eastAsia="仿宋"/>
          <w:bCs/>
          <w:sz w:val="32"/>
          <w:szCs w:val="32"/>
        </w:rPr>
        <w:t>万元，占</w:t>
      </w:r>
      <w:r>
        <w:rPr>
          <w:rFonts w:ascii="仿宋" w:hAnsi="仿宋" w:eastAsia="仿宋"/>
          <w:bCs/>
          <w:sz w:val="32"/>
          <w:szCs w:val="32"/>
        </w:rPr>
        <w:t>0%</w:t>
      </w:r>
      <w:r>
        <w:rPr>
          <w:rFonts w:hint="eastAsia" w:ascii="仿宋" w:hAnsi="仿宋" w:eastAsia="仿宋"/>
          <w:bCs/>
          <w:sz w:val="32"/>
          <w:szCs w:val="32"/>
        </w:rPr>
        <w:t>；科学技术支出</w:t>
      </w:r>
      <w:r>
        <w:rPr>
          <w:rFonts w:ascii="仿宋" w:hAnsi="仿宋" w:eastAsia="仿宋"/>
          <w:bCs/>
          <w:sz w:val="32"/>
          <w:szCs w:val="32"/>
        </w:rPr>
        <w:t>0</w:t>
      </w:r>
      <w:r>
        <w:rPr>
          <w:rFonts w:hint="eastAsia" w:ascii="仿宋" w:hAnsi="仿宋" w:eastAsia="仿宋"/>
          <w:bCs/>
          <w:sz w:val="32"/>
          <w:szCs w:val="32"/>
        </w:rPr>
        <w:t>万元，占</w:t>
      </w:r>
      <w:r>
        <w:rPr>
          <w:rFonts w:ascii="仿宋" w:hAnsi="仿宋" w:eastAsia="仿宋"/>
          <w:bCs/>
          <w:sz w:val="32"/>
          <w:szCs w:val="32"/>
        </w:rPr>
        <w:t>0%</w:t>
      </w:r>
      <w:r>
        <w:rPr>
          <w:rFonts w:hint="eastAsia" w:ascii="仿宋" w:hAnsi="仿宋" w:eastAsia="仿宋"/>
          <w:bCs/>
          <w:sz w:val="32"/>
          <w:szCs w:val="32"/>
        </w:rPr>
        <w:t>；文化旅游体育与传媒支出</w:t>
      </w:r>
      <w:r>
        <w:rPr>
          <w:rFonts w:ascii="仿宋" w:hAnsi="仿宋" w:eastAsia="仿宋"/>
          <w:bCs/>
          <w:sz w:val="32"/>
          <w:szCs w:val="32"/>
        </w:rPr>
        <w:t>0</w:t>
      </w:r>
      <w:r>
        <w:rPr>
          <w:rFonts w:hint="eastAsia" w:ascii="仿宋" w:hAnsi="仿宋" w:eastAsia="仿宋"/>
          <w:bCs/>
          <w:sz w:val="32"/>
          <w:szCs w:val="32"/>
        </w:rPr>
        <w:t>万元，占</w:t>
      </w:r>
      <w:r>
        <w:rPr>
          <w:rFonts w:ascii="仿宋" w:hAnsi="仿宋" w:eastAsia="仿宋"/>
          <w:bCs/>
          <w:sz w:val="32"/>
          <w:szCs w:val="32"/>
        </w:rPr>
        <w:t>0%</w:t>
      </w:r>
      <w:r>
        <w:rPr>
          <w:rFonts w:hint="eastAsia" w:ascii="仿宋" w:hAnsi="仿宋" w:eastAsia="仿宋"/>
          <w:bCs/>
          <w:sz w:val="32"/>
          <w:szCs w:val="32"/>
        </w:rPr>
        <w:t>；社会保障和就业支出</w:t>
      </w:r>
      <w:r>
        <w:rPr>
          <w:rFonts w:ascii="仿宋" w:hAnsi="仿宋" w:eastAsia="仿宋"/>
          <w:bCs/>
          <w:sz w:val="32"/>
          <w:szCs w:val="32"/>
        </w:rPr>
        <w:t>102.64</w:t>
      </w:r>
      <w:r>
        <w:rPr>
          <w:rFonts w:hint="eastAsia" w:ascii="仿宋" w:hAnsi="仿宋" w:eastAsia="仿宋"/>
          <w:bCs/>
          <w:sz w:val="32"/>
          <w:szCs w:val="32"/>
        </w:rPr>
        <w:t>万元，占</w:t>
      </w:r>
      <w:r>
        <w:rPr>
          <w:rFonts w:ascii="仿宋" w:hAnsi="仿宋" w:eastAsia="仿宋"/>
          <w:bCs/>
          <w:sz w:val="32"/>
          <w:szCs w:val="32"/>
        </w:rPr>
        <w:t>9.09%</w:t>
      </w:r>
      <w:r>
        <w:rPr>
          <w:rFonts w:hint="eastAsia" w:ascii="仿宋" w:hAnsi="仿宋" w:eastAsia="仿宋"/>
          <w:bCs/>
          <w:sz w:val="32"/>
          <w:szCs w:val="32"/>
        </w:rPr>
        <w:t>；卫生健康支出</w:t>
      </w:r>
      <w:r>
        <w:rPr>
          <w:rFonts w:ascii="仿宋" w:hAnsi="仿宋" w:eastAsia="仿宋"/>
          <w:bCs/>
          <w:sz w:val="32"/>
          <w:szCs w:val="32"/>
        </w:rPr>
        <w:t>15.41</w:t>
      </w:r>
      <w:r>
        <w:rPr>
          <w:rFonts w:hint="eastAsia" w:ascii="仿宋" w:hAnsi="仿宋" w:eastAsia="仿宋"/>
          <w:bCs/>
          <w:sz w:val="32"/>
          <w:szCs w:val="32"/>
        </w:rPr>
        <w:t>万元，占1</w:t>
      </w:r>
      <w:r>
        <w:rPr>
          <w:rFonts w:ascii="仿宋" w:hAnsi="仿宋" w:eastAsia="仿宋"/>
          <w:bCs/>
          <w:sz w:val="32"/>
          <w:szCs w:val="32"/>
        </w:rPr>
        <w:t>.37%</w:t>
      </w:r>
      <w:r>
        <w:rPr>
          <w:rFonts w:hint="eastAsia" w:ascii="仿宋" w:hAnsi="仿宋" w:eastAsia="仿宋"/>
          <w:bCs/>
          <w:sz w:val="32"/>
          <w:szCs w:val="32"/>
        </w:rPr>
        <w:t>；住房保障支出</w:t>
      </w:r>
      <w:r>
        <w:rPr>
          <w:rFonts w:ascii="仿宋" w:hAnsi="仿宋" w:eastAsia="仿宋"/>
          <w:bCs/>
          <w:sz w:val="32"/>
          <w:szCs w:val="32"/>
        </w:rPr>
        <w:t>52.87</w:t>
      </w:r>
      <w:r>
        <w:rPr>
          <w:rFonts w:hint="eastAsia" w:ascii="仿宋" w:hAnsi="仿宋" w:eastAsia="仿宋"/>
          <w:bCs/>
          <w:sz w:val="32"/>
          <w:szCs w:val="32"/>
        </w:rPr>
        <w:t>万元，占</w:t>
      </w:r>
      <w:r>
        <w:rPr>
          <w:rFonts w:ascii="仿宋" w:hAnsi="仿宋" w:eastAsia="仿宋"/>
          <w:bCs/>
          <w:sz w:val="32"/>
          <w:szCs w:val="32"/>
        </w:rPr>
        <w:t>4.68%</w:t>
      </w:r>
      <w:r>
        <w:rPr>
          <w:rFonts w:hint="eastAsia" w:ascii="仿宋" w:hAnsi="仿宋" w:eastAsia="仿宋"/>
          <w:bCs/>
          <w:sz w:val="32"/>
          <w:szCs w:val="32"/>
        </w:rPr>
        <w:t>；灾害防治及应急管理支出</w:t>
      </w:r>
      <w:r>
        <w:rPr>
          <w:rFonts w:ascii="仿宋" w:hAnsi="仿宋" w:eastAsia="仿宋"/>
          <w:bCs/>
          <w:sz w:val="32"/>
          <w:szCs w:val="32"/>
        </w:rPr>
        <w:t>957.92</w:t>
      </w:r>
      <w:r>
        <w:rPr>
          <w:rFonts w:hint="eastAsia" w:ascii="仿宋" w:hAnsi="仿宋" w:eastAsia="仿宋"/>
          <w:bCs/>
          <w:sz w:val="32"/>
          <w:szCs w:val="32"/>
        </w:rPr>
        <w:t>万元，占8</w:t>
      </w:r>
      <w:r>
        <w:rPr>
          <w:rFonts w:ascii="仿宋" w:hAnsi="仿宋" w:eastAsia="仿宋"/>
          <w:bCs/>
          <w:sz w:val="32"/>
          <w:szCs w:val="32"/>
        </w:rPr>
        <w:t>4.86</w:t>
      </w:r>
      <w:r>
        <w:rPr>
          <w:rFonts w:hint="eastAsia" w:ascii="仿宋" w:hAnsi="仿宋" w:eastAsia="仿宋"/>
          <w:bCs/>
          <w:sz w:val="32"/>
          <w:szCs w:val="32"/>
        </w:rPr>
        <w:t>%。</w:t>
      </w:r>
    </w:p>
    <w:p>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（注：数据来源于财决01-1表，仅罗列本单位涉及的全部功能分类科目，至类级。）</w:t>
      </w:r>
    </w:p>
    <w:p>
      <w:pPr>
        <w:spacing w:line="600" w:lineRule="exact"/>
        <w:ind w:firstLine="640"/>
        <w:rPr>
          <w:rFonts w:ascii="仿宋" w:hAnsi="仿宋" w:eastAsia="仿宋"/>
          <w:sz w:val="32"/>
          <w:szCs w:val="32"/>
        </w:rPr>
      </w:pPr>
    </w:p>
    <w:p>
      <w:pPr>
        <w:pStyle w:val="2"/>
        <w:spacing w:before="93"/>
        <w:ind w:left="450" w:hanging="450" w:hangingChars="150"/>
      </w:pPr>
      <w:r>
        <w:rPr>
          <w:rFonts w:hint="eastAsia"/>
        </w:rPr>
        <w:t xml:space="preserve"> </w:t>
      </w:r>
      <w:r>
        <w:t xml:space="preserve">   </w:t>
      </w:r>
      <w:r>
        <w:drawing>
          <wp:inline distT="0" distB="0" distL="0" distR="0">
            <wp:extent cx="5274310" cy="449135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4491355"/>
                    </a:xfrm>
                    <a:prstGeom prst="rect">
                      <a:avLst/>
                    </a:prstGeom>
                  </pic:spPr>
                </pic:pic>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pPr>
        <w:spacing w:line="600" w:lineRule="exact"/>
        <w:ind w:firstLine="640" w:firstLineChars="200"/>
        <w:rPr>
          <w:rFonts w:ascii="仿宋" w:hAnsi="仿宋" w:eastAsia="仿宋"/>
          <w:sz w:val="32"/>
          <w:szCs w:val="32"/>
        </w:rPr>
      </w:pPr>
    </w:p>
    <w:p>
      <w:pPr>
        <w:spacing w:line="600" w:lineRule="exact"/>
        <w:ind w:firstLine="643" w:firstLineChars="200"/>
        <w:outlineLvl w:val="2"/>
        <w:rPr>
          <w:rFonts w:ascii="仿宋" w:hAnsi="仿宋" w:eastAsia="仿宋"/>
          <w:b/>
          <w:sz w:val="32"/>
          <w:szCs w:val="32"/>
        </w:rPr>
      </w:pPr>
      <w:bookmarkStart w:id="32" w:name="_Toc15377212"/>
      <w:r>
        <w:rPr>
          <w:rFonts w:hint="eastAsia" w:ascii="仿宋" w:hAnsi="仿宋" w:eastAsia="仿宋"/>
          <w:b/>
          <w:sz w:val="32"/>
          <w:szCs w:val="32"/>
        </w:rPr>
        <w:t>（三）一般公共预算财政拨款支出决算具体情况</w:t>
      </w:r>
      <w:bookmarkEnd w:id="32"/>
    </w:p>
    <w:p>
      <w:pPr>
        <w:spacing w:line="600" w:lineRule="exact"/>
        <w:ind w:firstLine="640" w:firstLineChars="200"/>
        <w:outlineLvl w:val="2"/>
        <w:rPr>
          <w:rFonts w:ascii="仿宋" w:hAnsi="仿宋" w:eastAsia="仿宋"/>
          <w:b/>
          <w:sz w:val="32"/>
          <w:szCs w:val="32"/>
        </w:rPr>
      </w:pPr>
      <w:bookmarkStart w:id="33" w:name="_Toc15378460"/>
      <w:bookmarkStart w:id="34" w:name="_Toc15377444"/>
      <w:bookmarkStart w:id="35" w:name="_Toc15377213"/>
      <w:r>
        <w:rPr>
          <w:rFonts w:hint="eastAsia" w:ascii="仿宋" w:hAnsi="仿宋" w:eastAsia="仿宋"/>
          <w:bCs/>
          <w:sz w:val="32"/>
          <w:szCs w:val="32"/>
        </w:rPr>
        <w:t>2022年一般公共预算支出决算数为</w:t>
      </w:r>
      <w:r>
        <w:rPr>
          <w:rFonts w:ascii="仿宋" w:hAnsi="仿宋" w:eastAsia="仿宋"/>
          <w:bCs/>
          <w:sz w:val="32"/>
          <w:szCs w:val="32"/>
        </w:rPr>
        <w:t>1128.84</w:t>
      </w:r>
      <w:r>
        <w:rPr>
          <w:rFonts w:hint="eastAsia" w:ascii="仿宋" w:hAnsi="仿宋" w:eastAsia="仿宋"/>
          <w:bCs/>
          <w:sz w:val="32"/>
          <w:szCs w:val="32"/>
        </w:rPr>
        <w:t>，</w:t>
      </w:r>
      <w:r>
        <w:rPr>
          <w:rStyle w:val="14"/>
          <w:rFonts w:hint="eastAsia" w:ascii="仿宋" w:hAnsi="仿宋" w:eastAsia="仿宋"/>
          <w:b w:val="0"/>
          <w:sz w:val="32"/>
          <w:szCs w:val="32"/>
        </w:rPr>
        <w:t>完成预算</w:t>
      </w:r>
      <w:r>
        <w:rPr>
          <w:rStyle w:val="14"/>
          <w:rFonts w:ascii="仿宋" w:hAnsi="仿宋" w:eastAsia="仿宋"/>
          <w:b w:val="0"/>
          <w:sz w:val="32"/>
          <w:szCs w:val="32"/>
        </w:rPr>
        <w:t>100%</w:t>
      </w:r>
      <w:r>
        <w:rPr>
          <w:rStyle w:val="14"/>
          <w:rFonts w:hint="eastAsia" w:ascii="仿宋" w:hAnsi="仿宋" w:eastAsia="仿宋"/>
          <w:b w:val="0"/>
          <w:sz w:val="32"/>
          <w:szCs w:val="32"/>
        </w:rPr>
        <w:t>。其中：</w:t>
      </w:r>
      <w:bookmarkEnd w:id="33"/>
      <w:bookmarkEnd w:id="34"/>
      <w:bookmarkEnd w:id="35"/>
    </w:p>
    <w:p>
      <w:pPr>
        <w:spacing w:line="600" w:lineRule="exact"/>
        <w:ind w:firstLine="640" w:firstLineChars="200"/>
        <w:rPr>
          <w:rStyle w:val="14"/>
          <w:rFonts w:ascii="仿宋" w:hAnsi="仿宋" w:eastAsia="仿宋"/>
          <w:b w:val="0"/>
          <w:sz w:val="32"/>
          <w:szCs w:val="32"/>
        </w:rPr>
      </w:pPr>
      <w:r>
        <w:rPr>
          <w:rStyle w:val="14"/>
          <w:rFonts w:ascii="仿宋" w:hAnsi="仿宋" w:eastAsia="仿宋"/>
          <w:b w:val="0"/>
          <w:sz w:val="32"/>
          <w:szCs w:val="32"/>
        </w:rPr>
        <w:t>1.</w:t>
      </w:r>
      <w:r>
        <w:rPr>
          <w:rStyle w:val="14"/>
          <w:rFonts w:hint="eastAsia" w:ascii="仿宋" w:hAnsi="仿宋" w:eastAsia="仿宋"/>
          <w:b w:val="0"/>
          <w:sz w:val="32"/>
          <w:szCs w:val="32"/>
        </w:rPr>
        <w:t>一般公共服务（类）</w:t>
      </w:r>
      <w:r>
        <w:rPr>
          <w:rStyle w:val="14"/>
          <w:rFonts w:ascii="仿宋" w:hAnsi="仿宋" w:eastAsia="仿宋"/>
          <w:b w:val="0"/>
          <w:sz w:val="32"/>
          <w:szCs w:val="32"/>
        </w:rPr>
        <w:t>***</w:t>
      </w:r>
      <w:r>
        <w:rPr>
          <w:rStyle w:val="14"/>
          <w:rFonts w:hint="eastAsia" w:ascii="仿宋" w:hAnsi="仿宋" w:eastAsia="仿宋"/>
          <w:b w:val="0"/>
          <w:sz w:val="32"/>
          <w:szCs w:val="32"/>
        </w:rPr>
        <w:t>（款）</w:t>
      </w:r>
      <w:r>
        <w:rPr>
          <w:rStyle w:val="14"/>
          <w:rFonts w:ascii="仿宋" w:hAnsi="仿宋" w:eastAsia="仿宋"/>
          <w:b w:val="0"/>
          <w:sz w:val="32"/>
          <w:szCs w:val="32"/>
        </w:rPr>
        <w:t>***</w:t>
      </w:r>
      <w:r>
        <w:rPr>
          <w:rStyle w:val="14"/>
          <w:rFonts w:hint="eastAsia" w:ascii="仿宋" w:hAnsi="仿宋" w:eastAsia="仿宋"/>
          <w:b w:val="0"/>
          <w:sz w:val="32"/>
          <w:szCs w:val="32"/>
        </w:rPr>
        <w:t>（项）</w:t>
      </w:r>
      <w:r>
        <w:rPr>
          <w:rStyle w:val="14"/>
          <w:rFonts w:ascii="仿宋" w:hAnsi="仿宋" w:eastAsia="仿宋"/>
          <w:b w:val="0"/>
          <w:sz w:val="32"/>
          <w:szCs w:val="32"/>
        </w:rPr>
        <w:t xml:space="preserve">: </w:t>
      </w:r>
      <w:r>
        <w:rPr>
          <w:rStyle w:val="14"/>
          <w:rFonts w:hint="eastAsia" w:ascii="仿宋" w:hAnsi="仿宋" w:eastAsia="仿宋"/>
          <w:b w:val="0"/>
          <w:sz w:val="32"/>
          <w:szCs w:val="32"/>
        </w:rPr>
        <w:t>本年无此项业务发生。</w:t>
      </w:r>
    </w:p>
    <w:p>
      <w:pPr>
        <w:spacing w:line="600" w:lineRule="exact"/>
        <w:ind w:firstLine="640" w:firstLineChars="200"/>
        <w:rPr>
          <w:rFonts w:ascii="仿宋" w:hAnsi="仿宋" w:eastAsia="仿宋"/>
          <w:sz w:val="32"/>
          <w:szCs w:val="32"/>
        </w:rPr>
      </w:pPr>
      <w:r>
        <w:rPr>
          <w:rStyle w:val="14"/>
          <w:rFonts w:ascii="仿宋" w:hAnsi="仿宋" w:eastAsia="仿宋"/>
          <w:b w:val="0"/>
          <w:sz w:val="32"/>
          <w:szCs w:val="32"/>
        </w:rPr>
        <w:t>2.</w:t>
      </w:r>
      <w:r>
        <w:rPr>
          <w:rStyle w:val="14"/>
          <w:rFonts w:hint="eastAsia" w:ascii="仿宋" w:hAnsi="仿宋" w:eastAsia="仿宋"/>
          <w:b w:val="0"/>
          <w:sz w:val="32"/>
          <w:szCs w:val="32"/>
        </w:rPr>
        <w:t>教育（类）</w:t>
      </w:r>
      <w:r>
        <w:rPr>
          <w:rStyle w:val="14"/>
          <w:rFonts w:ascii="仿宋" w:hAnsi="仿宋" w:eastAsia="仿宋"/>
          <w:b w:val="0"/>
          <w:sz w:val="32"/>
          <w:szCs w:val="32"/>
        </w:rPr>
        <w:t>***</w:t>
      </w:r>
      <w:r>
        <w:rPr>
          <w:rStyle w:val="14"/>
          <w:rFonts w:hint="eastAsia" w:ascii="仿宋" w:hAnsi="仿宋" w:eastAsia="仿宋"/>
          <w:b w:val="0"/>
          <w:sz w:val="32"/>
          <w:szCs w:val="32"/>
        </w:rPr>
        <w:t>（款）</w:t>
      </w:r>
      <w:r>
        <w:rPr>
          <w:rStyle w:val="14"/>
          <w:rFonts w:ascii="仿宋" w:hAnsi="仿宋" w:eastAsia="仿宋"/>
          <w:b w:val="0"/>
          <w:sz w:val="32"/>
          <w:szCs w:val="32"/>
        </w:rPr>
        <w:t>***</w:t>
      </w:r>
      <w:r>
        <w:rPr>
          <w:rStyle w:val="14"/>
          <w:rFonts w:hint="eastAsia" w:ascii="仿宋" w:hAnsi="仿宋" w:eastAsia="仿宋"/>
          <w:b w:val="0"/>
          <w:sz w:val="32"/>
          <w:szCs w:val="32"/>
        </w:rPr>
        <w:t>（项）</w:t>
      </w:r>
      <w:r>
        <w:rPr>
          <w:rStyle w:val="14"/>
          <w:rFonts w:ascii="仿宋" w:hAnsi="仿宋" w:eastAsia="仿宋"/>
          <w:b w:val="0"/>
          <w:sz w:val="32"/>
          <w:szCs w:val="32"/>
        </w:rPr>
        <w:t xml:space="preserve">: </w:t>
      </w:r>
      <w:r>
        <w:rPr>
          <w:rStyle w:val="14"/>
          <w:rFonts w:hint="eastAsia" w:ascii="仿宋" w:hAnsi="仿宋" w:eastAsia="仿宋"/>
          <w:b w:val="0"/>
          <w:sz w:val="32"/>
          <w:szCs w:val="32"/>
        </w:rPr>
        <w:t>本年无此项业务发生。</w:t>
      </w:r>
    </w:p>
    <w:p>
      <w:pPr>
        <w:spacing w:line="600" w:lineRule="exact"/>
        <w:ind w:firstLine="640" w:firstLineChars="200"/>
        <w:rPr>
          <w:rStyle w:val="14"/>
          <w:rFonts w:ascii="仿宋" w:hAnsi="仿宋" w:eastAsia="仿宋"/>
          <w:b w:val="0"/>
          <w:sz w:val="32"/>
          <w:szCs w:val="32"/>
        </w:rPr>
      </w:pPr>
      <w:r>
        <w:rPr>
          <w:rStyle w:val="14"/>
          <w:rFonts w:ascii="仿宋" w:hAnsi="仿宋" w:eastAsia="仿宋"/>
          <w:b w:val="0"/>
          <w:sz w:val="32"/>
          <w:szCs w:val="32"/>
        </w:rPr>
        <w:t>3.</w:t>
      </w:r>
      <w:r>
        <w:rPr>
          <w:rStyle w:val="14"/>
          <w:rFonts w:hint="eastAsia" w:ascii="仿宋" w:hAnsi="仿宋" w:eastAsia="仿宋"/>
          <w:b w:val="0"/>
          <w:sz w:val="32"/>
          <w:szCs w:val="32"/>
        </w:rPr>
        <w:t>科学技术（类）</w:t>
      </w:r>
      <w:r>
        <w:rPr>
          <w:rStyle w:val="14"/>
          <w:rFonts w:ascii="仿宋" w:hAnsi="仿宋" w:eastAsia="仿宋"/>
          <w:b w:val="0"/>
          <w:sz w:val="32"/>
          <w:szCs w:val="32"/>
        </w:rPr>
        <w:t>***</w:t>
      </w:r>
      <w:r>
        <w:rPr>
          <w:rStyle w:val="14"/>
          <w:rFonts w:hint="eastAsia" w:ascii="仿宋" w:hAnsi="仿宋" w:eastAsia="仿宋"/>
          <w:b w:val="0"/>
          <w:sz w:val="32"/>
          <w:szCs w:val="32"/>
        </w:rPr>
        <w:t>（款）</w:t>
      </w:r>
      <w:r>
        <w:rPr>
          <w:rStyle w:val="14"/>
          <w:rFonts w:ascii="仿宋" w:hAnsi="仿宋" w:eastAsia="仿宋"/>
          <w:b w:val="0"/>
          <w:sz w:val="32"/>
          <w:szCs w:val="32"/>
        </w:rPr>
        <w:t>***</w:t>
      </w:r>
      <w:r>
        <w:rPr>
          <w:rStyle w:val="14"/>
          <w:rFonts w:hint="eastAsia" w:ascii="仿宋" w:hAnsi="仿宋" w:eastAsia="仿宋"/>
          <w:b w:val="0"/>
          <w:sz w:val="32"/>
          <w:szCs w:val="32"/>
        </w:rPr>
        <w:t>（项）</w:t>
      </w:r>
      <w:r>
        <w:rPr>
          <w:rStyle w:val="14"/>
          <w:rFonts w:ascii="仿宋" w:hAnsi="仿宋" w:eastAsia="仿宋"/>
          <w:b w:val="0"/>
          <w:sz w:val="32"/>
          <w:szCs w:val="32"/>
        </w:rPr>
        <w:t xml:space="preserve">: </w:t>
      </w:r>
      <w:r>
        <w:rPr>
          <w:rStyle w:val="14"/>
          <w:rFonts w:hint="eastAsia" w:ascii="仿宋" w:hAnsi="仿宋" w:eastAsia="仿宋"/>
          <w:b w:val="0"/>
          <w:sz w:val="32"/>
          <w:szCs w:val="32"/>
        </w:rPr>
        <w:t>本年无此项业务发生。</w:t>
      </w:r>
    </w:p>
    <w:p>
      <w:pPr>
        <w:spacing w:line="600" w:lineRule="exact"/>
        <w:ind w:firstLine="640" w:firstLineChars="200"/>
        <w:rPr>
          <w:rStyle w:val="14"/>
          <w:rFonts w:ascii="仿宋" w:hAnsi="仿宋" w:eastAsia="仿宋"/>
          <w:b w:val="0"/>
          <w:sz w:val="32"/>
          <w:szCs w:val="32"/>
        </w:rPr>
      </w:pPr>
      <w:r>
        <w:rPr>
          <w:rStyle w:val="14"/>
          <w:rFonts w:ascii="仿宋" w:hAnsi="仿宋" w:eastAsia="仿宋"/>
          <w:b w:val="0"/>
          <w:sz w:val="32"/>
          <w:szCs w:val="32"/>
        </w:rPr>
        <w:t>4.</w:t>
      </w:r>
      <w:r>
        <w:rPr>
          <w:rStyle w:val="14"/>
          <w:rFonts w:hint="eastAsia" w:ascii="仿宋" w:hAnsi="仿宋" w:eastAsia="仿宋"/>
          <w:b w:val="0"/>
          <w:sz w:val="32"/>
          <w:szCs w:val="32"/>
        </w:rPr>
        <w:t>文化旅游体育与传媒（类）</w:t>
      </w:r>
      <w:r>
        <w:rPr>
          <w:rStyle w:val="14"/>
          <w:rFonts w:ascii="仿宋" w:hAnsi="仿宋" w:eastAsia="仿宋"/>
          <w:b w:val="0"/>
          <w:sz w:val="32"/>
          <w:szCs w:val="32"/>
        </w:rPr>
        <w:t>***</w:t>
      </w:r>
      <w:r>
        <w:rPr>
          <w:rStyle w:val="14"/>
          <w:rFonts w:hint="eastAsia" w:ascii="仿宋" w:hAnsi="仿宋" w:eastAsia="仿宋"/>
          <w:b w:val="0"/>
          <w:sz w:val="32"/>
          <w:szCs w:val="32"/>
        </w:rPr>
        <w:t>（款）</w:t>
      </w:r>
      <w:r>
        <w:rPr>
          <w:rStyle w:val="14"/>
          <w:rFonts w:ascii="仿宋" w:hAnsi="仿宋" w:eastAsia="仿宋"/>
          <w:b w:val="0"/>
          <w:sz w:val="32"/>
          <w:szCs w:val="32"/>
        </w:rPr>
        <w:t>***</w:t>
      </w:r>
      <w:r>
        <w:rPr>
          <w:rStyle w:val="14"/>
          <w:rFonts w:hint="eastAsia" w:ascii="仿宋" w:hAnsi="仿宋" w:eastAsia="仿宋"/>
          <w:b w:val="0"/>
          <w:sz w:val="32"/>
          <w:szCs w:val="32"/>
        </w:rPr>
        <w:t>（项）</w:t>
      </w:r>
      <w:r>
        <w:rPr>
          <w:rStyle w:val="14"/>
          <w:rFonts w:ascii="仿宋" w:hAnsi="仿宋" w:eastAsia="仿宋"/>
          <w:b w:val="0"/>
          <w:sz w:val="32"/>
          <w:szCs w:val="32"/>
        </w:rPr>
        <w:t xml:space="preserve">: </w:t>
      </w:r>
      <w:r>
        <w:rPr>
          <w:rStyle w:val="14"/>
          <w:rFonts w:hint="eastAsia" w:ascii="仿宋" w:hAnsi="仿宋" w:eastAsia="仿宋"/>
          <w:b w:val="0"/>
          <w:sz w:val="32"/>
          <w:szCs w:val="32"/>
        </w:rPr>
        <w:t>本年无此项业务发生。</w:t>
      </w:r>
    </w:p>
    <w:p>
      <w:pPr>
        <w:spacing w:line="600" w:lineRule="exact"/>
        <w:ind w:firstLine="640" w:firstLineChars="200"/>
        <w:rPr>
          <w:rStyle w:val="14"/>
          <w:rFonts w:ascii="仿宋" w:hAnsi="仿宋" w:eastAsia="仿宋"/>
          <w:b w:val="0"/>
          <w:bCs/>
          <w:sz w:val="32"/>
          <w:szCs w:val="32"/>
        </w:rPr>
      </w:pPr>
      <w:r>
        <w:rPr>
          <w:rStyle w:val="14"/>
          <w:rFonts w:ascii="仿宋" w:hAnsi="仿宋" w:eastAsia="仿宋"/>
          <w:b w:val="0"/>
          <w:sz w:val="32"/>
          <w:szCs w:val="32"/>
        </w:rPr>
        <w:t>5.</w:t>
      </w:r>
      <w:r>
        <w:rPr>
          <w:rStyle w:val="14"/>
          <w:rFonts w:hint="eastAsia" w:ascii="仿宋" w:hAnsi="仿宋" w:eastAsia="仿宋"/>
          <w:b w:val="0"/>
          <w:sz w:val="32"/>
          <w:szCs w:val="32"/>
        </w:rPr>
        <w:t>社会保障和就业（类）行政事业单位养老支出（款）机关事业单位基本养老保险缴费支出（项）</w:t>
      </w:r>
      <w:r>
        <w:rPr>
          <w:rStyle w:val="14"/>
          <w:rFonts w:ascii="仿宋" w:hAnsi="仿宋" w:eastAsia="仿宋"/>
          <w:b w:val="0"/>
          <w:sz w:val="32"/>
          <w:szCs w:val="32"/>
        </w:rPr>
        <w:t>:</w:t>
      </w:r>
      <w:r>
        <w:rPr>
          <w:rStyle w:val="14"/>
          <w:rFonts w:ascii="仿宋" w:hAnsi="仿宋" w:eastAsia="仿宋"/>
          <w:b w:val="0"/>
          <w:bCs/>
          <w:sz w:val="32"/>
          <w:szCs w:val="32"/>
        </w:rPr>
        <w:t xml:space="preserve"> </w:t>
      </w:r>
      <w:r>
        <w:rPr>
          <w:rStyle w:val="14"/>
          <w:rFonts w:hint="eastAsia" w:ascii="仿宋" w:hAnsi="仿宋" w:eastAsia="仿宋"/>
          <w:b w:val="0"/>
          <w:bCs/>
          <w:sz w:val="32"/>
          <w:szCs w:val="32"/>
        </w:rPr>
        <w:t>支出决算数为</w:t>
      </w:r>
      <w:r>
        <w:rPr>
          <w:rStyle w:val="14"/>
          <w:rFonts w:ascii="仿宋" w:hAnsi="仿宋" w:eastAsia="仿宋"/>
          <w:b w:val="0"/>
          <w:bCs/>
          <w:sz w:val="32"/>
          <w:szCs w:val="32"/>
        </w:rPr>
        <w:t>37.22</w:t>
      </w:r>
      <w:r>
        <w:rPr>
          <w:rStyle w:val="14"/>
          <w:rFonts w:hint="eastAsia" w:ascii="仿宋" w:hAnsi="仿宋" w:eastAsia="仿宋"/>
          <w:b w:val="0"/>
          <w:bCs/>
          <w:sz w:val="32"/>
          <w:szCs w:val="32"/>
        </w:rPr>
        <w:t>万元，完成预算</w:t>
      </w:r>
      <w:r>
        <w:rPr>
          <w:rStyle w:val="14"/>
          <w:rFonts w:ascii="仿宋" w:hAnsi="仿宋" w:eastAsia="仿宋"/>
          <w:b w:val="0"/>
          <w:bCs/>
          <w:sz w:val="32"/>
          <w:szCs w:val="32"/>
        </w:rPr>
        <w:t>100%</w:t>
      </w:r>
      <w:r>
        <w:rPr>
          <w:rStyle w:val="14"/>
          <w:rFonts w:hint="eastAsia" w:ascii="仿宋" w:hAnsi="仿宋" w:eastAsia="仿宋"/>
          <w:b w:val="0"/>
          <w:bCs/>
          <w:sz w:val="32"/>
          <w:szCs w:val="32"/>
        </w:rPr>
        <w:t>，决算数与预算数持平。</w:t>
      </w:r>
    </w:p>
    <w:p>
      <w:pPr>
        <w:spacing w:line="600" w:lineRule="exact"/>
        <w:ind w:firstLine="640" w:firstLineChars="200"/>
        <w:rPr>
          <w:rStyle w:val="14"/>
          <w:rFonts w:ascii="仿宋" w:hAnsi="仿宋" w:eastAsia="仿宋"/>
          <w:b w:val="0"/>
          <w:bCs/>
          <w:sz w:val="32"/>
          <w:szCs w:val="32"/>
        </w:rPr>
      </w:pPr>
      <w:r>
        <w:rPr>
          <w:rStyle w:val="14"/>
          <w:rFonts w:ascii="仿宋" w:hAnsi="仿宋" w:eastAsia="仿宋"/>
          <w:b w:val="0"/>
          <w:sz w:val="32"/>
          <w:szCs w:val="32"/>
        </w:rPr>
        <w:t>6.</w:t>
      </w:r>
      <w:r>
        <w:rPr>
          <w:rStyle w:val="14"/>
          <w:rFonts w:hint="eastAsia" w:ascii="仿宋" w:hAnsi="仿宋" w:eastAsia="仿宋"/>
          <w:b w:val="0"/>
          <w:sz w:val="32"/>
          <w:szCs w:val="32"/>
        </w:rPr>
        <w:t>社会保障和就业（类）行政事业单位养老支出（款）机关事业单位职业年金缴费支出（项）</w:t>
      </w:r>
      <w:r>
        <w:rPr>
          <w:rStyle w:val="14"/>
          <w:rFonts w:ascii="仿宋" w:hAnsi="仿宋" w:eastAsia="仿宋"/>
          <w:b w:val="0"/>
          <w:sz w:val="32"/>
          <w:szCs w:val="32"/>
        </w:rPr>
        <w:t>:</w:t>
      </w:r>
      <w:r>
        <w:rPr>
          <w:rStyle w:val="14"/>
          <w:rFonts w:ascii="仿宋" w:hAnsi="仿宋" w:eastAsia="仿宋"/>
          <w:b w:val="0"/>
          <w:bCs/>
          <w:sz w:val="32"/>
          <w:szCs w:val="32"/>
        </w:rPr>
        <w:t xml:space="preserve"> </w:t>
      </w:r>
      <w:r>
        <w:rPr>
          <w:rStyle w:val="14"/>
          <w:rFonts w:hint="eastAsia" w:ascii="仿宋" w:hAnsi="仿宋" w:eastAsia="仿宋"/>
          <w:b w:val="0"/>
          <w:bCs/>
          <w:sz w:val="32"/>
          <w:szCs w:val="32"/>
        </w:rPr>
        <w:t>支出决算数为</w:t>
      </w:r>
      <w:r>
        <w:rPr>
          <w:rStyle w:val="14"/>
          <w:rFonts w:ascii="仿宋" w:hAnsi="仿宋" w:eastAsia="仿宋"/>
          <w:b w:val="0"/>
          <w:bCs/>
          <w:sz w:val="32"/>
          <w:szCs w:val="32"/>
        </w:rPr>
        <w:t>19.84</w:t>
      </w:r>
      <w:r>
        <w:rPr>
          <w:rStyle w:val="14"/>
          <w:rFonts w:hint="eastAsia" w:ascii="仿宋" w:hAnsi="仿宋" w:eastAsia="仿宋"/>
          <w:b w:val="0"/>
          <w:bCs/>
          <w:sz w:val="32"/>
          <w:szCs w:val="32"/>
        </w:rPr>
        <w:t>万元，完成预算</w:t>
      </w:r>
      <w:r>
        <w:rPr>
          <w:rStyle w:val="14"/>
          <w:rFonts w:ascii="仿宋" w:hAnsi="仿宋" w:eastAsia="仿宋"/>
          <w:b w:val="0"/>
          <w:bCs/>
          <w:sz w:val="32"/>
          <w:szCs w:val="32"/>
        </w:rPr>
        <w:t>100%</w:t>
      </w:r>
      <w:r>
        <w:rPr>
          <w:rStyle w:val="14"/>
          <w:rFonts w:hint="eastAsia" w:ascii="仿宋" w:hAnsi="仿宋" w:eastAsia="仿宋"/>
          <w:b w:val="0"/>
          <w:bCs/>
          <w:sz w:val="32"/>
          <w:szCs w:val="32"/>
        </w:rPr>
        <w:t>，决算数与预算数持平。</w:t>
      </w:r>
    </w:p>
    <w:p>
      <w:pPr>
        <w:spacing w:line="600" w:lineRule="exact"/>
        <w:ind w:firstLine="640" w:firstLineChars="200"/>
        <w:rPr>
          <w:rStyle w:val="14"/>
          <w:rFonts w:ascii="仿宋" w:hAnsi="仿宋" w:eastAsia="仿宋"/>
          <w:b w:val="0"/>
          <w:bCs/>
          <w:sz w:val="32"/>
          <w:szCs w:val="32"/>
        </w:rPr>
      </w:pPr>
      <w:r>
        <w:rPr>
          <w:rStyle w:val="14"/>
          <w:rFonts w:ascii="仿宋" w:hAnsi="仿宋" w:eastAsia="仿宋"/>
          <w:b w:val="0"/>
          <w:sz w:val="32"/>
          <w:szCs w:val="32"/>
        </w:rPr>
        <w:t>7.</w:t>
      </w:r>
      <w:r>
        <w:rPr>
          <w:rStyle w:val="14"/>
          <w:rFonts w:hint="eastAsia" w:ascii="仿宋" w:hAnsi="仿宋" w:eastAsia="仿宋"/>
          <w:b w:val="0"/>
          <w:sz w:val="32"/>
          <w:szCs w:val="32"/>
        </w:rPr>
        <w:t>社会保障和就业（类）抚恤（款）死亡抚恤（项）</w:t>
      </w:r>
      <w:r>
        <w:rPr>
          <w:rStyle w:val="14"/>
          <w:rFonts w:ascii="仿宋" w:hAnsi="仿宋" w:eastAsia="仿宋"/>
          <w:b w:val="0"/>
          <w:sz w:val="32"/>
          <w:szCs w:val="32"/>
        </w:rPr>
        <w:t>:</w:t>
      </w:r>
      <w:r>
        <w:rPr>
          <w:rStyle w:val="14"/>
          <w:rFonts w:ascii="仿宋" w:hAnsi="仿宋" w:eastAsia="仿宋"/>
          <w:b w:val="0"/>
          <w:bCs/>
          <w:sz w:val="32"/>
          <w:szCs w:val="32"/>
        </w:rPr>
        <w:t xml:space="preserve"> </w:t>
      </w:r>
      <w:r>
        <w:rPr>
          <w:rStyle w:val="14"/>
          <w:rFonts w:hint="eastAsia" w:ascii="仿宋" w:hAnsi="仿宋" w:eastAsia="仿宋"/>
          <w:b w:val="0"/>
          <w:bCs/>
          <w:sz w:val="32"/>
          <w:szCs w:val="32"/>
        </w:rPr>
        <w:t>支出决算数为</w:t>
      </w:r>
      <w:r>
        <w:rPr>
          <w:rStyle w:val="14"/>
          <w:rFonts w:ascii="仿宋" w:hAnsi="仿宋" w:eastAsia="仿宋"/>
          <w:b w:val="0"/>
          <w:bCs/>
          <w:sz w:val="32"/>
          <w:szCs w:val="32"/>
        </w:rPr>
        <w:t>42.09</w:t>
      </w:r>
      <w:r>
        <w:rPr>
          <w:rStyle w:val="14"/>
          <w:rFonts w:hint="eastAsia" w:ascii="仿宋" w:hAnsi="仿宋" w:eastAsia="仿宋"/>
          <w:b w:val="0"/>
          <w:bCs/>
          <w:sz w:val="32"/>
          <w:szCs w:val="32"/>
        </w:rPr>
        <w:t>万元，完成预算</w:t>
      </w:r>
      <w:r>
        <w:rPr>
          <w:rStyle w:val="14"/>
          <w:rFonts w:ascii="仿宋" w:hAnsi="仿宋" w:eastAsia="仿宋"/>
          <w:b w:val="0"/>
          <w:bCs/>
          <w:sz w:val="32"/>
          <w:szCs w:val="32"/>
        </w:rPr>
        <w:t>100%</w:t>
      </w:r>
      <w:r>
        <w:rPr>
          <w:rStyle w:val="14"/>
          <w:rFonts w:hint="eastAsia" w:ascii="仿宋" w:hAnsi="仿宋" w:eastAsia="仿宋"/>
          <w:b w:val="0"/>
          <w:bCs/>
          <w:sz w:val="32"/>
          <w:szCs w:val="32"/>
        </w:rPr>
        <w:t>，决算数与预算数持平。</w:t>
      </w:r>
    </w:p>
    <w:p>
      <w:pPr>
        <w:pStyle w:val="2"/>
        <w:spacing w:before="93"/>
        <w:ind w:firstLine="640" w:firstLineChars="200"/>
        <w:rPr>
          <w:rStyle w:val="14"/>
          <w:rFonts w:ascii="仿宋" w:hAnsi="仿宋" w:eastAsia="仿宋"/>
          <w:b w:val="0"/>
          <w:bCs/>
          <w:sz w:val="32"/>
          <w:szCs w:val="32"/>
        </w:rPr>
      </w:pPr>
      <w:r>
        <w:rPr>
          <w:rStyle w:val="14"/>
          <w:rFonts w:ascii="仿宋" w:hAnsi="仿宋" w:eastAsia="仿宋"/>
          <w:b w:val="0"/>
          <w:sz w:val="32"/>
          <w:szCs w:val="32"/>
        </w:rPr>
        <w:t>8.</w:t>
      </w:r>
      <w:r>
        <w:rPr>
          <w:rStyle w:val="14"/>
          <w:rFonts w:hint="eastAsia" w:ascii="仿宋" w:hAnsi="仿宋" w:eastAsia="仿宋"/>
          <w:b w:val="0"/>
          <w:sz w:val="32"/>
          <w:szCs w:val="32"/>
        </w:rPr>
        <w:t>社会保障和就业（类）抚恤（款）其他优抚支出（项）</w:t>
      </w:r>
      <w:r>
        <w:rPr>
          <w:rStyle w:val="14"/>
          <w:rFonts w:ascii="仿宋" w:hAnsi="仿宋" w:eastAsia="仿宋"/>
          <w:b w:val="0"/>
          <w:sz w:val="32"/>
          <w:szCs w:val="32"/>
        </w:rPr>
        <w:t>:</w:t>
      </w:r>
      <w:r>
        <w:rPr>
          <w:rStyle w:val="14"/>
          <w:rFonts w:ascii="仿宋" w:hAnsi="仿宋" w:eastAsia="仿宋"/>
          <w:b w:val="0"/>
          <w:bCs/>
          <w:sz w:val="32"/>
          <w:szCs w:val="32"/>
        </w:rPr>
        <w:t xml:space="preserve"> </w:t>
      </w:r>
      <w:r>
        <w:rPr>
          <w:rStyle w:val="14"/>
          <w:rFonts w:hint="eastAsia" w:ascii="仿宋" w:hAnsi="仿宋" w:eastAsia="仿宋"/>
          <w:b w:val="0"/>
          <w:bCs/>
          <w:sz w:val="32"/>
          <w:szCs w:val="32"/>
        </w:rPr>
        <w:t>支出决算数为</w:t>
      </w:r>
      <w:r>
        <w:rPr>
          <w:rStyle w:val="14"/>
          <w:rFonts w:ascii="仿宋" w:hAnsi="仿宋" w:eastAsia="仿宋"/>
          <w:b w:val="0"/>
          <w:bCs/>
          <w:sz w:val="32"/>
          <w:szCs w:val="32"/>
        </w:rPr>
        <w:t>1.92</w:t>
      </w:r>
      <w:r>
        <w:rPr>
          <w:rStyle w:val="14"/>
          <w:rFonts w:hint="eastAsia" w:ascii="仿宋" w:hAnsi="仿宋" w:eastAsia="仿宋"/>
          <w:b w:val="0"/>
          <w:bCs/>
          <w:sz w:val="32"/>
          <w:szCs w:val="32"/>
        </w:rPr>
        <w:t>万元，完成预算</w:t>
      </w:r>
      <w:r>
        <w:rPr>
          <w:rStyle w:val="14"/>
          <w:rFonts w:ascii="仿宋" w:hAnsi="仿宋" w:eastAsia="仿宋"/>
          <w:b w:val="0"/>
          <w:bCs/>
          <w:sz w:val="32"/>
          <w:szCs w:val="32"/>
        </w:rPr>
        <w:t>100%</w:t>
      </w:r>
      <w:r>
        <w:rPr>
          <w:rStyle w:val="14"/>
          <w:rFonts w:hint="eastAsia" w:ascii="仿宋" w:hAnsi="仿宋" w:eastAsia="仿宋"/>
          <w:b w:val="0"/>
          <w:bCs/>
          <w:sz w:val="32"/>
          <w:szCs w:val="32"/>
        </w:rPr>
        <w:t>，决算数与预算数持平。</w:t>
      </w:r>
    </w:p>
    <w:p>
      <w:pPr>
        <w:pStyle w:val="2"/>
        <w:spacing w:before="93"/>
        <w:ind w:firstLine="640" w:firstLineChars="200"/>
      </w:pPr>
      <w:r>
        <w:rPr>
          <w:rStyle w:val="14"/>
          <w:rFonts w:ascii="仿宋" w:hAnsi="仿宋" w:eastAsia="仿宋"/>
          <w:b w:val="0"/>
          <w:sz w:val="32"/>
          <w:szCs w:val="32"/>
        </w:rPr>
        <w:t>9.</w:t>
      </w:r>
      <w:r>
        <w:rPr>
          <w:rStyle w:val="14"/>
          <w:rFonts w:hint="eastAsia" w:ascii="仿宋" w:hAnsi="仿宋" w:eastAsia="仿宋"/>
          <w:b w:val="0"/>
          <w:sz w:val="32"/>
          <w:szCs w:val="32"/>
        </w:rPr>
        <w:t>社会保障和就业（类）其他社会保障和就业支出（款）其他社会保障和就业支出（项）</w:t>
      </w:r>
      <w:r>
        <w:rPr>
          <w:rStyle w:val="14"/>
          <w:rFonts w:ascii="仿宋" w:hAnsi="仿宋" w:eastAsia="仿宋"/>
          <w:b w:val="0"/>
          <w:sz w:val="32"/>
          <w:szCs w:val="32"/>
        </w:rPr>
        <w:t>:</w:t>
      </w:r>
      <w:r>
        <w:rPr>
          <w:rStyle w:val="14"/>
          <w:rFonts w:ascii="仿宋" w:hAnsi="仿宋" w:eastAsia="仿宋"/>
          <w:b w:val="0"/>
          <w:bCs/>
          <w:sz w:val="32"/>
          <w:szCs w:val="32"/>
        </w:rPr>
        <w:t xml:space="preserve"> </w:t>
      </w:r>
      <w:r>
        <w:rPr>
          <w:rStyle w:val="14"/>
          <w:rFonts w:hint="eastAsia" w:ascii="仿宋" w:hAnsi="仿宋" w:eastAsia="仿宋"/>
          <w:b w:val="0"/>
          <w:bCs/>
          <w:sz w:val="32"/>
          <w:szCs w:val="32"/>
        </w:rPr>
        <w:t>支出决算数为</w:t>
      </w:r>
      <w:r>
        <w:rPr>
          <w:rStyle w:val="14"/>
          <w:rFonts w:ascii="仿宋" w:hAnsi="仿宋" w:eastAsia="仿宋"/>
          <w:b w:val="0"/>
          <w:bCs/>
          <w:sz w:val="32"/>
          <w:szCs w:val="32"/>
        </w:rPr>
        <w:t>1.57</w:t>
      </w:r>
      <w:r>
        <w:rPr>
          <w:rStyle w:val="14"/>
          <w:rFonts w:hint="eastAsia" w:ascii="仿宋" w:hAnsi="仿宋" w:eastAsia="仿宋"/>
          <w:b w:val="0"/>
          <w:bCs/>
          <w:sz w:val="32"/>
          <w:szCs w:val="32"/>
        </w:rPr>
        <w:t>万元，完成预算</w:t>
      </w:r>
      <w:r>
        <w:rPr>
          <w:rStyle w:val="14"/>
          <w:rFonts w:ascii="仿宋" w:hAnsi="仿宋" w:eastAsia="仿宋"/>
          <w:b w:val="0"/>
          <w:bCs/>
          <w:sz w:val="32"/>
          <w:szCs w:val="32"/>
        </w:rPr>
        <w:t>100%</w:t>
      </w:r>
      <w:r>
        <w:rPr>
          <w:rStyle w:val="14"/>
          <w:rFonts w:hint="eastAsia" w:ascii="仿宋" w:hAnsi="仿宋" w:eastAsia="仿宋"/>
          <w:b w:val="0"/>
          <w:bCs/>
          <w:sz w:val="32"/>
          <w:szCs w:val="32"/>
        </w:rPr>
        <w:t>，决算数与预算数持平。</w:t>
      </w:r>
    </w:p>
    <w:p>
      <w:pPr>
        <w:spacing w:line="600" w:lineRule="exact"/>
        <w:ind w:right="420" w:rightChars="200" w:firstLine="640" w:firstLineChars="200"/>
        <w:rPr>
          <w:rStyle w:val="14"/>
          <w:rFonts w:ascii="仿宋" w:hAnsi="仿宋" w:eastAsia="仿宋"/>
          <w:b w:val="0"/>
          <w:bCs/>
          <w:sz w:val="32"/>
          <w:szCs w:val="32"/>
        </w:rPr>
      </w:pPr>
      <w:r>
        <w:rPr>
          <w:rStyle w:val="14"/>
          <w:rFonts w:ascii="仿宋" w:hAnsi="仿宋" w:eastAsia="仿宋"/>
          <w:b w:val="0"/>
          <w:sz w:val="32"/>
          <w:szCs w:val="32"/>
        </w:rPr>
        <w:t>10.</w:t>
      </w:r>
      <w:r>
        <w:rPr>
          <w:rFonts w:hint="eastAsia" w:ascii="仿宋" w:hAnsi="仿宋" w:eastAsia="仿宋"/>
          <w:bCs/>
          <w:sz w:val="32"/>
          <w:szCs w:val="32"/>
        </w:rPr>
        <w:t>卫生健康支出</w:t>
      </w:r>
      <w:r>
        <w:rPr>
          <w:rStyle w:val="14"/>
          <w:rFonts w:hint="eastAsia" w:ascii="仿宋" w:hAnsi="仿宋" w:eastAsia="仿宋"/>
          <w:b w:val="0"/>
          <w:sz w:val="32"/>
          <w:szCs w:val="32"/>
        </w:rPr>
        <w:t>（类）行政事业单位医疗（款）行政单位医疗（项）</w:t>
      </w:r>
      <w:r>
        <w:rPr>
          <w:rStyle w:val="14"/>
          <w:rFonts w:ascii="仿宋" w:hAnsi="仿宋" w:eastAsia="仿宋"/>
          <w:b w:val="0"/>
          <w:sz w:val="32"/>
          <w:szCs w:val="32"/>
        </w:rPr>
        <w:t>:</w:t>
      </w:r>
      <w:r>
        <w:rPr>
          <w:rStyle w:val="14"/>
          <w:rFonts w:hint="eastAsia" w:ascii="仿宋" w:hAnsi="仿宋" w:eastAsia="仿宋"/>
          <w:b w:val="0"/>
          <w:bCs/>
          <w:sz w:val="32"/>
          <w:szCs w:val="32"/>
        </w:rPr>
        <w:t>支出决算数为</w:t>
      </w:r>
      <w:r>
        <w:rPr>
          <w:rStyle w:val="14"/>
          <w:rFonts w:ascii="仿宋" w:hAnsi="仿宋" w:eastAsia="仿宋"/>
          <w:b w:val="0"/>
          <w:bCs/>
          <w:sz w:val="32"/>
          <w:szCs w:val="32"/>
        </w:rPr>
        <w:t>11.32</w:t>
      </w:r>
      <w:r>
        <w:rPr>
          <w:rStyle w:val="14"/>
          <w:rFonts w:hint="eastAsia" w:ascii="仿宋" w:hAnsi="仿宋" w:eastAsia="仿宋"/>
          <w:b w:val="0"/>
          <w:bCs/>
          <w:sz w:val="32"/>
          <w:szCs w:val="32"/>
        </w:rPr>
        <w:t>万元，完成预算</w:t>
      </w:r>
      <w:r>
        <w:rPr>
          <w:rStyle w:val="14"/>
          <w:rFonts w:ascii="仿宋" w:hAnsi="仿宋" w:eastAsia="仿宋"/>
          <w:b w:val="0"/>
          <w:bCs/>
          <w:sz w:val="32"/>
          <w:szCs w:val="32"/>
        </w:rPr>
        <w:t>100%</w:t>
      </w:r>
      <w:r>
        <w:rPr>
          <w:rStyle w:val="14"/>
          <w:rFonts w:hint="eastAsia" w:ascii="仿宋" w:hAnsi="仿宋" w:eastAsia="仿宋"/>
          <w:b w:val="0"/>
          <w:bCs/>
          <w:sz w:val="32"/>
          <w:szCs w:val="32"/>
        </w:rPr>
        <w:t>，决算数与预算数持平。</w:t>
      </w:r>
    </w:p>
    <w:p>
      <w:pPr>
        <w:spacing w:line="600" w:lineRule="exact"/>
        <w:ind w:right="420" w:rightChars="200" w:firstLine="640" w:firstLineChars="200"/>
        <w:rPr>
          <w:rFonts w:ascii="仿宋" w:hAnsi="仿宋" w:eastAsia="仿宋"/>
          <w:b/>
          <w:sz w:val="32"/>
          <w:szCs w:val="32"/>
        </w:rPr>
      </w:pPr>
      <w:r>
        <w:rPr>
          <w:rStyle w:val="14"/>
          <w:rFonts w:ascii="仿宋" w:hAnsi="仿宋" w:eastAsia="仿宋"/>
          <w:b w:val="0"/>
          <w:sz w:val="32"/>
          <w:szCs w:val="32"/>
        </w:rPr>
        <w:t>11.</w:t>
      </w:r>
      <w:r>
        <w:rPr>
          <w:rFonts w:hint="eastAsia" w:ascii="仿宋" w:hAnsi="仿宋" w:eastAsia="仿宋"/>
          <w:bCs/>
          <w:sz w:val="32"/>
          <w:szCs w:val="32"/>
        </w:rPr>
        <w:t>卫生健康支出</w:t>
      </w:r>
      <w:r>
        <w:rPr>
          <w:rStyle w:val="14"/>
          <w:rFonts w:hint="eastAsia" w:ascii="仿宋" w:hAnsi="仿宋" w:eastAsia="仿宋"/>
          <w:b w:val="0"/>
          <w:sz w:val="32"/>
          <w:szCs w:val="32"/>
        </w:rPr>
        <w:t>（类）行政事业单位医疗（款）事业单位医疗（项）</w:t>
      </w:r>
      <w:r>
        <w:rPr>
          <w:rStyle w:val="14"/>
          <w:rFonts w:ascii="仿宋" w:hAnsi="仿宋" w:eastAsia="仿宋"/>
          <w:b w:val="0"/>
          <w:sz w:val="32"/>
          <w:szCs w:val="32"/>
        </w:rPr>
        <w:t>:</w:t>
      </w:r>
      <w:r>
        <w:rPr>
          <w:rStyle w:val="14"/>
          <w:rFonts w:hint="eastAsia" w:ascii="仿宋" w:hAnsi="仿宋" w:eastAsia="仿宋"/>
          <w:b w:val="0"/>
          <w:bCs/>
          <w:sz w:val="32"/>
          <w:szCs w:val="32"/>
        </w:rPr>
        <w:t>支出决算数为</w:t>
      </w:r>
      <w:r>
        <w:rPr>
          <w:rStyle w:val="14"/>
          <w:rFonts w:ascii="仿宋" w:hAnsi="仿宋" w:eastAsia="仿宋"/>
          <w:b w:val="0"/>
          <w:bCs/>
          <w:sz w:val="32"/>
          <w:szCs w:val="32"/>
        </w:rPr>
        <w:t>4.09</w:t>
      </w:r>
      <w:r>
        <w:rPr>
          <w:rStyle w:val="14"/>
          <w:rFonts w:hint="eastAsia" w:ascii="仿宋" w:hAnsi="仿宋" w:eastAsia="仿宋"/>
          <w:b w:val="0"/>
          <w:bCs/>
          <w:sz w:val="32"/>
          <w:szCs w:val="32"/>
        </w:rPr>
        <w:t>万元，完成预算</w:t>
      </w:r>
      <w:r>
        <w:rPr>
          <w:rStyle w:val="14"/>
          <w:rFonts w:ascii="仿宋" w:hAnsi="仿宋" w:eastAsia="仿宋"/>
          <w:b w:val="0"/>
          <w:bCs/>
          <w:sz w:val="32"/>
          <w:szCs w:val="32"/>
        </w:rPr>
        <w:t>100%</w:t>
      </w:r>
      <w:r>
        <w:rPr>
          <w:rStyle w:val="14"/>
          <w:rFonts w:hint="eastAsia" w:ascii="仿宋" w:hAnsi="仿宋" w:eastAsia="仿宋"/>
          <w:b w:val="0"/>
          <w:bCs/>
          <w:sz w:val="32"/>
          <w:szCs w:val="32"/>
        </w:rPr>
        <w:t>，决算数与预算数持平。</w:t>
      </w:r>
    </w:p>
    <w:p>
      <w:pPr>
        <w:pStyle w:val="2"/>
        <w:spacing w:before="93"/>
        <w:ind w:right="420" w:rightChars="200"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sz w:val="32"/>
          <w:szCs w:val="32"/>
        </w:rPr>
        <w:t>住房保障（类）住房改革（款）住房公积金（项）:支出决算数为</w:t>
      </w:r>
      <w:r>
        <w:rPr>
          <w:rFonts w:ascii="仿宋" w:hAnsi="仿宋" w:eastAsia="仿宋"/>
          <w:sz w:val="32"/>
          <w:szCs w:val="32"/>
        </w:rPr>
        <w:t>52.87</w:t>
      </w:r>
      <w:r>
        <w:rPr>
          <w:rFonts w:hint="eastAsia" w:ascii="仿宋" w:hAnsi="仿宋" w:eastAsia="仿宋"/>
          <w:sz w:val="32"/>
          <w:szCs w:val="32"/>
        </w:rPr>
        <w:t>万元，完成预算100%，决算数与预算数持平。</w:t>
      </w:r>
    </w:p>
    <w:p>
      <w:pPr>
        <w:pStyle w:val="2"/>
        <w:spacing w:before="93"/>
        <w:ind w:firstLine="645"/>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3</w:t>
      </w:r>
      <w:r>
        <w:rPr>
          <w:rFonts w:hint="eastAsia" w:ascii="仿宋" w:hAnsi="仿宋" w:eastAsia="仿宋"/>
          <w:sz w:val="32"/>
          <w:szCs w:val="32"/>
        </w:rPr>
        <w:t>．灾害防治及应急管理支出（类）应急管理事务（款）行政运行（项）:支出决算数为</w:t>
      </w:r>
      <w:r>
        <w:rPr>
          <w:rFonts w:ascii="仿宋" w:hAnsi="仿宋" w:eastAsia="仿宋"/>
          <w:sz w:val="32"/>
          <w:szCs w:val="32"/>
        </w:rPr>
        <w:t>578.84</w:t>
      </w:r>
      <w:r>
        <w:rPr>
          <w:rFonts w:hint="eastAsia" w:ascii="仿宋" w:hAnsi="仿宋" w:eastAsia="仿宋"/>
          <w:sz w:val="32"/>
          <w:szCs w:val="32"/>
        </w:rPr>
        <w:t>万元，完成预算100%，决算数与预算数持平。</w:t>
      </w:r>
    </w:p>
    <w:p>
      <w:pPr>
        <w:pStyle w:val="2"/>
        <w:spacing w:before="93"/>
        <w:ind w:firstLine="645"/>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r>
        <w:rPr>
          <w:rFonts w:hint="eastAsia" w:ascii="仿宋" w:hAnsi="仿宋" w:eastAsia="仿宋"/>
          <w:sz w:val="32"/>
          <w:szCs w:val="32"/>
        </w:rPr>
        <w:t>．灾害防治及应急管理支出（类）应急管理事务（款）应急救援（项）:支出决算数为</w:t>
      </w:r>
      <w:r>
        <w:rPr>
          <w:rFonts w:ascii="仿宋" w:hAnsi="仿宋" w:eastAsia="仿宋"/>
          <w:sz w:val="32"/>
          <w:szCs w:val="32"/>
        </w:rPr>
        <w:t>49.2</w:t>
      </w:r>
      <w:r>
        <w:rPr>
          <w:rFonts w:hint="eastAsia" w:ascii="仿宋" w:hAnsi="仿宋" w:eastAsia="仿宋"/>
          <w:sz w:val="32"/>
          <w:szCs w:val="32"/>
        </w:rPr>
        <w:t>万元，完成预算100%，决算数与预算数持平。</w:t>
      </w:r>
    </w:p>
    <w:p>
      <w:pPr>
        <w:pStyle w:val="2"/>
        <w:spacing w:before="93"/>
        <w:ind w:firstLine="645"/>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5</w:t>
      </w:r>
      <w:r>
        <w:rPr>
          <w:rFonts w:hint="eastAsia" w:ascii="仿宋" w:hAnsi="仿宋" w:eastAsia="仿宋"/>
          <w:sz w:val="32"/>
          <w:szCs w:val="32"/>
        </w:rPr>
        <w:t>．灾害防治及应急管理支出（类）应急管理事务（款）应急管理（项）:支出决算数为</w:t>
      </w:r>
      <w:r>
        <w:rPr>
          <w:rFonts w:ascii="仿宋" w:hAnsi="仿宋" w:eastAsia="仿宋"/>
          <w:sz w:val="32"/>
          <w:szCs w:val="32"/>
        </w:rPr>
        <w:t>1.77</w:t>
      </w:r>
      <w:r>
        <w:rPr>
          <w:rFonts w:hint="eastAsia" w:ascii="仿宋" w:hAnsi="仿宋" w:eastAsia="仿宋"/>
          <w:sz w:val="32"/>
          <w:szCs w:val="32"/>
        </w:rPr>
        <w:t>万元，完成预算100%，决算数与预算数持平。</w:t>
      </w:r>
    </w:p>
    <w:p>
      <w:pPr>
        <w:pStyle w:val="2"/>
        <w:spacing w:before="93"/>
        <w:ind w:firstLine="645"/>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6</w:t>
      </w:r>
      <w:r>
        <w:rPr>
          <w:rFonts w:hint="eastAsia" w:ascii="仿宋" w:hAnsi="仿宋" w:eastAsia="仿宋"/>
          <w:sz w:val="32"/>
          <w:szCs w:val="32"/>
        </w:rPr>
        <w:t>．灾害防治及应急管理支出（类）应急管理事务（款）事业运行（项）:支出决算数为</w:t>
      </w:r>
      <w:r>
        <w:rPr>
          <w:rFonts w:ascii="仿宋" w:hAnsi="仿宋" w:eastAsia="仿宋"/>
          <w:sz w:val="32"/>
          <w:szCs w:val="32"/>
        </w:rPr>
        <w:t>106.21</w:t>
      </w:r>
      <w:r>
        <w:rPr>
          <w:rFonts w:hint="eastAsia" w:ascii="仿宋" w:hAnsi="仿宋" w:eastAsia="仿宋"/>
          <w:sz w:val="32"/>
          <w:szCs w:val="32"/>
        </w:rPr>
        <w:t>万元，完成预算100%，决算数与预算数持平。</w:t>
      </w:r>
    </w:p>
    <w:p>
      <w:pPr>
        <w:pStyle w:val="2"/>
        <w:spacing w:before="93"/>
        <w:ind w:firstLine="645"/>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7</w:t>
      </w:r>
      <w:r>
        <w:rPr>
          <w:rFonts w:hint="eastAsia" w:ascii="仿宋" w:hAnsi="仿宋" w:eastAsia="仿宋"/>
          <w:sz w:val="32"/>
          <w:szCs w:val="32"/>
        </w:rPr>
        <w:t>．灾害防治及应急管理支出（类）应急管理事务（款）其他应急管理支出（项）:支出决算数为</w:t>
      </w:r>
      <w:r>
        <w:rPr>
          <w:rFonts w:ascii="仿宋" w:hAnsi="仿宋" w:eastAsia="仿宋"/>
          <w:sz w:val="32"/>
          <w:szCs w:val="32"/>
        </w:rPr>
        <w:t>106.88</w:t>
      </w:r>
      <w:r>
        <w:rPr>
          <w:rFonts w:hint="eastAsia" w:ascii="仿宋" w:hAnsi="仿宋" w:eastAsia="仿宋"/>
          <w:sz w:val="32"/>
          <w:szCs w:val="32"/>
        </w:rPr>
        <w:t>万元，完成预算100%，决算数与预算数持平。</w:t>
      </w:r>
    </w:p>
    <w:p>
      <w:pPr>
        <w:pStyle w:val="2"/>
        <w:spacing w:before="93"/>
        <w:ind w:firstLine="645"/>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8</w:t>
      </w:r>
      <w:r>
        <w:rPr>
          <w:rFonts w:hint="eastAsia" w:ascii="仿宋" w:hAnsi="仿宋" w:eastAsia="仿宋"/>
          <w:sz w:val="32"/>
          <w:szCs w:val="32"/>
        </w:rPr>
        <w:t>．灾害防治及应急管理支出（类）自然灾害救灾及恢复重建支出（款）自然灾害救灾补助（项）:支出决算数为</w:t>
      </w:r>
      <w:r>
        <w:rPr>
          <w:rFonts w:ascii="仿宋" w:hAnsi="仿宋" w:eastAsia="仿宋"/>
          <w:sz w:val="32"/>
          <w:szCs w:val="32"/>
        </w:rPr>
        <w:t>115.02</w:t>
      </w:r>
      <w:r>
        <w:rPr>
          <w:rFonts w:hint="eastAsia" w:ascii="仿宋" w:hAnsi="仿宋" w:eastAsia="仿宋"/>
          <w:sz w:val="32"/>
          <w:szCs w:val="32"/>
        </w:rPr>
        <w:t>万元，完成预算100%，决算数与预算数持平。</w:t>
      </w:r>
    </w:p>
    <w:p>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1-1表和财决08表，仅罗列本单位涉及的全部功能分类科目，至项级。上述“预算”口径为全年预算数。增减变动原因为决算数</w:t>
      </w:r>
      <w:r>
        <w:rPr>
          <w:rFonts w:ascii="仿宋" w:hAnsi="仿宋" w:eastAsia="仿宋"/>
          <w:b/>
          <w:sz w:val="32"/>
          <w:szCs w:val="32"/>
        </w:rPr>
        <w:t>&lt;</w:t>
      </w:r>
      <w:r>
        <w:rPr>
          <w:rFonts w:hint="eastAsia" w:ascii="仿宋" w:hAnsi="仿宋" w:eastAsia="仿宋"/>
          <w:b/>
          <w:sz w:val="32"/>
          <w:szCs w:val="32"/>
        </w:rPr>
        <w:t>项级</w:t>
      </w:r>
      <w:r>
        <w:rPr>
          <w:rFonts w:ascii="仿宋" w:hAnsi="仿宋" w:eastAsia="仿宋"/>
          <w:b/>
          <w:sz w:val="32"/>
          <w:szCs w:val="32"/>
        </w:rPr>
        <w:t>&gt;</w:t>
      </w:r>
      <w:r>
        <w:rPr>
          <w:rFonts w:hint="eastAsia" w:ascii="仿宋" w:hAnsi="仿宋" w:eastAsia="仿宋"/>
          <w:b/>
          <w:sz w:val="32"/>
          <w:szCs w:val="32"/>
        </w:rPr>
        <w:t>和全年预算数</w:t>
      </w:r>
      <w:r>
        <w:rPr>
          <w:rFonts w:ascii="仿宋" w:hAnsi="仿宋" w:eastAsia="仿宋"/>
          <w:b/>
          <w:sz w:val="32"/>
          <w:szCs w:val="32"/>
        </w:rPr>
        <w:t>&lt;</w:t>
      </w:r>
      <w:r>
        <w:rPr>
          <w:rFonts w:hint="eastAsia" w:ascii="仿宋" w:hAnsi="仿宋" w:eastAsia="仿宋"/>
          <w:b/>
          <w:sz w:val="32"/>
          <w:szCs w:val="32"/>
        </w:rPr>
        <w:t>项级</w:t>
      </w:r>
      <w:r>
        <w:rPr>
          <w:rFonts w:ascii="仿宋" w:hAnsi="仿宋" w:eastAsia="仿宋"/>
          <w:b/>
          <w:sz w:val="32"/>
          <w:szCs w:val="32"/>
        </w:rPr>
        <w:t>&gt;</w:t>
      </w:r>
      <w:r>
        <w:rPr>
          <w:rFonts w:hint="eastAsia" w:ascii="仿宋" w:hAnsi="仿宋" w:eastAsia="仿宋"/>
          <w:b/>
          <w:sz w:val="32"/>
          <w:szCs w:val="32"/>
        </w:rPr>
        <w:t>比较，与预算数持平可以不写原因。）</w:t>
      </w:r>
    </w:p>
    <w:p>
      <w:pPr>
        <w:spacing w:line="600" w:lineRule="exact"/>
        <w:ind w:firstLine="640"/>
        <w:rPr>
          <w:rFonts w:ascii="仿宋" w:hAnsi="仿宋" w:eastAsia="仿宋"/>
          <w:b/>
          <w:sz w:val="32"/>
          <w:szCs w:val="32"/>
        </w:rPr>
      </w:pPr>
    </w:p>
    <w:p>
      <w:pPr>
        <w:tabs>
          <w:tab w:val="right" w:pos="8306"/>
        </w:tabs>
        <w:spacing w:line="600" w:lineRule="exact"/>
        <w:ind w:firstLine="640"/>
        <w:outlineLvl w:val="1"/>
        <w:rPr>
          <w:rStyle w:val="25"/>
        </w:rPr>
      </w:pPr>
      <w:bookmarkStart w:id="36" w:name="_Toc15396608"/>
      <w:bookmarkStart w:id="37"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5"/>
          <w:rFonts w:hint="eastAsia" w:ascii="黑体" w:hAnsi="黑体" w:eastAsia="黑体"/>
          <w:b w:val="0"/>
        </w:rPr>
        <w:t>般公共预算财政拨款基本支出决算情况说明</w:t>
      </w:r>
      <w:bookmarkEnd w:id="36"/>
      <w:bookmarkEnd w:id="37"/>
      <w:r>
        <w:rPr>
          <w:rStyle w:val="25"/>
          <w:rFonts w:ascii="黑体" w:hAnsi="黑体" w:eastAsia="黑体"/>
          <w:b w:val="0"/>
        </w:rPr>
        <w:tab/>
      </w:r>
    </w:p>
    <w:p>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22年一般公共预算财政拨款基本支出</w:t>
      </w:r>
      <w:r>
        <w:rPr>
          <w:rFonts w:ascii="仿宋" w:hAnsi="仿宋" w:eastAsia="仿宋"/>
          <w:sz w:val="32"/>
          <w:szCs w:val="32"/>
        </w:rPr>
        <w:t>855.97</w:t>
      </w:r>
      <w:r>
        <w:rPr>
          <w:rFonts w:hint="eastAsia" w:ascii="仿宋" w:hAnsi="仿宋" w:eastAsia="仿宋"/>
          <w:sz w:val="32"/>
          <w:szCs w:val="32"/>
        </w:rPr>
        <w:t>万元，其中：</w:t>
      </w:r>
    </w:p>
    <w:p>
      <w:pPr>
        <w:spacing w:line="600" w:lineRule="exact"/>
        <w:ind w:firstLine="645"/>
        <w:rPr>
          <w:rFonts w:ascii="仿宋" w:hAnsi="仿宋" w:eastAsia="仿宋"/>
          <w:sz w:val="32"/>
          <w:szCs w:val="32"/>
        </w:rPr>
      </w:pPr>
      <w:r>
        <w:rPr>
          <w:rFonts w:hint="eastAsia" w:ascii="仿宋" w:hAnsi="仿宋" w:eastAsia="仿宋"/>
          <w:sz w:val="32"/>
          <w:szCs w:val="32"/>
        </w:rPr>
        <w:t>人员经费</w:t>
      </w:r>
      <w:r>
        <w:rPr>
          <w:rFonts w:ascii="仿宋" w:hAnsi="仿宋" w:eastAsia="仿宋"/>
          <w:sz w:val="32"/>
          <w:szCs w:val="32"/>
        </w:rPr>
        <w:t>707.36</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rFonts w:ascii="仿宋" w:hAnsi="仿宋" w:eastAsia="仿宋"/>
          <w:sz w:val="32"/>
          <w:szCs w:val="32"/>
        </w:rPr>
        <w:t>148.61</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7表和财决08-1表，仅罗列本单位实际支出涉及的经济分类科目。）</w:t>
      </w:r>
    </w:p>
    <w:p>
      <w:pPr>
        <w:spacing w:line="600" w:lineRule="exact"/>
        <w:ind w:firstLine="640"/>
        <w:rPr>
          <w:rFonts w:ascii="仿宋" w:hAnsi="仿宋" w:eastAsia="仿宋"/>
          <w:b/>
          <w:sz w:val="32"/>
          <w:szCs w:val="32"/>
        </w:rPr>
      </w:pPr>
    </w:p>
    <w:p>
      <w:pPr>
        <w:spacing w:line="600" w:lineRule="exact"/>
        <w:ind w:firstLine="640"/>
        <w:outlineLvl w:val="1"/>
        <w:rPr>
          <w:rStyle w:val="25"/>
          <w:rFonts w:ascii="黑体" w:hAnsi="黑体" w:eastAsia="黑体"/>
          <w:b w:val="0"/>
        </w:rPr>
      </w:pPr>
      <w:bookmarkStart w:id="38" w:name="_Toc15396609"/>
      <w:bookmarkStart w:id="39" w:name="_Toc15377215"/>
      <w:r>
        <w:rPr>
          <w:rFonts w:hint="eastAsia" w:ascii="黑体" w:eastAsia="黑体"/>
          <w:sz w:val="32"/>
          <w:szCs w:val="32"/>
        </w:rPr>
        <w:t>七、</w:t>
      </w:r>
      <w:r>
        <w:rPr>
          <w:rStyle w:val="25"/>
          <w:rFonts w:hint="eastAsia" w:ascii="黑体" w:hAnsi="黑体" w:eastAsia="黑体"/>
          <w:b w:val="0"/>
        </w:rPr>
        <w:t>财政拨款</w:t>
      </w:r>
      <w:r>
        <w:rPr>
          <w:rStyle w:val="25"/>
          <w:rFonts w:hint="eastAsia" w:ascii="黑体" w:hAnsi="黑体" w:eastAsia="黑体"/>
        </w:rPr>
        <w:t>“</w:t>
      </w:r>
      <w:r>
        <w:rPr>
          <w:rStyle w:val="25"/>
          <w:rFonts w:hint="eastAsia" w:ascii="黑体" w:hAnsi="黑体" w:eastAsia="黑体"/>
          <w:b w:val="0"/>
        </w:rPr>
        <w:t>三公”经费支出决算情况说明</w:t>
      </w:r>
      <w:bookmarkEnd w:id="38"/>
      <w:bookmarkEnd w:id="39"/>
    </w:p>
    <w:p>
      <w:pPr>
        <w:spacing w:line="600" w:lineRule="exact"/>
        <w:ind w:firstLine="640"/>
        <w:outlineLvl w:val="2"/>
        <w:rPr>
          <w:rFonts w:ascii="仿宋" w:hAnsi="仿宋" w:eastAsia="仿宋"/>
          <w:b/>
          <w:sz w:val="32"/>
          <w:szCs w:val="32"/>
        </w:rPr>
      </w:pPr>
      <w:bookmarkStart w:id="40" w:name="_Toc15377216"/>
      <w:r>
        <w:rPr>
          <w:rFonts w:hint="eastAsia" w:ascii="仿宋" w:hAnsi="仿宋" w:eastAsia="仿宋"/>
          <w:b/>
          <w:sz w:val="32"/>
          <w:szCs w:val="32"/>
        </w:rPr>
        <w:t>（一）“三公”经费财政拨款支出决算总体情况说明</w:t>
      </w:r>
      <w:bookmarkEnd w:id="40"/>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22年“三公”经费财政拨款支出决算为</w:t>
      </w:r>
      <w:r>
        <w:rPr>
          <w:rFonts w:ascii="仿宋" w:hAnsi="仿宋" w:eastAsia="仿宋"/>
          <w:sz w:val="32"/>
          <w:szCs w:val="32"/>
        </w:rPr>
        <w:t>6.8</w:t>
      </w:r>
      <w:r>
        <w:rPr>
          <w:rFonts w:hint="eastAsia" w:ascii="仿宋" w:hAnsi="仿宋" w:eastAsia="仿宋"/>
          <w:sz w:val="32"/>
          <w:szCs w:val="32"/>
        </w:rPr>
        <w:t>万元，完成预算</w:t>
      </w:r>
      <w:r>
        <w:rPr>
          <w:rFonts w:ascii="仿宋" w:hAnsi="仿宋" w:eastAsia="仿宋"/>
          <w:sz w:val="32"/>
          <w:szCs w:val="32"/>
        </w:rPr>
        <w:t>100%</w:t>
      </w:r>
      <w:r>
        <w:rPr>
          <w:rFonts w:hint="eastAsia" w:ascii="仿宋" w:hAnsi="仿宋" w:eastAsia="仿宋"/>
          <w:sz w:val="32"/>
          <w:szCs w:val="32"/>
        </w:rPr>
        <w:t>，较上年减少</w:t>
      </w:r>
      <w:r>
        <w:rPr>
          <w:rFonts w:ascii="仿宋" w:hAnsi="仿宋" w:eastAsia="仿宋"/>
          <w:sz w:val="32"/>
          <w:szCs w:val="32"/>
        </w:rPr>
        <w:t>3.36</w:t>
      </w:r>
      <w:r>
        <w:rPr>
          <w:rFonts w:hint="eastAsia" w:ascii="仿宋" w:hAnsi="仿宋" w:eastAsia="仿宋"/>
          <w:sz w:val="32"/>
          <w:szCs w:val="32"/>
        </w:rPr>
        <w:t>万元，下降</w:t>
      </w:r>
      <w:r>
        <w:rPr>
          <w:rFonts w:ascii="仿宋" w:hAnsi="仿宋" w:eastAsia="仿宋"/>
          <w:sz w:val="32"/>
          <w:szCs w:val="32"/>
        </w:rPr>
        <w:t>33.07</w:t>
      </w:r>
      <w:r>
        <w:rPr>
          <w:rFonts w:hint="eastAsia" w:ascii="仿宋" w:hAnsi="仿宋" w:eastAsia="仿宋"/>
          <w:sz w:val="32"/>
          <w:szCs w:val="32"/>
        </w:rPr>
        <w:t>%。按财政要求压减三公经费支出。</w:t>
      </w:r>
    </w:p>
    <w:p>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pPr>
        <w:spacing w:line="600" w:lineRule="exact"/>
        <w:ind w:firstLine="640"/>
        <w:outlineLvl w:val="2"/>
        <w:rPr>
          <w:rFonts w:ascii="仿宋" w:hAnsi="仿宋" w:eastAsia="仿宋"/>
          <w:b/>
          <w:sz w:val="32"/>
          <w:szCs w:val="32"/>
        </w:rPr>
      </w:pPr>
      <w:bookmarkStart w:id="41" w:name="_Toc15377217"/>
      <w:r>
        <w:rPr>
          <w:rFonts w:hint="eastAsia" w:ascii="仿宋" w:hAnsi="仿宋" w:eastAsia="仿宋"/>
          <w:b/>
          <w:sz w:val="32"/>
          <w:szCs w:val="32"/>
        </w:rPr>
        <w:t>（二）“三公”经费财政拨款支出决算具体情况说明</w:t>
      </w:r>
      <w:bookmarkEnd w:id="41"/>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22年“三公”经费财政拨款支出决算中，因公出国（境）费支出决算</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；公务用车购置及运行维护费支出决算</w:t>
      </w:r>
      <w:r>
        <w:rPr>
          <w:rFonts w:ascii="仿宋" w:hAnsi="仿宋" w:eastAsia="仿宋"/>
          <w:sz w:val="32"/>
          <w:szCs w:val="32"/>
        </w:rPr>
        <w:t>6.74</w:t>
      </w:r>
      <w:r>
        <w:rPr>
          <w:rFonts w:hint="eastAsia" w:ascii="仿宋" w:hAnsi="仿宋" w:eastAsia="仿宋"/>
          <w:sz w:val="32"/>
          <w:szCs w:val="32"/>
        </w:rPr>
        <w:t>万元，占</w:t>
      </w:r>
      <w:r>
        <w:rPr>
          <w:rFonts w:ascii="仿宋" w:hAnsi="仿宋" w:eastAsia="仿宋"/>
          <w:sz w:val="32"/>
          <w:szCs w:val="32"/>
        </w:rPr>
        <w:t>99.12%</w:t>
      </w:r>
      <w:r>
        <w:rPr>
          <w:rFonts w:hint="eastAsia" w:ascii="仿宋" w:hAnsi="仿宋" w:eastAsia="仿宋"/>
          <w:sz w:val="32"/>
          <w:szCs w:val="32"/>
        </w:rPr>
        <w:t>；公务接待费支出决算</w:t>
      </w:r>
      <w:r>
        <w:rPr>
          <w:rFonts w:ascii="仿宋" w:hAnsi="仿宋" w:eastAsia="仿宋"/>
          <w:sz w:val="32"/>
          <w:szCs w:val="32"/>
        </w:rPr>
        <w:t>0.06</w:t>
      </w:r>
      <w:r>
        <w:rPr>
          <w:rFonts w:hint="eastAsia" w:ascii="仿宋" w:hAnsi="仿宋" w:eastAsia="仿宋"/>
          <w:sz w:val="32"/>
          <w:szCs w:val="32"/>
        </w:rPr>
        <w:t>万元，占</w:t>
      </w:r>
      <w:r>
        <w:rPr>
          <w:rFonts w:ascii="仿宋" w:hAnsi="仿宋" w:eastAsia="仿宋"/>
          <w:sz w:val="32"/>
          <w:szCs w:val="32"/>
        </w:rPr>
        <w:t>0.88%</w:t>
      </w:r>
      <w:r>
        <w:rPr>
          <w:rFonts w:hint="eastAsia" w:ascii="仿宋" w:hAnsi="仿宋" w:eastAsia="仿宋"/>
          <w:sz w:val="32"/>
          <w:szCs w:val="32"/>
        </w:rPr>
        <w:t>。具体情况如下：</w:t>
      </w:r>
    </w:p>
    <w:p>
      <w:pPr>
        <w:pStyle w:val="2"/>
        <w:spacing w:before="93"/>
      </w:pPr>
    </w:p>
    <w:p>
      <w:pPr>
        <w:pStyle w:val="2"/>
        <w:spacing w:before="93"/>
        <w:ind w:left="300" w:hanging="300" w:hangingChars="100"/>
      </w:pPr>
      <w:r>
        <w:rPr>
          <w:rFonts w:hint="eastAsia"/>
        </w:rPr>
        <w:t xml:space="preserve"> </w:t>
      </w:r>
      <w:r>
        <w:t xml:space="preserve">   </w:t>
      </w:r>
      <w:r>
        <w:drawing>
          <wp:inline distT="0" distB="0" distL="0" distR="0">
            <wp:extent cx="5010150" cy="39719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010150" cy="3971925"/>
                    </a:xfrm>
                    <a:prstGeom prst="rect">
                      <a:avLst/>
                    </a:prstGeom>
                  </pic:spPr>
                </pic:pic>
              </a:graphicData>
            </a:graphic>
          </wp:inline>
        </w:drawing>
      </w:r>
    </w:p>
    <w:p>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pPr>
        <w:spacing w:line="600" w:lineRule="exact"/>
        <w:ind w:firstLine="640"/>
        <w:rPr>
          <w:rFonts w:ascii="仿宋" w:hAnsi="仿宋" w:eastAsia="仿宋"/>
          <w:b/>
          <w:sz w:val="32"/>
          <w:szCs w:val="32"/>
        </w:rPr>
      </w:pPr>
      <w:r>
        <w:rPr>
          <w:rFonts w:ascii="仿宋" w:hAnsi="仿宋" w:eastAsia="仿宋"/>
          <w:bCs/>
          <w:sz w:val="32"/>
          <w:szCs w:val="32"/>
        </w:rPr>
        <w:t>1.</w:t>
      </w:r>
      <w:r>
        <w:rPr>
          <w:rFonts w:hint="eastAsia" w:ascii="仿宋" w:hAnsi="仿宋" w:eastAsia="仿宋"/>
          <w:bCs/>
          <w:sz w:val="32"/>
          <w:szCs w:val="32"/>
        </w:rPr>
        <w:t>因公出国（境）经费支出</w:t>
      </w:r>
      <w:r>
        <w:rPr>
          <w:rFonts w:ascii="仿宋" w:hAnsi="仿宋" w:eastAsia="仿宋"/>
          <w:bCs/>
          <w:sz w:val="32"/>
          <w:szCs w:val="32"/>
        </w:rPr>
        <w:t>0</w:t>
      </w:r>
      <w:r>
        <w:rPr>
          <w:rFonts w:hint="eastAsia" w:ascii="仿宋" w:hAnsi="仿宋" w:eastAsia="仿宋"/>
          <w:sz w:val="32"/>
          <w:szCs w:val="32"/>
        </w:rPr>
        <w:t>万元，</w:t>
      </w:r>
      <w:r>
        <w:rPr>
          <w:rStyle w:val="14"/>
          <w:rFonts w:hint="eastAsia" w:ascii="仿宋" w:hAnsi="仿宋" w:eastAsia="仿宋"/>
          <w:b w:val="0"/>
          <w:bCs/>
          <w:sz w:val="32"/>
          <w:szCs w:val="32"/>
        </w:rPr>
        <w:t>完成预算</w:t>
      </w:r>
      <w:r>
        <w:rPr>
          <w:rStyle w:val="14"/>
          <w:rFonts w:ascii="仿宋" w:hAnsi="仿宋" w:eastAsia="仿宋"/>
          <w:b w:val="0"/>
          <w:bCs/>
          <w:sz w:val="32"/>
          <w:szCs w:val="32"/>
        </w:rPr>
        <w:t>0%</w:t>
      </w:r>
      <w:r>
        <w:rPr>
          <w:rStyle w:val="14"/>
          <w:rFonts w:hint="eastAsia" w:ascii="仿宋" w:hAnsi="仿宋" w:eastAsia="仿宋"/>
          <w:b w:val="0"/>
          <w:bCs/>
          <w:sz w:val="32"/>
          <w:szCs w:val="32"/>
        </w:rPr>
        <w:t>。</w:t>
      </w:r>
      <w:r>
        <w:rPr>
          <w:rFonts w:hint="eastAsia" w:ascii="仿宋" w:hAnsi="仿宋" w:eastAsia="仿宋"/>
          <w:sz w:val="32"/>
          <w:szCs w:val="32"/>
        </w:rPr>
        <w:t>本年无此项业务发生。</w:t>
      </w:r>
    </w:p>
    <w:p>
      <w:pPr>
        <w:spacing w:line="600" w:lineRule="exact"/>
        <w:ind w:firstLine="640"/>
        <w:rPr>
          <w:rFonts w:ascii="仿宋" w:hAnsi="仿宋" w:eastAsia="仿宋"/>
          <w:sz w:val="32"/>
          <w:szCs w:val="32"/>
        </w:rPr>
      </w:pPr>
      <w:r>
        <w:rPr>
          <w:rFonts w:ascii="仿宋" w:hAnsi="仿宋" w:eastAsia="仿宋"/>
          <w:bCs/>
          <w:sz w:val="32"/>
          <w:szCs w:val="32"/>
        </w:rPr>
        <w:t>2.</w:t>
      </w:r>
      <w:r>
        <w:rPr>
          <w:rFonts w:hint="eastAsia" w:ascii="仿宋" w:hAnsi="仿宋" w:eastAsia="仿宋"/>
          <w:bCs/>
          <w:sz w:val="32"/>
          <w:szCs w:val="32"/>
        </w:rPr>
        <w:t>公务用车购置及运行维护费支出</w:t>
      </w:r>
      <w:r>
        <w:rPr>
          <w:rFonts w:ascii="仿宋" w:hAnsi="仿宋" w:eastAsia="仿宋"/>
          <w:bCs/>
          <w:sz w:val="32"/>
          <w:szCs w:val="32"/>
        </w:rPr>
        <w:t>6.74</w:t>
      </w:r>
      <w:r>
        <w:rPr>
          <w:rFonts w:hint="eastAsia" w:ascii="仿宋" w:hAnsi="仿宋" w:eastAsia="仿宋"/>
          <w:bCs/>
          <w:sz w:val="32"/>
          <w:szCs w:val="32"/>
        </w:rPr>
        <w:t>万元,</w:t>
      </w:r>
      <w:r>
        <w:rPr>
          <w:rStyle w:val="14"/>
          <w:rFonts w:hint="eastAsia" w:ascii="仿宋" w:hAnsi="仿宋" w:eastAsia="仿宋"/>
          <w:b w:val="0"/>
          <w:sz w:val="32"/>
          <w:szCs w:val="32"/>
        </w:rPr>
        <w:t>完成预算</w:t>
      </w:r>
      <w:r>
        <w:rPr>
          <w:rStyle w:val="14"/>
          <w:rFonts w:ascii="仿宋" w:hAnsi="仿宋" w:eastAsia="仿宋"/>
          <w:b w:val="0"/>
          <w:sz w:val="32"/>
          <w:szCs w:val="32"/>
        </w:rPr>
        <w:t>100%</w:t>
      </w:r>
      <w:r>
        <w:rPr>
          <w:rStyle w:val="14"/>
          <w:rFonts w:hint="eastAsia" w:ascii="仿宋" w:hAnsi="仿宋" w:eastAsia="仿宋"/>
          <w:bCs/>
          <w:sz w:val="32"/>
          <w:szCs w:val="32"/>
        </w:rPr>
        <w:t>。</w:t>
      </w:r>
      <w:r>
        <w:rPr>
          <w:rFonts w:hint="eastAsia" w:ascii="仿宋" w:hAnsi="仿宋" w:eastAsia="仿宋"/>
          <w:bCs/>
          <w:sz w:val="32"/>
          <w:szCs w:val="32"/>
        </w:rPr>
        <w:t>公务用车购置及运行维护费支出决算比</w:t>
      </w:r>
      <w:r>
        <w:rPr>
          <w:rFonts w:ascii="仿宋" w:hAnsi="仿宋" w:eastAsia="仿宋"/>
          <w:bCs/>
          <w:sz w:val="32"/>
          <w:szCs w:val="32"/>
        </w:rPr>
        <w:t>20</w:t>
      </w:r>
      <w:r>
        <w:rPr>
          <w:rFonts w:hint="eastAsia" w:ascii="仿宋" w:hAnsi="仿宋" w:eastAsia="仿宋"/>
          <w:bCs/>
          <w:sz w:val="32"/>
          <w:szCs w:val="32"/>
        </w:rPr>
        <w:t>21年减少1</w:t>
      </w:r>
      <w:r>
        <w:rPr>
          <w:rFonts w:ascii="仿宋" w:hAnsi="仿宋" w:eastAsia="仿宋"/>
          <w:bCs/>
          <w:sz w:val="32"/>
          <w:szCs w:val="32"/>
        </w:rPr>
        <w:t>.81</w:t>
      </w:r>
      <w:r>
        <w:rPr>
          <w:rFonts w:hint="eastAsia" w:ascii="仿宋" w:hAnsi="仿宋" w:eastAsia="仿宋"/>
          <w:bCs/>
          <w:sz w:val="32"/>
          <w:szCs w:val="32"/>
        </w:rPr>
        <w:t>万元，下降</w:t>
      </w:r>
      <w:r>
        <w:rPr>
          <w:rFonts w:ascii="仿宋" w:hAnsi="仿宋" w:eastAsia="仿宋"/>
          <w:bCs/>
          <w:sz w:val="32"/>
          <w:szCs w:val="32"/>
        </w:rPr>
        <w:t>21.17%</w:t>
      </w:r>
      <w:r>
        <w:rPr>
          <w:rFonts w:hint="eastAsia" w:ascii="仿宋" w:hAnsi="仿宋" w:eastAsia="仿宋"/>
          <w:bCs/>
          <w:sz w:val="32"/>
          <w:szCs w:val="32"/>
        </w:rPr>
        <w:t>。</w:t>
      </w:r>
      <w:r>
        <w:rPr>
          <w:rFonts w:hint="eastAsia" w:ascii="仿宋" w:hAnsi="仿宋" w:eastAsia="仿宋"/>
          <w:sz w:val="32"/>
          <w:szCs w:val="32"/>
        </w:rPr>
        <w:t>按财政要求压减三公经费支出。</w:t>
      </w:r>
    </w:p>
    <w:p>
      <w:pPr>
        <w:spacing w:line="600" w:lineRule="exact"/>
        <w:ind w:firstLine="640" w:firstLineChars="200"/>
        <w:rPr>
          <w:rFonts w:ascii="仿宋" w:hAnsi="仿宋" w:eastAsia="仿宋"/>
          <w:bCs/>
          <w:sz w:val="32"/>
          <w:szCs w:val="32"/>
        </w:rPr>
      </w:pPr>
      <w:r>
        <w:rPr>
          <w:rFonts w:hint="eastAsia" w:ascii="仿宋" w:hAnsi="仿宋" w:eastAsia="仿宋"/>
          <w:bCs/>
          <w:sz w:val="32"/>
          <w:szCs w:val="32"/>
        </w:rPr>
        <w:t>其中：公务用车购置支出</w:t>
      </w:r>
      <w:r>
        <w:rPr>
          <w:rFonts w:ascii="仿宋" w:hAnsi="仿宋" w:eastAsia="仿宋"/>
          <w:bCs/>
          <w:sz w:val="32"/>
          <w:szCs w:val="32"/>
        </w:rPr>
        <w:t>0</w:t>
      </w:r>
      <w:r>
        <w:rPr>
          <w:rFonts w:hint="eastAsia" w:ascii="仿宋" w:hAnsi="仿宋" w:eastAsia="仿宋"/>
          <w:bCs/>
          <w:sz w:val="32"/>
          <w:szCs w:val="32"/>
        </w:rPr>
        <w:t>万元。全年按规定更新购置公务用车</w:t>
      </w:r>
      <w:r>
        <w:rPr>
          <w:rFonts w:ascii="仿宋" w:hAnsi="仿宋" w:eastAsia="仿宋"/>
          <w:bCs/>
          <w:sz w:val="32"/>
          <w:szCs w:val="32"/>
        </w:rPr>
        <w:t>0</w:t>
      </w:r>
      <w:r>
        <w:rPr>
          <w:rFonts w:hint="eastAsia" w:ascii="仿宋" w:hAnsi="仿宋" w:eastAsia="仿宋"/>
          <w:bCs/>
          <w:sz w:val="32"/>
          <w:szCs w:val="32"/>
        </w:rPr>
        <w:t>辆，其中：轿车</w:t>
      </w:r>
      <w:r>
        <w:rPr>
          <w:rFonts w:ascii="仿宋" w:hAnsi="仿宋" w:eastAsia="仿宋"/>
          <w:bCs/>
          <w:sz w:val="32"/>
          <w:szCs w:val="32"/>
        </w:rPr>
        <w:t>0</w:t>
      </w:r>
      <w:r>
        <w:rPr>
          <w:rFonts w:hint="eastAsia" w:ascii="仿宋" w:hAnsi="仿宋" w:eastAsia="仿宋"/>
          <w:bCs/>
          <w:sz w:val="32"/>
          <w:szCs w:val="32"/>
        </w:rPr>
        <w:t>辆、金额</w:t>
      </w:r>
      <w:r>
        <w:rPr>
          <w:rFonts w:ascii="仿宋" w:hAnsi="仿宋" w:eastAsia="仿宋"/>
          <w:bCs/>
          <w:sz w:val="32"/>
          <w:szCs w:val="32"/>
        </w:rPr>
        <w:t>0</w:t>
      </w:r>
      <w:r>
        <w:rPr>
          <w:rFonts w:hint="eastAsia" w:ascii="仿宋" w:hAnsi="仿宋" w:eastAsia="仿宋"/>
          <w:bCs/>
          <w:sz w:val="32"/>
          <w:szCs w:val="32"/>
        </w:rPr>
        <w:t>万元，越野车</w:t>
      </w:r>
      <w:r>
        <w:rPr>
          <w:rFonts w:ascii="仿宋" w:hAnsi="仿宋" w:eastAsia="仿宋"/>
          <w:bCs/>
          <w:sz w:val="32"/>
          <w:szCs w:val="32"/>
        </w:rPr>
        <w:t>0</w:t>
      </w:r>
      <w:r>
        <w:rPr>
          <w:rFonts w:hint="eastAsia" w:ascii="仿宋" w:hAnsi="仿宋" w:eastAsia="仿宋"/>
          <w:bCs/>
          <w:sz w:val="32"/>
          <w:szCs w:val="32"/>
        </w:rPr>
        <w:t>辆、金额</w:t>
      </w:r>
      <w:r>
        <w:rPr>
          <w:rFonts w:ascii="仿宋" w:hAnsi="仿宋" w:eastAsia="仿宋"/>
          <w:bCs/>
          <w:sz w:val="32"/>
          <w:szCs w:val="32"/>
        </w:rPr>
        <w:t>0</w:t>
      </w:r>
      <w:r>
        <w:rPr>
          <w:rFonts w:hint="eastAsia" w:ascii="仿宋" w:hAnsi="仿宋" w:eastAsia="仿宋"/>
          <w:bCs/>
          <w:sz w:val="32"/>
          <w:szCs w:val="32"/>
        </w:rPr>
        <w:t>万元，载客汽车</w:t>
      </w:r>
      <w:r>
        <w:rPr>
          <w:rFonts w:ascii="仿宋" w:hAnsi="仿宋" w:eastAsia="仿宋"/>
          <w:bCs/>
          <w:sz w:val="32"/>
          <w:szCs w:val="32"/>
        </w:rPr>
        <w:t>0</w:t>
      </w:r>
      <w:r>
        <w:rPr>
          <w:rFonts w:hint="eastAsia" w:ascii="仿宋" w:hAnsi="仿宋" w:eastAsia="仿宋"/>
          <w:bCs/>
          <w:sz w:val="32"/>
          <w:szCs w:val="32"/>
        </w:rPr>
        <w:t>辆、金额</w:t>
      </w:r>
      <w:r>
        <w:rPr>
          <w:rFonts w:ascii="仿宋" w:hAnsi="仿宋" w:eastAsia="仿宋"/>
          <w:bCs/>
          <w:sz w:val="32"/>
          <w:szCs w:val="32"/>
        </w:rPr>
        <w:t>0</w:t>
      </w:r>
      <w:r>
        <w:rPr>
          <w:rFonts w:hint="eastAsia" w:ascii="仿宋" w:hAnsi="仿宋" w:eastAsia="仿宋"/>
          <w:bCs/>
          <w:sz w:val="32"/>
          <w:szCs w:val="32"/>
        </w:rPr>
        <w:t>万元。截至</w:t>
      </w:r>
      <w:r>
        <w:rPr>
          <w:rFonts w:ascii="仿宋" w:hAnsi="仿宋" w:eastAsia="仿宋"/>
          <w:bCs/>
          <w:sz w:val="32"/>
          <w:szCs w:val="32"/>
        </w:rPr>
        <w:t>20</w:t>
      </w:r>
      <w:r>
        <w:rPr>
          <w:rFonts w:hint="eastAsia" w:ascii="仿宋" w:hAnsi="仿宋" w:eastAsia="仿宋"/>
          <w:bCs/>
          <w:sz w:val="32"/>
          <w:szCs w:val="32"/>
        </w:rPr>
        <w:t>22年</w:t>
      </w:r>
      <w:r>
        <w:rPr>
          <w:rFonts w:ascii="仿宋" w:hAnsi="仿宋" w:eastAsia="仿宋"/>
          <w:bCs/>
          <w:sz w:val="32"/>
          <w:szCs w:val="32"/>
        </w:rPr>
        <w:t>12</w:t>
      </w:r>
      <w:r>
        <w:rPr>
          <w:rFonts w:hint="eastAsia" w:ascii="仿宋" w:hAnsi="仿宋" w:eastAsia="仿宋"/>
          <w:bCs/>
          <w:sz w:val="32"/>
          <w:szCs w:val="32"/>
        </w:rPr>
        <w:t>月底，单位共有公务用车</w:t>
      </w:r>
      <w:r>
        <w:rPr>
          <w:rFonts w:ascii="仿宋" w:hAnsi="仿宋" w:eastAsia="仿宋"/>
          <w:bCs/>
          <w:sz w:val="32"/>
          <w:szCs w:val="32"/>
        </w:rPr>
        <w:t>4</w:t>
      </w:r>
      <w:r>
        <w:rPr>
          <w:rFonts w:hint="eastAsia" w:ascii="仿宋" w:hAnsi="仿宋" w:eastAsia="仿宋"/>
          <w:bCs/>
          <w:sz w:val="32"/>
          <w:szCs w:val="32"/>
        </w:rPr>
        <w:t>辆，其中：轿车0辆、越野车3辆、其他专用汽车（餐车1辆）、载客汽车</w:t>
      </w:r>
      <w:r>
        <w:rPr>
          <w:rFonts w:ascii="仿宋" w:hAnsi="仿宋" w:eastAsia="仿宋"/>
          <w:bCs/>
          <w:sz w:val="32"/>
          <w:szCs w:val="32"/>
        </w:rPr>
        <w:t>0</w:t>
      </w:r>
      <w:r>
        <w:rPr>
          <w:rFonts w:hint="eastAsia" w:ascii="仿宋" w:hAnsi="仿宋" w:eastAsia="仿宋"/>
          <w:bCs/>
          <w:sz w:val="32"/>
          <w:szCs w:val="32"/>
        </w:rPr>
        <w:t>辆。</w:t>
      </w:r>
    </w:p>
    <w:p>
      <w:pPr>
        <w:spacing w:line="600" w:lineRule="exact"/>
        <w:ind w:firstLine="640"/>
        <w:rPr>
          <w:rFonts w:ascii="仿宋" w:hAnsi="仿宋" w:eastAsia="仿宋"/>
          <w:bCs/>
          <w:sz w:val="32"/>
          <w:szCs w:val="32"/>
        </w:rPr>
      </w:pPr>
      <w:r>
        <w:rPr>
          <w:rFonts w:hint="eastAsia" w:ascii="仿宋" w:hAnsi="仿宋" w:eastAsia="仿宋"/>
          <w:bCs/>
          <w:sz w:val="32"/>
          <w:szCs w:val="32"/>
        </w:rPr>
        <w:t>公务用车运行维护费支出</w:t>
      </w:r>
      <w:r>
        <w:rPr>
          <w:rFonts w:ascii="仿宋" w:hAnsi="仿宋" w:eastAsia="仿宋"/>
          <w:bCs/>
          <w:sz w:val="32"/>
          <w:szCs w:val="32"/>
        </w:rPr>
        <w:t>6.74</w:t>
      </w:r>
      <w:r>
        <w:rPr>
          <w:rFonts w:hint="eastAsia" w:ascii="仿宋" w:hAnsi="仿宋" w:eastAsia="仿宋"/>
          <w:bCs/>
          <w:sz w:val="32"/>
          <w:szCs w:val="32"/>
        </w:rPr>
        <w:t>万元。主要用于</w:t>
      </w:r>
      <w:r>
        <w:rPr>
          <w:rFonts w:hint="eastAsia" w:ascii="仿宋" w:hAnsi="仿宋" w:eastAsia="仿宋" w:cs="仿宋_GB2312"/>
          <w:sz w:val="32"/>
          <w:szCs w:val="32"/>
        </w:rPr>
        <w:t>矿山</w:t>
      </w:r>
      <w:r>
        <w:rPr>
          <w:rFonts w:hint="eastAsia" w:ascii="仿宋" w:hAnsi="仿宋" w:eastAsia="仿宋" w:cs="仿宋_GB2312"/>
          <w:bCs/>
          <w:sz w:val="32"/>
          <w:szCs w:val="32"/>
        </w:rPr>
        <w:t>检查、应急处置及各项安全生产检查</w:t>
      </w:r>
      <w:r>
        <w:rPr>
          <w:rFonts w:hint="eastAsia" w:ascii="仿宋" w:hAnsi="仿宋" w:eastAsia="仿宋"/>
          <w:bCs/>
          <w:sz w:val="32"/>
          <w:szCs w:val="32"/>
        </w:rPr>
        <w:t>等所需的公务用车燃料费、维修费、过路过桥费、保险费等支出。</w:t>
      </w:r>
    </w:p>
    <w:p>
      <w:pPr>
        <w:spacing w:line="600" w:lineRule="exact"/>
        <w:ind w:firstLine="640"/>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公务接待费支出</w:t>
      </w:r>
      <w:r>
        <w:rPr>
          <w:rFonts w:ascii="仿宋" w:hAnsi="仿宋" w:eastAsia="仿宋"/>
          <w:bCs/>
          <w:sz w:val="32"/>
          <w:szCs w:val="32"/>
        </w:rPr>
        <w:t>0.06</w:t>
      </w:r>
      <w:r>
        <w:rPr>
          <w:rFonts w:hint="eastAsia" w:ascii="仿宋" w:hAnsi="仿宋" w:eastAsia="仿宋"/>
          <w:bCs/>
          <w:sz w:val="32"/>
          <w:szCs w:val="32"/>
        </w:rPr>
        <w:t>万元，</w:t>
      </w:r>
      <w:r>
        <w:rPr>
          <w:rStyle w:val="14"/>
          <w:rFonts w:hint="eastAsia" w:ascii="仿宋" w:hAnsi="仿宋" w:eastAsia="仿宋"/>
          <w:b w:val="0"/>
          <w:sz w:val="32"/>
          <w:szCs w:val="32"/>
        </w:rPr>
        <w:t>完成预算</w:t>
      </w:r>
      <w:r>
        <w:rPr>
          <w:rStyle w:val="14"/>
          <w:rFonts w:ascii="仿宋" w:hAnsi="仿宋" w:eastAsia="仿宋"/>
          <w:b w:val="0"/>
          <w:sz w:val="32"/>
          <w:szCs w:val="32"/>
        </w:rPr>
        <w:t>100%</w:t>
      </w:r>
      <w:r>
        <w:rPr>
          <w:rStyle w:val="14"/>
          <w:rFonts w:hint="eastAsia" w:ascii="仿宋" w:hAnsi="仿宋" w:eastAsia="仿宋"/>
          <w:b w:val="0"/>
          <w:sz w:val="32"/>
          <w:szCs w:val="32"/>
        </w:rPr>
        <w:t>。</w:t>
      </w:r>
      <w:r>
        <w:rPr>
          <w:rFonts w:hint="eastAsia" w:ascii="仿宋" w:hAnsi="仿宋" w:eastAsia="仿宋"/>
          <w:bCs/>
          <w:sz w:val="32"/>
          <w:szCs w:val="32"/>
        </w:rPr>
        <w:t>公务接待费支出决算比</w:t>
      </w:r>
      <w:r>
        <w:rPr>
          <w:rFonts w:ascii="仿宋" w:hAnsi="仿宋" w:eastAsia="仿宋"/>
          <w:bCs/>
          <w:sz w:val="32"/>
          <w:szCs w:val="32"/>
        </w:rPr>
        <w:t>20</w:t>
      </w:r>
      <w:r>
        <w:rPr>
          <w:rFonts w:hint="eastAsia" w:ascii="仿宋" w:hAnsi="仿宋" w:eastAsia="仿宋"/>
          <w:bCs/>
          <w:sz w:val="32"/>
          <w:szCs w:val="32"/>
        </w:rPr>
        <w:t>21年减少</w:t>
      </w:r>
      <w:r>
        <w:rPr>
          <w:rFonts w:ascii="仿宋" w:hAnsi="仿宋" w:eastAsia="仿宋"/>
          <w:bCs/>
          <w:sz w:val="32"/>
          <w:szCs w:val="32"/>
        </w:rPr>
        <w:t>1.55</w:t>
      </w:r>
      <w:r>
        <w:rPr>
          <w:rFonts w:hint="eastAsia" w:ascii="仿宋" w:hAnsi="仿宋" w:eastAsia="仿宋"/>
          <w:bCs/>
          <w:sz w:val="32"/>
          <w:szCs w:val="32"/>
        </w:rPr>
        <w:t>万元，下降</w:t>
      </w:r>
      <w:r>
        <w:rPr>
          <w:rFonts w:ascii="仿宋" w:hAnsi="仿宋" w:eastAsia="仿宋"/>
          <w:bCs/>
          <w:sz w:val="32"/>
          <w:szCs w:val="32"/>
        </w:rPr>
        <w:t>96.27%</w:t>
      </w:r>
      <w:r>
        <w:rPr>
          <w:rFonts w:hint="eastAsia" w:ascii="仿宋" w:hAnsi="仿宋" w:eastAsia="仿宋"/>
          <w:bCs/>
          <w:sz w:val="32"/>
          <w:szCs w:val="32"/>
        </w:rPr>
        <w:t>。按财政要求压缩三公经费，其中：</w:t>
      </w:r>
    </w:p>
    <w:p>
      <w:pPr>
        <w:spacing w:line="600" w:lineRule="exact"/>
        <w:ind w:firstLine="640"/>
        <w:rPr>
          <w:rFonts w:ascii="仿宋" w:hAnsi="仿宋" w:eastAsia="仿宋"/>
          <w:bCs/>
          <w:sz w:val="32"/>
          <w:szCs w:val="32"/>
        </w:rPr>
      </w:pPr>
      <w:r>
        <w:rPr>
          <w:rFonts w:hint="eastAsia" w:ascii="仿宋" w:hAnsi="仿宋" w:eastAsia="仿宋"/>
          <w:bCs/>
          <w:sz w:val="32"/>
          <w:szCs w:val="32"/>
        </w:rPr>
        <w:t>国内公务接待支出</w:t>
      </w:r>
      <w:r>
        <w:rPr>
          <w:rFonts w:ascii="仿宋" w:hAnsi="仿宋" w:eastAsia="仿宋"/>
          <w:bCs/>
          <w:sz w:val="32"/>
          <w:szCs w:val="32"/>
        </w:rPr>
        <w:t>0.06</w:t>
      </w:r>
      <w:r>
        <w:rPr>
          <w:rFonts w:hint="eastAsia" w:ascii="仿宋" w:hAnsi="仿宋" w:eastAsia="仿宋"/>
          <w:bCs/>
          <w:sz w:val="32"/>
          <w:szCs w:val="32"/>
        </w:rPr>
        <w:t>万元，主要</w:t>
      </w:r>
      <w:r>
        <w:rPr>
          <w:rFonts w:hint="eastAsia" w:ascii="仿宋" w:hAnsi="仿宋" w:eastAsia="仿宋" w:cs="仿宋_GB2312"/>
          <w:color w:val="000000" w:themeColor="text1"/>
          <w:sz w:val="32"/>
          <w:szCs w:val="32"/>
          <w14:textFill>
            <w14:solidFill>
              <w14:schemeClr w14:val="tx1"/>
            </w14:solidFill>
          </w14:textFill>
        </w:rPr>
        <w:t>安全生产等上级检查督查</w:t>
      </w:r>
      <w:r>
        <w:rPr>
          <w:rFonts w:hint="eastAsia" w:ascii="仿宋" w:hAnsi="仿宋" w:eastAsia="仿宋"/>
          <w:bCs/>
          <w:sz w:val="32"/>
          <w:szCs w:val="32"/>
        </w:rPr>
        <w:t>。国内公务接待</w:t>
      </w:r>
      <w:r>
        <w:rPr>
          <w:rFonts w:ascii="仿宋" w:hAnsi="仿宋" w:eastAsia="仿宋"/>
          <w:bCs/>
          <w:sz w:val="32"/>
          <w:szCs w:val="32"/>
        </w:rPr>
        <w:t>1</w:t>
      </w:r>
      <w:r>
        <w:rPr>
          <w:rFonts w:hint="eastAsia" w:ascii="仿宋" w:hAnsi="仿宋" w:eastAsia="仿宋"/>
          <w:bCs/>
          <w:sz w:val="32"/>
          <w:szCs w:val="32"/>
        </w:rPr>
        <w:t>批次，</w:t>
      </w:r>
      <w:r>
        <w:rPr>
          <w:rFonts w:ascii="仿宋" w:hAnsi="仿宋" w:eastAsia="仿宋"/>
          <w:bCs/>
          <w:sz w:val="32"/>
          <w:szCs w:val="32"/>
        </w:rPr>
        <w:t>8</w:t>
      </w:r>
      <w:r>
        <w:rPr>
          <w:rFonts w:hint="eastAsia" w:ascii="仿宋" w:hAnsi="仿宋" w:eastAsia="仿宋"/>
          <w:bCs/>
          <w:sz w:val="32"/>
          <w:szCs w:val="32"/>
        </w:rPr>
        <w:t>人次（不包括陪同人员），共计支出</w:t>
      </w:r>
      <w:r>
        <w:rPr>
          <w:rFonts w:ascii="仿宋" w:hAnsi="仿宋" w:eastAsia="仿宋"/>
          <w:bCs/>
          <w:sz w:val="32"/>
          <w:szCs w:val="32"/>
        </w:rPr>
        <w:t>0.06</w:t>
      </w:r>
      <w:r>
        <w:rPr>
          <w:rFonts w:hint="eastAsia" w:ascii="仿宋" w:hAnsi="仿宋" w:eastAsia="仿宋"/>
          <w:bCs/>
          <w:sz w:val="32"/>
          <w:szCs w:val="32"/>
        </w:rPr>
        <w:t>万元，具体内容包括：</w:t>
      </w:r>
      <w:r>
        <w:rPr>
          <w:rFonts w:hint="eastAsia" w:ascii="仿宋" w:hAnsi="仿宋" w:eastAsia="仿宋" w:cs="仿宋_GB2312"/>
          <w:color w:val="000000" w:themeColor="text1"/>
          <w:sz w:val="32"/>
          <w:szCs w:val="32"/>
          <w14:textFill>
            <w14:solidFill>
              <w14:schemeClr w14:val="tx1"/>
            </w14:solidFill>
          </w14:textFill>
        </w:rPr>
        <w:t>安全生产等上级检查督查，金额0.06万元。</w:t>
      </w:r>
    </w:p>
    <w:p>
      <w:pPr>
        <w:spacing w:line="600" w:lineRule="exact"/>
        <w:ind w:firstLine="640" w:firstLineChars="200"/>
        <w:rPr>
          <w:rFonts w:ascii="仿宋" w:hAnsi="仿宋" w:eastAsia="仿宋"/>
          <w:bCs/>
          <w:sz w:val="32"/>
          <w:szCs w:val="32"/>
        </w:rPr>
      </w:pPr>
      <w:r>
        <w:rPr>
          <w:rFonts w:hint="eastAsia" w:ascii="仿宋" w:hAnsi="仿宋" w:eastAsia="仿宋"/>
          <w:bCs/>
          <w:sz w:val="32"/>
          <w:szCs w:val="32"/>
        </w:rPr>
        <w:t>外事接待支出</w:t>
      </w:r>
      <w:r>
        <w:rPr>
          <w:rFonts w:ascii="仿宋" w:hAnsi="仿宋" w:eastAsia="仿宋"/>
          <w:bCs/>
          <w:sz w:val="32"/>
          <w:szCs w:val="32"/>
        </w:rPr>
        <w:t>0</w:t>
      </w:r>
      <w:r>
        <w:rPr>
          <w:rFonts w:hint="eastAsia" w:ascii="仿宋" w:hAnsi="仿宋" w:eastAsia="仿宋"/>
          <w:bCs/>
          <w:sz w:val="32"/>
          <w:szCs w:val="32"/>
        </w:rPr>
        <w:t>万元，外事接待</w:t>
      </w:r>
      <w:r>
        <w:rPr>
          <w:rFonts w:ascii="仿宋" w:hAnsi="仿宋" w:eastAsia="仿宋"/>
          <w:bCs/>
          <w:sz w:val="32"/>
          <w:szCs w:val="32"/>
        </w:rPr>
        <w:t>0</w:t>
      </w:r>
      <w:r>
        <w:rPr>
          <w:rFonts w:hint="eastAsia" w:ascii="仿宋" w:hAnsi="仿宋" w:eastAsia="仿宋"/>
          <w:bCs/>
          <w:sz w:val="32"/>
          <w:szCs w:val="32"/>
        </w:rPr>
        <w:t>批次，</w:t>
      </w:r>
      <w:r>
        <w:rPr>
          <w:rFonts w:ascii="仿宋" w:hAnsi="仿宋" w:eastAsia="仿宋"/>
          <w:bCs/>
          <w:sz w:val="32"/>
          <w:szCs w:val="32"/>
        </w:rPr>
        <w:t>0</w:t>
      </w:r>
      <w:r>
        <w:rPr>
          <w:rFonts w:hint="eastAsia" w:ascii="仿宋" w:hAnsi="仿宋" w:eastAsia="仿宋"/>
          <w:bCs/>
          <w:sz w:val="32"/>
          <w:szCs w:val="32"/>
        </w:rPr>
        <w:t>人次（不包括陪同人员），共计支出</w:t>
      </w:r>
      <w:r>
        <w:rPr>
          <w:rFonts w:ascii="仿宋" w:hAnsi="仿宋" w:eastAsia="仿宋"/>
          <w:bCs/>
          <w:sz w:val="32"/>
          <w:szCs w:val="32"/>
        </w:rPr>
        <w:t>0</w:t>
      </w:r>
      <w:r>
        <w:rPr>
          <w:rFonts w:hint="eastAsia" w:ascii="仿宋" w:hAnsi="仿宋" w:eastAsia="仿宋"/>
          <w:bCs/>
          <w:sz w:val="32"/>
          <w:szCs w:val="32"/>
        </w:rPr>
        <w:t>万元。</w:t>
      </w:r>
    </w:p>
    <w:p>
      <w:pPr>
        <w:spacing w:line="600" w:lineRule="exact"/>
        <w:ind w:firstLine="640"/>
        <w:outlineLvl w:val="1"/>
        <w:rPr>
          <w:rFonts w:ascii="黑体" w:eastAsia="黑体"/>
          <w:sz w:val="32"/>
          <w:szCs w:val="32"/>
        </w:rPr>
      </w:pPr>
      <w:bookmarkStart w:id="42" w:name="_Toc15377218"/>
      <w:bookmarkStart w:id="43" w:name="_Toc15396610"/>
    </w:p>
    <w:p>
      <w:pPr>
        <w:spacing w:line="600" w:lineRule="exact"/>
        <w:ind w:firstLine="640"/>
        <w:outlineLvl w:val="1"/>
        <w:rPr>
          <w:rStyle w:val="25"/>
          <w:rFonts w:ascii="黑体" w:hAnsi="黑体" w:eastAsia="黑体"/>
        </w:rPr>
      </w:pPr>
      <w:r>
        <w:rPr>
          <w:rFonts w:hint="eastAsia" w:ascii="黑体" w:eastAsia="黑体"/>
          <w:sz w:val="32"/>
          <w:szCs w:val="32"/>
        </w:rPr>
        <w:t>八、</w:t>
      </w:r>
      <w:r>
        <w:rPr>
          <w:rStyle w:val="25"/>
          <w:rFonts w:hint="eastAsia" w:ascii="黑体" w:hAnsi="黑体" w:eastAsia="黑体"/>
          <w:b w:val="0"/>
        </w:rPr>
        <w:t>政府性基金预算支出决算情况说明</w:t>
      </w:r>
      <w:bookmarkEnd w:id="42"/>
      <w:bookmarkEnd w:id="43"/>
    </w:p>
    <w:p>
      <w:pPr>
        <w:spacing w:line="600" w:lineRule="exact"/>
        <w:ind w:firstLine="640"/>
        <w:rPr>
          <w:rFonts w:ascii="仿宋_GB2312" w:eastAsia="仿宋_GB2312"/>
          <w:sz w:val="32"/>
          <w:szCs w:val="32"/>
        </w:rPr>
      </w:pPr>
      <w:r>
        <w:rPr>
          <w:rFonts w:ascii="仿宋" w:hAnsi="仿宋" w:eastAsia="仿宋"/>
          <w:sz w:val="32"/>
          <w:szCs w:val="32"/>
        </w:rPr>
        <w:t>20</w:t>
      </w:r>
      <w:r>
        <w:rPr>
          <w:rFonts w:hint="eastAsia" w:ascii="仿宋" w:hAnsi="仿宋" w:eastAsia="仿宋"/>
          <w:sz w:val="32"/>
          <w:szCs w:val="32"/>
        </w:rPr>
        <w:t>22年政府性基金预算财政拨款支出</w:t>
      </w:r>
      <w:r>
        <w:rPr>
          <w:rFonts w:ascii="仿宋" w:hAnsi="仿宋" w:eastAsia="仿宋"/>
          <w:sz w:val="32"/>
          <w:szCs w:val="32"/>
        </w:rPr>
        <w:t>802.02</w:t>
      </w:r>
      <w:r>
        <w:rPr>
          <w:rFonts w:hint="eastAsia" w:ascii="仿宋" w:hAnsi="仿宋" w:eastAsia="仿宋"/>
          <w:sz w:val="32"/>
          <w:szCs w:val="32"/>
        </w:rPr>
        <w:t>万元</w:t>
      </w:r>
      <w:r>
        <w:rPr>
          <w:rFonts w:hint="eastAsia" w:ascii="仿宋_GB2312" w:eastAsia="仿宋_GB2312"/>
          <w:sz w:val="32"/>
          <w:szCs w:val="32"/>
        </w:rPr>
        <w:t>。</w:t>
      </w:r>
    </w:p>
    <w:p>
      <w:pPr>
        <w:spacing w:line="600" w:lineRule="exact"/>
        <w:ind w:firstLine="640"/>
        <w:rPr>
          <w:rFonts w:ascii="仿宋_GB2312" w:eastAsia="仿宋_GB2312"/>
          <w:sz w:val="32"/>
          <w:szCs w:val="32"/>
        </w:rPr>
      </w:pPr>
    </w:p>
    <w:p>
      <w:pPr>
        <w:numPr>
          <w:ilvl w:val="0"/>
          <w:numId w:val="3"/>
        </w:numPr>
        <w:spacing w:line="600" w:lineRule="exact"/>
        <w:ind w:firstLine="640"/>
        <w:outlineLvl w:val="1"/>
        <w:rPr>
          <w:rStyle w:val="25"/>
          <w:rFonts w:ascii="黑体" w:hAnsi="黑体" w:eastAsia="黑体"/>
          <w:b w:val="0"/>
        </w:rPr>
      </w:pPr>
      <w:bookmarkStart w:id="44" w:name="_Toc15377219"/>
      <w:bookmarkStart w:id="45" w:name="_Toc15396611"/>
      <w:r>
        <w:rPr>
          <w:rStyle w:val="25"/>
          <w:rFonts w:hint="eastAsia" w:ascii="黑体" w:hAnsi="黑体" w:eastAsia="黑体"/>
          <w:b w:val="0"/>
        </w:rPr>
        <w:t>国有资本经营预算支出决算情况说明</w:t>
      </w:r>
      <w:bookmarkEnd w:id="44"/>
      <w:bookmarkEnd w:id="45"/>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22年国有资本经营预算财政拨款支出</w:t>
      </w:r>
      <w:r>
        <w:rPr>
          <w:rFonts w:ascii="仿宋" w:hAnsi="仿宋" w:eastAsia="仿宋"/>
          <w:sz w:val="32"/>
          <w:szCs w:val="32"/>
        </w:rPr>
        <w:t>0</w:t>
      </w:r>
      <w:r>
        <w:rPr>
          <w:rFonts w:hint="eastAsia" w:ascii="仿宋" w:hAnsi="仿宋" w:eastAsia="仿宋"/>
          <w:sz w:val="32"/>
          <w:szCs w:val="32"/>
        </w:rPr>
        <w:t>万元。</w:t>
      </w:r>
    </w:p>
    <w:p>
      <w:pPr>
        <w:spacing w:line="580" w:lineRule="exact"/>
        <w:jc w:val="center"/>
        <w:rPr>
          <w:rFonts w:ascii="方正小标宋简体" w:hAnsi="方正小标宋简体" w:eastAsia="方正小标宋简体" w:cs="方正小标宋简体"/>
          <w:sz w:val="44"/>
          <w:szCs w:val="44"/>
        </w:rPr>
      </w:pPr>
    </w:p>
    <w:p>
      <w:pPr>
        <w:numPr>
          <w:ilvl w:val="0"/>
          <w:numId w:val="3"/>
        </w:numPr>
        <w:spacing w:line="600" w:lineRule="exact"/>
        <w:ind w:firstLine="640"/>
        <w:outlineLvl w:val="1"/>
        <w:rPr>
          <w:rStyle w:val="25"/>
          <w:rFonts w:ascii="黑体" w:hAnsi="黑体" w:eastAsia="黑体"/>
          <w:b w:val="0"/>
        </w:rPr>
      </w:pPr>
      <w:bookmarkStart w:id="46" w:name="_Toc15377221"/>
      <w:bookmarkStart w:id="47" w:name="_Toc15396612"/>
      <w:r>
        <w:rPr>
          <w:rStyle w:val="25"/>
          <w:rFonts w:hint="eastAsia" w:ascii="黑体" w:hAnsi="黑体" w:eastAsia="黑体"/>
          <w:b w:val="0"/>
        </w:rPr>
        <w:t>其他重要事项的情况说明</w:t>
      </w:r>
      <w:bookmarkEnd w:id="46"/>
      <w:bookmarkEnd w:id="47"/>
    </w:p>
    <w:p>
      <w:pPr>
        <w:spacing w:line="600" w:lineRule="exact"/>
        <w:ind w:firstLine="643" w:firstLineChars="200"/>
        <w:outlineLvl w:val="2"/>
        <w:rPr>
          <w:rFonts w:ascii="仿宋" w:hAnsi="仿宋" w:eastAsia="仿宋"/>
          <w:sz w:val="32"/>
          <w:szCs w:val="32"/>
        </w:rPr>
      </w:pPr>
      <w:bookmarkStart w:id="48" w:name="_Toc15377222"/>
      <w:r>
        <w:rPr>
          <w:rFonts w:hint="eastAsia" w:ascii="仿宋" w:hAnsi="仿宋" w:eastAsia="仿宋"/>
          <w:b/>
          <w:sz w:val="32"/>
          <w:szCs w:val="32"/>
        </w:rPr>
        <w:t>（一）机关运行经费支出情况</w:t>
      </w:r>
      <w:bookmarkEnd w:id="48"/>
    </w:p>
    <w:p>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22年，峨眉山市应急管理局机关运行经费支出</w:t>
      </w:r>
      <w:r>
        <w:rPr>
          <w:rFonts w:ascii="仿宋" w:hAnsi="仿宋" w:eastAsia="仿宋"/>
          <w:sz w:val="32"/>
          <w:szCs w:val="32"/>
        </w:rPr>
        <w:t>148.61</w:t>
      </w:r>
      <w:r>
        <w:rPr>
          <w:rFonts w:hint="eastAsia" w:ascii="仿宋" w:hAnsi="仿宋" w:eastAsia="仿宋"/>
          <w:sz w:val="32"/>
          <w:szCs w:val="32"/>
        </w:rPr>
        <w:t>万元，比</w:t>
      </w:r>
      <w:r>
        <w:rPr>
          <w:rFonts w:ascii="仿宋" w:hAnsi="仿宋" w:eastAsia="仿宋"/>
          <w:sz w:val="32"/>
          <w:szCs w:val="32"/>
        </w:rPr>
        <w:t>20</w:t>
      </w:r>
      <w:r>
        <w:rPr>
          <w:rFonts w:hint="eastAsia" w:ascii="仿宋" w:hAnsi="仿宋" w:eastAsia="仿宋"/>
          <w:sz w:val="32"/>
          <w:szCs w:val="32"/>
        </w:rPr>
        <w:t>21年增加</w:t>
      </w:r>
      <w:r>
        <w:rPr>
          <w:rFonts w:ascii="仿宋" w:hAnsi="仿宋" w:eastAsia="仿宋"/>
          <w:sz w:val="32"/>
          <w:szCs w:val="32"/>
        </w:rPr>
        <w:t>36.97</w:t>
      </w:r>
      <w:r>
        <w:rPr>
          <w:rFonts w:hint="eastAsia" w:ascii="仿宋" w:hAnsi="仿宋" w:eastAsia="仿宋"/>
          <w:sz w:val="32"/>
          <w:szCs w:val="32"/>
        </w:rPr>
        <w:t>万元，增长</w:t>
      </w:r>
      <w:r>
        <w:rPr>
          <w:rFonts w:ascii="仿宋" w:hAnsi="仿宋" w:eastAsia="仿宋"/>
          <w:sz w:val="32"/>
          <w:szCs w:val="32"/>
        </w:rPr>
        <w:t>33.12%</w:t>
      </w:r>
      <w:r>
        <w:rPr>
          <w:rFonts w:hint="eastAsia" w:ascii="仿宋" w:hAnsi="仿宋" w:eastAsia="仿宋"/>
          <w:sz w:val="32"/>
          <w:szCs w:val="32"/>
        </w:rPr>
        <w:t>。</w:t>
      </w:r>
      <w:r>
        <w:rPr>
          <w:rFonts w:hint="eastAsia" w:ascii="仿宋" w:hAnsi="仿宋" w:eastAsia="仿宋" w:cs="仿宋_GB2312"/>
          <w:sz w:val="32"/>
          <w:szCs w:val="32"/>
        </w:rPr>
        <w:t>主要原因是人员增加变动等。</w:t>
      </w:r>
    </w:p>
    <w:p>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49" w:name="_Toc15377223"/>
      <w:r>
        <w:rPr>
          <w:rFonts w:hint="eastAsia" w:ascii="仿宋" w:hAnsi="仿宋" w:eastAsia="仿宋"/>
          <w:b/>
          <w:sz w:val="32"/>
          <w:szCs w:val="32"/>
        </w:rPr>
        <w:t>（二）政府采购支出情况</w:t>
      </w:r>
      <w:bookmarkEnd w:id="49"/>
    </w:p>
    <w:p>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22年，峨眉山市应急管理局政府采购支出总额</w:t>
      </w:r>
      <w:r>
        <w:rPr>
          <w:rFonts w:ascii="仿宋" w:hAnsi="仿宋" w:eastAsia="仿宋"/>
          <w:sz w:val="32"/>
          <w:szCs w:val="32"/>
        </w:rPr>
        <w:t>0</w:t>
      </w:r>
      <w:r>
        <w:rPr>
          <w:rFonts w:hint="eastAsia" w:ascii="仿宋" w:hAnsi="仿宋" w:eastAsia="仿宋"/>
          <w:sz w:val="32"/>
          <w:szCs w:val="32"/>
        </w:rPr>
        <w:t>万元，其中：政府采购货物支出</w:t>
      </w:r>
      <w:r>
        <w:rPr>
          <w:rFonts w:ascii="仿宋" w:hAnsi="仿宋" w:eastAsia="仿宋"/>
          <w:sz w:val="32"/>
          <w:szCs w:val="32"/>
        </w:rPr>
        <w:t>0</w:t>
      </w:r>
      <w:r>
        <w:rPr>
          <w:rFonts w:hint="eastAsia" w:ascii="仿宋" w:hAnsi="仿宋" w:eastAsia="仿宋"/>
          <w:sz w:val="32"/>
          <w:szCs w:val="32"/>
        </w:rPr>
        <w:t>万元、政府采购工程支出</w:t>
      </w:r>
      <w:r>
        <w:rPr>
          <w:rFonts w:ascii="仿宋" w:hAnsi="仿宋" w:eastAsia="仿宋"/>
          <w:sz w:val="32"/>
          <w:szCs w:val="32"/>
        </w:rPr>
        <w:t>0</w:t>
      </w:r>
      <w:r>
        <w:rPr>
          <w:rFonts w:hint="eastAsia" w:ascii="仿宋" w:hAnsi="仿宋" w:eastAsia="仿宋"/>
          <w:sz w:val="32"/>
          <w:szCs w:val="32"/>
        </w:rPr>
        <w:t>万元、政府采购服务支出</w:t>
      </w:r>
      <w:r>
        <w:rPr>
          <w:rFonts w:ascii="仿宋" w:hAnsi="仿宋" w:eastAsia="仿宋"/>
          <w:sz w:val="32"/>
          <w:szCs w:val="32"/>
        </w:rPr>
        <w:t>0</w:t>
      </w:r>
      <w:r>
        <w:rPr>
          <w:rFonts w:hint="eastAsia" w:ascii="仿宋" w:hAnsi="仿宋" w:eastAsia="仿宋"/>
          <w:sz w:val="32"/>
          <w:szCs w:val="32"/>
        </w:rPr>
        <w:t>万元。授予中小企业合同金额</w:t>
      </w:r>
      <w:r>
        <w:rPr>
          <w:rFonts w:ascii="仿宋" w:hAnsi="仿宋" w:eastAsia="仿宋"/>
          <w:sz w:val="32"/>
          <w:szCs w:val="32"/>
        </w:rPr>
        <w:t>0</w:t>
      </w:r>
      <w:r>
        <w:rPr>
          <w:rFonts w:hint="eastAsia" w:ascii="仿宋" w:hAnsi="仿宋" w:eastAsia="仿宋"/>
          <w:sz w:val="32"/>
          <w:szCs w:val="32"/>
        </w:rPr>
        <w:t>万元，占政府采购支出总额的</w:t>
      </w:r>
      <w:r>
        <w:rPr>
          <w:rFonts w:ascii="仿宋" w:hAnsi="仿宋" w:eastAsia="仿宋"/>
          <w:sz w:val="32"/>
          <w:szCs w:val="32"/>
        </w:rPr>
        <w:t>0%</w:t>
      </w:r>
      <w:r>
        <w:rPr>
          <w:rFonts w:hint="eastAsia" w:ascii="仿宋" w:hAnsi="仿宋" w:eastAsia="仿宋"/>
          <w:sz w:val="32"/>
          <w:szCs w:val="32"/>
        </w:rPr>
        <w:t>，其中：授予小微企业合同金额</w:t>
      </w:r>
      <w:r>
        <w:rPr>
          <w:rFonts w:ascii="仿宋" w:hAnsi="仿宋" w:eastAsia="仿宋"/>
          <w:sz w:val="32"/>
          <w:szCs w:val="32"/>
        </w:rPr>
        <w:t>0</w:t>
      </w:r>
      <w:r>
        <w:rPr>
          <w:rFonts w:hint="eastAsia" w:ascii="仿宋" w:hAnsi="仿宋" w:eastAsia="仿宋"/>
          <w:sz w:val="32"/>
          <w:szCs w:val="32"/>
        </w:rPr>
        <w:t>万元，占政府采购支出总额的</w:t>
      </w:r>
      <w:r>
        <w:rPr>
          <w:rFonts w:ascii="仿宋" w:hAnsi="仿宋" w:eastAsia="仿宋"/>
          <w:sz w:val="32"/>
          <w:szCs w:val="32"/>
        </w:rPr>
        <w:t>0%</w:t>
      </w:r>
      <w:r>
        <w:rPr>
          <w:rFonts w:hint="eastAsia" w:ascii="仿宋" w:hAnsi="仿宋" w:eastAsia="仿宋"/>
          <w:sz w:val="32"/>
          <w:szCs w:val="32"/>
        </w:rPr>
        <w:t>。</w:t>
      </w:r>
    </w:p>
    <w:p>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50" w:name="_Toc15377224"/>
      <w:r>
        <w:rPr>
          <w:rFonts w:hint="eastAsia" w:ascii="仿宋" w:hAnsi="仿宋" w:eastAsia="仿宋"/>
          <w:b/>
          <w:sz w:val="32"/>
          <w:szCs w:val="32"/>
        </w:rPr>
        <w:t>（三）国有资产占有使用情况</w:t>
      </w:r>
      <w:bookmarkEnd w:id="50"/>
    </w:p>
    <w:p>
      <w:pPr>
        <w:autoSpaceDE w:val="0"/>
        <w:autoSpaceDN w:val="0"/>
        <w:adjustRightInd w:val="0"/>
        <w:spacing w:line="600" w:lineRule="exact"/>
        <w:ind w:firstLine="640" w:firstLineChars="200"/>
        <w:jc w:val="left"/>
        <w:rPr>
          <w:rFonts w:ascii="仿宋" w:hAnsi="仿宋" w:eastAsia="仿宋"/>
          <w:sz w:val="32"/>
          <w:szCs w:val="32"/>
        </w:rPr>
      </w:pPr>
      <w:r>
        <w:rPr>
          <w:rFonts w:hint="eastAsia" w:ascii="仿宋" w:hAnsi="仿宋" w:eastAsia="仿宋"/>
          <w:sz w:val="32"/>
          <w:szCs w:val="32"/>
        </w:rPr>
        <w:t>截至</w:t>
      </w:r>
      <w:r>
        <w:rPr>
          <w:rFonts w:ascii="仿宋" w:hAnsi="仿宋" w:eastAsia="仿宋"/>
          <w:sz w:val="32"/>
          <w:szCs w:val="32"/>
        </w:rPr>
        <w:t>20</w:t>
      </w:r>
      <w:r>
        <w:rPr>
          <w:rFonts w:hint="eastAsia" w:ascii="仿宋" w:hAnsi="仿宋" w:eastAsia="仿宋"/>
          <w:sz w:val="32"/>
          <w:szCs w:val="32"/>
        </w:rPr>
        <w:t>22年</w:t>
      </w:r>
      <w:r>
        <w:rPr>
          <w:rFonts w:ascii="仿宋" w:hAnsi="仿宋" w:eastAsia="仿宋"/>
          <w:sz w:val="32"/>
          <w:szCs w:val="32"/>
        </w:rPr>
        <w:t>12</w:t>
      </w:r>
      <w:r>
        <w:rPr>
          <w:rFonts w:hint="eastAsia" w:ascii="仿宋" w:hAnsi="仿宋" w:eastAsia="仿宋"/>
          <w:sz w:val="32"/>
          <w:szCs w:val="32"/>
        </w:rPr>
        <w:t>月</w:t>
      </w:r>
      <w:r>
        <w:rPr>
          <w:rFonts w:ascii="仿宋" w:hAnsi="仿宋" w:eastAsia="仿宋"/>
          <w:sz w:val="32"/>
          <w:szCs w:val="32"/>
        </w:rPr>
        <w:t>31</w:t>
      </w:r>
      <w:r>
        <w:rPr>
          <w:rFonts w:hint="eastAsia" w:ascii="仿宋" w:hAnsi="仿宋" w:eastAsia="仿宋"/>
          <w:sz w:val="32"/>
          <w:szCs w:val="32"/>
        </w:rPr>
        <w:t>日，峨眉山市应急管理局共有车辆</w:t>
      </w:r>
      <w:r>
        <w:rPr>
          <w:rFonts w:ascii="仿宋" w:hAnsi="仿宋" w:eastAsia="仿宋"/>
          <w:sz w:val="32"/>
          <w:szCs w:val="32"/>
        </w:rPr>
        <w:t>4</w:t>
      </w:r>
      <w:r>
        <w:rPr>
          <w:rFonts w:hint="eastAsia" w:ascii="仿宋" w:hAnsi="仿宋" w:eastAsia="仿宋"/>
          <w:sz w:val="32"/>
          <w:szCs w:val="32"/>
        </w:rPr>
        <w:t>辆，其中：主要领导干部用车</w:t>
      </w:r>
      <w:r>
        <w:rPr>
          <w:rFonts w:ascii="仿宋" w:hAnsi="仿宋" w:eastAsia="仿宋"/>
          <w:sz w:val="32"/>
          <w:szCs w:val="32"/>
        </w:rPr>
        <w:t>0</w:t>
      </w:r>
      <w:r>
        <w:rPr>
          <w:rFonts w:hint="eastAsia" w:ascii="仿宋" w:hAnsi="仿宋" w:eastAsia="仿宋"/>
          <w:sz w:val="32"/>
          <w:szCs w:val="32"/>
        </w:rPr>
        <w:t>辆、机要通信用车</w:t>
      </w:r>
      <w:r>
        <w:rPr>
          <w:rFonts w:ascii="仿宋" w:hAnsi="仿宋" w:eastAsia="仿宋"/>
          <w:sz w:val="32"/>
          <w:szCs w:val="32"/>
        </w:rPr>
        <w:t>0</w:t>
      </w:r>
      <w:r>
        <w:rPr>
          <w:rFonts w:hint="eastAsia" w:ascii="仿宋" w:hAnsi="仿宋" w:eastAsia="仿宋"/>
          <w:sz w:val="32"/>
          <w:szCs w:val="32"/>
        </w:rPr>
        <w:t>辆、应急保障用车</w:t>
      </w:r>
      <w:r>
        <w:rPr>
          <w:rFonts w:ascii="仿宋" w:hAnsi="仿宋" w:eastAsia="仿宋"/>
          <w:sz w:val="32"/>
          <w:szCs w:val="32"/>
        </w:rPr>
        <w:t>0</w:t>
      </w:r>
      <w:r>
        <w:rPr>
          <w:rFonts w:hint="eastAsia" w:ascii="仿宋" w:hAnsi="仿宋" w:eastAsia="仿宋"/>
          <w:sz w:val="32"/>
          <w:szCs w:val="32"/>
        </w:rPr>
        <w:t>辆、特种专业技术用车1辆、其他用车</w:t>
      </w:r>
      <w:r>
        <w:rPr>
          <w:rFonts w:ascii="仿宋" w:hAnsi="仿宋" w:eastAsia="仿宋"/>
          <w:sz w:val="32"/>
          <w:szCs w:val="32"/>
        </w:rPr>
        <w:t>3</w:t>
      </w:r>
      <w:r>
        <w:rPr>
          <w:rFonts w:hint="eastAsia" w:ascii="仿宋" w:hAnsi="仿宋" w:eastAsia="仿宋"/>
          <w:sz w:val="32"/>
          <w:szCs w:val="32"/>
        </w:rPr>
        <w:t>辆，</w:t>
      </w:r>
      <w:r>
        <w:rPr>
          <w:rFonts w:hint="eastAsia" w:ascii="仿宋" w:hAnsi="仿宋" w:eastAsia="仿宋" w:cs="仿宋_GB2312"/>
          <w:sz w:val="32"/>
          <w:szCs w:val="32"/>
        </w:rPr>
        <w:t>主要是用于安全生产检查、矿山、危化企业安全督查、森林防灭火地质灾害点巡察以及防震减灾工作公务用车费用等。</w:t>
      </w:r>
      <w:r>
        <w:rPr>
          <w:rFonts w:hint="eastAsia" w:ascii="仿宋" w:hAnsi="仿宋" w:eastAsia="仿宋"/>
          <w:sz w:val="32"/>
          <w:szCs w:val="32"/>
        </w:rPr>
        <w:t>单价</w:t>
      </w:r>
      <w:r>
        <w:rPr>
          <w:rFonts w:ascii="仿宋" w:hAnsi="仿宋" w:eastAsia="仿宋"/>
          <w:sz w:val="32"/>
          <w:szCs w:val="32"/>
        </w:rPr>
        <w:t>100</w:t>
      </w:r>
      <w:r>
        <w:rPr>
          <w:rFonts w:hint="eastAsia" w:ascii="仿宋" w:hAnsi="仿宋" w:eastAsia="仿宋"/>
          <w:sz w:val="32"/>
          <w:szCs w:val="32"/>
        </w:rPr>
        <w:t>万元以上专用设备</w:t>
      </w:r>
      <w:r>
        <w:rPr>
          <w:rFonts w:ascii="仿宋" w:hAnsi="仿宋" w:eastAsia="仿宋"/>
          <w:sz w:val="32"/>
          <w:szCs w:val="32"/>
        </w:rPr>
        <w:t>0</w:t>
      </w:r>
      <w:r>
        <w:rPr>
          <w:rFonts w:hint="eastAsia" w:ascii="仿宋" w:hAnsi="仿宋" w:eastAsia="仿宋"/>
          <w:sz w:val="32"/>
          <w:szCs w:val="32"/>
        </w:rPr>
        <w:t>台（套）。</w:t>
      </w:r>
    </w:p>
    <w:p>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表，按单位决算报表填报数据罗列车辆情况。）</w:t>
      </w:r>
    </w:p>
    <w:p>
      <w:pPr>
        <w:pStyle w:val="2"/>
        <w:spacing w:before="93"/>
      </w:pPr>
    </w:p>
    <w:p>
      <w:pPr>
        <w:pStyle w:val="2"/>
        <w:spacing w:before="93"/>
      </w:pPr>
    </w:p>
    <w:p>
      <w:pPr>
        <w:pStyle w:val="2"/>
        <w:spacing w:before="93"/>
      </w:pP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pPr>
        <w:pStyle w:val="2"/>
        <w:spacing w:before="93"/>
        <w:ind w:firstLine="640" w:firstLineChars="200"/>
        <w:rPr>
          <w:rFonts w:ascii="仿宋" w:hAnsi="仿宋" w:eastAsia="仿宋"/>
          <w:highlight w:val="yellow"/>
        </w:rPr>
      </w:pPr>
      <w:r>
        <w:rPr>
          <w:rFonts w:hint="eastAsia" w:ascii="仿宋" w:hAnsi="仿宋" w:eastAsia="仿宋" w:cs="仿宋_GB2312"/>
          <w:sz w:val="32"/>
          <w:szCs w:val="32"/>
        </w:rPr>
        <w:t>根据预算绩效管理要求，本单位在2022年度预算编制阶段，组织对安全生产综合监管</w:t>
      </w:r>
      <w:r>
        <w:rPr>
          <w:rFonts w:hint="eastAsia" w:ascii="仿宋" w:hAnsi="仿宋" w:eastAsia="仿宋" w:cs="宋体"/>
          <w:sz w:val="32"/>
          <w:szCs w:val="32"/>
        </w:rPr>
        <w:t>信息平台运</w:t>
      </w:r>
      <w:r>
        <w:rPr>
          <w:rFonts w:hint="eastAsia" w:ascii="仿宋" w:hAnsi="仿宋" w:eastAsia="仿宋" w:cs="___WRD_EMBED_SUB_46"/>
          <w:sz w:val="32"/>
          <w:szCs w:val="32"/>
        </w:rPr>
        <w:t>行</w:t>
      </w:r>
      <w:r>
        <w:rPr>
          <w:rFonts w:hint="eastAsia" w:ascii="仿宋" w:hAnsi="仿宋" w:eastAsia="仿宋" w:cs="宋体"/>
          <w:sz w:val="32"/>
          <w:szCs w:val="32"/>
        </w:rPr>
        <w:t>维护</w:t>
      </w:r>
      <w:r>
        <w:rPr>
          <w:rFonts w:hint="eastAsia" w:ascii="仿宋" w:hAnsi="仿宋" w:eastAsia="仿宋" w:cs="仿宋_GB2312"/>
          <w:sz w:val="32"/>
          <w:szCs w:val="32"/>
        </w:rPr>
        <w:t>、自行</w:t>
      </w:r>
      <w:r>
        <w:rPr>
          <w:rFonts w:hint="eastAsia" w:ascii="仿宋" w:hAnsi="仿宋" w:eastAsia="仿宋" w:cs="宋体"/>
          <w:sz w:val="32"/>
          <w:szCs w:val="32"/>
        </w:rPr>
        <w:t>式炊</w:t>
      </w:r>
      <w:r>
        <w:rPr>
          <w:rFonts w:hint="eastAsia" w:ascii="仿宋" w:hAnsi="仿宋" w:eastAsia="仿宋" w:cs="___WRD_EMBED_SUB_46"/>
          <w:sz w:val="32"/>
          <w:szCs w:val="32"/>
        </w:rPr>
        <w:t>事</w:t>
      </w:r>
      <w:r>
        <w:rPr>
          <w:rFonts w:hint="eastAsia" w:ascii="仿宋" w:hAnsi="仿宋" w:eastAsia="仿宋" w:cs="宋体"/>
          <w:sz w:val="32"/>
          <w:szCs w:val="32"/>
        </w:rPr>
        <w:t>餐</w:t>
      </w:r>
      <w:r>
        <w:rPr>
          <w:rFonts w:hint="eastAsia" w:ascii="仿宋" w:hAnsi="仿宋" w:eastAsia="仿宋" w:cs="___WRD_EMBED_SUB_46"/>
          <w:sz w:val="32"/>
          <w:szCs w:val="32"/>
        </w:rPr>
        <w:t>车</w:t>
      </w:r>
      <w:r>
        <w:rPr>
          <w:rFonts w:hint="eastAsia" w:ascii="仿宋" w:hAnsi="仿宋" w:eastAsia="仿宋" w:cs="宋体"/>
          <w:sz w:val="32"/>
          <w:szCs w:val="32"/>
        </w:rPr>
        <w:t>购</w:t>
      </w:r>
      <w:r>
        <w:rPr>
          <w:rFonts w:hint="eastAsia" w:ascii="仿宋" w:hAnsi="仿宋" w:eastAsia="仿宋" w:cs="___WRD_EMBED_SUB_46"/>
          <w:sz w:val="32"/>
          <w:szCs w:val="32"/>
        </w:rPr>
        <w:t>置</w:t>
      </w:r>
      <w:r>
        <w:rPr>
          <w:rFonts w:hint="eastAsia" w:ascii="仿宋" w:hAnsi="仿宋" w:eastAsia="仿宋" w:cs="仿宋_GB2312"/>
          <w:sz w:val="32"/>
          <w:szCs w:val="32"/>
        </w:rPr>
        <w:t>、应急救援装备购置等</w:t>
      </w:r>
      <w:r>
        <w:rPr>
          <w:rFonts w:ascii="仿宋" w:hAnsi="仿宋" w:eastAsia="仿宋" w:cs="仿宋_GB2312"/>
          <w:sz w:val="32"/>
          <w:szCs w:val="32"/>
        </w:rPr>
        <w:t>3</w:t>
      </w:r>
      <w:r>
        <w:rPr>
          <w:rFonts w:hint="eastAsia" w:ascii="仿宋" w:hAnsi="仿宋" w:eastAsia="仿宋" w:cs="仿宋_GB2312"/>
          <w:sz w:val="32"/>
          <w:szCs w:val="32"/>
        </w:rPr>
        <w:t>个项目开展了预算事前绩效评估，对9个项目编制了绩效目标，预算执行过程中，选取9个项目开展绩效监控，组织对9个项目开展绩效自评，绩效自评表详见第四部分附件。</w:t>
      </w:r>
    </w:p>
    <w:p>
      <w:pPr>
        <w:pStyle w:val="2"/>
        <w:spacing w:before="93"/>
      </w:pPr>
    </w:p>
    <w:p>
      <w:pPr>
        <w:widowControl/>
        <w:jc w:val="left"/>
        <w:rPr>
          <w:rFonts w:ascii="仿宋_GB2312" w:eastAsia="仿宋_GB2312"/>
          <w:b/>
          <w:sz w:val="32"/>
          <w:szCs w:val="32"/>
        </w:rPr>
      </w:pPr>
      <w:r>
        <w:rPr>
          <w:rFonts w:ascii="仿宋_GB2312" w:eastAsia="仿宋_GB2312"/>
          <w:b/>
          <w:sz w:val="32"/>
          <w:szCs w:val="32"/>
        </w:rPr>
        <w:br w:type="page"/>
      </w:r>
    </w:p>
    <w:p>
      <w:pPr>
        <w:numPr>
          <w:ilvl w:val="0"/>
          <w:numId w:val="4"/>
        </w:numPr>
        <w:spacing w:line="600" w:lineRule="exact"/>
        <w:ind w:firstLine="660" w:firstLineChars="150"/>
        <w:jc w:val="center"/>
        <w:outlineLvl w:val="0"/>
        <w:rPr>
          <w:rStyle w:val="24"/>
          <w:rFonts w:ascii="黑体" w:hAnsi="黑体" w:eastAsia="黑体"/>
          <w:b w:val="0"/>
        </w:rPr>
      </w:pPr>
      <w:bookmarkStart w:id="51" w:name="_Toc15396613"/>
      <w:bookmarkStart w:id="52" w:name="_Toc15377225"/>
      <w:r>
        <w:rPr>
          <w:rFonts w:hint="eastAsia" w:ascii="黑体" w:hAnsi="黑体" w:eastAsia="黑体"/>
          <w:sz w:val="44"/>
          <w:szCs w:val="44"/>
        </w:rPr>
        <w:t>名</w:t>
      </w:r>
      <w:r>
        <w:rPr>
          <w:rStyle w:val="24"/>
          <w:rFonts w:hint="eastAsia" w:ascii="黑体" w:hAnsi="黑体" w:eastAsia="黑体"/>
          <w:b w:val="0"/>
        </w:rPr>
        <w:t>词解释</w:t>
      </w:r>
      <w:bookmarkEnd w:id="51"/>
      <w:bookmarkEnd w:id="52"/>
    </w:p>
    <w:p>
      <w:pPr>
        <w:spacing w:line="600" w:lineRule="exact"/>
        <w:jc w:val="left"/>
        <w:rPr>
          <w:rFonts w:ascii="宋体"/>
          <w:b/>
          <w:sz w:val="44"/>
          <w:szCs w:val="44"/>
        </w:rPr>
      </w:pPr>
    </w:p>
    <w:p>
      <w:pPr>
        <w:pStyle w:val="22"/>
        <w:spacing w:line="560" w:lineRule="exact"/>
        <w:ind w:firstLine="640" w:firstLineChars="200"/>
        <w:rPr>
          <w:rFonts w:hAnsi="仿宋"/>
          <w:color w:val="auto"/>
          <w:sz w:val="32"/>
          <w:szCs w:val="32"/>
        </w:rPr>
      </w:pPr>
      <w:r>
        <w:rPr>
          <w:rFonts w:hAnsi="仿宋"/>
          <w:color w:val="auto"/>
          <w:sz w:val="32"/>
          <w:szCs w:val="32"/>
        </w:rPr>
        <w:t>1.</w:t>
      </w:r>
      <w:r>
        <w:rPr>
          <w:rFonts w:hint="eastAsia" w:hAnsi="仿宋"/>
          <w:color w:val="auto"/>
          <w:sz w:val="32"/>
          <w:szCs w:val="32"/>
        </w:rPr>
        <w:t>财政拨款收入：指单位从同级财政部门取得的财政预算资金。</w:t>
      </w:r>
    </w:p>
    <w:p>
      <w:pPr>
        <w:pStyle w:val="22"/>
        <w:spacing w:line="560" w:lineRule="exact"/>
        <w:ind w:firstLine="640" w:firstLineChars="200"/>
        <w:rPr>
          <w:rFonts w:hAnsi="仿宋"/>
          <w:color w:val="auto"/>
          <w:sz w:val="32"/>
          <w:szCs w:val="32"/>
        </w:rPr>
      </w:pPr>
      <w:r>
        <w:rPr>
          <w:rFonts w:hAnsi="仿宋"/>
          <w:color w:val="auto"/>
          <w:sz w:val="32"/>
          <w:szCs w:val="32"/>
        </w:rPr>
        <w:t>2.</w:t>
      </w:r>
      <w:r>
        <w:rPr>
          <w:rFonts w:hint="eastAsia" w:hAnsi="仿宋"/>
          <w:color w:val="auto"/>
          <w:sz w:val="32"/>
          <w:szCs w:val="32"/>
        </w:rPr>
        <w:t>事业收入：指事业单位开展专业业务活动及辅助活动取得的收入。</w:t>
      </w:r>
    </w:p>
    <w:p>
      <w:pPr>
        <w:pStyle w:val="22"/>
        <w:spacing w:line="560" w:lineRule="exact"/>
        <w:ind w:firstLine="640" w:firstLineChars="200"/>
        <w:rPr>
          <w:rFonts w:hAnsi="仿宋"/>
          <w:color w:val="auto"/>
          <w:sz w:val="32"/>
          <w:szCs w:val="32"/>
        </w:rPr>
      </w:pPr>
      <w:r>
        <w:rPr>
          <w:rFonts w:hAnsi="仿宋"/>
          <w:color w:val="auto"/>
          <w:sz w:val="32"/>
          <w:szCs w:val="32"/>
        </w:rPr>
        <w:t>3.</w:t>
      </w:r>
      <w:r>
        <w:rPr>
          <w:rFonts w:hint="eastAsia" w:hAnsi="仿宋"/>
          <w:color w:val="auto"/>
          <w:sz w:val="32"/>
          <w:szCs w:val="32"/>
        </w:rPr>
        <w:t>经营收入：指事业单位在专业业务活动及其辅助活动之外开展非独立核算经营活动取得的收入。</w:t>
      </w:r>
      <w:r>
        <w:rPr>
          <w:rFonts w:hAnsi="仿宋"/>
          <w:color w:val="auto"/>
          <w:sz w:val="32"/>
          <w:szCs w:val="32"/>
        </w:rPr>
        <w:t>4.</w:t>
      </w:r>
      <w:r>
        <w:rPr>
          <w:rFonts w:hint="eastAsia" w:hAnsi="仿宋"/>
          <w:color w:val="auto"/>
          <w:sz w:val="32"/>
          <w:szCs w:val="32"/>
        </w:rPr>
        <w:t>其他收入：指单位取得的除上述收入以外的各项收入。</w:t>
      </w:r>
      <w:r>
        <w:rPr>
          <w:rFonts w:hAnsi="仿宋"/>
          <w:color w:val="auto"/>
          <w:sz w:val="32"/>
          <w:szCs w:val="32"/>
        </w:rPr>
        <w:t xml:space="preserve"> </w:t>
      </w:r>
    </w:p>
    <w:p>
      <w:pPr>
        <w:pStyle w:val="22"/>
        <w:spacing w:line="560" w:lineRule="exact"/>
        <w:ind w:firstLine="640" w:firstLineChars="200"/>
        <w:rPr>
          <w:rFonts w:hAnsi="仿宋"/>
          <w:color w:val="auto"/>
          <w:sz w:val="32"/>
          <w:szCs w:val="32"/>
        </w:rPr>
      </w:pPr>
      <w:r>
        <w:rPr>
          <w:rFonts w:hAnsi="仿宋"/>
          <w:color w:val="auto"/>
          <w:sz w:val="32"/>
          <w:szCs w:val="32"/>
        </w:rPr>
        <w:t>4.</w:t>
      </w:r>
      <w:r>
        <w:rPr>
          <w:rFonts w:hint="eastAsia" w:hAnsi="仿宋"/>
          <w:color w:val="auto"/>
          <w:sz w:val="32"/>
          <w:szCs w:val="32"/>
        </w:rPr>
        <w:t>使用非财政拨款结余：指事业单位使用以前年度积累的非财政拨款结余弥补当年收支差额的金额。</w:t>
      </w:r>
      <w:r>
        <w:rPr>
          <w:rFonts w:hAnsi="仿宋"/>
          <w:color w:val="auto"/>
          <w:sz w:val="32"/>
          <w:szCs w:val="32"/>
        </w:rPr>
        <w:t xml:space="preserve"> </w:t>
      </w:r>
    </w:p>
    <w:p>
      <w:pPr>
        <w:pStyle w:val="22"/>
        <w:spacing w:line="560" w:lineRule="exact"/>
        <w:ind w:firstLine="640" w:firstLineChars="200"/>
        <w:rPr>
          <w:rFonts w:hAnsi="仿宋"/>
          <w:color w:val="auto"/>
          <w:sz w:val="32"/>
          <w:szCs w:val="32"/>
        </w:rPr>
      </w:pPr>
      <w:r>
        <w:rPr>
          <w:rFonts w:hAnsi="仿宋"/>
          <w:color w:val="auto"/>
          <w:sz w:val="32"/>
          <w:szCs w:val="32"/>
        </w:rPr>
        <w:t>5.</w:t>
      </w:r>
      <w:r>
        <w:rPr>
          <w:rFonts w:hint="eastAsia" w:hAnsi="仿宋"/>
          <w:color w:val="auto"/>
          <w:sz w:val="32"/>
          <w:szCs w:val="32"/>
        </w:rPr>
        <w:t>年初结转和结余：指以前年度尚未完成、结转到本年按有关规定继续使用的资金。</w:t>
      </w:r>
      <w:r>
        <w:rPr>
          <w:rFonts w:hAnsi="仿宋"/>
          <w:color w:val="auto"/>
          <w:sz w:val="32"/>
          <w:szCs w:val="32"/>
        </w:rPr>
        <w:t xml:space="preserve"> </w:t>
      </w:r>
    </w:p>
    <w:p>
      <w:pPr>
        <w:pStyle w:val="22"/>
        <w:spacing w:line="560" w:lineRule="exact"/>
        <w:ind w:firstLine="640" w:firstLineChars="200"/>
        <w:rPr>
          <w:rFonts w:hAnsi="仿宋"/>
          <w:color w:val="auto"/>
          <w:sz w:val="32"/>
          <w:szCs w:val="32"/>
        </w:rPr>
      </w:pPr>
      <w:r>
        <w:rPr>
          <w:rFonts w:hAnsi="仿宋"/>
          <w:color w:val="auto"/>
          <w:sz w:val="32"/>
          <w:szCs w:val="32"/>
        </w:rPr>
        <w:t>6.</w:t>
      </w:r>
      <w:r>
        <w:rPr>
          <w:rFonts w:hint="eastAsia" w:hAnsi="仿宋"/>
          <w:color w:val="auto"/>
          <w:sz w:val="32"/>
          <w:szCs w:val="32"/>
        </w:rPr>
        <w:t>结余分配：指事业单位按照会计制度规定缴纳的所得税、提取的专用结余以及转入非财政拨款结余的金额等。</w:t>
      </w:r>
    </w:p>
    <w:p>
      <w:pPr>
        <w:pStyle w:val="22"/>
        <w:spacing w:line="560" w:lineRule="exact"/>
        <w:ind w:firstLine="640" w:firstLineChars="200"/>
        <w:rPr>
          <w:rFonts w:hAnsi="仿宋"/>
          <w:color w:val="auto"/>
          <w:sz w:val="32"/>
          <w:szCs w:val="32"/>
        </w:rPr>
      </w:pPr>
      <w:r>
        <w:rPr>
          <w:rFonts w:hAnsi="仿宋"/>
          <w:color w:val="auto"/>
          <w:sz w:val="32"/>
          <w:szCs w:val="32"/>
        </w:rPr>
        <w:t>7</w:t>
      </w:r>
      <w:r>
        <w:rPr>
          <w:rFonts w:hint="eastAsia" w:hAnsi="仿宋"/>
          <w:color w:val="auto"/>
          <w:sz w:val="32"/>
          <w:szCs w:val="32"/>
        </w:rPr>
        <w:t>.年末结转和结余：指单位按有关规定结转到下年或以后年度继续使用的资金。</w:t>
      </w:r>
    </w:p>
    <w:p>
      <w:pPr>
        <w:ind w:firstLine="640" w:firstLineChars="200"/>
        <w:rPr>
          <w:rFonts w:ascii="仿宋" w:hAnsi="仿宋" w:eastAsia="仿宋"/>
          <w:sz w:val="32"/>
          <w:szCs w:val="32"/>
        </w:rPr>
      </w:pPr>
      <w:r>
        <w:rPr>
          <w:rFonts w:ascii="仿宋" w:hAnsi="仿宋" w:eastAsia="仿宋"/>
          <w:sz w:val="32"/>
          <w:szCs w:val="32"/>
        </w:rPr>
        <w:t>8.</w:t>
      </w:r>
      <w:r>
        <w:rPr>
          <w:rFonts w:hint="eastAsia" w:ascii="仿宋_GB2312" w:hAnsi="Calibri" w:eastAsia="仿宋_GB2312" w:cs="仿宋"/>
          <w:color w:val="000000"/>
          <w:kern w:val="0"/>
          <w:sz w:val="32"/>
          <w:szCs w:val="32"/>
        </w:rPr>
        <w:t xml:space="preserve"> </w:t>
      </w:r>
      <w:r>
        <w:rPr>
          <w:rFonts w:hint="eastAsia" w:ascii="仿宋" w:hAnsi="仿宋" w:eastAsia="仿宋"/>
          <w:sz w:val="32"/>
          <w:szCs w:val="32"/>
        </w:rPr>
        <w:t>社会保障和就业（类）行政事业单位养老支出（款）机关事业单位基本养老保险缴费支出（项）：是指反映机关事业单位实施养老保险制度由单位缴纳的基本养老保险支出。</w:t>
      </w:r>
    </w:p>
    <w:p>
      <w:pPr>
        <w:ind w:firstLine="640" w:firstLineChars="200"/>
        <w:rPr>
          <w:rFonts w:ascii="仿宋" w:hAnsi="仿宋" w:eastAsia="仿宋"/>
          <w:sz w:val="32"/>
          <w:szCs w:val="32"/>
        </w:rPr>
      </w:pPr>
      <w:r>
        <w:rPr>
          <w:rFonts w:ascii="仿宋" w:hAnsi="仿宋" w:eastAsia="仿宋"/>
          <w:sz w:val="32"/>
          <w:szCs w:val="32"/>
        </w:rPr>
        <w:t>9</w:t>
      </w:r>
      <w:r>
        <w:rPr>
          <w:rFonts w:hint="eastAsia" w:ascii="仿宋" w:hAnsi="仿宋" w:eastAsia="仿宋"/>
          <w:sz w:val="32"/>
          <w:szCs w:val="32"/>
        </w:rPr>
        <w:t>.社会保障和就业（类）行政事业单位养老支出（款）机关事业单位职业年金缴费支出（项）：是指反映机关事业单位实施养老保险制度由单位缴纳的职业年金支出。</w:t>
      </w:r>
    </w:p>
    <w:p>
      <w:pPr>
        <w:pStyle w:val="2"/>
        <w:spacing w:before="93"/>
        <w:ind w:firstLine="640" w:firstLineChars="200"/>
      </w:pPr>
      <w:r>
        <w:rPr>
          <w:rFonts w:ascii="仿宋" w:hAnsi="仿宋" w:eastAsia="仿宋"/>
          <w:sz w:val="32"/>
          <w:szCs w:val="32"/>
        </w:rPr>
        <w:t>10.</w:t>
      </w:r>
      <w:r>
        <w:rPr>
          <w:rFonts w:hint="eastAsia" w:ascii="仿宋" w:hAnsi="仿宋" w:eastAsia="仿宋"/>
          <w:sz w:val="32"/>
          <w:szCs w:val="32"/>
        </w:rPr>
        <w:t>社会保障和就业（类）抚恤（款）死亡抚恤（项）:反映按规定用于烈士和牺牲、病故人员家属的一次性和定期抚恤金、丧葬补助费以及烈士褒扬金。</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1</w:t>
      </w:r>
      <w:r>
        <w:rPr>
          <w:rFonts w:hint="eastAsia" w:ascii="仿宋" w:hAnsi="仿宋" w:eastAsia="仿宋"/>
          <w:sz w:val="32"/>
          <w:szCs w:val="32"/>
        </w:rPr>
        <w:t>.社会保障和就业（类）抚恤（款）其他优抚支出（项）:反映除上述项目以外其他用于优抚方面的支出，包括向优抚对象发放的价格临时补贴等支出。</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sz w:val="32"/>
          <w:szCs w:val="32"/>
        </w:rPr>
        <w:t>社会保障和就业（类）其他社会保障和就业支出（款）其他社会保障和就业支出（项）:是指反映除上述项目以外其他用于社会保障和就业方面的支出。</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3.</w:t>
      </w:r>
      <w:r>
        <w:rPr>
          <w:rFonts w:hint="eastAsia" w:ascii="仿宋" w:hAnsi="仿宋" w:eastAsia="仿宋"/>
          <w:sz w:val="32"/>
          <w:szCs w:val="32"/>
        </w:rPr>
        <w:t>卫生健康（类）行政事业单位医疗（款）行政单位医疗（项）:是指反映财政部门集中安排的行政单位基本医疗保险缴费经费，未参加医疗保险的行政单位的公费医疗经费，按国家规定享受离退休人员、红军老战士待遇人员的医疗经费。</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r>
        <w:rPr>
          <w:rFonts w:hint="eastAsia" w:ascii="仿宋" w:hAnsi="仿宋" w:eastAsia="仿宋"/>
          <w:sz w:val="32"/>
          <w:szCs w:val="32"/>
        </w:rPr>
        <w:t>卫生健康（类）行政事业单位医疗（款）事业单位医疗（项）:</w:t>
      </w:r>
      <w:r>
        <w:rPr>
          <w:rFonts w:ascii="仿宋" w:hAnsi="仿宋" w:eastAsia="仿宋"/>
          <w:sz w:val="32"/>
          <w:szCs w:val="32"/>
        </w:rPr>
        <w:t xml:space="preserve"> 反映财政部门安排的事业单位基本医疗保险缴费经费，未参加医疗保险的事业单位的公费医疗经费，按国家规定享受离休人员待遇的医疗经费</w:t>
      </w:r>
      <w:r>
        <w:rPr>
          <w:rFonts w:hint="eastAsia"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5.</w:t>
      </w:r>
      <w:r>
        <w:rPr>
          <w:rFonts w:hint="eastAsia" w:ascii="仿宋" w:hAnsi="仿宋" w:eastAsia="仿宋"/>
          <w:sz w:val="32"/>
          <w:szCs w:val="32"/>
        </w:rPr>
        <w:t>城乡社区（类）国有土地使用权出让收入安排的支出（款）土地开发支出（项）:</w:t>
      </w:r>
      <w:r>
        <w:rPr>
          <w:rFonts w:ascii="仿宋" w:hAnsi="仿宋" w:eastAsia="仿宋"/>
          <w:sz w:val="32"/>
          <w:szCs w:val="32"/>
        </w:rPr>
        <w:t xml:space="preserve"> 反映</w:t>
      </w:r>
      <w:r>
        <w:rPr>
          <w:rFonts w:hint="eastAsia" w:ascii="仿宋" w:hAnsi="仿宋" w:eastAsia="仿宋"/>
          <w:sz w:val="32"/>
          <w:szCs w:val="32"/>
        </w:rPr>
        <w:t>新疆生产建设兵团和地方政府用于前期土地开发性支出以及与前期土地开发相关的费用等支出。</w:t>
      </w:r>
    </w:p>
    <w:p>
      <w:pPr>
        <w:ind w:firstLine="640" w:firstLineChars="200"/>
        <w:rPr>
          <w:rFonts w:ascii="仿宋" w:hAnsi="仿宋" w:eastAsia="仿宋"/>
          <w:sz w:val="32"/>
          <w:szCs w:val="32"/>
        </w:rPr>
      </w:pPr>
      <w:r>
        <w:rPr>
          <w:rFonts w:ascii="仿宋" w:hAnsi="仿宋" w:eastAsia="仿宋"/>
          <w:sz w:val="32"/>
          <w:szCs w:val="32"/>
        </w:rPr>
        <w:t>16.</w:t>
      </w:r>
      <w:r>
        <w:rPr>
          <w:rFonts w:hint="eastAsia" w:ascii="仿宋" w:hAnsi="仿宋" w:eastAsia="仿宋"/>
          <w:sz w:val="32"/>
          <w:szCs w:val="32"/>
        </w:rPr>
        <w:t>城乡社区（类）国有土地使用权出让收入安排的支出（款）其他国有土地使用权出让收入安排的支出（项）:</w:t>
      </w:r>
      <w:r>
        <w:rPr>
          <w:rFonts w:ascii="仿宋" w:hAnsi="仿宋" w:eastAsia="仿宋"/>
          <w:sz w:val="32"/>
          <w:szCs w:val="32"/>
        </w:rPr>
        <w:t xml:space="preserve"> 反映</w:t>
      </w:r>
      <w:r>
        <w:rPr>
          <w:rFonts w:hint="eastAsia" w:ascii="仿宋" w:hAnsi="仿宋" w:eastAsia="仿宋"/>
          <w:sz w:val="32"/>
          <w:szCs w:val="32"/>
        </w:rPr>
        <w:t>土地出让收入用于其他方面的支出。不包括市县级政府当年按规定用土地收入向中央和省级政府缴纳的新增建设用地土地有偿使用费的支出。</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7.</w:t>
      </w:r>
      <w:r>
        <w:rPr>
          <w:rFonts w:hint="eastAsia" w:ascii="仿宋" w:hAnsi="仿宋" w:eastAsia="仿宋"/>
          <w:sz w:val="32"/>
          <w:szCs w:val="32"/>
        </w:rPr>
        <w:t>住房保障支出（类）住房改革支出（款）住房公积金（项）:是指反映行政事业单位按人力资源和社会保障部、财政部规定的基本工资和津贴补贴以及规定比例为职工缴纳的住房公积金。</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8.</w:t>
      </w:r>
      <w:r>
        <w:rPr>
          <w:rFonts w:hint="eastAsia" w:ascii="仿宋" w:hAnsi="仿宋" w:eastAsia="仿宋"/>
          <w:sz w:val="32"/>
          <w:szCs w:val="32"/>
        </w:rPr>
        <w:t>灾害防治及应急管理（类）应急管理事务（款）行政运行（项）:</w:t>
      </w:r>
      <w:r>
        <w:rPr>
          <w:rFonts w:ascii="仿宋" w:hAnsi="仿宋" w:eastAsia="仿宋"/>
          <w:sz w:val="32"/>
          <w:szCs w:val="32"/>
        </w:rPr>
        <w:t xml:space="preserve"> 反映</w:t>
      </w:r>
      <w:r>
        <w:rPr>
          <w:rFonts w:hint="eastAsia" w:ascii="仿宋" w:hAnsi="仿宋" w:eastAsia="仿宋"/>
          <w:sz w:val="32"/>
          <w:szCs w:val="32"/>
        </w:rPr>
        <w:t>应急管理</w:t>
      </w:r>
      <w:r>
        <w:rPr>
          <w:rFonts w:ascii="仿宋" w:hAnsi="仿宋" w:eastAsia="仿宋"/>
          <w:sz w:val="32"/>
          <w:szCs w:val="32"/>
        </w:rPr>
        <w:t>行政单位（包括实行公务员管理的事业单位）的基本支出。</w:t>
      </w:r>
    </w:p>
    <w:p>
      <w:pPr>
        <w:ind w:firstLine="640" w:firstLineChars="200"/>
        <w:rPr>
          <w:rFonts w:ascii="仿宋" w:hAnsi="仿宋" w:eastAsia="仿宋"/>
          <w:sz w:val="32"/>
          <w:szCs w:val="32"/>
        </w:rPr>
      </w:pPr>
      <w:r>
        <w:rPr>
          <w:rFonts w:ascii="仿宋" w:hAnsi="仿宋" w:eastAsia="仿宋"/>
          <w:sz w:val="32"/>
          <w:szCs w:val="32"/>
        </w:rPr>
        <w:t>19.</w:t>
      </w:r>
      <w:r>
        <w:rPr>
          <w:rFonts w:hint="eastAsia" w:ascii="仿宋" w:hAnsi="仿宋" w:eastAsia="仿宋"/>
          <w:sz w:val="32"/>
          <w:szCs w:val="32"/>
        </w:rPr>
        <w:t>灾害防治及应急管理（类）应急管理事务（款）应急救援（项）:</w:t>
      </w:r>
      <w:r>
        <w:rPr>
          <w:rFonts w:ascii="仿宋" w:hAnsi="仿宋" w:eastAsia="仿宋"/>
          <w:sz w:val="32"/>
          <w:szCs w:val="32"/>
        </w:rPr>
        <w:t xml:space="preserve"> 反映</w:t>
      </w:r>
      <w:r>
        <w:rPr>
          <w:rFonts w:hint="eastAsia" w:ascii="仿宋" w:hAnsi="仿宋" w:eastAsia="仿宋"/>
          <w:sz w:val="32"/>
          <w:szCs w:val="32"/>
        </w:rPr>
        <w:t>安全生产、自然灾害应急救援方面的支出</w:t>
      </w:r>
      <w:r>
        <w:rPr>
          <w:rFonts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w:t>
      </w:r>
      <w:r>
        <w:rPr>
          <w:rFonts w:hint="eastAsia" w:ascii="仿宋" w:hAnsi="仿宋" w:eastAsia="仿宋"/>
          <w:sz w:val="32"/>
          <w:szCs w:val="32"/>
        </w:rPr>
        <w:t>灾害防治及应急管理（类）应急管理事务（款）应急管理（项）:</w:t>
      </w:r>
      <w:r>
        <w:rPr>
          <w:rFonts w:ascii="仿宋" w:hAnsi="仿宋" w:eastAsia="仿宋"/>
          <w:sz w:val="32"/>
          <w:szCs w:val="32"/>
        </w:rPr>
        <w:t xml:space="preserve"> 反映</w:t>
      </w:r>
      <w:r>
        <w:rPr>
          <w:rFonts w:hint="eastAsia" w:ascii="仿宋" w:hAnsi="仿宋" w:eastAsia="仿宋"/>
          <w:sz w:val="32"/>
          <w:szCs w:val="32"/>
        </w:rPr>
        <w:t>用于应急管理的法律法规制定修订，应急预案演练、协调保障等方面的支出</w:t>
      </w:r>
      <w:r>
        <w:rPr>
          <w:rFonts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1</w:t>
      </w:r>
      <w:r>
        <w:rPr>
          <w:rFonts w:hint="eastAsia" w:ascii="仿宋" w:hAnsi="仿宋" w:eastAsia="仿宋"/>
          <w:sz w:val="32"/>
          <w:szCs w:val="32"/>
        </w:rPr>
        <w:t>.灾害防治及应急管理（类）应急管理事务（款）事业运行（项）:</w:t>
      </w:r>
      <w:r>
        <w:rPr>
          <w:rFonts w:ascii="仿宋" w:hAnsi="仿宋" w:eastAsia="仿宋"/>
          <w:sz w:val="32"/>
          <w:szCs w:val="32"/>
        </w:rPr>
        <w:t xml:space="preserve"> 反映事业单位的基本支出，不包括行政单位（包括实行公务员管理的事业单位）后勤服务中心、医务室等附属事业单位。</w:t>
      </w:r>
    </w:p>
    <w:p>
      <w:pPr>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2</w:t>
      </w:r>
      <w:r>
        <w:rPr>
          <w:rFonts w:hint="eastAsia" w:ascii="仿宋" w:hAnsi="仿宋" w:eastAsia="仿宋"/>
          <w:sz w:val="32"/>
          <w:szCs w:val="32"/>
        </w:rPr>
        <w:t>.灾害防治及应急管理（类）应急管理事务（款）其他应急管理支出（项）:</w:t>
      </w:r>
      <w:r>
        <w:rPr>
          <w:rFonts w:ascii="仿宋" w:hAnsi="仿宋" w:eastAsia="仿宋"/>
          <w:sz w:val="32"/>
          <w:szCs w:val="32"/>
        </w:rPr>
        <w:t xml:space="preserve"> 反映除上述项目外的其他应急管理方面的支出。</w:t>
      </w:r>
    </w:p>
    <w:p>
      <w:pPr>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3</w:t>
      </w:r>
      <w:r>
        <w:rPr>
          <w:rFonts w:hint="eastAsia" w:ascii="仿宋" w:hAnsi="仿宋" w:eastAsia="仿宋"/>
          <w:sz w:val="32"/>
          <w:szCs w:val="32"/>
        </w:rPr>
        <w:t>.灾害防治及应急管理（类）自然灾害救灾及恢复重建支出（款）自然灾害救灾补助（项）:</w:t>
      </w:r>
      <w:r>
        <w:rPr>
          <w:rFonts w:ascii="仿宋" w:hAnsi="仿宋" w:eastAsia="仿宋"/>
          <w:sz w:val="32"/>
          <w:szCs w:val="32"/>
        </w:rPr>
        <w:t xml:space="preserve"> 反映</w:t>
      </w:r>
      <w:r>
        <w:rPr>
          <w:rFonts w:hint="eastAsia" w:ascii="仿宋" w:hAnsi="仿宋" w:eastAsia="仿宋"/>
          <w:sz w:val="32"/>
          <w:szCs w:val="32"/>
        </w:rPr>
        <w:t>用于应对重大自然灾害应急救援和受灾群众救助</w:t>
      </w:r>
      <w:r>
        <w:rPr>
          <w:rFonts w:ascii="仿宋" w:hAnsi="仿宋" w:eastAsia="仿宋"/>
          <w:sz w:val="32"/>
          <w:szCs w:val="32"/>
        </w:rPr>
        <w:t>的支出。</w:t>
      </w:r>
    </w:p>
    <w:p>
      <w:pPr>
        <w:ind w:firstLine="640" w:firstLineChars="200"/>
        <w:rPr>
          <w:rFonts w:ascii="仿宋" w:hAnsi="仿宋" w:eastAsia="仿宋"/>
          <w:sz w:val="32"/>
          <w:szCs w:val="32"/>
        </w:rPr>
      </w:pPr>
      <w:r>
        <w:rPr>
          <w:rFonts w:ascii="仿宋" w:hAnsi="仿宋" w:eastAsia="仿宋"/>
          <w:sz w:val="32"/>
          <w:szCs w:val="32"/>
        </w:rPr>
        <w:t>24.</w:t>
      </w:r>
      <w:r>
        <w:rPr>
          <w:rFonts w:hint="eastAsia" w:ascii="仿宋" w:hAnsi="仿宋" w:eastAsia="仿宋"/>
          <w:sz w:val="32"/>
          <w:szCs w:val="32"/>
        </w:rPr>
        <w:t>基本支出：指为保障机构正常运转、完成日常工作任务而发生的人员支出和公用支出。</w:t>
      </w:r>
    </w:p>
    <w:p>
      <w:pPr>
        <w:ind w:firstLine="640" w:firstLineChars="200"/>
        <w:rPr>
          <w:rFonts w:ascii="仿宋" w:hAnsi="仿宋" w:eastAsia="仿宋"/>
          <w:sz w:val="32"/>
          <w:szCs w:val="32"/>
        </w:rPr>
      </w:pPr>
      <w:r>
        <w:rPr>
          <w:rFonts w:ascii="仿宋" w:hAnsi="仿宋" w:eastAsia="仿宋"/>
          <w:sz w:val="32"/>
          <w:szCs w:val="32"/>
        </w:rPr>
        <w:t>25.</w:t>
      </w:r>
      <w:r>
        <w:rPr>
          <w:rFonts w:hint="eastAsia" w:ascii="仿宋" w:hAnsi="仿宋" w:eastAsia="仿宋"/>
          <w:sz w:val="32"/>
          <w:szCs w:val="32"/>
        </w:rPr>
        <w:t>项目支出：指在基本支出之外为完成特定行政任务和事业发展目标所发生的支出。</w:t>
      </w:r>
      <w:r>
        <w:rPr>
          <w:rFonts w:ascii="仿宋" w:hAnsi="仿宋" w:eastAsia="仿宋"/>
          <w:sz w:val="32"/>
          <w:szCs w:val="32"/>
        </w:rPr>
        <w:t xml:space="preserve"> </w:t>
      </w:r>
    </w:p>
    <w:p>
      <w:pPr>
        <w:ind w:firstLine="640" w:firstLineChars="200"/>
        <w:rPr>
          <w:rFonts w:ascii="仿宋" w:hAnsi="仿宋" w:eastAsia="仿宋"/>
          <w:sz w:val="32"/>
          <w:szCs w:val="32"/>
        </w:rPr>
      </w:pPr>
      <w:r>
        <w:rPr>
          <w:rFonts w:ascii="仿宋" w:hAnsi="仿宋" w:eastAsia="仿宋"/>
          <w:sz w:val="32"/>
          <w:szCs w:val="32"/>
        </w:rPr>
        <w:t>26.</w:t>
      </w:r>
      <w:r>
        <w:rPr>
          <w:rFonts w:hint="eastAsia" w:ascii="仿宋" w:hAnsi="仿宋" w:eastAsia="仿宋"/>
          <w:sz w:val="32"/>
          <w:szCs w:val="32"/>
        </w:rPr>
        <w:t>经营支出：指事业单位在专业业务活动及其辅助活动之外开展非独立核算经营活动发生的支出。</w:t>
      </w:r>
    </w:p>
    <w:p>
      <w:pPr>
        <w:pStyle w:val="22"/>
        <w:spacing w:line="560" w:lineRule="exact"/>
        <w:ind w:firstLine="640" w:firstLineChars="200"/>
        <w:rPr>
          <w:rFonts w:hAnsi="仿宋"/>
          <w:color w:val="auto"/>
          <w:sz w:val="32"/>
          <w:szCs w:val="32"/>
        </w:rPr>
      </w:pPr>
      <w:r>
        <w:rPr>
          <w:rFonts w:hAnsi="仿宋"/>
          <w:color w:val="auto"/>
          <w:sz w:val="32"/>
          <w:szCs w:val="32"/>
        </w:rPr>
        <w:t>27.</w:t>
      </w:r>
      <w:r>
        <w:rPr>
          <w:rFonts w:hint="eastAsia" w:hAnsi="仿宋"/>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2"/>
        <w:spacing w:line="560" w:lineRule="exact"/>
        <w:ind w:firstLine="640" w:firstLineChars="200"/>
        <w:rPr>
          <w:rFonts w:hAnsi="仿宋"/>
          <w:color w:val="auto"/>
          <w:sz w:val="32"/>
          <w:szCs w:val="32"/>
        </w:rPr>
      </w:pPr>
      <w:r>
        <w:rPr>
          <w:rFonts w:hAnsi="仿宋"/>
          <w:color w:val="auto"/>
          <w:sz w:val="32"/>
          <w:szCs w:val="32"/>
        </w:rPr>
        <w:t>28.</w:t>
      </w:r>
      <w:r>
        <w:rPr>
          <w:rFonts w:hint="eastAsia" w:hAnsi="仿宋"/>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2"/>
        <w:spacing w:before="93"/>
      </w:pPr>
    </w:p>
    <w:p>
      <w:pPr>
        <w:pStyle w:val="2"/>
        <w:spacing w:before="93"/>
      </w:pPr>
    </w:p>
    <w:p>
      <w:pPr>
        <w:pStyle w:val="2"/>
        <w:spacing w:before="93"/>
      </w:pPr>
    </w:p>
    <w:p>
      <w:pPr>
        <w:pStyle w:val="2"/>
        <w:spacing w:before="93"/>
      </w:pPr>
    </w:p>
    <w:p>
      <w:pPr>
        <w:pStyle w:val="2"/>
        <w:spacing w:before="93"/>
      </w:pPr>
    </w:p>
    <w:p>
      <w:pPr>
        <w:pStyle w:val="2"/>
        <w:spacing w:before="93"/>
      </w:pPr>
    </w:p>
    <w:p>
      <w:pPr>
        <w:spacing w:line="600" w:lineRule="exact"/>
        <w:jc w:val="center"/>
        <w:outlineLvl w:val="0"/>
        <w:rPr>
          <w:rFonts w:ascii="黑体" w:hAnsi="黑体" w:eastAsia="黑体"/>
          <w:sz w:val="44"/>
          <w:szCs w:val="44"/>
          <w:highlight w:val="yellow"/>
        </w:rPr>
      </w:pPr>
      <w:bookmarkStart w:id="53" w:name="_Toc15396614"/>
      <w:bookmarkStart w:id="54" w:name="_Toc15377226"/>
    </w:p>
    <w:p>
      <w:pPr>
        <w:pStyle w:val="2"/>
        <w:spacing w:before="93"/>
        <w:rPr>
          <w:rFonts w:eastAsiaTheme="minorEastAsia"/>
          <w:highlight w:val="yellow"/>
        </w:rPr>
      </w:pPr>
    </w:p>
    <w:p>
      <w:pPr>
        <w:pStyle w:val="2"/>
        <w:spacing w:before="93"/>
        <w:rPr>
          <w:rFonts w:eastAsiaTheme="minorEastAsia"/>
          <w:highlight w:val="yellow"/>
        </w:rPr>
      </w:pPr>
    </w:p>
    <w:p>
      <w:pPr>
        <w:pStyle w:val="2"/>
        <w:spacing w:before="93"/>
        <w:rPr>
          <w:rFonts w:eastAsiaTheme="minorEastAsia"/>
          <w:highlight w:val="yellow"/>
        </w:rPr>
      </w:pPr>
    </w:p>
    <w:p>
      <w:pPr>
        <w:pStyle w:val="2"/>
        <w:spacing w:before="93"/>
        <w:rPr>
          <w:rFonts w:eastAsiaTheme="minorEastAsia"/>
          <w:highlight w:val="yellow"/>
        </w:rPr>
      </w:pPr>
    </w:p>
    <w:p>
      <w:pPr>
        <w:pStyle w:val="2"/>
        <w:spacing w:before="93"/>
        <w:rPr>
          <w:rFonts w:eastAsiaTheme="minorEastAsia"/>
          <w:highlight w:val="yellow"/>
        </w:rPr>
      </w:pPr>
    </w:p>
    <w:p>
      <w:pPr>
        <w:pStyle w:val="2"/>
        <w:spacing w:before="93"/>
        <w:rPr>
          <w:rFonts w:eastAsiaTheme="minorEastAsia"/>
          <w:highlight w:val="yellow"/>
        </w:rPr>
      </w:pPr>
    </w:p>
    <w:p>
      <w:pPr>
        <w:spacing w:line="600" w:lineRule="exact"/>
        <w:jc w:val="center"/>
        <w:outlineLvl w:val="0"/>
        <w:rPr>
          <w:rStyle w:val="24"/>
          <w:rFonts w:ascii="黑体" w:hAnsi="黑体" w:eastAsia="黑体"/>
          <w:b w:val="0"/>
        </w:rPr>
      </w:pPr>
      <w:r>
        <w:rPr>
          <w:rFonts w:hint="eastAsia" w:ascii="黑体" w:hAnsi="黑体" w:eastAsia="黑体"/>
          <w:sz w:val="44"/>
          <w:szCs w:val="44"/>
        </w:rPr>
        <w:t>第</w:t>
      </w:r>
      <w:r>
        <w:rPr>
          <w:rStyle w:val="24"/>
          <w:rFonts w:hint="eastAsia" w:ascii="黑体" w:hAnsi="黑体" w:eastAsia="黑体"/>
          <w:b w:val="0"/>
        </w:rPr>
        <w:t>四部分 附件</w:t>
      </w:r>
      <w:bookmarkEnd w:id="53"/>
    </w:p>
    <w:p>
      <w:pPr>
        <w:spacing w:line="572" w:lineRule="exact"/>
        <w:jc w:val="left"/>
        <w:outlineLvl w:val="0"/>
        <w:rPr>
          <w:rFonts w:ascii="Cambria" w:hAnsi="Cambria" w:eastAsia="仿宋_GB2312" w:cs="仿宋_GB2312"/>
          <w:b/>
          <w:bCs/>
          <w:sz w:val="32"/>
          <w:szCs w:val="32"/>
        </w:rPr>
      </w:pPr>
      <w:r>
        <w:rPr>
          <w:rFonts w:hint="eastAsia" w:ascii="仿宋_GB2312" w:hAnsi="仿宋_GB2312" w:eastAsia="仿宋_GB2312" w:cs="仿宋_GB2312"/>
          <w:b/>
          <w:bCs/>
          <w:sz w:val="32"/>
          <w:szCs w:val="32"/>
        </w:rPr>
        <w:t>附件</w:t>
      </w:r>
      <w:r>
        <w:rPr>
          <w:rFonts w:hint="eastAsia" w:ascii="Cambria" w:hAnsi="Cambria" w:eastAsia="仿宋_GB2312" w:cs="仿宋_GB2312"/>
          <w:b/>
          <w:bCs/>
          <w:sz w:val="32"/>
          <w:szCs w:val="32"/>
        </w:rPr>
        <w:t>1</w:t>
      </w:r>
      <w:r>
        <w:rPr>
          <w:rFonts w:ascii="Cambria" w:hAnsi="Cambria" w:eastAsia="仿宋_GB2312" w:cs="仿宋_GB2312"/>
          <w:b/>
          <w:bCs/>
          <w:sz w:val="32"/>
          <w:szCs w:val="32"/>
        </w:rPr>
        <w:t>-1</w:t>
      </w:r>
    </w:p>
    <w:tbl>
      <w:tblPr>
        <w:tblStyle w:val="12"/>
        <w:tblW w:w="9063" w:type="dxa"/>
        <w:tblInd w:w="113" w:type="dxa"/>
        <w:tblLayout w:type="autofit"/>
        <w:tblCellMar>
          <w:top w:w="0" w:type="dxa"/>
          <w:left w:w="108" w:type="dxa"/>
          <w:bottom w:w="0" w:type="dxa"/>
          <w:right w:w="108" w:type="dxa"/>
        </w:tblCellMar>
      </w:tblPr>
      <w:tblGrid>
        <w:gridCol w:w="774"/>
        <w:gridCol w:w="775"/>
        <w:gridCol w:w="1072"/>
        <w:gridCol w:w="1072"/>
        <w:gridCol w:w="607"/>
        <w:gridCol w:w="607"/>
        <w:gridCol w:w="609"/>
        <w:gridCol w:w="966"/>
        <w:gridCol w:w="861"/>
        <w:gridCol w:w="861"/>
        <w:gridCol w:w="859"/>
      </w:tblGrid>
      <w:tr>
        <w:tblPrEx>
          <w:tblCellMar>
            <w:top w:w="0" w:type="dxa"/>
            <w:left w:w="108" w:type="dxa"/>
            <w:bottom w:w="0" w:type="dxa"/>
            <w:right w:w="108" w:type="dxa"/>
          </w:tblCellMar>
        </w:tblPrEx>
        <w:trPr>
          <w:trHeight w:val="576" w:hRule="atLeast"/>
        </w:trPr>
        <w:tc>
          <w:tcPr>
            <w:tcW w:w="90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bookmarkStart w:id="55" w:name="_Toc15396618"/>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545" w:hRule="atLeast"/>
        </w:trPr>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项目名称</w:t>
            </w:r>
          </w:p>
        </w:tc>
        <w:tc>
          <w:tcPr>
            <w:tcW w:w="7513"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51118122T000000398304-安全生产综合监管信息平台运行维护</w:t>
            </w:r>
          </w:p>
        </w:tc>
      </w:tr>
      <w:tr>
        <w:tblPrEx>
          <w:tblCellMar>
            <w:top w:w="0" w:type="dxa"/>
            <w:left w:w="108" w:type="dxa"/>
            <w:bottom w:w="0" w:type="dxa"/>
            <w:right w:w="108" w:type="dxa"/>
          </w:tblCellMar>
        </w:tblPrEx>
        <w:trPr>
          <w:trHeight w:val="485" w:hRule="atLeast"/>
        </w:trPr>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主管部门</w:t>
            </w:r>
          </w:p>
        </w:tc>
        <w:tc>
          <w:tcPr>
            <w:tcW w:w="3967"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应急管理局</w:t>
            </w:r>
          </w:p>
        </w:tc>
        <w:tc>
          <w:tcPr>
            <w:tcW w:w="965" w:type="dxa"/>
            <w:tcBorders>
              <w:top w:val="nil"/>
              <w:left w:val="nil"/>
              <w:bottom w:val="nil"/>
              <w:right w:val="nil"/>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实施单位 （盖章）</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峨眉山市应急管理局</w:t>
            </w:r>
          </w:p>
        </w:tc>
      </w:tr>
      <w:tr>
        <w:tblPrEx>
          <w:tblCellMar>
            <w:top w:w="0" w:type="dxa"/>
            <w:left w:w="108" w:type="dxa"/>
            <w:bottom w:w="0" w:type="dxa"/>
            <w:right w:w="108" w:type="dxa"/>
          </w:tblCellMar>
        </w:tblPrEx>
        <w:trPr>
          <w:trHeight w:val="485" w:hRule="atLeast"/>
        </w:trPr>
        <w:tc>
          <w:tcPr>
            <w:tcW w:w="77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项目基本情况</w:t>
            </w:r>
          </w:p>
        </w:tc>
        <w:tc>
          <w:tcPr>
            <w:tcW w:w="77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1.项目年度目标完成情况</w:t>
            </w:r>
          </w:p>
        </w:tc>
        <w:tc>
          <w:tcPr>
            <w:tcW w:w="3967"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项目年度目标</w:t>
            </w:r>
          </w:p>
        </w:tc>
        <w:tc>
          <w:tcPr>
            <w:tcW w:w="3546"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年度目标完成情况</w:t>
            </w:r>
          </w:p>
        </w:tc>
      </w:tr>
      <w:tr>
        <w:tblPrEx>
          <w:tblCellMar>
            <w:top w:w="0" w:type="dxa"/>
            <w:left w:w="108" w:type="dxa"/>
            <w:bottom w:w="0" w:type="dxa"/>
            <w:right w:w="108" w:type="dxa"/>
          </w:tblCellMar>
        </w:tblPrEx>
        <w:trPr>
          <w:trHeight w:val="1608"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3967"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保障局机关网络安全</w:t>
            </w:r>
          </w:p>
        </w:tc>
        <w:tc>
          <w:tcPr>
            <w:tcW w:w="3546"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完成网络安全运维服务，包括：7×24小时安全设备运行监控、5×8小时机房值守、故障处理、运行状况统计分析、性能优化、风险评估、方案建议、应急保障等服务，确保局机关网络通信和安全正常运行。</w:t>
            </w:r>
          </w:p>
        </w:tc>
      </w:tr>
      <w:tr>
        <w:tblPrEx>
          <w:tblCellMar>
            <w:top w:w="0" w:type="dxa"/>
            <w:left w:w="108" w:type="dxa"/>
            <w:bottom w:w="0" w:type="dxa"/>
            <w:right w:w="108" w:type="dxa"/>
          </w:tblCellMar>
        </w:tblPrEx>
        <w:trPr>
          <w:trHeight w:val="773"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2.项目实施内容及过程概述</w:t>
            </w:r>
          </w:p>
        </w:tc>
        <w:tc>
          <w:tcPr>
            <w:tcW w:w="7513"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保障局机关网络安全运维服务 ，包括：7×24小时安全设备运行监控、5×8小时机房值守、故障处理、运行状况统计分析、性能优化、风险评估、方案建议、应急保障等服务，确保局机关网络通信和安全正常运行 。</w:t>
            </w:r>
          </w:p>
        </w:tc>
      </w:tr>
      <w:tr>
        <w:tblPrEx>
          <w:tblCellMar>
            <w:top w:w="0" w:type="dxa"/>
            <w:left w:w="108" w:type="dxa"/>
            <w:bottom w:w="0" w:type="dxa"/>
            <w:right w:w="108" w:type="dxa"/>
          </w:tblCellMar>
        </w:tblPrEx>
        <w:trPr>
          <w:trHeight w:val="576" w:hRule="atLeast"/>
        </w:trPr>
        <w:tc>
          <w:tcPr>
            <w:tcW w:w="77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预算执行情况（10分）</w:t>
            </w:r>
          </w:p>
        </w:tc>
        <w:tc>
          <w:tcPr>
            <w:tcW w:w="774"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年度预算数（万元）</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年初预算</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调整后预算数</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预算执行数</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预算执行率</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权重</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得分</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原因</w:t>
            </w:r>
          </w:p>
        </w:tc>
      </w:tr>
      <w:tr>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总额</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27.00</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100.00%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等线" w:hAnsi="等线" w:eastAsia="等线" w:cs="宋体"/>
                <w:i/>
                <w:iCs/>
                <w:color w:val="000000"/>
                <w:kern w:val="0"/>
                <w:sz w:val="18"/>
                <w:szCs w:val="18"/>
              </w:rPr>
            </w:pPr>
            <w:r>
              <w:rPr>
                <w:rFonts w:hint="eastAsia" w:ascii="等线" w:hAnsi="等线" w:eastAsia="等线" w:cs="宋体"/>
                <w:i/>
                <w:iCs/>
                <w:color w:val="000000"/>
                <w:kern w:val="0"/>
                <w:sz w:val="18"/>
                <w:szCs w:val="18"/>
              </w:rPr>
              <w:t>　</w:t>
            </w:r>
          </w:p>
        </w:tc>
      </w:tr>
      <w:tr>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其中：财政资金</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27.00</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100.00%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58"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i/>
                <w:iCs/>
                <w:color w:val="000000"/>
                <w:kern w:val="0"/>
                <w:sz w:val="18"/>
                <w:szCs w:val="18"/>
              </w:rPr>
            </w:pPr>
          </w:p>
        </w:tc>
      </w:tr>
      <w:tr>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财政专户管理资金</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58"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i/>
                <w:iCs/>
                <w:color w:val="000000"/>
                <w:kern w:val="0"/>
                <w:sz w:val="18"/>
                <w:szCs w:val="18"/>
              </w:rPr>
            </w:pPr>
          </w:p>
        </w:tc>
      </w:tr>
      <w:tr>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单位资金</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58"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i/>
                <w:iCs/>
                <w:color w:val="000000"/>
                <w:kern w:val="0"/>
                <w:sz w:val="18"/>
                <w:szCs w:val="18"/>
              </w:rPr>
            </w:pPr>
          </w:p>
        </w:tc>
      </w:tr>
      <w:tr>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其他资金</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58"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i/>
                <w:iCs/>
                <w:color w:val="000000"/>
                <w:kern w:val="0"/>
                <w:sz w:val="18"/>
                <w:szCs w:val="18"/>
              </w:rPr>
            </w:pPr>
          </w:p>
        </w:tc>
      </w:tr>
      <w:tr>
        <w:tblPrEx>
          <w:tblCellMar>
            <w:top w:w="0" w:type="dxa"/>
            <w:left w:w="108" w:type="dxa"/>
            <w:bottom w:w="0" w:type="dxa"/>
            <w:right w:w="108" w:type="dxa"/>
          </w:tblCellMar>
        </w:tblPrEx>
        <w:trPr>
          <w:trHeight w:val="576" w:hRule="atLeast"/>
        </w:trPr>
        <w:tc>
          <w:tcPr>
            <w:tcW w:w="77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绩效指标（90分）</w:t>
            </w:r>
          </w:p>
        </w:tc>
        <w:tc>
          <w:tcPr>
            <w:tcW w:w="774"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一级指标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二级指标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三级指标</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指标性质</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指标值</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度量单位</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完成值</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权重</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得分</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未完成原因分析</w:t>
            </w:r>
          </w:p>
        </w:tc>
      </w:tr>
      <w:tr>
        <w:tblPrEx>
          <w:tblCellMar>
            <w:top w:w="0" w:type="dxa"/>
            <w:left w:w="108" w:type="dxa"/>
            <w:bottom w:w="0" w:type="dxa"/>
            <w:right w:w="108" w:type="dxa"/>
          </w:tblCellMar>
        </w:tblPrEx>
        <w:trPr>
          <w:trHeight w:val="728"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产出指标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数量指标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硬件采购（维护）数量</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个</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12　</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tblPrEx>
          <w:tblCellMar>
            <w:top w:w="0" w:type="dxa"/>
            <w:left w:w="108" w:type="dxa"/>
            <w:bottom w:w="0" w:type="dxa"/>
            <w:right w:w="108" w:type="dxa"/>
          </w:tblCellMar>
        </w:tblPrEx>
        <w:trPr>
          <w:trHeight w:val="272"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质量指标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系统故障率</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1</w:t>
            </w:r>
            <w:r>
              <w:rPr>
                <w:rFonts w:ascii="等线" w:hAnsi="等线" w:eastAsia="等线" w:cs="宋体"/>
                <w:i/>
                <w:iCs/>
                <w:color w:val="000000"/>
                <w:kern w:val="0"/>
                <w:sz w:val="16"/>
                <w:szCs w:val="16"/>
              </w:rPr>
              <w:t>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时效指标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系统故障修复处理时间</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小时</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7</w:t>
            </w:r>
            <w:r>
              <w:rPr>
                <w:rFonts w:ascii="等线" w:hAnsi="等线" w:eastAsia="等线" w:cs="宋体"/>
                <w:i/>
                <w:iCs/>
                <w:color w:val="000000"/>
                <w:kern w:val="0"/>
                <w:sz w:val="16"/>
                <w:szCs w:val="16"/>
              </w:rPr>
              <w:t>2</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成本指标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年度维护成本增长率</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1</w:t>
            </w:r>
            <w:r>
              <w:rPr>
                <w:rFonts w:ascii="等线" w:hAnsi="等线" w:eastAsia="等线" w:cs="宋体"/>
                <w:i/>
                <w:iCs/>
                <w:color w:val="000000"/>
                <w:kern w:val="0"/>
                <w:sz w:val="16"/>
                <w:szCs w:val="16"/>
              </w:rPr>
              <w:t>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效益指标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经济效益指标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重点企业监管数量</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家</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3</w:t>
            </w:r>
            <w:r>
              <w:rPr>
                <w:rFonts w:ascii="等线" w:hAnsi="等线" w:eastAsia="等线" w:cs="宋体"/>
                <w:i/>
                <w:iCs/>
                <w:color w:val="000000"/>
                <w:kern w:val="0"/>
                <w:sz w:val="16"/>
                <w:szCs w:val="16"/>
              </w:rPr>
              <w:t>0</w:t>
            </w: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社会效益指标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主页点击量</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万人</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1</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可持续影响指标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系统正常使用年限</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5　</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满意度指标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服务对象满意度指标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使用人员满意度</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w:t>
            </w:r>
          </w:p>
        </w:tc>
        <w:tc>
          <w:tcPr>
            <w:tcW w:w="60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965"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9</w:t>
            </w:r>
            <w:r>
              <w:rPr>
                <w:rFonts w:ascii="等线" w:hAnsi="等线" w:eastAsia="等线" w:cs="宋体"/>
                <w:i/>
                <w:iCs/>
                <w:color w:val="000000"/>
                <w:kern w:val="0"/>
                <w:sz w:val="16"/>
                <w:szCs w:val="16"/>
              </w:rPr>
              <w:t>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tblPrEx>
          <w:tblCellMar>
            <w:top w:w="0" w:type="dxa"/>
            <w:left w:w="108" w:type="dxa"/>
            <w:bottom w:w="0" w:type="dxa"/>
            <w:right w:w="108" w:type="dxa"/>
          </w:tblCellMar>
        </w:tblPrEx>
        <w:trPr>
          <w:trHeight w:val="455" w:hRule="atLeast"/>
        </w:trPr>
        <w:tc>
          <w:tcPr>
            <w:tcW w:w="648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合计</w:t>
            </w:r>
          </w:p>
        </w:tc>
        <w:tc>
          <w:tcPr>
            <w:tcW w:w="861" w:type="dxa"/>
            <w:tcBorders>
              <w:top w:val="nil"/>
              <w:left w:val="nil"/>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w:t>
            </w:r>
          </w:p>
        </w:tc>
        <w:tc>
          <w:tcPr>
            <w:tcW w:w="861" w:type="dxa"/>
            <w:tcBorders>
              <w:top w:val="nil"/>
              <w:left w:val="nil"/>
              <w:bottom w:val="single" w:color="000000" w:sz="4" w:space="0"/>
              <w:right w:val="single" w:color="000000" w:sz="4" w:space="0"/>
            </w:tcBorders>
            <w:shd w:val="clear" w:color="auto" w:fill="auto"/>
            <w:vAlign w:val="center"/>
          </w:tcPr>
          <w:p>
            <w:pPr>
              <w:widowControl/>
              <w:jc w:val="right"/>
              <w:rPr>
                <w:rFonts w:ascii="等线" w:hAnsi="等线" w:eastAsia="等线" w:cs="宋体"/>
                <w:color w:val="000000"/>
                <w:kern w:val="0"/>
                <w:sz w:val="18"/>
                <w:szCs w:val="18"/>
              </w:rPr>
            </w:pPr>
            <w:r>
              <w:rPr>
                <w:rFonts w:hint="eastAsia" w:ascii="等线" w:hAnsi="等线" w:eastAsia="等线" w:cs="宋体"/>
                <w:color w:val="000000"/>
                <w:kern w:val="0"/>
                <w:sz w:val="18"/>
                <w:szCs w:val="18"/>
              </w:rPr>
              <w:t>100</w:t>
            </w:r>
          </w:p>
        </w:tc>
        <w:tc>
          <w:tcPr>
            <w:tcW w:w="858" w:type="dxa"/>
            <w:tcBorders>
              <w:top w:val="nil"/>
              <w:left w:val="nil"/>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　</w:t>
            </w:r>
          </w:p>
        </w:tc>
      </w:tr>
      <w:tr>
        <w:tblPrEx>
          <w:tblCellMar>
            <w:top w:w="0" w:type="dxa"/>
            <w:left w:w="108" w:type="dxa"/>
            <w:bottom w:w="0" w:type="dxa"/>
            <w:right w:w="108" w:type="dxa"/>
          </w:tblCellMar>
        </w:tblPrEx>
        <w:trPr>
          <w:trHeight w:val="910" w:hRule="atLeast"/>
        </w:trPr>
        <w:tc>
          <w:tcPr>
            <w:tcW w:w="775"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评价结论</w:t>
            </w:r>
          </w:p>
        </w:tc>
        <w:tc>
          <w:tcPr>
            <w:tcW w:w="8288"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项目自评总分100分，所设绩效目标均已实现，保障了机关网络安全运维服务 ，包括：7×24小时安全设备运行监控、5×8小时机房值守、故障处理、运行状况统计分析、性能优化、风险评估、方案建议、应急保障等服务，确保局机关网络通信和安全正常运行 。</w:t>
            </w:r>
          </w:p>
        </w:tc>
      </w:tr>
      <w:tr>
        <w:tblPrEx>
          <w:tblCellMar>
            <w:top w:w="0" w:type="dxa"/>
            <w:left w:w="108" w:type="dxa"/>
            <w:bottom w:w="0" w:type="dxa"/>
            <w:right w:w="108" w:type="dxa"/>
          </w:tblCellMar>
        </w:tblPrEx>
        <w:trPr>
          <w:trHeight w:val="455" w:hRule="atLeast"/>
        </w:trPr>
        <w:tc>
          <w:tcPr>
            <w:tcW w:w="775"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存在问题</w:t>
            </w:r>
          </w:p>
        </w:tc>
        <w:tc>
          <w:tcPr>
            <w:tcW w:w="8288"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无</w:t>
            </w:r>
          </w:p>
        </w:tc>
      </w:tr>
      <w:tr>
        <w:tblPrEx>
          <w:tblCellMar>
            <w:top w:w="0" w:type="dxa"/>
            <w:left w:w="108" w:type="dxa"/>
            <w:bottom w:w="0" w:type="dxa"/>
            <w:right w:w="108" w:type="dxa"/>
          </w:tblCellMar>
        </w:tblPrEx>
        <w:trPr>
          <w:trHeight w:val="455" w:hRule="atLeast"/>
        </w:trPr>
        <w:tc>
          <w:tcPr>
            <w:tcW w:w="775"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改进措施</w:t>
            </w:r>
          </w:p>
        </w:tc>
        <w:tc>
          <w:tcPr>
            <w:tcW w:w="8288"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无</w:t>
            </w:r>
          </w:p>
        </w:tc>
      </w:tr>
      <w:tr>
        <w:tblPrEx>
          <w:tblCellMar>
            <w:top w:w="0" w:type="dxa"/>
            <w:left w:w="108" w:type="dxa"/>
            <w:bottom w:w="0" w:type="dxa"/>
            <w:right w:w="108" w:type="dxa"/>
          </w:tblCellMar>
        </w:tblPrEx>
        <w:trPr>
          <w:trHeight w:val="455" w:hRule="atLeast"/>
        </w:trPr>
        <w:tc>
          <w:tcPr>
            <w:tcW w:w="43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项目负责人：毛佳龙</w:t>
            </w:r>
          </w:p>
        </w:tc>
        <w:tc>
          <w:tcPr>
            <w:tcW w:w="4761"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财务负责人：漆明强</w:t>
            </w:r>
          </w:p>
        </w:tc>
      </w:tr>
    </w:tbl>
    <w:p>
      <w:pPr>
        <w:spacing w:line="600" w:lineRule="exact"/>
        <w:jc w:val="left"/>
        <w:outlineLvl w:val="0"/>
        <w:rPr>
          <w:rFonts w:ascii="仿宋_GB2312" w:hAnsi="Calibri" w:eastAsia="仿宋_GB2312" w:cs="仿宋"/>
          <w:kern w:val="0"/>
          <w:sz w:val="32"/>
          <w:szCs w:val="32"/>
          <w:highlight w:val="yellow"/>
        </w:rPr>
      </w:pPr>
    </w:p>
    <w:p>
      <w:pPr>
        <w:pStyle w:val="2"/>
        <w:spacing w:before="93"/>
        <w:rPr>
          <w:rFonts w:ascii="Cambria" w:hAnsi="Cambria" w:cs="仿宋"/>
          <w:b/>
          <w:bCs/>
          <w:sz w:val="32"/>
          <w:szCs w:val="32"/>
        </w:rPr>
      </w:pPr>
      <w:r>
        <w:rPr>
          <w:rFonts w:hint="eastAsia" w:hAnsi="Calibri" w:cs="仿宋"/>
          <w:b/>
          <w:bCs/>
          <w:sz w:val="32"/>
          <w:szCs w:val="32"/>
        </w:rPr>
        <w:t>附件</w:t>
      </w:r>
      <w:r>
        <w:rPr>
          <w:rFonts w:hint="eastAsia" w:ascii="Cambria" w:hAnsi="Cambria" w:cs="仿宋"/>
          <w:b/>
          <w:bCs/>
          <w:sz w:val="32"/>
          <w:szCs w:val="32"/>
        </w:rPr>
        <w:t>1</w:t>
      </w:r>
      <w:r>
        <w:rPr>
          <w:rFonts w:ascii="Cambria" w:hAnsi="Cambria" w:cs="仿宋"/>
          <w:b/>
          <w:bCs/>
          <w:sz w:val="32"/>
          <w:szCs w:val="32"/>
        </w:rPr>
        <w:t>-2</w:t>
      </w:r>
    </w:p>
    <w:tbl>
      <w:tblPr>
        <w:tblStyle w:val="12"/>
        <w:tblW w:w="9339" w:type="dxa"/>
        <w:tblInd w:w="113" w:type="dxa"/>
        <w:tblLayout w:type="autofit"/>
        <w:tblCellMar>
          <w:top w:w="0" w:type="dxa"/>
          <w:left w:w="108" w:type="dxa"/>
          <w:bottom w:w="0" w:type="dxa"/>
          <w:right w:w="108" w:type="dxa"/>
        </w:tblCellMar>
      </w:tblPr>
      <w:tblGrid>
        <w:gridCol w:w="795"/>
        <w:gridCol w:w="796"/>
        <w:gridCol w:w="1098"/>
        <w:gridCol w:w="1098"/>
        <w:gridCol w:w="627"/>
        <w:gridCol w:w="624"/>
        <w:gridCol w:w="624"/>
        <w:gridCol w:w="1029"/>
        <w:gridCol w:w="884"/>
        <w:gridCol w:w="884"/>
        <w:gridCol w:w="880"/>
      </w:tblGrid>
      <w:tr>
        <w:tblPrEx>
          <w:tblCellMar>
            <w:top w:w="0" w:type="dxa"/>
            <w:left w:w="108" w:type="dxa"/>
            <w:bottom w:w="0" w:type="dxa"/>
            <w:right w:w="108" w:type="dxa"/>
          </w:tblCellMar>
        </w:tblPrEx>
        <w:trPr>
          <w:trHeight w:val="644" w:hRule="atLeast"/>
        </w:trPr>
        <w:tc>
          <w:tcPr>
            <w:tcW w:w="933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644" w:hRule="atLeast"/>
        </w:trPr>
        <w:tc>
          <w:tcPr>
            <w:tcW w:w="1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747"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51118122T000000399162-防灾减灾工作经费</w:t>
            </w:r>
          </w:p>
        </w:tc>
      </w:tr>
      <w:tr>
        <w:tblPrEx>
          <w:tblCellMar>
            <w:top w:w="0" w:type="dxa"/>
            <w:left w:w="108" w:type="dxa"/>
            <w:bottom w:w="0" w:type="dxa"/>
            <w:right w:w="108" w:type="dxa"/>
          </w:tblCellMar>
        </w:tblPrEx>
        <w:trPr>
          <w:trHeight w:val="644" w:hRule="atLeast"/>
        </w:trPr>
        <w:tc>
          <w:tcPr>
            <w:tcW w:w="1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07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28" w:type="dxa"/>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6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tblPrEx>
          <w:tblCellMar>
            <w:top w:w="0" w:type="dxa"/>
            <w:left w:w="108" w:type="dxa"/>
            <w:bottom w:w="0" w:type="dxa"/>
            <w:right w:w="108" w:type="dxa"/>
          </w:tblCellMar>
        </w:tblPrEx>
        <w:trPr>
          <w:trHeight w:val="644" w:hRule="atLeast"/>
        </w:trPr>
        <w:tc>
          <w:tcPr>
            <w:tcW w:w="79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79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07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676"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tblPrEx>
          <w:tblCellMar>
            <w:top w:w="0" w:type="dxa"/>
            <w:left w:w="108" w:type="dxa"/>
            <w:bottom w:w="0" w:type="dxa"/>
            <w:right w:w="108" w:type="dxa"/>
          </w:tblCellMar>
        </w:tblPrEx>
        <w:trPr>
          <w:trHeight w:val="644" w:hRule="atLeast"/>
        </w:trPr>
        <w:tc>
          <w:tcPr>
            <w:tcW w:w="79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9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407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防灾减灾救灾宣传支出</w:t>
            </w:r>
          </w:p>
        </w:tc>
        <w:tc>
          <w:tcPr>
            <w:tcW w:w="3676"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完成防灾减灾救灾宣传</w:t>
            </w:r>
            <w:r>
              <w:rPr>
                <w:rFonts w:hint="eastAsia" w:ascii="___WRD_EMBED_SUB_17" w:hAnsi="___WRD_EMBED_SUB_17" w:eastAsia="___WRD_EMBED_SUB_17" w:cs="___WRD_EMBED_SUB_17"/>
                <w:color w:val="000000"/>
                <w:kern w:val="0"/>
                <w:sz w:val="18"/>
                <w:szCs w:val="18"/>
              </w:rPr>
              <w:t>支出</w:t>
            </w:r>
          </w:p>
        </w:tc>
      </w:tr>
      <w:tr>
        <w:tblPrEx>
          <w:tblCellMar>
            <w:top w:w="0" w:type="dxa"/>
            <w:left w:w="108" w:type="dxa"/>
            <w:bottom w:w="0" w:type="dxa"/>
            <w:right w:w="108" w:type="dxa"/>
          </w:tblCellMar>
        </w:tblPrEx>
        <w:trPr>
          <w:trHeight w:val="966" w:hRule="atLeast"/>
        </w:trPr>
        <w:tc>
          <w:tcPr>
            <w:tcW w:w="79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747"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防灾减灾救灾宣传支出</w:t>
            </w:r>
          </w:p>
        </w:tc>
      </w:tr>
      <w:tr>
        <w:tblPrEx>
          <w:tblCellMar>
            <w:top w:w="0" w:type="dxa"/>
            <w:left w:w="108" w:type="dxa"/>
            <w:bottom w:w="0" w:type="dxa"/>
            <w:right w:w="108" w:type="dxa"/>
          </w:tblCellMar>
        </w:tblPrEx>
        <w:trPr>
          <w:trHeight w:val="459" w:hRule="atLeast"/>
        </w:trPr>
        <w:tc>
          <w:tcPr>
            <w:tcW w:w="79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2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275" w:hRule="atLeast"/>
        </w:trPr>
        <w:tc>
          <w:tcPr>
            <w:tcW w:w="79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02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79"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tblPrEx>
          <w:tblCellMar>
            <w:top w:w="0" w:type="dxa"/>
            <w:left w:w="108" w:type="dxa"/>
            <w:bottom w:w="0" w:type="dxa"/>
            <w:right w:w="108" w:type="dxa"/>
          </w:tblCellMar>
        </w:tblPrEx>
        <w:trPr>
          <w:trHeight w:val="982" w:hRule="atLeast"/>
        </w:trPr>
        <w:tc>
          <w:tcPr>
            <w:tcW w:w="79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02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9"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trHeight w:val="766" w:hRule="atLeast"/>
        </w:trPr>
        <w:tc>
          <w:tcPr>
            <w:tcW w:w="79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9"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trHeight w:val="491" w:hRule="atLeast"/>
        </w:trPr>
        <w:tc>
          <w:tcPr>
            <w:tcW w:w="79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9"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trHeight w:val="491" w:hRule="atLeast"/>
        </w:trPr>
        <w:tc>
          <w:tcPr>
            <w:tcW w:w="79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28"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9"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trHeight w:val="459" w:hRule="atLeast"/>
        </w:trPr>
        <w:tc>
          <w:tcPr>
            <w:tcW w:w="79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2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275" w:hRule="atLeast"/>
        </w:trPr>
        <w:tc>
          <w:tcPr>
            <w:tcW w:w="79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9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28"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91" w:hRule="atLeast"/>
        </w:trPr>
        <w:tc>
          <w:tcPr>
            <w:tcW w:w="6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8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8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87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1" w:hRule="atLeast"/>
        </w:trPr>
        <w:tc>
          <w:tcPr>
            <w:tcW w:w="795"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544"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项目自评总分100分，严格按照有关项目管理和经费管理规定执行。各项预算支出顺利进行，并按计划圆满完成。</w:t>
            </w:r>
          </w:p>
        </w:tc>
      </w:tr>
      <w:tr>
        <w:tblPrEx>
          <w:tblCellMar>
            <w:top w:w="0" w:type="dxa"/>
            <w:left w:w="108" w:type="dxa"/>
            <w:bottom w:w="0" w:type="dxa"/>
            <w:right w:w="108" w:type="dxa"/>
          </w:tblCellMar>
        </w:tblPrEx>
        <w:trPr>
          <w:trHeight w:val="491" w:hRule="atLeast"/>
        </w:trPr>
        <w:tc>
          <w:tcPr>
            <w:tcW w:w="795"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544"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91" w:hRule="atLeast"/>
        </w:trPr>
        <w:tc>
          <w:tcPr>
            <w:tcW w:w="795"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544"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91" w:hRule="atLeast"/>
        </w:trPr>
        <w:tc>
          <w:tcPr>
            <w:tcW w:w="441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项目负责人：毛佳龙</w:t>
            </w:r>
          </w:p>
        </w:tc>
        <w:tc>
          <w:tcPr>
            <w:tcW w:w="492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财务负责人：漆明强</w:t>
            </w:r>
          </w:p>
        </w:tc>
      </w:tr>
    </w:tbl>
    <w:p>
      <w:pPr>
        <w:pStyle w:val="2"/>
        <w:spacing w:before="93"/>
        <w:rPr>
          <w:rFonts w:hAnsi="Calibri" w:cs="仿宋"/>
          <w:sz w:val="32"/>
          <w:szCs w:val="32"/>
        </w:rPr>
      </w:pPr>
    </w:p>
    <w:p>
      <w:pPr>
        <w:pStyle w:val="2"/>
        <w:spacing w:before="93"/>
        <w:rPr>
          <w:rFonts w:ascii="宋体" w:hAnsi="宋体" w:eastAsia="宋体" w:cs="宋体"/>
          <w:b/>
          <w:bCs/>
          <w:sz w:val="32"/>
          <w:szCs w:val="32"/>
        </w:rPr>
      </w:pPr>
      <w:r>
        <w:rPr>
          <w:rFonts w:hint="eastAsia" w:hAnsi="Calibri" w:cs="仿宋"/>
          <w:b/>
          <w:bCs/>
          <w:sz w:val="32"/>
          <w:szCs w:val="32"/>
        </w:rPr>
        <w:t>附</w:t>
      </w:r>
      <w:r>
        <w:rPr>
          <w:rFonts w:hint="eastAsia" w:ascii="宋体" w:hAnsi="宋体" w:eastAsia="宋体" w:cs="宋体"/>
          <w:b/>
          <w:bCs/>
          <w:sz w:val="32"/>
          <w:szCs w:val="32"/>
        </w:rPr>
        <w:t>件1</w:t>
      </w:r>
      <w:r>
        <w:rPr>
          <w:rFonts w:ascii="宋体" w:hAnsi="宋体" w:eastAsia="宋体" w:cs="宋体"/>
          <w:b/>
          <w:bCs/>
          <w:sz w:val="32"/>
          <w:szCs w:val="32"/>
        </w:rPr>
        <w:t>-3</w:t>
      </w:r>
    </w:p>
    <w:tbl>
      <w:tblPr>
        <w:tblStyle w:val="12"/>
        <w:tblW w:w="9339" w:type="dxa"/>
        <w:tblInd w:w="113" w:type="dxa"/>
        <w:tblLayout w:type="autofit"/>
        <w:tblCellMar>
          <w:top w:w="0" w:type="dxa"/>
          <w:left w:w="108" w:type="dxa"/>
          <w:bottom w:w="0" w:type="dxa"/>
          <w:right w:w="108" w:type="dxa"/>
        </w:tblCellMar>
      </w:tblPr>
      <w:tblGrid>
        <w:gridCol w:w="778"/>
        <w:gridCol w:w="779"/>
        <w:gridCol w:w="1058"/>
        <w:gridCol w:w="1058"/>
        <w:gridCol w:w="605"/>
        <w:gridCol w:w="620"/>
        <w:gridCol w:w="918"/>
        <w:gridCol w:w="1028"/>
        <w:gridCol w:w="841"/>
        <w:gridCol w:w="821"/>
        <w:gridCol w:w="821"/>
        <w:gridCol w:w="12"/>
      </w:tblGrid>
      <w:tr>
        <w:tblPrEx>
          <w:tblCellMar>
            <w:top w:w="0" w:type="dxa"/>
            <w:left w:w="108" w:type="dxa"/>
            <w:bottom w:w="0" w:type="dxa"/>
            <w:right w:w="108" w:type="dxa"/>
          </w:tblCellMar>
        </w:tblPrEx>
        <w:trPr>
          <w:trHeight w:val="659" w:hRule="atLeast"/>
        </w:trPr>
        <w:tc>
          <w:tcPr>
            <w:tcW w:w="9339"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449" w:hRule="atLeast"/>
        </w:trPr>
        <w:tc>
          <w:tcPr>
            <w:tcW w:w="15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51118122T000000402062-自行式炊事餐车购置</w:t>
            </w:r>
          </w:p>
        </w:tc>
      </w:tr>
      <w:tr>
        <w:tblPrEx>
          <w:tblCellMar>
            <w:top w:w="0" w:type="dxa"/>
            <w:left w:w="108" w:type="dxa"/>
            <w:bottom w:w="0" w:type="dxa"/>
            <w:right w:w="108" w:type="dxa"/>
          </w:tblCellMar>
        </w:tblPrEx>
        <w:trPr>
          <w:trHeight w:val="584" w:hRule="atLeast"/>
        </w:trPr>
        <w:tc>
          <w:tcPr>
            <w:tcW w:w="15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26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26" w:type="dxa"/>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4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tblPrEx>
          <w:tblCellMar>
            <w:top w:w="0" w:type="dxa"/>
            <w:left w:w="108" w:type="dxa"/>
            <w:bottom w:w="0" w:type="dxa"/>
            <w:right w:w="108" w:type="dxa"/>
          </w:tblCellMar>
        </w:tblPrEx>
        <w:trPr>
          <w:trHeight w:val="509" w:hRule="atLeast"/>
        </w:trPr>
        <w:tc>
          <w:tcPr>
            <w:tcW w:w="77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779"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26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52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tblPrEx>
          <w:tblCellMar>
            <w:top w:w="0" w:type="dxa"/>
            <w:left w:w="108" w:type="dxa"/>
            <w:bottom w:w="0" w:type="dxa"/>
            <w:right w:w="108" w:type="dxa"/>
          </w:tblCellMar>
        </w:tblPrEx>
        <w:trPr>
          <w:trHeight w:val="50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426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采购自行式炊事餐车购置，炊事餐车已全部完成验收 ，交付队伍使用。</w:t>
            </w:r>
          </w:p>
        </w:tc>
        <w:tc>
          <w:tcPr>
            <w:tcW w:w="352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切实提升了应急救援能力，补齐了应急救援短板</w:t>
            </w:r>
          </w:p>
        </w:tc>
      </w:tr>
      <w:tr>
        <w:tblPrEx>
          <w:tblCellMar>
            <w:top w:w="0" w:type="dxa"/>
            <w:left w:w="108" w:type="dxa"/>
            <w:bottom w:w="0" w:type="dxa"/>
            <w:right w:w="108" w:type="dxa"/>
          </w:tblCellMar>
        </w:tblPrEx>
        <w:trPr>
          <w:trHeight w:val="113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实现按国家标准达标配备应急救援设施设备，基本补齐应急救援短板。</w:t>
            </w:r>
          </w:p>
        </w:tc>
      </w:tr>
      <w:tr>
        <w:tblPrEx>
          <w:tblCellMar>
            <w:top w:w="0" w:type="dxa"/>
            <w:left w:w="108" w:type="dxa"/>
            <w:bottom w:w="0" w:type="dxa"/>
            <w:right w:w="108" w:type="dxa"/>
          </w:tblCellMar>
        </w:tblPrEx>
        <w:trPr>
          <w:gridAfter w:val="1"/>
          <w:wAfter w:w="11" w:type="dxa"/>
          <w:trHeight w:val="644" w:hRule="atLeast"/>
        </w:trPr>
        <w:tc>
          <w:tcPr>
            <w:tcW w:w="77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7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gridAfter w:val="1"/>
          <w:wAfter w:w="11" w:type="dxa"/>
          <w:trHeight w:val="26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84.00</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75.05</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75.05</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2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tblPrEx>
          <w:tblCellMar>
            <w:top w:w="0" w:type="dxa"/>
            <w:left w:w="108" w:type="dxa"/>
            <w:bottom w:w="0" w:type="dxa"/>
            <w:right w:w="108" w:type="dxa"/>
          </w:tblCellMar>
        </w:tblPrEx>
        <w:trPr>
          <w:gridAfter w:val="1"/>
          <w:wAfter w:w="11"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84.00</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75.05</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75.05</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1"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1" w:type="dxa"/>
          <w:trHeight w:val="464"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1" w:type="dxa"/>
          <w:trHeight w:val="464"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2" w:type="dxa"/>
          <w:trHeight w:val="449" w:hRule="atLeast"/>
        </w:trPr>
        <w:tc>
          <w:tcPr>
            <w:tcW w:w="77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7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059"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购置设备数量</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台（套）</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5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政府采购率</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59"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质量指标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设备故障率</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5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设备质量合格率</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社会效益指标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设备利用率</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可持续发展指标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提升应急救援能力</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可持续影响指标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设备使用年限</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5</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满意度指标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10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使用人员满意度</w:t>
            </w:r>
          </w:p>
        </w:tc>
        <w:tc>
          <w:tcPr>
            <w:tcW w:w="6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18" w:hRule="atLeast"/>
        </w:trPr>
        <w:tc>
          <w:tcPr>
            <w:tcW w:w="68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4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98</w:t>
            </w:r>
          </w:p>
        </w:tc>
        <w:tc>
          <w:tcPr>
            <w:tcW w:w="829" w:type="dxa"/>
            <w:gridSpan w:val="2"/>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54" w:hRule="atLeast"/>
        </w:trPr>
        <w:tc>
          <w:tcPr>
            <w:tcW w:w="778"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56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项目自评总分98分，严格按照有关项目管理和经费管理规定执行。各项预算支出顺利进行，并按计划圆满完成。</w:t>
            </w:r>
          </w:p>
        </w:tc>
      </w:tr>
      <w:tr>
        <w:tblPrEx>
          <w:tblCellMar>
            <w:top w:w="0" w:type="dxa"/>
            <w:left w:w="108" w:type="dxa"/>
            <w:bottom w:w="0" w:type="dxa"/>
            <w:right w:w="108" w:type="dxa"/>
          </w:tblCellMar>
        </w:tblPrEx>
        <w:trPr>
          <w:trHeight w:val="418" w:hRule="atLeast"/>
        </w:trPr>
        <w:tc>
          <w:tcPr>
            <w:tcW w:w="778"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56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18" w:hRule="atLeast"/>
        </w:trPr>
        <w:tc>
          <w:tcPr>
            <w:tcW w:w="778"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56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18" w:hRule="atLeast"/>
        </w:trPr>
        <w:tc>
          <w:tcPr>
            <w:tcW w:w="42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项目负责人：毛佳龙</w:t>
            </w:r>
          </w:p>
        </w:tc>
        <w:tc>
          <w:tcPr>
            <w:tcW w:w="5059" w:type="dxa"/>
            <w:gridSpan w:val="7"/>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财务负责人：漆明强</w:t>
            </w:r>
          </w:p>
        </w:tc>
      </w:tr>
    </w:tbl>
    <w:p>
      <w:pPr>
        <w:pStyle w:val="2"/>
        <w:spacing w:before="93"/>
        <w:rPr>
          <w:rFonts w:hAnsi="Calibri" w:cs="仿宋"/>
          <w:sz w:val="32"/>
          <w:szCs w:val="32"/>
        </w:rPr>
      </w:pPr>
    </w:p>
    <w:p>
      <w:pPr>
        <w:pStyle w:val="2"/>
        <w:spacing w:before="93"/>
        <w:rPr>
          <w:rFonts w:ascii="Cambria" w:hAnsi="Cambria" w:cs="仿宋"/>
          <w:b/>
          <w:bCs/>
          <w:sz w:val="32"/>
          <w:szCs w:val="32"/>
        </w:rPr>
      </w:pPr>
      <w:r>
        <w:rPr>
          <w:rFonts w:hint="eastAsia" w:hAnsi="Calibri" w:cs="仿宋"/>
          <w:b/>
          <w:bCs/>
          <w:sz w:val="32"/>
          <w:szCs w:val="32"/>
        </w:rPr>
        <w:t>附件</w:t>
      </w:r>
      <w:r>
        <w:rPr>
          <w:rFonts w:hint="eastAsia" w:ascii="Cambria" w:hAnsi="Cambria" w:cs="仿宋"/>
          <w:b/>
          <w:bCs/>
          <w:sz w:val="32"/>
          <w:szCs w:val="32"/>
        </w:rPr>
        <w:t>1</w:t>
      </w:r>
      <w:r>
        <w:rPr>
          <w:rFonts w:ascii="Cambria" w:hAnsi="Cambria" w:cs="仿宋"/>
          <w:b/>
          <w:bCs/>
          <w:sz w:val="32"/>
          <w:szCs w:val="32"/>
        </w:rPr>
        <w:t>-4</w:t>
      </w:r>
    </w:p>
    <w:tbl>
      <w:tblPr>
        <w:tblStyle w:val="12"/>
        <w:tblW w:w="9438" w:type="dxa"/>
        <w:tblInd w:w="113" w:type="dxa"/>
        <w:tblLayout w:type="autofit"/>
        <w:tblCellMar>
          <w:top w:w="0" w:type="dxa"/>
          <w:left w:w="108" w:type="dxa"/>
          <w:bottom w:w="0" w:type="dxa"/>
          <w:right w:w="108" w:type="dxa"/>
        </w:tblCellMar>
      </w:tblPr>
      <w:tblGrid>
        <w:gridCol w:w="785"/>
        <w:gridCol w:w="786"/>
        <w:gridCol w:w="1072"/>
        <w:gridCol w:w="1072"/>
        <w:gridCol w:w="611"/>
        <w:gridCol w:w="626"/>
        <w:gridCol w:w="928"/>
        <w:gridCol w:w="1039"/>
        <w:gridCol w:w="851"/>
        <w:gridCol w:w="833"/>
        <w:gridCol w:w="835"/>
      </w:tblGrid>
      <w:tr>
        <w:tblPrEx>
          <w:tblCellMar>
            <w:top w:w="0" w:type="dxa"/>
            <w:left w:w="108" w:type="dxa"/>
            <w:bottom w:w="0" w:type="dxa"/>
            <w:right w:w="108" w:type="dxa"/>
          </w:tblCellMar>
        </w:tblPrEx>
        <w:trPr>
          <w:trHeight w:val="365" w:hRule="atLeast"/>
        </w:trPr>
        <w:tc>
          <w:tcPr>
            <w:tcW w:w="943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653"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65"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51118122T000000402071-应急救援装备购置</w:t>
            </w:r>
          </w:p>
        </w:tc>
      </w:tr>
      <w:tr>
        <w:tblPrEx>
          <w:tblCellMar>
            <w:top w:w="0" w:type="dxa"/>
            <w:left w:w="108" w:type="dxa"/>
            <w:bottom w:w="0" w:type="dxa"/>
            <w:right w:w="108" w:type="dxa"/>
          </w:tblCellMar>
        </w:tblPrEx>
        <w:trPr>
          <w:trHeight w:val="456"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309"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37" w:type="dxa"/>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5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tblPrEx>
          <w:tblCellMar>
            <w:top w:w="0" w:type="dxa"/>
            <w:left w:w="108" w:type="dxa"/>
            <w:bottom w:w="0" w:type="dxa"/>
            <w:right w:w="108" w:type="dxa"/>
          </w:tblCellMar>
        </w:tblPrEx>
        <w:trPr>
          <w:trHeight w:val="501" w:hRule="atLeast"/>
        </w:trPr>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309"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556"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tblPrEx>
          <w:tblCellMar>
            <w:top w:w="0" w:type="dxa"/>
            <w:left w:w="108" w:type="dxa"/>
            <w:bottom w:w="0" w:type="dxa"/>
            <w:right w:w="108" w:type="dxa"/>
          </w:tblCellMar>
        </w:tblPrEx>
        <w:trPr>
          <w:trHeight w:val="501"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4309"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 武警中队配备应急救援装备一批</w:t>
            </w:r>
          </w:p>
        </w:tc>
        <w:tc>
          <w:tcPr>
            <w:tcW w:w="3556"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完成应急救援装备</w:t>
            </w:r>
            <w:r>
              <w:rPr>
                <w:rFonts w:hint="eastAsia" w:ascii="___WRD_EMBED_SUB_17" w:hAnsi="___WRD_EMBED_SUB_17" w:eastAsia="___WRD_EMBED_SUB_17" w:cs="___WRD_EMBED_SUB_17"/>
                <w:color w:val="000000"/>
                <w:kern w:val="0"/>
                <w:sz w:val="18"/>
                <w:szCs w:val="18"/>
              </w:rPr>
              <w:t>的</w:t>
            </w:r>
            <w:r>
              <w:rPr>
                <w:rFonts w:hint="eastAsia" w:ascii="微软雅黑" w:hAnsi="微软雅黑" w:eastAsia="微软雅黑" w:cs="微软雅黑"/>
                <w:color w:val="000000"/>
                <w:kern w:val="0"/>
                <w:sz w:val="18"/>
                <w:szCs w:val="18"/>
              </w:rPr>
              <w:t>采购验</w:t>
            </w:r>
            <w:r>
              <w:rPr>
                <w:rFonts w:hint="eastAsia" w:ascii="___WRD_EMBED_SUB_17" w:hAnsi="___WRD_EMBED_SUB_17" w:eastAsia="___WRD_EMBED_SUB_17" w:cs="___WRD_EMBED_SUB_17"/>
                <w:color w:val="000000"/>
                <w:kern w:val="0"/>
                <w:sz w:val="18"/>
                <w:szCs w:val="18"/>
              </w:rPr>
              <w:t>收</w:t>
            </w:r>
            <w:r>
              <w:rPr>
                <w:rFonts w:hint="eastAsia" w:ascii="微软雅黑" w:hAnsi="微软雅黑" w:eastAsia="微软雅黑" w:cs="微软雅黑"/>
                <w:color w:val="000000"/>
                <w:kern w:val="0"/>
                <w:sz w:val="18"/>
                <w:szCs w:val="18"/>
              </w:rPr>
              <w:t>工作</w:t>
            </w:r>
            <w:r>
              <w:rPr>
                <w:rFonts w:hint="eastAsia" w:ascii="黑体" w:hAnsi="黑体" w:eastAsia="黑体" w:cs="宋体"/>
                <w:color w:val="000000"/>
                <w:kern w:val="0"/>
                <w:sz w:val="18"/>
                <w:szCs w:val="18"/>
              </w:rPr>
              <w:t xml:space="preserve"> </w:t>
            </w:r>
          </w:p>
        </w:tc>
      </w:tr>
      <w:tr>
        <w:tblPrEx>
          <w:tblCellMar>
            <w:top w:w="0" w:type="dxa"/>
            <w:left w:w="108" w:type="dxa"/>
            <w:bottom w:w="0" w:type="dxa"/>
            <w:right w:w="108" w:type="dxa"/>
          </w:tblCellMar>
        </w:tblPrEx>
        <w:trPr>
          <w:trHeight w:val="958"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65"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完成应急救援装备的采购验收工作 </w:t>
            </w:r>
          </w:p>
        </w:tc>
      </w:tr>
      <w:tr>
        <w:tblPrEx>
          <w:tblCellMar>
            <w:top w:w="0" w:type="dxa"/>
            <w:left w:w="108" w:type="dxa"/>
            <w:bottom w:w="0" w:type="dxa"/>
            <w:right w:w="108" w:type="dxa"/>
          </w:tblCellMar>
        </w:tblPrEx>
        <w:trPr>
          <w:trHeight w:val="958" w:hRule="atLeast"/>
        </w:trPr>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78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16.48</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62.42</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62.42</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3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16.48</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62.42</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62.42</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4"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4"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4"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4"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trHeight w:val="456" w:hRule="atLeast"/>
        </w:trPr>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78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07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购置设备数量</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台（套）</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20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71"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7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政府采购率</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7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质量指标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设备质量合格率</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86"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7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设备故障率</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10"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07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社会效益指标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设备利用率</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7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提升应急救援能力</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可持续影响指标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设备使用年限</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5</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满意度指标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10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使用人员满意度</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9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95</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41" w:hRule="atLeast"/>
        </w:trPr>
        <w:tc>
          <w:tcPr>
            <w:tcW w:w="691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5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33"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98</w:t>
            </w:r>
          </w:p>
        </w:tc>
        <w:tc>
          <w:tcPr>
            <w:tcW w:w="83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41" w:hRule="atLeast"/>
        </w:trPr>
        <w:tc>
          <w:tcPr>
            <w:tcW w:w="78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52"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项目自评总分98分，项目按计划完成了招标采购 ，产品已交付验收并投入使用。</w:t>
            </w:r>
          </w:p>
        </w:tc>
      </w:tr>
      <w:tr>
        <w:tblPrEx>
          <w:tblCellMar>
            <w:top w:w="0" w:type="dxa"/>
            <w:left w:w="108" w:type="dxa"/>
            <w:bottom w:w="0" w:type="dxa"/>
            <w:right w:w="108" w:type="dxa"/>
          </w:tblCellMar>
        </w:tblPrEx>
        <w:trPr>
          <w:trHeight w:val="441" w:hRule="atLeast"/>
        </w:trPr>
        <w:tc>
          <w:tcPr>
            <w:tcW w:w="78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52"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41" w:hRule="atLeast"/>
        </w:trPr>
        <w:tc>
          <w:tcPr>
            <w:tcW w:w="78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52"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41" w:hRule="atLeast"/>
        </w:trPr>
        <w:tc>
          <w:tcPr>
            <w:tcW w:w="432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项目负责人：毛佳龙</w:t>
            </w:r>
          </w:p>
        </w:tc>
        <w:tc>
          <w:tcPr>
            <w:tcW w:w="5111"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财务负责人：漆明强</w:t>
            </w:r>
          </w:p>
        </w:tc>
      </w:tr>
    </w:tbl>
    <w:p>
      <w:pPr>
        <w:pStyle w:val="2"/>
        <w:spacing w:before="93"/>
        <w:rPr>
          <w:rFonts w:hAnsi="Calibri" w:cs="仿宋"/>
          <w:sz w:val="32"/>
          <w:szCs w:val="32"/>
        </w:rPr>
      </w:pPr>
    </w:p>
    <w:p>
      <w:pPr>
        <w:pStyle w:val="2"/>
        <w:spacing w:before="93"/>
        <w:rPr>
          <w:rFonts w:hAnsi="Calibri" w:cs="仿宋"/>
          <w:sz w:val="32"/>
          <w:szCs w:val="32"/>
        </w:rPr>
      </w:pPr>
    </w:p>
    <w:p>
      <w:pPr>
        <w:pStyle w:val="2"/>
        <w:spacing w:before="93"/>
        <w:rPr>
          <w:rFonts w:ascii="Cambria" w:hAnsi="Cambria" w:cs="仿宋"/>
          <w:b/>
          <w:bCs/>
          <w:sz w:val="32"/>
          <w:szCs w:val="32"/>
        </w:rPr>
      </w:pPr>
      <w:r>
        <w:rPr>
          <w:rFonts w:hint="eastAsia" w:hAnsi="Calibri" w:cs="仿宋"/>
          <w:b/>
          <w:bCs/>
          <w:sz w:val="32"/>
          <w:szCs w:val="32"/>
        </w:rPr>
        <w:t>附件</w:t>
      </w:r>
      <w:r>
        <w:rPr>
          <w:rFonts w:hint="eastAsia" w:ascii="Cambria" w:hAnsi="Cambria" w:cs="仿宋"/>
          <w:b/>
          <w:bCs/>
          <w:sz w:val="32"/>
          <w:szCs w:val="32"/>
        </w:rPr>
        <w:t>1</w:t>
      </w:r>
      <w:r>
        <w:rPr>
          <w:rFonts w:ascii="Cambria" w:hAnsi="Cambria" w:cs="仿宋"/>
          <w:b/>
          <w:bCs/>
          <w:sz w:val="32"/>
          <w:szCs w:val="32"/>
        </w:rPr>
        <w:t>-5</w:t>
      </w:r>
    </w:p>
    <w:tbl>
      <w:tblPr>
        <w:tblStyle w:val="12"/>
        <w:tblW w:w="9440" w:type="dxa"/>
        <w:tblInd w:w="113" w:type="dxa"/>
        <w:tblLayout w:type="autofit"/>
        <w:tblCellMar>
          <w:top w:w="0" w:type="dxa"/>
          <w:left w:w="108" w:type="dxa"/>
          <w:bottom w:w="0" w:type="dxa"/>
          <w:right w:w="108" w:type="dxa"/>
        </w:tblCellMar>
      </w:tblPr>
      <w:tblGrid>
        <w:gridCol w:w="802"/>
        <w:gridCol w:w="804"/>
        <w:gridCol w:w="1107"/>
        <w:gridCol w:w="1112"/>
        <w:gridCol w:w="634"/>
        <w:gridCol w:w="630"/>
        <w:gridCol w:w="631"/>
        <w:gridCol w:w="1038"/>
        <w:gridCol w:w="892"/>
        <w:gridCol w:w="892"/>
        <w:gridCol w:w="886"/>
        <w:gridCol w:w="12"/>
      </w:tblGrid>
      <w:tr>
        <w:tblPrEx>
          <w:tblCellMar>
            <w:top w:w="0" w:type="dxa"/>
            <w:left w:w="108" w:type="dxa"/>
            <w:bottom w:w="0" w:type="dxa"/>
            <w:right w:w="108" w:type="dxa"/>
          </w:tblCellMar>
        </w:tblPrEx>
        <w:trPr>
          <w:trHeight w:val="565" w:hRule="atLeast"/>
        </w:trPr>
        <w:tc>
          <w:tcPr>
            <w:tcW w:w="944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491"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31"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51118122T000005316525-排危除险应急资金</w:t>
            </w:r>
          </w:p>
        </w:tc>
      </w:tr>
      <w:tr>
        <w:tblPrEx>
          <w:tblCellMar>
            <w:top w:w="0" w:type="dxa"/>
            <w:left w:w="108" w:type="dxa"/>
            <w:bottom w:w="0" w:type="dxa"/>
            <w:right w:w="108" w:type="dxa"/>
          </w:tblCellMar>
        </w:tblPrEx>
        <w:trPr>
          <w:trHeight w:val="446"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15"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37" w:type="dxa"/>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6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tblPrEx>
          <w:tblCellMar>
            <w:top w:w="0" w:type="dxa"/>
            <w:left w:w="108" w:type="dxa"/>
            <w:bottom w:w="0" w:type="dxa"/>
            <w:right w:w="108" w:type="dxa"/>
          </w:tblCellMar>
        </w:tblPrEx>
        <w:trPr>
          <w:trHeight w:val="656"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0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15"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716"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tblPrEx>
          <w:tblCellMar>
            <w:top w:w="0" w:type="dxa"/>
            <w:left w:w="108" w:type="dxa"/>
            <w:bottom w:w="0" w:type="dxa"/>
            <w:right w:w="108" w:type="dxa"/>
          </w:tblCellMar>
        </w:tblPrEx>
        <w:trPr>
          <w:trHeight w:val="1282"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4115"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防灾减灾救灾示范点建设费用；自然灾害应急救援、受灾群众紧急救助、灾情紧急调查分析评估；购买水旱、地灾、地震等自然灾害应急处置技术支持、协助救援救灾服务工作开展</w:t>
            </w:r>
          </w:p>
        </w:tc>
        <w:tc>
          <w:tcPr>
            <w:tcW w:w="3716"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完成防灾减灾救灾示范点建</w:t>
            </w:r>
            <w:r>
              <w:rPr>
                <w:rFonts w:hint="eastAsia" w:ascii="___WRD_EMBED_SUB_17" w:hAnsi="___WRD_EMBED_SUB_17" w:eastAsia="___WRD_EMBED_SUB_17" w:cs="___WRD_EMBED_SUB_17"/>
                <w:color w:val="000000"/>
                <w:kern w:val="0"/>
                <w:sz w:val="18"/>
                <w:szCs w:val="18"/>
              </w:rPr>
              <w:t>设费</w:t>
            </w:r>
            <w:r>
              <w:rPr>
                <w:rFonts w:hint="eastAsia" w:ascii="微软雅黑" w:hAnsi="微软雅黑" w:eastAsia="微软雅黑" w:cs="微软雅黑"/>
                <w:color w:val="000000"/>
                <w:kern w:val="0"/>
                <w:sz w:val="18"/>
                <w:szCs w:val="18"/>
              </w:rPr>
              <w:t>用；自然灾害应急救援</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受灾群众紧急救助</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灾</w:t>
            </w:r>
            <w:r>
              <w:rPr>
                <w:rFonts w:hint="eastAsia" w:ascii="___WRD_EMBED_SUB_17" w:hAnsi="___WRD_EMBED_SUB_17" w:eastAsia="___WRD_EMBED_SUB_17" w:cs="___WRD_EMBED_SUB_17"/>
                <w:color w:val="000000"/>
                <w:kern w:val="0"/>
                <w:sz w:val="18"/>
                <w:szCs w:val="18"/>
              </w:rPr>
              <w:t>情</w:t>
            </w:r>
            <w:r>
              <w:rPr>
                <w:rFonts w:hint="eastAsia" w:ascii="微软雅黑" w:hAnsi="微软雅黑" w:eastAsia="微软雅黑" w:cs="微软雅黑"/>
                <w:color w:val="000000"/>
                <w:kern w:val="0"/>
                <w:sz w:val="18"/>
                <w:szCs w:val="18"/>
              </w:rPr>
              <w:t>紧急调查</w:t>
            </w:r>
            <w:r>
              <w:rPr>
                <w:rFonts w:hint="eastAsia" w:ascii="___WRD_EMBED_SUB_17" w:hAnsi="___WRD_EMBED_SUB_17" w:eastAsia="___WRD_EMBED_SUB_17" w:cs="___WRD_EMBED_SUB_17"/>
                <w:color w:val="000000"/>
                <w:kern w:val="0"/>
                <w:sz w:val="18"/>
                <w:szCs w:val="18"/>
              </w:rPr>
              <w:t>分</w:t>
            </w:r>
            <w:r>
              <w:rPr>
                <w:rFonts w:hint="eastAsia" w:ascii="微软雅黑" w:hAnsi="微软雅黑" w:eastAsia="微软雅黑" w:cs="微软雅黑"/>
                <w:color w:val="000000"/>
                <w:kern w:val="0"/>
                <w:sz w:val="18"/>
                <w:szCs w:val="18"/>
              </w:rPr>
              <w:t>析评估；购买水旱</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地灾</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地震等自然灾害应急处</w:t>
            </w:r>
            <w:r>
              <w:rPr>
                <w:rFonts w:hint="eastAsia" w:ascii="___WRD_EMBED_SUB_17" w:hAnsi="___WRD_EMBED_SUB_17" w:eastAsia="___WRD_EMBED_SUB_17" w:cs="___WRD_EMBED_SUB_17"/>
                <w:color w:val="000000"/>
                <w:kern w:val="0"/>
                <w:sz w:val="18"/>
                <w:szCs w:val="18"/>
              </w:rPr>
              <w:t>置</w:t>
            </w:r>
            <w:r>
              <w:rPr>
                <w:rFonts w:hint="eastAsia" w:ascii="微软雅黑" w:hAnsi="微软雅黑" w:eastAsia="微软雅黑" w:cs="微软雅黑"/>
                <w:color w:val="000000"/>
                <w:kern w:val="0"/>
                <w:sz w:val="18"/>
                <w:szCs w:val="18"/>
              </w:rPr>
              <w:t>技术</w:t>
            </w:r>
            <w:r>
              <w:rPr>
                <w:rFonts w:hint="eastAsia" w:ascii="___WRD_EMBED_SUB_17" w:hAnsi="___WRD_EMBED_SUB_17" w:eastAsia="___WRD_EMBED_SUB_17" w:cs="___WRD_EMBED_SUB_17"/>
                <w:color w:val="000000"/>
                <w:kern w:val="0"/>
                <w:sz w:val="18"/>
                <w:szCs w:val="18"/>
              </w:rPr>
              <w:t>支</w:t>
            </w:r>
            <w:r>
              <w:rPr>
                <w:rFonts w:hint="eastAsia" w:ascii="微软雅黑" w:hAnsi="微软雅黑" w:eastAsia="微软雅黑" w:cs="微软雅黑"/>
                <w:color w:val="000000"/>
                <w:kern w:val="0"/>
                <w:sz w:val="18"/>
                <w:szCs w:val="18"/>
              </w:rPr>
              <w:t>持</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协助救援救灾服务工作开展</w:t>
            </w:r>
          </w:p>
        </w:tc>
      </w:tr>
      <w:tr>
        <w:tblPrEx>
          <w:tblCellMar>
            <w:top w:w="0" w:type="dxa"/>
            <w:left w:w="108" w:type="dxa"/>
            <w:bottom w:w="0" w:type="dxa"/>
            <w:right w:w="108" w:type="dxa"/>
          </w:tblCellMar>
        </w:tblPrEx>
        <w:trPr>
          <w:trHeight w:val="939"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31"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防灾减灾救灾示范点建设费用；自然灾害应急救援、受灾群众紧急救助、灾情紧急调查分析评估；购买水旱、地灾、地震等自然灾害应急处置技术支持、协助救援救灾服务工作开展</w:t>
            </w:r>
          </w:p>
        </w:tc>
      </w:tr>
      <w:tr>
        <w:tblPrEx>
          <w:tblCellMar>
            <w:top w:w="0" w:type="dxa"/>
            <w:left w:w="108" w:type="dxa"/>
            <w:bottom w:w="0" w:type="dxa"/>
            <w:right w:w="108" w:type="dxa"/>
          </w:tblCellMar>
        </w:tblPrEx>
        <w:trPr>
          <w:gridAfter w:val="1"/>
          <w:wAfter w:w="11" w:type="dxa"/>
          <w:trHeight w:val="506"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1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8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66.90</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66.90</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66.90</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66.90</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7"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7"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7"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08"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1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7"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2" w:type="dxa"/>
          <w:trHeight w:val="745"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1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3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8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gridAfter w:val="1"/>
          <w:wAfter w:w="12" w:type="dxa"/>
          <w:trHeight w:val="387"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3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87"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387" w:hRule="atLeast"/>
        </w:trPr>
        <w:tc>
          <w:tcPr>
            <w:tcW w:w="676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893" w:type="dxa"/>
            <w:gridSpan w:val="2"/>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745"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36"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项目自评总分100分，严格按照有关项目管理和经费管理规定执行。各项预算支出顺利进行，并按计划圆满完成。</w:t>
            </w:r>
          </w:p>
        </w:tc>
      </w:tr>
      <w:tr>
        <w:tblPrEx>
          <w:tblCellMar>
            <w:top w:w="0" w:type="dxa"/>
            <w:left w:w="108" w:type="dxa"/>
            <w:bottom w:w="0" w:type="dxa"/>
            <w:right w:w="108" w:type="dxa"/>
          </w:tblCellMar>
        </w:tblPrEx>
        <w:trPr>
          <w:trHeight w:val="387"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36"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387"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36"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387" w:hRule="atLeast"/>
        </w:trPr>
        <w:tc>
          <w:tcPr>
            <w:tcW w:w="446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项目负责人：毛佳龙</w:t>
            </w:r>
          </w:p>
        </w:tc>
        <w:tc>
          <w:tcPr>
            <w:tcW w:w="4977" w:type="dxa"/>
            <w:gridSpan w:val="7"/>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财务负责人：漆明强</w:t>
            </w:r>
          </w:p>
        </w:tc>
      </w:tr>
    </w:tbl>
    <w:p>
      <w:pPr>
        <w:pStyle w:val="2"/>
        <w:spacing w:before="93"/>
        <w:rPr>
          <w:rFonts w:ascii="Cambria" w:hAnsi="Cambria" w:cs="仿宋"/>
          <w:b/>
          <w:bCs/>
          <w:sz w:val="32"/>
          <w:szCs w:val="32"/>
        </w:rPr>
      </w:pPr>
      <w:r>
        <w:rPr>
          <w:rFonts w:hint="eastAsia" w:hAnsi="Calibri" w:cs="仿宋"/>
          <w:b/>
          <w:bCs/>
          <w:sz w:val="32"/>
          <w:szCs w:val="32"/>
        </w:rPr>
        <w:t>附件</w:t>
      </w:r>
      <w:r>
        <w:rPr>
          <w:rFonts w:hint="eastAsia" w:ascii="Cambria" w:hAnsi="Cambria" w:cs="仿宋"/>
          <w:b/>
          <w:bCs/>
          <w:sz w:val="32"/>
          <w:szCs w:val="32"/>
        </w:rPr>
        <w:t>1</w:t>
      </w:r>
      <w:r>
        <w:rPr>
          <w:rFonts w:ascii="Cambria" w:hAnsi="Cambria" w:cs="仿宋"/>
          <w:b/>
          <w:bCs/>
          <w:sz w:val="32"/>
          <w:szCs w:val="32"/>
        </w:rPr>
        <w:t>-6</w:t>
      </w:r>
    </w:p>
    <w:tbl>
      <w:tblPr>
        <w:tblStyle w:val="12"/>
        <w:tblW w:w="9440" w:type="dxa"/>
        <w:tblInd w:w="113" w:type="dxa"/>
        <w:tblLayout w:type="autofit"/>
        <w:tblCellMar>
          <w:top w:w="0" w:type="dxa"/>
          <w:left w:w="108" w:type="dxa"/>
          <w:bottom w:w="0" w:type="dxa"/>
          <w:right w:w="108" w:type="dxa"/>
        </w:tblCellMar>
      </w:tblPr>
      <w:tblGrid>
        <w:gridCol w:w="806"/>
        <w:gridCol w:w="807"/>
        <w:gridCol w:w="1124"/>
        <w:gridCol w:w="1126"/>
        <w:gridCol w:w="641"/>
        <w:gridCol w:w="636"/>
        <w:gridCol w:w="638"/>
        <w:gridCol w:w="934"/>
        <w:gridCol w:w="906"/>
        <w:gridCol w:w="904"/>
        <w:gridCol w:w="906"/>
        <w:gridCol w:w="12"/>
      </w:tblGrid>
      <w:tr>
        <w:tblPrEx>
          <w:tblCellMar>
            <w:top w:w="0" w:type="dxa"/>
            <w:left w:w="108" w:type="dxa"/>
            <w:bottom w:w="0" w:type="dxa"/>
            <w:right w:w="108" w:type="dxa"/>
          </w:tblCellMar>
        </w:tblPrEx>
        <w:trPr>
          <w:trHeight w:val="625" w:hRule="atLeast"/>
        </w:trPr>
        <w:tc>
          <w:tcPr>
            <w:tcW w:w="944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273" w:hRule="atLeast"/>
        </w:trPr>
        <w:tc>
          <w:tcPr>
            <w:tcW w:w="16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27"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51118122T000005413932-自然灾害救助</w:t>
            </w:r>
          </w:p>
        </w:tc>
      </w:tr>
      <w:tr>
        <w:tblPrEx>
          <w:tblCellMar>
            <w:top w:w="0" w:type="dxa"/>
            <w:left w:w="108" w:type="dxa"/>
            <w:bottom w:w="0" w:type="dxa"/>
            <w:right w:w="108" w:type="dxa"/>
          </w:tblCellMar>
        </w:tblPrEx>
        <w:trPr>
          <w:trHeight w:val="456" w:hRule="atLeast"/>
        </w:trPr>
        <w:tc>
          <w:tcPr>
            <w:tcW w:w="16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65"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934" w:type="dxa"/>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7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tblPrEx>
          <w:tblCellMar>
            <w:top w:w="0" w:type="dxa"/>
            <w:left w:w="108" w:type="dxa"/>
            <w:bottom w:w="0" w:type="dxa"/>
            <w:right w:w="108" w:type="dxa"/>
          </w:tblCellMar>
        </w:tblPrEx>
        <w:trPr>
          <w:trHeight w:val="502" w:hRule="atLeast"/>
        </w:trPr>
        <w:tc>
          <w:tcPr>
            <w:tcW w:w="80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0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65"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662"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tblPrEx>
          <w:tblCellMar>
            <w:top w:w="0" w:type="dxa"/>
            <w:left w:w="108" w:type="dxa"/>
            <w:bottom w:w="0" w:type="dxa"/>
            <w:right w:w="108" w:type="dxa"/>
          </w:tblCellMar>
        </w:tblPrEx>
        <w:trPr>
          <w:trHeight w:val="1450" w:hRule="atLeast"/>
        </w:trPr>
        <w:tc>
          <w:tcPr>
            <w:tcW w:w="80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4165"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开展防灾减灾知识宣传，完善了相关避难场所，推动了全国防灾减灾示范社区创建，开展灾情核查，采购了有关救援设备，完成了“十四五”应急体系规划的编制工作，开展了受灾救助救助工作。</w:t>
            </w:r>
          </w:p>
        </w:tc>
        <w:tc>
          <w:tcPr>
            <w:tcW w:w="3662"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切实开展防灾减灾知识宣传，完善了相关避难场所，推动了全</w:t>
            </w:r>
            <w:r>
              <w:rPr>
                <w:rFonts w:hint="eastAsia" w:ascii="___WRD_EMBED_SUB_17" w:hAnsi="___WRD_EMBED_SUB_17" w:eastAsia="___WRD_EMBED_SUB_17" w:cs="___WRD_EMBED_SUB_17"/>
                <w:color w:val="000000"/>
                <w:kern w:val="0"/>
                <w:sz w:val="18"/>
                <w:szCs w:val="18"/>
              </w:rPr>
              <w:t>国</w:t>
            </w:r>
            <w:r>
              <w:rPr>
                <w:rFonts w:hint="eastAsia" w:ascii="微软雅黑" w:hAnsi="微软雅黑" w:eastAsia="微软雅黑" w:cs="微软雅黑"/>
                <w:color w:val="000000"/>
                <w:kern w:val="0"/>
                <w:sz w:val="18"/>
                <w:szCs w:val="18"/>
              </w:rPr>
              <w:t>防灾减灾示范社区创建，开展灾</w:t>
            </w:r>
            <w:r>
              <w:rPr>
                <w:rFonts w:hint="eastAsia" w:ascii="___WRD_EMBED_SUB_17" w:hAnsi="___WRD_EMBED_SUB_17" w:eastAsia="___WRD_EMBED_SUB_17" w:cs="___WRD_EMBED_SUB_17"/>
                <w:color w:val="000000"/>
                <w:kern w:val="0"/>
                <w:sz w:val="18"/>
                <w:szCs w:val="18"/>
              </w:rPr>
              <w:t>情</w:t>
            </w:r>
            <w:r>
              <w:rPr>
                <w:rFonts w:hint="eastAsia" w:ascii="微软雅黑" w:hAnsi="微软雅黑" w:eastAsia="微软雅黑" w:cs="微软雅黑"/>
                <w:color w:val="000000"/>
                <w:kern w:val="0"/>
                <w:sz w:val="18"/>
                <w:szCs w:val="18"/>
              </w:rPr>
              <w:t>核查，采购了</w:t>
            </w:r>
            <w:r>
              <w:rPr>
                <w:rFonts w:hint="eastAsia" w:ascii="___WRD_EMBED_SUB_17" w:hAnsi="___WRD_EMBED_SUB_17" w:eastAsia="___WRD_EMBED_SUB_17" w:cs="___WRD_EMBED_SUB_17"/>
                <w:color w:val="000000"/>
                <w:kern w:val="0"/>
                <w:sz w:val="18"/>
                <w:szCs w:val="18"/>
              </w:rPr>
              <w:t>有</w:t>
            </w:r>
            <w:r>
              <w:rPr>
                <w:rFonts w:hint="eastAsia" w:ascii="微软雅黑" w:hAnsi="微软雅黑" w:eastAsia="微软雅黑" w:cs="微软雅黑"/>
                <w:color w:val="000000"/>
                <w:kern w:val="0"/>
                <w:sz w:val="18"/>
                <w:szCs w:val="18"/>
              </w:rPr>
              <w:t>关救援</w:t>
            </w:r>
            <w:r>
              <w:rPr>
                <w:rFonts w:hint="eastAsia" w:ascii="___WRD_EMBED_SUB_17" w:hAnsi="___WRD_EMBED_SUB_17" w:eastAsia="___WRD_EMBED_SUB_17" w:cs="___WRD_EMBED_SUB_17"/>
                <w:color w:val="000000"/>
                <w:kern w:val="0"/>
                <w:sz w:val="18"/>
                <w:szCs w:val="18"/>
              </w:rPr>
              <w:t>设</w:t>
            </w:r>
            <w:r>
              <w:rPr>
                <w:rFonts w:hint="eastAsia" w:ascii="微软雅黑" w:hAnsi="微软雅黑" w:eastAsia="微软雅黑" w:cs="微软雅黑"/>
                <w:color w:val="000000"/>
                <w:kern w:val="0"/>
                <w:sz w:val="18"/>
                <w:szCs w:val="18"/>
              </w:rPr>
              <w:t>备，完成了“十</w:t>
            </w:r>
            <w:r>
              <w:rPr>
                <w:rFonts w:hint="eastAsia" w:ascii="___WRD_EMBED_SUB_17" w:hAnsi="___WRD_EMBED_SUB_17" w:eastAsia="___WRD_EMBED_SUB_17" w:cs="___WRD_EMBED_SUB_17"/>
                <w:color w:val="000000"/>
                <w:kern w:val="0"/>
                <w:sz w:val="18"/>
                <w:szCs w:val="18"/>
              </w:rPr>
              <w:t>四五”</w:t>
            </w:r>
            <w:r>
              <w:rPr>
                <w:rFonts w:hint="eastAsia" w:ascii="微软雅黑" w:hAnsi="微软雅黑" w:eastAsia="微软雅黑" w:cs="微软雅黑"/>
                <w:color w:val="000000"/>
                <w:kern w:val="0"/>
                <w:sz w:val="18"/>
                <w:szCs w:val="18"/>
              </w:rPr>
              <w:t>应急</w:t>
            </w:r>
            <w:r>
              <w:rPr>
                <w:rFonts w:hint="eastAsia" w:ascii="___WRD_EMBED_SUB_17" w:hAnsi="___WRD_EMBED_SUB_17" w:eastAsia="___WRD_EMBED_SUB_17" w:cs="___WRD_EMBED_SUB_17"/>
                <w:color w:val="000000"/>
                <w:kern w:val="0"/>
                <w:sz w:val="18"/>
                <w:szCs w:val="18"/>
              </w:rPr>
              <w:t>体</w:t>
            </w:r>
            <w:r>
              <w:rPr>
                <w:rFonts w:hint="eastAsia" w:ascii="微软雅黑" w:hAnsi="微软雅黑" w:eastAsia="微软雅黑" w:cs="微软雅黑"/>
                <w:color w:val="000000"/>
                <w:kern w:val="0"/>
                <w:sz w:val="18"/>
                <w:szCs w:val="18"/>
              </w:rPr>
              <w:t>系规划</w:t>
            </w:r>
            <w:r>
              <w:rPr>
                <w:rFonts w:hint="eastAsia" w:ascii="___WRD_EMBED_SUB_17" w:hAnsi="___WRD_EMBED_SUB_17" w:eastAsia="___WRD_EMBED_SUB_17" w:cs="___WRD_EMBED_SUB_17"/>
                <w:color w:val="000000"/>
                <w:kern w:val="0"/>
                <w:sz w:val="18"/>
                <w:szCs w:val="18"/>
              </w:rPr>
              <w:t>的</w:t>
            </w:r>
            <w:r>
              <w:rPr>
                <w:rFonts w:hint="eastAsia" w:ascii="微软雅黑" w:hAnsi="微软雅黑" w:eastAsia="微软雅黑" w:cs="微软雅黑"/>
                <w:color w:val="000000"/>
                <w:kern w:val="0"/>
                <w:sz w:val="18"/>
                <w:szCs w:val="18"/>
              </w:rPr>
              <w:t>编制工作，开展了受灾救助救助工作。</w:t>
            </w:r>
          </w:p>
        </w:tc>
      </w:tr>
      <w:tr>
        <w:tblPrEx>
          <w:tblCellMar>
            <w:top w:w="0" w:type="dxa"/>
            <w:left w:w="108" w:type="dxa"/>
            <w:bottom w:w="0" w:type="dxa"/>
            <w:right w:w="108" w:type="dxa"/>
          </w:tblCellMar>
        </w:tblPrEx>
        <w:trPr>
          <w:trHeight w:val="885" w:hRule="atLeast"/>
        </w:trPr>
        <w:tc>
          <w:tcPr>
            <w:tcW w:w="80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27"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开展防灾减灾知识宣传，完善了相关避难场所，推动了全国防灾减灾示范社区创建，开展灾情核查，采购了有关救援设备，完成了“十四五”应急体系规划的编制工作，开展了受灾救助救助工作。助救援救灾服务工作开展。</w:t>
            </w:r>
          </w:p>
        </w:tc>
      </w:tr>
      <w:tr>
        <w:tblPrEx>
          <w:tblCellMar>
            <w:top w:w="0" w:type="dxa"/>
            <w:left w:w="108" w:type="dxa"/>
            <w:bottom w:w="0" w:type="dxa"/>
            <w:right w:w="108" w:type="dxa"/>
          </w:tblCellMar>
        </w:tblPrEx>
        <w:trPr>
          <w:gridAfter w:val="1"/>
          <w:wAfter w:w="12" w:type="dxa"/>
          <w:trHeight w:val="579" w:hRule="atLeast"/>
        </w:trPr>
        <w:tc>
          <w:tcPr>
            <w:tcW w:w="80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93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9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188.00</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115.02</w:t>
            </w:r>
          </w:p>
        </w:tc>
        <w:tc>
          <w:tcPr>
            <w:tcW w:w="93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61.18%</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0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2022年12月底新增预算，已于次月完成发放。</w:t>
            </w:r>
          </w:p>
        </w:tc>
      </w:tr>
      <w:tr>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188.00</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115.02</w:t>
            </w:r>
          </w:p>
        </w:tc>
        <w:tc>
          <w:tcPr>
            <w:tcW w:w="93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61.18%</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6"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6"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6"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2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6"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2" w:type="dxa"/>
          <w:trHeight w:val="456" w:hRule="atLeast"/>
        </w:trPr>
        <w:tc>
          <w:tcPr>
            <w:tcW w:w="80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3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93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9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gridAfter w:val="1"/>
          <w:wAfter w:w="12" w:type="dxa"/>
          <w:trHeight w:val="273" w:hRule="atLeast"/>
        </w:trPr>
        <w:tc>
          <w:tcPr>
            <w:tcW w:w="80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2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34"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0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56" w:hRule="atLeast"/>
        </w:trPr>
        <w:tc>
          <w:tcPr>
            <w:tcW w:w="671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90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0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92</w:t>
            </w:r>
          </w:p>
        </w:tc>
        <w:tc>
          <w:tcPr>
            <w:tcW w:w="918" w:type="dxa"/>
            <w:gridSpan w:val="2"/>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6" w:hRule="atLeast"/>
        </w:trPr>
        <w:tc>
          <w:tcPr>
            <w:tcW w:w="80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34"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项目自评总分92分，严格按照有关项目管理和经费管理规定执行。各项预算支出有序进行。</w:t>
            </w:r>
          </w:p>
        </w:tc>
      </w:tr>
      <w:tr>
        <w:tblPrEx>
          <w:tblCellMar>
            <w:top w:w="0" w:type="dxa"/>
            <w:left w:w="108" w:type="dxa"/>
            <w:bottom w:w="0" w:type="dxa"/>
            <w:right w:w="108" w:type="dxa"/>
          </w:tblCellMar>
        </w:tblPrEx>
        <w:trPr>
          <w:trHeight w:val="456" w:hRule="atLeast"/>
        </w:trPr>
        <w:tc>
          <w:tcPr>
            <w:tcW w:w="80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34"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受疫情影响，进度较慢，严严重影响了项目实施进度</w:t>
            </w:r>
          </w:p>
        </w:tc>
      </w:tr>
      <w:tr>
        <w:tblPrEx>
          <w:tblCellMar>
            <w:top w:w="0" w:type="dxa"/>
            <w:left w:w="108" w:type="dxa"/>
            <w:bottom w:w="0" w:type="dxa"/>
            <w:right w:w="108" w:type="dxa"/>
          </w:tblCellMar>
        </w:tblPrEx>
        <w:trPr>
          <w:trHeight w:val="456" w:hRule="atLeast"/>
        </w:trPr>
        <w:tc>
          <w:tcPr>
            <w:tcW w:w="80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34"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完善需求调查机制，更好的将队伍需求与市场供应结合紧密结合起来 ；尽快完成项目余款支付。</w:t>
            </w:r>
          </w:p>
        </w:tc>
      </w:tr>
      <w:tr>
        <w:tblPrEx>
          <w:tblCellMar>
            <w:top w:w="0" w:type="dxa"/>
            <w:left w:w="108" w:type="dxa"/>
            <w:bottom w:w="0" w:type="dxa"/>
            <w:right w:w="108" w:type="dxa"/>
          </w:tblCellMar>
        </w:tblPrEx>
        <w:trPr>
          <w:trHeight w:val="456" w:hRule="atLeast"/>
        </w:trPr>
        <w:tc>
          <w:tcPr>
            <w:tcW w:w="45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项目负责人：毛佳龙</w:t>
            </w:r>
          </w:p>
        </w:tc>
        <w:tc>
          <w:tcPr>
            <w:tcW w:w="4936" w:type="dxa"/>
            <w:gridSpan w:val="7"/>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财务负责人：漆明强</w:t>
            </w:r>
          </w:p>
        </w:tc>
      </w:tr>
    </w:tbl>
    <w:p>
      <w:pPr>
        <w:pStyle w:val="2"/>
        <w:spacing w:before="93"/>
        <w:rPr>
          <w:rFonts w:hAnsi="Calibri" w:cs="仿宋"/>
          <w:sz w:val="32"/>
          <w:szCs w:val="32"/>
        </w:rPr>
      </w:pPr>
    </w:p>
    <w:p>
      <w:pPr>
        <w:pStyle w:val="2"/>
        <w:spacing w:before="93"/>
        <w:rPr>
          <w:rFonts w:ascii="Cambria" w:hAnsi="Cambria" w:cs="仿宋"/>
          <w:b/>
          <w:bCs/>
          <w:sz w:val="32"/>
          <w:szCs w:val="32"/>
        </w:rPr>
      </w:pPr>
      <w:r>
        <w:rPr>
          <w:rFonts w:hint="eastAsia" w:hAnsi="Calibri" w:cs="仿宋"/>
          <w:b/>
          <w:bCs/>
          <w:sz w:val="32"/>
          <w:szCs w:val="32"/>
        </w:rPr>
        <w:t>附件</w:t>
      </w:r>
      <w:r>
        <w:rPr>
          <w:rFonts w:hint="eastAsia" w:ascii="Cambria" w:hAnsi="Cambria" w:cs="仿宋"/>
          <w:b/>
          <w:bCs/>
          <w:sz w:val="32"/>
          <w:szCs w:val="32"/>
        </w:rPr>
        <w:t>1</w:t>
      </w:r>
      <w:r>
        <w:rPr>
          <w:rFonts w:ascii="Cambria" w:hAnsi="Cambria" w:cs="仿宋"/>
          <w:b/>
          <w:bCs/>
          <w:sz w:val="32"/>
          <w:szCs w:val="32"/>
        </w:rPr>
        <w:t>-7</w:t>
      </w:r>
    </w:p>
    <w:tbl>
      <w:tblPr>
        <w:tblStyle w:val="12"/>
        <w:tblW w:w="9415" w:type="dxa"/>
        <w:tblInd w:w="113" w:type="dxa"/>
        <w:tblLayout w:type="autofit"/>
        <w:tblCellMar>
          <w:top w:w="0" w:type="dxa"/>
          <w:left w:w="108" w:type="dxa"/>
          <w:bottom w:w="0" w:type="dxa"/>
          <w:right w:w="108" w:type="dxa"/>
        </w:tblCellMar>
      </w:tblPr>
      <w:tblGrid>
        <w:gridCol w:w="803"/>
        <w:gridCol w:w="802"/>
        <w:gridCol w:w="1104"/>
        <w:gridCol w:w="1115"/>
        <w:gridCol w:w="629"/>
        <w:gridCol w:w="627"/>
        <w:gridCol w:w="629"/>
        <w:gridCol w:w="1037"/>
        <w:gridCol w:w="889"/>
        <w:gridCol w:w="889"/>
        <w:gridCol w:w="884"/>
        <w:gridCol w:w="7"/>
      </w:tblGrid>
      <w:tr>
        <w:tblPrEx>
          <w:tblCellMar>
            <w:top w:w="0" w:type="dxa"/>
            <w:left w:w="108" w:type="dxa"/>
            <w:bottom w:w="0" w:type="dxa"/>
            <w:right w:w="108" w:type="dxa"/>
          </w:tblCellMar>
        </w:tblPrEx>
        <w:trPr>
          <w:trHeight w:val="605" w:hRule="atLeast"/>
        </w:trPr>
        <w:tc>
          <w:tcPr>
            <w:tcW w:w="9415"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454" w:hRule="atLeast"/>
        </w:trPr>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09"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51118122T000005413947-煤矿关闭奖补资金</w:t>
            </w:r>
          </w:p>
        </w:tc>
      </w:tr>
      <w:tr>
        <w:tblPrEx>
          <w:tblCellMar>
            <w:top w:w="0" w:type="dxa"/>
            <w:left w:w="108" w:type="dxa"/>
            <w:bottom w:w="0" w:type="dxa"/>
            <w:right w:w="108" w:type="dxa"/>
          </w:tblCellMar>
        </w:tblPrEx>
        <w:trPr>
          <w:trHeight w:val="454" w:hRule="atLeast"/>
        </w:trPr>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06"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35" w:type="dxa"/>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6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tblPrEx>
          <w:tblCellMar>
            <w:top w:w="0" w:type="dxa"/>
            <w:left w:w="108" w:type="dxa"/>
            <w:bottom w:w="0" w:type="dxa"/>
            <w:right w:w="108" w:type="dxa"/>
          </w:tblCellMar>
        </w:tblPrEx>
        <w:trPr>
          <w:trHeight w:val="529"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0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06"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703"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tblPrEx>
          <w:tblCellMar>
            <w:top w:w="0" w:type="dxa"/>
            <w:left w:w="108" w:type="dxa"/>
            <w:bottom w:w="0" w:type="dxa"/>
            <w:right w:w="108" w:type="dxa"/>
          </w:tblCellMar>
        </w:tblPrEx>
        <w:trPr>
          <w:trHeight w:val="893"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4106"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完成上级下达的煤矿关闭任务，按煤矿关闭以奖代补协议支付相关经费，妥善解决职工善后问题。</w:t>
            </w:r>
          </w:p>
        </w:tc>
        <w:tc>
          <w:tcPr>
            <w:tcW w:w="3703"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按时完成上级下达的煤矿关闭任务，按煤矿关闭以奖代补协议支付相关经费，妥善解决职工善后问题。</w:t>
            </w:r>
          </w:p>
        </w:tc>
      </w:tr>
      <w:tr>
        <w:tblPrEx>
          <w:tblCellMar>
            <w:top w:w="0" w:type="dxa"/>
            <w:left w:w="108" w:type="dxa"/>
            <w:bottom w:w="0" w:type="dxa"/>
            <w:right w:w="108" w:type="dxa"/>
          </w:tblCellMar>
        </w:tblPrEx>
        <w:trPr>
          <w:trHeight w:val="681"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09"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完成上级下达的煤矿关闭任务，按煤矿关闭以奖代补协议支付相关经费，妥善解决职工善后问题。</w:t>
            </w:r>
          </w:p>
        </w:tc>
      </w:tr>
      <w:tr>
        <w:tblPrEx>
          <w:tblCellMar>
            <w:top w:w="0" w:type="dxa"/>
            <w:left w:w="108" w:type="dxa"/>
            <w:bottom w:w="0" w:type="dxa"/>
            <w:right w:w="108" w:type="dxa"/>
          </w:tblCellMar>
        </w:tblPrEx>
        <w:trPr>
          <w:gridAfter w:val="1"/>
          <w:wAfter w:w="5" w:type="dxa"/>
          <w:trHeight w:val="575"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0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3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8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gridAfter w:val="1"/>
          <w:wAfter w:w="5" w:type="dxa"/>
          <w:trHeight w:val="438"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0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700.00</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700.00</w:t>
            </w:r>
          </w:p>
        </w:tc>
        <w:tc>
          <w:tcPr>
            <w:tcW w:w="103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tblPrEx>
          <w:tblCellMar>
            <w:top w:w="0" w:type="dxa"/>
            <w:left w:w="108" w:type="dxa"/>
            <w:bottom w:w="0" w:type="dxa"/>
            <w:right w:w="108" w:type="dxa"/>
          </w:tblCellMar>
        </w:tblPrEx>
        <w:trPr>
          <w:gridAfter w:val="1"/>
          <w:wAfter w:w="5" w:type="dxa"/>
          <w:trHeight w:val="454"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0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700.00</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700.00</w:t>
            </w:r>
          </w:p>
        </w:tc>
        <w:tc>
          <w:tcPr>
            <w:tcW w:w="103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5"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5" w:type="dxa"/>
          <w:trHeight w:val="650"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0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5"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5" w:type="dxa"/>
          <w:trHeight w:val="484"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0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5"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5" w:type="dxa"/>
          <w:trHeight w:val="484"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05"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1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35"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5"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7" w:type="dxa"/>
          <w:trHeight w:val="454"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0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2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3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8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gridAfter w:val="1"/>
          <w:wAfter w:w="7" w:type="dxa"/>
          <w:trHeight w:val="272" w:hRule="atLeast"/>
        </w:trPr>
        <w:tc>
          <w:tcPr>
            <w:tcW w:w="803"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0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35"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85"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38" w:hRule="atLeast"/>
        </w:trPr>
        <w:tc>
          <w:tcPr>
            <w:tcW w:w="674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9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9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885" w:type="dxa"/>
            <w:gridSpan w:val="2"/>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90"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1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项目自评总分100分，严格按照有关项目管理和经费管理规定执行。各项预算支出顺利进行，并按计划圆满完成。</w:t>
            </w:r>
          </w:p>
        </w:tc>
      </w:tr>
      <w:tr>
        <w:tblPrEx>
          <w:tblCellMar>
            <w:top w:w="0" w:type="dxa"/>
            <w:left w:w="108" w:type="dxa"/>
            <w:bottom w:w="0" w:type="dxa"/>
            <w:right w:w="108" w:type="dxa"/>
          </w:tblCellMar>
        </w:tblPrEx>
        <w:trPr>
          <w:trHeight w:val="438"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1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38"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1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38" w:hRule="atLeast"/>
        </w:trPr>
        <w:tc>
          <w:tcPr>
            <w:tcW w:w="44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项目负责人：毛佳龙</w:t>
            </w:r>
          </w:p>
        </w:tc>
        <w:tc>
          <w:tcPr>
            <w:tcW w:w="4959" w:type="dxa"/>
            <w:gridSpan w:val="7"/>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财务负责人：漆明强</w:t>
            </w:r>
          </w:p>
        </w:tc>
      </w:tr>
    </w:tbl>
    <w:p>
      <w:pPr>
        <w:pStyle w:val="2"/>
        <w:spacing w:before="93"/>
        <w:rPr>
          <w:rFonts w:hAnsi="Calibri" w:cs="仿宋"/>
          <w:sz w:val="32"/>
          <w:szCs w:val="32"/>
        </w:rPr>
      </w:pPr>
    </w:p>
    <w:p>
      <w:pPr>
        <w:pStyle w:val="2"/>
        <w:spacing w:before="93"/>
        <w:rPr>
          <w:rFonts w:ascii="Cambria" w:hAnsi="Cambria" w:cs="仿宋"/>
          <w:b/>
          <w:bCs/>
          <w:sz w:val="32"/>
          <w:szCs w:val="32"/>
        </w:rPr>
      </w:pPr>
      <w:r>
        <w:rPr>
          <w:rFonts w:hint="eastAsia" w:hAnsi="Calibri" w:cs="仿宋"/>
          <w:b/>
          <w:bCs/>
          <w:sz w:val="32"/>
          <w:szCs w:val="32"/>
        </w:rPr>
        <w:t>附件</w:t>
      </w:r>
      <w:r>
        <w:rPr>
          <w:rFonts w:hint="eastAsia" w:ascii="Cambria" w:hAnsi="Cambria" w:cs="仿宋"/>
          <w:b/>
          <w:bCs/>
          <w:sz w:val="32"/>
          <w:szCs w:val="32"/>
        </w:rPr>
        <w:t>1</w:t>
      </w:r>
      <w:r>
        <w:rPr>
          <w:rFonts w:ascii="Cambria" w:hAnsi="Cambria" w:cs="仿宋"/>
          <w:b/>
          <w:bCs/>
          <w:sz w:val="32"/>
          <w:szCs w:val="32"/>
        </w:rPr>
        <w:t>-</w:t>
      </w:r>
      <w:r>
        <w:rPr>
          <w:rFonts w:hint="eastAsia" w:ascii="Cambria" w:hAnsi="Cambria" w:cs="仿宋"/>
          <w:b/>
          <w:bCs/>
          <w:sz w:val="32"/>
          <w:szCs w:val="32"/>
        </w:rPr>
        <w:t>8</w:t>
      </w:r>
    </w:p>
    <w:tbl>
      <w:tblPr>
        <w:tblStyle w:val="12"/>
        <w:tblW w:w="9478" w:type="dxa"/>
        <w:tblInd w:w="113" w:type="dxa"/>
        <w:tblLayout w:type="autofit"/>
        <w:tblCellMar>
          <w:top w:w="0" w:type="dxa"/>
          <w:left w:w="108" w:type="dxa"/>
          <w:bottom w:w="0" w:type="dxa"/>
          <w:right w:w="108" w:type="dxa"/>
        </w:tblCellMar>
      </w:tblPr>
      <w:tblGrid>
        <w:gridCol w:w="806"/>
        <w:gridCol w:w="808"/>
        <w:gridCol w:w="1114"/>
        <w:gridCol w:w="1114"/>
        <w:gridCol w:w="634"/>
        <w:gridCol w:w="633"/>
        <w:gridCol w:w="635"/>
        <w:gridCol w:w="1044"/>
        <w:gridCol w:w="896"/>
        <w:gridCol w:w="896"/>
        <w:gridCol w:w="892"/>
        <w:gridCol w:w="6"/>
      </w:tblGrid>
      <w:tr>
        <w:tblPrEx>
          <w:tblCellMar>
            <w:top w:w="0" w:type="dxa"/>
            <w:left w:w="108" w:type="dxa"/>
            <w:bottom w:w="0" w:type="dxa"/>
            <w:right w:w="108" w:type="dxa"/>
          </w:tblCellMar>
        </w:tblPrEx>
        <w:trPr>
          <w:trHeight w:val="498" w:hRule="atLeast"/>
        </w:trPr>
        <w:tc>
          <w:tcPr>
            <w:tcW w:w="947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498" w:hRule="atLeast"/>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62"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51118122T000007117900-煤矿瓦斯监控平台升级改造项目</w:t>
            </w:r>
          </w:p>
        </w:tc>
      </w:tr>
      <w:tr>
        <w:tblPrEx>
          <w:tblCellMar>
            <w:top w:w="0" w:type="dxa"/>
            <w:left w:w="108" w:type="dxa"/>
            <w:bottom w:w="0" w:type="dxa"/>
            <w:right w:w="108" w:type="dxa"/>
          </w:tblCellMar>
        </w:tblPrEx>
        <w:trPr>
          <w:trHeight w:val="498" w:hRule="atLeast"/>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32"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41" w:type="dxa"/>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68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tblPrEx>
          <w:tblCellMar>
            <w:top w:w="0" w:type="dxa"/>
            <w:left w:w="108" w:type="dxa"/>
            <w:bottom w:w="0" w:type="dxa"/>
            <w:right w:w="108" w:type="dxa"/>
          </w:tblCellMar>
        </w:tblPrEx>
        <w:trPr>
          <w:trHeight w:val="437" w:hRule="atLeast"/>
        </w:trPr>
        <w:tc>
          <w:tcPr>
            <w:tcW w:w="80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0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32"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729"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tblPrEx>
          <w:tblCellMar>
            <w:top w:w="0" w:type="dxa"/>
            <w:left w:w="108" w:type="dxa"/>
            <w:bottom w:w="0" w:type="dxa"/>
            <w:right w:w="108" w:type="dxa"/>
          </w:tblCellMar>
        </w:tblPrEx>
        <w:trPr>
          <w:trHeight w:val="845" w:hRule="atLeast"/>
        </w:trPr>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4132"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提升煤矿瓦斯监控平台硬件达标、软件可靠、功能完善、运行良好的建设目标。</w:t>
            </w:r>
          </w:p>
        </w:tc>
        <w:tc>
          <w:tcPr>
            <w:tcW w:w="3729"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实现煤矿瓦斯监控平台硬件达标、软件可靠、功能完善、运行良好的建设目标。</w:t>
            </w:r>
          </w:p>
        </w:tc>
      </w:tr>
      <w:tr>
        <w:tblPrEx>
          <w:tblCellMar>
            <w:top w:w="0" w:type="dxa"/>
            <w:left w:w="108" w:type="dxa"/>
            <w:bottom w:w="0" w:type="dxa"/>
            <w:right w:w="108" w:type="dxa"/>
          </w:tblCellMar>
        </w:tblPrEx>
        <w:trPr>
          <w:trHeight w:val="679" w:hRule="atLeast"/>
        </w:trPr>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62"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提升矿瓦斯监控平台硬件达标、软件可靠、功能完善、运行良好的建设目标。</w:t>
            </w:r>
          </w:p>
        </w:tc>
      </w:tr>
      <w:tr>
        <w:tblPrEx>
          <w:tblCellMar>
            <w:top w:w="0" w:type="dxa"/>
            <w:left w:w="108" w:type="dxa"/>
            <w:bottom w:w="0" w:type="dxa"/>
            <w:right w:w="108" w:type="dxa"/>
          </w:tblCellMar>
        </w:tblPrEx>
        <w:trPr>
          <w:gridAfter w:val="1"/>
          <w:wAfter w:w="4" w:type="dxa"/>
          <w:trHeight w:val="452" w:hRule="atLeast"/>
        </w:trPr>
        <w:tc>
          <w:tcPr>
            <w:tcW w:w="80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9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gridAfter w:val="1"/>
          <w:wAfter w:w="4" w:type="dxa"/>
          <w:trHeight w:val="407" w:hRule="atLeast"/>
        </w:trPr>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3.75</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3.75</w:t>
            </w:r>
          </w:p>
        </w:tc>
        <w:tc>
          <w:tcPr>
            <w:tcW w:w="10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9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tblPrEx>
          <w:tblCellMar>
            <w:top w:w="0" w:type="dxa"/>
            <w:left w:w="108" w:type="dxa"/>
            <w:bottom w:w="0" w:type="dxa"/>
            <w:right w:w="108" w:type="dxa"/>
          </w:tblCellMar>
        </w:tblPrEx>
        <w:trPr>
          <w:gridAfter w:val="1"/>
          <w:wAfter w:w="4" w:type="dxa"/>
          <w:trHeight w:val="452" w:hRule="atLeast"/>
        </w:trPr>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3.75</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3.75</w:t>
            </w:r>
          </w:p>
        </w:tc>
        <w:tc>
          <w:tcPr>
            <w:tcW w:w="10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3"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4" w:type="dxa"/>
          <w:trHeight w:val="452" w:hRule="atLeast"/>
        </w:trPr>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3"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4" w:type="dxa"/>
          <w:trHeight w:val="437" w:hRule="atLeast"/>
        </w:trPr>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3"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4" w:type="dxa"/>
          <w:trHeight w:val="543" w:hRule="atLeast"/>
        </w:trPr>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4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3"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6" w:type="dxa"/>
          <w:trHeight w:val="769" w:hRule="atLeast"/>
        </w:trPr>
        <w:tc>
          <w:tcPr>
            <w:tcW w:w="80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9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gridAfter w:val="1"/>
          <w:wAfter w:w="6" w:type="dxa"/>
          <w:trHeight w:val="392" w:hRule="atLeast"/>
        </w:trPr>
        <w:tc>
          <w:tcPr>
            <w:tcW w:w="8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4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93"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392" w:hRule="atLeast"/>
        </w:trPr>
        <w:tc>
          <w:tcPr>
            <w:tcW w:w="679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9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97"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893" w:type="dxa"/>
            <w:gridSpan w:val="2"/>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73" w:hRule="atLeast"/>
        </w:trPr>
        <w:tc>
          <w:tcPr>
            <w:tcW w:w="807"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7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项目自评总分100分，严格按照有关项目管理和经费管理规定执行。各项预算支出顺利进行，并按计划圆满完成。</w:t>
            </w:r>
          </w:p>
        </w:tc>
      </w:tr>
      <w:tr>
        <w:tblPrEx>
          <w:tblCellMar>
            <w:top w:w="0" w:type="dxa"/>
            <w:left w:w="108" w:type="dxa"/>
            <w:bottom w:w="0" w:type="dxa"/>
            <w:right w:w="108" w:type="dxa"/>
          </w:tblCellMar>
        </w:tblPrEx>
        <w:trPr>
          <w:trHeight w:val="392" w:hRule="atLeast"/>
        </w:trPr>
        <w:tc>
          <w:tcPr>
            <w:tcW w:w="807"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7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392" w:hRule="atLeast"/>
        </w:trPr>
        <w:tc>
          <w:tcPr>
            <w:tcW w:w="807"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71"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392" w:hRule="atLeast"/>
        </w:trPr>
        <w:tc>
          <w:tcPr>
            <w:tcW w:w="4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项目负责人：毛佳龙</w:t>
            </w:r>
          </w:p>
        </w:tc>
        <w:tc>
          <w:tcPr>
            <w:tcW w:w="4997" w:type="dxa"/>
            <w:gridSpan w:val="7"/>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财务负责人：漆明强</w:t>
            </w:r>
          </w:p>
        </w:tc>
      </w:tr>
    </w:tbl>
    <w:p>
      <w:pPr>
        <w:pStyle w:val="2"/>
        <w:spacing w:before="93"/>
        <w:rPr>
          <w:rFonts w:ascii="Cambria" w:hAnsi="Cambria" w:cs="仿宋"/>
          <w:b/>
          <w:bCs/>
          <w:sz w:val="32"/>
          <w:szCs w:val="32"/>
        </w:rPr>
      </w:pPr>
    </w:p>
    <w:p>
      <w:pPr>
        <w:pStyle w:val="2"/>
        <w:spacing w:before="93"/>
        <w:rPr>
          <w:rFonts w:ascii="Cambria" w:hAnsi="Cambria" w:cs="仿宋"/>
          <w:b/>
          <w:bCs/>
          <w:sz w:val="32"/>
          <w:szCs w:val="32"/>
        </w:rPr>
      </w:pPr>
      <w:r>
        <w:rPr>
          <w:rFonts w:hint="eastAsia" w:ascii="Cambria" w:hAnsi="Cambria" w:cs="仿宋"/>
          <w:b/>
          <w:bCs/>
          <w:sz w:val="32"/>
          <w:szCs w:val="32"/>
        </w:rPr>
        <w:t>附件1</w:t>
      </w:r>
      <w:r>
        <w:rPr>
          <w:rFonts w:ascii="Cambria" w:hAnsi="Cambria" w:cs="仿宋"/>
          <w:b/>
          <w:bCs/>
          <w:sz w:val="32"/>
          <w:szCs w:val="32"/>
        </w:rPr>
        <w:t>-</w:t>
      </w:r>
      <w:r>
        <w:rPr>
          <w:rFonts w:hint="eastAsia" w:ascii="Cambria" w:hAnsi="Cambria" w:cs="仿宋"/>
          <w:b/>
          <w:bCs/>
          <w:sz w:val="32"/>
          <w:szCs w:val="32"/>
        </w:rPr>
        <w:t>9</w:t>
      </w:r>
    </w:p>
    <w:tbl>
      <w:tblPr>
        <w:tblStyle w:val="12"/>
        <w:tblW w:w="9602" w:type="dxa"/>
        <w:tblInd w:w="113" w:type="dxa"/>
        <w:tblLayout w:type="autofit"/>
        <w:tblCellMar>
          <w:top w:w="0" w:type="dxa"/>
          <w:left w:w="108" w:type="dxa"/>
          <w:bottom w:w="0" w:type="dxa"/>
          <w:right w:w="108" w:type="dxa"/>
        </w:tblCellMar>
      </w:tblPr>
      <w:tblGrid>
        <w:gridCol w:w="816"/>
        <w:gridCol w:w="817"/>
        <w:gridCol w:w="1125"/>
        <w:gridCol w:w="1132"/>
        <w:gridCol w:w="645"/>
        <w:gridCol w:w="641"/>
        <w:gridCol w:w="642"/>
        <w:gridCol w:w="1058"/>
        <w:gridCol w:w="907"/>
        <w:gridCol w:w="907"/>
        <w:gridCol w:w="901"/>
        <w:gridCol w:w="11"/>
      </w:tblGrid>
      <w:tr>
        <w:tblPrEx>
          <w:tblCellMar>
            <w:top w:w="0" w:type="dxa"/>
            <w:left w:w="108" w:type="dxa"/>
            <w:bottom w:w="0" w:type="dxa"/>
            <w:right w:w="108" w:type="dxa"/>
          </w:tblCellMar>
        </w:tblPrEx>
        <w:trPr>
          <w:trHeight w:val="627" w:hRule="atLeast"/>
        </w:trPr>
        <w:tc>
          <w:tcPr>
            <w:tcW w:w="96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tblPrEx>
          <w:tblCellMar>
            <w:top w:w="0" w:type="dxa"/>
            <w:left w:w="108" w:type="dxa"/>
            <w:bottom w:w="0" w:type="dxa"/>
            <w:right w:w="108" w:type="dxa"/>
          </w:tblCellMar>
        </w:tblPrEx>
        <w:trPr>
          <w:trHeight w:val="627" w:hRule="atLeast"/>
        </w:trPr>
        <w:tc>
          <w:tcPr>
            <w:tcW w:w="16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969"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51118122T000000397966-安全专家劳务费</w:t>
            </w:r>
          </w:p>
        </w:tc>
      </w:tr>
      <w:tr>
        <w:tblPrEx>
          <w:tblCellMar>
            <w:top w:w="0" w:type="dxa"/>
            <w:left w:w="108" w:type="dxa"/>
            <w:bottom w:w="0" w:type="dxa"/>
            <w:right w:w="108" w:type="dxa"/>
          </w:tblCellMar>
        </w:tblPrEx>
        <w:trPr>
          <w:trHeight w:val="458" w:hRule="atLeast"/>
        </w:trPr>
        <w:tc>
          <w:tcPr>
            <w:tcW w:w="16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87"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56" w:type="dxa"/>
            <w:tcBorders>
              <w:top w:val="nil"/>
              <w:left w:val="nil"/>
              <w:bottom w:val="nil"/>
              <w:right w:val="nil"/>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tblPrEx>
          <w:tblCellMar>
            <w:top w:w="0" w:type="dxa"/>
            <w:left w:w="108" w:type="dxa"/>
            <w:bottom w:w="0" w:type="dxa"/>
            <w:right w:w="108" w:type="dxa"/>
          </w:tblCellMar>
        </w:tblPrEx>
        <w:trPr>
          <w:trHeight w:val="489" w:hRule="atLeast"/>
        </w:trPr>
        <w:tc>
          <w:tcPr>
            <w:tcW w:w="81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87"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78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tblPrEx>
          <w:tblCellMar>
            <w:top w:w="0" w:type="dxa"/>
            <w:left w:w="108" w:type="dxa"/>
            <w:bottom w:w="0" w:type="dxa"/>
            <w:right w:w="108" w:type="dxa"/>
          </w:tblCellMar>
        </w:tblPrEx>
        <w:trPr>
          <w:trHeight w:val="489" w:hRule="atLeast"/>
        </w:trPr>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1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4187"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安全生产专家组日常工作运转正常，按时、足额支付专家组劳务费</w:t>
            </w:r>
          </w:p>
        </w:tc>
        <w:tc>
          <w:tcPr>
            <w:tcW w:w="3781"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保障安全生产专家组日常工作运转正常，按时</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足额</w:t>
            </w:r>
            <w:r>
              <w:rPr>
                <w:rFonts w:hint="eastAsia" w:ascii="___WRD_EMBED_SUB_17" w:hAnsi="___WRD_EMBED_SUB_17" w:eastAsia="___WRD_EMBED_SUB_17" w:cs="___WRD_EMBED_SUB_17"/>
                <w:color w:val="000000"/>
                <w:kern w:val="0"/>
                <w:sz w:val="18"/>
                <w:szCs w:val="18"/>
              </w:rPr>
              <w:t>支</w:t>
            </w:r>
            <w:r>
              <w:rPr>
                <w:rFonts w:hint="eastAsia" w:ascii="微软雅黑" w:hAnsi="微软雅黑" w:eastAsia="微软雅黑" w:cs="微软雅黑"/>
                <w:color w:val="000000"/>
                <w:kern w:val="0"/>
                <w:sz w:val="18"/>
                <w:szCs w:val="18"/>
              </w:rPr>
              <w:t>付专家组劳务</w:t>
            </w:r>
            <w:r>
              <w:rPr>
                <w:rFonts w:hint="eastAsia" w:ascii="___WRD_EMBED_SUB_17" w:hAnsi="___WRD_EMBED_SUB_17" w:eastAsia="___WRD_EMBED_SUB_17" w:cs="___WRD_EMBED_SUB_17"/>
                <w:color w:val="000000"/>
                <w:kern w:val="0"/>
                <w:sz w:val="18"/>
                <w:szCs w:val="18"/>
              </w:rPr>
              <w:t>费</w:t>
            </w:r>
          </w:p>
        </w:tc>
      </w:tr>
      <w:tr>
        <w:tblPrEx>
          <w:tblCellMar>
            <w:top w:w="0" w:type="dxa"/>
            <w:left w:w="108" w:type="dxa"/>
            <w:bottom w:w="0" w:type="dxa"/>
            <w:right w:w="108" w:type="dxa"/>
          </w:tblCellMar>
        </w:tblPrEx>
        <w:trPr>
          <w:trHeight w:val="688" w:hRule="atLeast"/>
        </w:trPr>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69"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安全生产专家组日常工作运转正常，按时、足额支付专家组劳务费</w:t>
            </w:r>
          </w:p>
        </w:tc>
      </w:tr>
      <w:tr>
        <w:tblPrEx>
          <w:tblCellMar>
            <w:top w:w="0" w:type="dxa"/>
            <w:left w:w="108" w:type="dxa"/>
            <w:bottom w:w="0" w:type="dxa"/>
            <w:right w:w="108" w:type="dxa"/>
          </w:tblCellMar>
        </w:tblPrEx>
        <w:trPr>
          <w:gridAfter w:val="1"/>
          <w:wAfter w:w="9" w:type="dxa"/>
          <w:trHeight w:val="458" w:hRule="atLeast"/>
        </w:trPr>
        <w:tc>
          <w:tcPr>
            <w:tcW w:w="81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9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gridAfter w:val="1"/>
          <w:wAfter w:w="9" w:type="dxa"/>
          <w:trHeight w:val="458" w:hRule="atLeast"/>
        </w:trPr>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10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0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tblPrEx>
          <w:tblCellMar>
            <w:top w:w="0" w:type="dxa"/>
            <w:left w:w="108" w:type="dxa"/>
            <w:bottom w:w="0" w:type="dxa"/>
            <w:right w:w="108" w:type="dxa"/>
          </w:tblCellMar>
        </w:tblPrEx>
        <w:trPr>
          <w:gridAfter w:val="1"/>
          <w:wAfter w:w="9" w:type="dxa"/>
          <w:trHeight w:val="458" w:hRule="atLeast"/>
        </w:trPr>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10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9" w:type="dxa"/>
          <w:trHeight w:val="627" w:hRule="atLeast"/>
        </w:trPr>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9" w:type="dxa"/>
          <w:trHeight w:val="428" w:hRule="atLeast"/>
        </w:trPr>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9" w:type="dxa"/>
          <w:trHeight w:val="428" w:hRule="atLeast"/>
        </w:trPr>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33"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pPr>
              <w:widowControl/>
              <w:jc w:val="left"/>
              <w:rPr>
                <w:rFonts w:ascii="黑体" w:hAnsi="黑体" w:eastAsia="黑体" w:cs="宋体"/>
                <w:i/>
                <w:iCs/>
                <w:color w:val="000000"/>
                <w:kern w:val="0"/>
                <w:sz w:val="18"/>
                <w:szCs w:val="18"/>
              </w:rPr>
            </w:pPr>
          </w:p>
        </w:tc>
      </w:tr>
      <w:tr>
        <w:tblPrEx>
          <w:tblCellMar>
            <w:top w:w="0" w:type="dxa"/>
            <w:left w:w="108" w:type="dxa"/>
            <w:bottom w:w="0" w:type="dxa"/>
            <w:right w:w="108" w:type="dxa"/>
          </w:tblCellMar>
        </w:tblPrEx>
        <w:trPr>
          <w:gridAfter w:val="1"/>
          <w:wAfter w:w="11" w:type="dxa"/>
          <w:trHeight w:val="458" w:hRule="atLeast"/>
        </w:trPr>
        <w:tc>
          <w:tcPr>
            <w:tcW w:w="81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90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gridAfter w:val="1"/>
          <w:wAfter w:w="11" w:type="dxa"/>
          <w:trHeight w:val="275" w:hRule="atLeast"/>
        </w:trPr>
        <w:tc>
          <w:tcPr>
            <w:tcW w:w="81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2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02"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tblPrEx>
          <w:tblCellMar>
            <w:top w:w="0" w:type="dxa"/>
            <w:left w:w="108" w:type="dxa"/>
            <w:bottom w:w="0" w:type="dxa"/>
            <w:right w:w="108" w:type="dxa"/>
          </w:tblCellMar>
        </w:tblPrEx>
        <w:trPr>
          <w:trHeight w:val="413" w:hRule="atLeast"/>
        </w:trPr>
        <w:tc>
          <w:tcPr>
            <w:tcW w:w="687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90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08"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908" w:type="dxa"/>
            <w:gridSpan w:val="2"/>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13" w:hRule="atLeast"/>
        </w:trPr>
        <w:tc>
          <w:tcPr>
            <w:tcW w:w="81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786"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项目自评分100分，按时、足额支付专家组劳务费。</w:t>
            </w:r>
          </w:p>
        </w:tc>
      </w:tr>
      <w:tr>
        <w:tblPrEx>
          <w:tblCellMar>
            <w:top w:w="0" w:type="dxa"/>
            <w:left w:w="108" w:type="dxa"/>
            <w:bottom w:w="0" w:type="dxa"/>
            <w:right w:w="108" w:type="dxa"/>
          </w:tblCellMar>
        </w:tblPrEx>
        <w:trPr>
          <w:trHeight w:val="413" w:hRule="atLeast"/>
        </w:trPr>
        <w:tc>
          <w:tcPr>
            <w:tcW w:w="81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786"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13" w:hRule="atLeast"/>
        </w:trPr>
        <w:tc>
          <w:tcPr>
            <w:tcW w:w="816"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786" w:type="dxa"/>
            <w:gridSpan w:val="11"/>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tblPrEx>
          <w:tblCellMar>
            <w:top w:w="0" w:type="dxa"/>
            <w:left w:w="108" w:type="dxa"/>
            <w:bottom w:w="0" w:type="dxa"/>
            <w:right w:w="108" w:type="dxa"/>
          </w:tblCellMar>
        </w:tblPrEx>
        <w:trPr>
          <w:trHeight w:val="413" w:hRule="atLeast"/>
        </w:trPr>
        <w:tc>
          <w:tcPr>
            <w:tcW w:w="45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项目负责人：毛佳龙</w:t>
            </w:r>
          </w:p>
        </w:tc>
        <w:tc>
          <w:tcPr>
            <w:tcW w:w="5065" w:type="dxa"/>
            <w:gridSpan w:val="7"/>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财务负责人：漆明强</w:t>
            </w:r>
          </w:p>
        </w:tc>
      </w:tr>
    </w:tbl>
    <w:p>
      <w:pPr>
        <w:pStyle w:val="2"/>
        <w:spacing w:before="93"/>
        <w:rPr>
          <w:rFonts w:ascii="Cambria" w:hAnsi="Cambria" w:cs="仿宋"/>
          <w:b/>
          <w:bCs/>
          <w:sz w:val="32"/>
          <w:szCs w:val="32"/>
        </w:rPr>
      </w:pPr>
    </w:p>
    <w:p>
      <w:pPr>
        <w:pStyle w:val="2"/>
        <w:spacing w:before="93"/>
        <w:rPr>
          <w:rFonts w:ascii="Cambria" w:hAnsi="Cambria" w:cs="仿宋"/>
          <w:b/>
          <w:bCs/>
          <w:sz w:val="32"/>
          <w:szCs w:val="32"/>
        </w:rPr>
      </w:pPr>
    </w:p>
    <w:p>
      <w:pPr>
        <w:pStyle w:val="2"/>
        <w:spacing w:before="93"/>
        <w:rPr>
          <w:rFonts w:ascii="Cambria" w:hAnsi="Cambria" w:cs="仿宋"/>
          <w:b/>
          <w:bCs/>
          <w:sz w:val="32"/>
          <w:szCs w:val="32"/>
        </w:rPr>
        <w:sectPr>
          <w:footerReference r:id="rId4" w:type="first"/>
          <w:foot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93"/>
        <w:rPr>
          <w:rFonts w:ascii="Cambria" w:hAnsi="Cambria" w:cs="仿宋"/>
          <w:b/>
          <w:bCs/>
          <w:sz w:val="32"/>
          <w:szCs w:val="32"/>
        </w:rPr>
      </w:pPr>
    </w:p>
    <w:p>
      <w:pPr>
        <w:spacing w:line="600" w:lineRule="exact"/>
        <w:ind w:firstLine="2420" w:firstLineChars="550"/>
        <w:outlineLvl w:val="0"/>
        <w:rPr>
          <w:rStyle w:val="24"/>
          <w:rFonts w:ascii="黑体" w:hAnsi="黑体" w:eastAsia="黑体"/>
          <w:b w:val="0"/>
        </w:rPr>
      </w:pPr>
      <w:r>
        <w:rPr>
          <w:rFonts w:hint="eastAsia" w:ascii="黑体" w:hAnsi="黑体" w:eastAsia="黑体"/>
          <w:sz w:val="44"/>
          <w:szCs w:val="44"/>
        </w:rPr>
        <w:t>第</w:t>
      </w:r>
      <w:r>
        <w:rPr>
          <w:rStyle w:val="24"/>
          <w:rFonts w:hint="eastAsia" w:ascii="黑体" w:hAnsi="黑体" w:eastAsia="黑体"/>
          <w:b w:val="0"/>
        </w:rPr>
        <w:t>五部分 附表</w:t>
      </w:r>
    </w:p>
    <w:bookmarkEnd w:id="54"/>
    <w:bookmarkEnd w:id="55"/>
    <w:p>
      <w:pPr>
        <w:pStyle w:val="4"/>
        <w:rPr>
          <w:rFonts w:ascii="仿宋" w:hAnsi="仿宋" w:eastAsia="仿宋"/>
        </w:rPr>
      </w:pPr>
      <w:bookmarkStart w:id="56" w:name="_Toc15396619"/>
      <w:r>
        <w:rPr>
          <w:rFonts w:hint="eastAsia" w:ascii="仿宋" w:hAnsi="仿宋" w:eastAsia="仿宋"/>
          <w:b w:val="0"/>
        </w:rPr>
        <w:t>一、收</w:t>
      </w:r>
      <w:r>
        <w:rPr>
          <w:rStyle w:val="25"/>
          <w:rFonts w:hint="eastAsia" w:ascii="仿宋" w:hAnsi="仿宋" w:eastAsia="仿宋"/>
          <w:b w:val="0"/>
          <w:bCs w:val="0"/>
        </w:rPr>
        <w:t>入支出决算总表</w:t>
      </w:r>
      <w:bookmarkEnd w:id="56"/>
    </w:p>
    <w:p>
      <w:pPr>
        <w:pStyle w:val="4"/>
        <w:rPr>
          <w:rFonts w:ascii="仿宋" w:hAnsi="仿宋" w:eastAsia="仿宋"/>
        </w:rPr>
      </w:pPr>
      <w:bookmarkStart w:id="57" w:name="_Toc15396620"/>
      <w:r>
        <w:rPr>
          <w:rFonts w:hint="eastAsia" w:ascii="仿宋" w:hAnsi="仿宋" w:eastAsia="仿宋"/>
          <w:b w:val="0"/>
        </w:rPr>
        <w:t>二、收</w:t>
      </w:r>
      <w:r>
        <w:rPr>
          <w:rStyle w:val="25"/>
          <w:rFonts w:hint="eastAsia" w:ascii="仿宋" w:hAnsi="仿宋" w:eastAsia="仿宋"/>
          <w:b w:val="0"/>
          <w:bCs w:val="0"/>
        </w:rPr>
        <w:t>入决算表</w:t>
      </w:r>
      <w:bookmarkEnd w:id="57"/>
    </w:p>
    <w:p>
      <w:pPr>
        <w:pStyle w:val="4"/>
        <w:rPr>
          <w:rFonts w:ascii="仿宋" w:hAnsi="仿宋" w:eastAsia="仿宋"/>
        </w:rPr>
      </w:pPr>
      <w:bookmarkStart w:id="58" w:name="_Toc15396621"/>
      <w:r>
        <w:rPr>
          <w:rStyle w:val="25"/>
          <w:rFonts w:hint="eastAsia" w:ascii="仿宋" w:hAnsi="仿宋" w:eastAsia="仿宋"/>
          <w:b w:val="0"/>
          <w:bCs w:val="0"/>
        </w:rPr>
        <w:t>三、</w:t>
      </w:r>
      <w:r>
        <w:rPr>
          <w:rFonts w:hint="eastAsia" w:ascii="仿宋" w:hAnsi="仿宋" w:eastAsia="仿宋"/>
          <w:b w:val="0"/>
        </w:rPr>
        <w:t>支</w:t>
      </w:r>
      <w:r>
        <w:rPr>
          <w:rStyle w:val="25"/>
          <w:rFonts w:hint="eastAsia" w:ascii="仿宋" w:hAnsi="仿宋" w:eastAsia="仿宋"/>
          <w:b w:val="0"/>
          <w:bCs w:val="0"/>
        </w:rPr>
        <w:t>出决算表</w:t>
      </w:r>
      <w:bookmarkEnd w:id="58"/>
    </w:p>
    <w:p>
      <w:pPr>
        <w:pStyle w:val="4"/>
        <w:rPr>
          <w:rFonts w:ascii="仿宋" w:hAnsi="仿宋" w:eastAsia="仿宋"/>
          <w:b w:val="0"/>
        </w:rPr>
      </w:pPr>
      <w:bookmarkStart w:id="59" w:name="_Toc15396622"/>
      <w:r>
        <w:rPr>
          <w:rStyle w:val="25"/>
          <w:rFonts w:hint="eastAsia" w:ascii="仿宋" w:hAnsi="仿宋" w:eastAsia="仿宋"/>
          <w:b w:val="0"/>
          <w:bCs w:val="0"/>
        </w:rPr>
        <w:t>四、</w:t>
      </w:r>
      <w:r>
        <w:rPr>
          <w:rFonts w:hint="eastAsia" w:ascii="仿宋" w:hAnsi="仿宋" w:eastAsia="仿宋"/>
          <w:b w:val="0"/>
        </w:rPr>
        <w:t>财</w:t>
      </w:r>
      <w:r>
        <w:rPr>
          <w:rStyle w:val="25"/>
          <w:rFonts w:hint="eastAsia" w:ascii="仿宋" w:hAnsi="仿宋" w:eastAsia="仿宋"/>
          <w:b w:val="0"/>
          <w:bCs w:val="0"/>
        </w:rPr>
        <w:t>政拨款收入支出决算总表</w:t>
      </w:r>
      <w:bookmarkEnd w:id="59"/>
    </w:p>
    <w:p>
      <w:pPr>
        <w:pStyle w:val="4"/>
        <w:rPr>
          <w:rStyle w:val="25"/>
          <w:rFonts w:ascii="仿宋" w:hAnsi="仿宋" w:eastAsia="仿宋"/>
          <w:b w:val="0"/>
          <w:bCs w:val="0"/>
        </w:rPr>
      </w:pPr>
      <w:bookmarkStart w:id="60" w:name="_Toc15396623"/>
      <w:r>
        <w:rPr>
          <w:rStyle w:val="25"/>
          <w:rFonts w:hint="eastAsia" w:ascii="仿宋" w:hAnsi="仿宋" w:eastAsia="仿宋"/>
          <w:b w:val="0"/>
          <w:bCs w:val="0"/>
        </w:rPr>
        <w:t>五、</w:t>
      </w:r>
      <w:r>
        <w:rPr>
          <w:rFonts w:hint="eastAsia" w:ascii="仿宋" w:hAnsi="仿宋" w:eastAsia="仿宋"/>
          <w:b w:val="0"/>
        </w:rPr>
        <w:t>财</w:t>
      </w:r>
      <w:r>
        <w:rPr>
          <w:rStyle w:val="25"/>
          <w:rFonts w:hint="eastAsia" w:ascii="仿宋" w:hAnsi="仿宋" w:eastAsia="仿宋"/>
          <w:b w:val="0"/>
          <w:bCs w:val="0"/>
        </w:rPr>
        <w:t>政拨款支出决算明细表</w:t>
      </w:r>
      <w:bookmarkEnd w:id="60"/>
      <w:bookmarkStart w:id="61" w:name="_Toc15396624"/>
    </w:p>
    <w:p>
      <w:pPr>
        <w:pStyle w:val="4"/>
        <w:rPr>
          <w:rFonts w:ascii="仿宋" w:hAnsi="仿宋" w:eastAsia="仿宋"/>
        </w:rPr>
      </w:pPr>
      <w:r>
        <w:rPr>
          <w:rStyle w:val="25"/>
          <w:rFonts w:hint="eastAsia" w:ascii="仿宋" w:hAnsi="仿宋" w:eastAsia="仿宋"/>
          <w:b w:val="0"/>
          <w:bCs w:val="0"/>
        </w:rPr>
        <w:t>六、</w:t>
      </w:r>
      <w:r>
        <w:rPr>
          <w:rFonts w:hint="eastAsia" w:ascii="仿宋" w:hAnsi="仿宋" w:eastAsia="仿宋"/>
          <w:b w:val="0"/>
        </w:rPr>
        <w:t>一</w:t>
      </w:r>
      <w:r>
        <w:rPr>
          <w:rStyle w:val="25"/>
          <w:rFonts w:hint="eastAsia" w:ascii="仿宋" w:hAnsi="仿宋" w:eastAsia="仿宋"/>
          <w:b w:val="0"/>
          <w:bCs w:val="0"/>
        </w:rPr>
        <w:t>般公共预算财政拨款支出决算表</w:t>
      </w:r>
      <w:bookmarkEnd w:id="61"/>
    </w:p>
    <w:p>
      <w:pPr>
        <w:pStyle w:val="4"/>
        <w:rPr>
          <w:rFonts w:ascii="仿宋" w:hAnsi="仿宋" w:eastAsia="仿宋"/>
        </w:rPr>
      </w:pPr>
      <w:bookmarkStart w:id="62" w:name="_Toc15396625"/>
      <w:r>
        <w:rPr>
          <w:rStyle w:val="25"/>
          <w:rFonts w:hint="eastAsia" w:ascii="仿宋" w:hAnsi="仿宋" w:eastAsia="仿宋"/>
          <w:b w:val="0"/>
          <w:bCs w:val="0"/>
        </w:rPr>
        <w:t>七、</w:t>
      </w:r>
      <w:r>
        <w:rPr>
          <w:rFonts w:hint="eastAsia" w:ascii="仿宋" w:hAnsi="仿宋" w:eastAsia="仿宋"/>
          <w:b w:val="0"/>
        </w:rPr>
        <w:t>一</w:t>
      </w:r>
      <w:r>
        <w:rPr>
          <w:rStyle w:val="25"/>
          <w:rFonts w:hint="eastAsia" w:ascii="仿宋" w:hAnsi="仿宋" w:eastAsia="仿宋"/>
          <w:b w:val="0"/>
          <w:bCs w:val="0"/>
        </w:rPr>
        <w:t>般公共预算财政拨款支出决算明细表</w:t>
      </w:r>
      <w:bookmarkEnd w:id="62"/>
    </w:p>
    <w:p>
      <w:pPr>
        <w:pStyle w:val="4"/>
        <w:rPr>
          <w:rFonts w:ascii="仿宋" w:hAnsi="仿宋" w:eastAsia="仿宋"/>
        </w:rPr>
      </w:pPr>
      <w:bookmarkStart w:id="63" w:name="_Toc15396626"/>
      <w:r>
        <w:rPr>
          <w:rStyle w:val="25"/>
          <w:rFonts w:hint="eastAsia" w:ascii="仿宋" w:hAnsi="仿宋" w:eastAsia="仿宋"/>
          <w:b w:val="0"/>
          <w:bCs w:val="0"/>
        </w:rPr>
        <w:t>八、</w:t>
      </w:r>
      <w:r>
        <w:rPr>
          <w:rFonts w:hint="eastAsia" w:ascii="仿宋" w:hAnsi="仿宋" w:eastAsia="仿宋"/>
          <w:b w:val="0"/>
        </w:rPr>
        <w:t>一</w:t>
      </w:r>
      <w:r>
        <w:rPr>
          <w:rStyle w:val="25"/>
          <w:rFonts w:hint="eastAsia" w:ascii="仿宋" w:hAnsi="仿宋" w:eastAsia="仿宋"/>
          <w:b w:val="0"/>
          <w:bCs w:val="0"/>
        </w:rPr>
        <w:t>般公共预算财政拨款基本支出决算表</w:t>
      </w:r>
      <w:bookmarkEnd w:id="63"/>
    </w:p>
    <w:p>
      <w:pPr>
        <w:pStyle w:val="4"/>
        <w:rPr>
          <w:rFonts w:ascii="仿宋" w:hAnsi="仿宋" w:eastAsia="仿宋"/>
        </w:rPr>
      </w:pPr>
      <w:bookmarkStart w:id="64" w:name="_Toc15396627"/>
      <w:r>
        <w:rPr>
          <w:rStyle w:val="25"/>
          <w:rFonts w:hint="eastAsia" w:ascii="仿宋" w:hAnsi="仿宋" w:eastAsia="仿宋"/>
          <w:b w:val="0"/>
          <w:bCs w:val="0"/>
        </w:rPr>
        <w:t>九、</w:t>
      </w:r>
      <w:r>
        <w:rPr>
          <w:rFonts w:hint="eastAsia" w:ascii="仿宋" w:hAnsi="仿宋" w:eastAsia="仿宋"/>
          <w:b w:val="0"/>
        </w:rPr>
        <w:t>一</w:t>
      </w:r>
      <w:r>
        <w:rPr>
          <w:rStyle w:val="25"/>
          <w:rFonts w:hint="eastAsia" w:ascii="仿宋" w:hAnsi="仿宋" w:eastAsia="仿宋"/>
          <w:b w:val="0"/>
          <w:bCs w:val="0"/>
        </w:rPr>
        <w:t>般公共预算财政拨款项目支出决算表</w:t>
      </w:r>
      <w:bookmarkEnd w:id="64"/>
    </w:p>
    <w:p>
      <w:pPr>
        <w:pStyle w:val="4"/>
        <w:rPr>
          <w:rFonts w:ascii="仿宋" w:hAnsi="仿宋" w:eastAsia="仿宋"/>
        </w:rPr>
      </w:pPr>
      <w:bookmarkStart w:id="65" w:name="_Toc15396628"/>
      <w:r>
        <w:rPr>
          <w:rStyle w:val="25"/>
          <w:rFonts w:hint="eastAsia" w:ascii="仿宋" w:hAnsi="仿宋" w:eastAsia="仿宋"/>
          <w:b w:val="0"/>
          <w:bCs w:val="0"/>
        </w:rPr>
        <w:t>十、</w:t>
      </w:r>
      <w:bookmarkEnd w:id="65"/>
      <w:r>
        <w:rPr>
          <w:rFonts w:hint="eastAsia" w:ascii="仿宋" w:hAnsi="仿宋" w:eastAsia="仿宋"/>
          <w:b w:val="0"/>
        </w:rPr>
        <w:t>政</w:t>
      </w:r>
      <w:r>
        <w:rPr>
          <w:rStyle w:val="25"/>
          <w:rFonts w:hint="eastAsia" w:ascii="仿宋" w:hAnsi="仿宋" w:eastAsia="仿宋"/>
          <w:b w:val="0"/>
          <w:bCs w:val="0"/>
        </w:rPr>
        <w:t>府性基金预算财政拨款收入支出决算表</w:t>
      </w:r>
    </w:p>
    <w:p>
      <w:pPr>
        <w:pStyle w:val="4"/>
        <w:rPr>
          <w:rFonts w:ascii="仿宋" w:hAnsi="仿宋" w:eastAsia="仿宋"/>
        </w:rPr>
      </w:pPr>
      <w:bookmarkStart w:id="66" w:name="_Toc15396629"/>
      <w:r>
        <w:rPr>
          <w:rStyle w:val="25"/>
          <w:rFonts w:hint="eastAsia" w:ascii="仿宋" w:hAnsi="仿宋" w:eastAsia="仿宋"/>
          <w:b w:val="0"/>
          <w:bCs w:val="0"/>
        </w:rPr>
        <w:t>十一、</w:t>
      </w:r>
      <w:bookmarkEnd w:id="66"/>
      <w:r>
        <w:rPr>
          <w:rFonts w:hint="eastAsia" w:ascii="仿宋" w:hAnsi="仿宋" w:eastAsia="仿宋"/>
          <w:b w:val="0"/>
        </w:rPr>
        <w:t>国</w:t>
      </w:r>
      <w:r>
        <w:rPr>
          <w:rStyle w:val="25"/>
          <w:rFonts w:hint="eastAsia" w:ascii="仿宋" w:hAnsi="仿宋" w:eastAsia="仿宋"/>
          <w:b w:val="0"/>
          <w:bCs w:val="0"/>
        </w:rPr>
        <w:t>有资本经营预算财政拨款收入支出决算表</w:t>
      </w:r>
    </w:p>
    <w:p>
      <w:pPr>
        <w:pStyle w:val="4"/>
        <w:rPr>
          <w:rFonts w:ascii="仿宋" w:hAnsi="仿宋" w:eastAsia="仿宋"/>
        </w:rPr>
      </w:pPr>
      <w:bookmarkStart w:id="67" w:name="_Toc15396630"/>
      <w:r>
        <w:rPr>
          <w:rStyle w:val="25"/>
          <w:rFonts w:hint="eastAsia" w:ascii="仿宋" w:hAnsi="仿宋" w:eastAsia="仿宋"/>
          <w:b w:val="0"/>
          <w:bCs w:val="0"/>
        </w:rPr>
        <w:t>十二、</w:t>
      </w:r>
      <w:bookmarkEnd w:id="67"/>
      <w:r>
        <w:rPr>
          <w:rStyle w:val="25"/>
          <w:rFonts w:hint="eastAsia" w:ascii="仿宋" w:hAnsi="仿宋" w:eastAsia="仿宋"/>
          <w:b w:val="0"/>
          <w:bCs w:val="0"/>
        </w:rPr>
        <w:t>国有资本经营预算财政拨款支出决算表</w:t>
      </w:r>
    </w:p>
    <w:p>
      <w:pPr>
        <w:pStyle w:val="4"/>
        <w:rPr>
          <w:rFonts w:eastAsia="仿宋"/>
        </w:rPr>
      </w:pPr>
      <w:bookmarkStart w:id="68" w:name="_Toc15396631"/>
      <w:r>
        <w:rPr>
          <w:rStyle w:val="25"/>
          <w:rFonts w:hint="eastAsia" w:ascii="仿宋" w:hAnsi="仿宋" w:eastAsia="仿宋"/>
          <w:b w:val="0"/>
          <w:bCs w:val="0"/>
        </w:rPr>
        <w:t>十三、</w:t>
      </w:r>
      <w:bookmarkEnd w:id="68"/>
      <w:r>
        <w:rPr>
          <w:rStyle w:val="25"/>
          <w:rFonts w:hint="eastAsia" w:ascii="仿宋" w:hAnsi="仿宋" w:eastAsia="仿宋"/>
          <w:b w:val="0"/>
          <w:bCs w:val="0"/>
        </w:rPr>
        <w:t>财政拨款“三公”经费支出决算表</w:t>
      </w:r>
    </w:p>
    <w:p>
      <w:pPr>
        <w:pStyle w:val="2"/>
        <w:spacing w:before="93"/>
      </w:pPr>
    </w:p>
    <w:sectPr>
      <w:footerReference r:id="rId5" w:type="firs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5C2056-32DF-429C-8E8F-08C90C3177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421A364-A39A-4C79-BA45-7D30142C370F}"/>
  </w:font>
  <w:font w:name="Cambria">
    <w:panose1 w:val="02040503050406030204"/>
    <w:charset w:val="00"/>
    <w:family w:val="roman"/>
    <w:pitch w:val="default"/>
    <w:sig w:usb0="E00006FF" w:usb1="420024FF" w:usb2="02000000" w:usb3="00000000" w:csb0="2000019F" w:csb1="00000000"/>
    <w:embedRegular r:id="rId3" w:fontKey="{1D6F3D6C-AEE9-496C-A0F8-1DE1F9868DB1}"/>
  </w:font>
  <w:font w:name="仿宋_GB2312">
    <w:altName w:val="仿宋"/>
    <w:panose1 w:val="00000000000000000000"/>
    <w:charset w:val="86"/>
    <w:family w:val="modern"/>
    <w:pitch w:val="default"/>
    <w:sig w:usb0="00000000" w:usb1="00000000" w:usb2="00000010" w:usb3="00000000" w:csb0="00040000" w:csb1="00000000"/>
    <w:embedRegular r:id="rId4" w:fontKey="{954E9527-94C8-4BF6-8D9B-09B41D0868BC}"/>
  </w:font>
  <w:font w:name="仿宋">
    <w:panose1 w:val="02010609060101010101"/>
    <w:charset w:val="86"/>
    <w:family w:val="modern"/>
    <w:pitch w:val="default"/>
    <w:sig w:usb0="800002BF" w:usb1="38CF7CFA" w:usb2="00000016" w:usb3="00000000" w:csb0="00040001" w:csb1="00000000"/>
    <w:embedRegular r:id="rId5" w:fontKey="{1089E046-234B-4809-AB37-8823E0E3B7D4}"/>
  </w:font>
  <w:font w:name="方正小标宋简体">
    <w:panose1 w:val="02000000000000000000"/>
    <w:charset w:val="86"/>
    <w:family w:val="script"/>
    <w:pitch w:val="default"/>
    <w:sig w:usb0="00000001" w:usb1="08000000" w:usb2="00000000" w:usb3="00000000" w:csb0="00040000" w:csb1="00000000"/>
    <w:embedRegular r:id="rId6" w:fontKey="{01213593-C814-443C-B4D2-0458552E3B2C}"/>
  </w:font>
  <w:font w:name="___WRD_EMBED_SUB_46">
    <w:altName w:val="微软雅黑"/>
    <w:panose1 w:val="02010609030101010101"/>
    <w:charset w:val="86"/>
    <w:family w:val="modern"/>
    <w:pitch w:val="default"/>
    <w:sig w:usb0="00000000" w:usb1="00000000" w:usb2="00000010" w:usb3="00000000" w:csb0="00040001" w:csb1="00000000"/>
    <w:embedRegular r:id="rId7" w:fontKey="{CE1BB585-D41D-43CC-A110-5117E3D821EE}"/>
  </w:font>
  <w:font w:name="微软雅黑">
    <w:panose1 w:val="020B0503020204020204"/>
    <w:charset w:val="86"/>
    <w:family w:val="swiss"/>
    <w:pitch w:val="default"/>
    <w:sig w:usb0="80000287" w:usb1="2ACF3C50" w:usb2="00000016" w:usb3="00000000" w:csb0="0004001F" w:csb1="00000000"/>
    <w:embedRegular r:id="rId8" w:fontKey="{61A687D0-95CF-41C2-90ED-00A36B1F4501}"/>
  </w:font>
  <w:font w:name="___WRD_EMBED_SUB_17">
    <w:altName w:val="宋体"/>
    <w:panose1 w:val="00000000000000000000"/>
    <w:charset w:val="86"/>
    <w:family w:val="modern"/>
    <w:pitch w:val="default"/>
    <w:sig w:usb0="00000000" w:usb1="00000000" w:usb2="00000016" w:usb3="00000000" w:csb0="00040001" w:csb1="00000000"/>
    <w:embedRegular r:id="rId9" w:fontKey="{5BBD73A4-B7AE-4D80-BB24-2ED8190D398F}"/>
  </w:font>
  <w:font w:name="等线">
    <w:panose1 w:val="02010600030101010101"/>
    <w:charset w:val="86"/>
    <w:family w:val="auto"/>
    <w:pitch w:val="default"/>
    <w:sig w:usb0="A00002BF" w:usb1="38CF7CFA" w:usb2="00000016" w:usb3="00000000" w:csb0="0004000F" w:csb1="00000000"/>
    <w:embedRegular r:id="rId10" w:fontKey="{FDFFA25A-9DBB-41A2-A997-19F2F8AA4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17388"/>
    </w:sdtPr>
    <w:sdtEndPr>
      <w:rPr>
        <w:rFonts w:ascii="仿宋" w:hAnsi="仿宋" w:eastAsia="仿宋"/>
        <w:sz w:val="32"/>
        <w:szCs w:val="32"/>
      </w:rPr>
    </w:sdtEndPr>
    <w:sdtContent>
      <w:p>
        <w:pPr>
          <w:pStyle w:val="8"/>
          <w:jc w:val="center"/>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PAGE   \* MERGEFORMAT</w:instrText>
        </w:r>
        <w:r>
          <w:rPr>
            <w:rFonts w:ascii="仿宋" w:hAnsi="仿宋" w:eastAsia="仿宋"/>
            <w:sz w:val="32"/>
            <w:szCs w:val="32"/>
          </w:rPr>
          <w:fldChar w:fldCharType="separate"/>
        </w:r>
        <w:r>
          <w:rPr>
            <w:rFonts w:ascii="仿宋" w:hAnsi="仿宋" w:eastAsia="仿宋"/>
            <w:sz w:val="32"/>
            <w:szCs w:val="32"/>
            <w:lang w:val="zh-CN"/>
          </w:rPr>
          <w:t>3</w:t>
        </w:r>
        <w:r>
          <w:rPr>
            <w:rFonts w:ascii="仿宋" w:hAnsi="仿宋" w:eastAsia="仿宋"/>
            <w:sz w:val="32"/>
            <w:szCs w:val="32"/>
          </w:rPr>
          <w:fldChar w:fldCharType="end"/>
        </w:r>
      </w:p>
    </w:sdtContent>
  </w:sdt>
  <w:p>
    <w:pPr>
      <w:pStyle w:val="8"/>
      <w:rPr>
        <w:rFonts w:ascii="仿宋" w:hAnsi="仿宋" w:eastAsia="仿宋"/>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0735208"/>
      <w:showingPlcHdr/>
    </w:sdtPr>
    <w:sdtEndPr>
      <w:rPr>
        <w:rFonts w:ascii="仿宋" w:hAnsi="仿宋" w:eastAsia="仿宋"/>
        <w:sz w:val="32"/>
        <w:szCs w:val="32"/>
      </w:rPr>
    </w:sdtEndPr>
    <w:sdtContent>
      <w:p>
        <w:pPr>
          <w:pStyle w:val="8"/>
          <w:jc w:val="center"/>
          <w:rPr>
            <w:rFonts w:ascii="仿宋" w:hAnsi="仿宋" w:eastAsia="仿宋"/>
            <w:sz w:val="32"/>
            <w:szCs w:val="32"/>
          </w:rPr>
        </w:pPr>
        <w:r>
          <w:t xml:space="preserve">     </w:t>
        </w:r>
      </w:p>
    </w:sdtContent>
  </w:sdt>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4753100"/>
    </w:sdtPr>
    <w:sdtEndPr>
      <w:rPr>
        <w:rFonts w:ascii="仿宋" w:hAnsi="仿宋" w:eastAsia="仿宋"/>
        <w:sz w:val="32"/>
        <w:szCs w:val="32"/>
      </w:rPr>
    </w:sdtEndPr>
    <w:sdtContent>
      <w:p>
        <w:pPr>
          <w:pStyle w:val="8"/>
          <w:jc w:val="center"/>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4</w:t>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818A09A"/>
    <w:multiLevelType w:val="singleLevel"/>
    <w:tmpl w:val="3818A09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yYjYzNzgxOGI2NjU1ZDBmYzhiMmFiNTU4Y2Y2ZTAifQ=="/>
  </w:docVars>
  <w:rsids>
    <w:rsidRoot w:val="00F1361C"/>
    <w:rsid w:val="00004EFB"/>
    <w:rsid w:val="000222C6"/>
    <w:rsid w:val="0002549F"/>
    <w:rsid w:val="000264D3"/>
    <w:rsid w:val="00033081"/>
    <w:rsid w:val="000468DB"/>
    <w:rsid w:val="0006487A"/>
    <w:rsid w:val="00065F8F"/>
    <w:rsid w:val="00070A43"/>
    <w:rsid w:val="00073AF9"/>
    <w:rsid w:val="00074293"/>
    <w:rsid w:val="00074A5B"/>
    <w:rsid w:val="000768F2"/>
    <w:rsid w:val="0009184B"/>
    <w:rsid w:val="00094236"/>
    <w:rsid w:val="0009593C"/>
    <w:rsid w:val="00097322"/>
    <w:rsid w:val="000A4142"/>
    <w:rsid w:val="000A6A92"/>
    <w:rsid w:val="000B047F"/>
    <w:rsid w:val="000B5923"/>
    <w:rsid w:val="000B5A48"/>
    <w:rsid w:val="000B6FF3"/>
    <w:rsid w:val="000C3467"/>
    <w:rsid w:val="000C3CA6"/>
    <w:rsid w:val="000D1267"/>
    <w:rsid w:val="000D1D50"/>
    <w:rsid w:val="000D5782"/>
    <w:rsid w:val="000E6613"/>
    <w:rsid w:val="000E7119"/>
    <w:rsid w:val="000F5FAD"/>
    <w:rsid w:val="001011A0"/>
    <w:rsid w:val="00114E9B"/>
    <w:rsid w:val="00142216"/>
    <w:rsid w:val="00144D6A"/>
    <w:rsid w:val="0014729F"/>
    <w:rsid w:val="00157941"/>
    <w:rsid w:val="00157BAB"/>
    <w:rsid w:val="001654D1"/>
    <w:rsid w:val="00174518"/>
    <w:rsid w:val="0018106D"/>
    <w:rsid w:val="0018195B"/>
    <w:rsid w:val="001839DE"/>
    <w:rsid w:val="001877A7"/>
    <w:rsid w:val="00191536"/>
    <w:rsid w:val="00196687"/>
    <w:rsid w:val="001C0962"/>
    <w:rsid w:val="001D7531"/>
    <w:rsid w:val="001E53F7"/>
    <w:rsid w:val="001E737D"/>
    <w:rsid w:val="001F0592"/>
    <w:rsid w:val="001F54EE"/>
    <w:rsid w:val="001F7506"/>
    <w:rsid w:val="002006CD"/>
    <w:rsid w:val="00202B36"/>
    <w:rsid w:val="00204B7A"/>
    <w:rsid w:val="00204CDE"/>
    <w:rsid w:val="0021101A"/>
    <w:rsid w:val="00220536"/>
    <w:rsid w:val="00221E55"/>
    <w:rsid w:val="00235629"/>
    <w:rsid w:val="00243235"/>
    <w:rsid w:val="002549B0"/>
    <w:rsid w:val="00260C38"/>
    <w:rsid w:val="002616C0"/>
    <w:rsid w:val="0026184E"/>
    <w:rsid w:val="00265372"/>
    <w:rsid w:val="002662AA"/>
    <w:rsid w:val="00280496"/>
    <w:rsid w:val="00285A0A"/>
    <w:rsid w:val="002863C1"/>
    <w:rsid w:val="00294DC9"/>
    <w:rsid w:val="00295495"/>
    <w:rsid w:val="002A14A9"/>
    <w:rsid w:val="002A31DE"/>
    <w:rsid w:val="002B2613"/>
    <w:rsid w:val="002C61D3"/>
    <w:rsid w:val="002D6D05"/>
    <w:rsid w:val="002F1818"/>
    <w:rsid w:val="002F32DE"/>
    <w:rsid w:val="002F567B"/>
    <w:rsid w:val="002F7F75"/>
    <w:rsid w:val="003216A9"/>
    <w:rsid w:val="00335A74"/>
    <w:rsid w:val="0036561B"/>
    <w:rsid w:val="0037013F"/>
    <w:rsid w:val="00380C92"/>
    <w:rsid w:val="00380E9E"/>
    <w:rsid w:val="00390C4E"/>
    <w:rsid w:val="003A484F"/>
    <w:rsid w:val="003A4883"/>
    <w:rsid w:val="003B0BE0"/>
    <w:rsid w:val="003B0C1B"/>
    <w:rsid w:val="003B688C"/>
    <w:rsid w:val="003C0291"/>
    <w:rsid w:val="003C39AE"/>
    <w:rsid w:val="003C7B60"/>
    <w:rsid w:val="003D0C0F"/>
    <w:rsid w:val="003D1F4D"/>
    <w:rsid w:val="003D1FB2"/>
    <w:rsid w:val="003D66DA"/>
    <w:rsid w:val="003E1310"/>
    <w:rsid w:val="003E6F55"/>
    <w:rsid w:val="00406254"/>
    <w:rsid w:val="004146AE"/>
    <w:rsid w:val="0041609F"/>
    <w:rsid w:val="004223DE"/>
    <w:rsid w:val="00434489"/>
    <w:rsid w:val="004347C4"/>
    <w:rsid w:val="00437085"/>
    <w:rsid w:val="00443880"/>
    <w:rsid w:val="004464F4"/>
    <w:rsid w:val="00453F0B"/>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353CE"/>
    <w:rsid w:val="005664BB"/>
    <w:rsid w:val="00566FFA"/>
    <w:rsid w:val="0057481D"/>
    <w:rsid w:val="0058486E"/>
    <w:rsid w:val="00585B33"/>
    <w:rsid w:val="0059014D"/>
    <w:rsid w:val="005B5C64"/>
    <w:rsid w:val="005C5337"/>
    <w:rsid w:val="005C58F9"/>
    <w:rsid w:val="005C6BD0"/>
    <w:rsid w:val="005D1C8B"/>
    <w:rsid w:val="005D468D"/>
    <w:rsid w:val="005D5CED"/>
    <w:rsid w:val="005F1A4C"/>
    <w:rsid w:val="00605688"/>
    <w:rsid w:val="006070AF"/>
    <w:rsid w:val="00607E6C"/>
    <w:rsid w:val="006101B1"/>
    <w:rsid w:val="00613D44"/>
    <w:rsid w:val="00614E44"/>
    <w:rsid w:val="00617371"/>
    <w:rsid w:val="0062270A"/>
    <w:rsid w:val="00622830"/>
    <w:rsid w:val="00623DA0"/>
    <w:rsid w:val="00630AEF"/>
    <w:rsid w:val="006325F8"/>
    <w:rsid w:val="00633463"/>
    <w:rsid w:val="00634C9A"/>
    <w:rsid w:val="006440E4"/>
    <w:rsid w:val="006447FE"/>
    <w:rsid w:val="0066343B"/>
    <w:rsid w:val="00664777"/>
    <w:rsid w:val="006748A4"/>
    <w:rsid w:val="00681A31"/>
    <w:rsid w:val="0068247F"/>
    <w:rsid w:val="00683E73"/>
    <w:rsid w:val="0069224F"/>
    <w:rsid w:val="006A3141"/>
    <w:rsid w:val="006A5E34"/>
    <w:rsid w:val="006B2422"/>
    <w:rsid w:val="006B2B9A"/>
    <w:rsid w:val="006C1937"/>
    <w:rsid w:val="006E6F23"/>
    <w:rsid w:val="006F020C"/>
    <w:rsid w:val="006F3CAE"/>
    <w:rsid w:val="007127B7"/>
    <w:rsid w:val="0071798E"/>
    <w:rsid w:val="0072309F"/>
    <w:rsid w:val="007416B6"/>
    <w:rsid w:val="00746F48"/>
    <w:rsid w:val="0075404D"/>
    <w:rsid w:val="0076182A"/>
    <w:rsid w:val="00761C92"/>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96EFA"/>
    <w:rsid w:val="008B768C"/>
    <w:rsid w:val="008C4DB1"/>
    <w:rsid w:val="008C4EAF"/>
    <w:rsid w:val="008C5176"/>
    <w:rsid w:val="008C7FD0"/>
    <w:rsid w:val="008E1DE7"/>
    <w:rsid w:val="008E707C"/>
    <w:rsid w:val="00900B08"/>
    <w:rsid w:val="00902155"/>
    <w:rsid w:val="00902FA3"/>
    <w:rsid w:val="009176D7"/>
    <w:rsid w:val="00923564"/>
    <w:rsid w:val="0092392E"/>
    <w:rsid w:val="009315F9"/>
    <w:rsid w:val="00933499"/>
    <w:rsid w:val="00935C98"/>
    <w:rsid w:val="00946945"/>
    <w:rsid w:val="00951248"/>
    <w:rsid w:val="0095152F"/>
    <w:rsid w:val="00951D1A"/>
    <w:rsid w:val="00954775"/>
    <w:rsid w:val="00954C49"/>
    <w:rsid w:val="00955E37"/>
    <w:rsid w:val="0097099F"/>
    <w:rsid w:val="00971997"/>
    <w:rsid w:val="00971FFC"/>
    <w:rsid w:val="009803A7"/>
    <w:rsid w:val="00982631"/>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433D"/>
    <w:rsid w:val="00A45BB7"/>
    <w:rsid w:val="00A55E38"/>
    <w:rsid w:val="00A56DF2"/>
    <w:rsid w:val="00A56E6E"/>
    <w:rsid w:val="00A67AB5"/>
    <w:rsid w:val="00A733B2"/>
    <w:rsid w:val="00A741C2"/>
    <w:rsid w:val="00A91760"/>
    <w:rsid w:val="00A93B00"/>
    <w:rsid w:val="00A93C21"/>
    <w:rsid w:val="00AA057D"/>
    <w:rsid w:val="00AB64C9"/>
    <w:rsid w:val="00AC3C6A"/>
    <w:rsid w:val="00AD5620"/>
    <w:rsid w:val="00AD656B"/>
    <w:rsid w:val="00AD7C1B"/>
    <w:rsid w:val="00AE16BA"/>
    <w:rsid w:val="00AE1EBE"/>
    <w:rsid w:val="00B03C9D"/>
    <w:rsid w:val="00B060AE"/>
    <w:rsid w:val="00B10517"/>
    <w:rsid w:val="00B14DE3"/>
    <w:rsid w:val="00B14E76"/>
    <w:rsid w:val="00B161B8"/>
    <w:rsid w:val="00B2048C"/>
    <w:rsid w:val="00B26B4E"/>
    <w:rsid w:val="00B310B9"/>
    <w:rsid w:val="00B35F3F"/>
    <w:rsid w:val="00B36CBB"/>
    <w:rsid w:val="00B425E0"/>
    <w:rsid w:val="00B433AF"/>
    <w:rsid w:val="00B440AA"/>
    <w:rsid w:val="00B44B70"/>
    <w:rsid w:val="00B53C56"/>
    <w:rsid w:val="00B57DAF"/>
    <w:rsid w:val="00B77EA6"/>
    <w:rsid w:val="00B81598"/>
    <w:rsid w:val="00B841F1"/>
    <w:rsid w:val="00B93632"/>
    <w:rsid w:val="00B944D6"/>
    <w:rsid w:val="00BB2EE3"/>
    <w:rsid w:val="00BB4DF0"/>
    <w:rsid w:val="00BC289F"/>
    <w:rsid w:val="00BC2D50"/>
    <w:rsid w:val="00BC5361"/>
    <w:rsid w:val="00BC5460"/>
    <w:rsid w:val="00BC6B50"/>
    <w:rsid w:val="00BD0E25"/>
    <w:rsid w:val="00BF5BD6"/>
    <w:rsid w:val="00C03E31"/>
    <w:rsid w:val="00C1646B"/>
    <w:rsid w:val="00C33E72"/>
    <w:rsid w:val="00C354B2"/>
    <w:rsid w:val="00C35554"/>
    <w:rsid w:val="00C42709"/>
    <w:rsid w:val="00C471A6"/>
    <w:rsid w:val="00C533CC"/>
    <w:rsid w:val="00C5751C"/>
    <w:rsid w:val="00C61BFC"/>
    <w:rsid w:val="00C62B85"/>
    <w:rsid w:val="00C65438"/>
    <w:rsid w:val="00C7100E"/>
    <w:rsid w:val="00C75E77"/>
    <w:rsid w:val="00C87FD8"/>
    <w:rsid w:val="00C91381"/>
    <w:rsid w:val="00C91CBB"/>
    <w:rsid w:val="00CB067C"/>
    <w:rsid w:val="00CB4E70"/>
    <w:rsid w:val="00CC09B6"/>
    <w:rsid w:val="00CC62AB"/>
    <w:rsid w:val="00CC666F"/>
    <w:rsid w:val="00CD1E3F"/>
    <w:rsid w:val="00CE44F6"/>
    <w:rsid w:val="00CE49DA"/>
    <w:rsid w:val="00CE7B61"/>
    <w:rsid w:val="00D00095"/>
    <w:rsid w:val="00D10140"/>
    <w:rsid w:val="00D114F0"/>
    <w:rsid w:val="00D12A88"/>
    <w:rsid w:val="00D20620"/>
    <w:rsid w:val="00D254F7"/>
    <w:rsid w:val="00D26091"/>
    <w:rsid w:val="00D2685C"/>
    <w:rsid w:val="00D34E7C"/>
    <w:rsid w:val="00D35489"/>
    <w:rsid w:val="00D36AFE"/>
    <w:rsid w:val="00D50324"/>
    <w:rsid w:val="00D51276"/>
    <w:rsid w:val="00D7035F"/>
    <w:rsid w:val="00D97C6E"/>
    <w:rsid w:val="00DA634F"/>
    <w:rsid w:val="00DA65AC"/>
    <w:rsid w:val="00DB1913"/>
    <w:rsid w:val="00DC410D"/>
    <w:rsid w:val="00DC5A81"/>
    <w:rsid w:val="00DC68CA"/>
    <w:rsid w:val="00DC7CBA"/>
    <w:rsid w:val="00DD73B7"/>
    <w:rsid w:val="00DF28BC"/>
    <w:rsid w:val="00DF2C9F"/>
    <w:rsid w:val="00DF34B9"/>
    <w:rsid w:val="00E01053"/>
    <w:rsid w:val="00E07ACF"/>
    <w:rsid w:val="00E16BA8"/>
    <w:rsid w:val="00E331A1"/>
    <w:rsid w:val="00E33202"/>
    <w:rsid w:val="00E336A9"/>
    <w:rsid w:val="00E472B1"/>
    <w:rsid w:val="00E50624"/>
    <w:rsid w:val="00E568DF"/>
    <w:rsid w:val="00E57A3F"/>
    <w:rsid w:val="00E64269"/>
    <w:rsid w:val="00E82267"/>
    <w:rsid w:val="00E853CE"/>
    <w:rsid w:val="00E867B6"/>
    <w:rsid w:val="00EA010F"/>
    <w:rsid w:val="00EC7DAC"/>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27190"/>
    <w:rsid w:val="00F33836"/>
    <w:rsid w:val="00F36D8F"/>
    <w:rsid w:val="00F417B1"/>
    <w:rsid w:val="00F45853"/>
    <w:rsid w:val="00F53D0D"/>
    <w:rsid w:val="00F602DF"/>
    <w:rsid w:val="00F63423"/>
    <w:rsid w:val="00F754A1"/>
    <w:rsid w:val="00F81FD9"/>
    <w:rsid w:val="00F841AA"/>
    <w:rsid w:val="00F84A94"/>
    <w:rsid w:val="00F87E96"/>
    <w:rsid w:val="00FA23E8"/>
    <w:rsid w:val="00FD3CC1"/>
    <w:rsid w:val="00FF1E02"/>
    <w:rsid w:val="00FF30B4"/>
    <w:rsid w:val="053A62B5"/>
    <w:rsid w:val="0A2032A3"/>
    <w:rsid w:val="0B8A37D8"/>
    <w:rsid w:val="0F5145F1"/>
    <w:rsid w:val="10811DA0"/>
    <w:rsid w:val="10C055FF"/>
    <w:rsid w:val="118107EC"/>
    <w:rsid w:val="11DD6519"/>
    <w:rsid w:val="15592082"/>
    <w:rsid w:val="16BB723D"/>
    <w:rsid w:val="16C25E25"/>
    <w:rsid w:val="18015F3F"/>
    <w:rsid w:val="1BE8440E"/>
    <w:rsid w:val="1D155CEE"/>
    <w:rsid w:val="1D2376F7"/>
    <w:rsid w:val="20F57F95"/>
    <w:rsid w:val="240371BF"/>
    <w:rsid w:val="24966352"/>
    <w:rsid w:val="25711CC6"/>
    <w:rsid w:val="25C741E6"/>
    <w:rsid w:val="27842671"/>
    <w:rsid w:val="29FD04D3"/>
    <w:rsid w:val="2ABE7A3E"/>
    <w:rsid w:val="2AE51E0D"/>
    <w:rsid w:val="2CA234A8"/>
    <w:rsid w:val="2CD303E0"/>
    <w:rsid w:val="2EFA178C"/>
    <w:rsid w:val="30156509"/>
    <w:rsid w:val="30B46D73"/>
    <w:rsid w:val="319F7F4E"/>
    <w:rsid w:val="383D272C"/>
    <w:rsid w:val="39AE70AB"/>
    <w:rsid w:val="3C0C0783"/>
    <w:rsid w:val="3EC94FA6"/>
    <w:rsid w:val="3F9F3A96"/>
    <w:rsid w:val="436117D4"/>
    <w:rsid w:val="48BF60AB"/>
    <w:rsid w:val="493C27E9"/>
    <w:rsid w:val="496F39ED"/>
    <w:rsid w:val="49FF41D3"/>
    <w:rsid w:val="4BE068DB"/>
    <w:rsid w:val="4BF6002B"/>
    <w:rsid w:val="4ECE2238"/>
    <w:rsid w:val="51DB4B86"/>
    <w:rsid w:val="53EC30AA"/>
    <w:rsid w:val="55333C3E"/>
    <w:rsid w:val="5BB87F49"/>
    <w:rsid w:val="5C0A490D"/>
    <w:rsid w:val="619436AB"/>
    <w:rsid w:val="64A7433F"/>
    <w:rsid w:val="64CA39A1"/>
    <w:rsid w:val="69630ADE"/>
    <w:rsid w:val="6C4A05C8"/>
    <w:rsid w:val="6D3B1A89"/>
    <w:rsid w:val="6DEB21C8"/>
    <w:rsid w:val="71BF4EC2"/>
    <w:rsid w:val="72734D90"/>
    <w:rsid w:val="7412278C"/>
    <w:rsid w:val="75113E0A"/>
    <w:rsid w:val="759F1664"/>
    <w:rsid w:val="79E7B28D"/>
    <w:rsid w:val="7B6E3FBF"/>
    <w:rsid w:val="7C3A1ED8"/>
    <w:rsid w:val="7D7F4E48"/>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7"/>
    <w:semiHidden/>
    <w:unhideWhenUsed/>
    <w:qFormat/>
    <w:uiPriority w:val="99"/>
    <w:rPr>
      <w:sz w:val="18"/>
      <w:szCs w:val="18"/>
    </w:rPr>
  </w:style>
  <w:style w:type="paragraph" w:styleId="8">
    <w:name w:val="footer"/>
    <w:basedOn w:val="1"/>
    <w:link w:val="19"/>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character" w:styleId="14">
    <w:name w:val="Strong"/>
    <w:basedOn w:val="13"/>
    <w:qFormat/>
    <w:uiPriority w:val="99"/>
    <w:rPr>
      <w:b/>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customStyle="1" w:styleId="16">
    <w:name w:val="Header Char"/>
    <w:basedOn w:val="13"/>
    <w:semiHidden/>
    <w:qFormat/>
    <w:uiPriority w:val="99"/>
    <w:rPr>
      <w:rFonts w:ascii="Times New Roman" w:hAnsi="Times New Roman"/>
      <w:sz w:val="18"/>
      <w:szCs w:val="18"/>
    </w:rPr>
  </w:style>
  <w:style w:type="character" w:customStyle="1" w:styleId="17">
    <w:name w:val="页眉 Char"/>
    <w:link w:val="9"/>
    <w:semiHidden/>
    <w:qFormat/>
    <w:locked/>
    <w:uiPriority w:val="99"/>
    <w:rPr>
      <w:sz w:val="18"/>
    </w:rPr>
  </w:style>
  <w:style w:type="character" w:customStyle="1" w:styleId="18">
    <w:name w:val="Footer Char"/>
    <w:basedOn w:val="13"/>
    <w:semiHidden/>
    <w:qFormat/>
    <w:uiPriority w:val="99"/>
    <w:rPr>
      <w:rFonts w:ascii="Times New Roman" w:hAnsi="Times New Roman"/>
      <w:sz w:val="18"/>
      <w:szCs w:val="18"/>
    </w:rPr>
  </w:style>
  <w:style w:type="character" w:customStyle="1" w:styleId="19">
    <w:name w:val="页脚 Char"/>
    <w:link w:val="8"/>
    <w:qFormat/>
    <w:locked/>
    <w:uiPriority w:val="99"/>
    <w:rPr>
      <w:sz w:val="18"/>
    </w:rPr>
  </w:style>
  <w:style w:type="character" w:customStyle="1" w:styleId="20">
    <w:name w:val="Body Text Char"/>
    <w:basedOn w:val="13"/>
    <w:semiHidden/>
    <w:qFormat/>
    <w:uiPriority w:val="99"/>
    <w:rPr>
      <w:rFonts w:ascii="Times New Roman" w:hAnsi="Times New Roman"/>
      <w:szCs w:val="24"/>
    </w:rPr>
  </w:style>
  <w:style w:type="character" w:customStyle="1" w:styleId="21">
    <w:name w:val="正文文本 Char"/>
    <w:link w:val="2"/>
    <w:qFormat/>
    <w:locked/>
    <w:uiPriority w:val="99"/>
    <w:rPr>
      <w:rFonts w:ascii="仿宋_GB2312" w:hAnsi="Times New Roman" w:eastAsia="仿宋_GB2312"/>
      <w:sz w:val="24"/>
    </w:r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3">
    <w:name w:val="List Paragraph"/>
    <w:basedOn w:val="1"/>
    <w:qFormat/>
    <w:uiPriority w:val="34"/>
    <w:pPr>
      <w:ind w:firstLine="420" w:firstLineChars="200"/>
    </w:pPr>
  </w:style>
  <w:style w:type="character" w:customStyle="1" w:styleId="24">
    <w:name w:val="标题 1 Char"/>
    <w:basedOn w:val="13"/>
    <w:link w:val="3"/>
    <w:qFormat/>
    <w:uiPriority w:val="9"/>
    <w:rPr>
      <w:rFonts w:ascii="Times New Roman" w:hAnsi="Times New Roman"/>
      <w:b/>
      <w:bCs/>
      <w:kern w:val="44"/>
      <w:sz w:val="44"/>
      <w:szCs w:val="44"/>
    </w:rPr>
  </w:style>
  <w:style w:type="character" w:customStyle="1" w:styleId="25">
    <w:name w:val="标题 2 Char"/>
    <w:basedOn w:val="13"/>
    <w:link w:val="4"/>
    <w:qFormat/>
    <w:uiPriority w:val="9"/>
    <w:rPr>
      <w:rFonts w:asciiTheme="majorHAnsi" w:hAnsiTheme="majorHAnsi" w:eastAsiaTheme="majorEastAsia" w:cstheme="majorBidi"/>
      <w:b/>
      <w:bCs/>
      <w:kern w:val="2"/>
      <w:sz w:val="32"/>
      <w:szCs w:val="32"/>
    </w:rPr>
  </w:style>
  <w:style w:type="paragraph" w:customStyle="1" w:styleId="2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7">
    <w:name w:val="批注框文本 Char"/>
    <w:basedOn w:val="13"/>
    <w:link w:val="7"/>
    <w:semiHidden/>
    <w:qFormat/>
    <w:uiPriority w:val="99"/>
    <w:rPr>
      <w:rFonts w:ascii="Times New Roman" w:hAnsi="Times New Roman"/>
      <w:kern w:val="2"/>
      <w:sz w:val="18"/>
      <w:szCs w:val="18"/>
    </w:rPr>
  </w:style>
  <w:style w:type="character" w:customStyle="1" w:styleId="28">
    <w:name w:val="标题 3 Char"/>
    <w:basedOn w:val="13"/>
    <w:link w:val="5"/>
    <w:qFormat/>
    <w:uiPriority w:val="9"/>
    <w:rPr>
      <w:rFonts w:ascii="Times New Roman" w:hAnsi="Times New Roman"/>
      <w:b/>
      <w:bCs/>
      <w:kern w:val="2"/>
      <w:sz w:val="32"/>
      <w:szCs w:val="32"/>
    </w:rPr>
  </w:style>
  <w:style w:type="paragraph" w:customStyle="1" w:styleId="29">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B68D2-7FAE-4E82-98A5-EF4C59950FB7}">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37</Pages>
  <Words>2783</Words>
  <Characters>15866</Characters>
  <Lines>132</Lines>
  <Paragraphs>37</Paragraphs>
  <TotalTime>20</TotalTime>
  <ScaleCrop>false</ScaleCrop>
  <LinksUpToDate>false</LinksUpToDate>
  <CharactersWithSpaces>18612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漆明强</cp:lastModifiedBy>
  <cp:lastPrinted>2023-07-31T02:35:00Z</cp:lastPrinted>
  <dcterms:modified xsi:type="dcterms:W3CDTF">2023-12-13T04:39:12Z</dcterms:modified>
  <dc:title>四川省***</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C1082C8FCE8E44C0861165055789DDBA_13</vt:lpwstr>
  </property>
</Properties>
</file>