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1BD069">
      <w:pPr>
        <w:spacing w:line="600" w:lineRule="exact"/>
        <w:jc w:val="center"/>
        <w:outlineLvl w:val="0"/>
        <w:rPr>
          <w:rFonts w:ascii="方正小标宋简体" w:hAnsi="宋体" w:eastAsia="方正小标宋简体"/>
          <w:sz w:val="72"/>
          <w:szCs w:val="72"/>
        </w:rPr>
      </w:pPr>
      <w:bookmarkStart w:id="0" w:name="_Toc15377425"/>
      <w:bookmarkStart w:id="1" w:name="_Toc15377193"/>
      <w:bookmarkStart w:id="2" w:name="_Toc15396475"/>
      <w:bookmarkStart w:id="3" w:name="_Toc15378441"/>
      <w:bookmarkStart w:id="4" w:name="_Toc15396597"/>
      <w:bookmarkStart w:id="5" w:name="_Toc15306267"/>
    </w:p>
    <w:p w14:paraId="5C52A45A">
      <w:pPr>
        <w:spacing w:line="600" w:lineRule="exact"/>
        <w:jc w:val="center"/>
        <w:outlineLvl w:val="0"/>
        <w:rPr>
          <w:rFonts w:ascii="方正小标宋简体" w:hAnsi="宋体" w:eastAsia="方正小标宋简体"/>
          <w:sz w:val="72"/>
          <w:szCs w:val="72"/>
        </w:rPr>
      </w:pPr>
    </w:p>
    <w:p w14:paraId="16F03599">
      <w:pPr>
        <w:spacing w:line="600" w:lineRule="exact"/>
        <w:jc w:val="center"/>
        <w:outlineLvl w:val="0"/>
        <w:rPr>
          <w:rFonts w:ascii="方正小标宋简体" w:hAnsi="宋体" w:eastAsia="方正小标宋简体"/>
          <w:sz w:val="72"/>
          <w:szCs w:val="72"/>
        </w:rPr>
      </w:pPr>
    </w:p>
    <w:p w14:paraId="2BB2FD9B">
      <w:pPr>
        <w:adjustRightInd w:val="0"/>
        <w:snapToGrid w:val="0"/>
        <w:spacing w:line="360" w:lineRule="auto"/>
        <w:jc w:val="center"/>
        <w:outlineLvl w:val="0"/>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2022年度</w:t>
      </w:r>
      <w:bookmarkEnd w:id="0"/>
      <w:bookmarkEnd w:id="1"/>
      <w:bookmarkEnd w:id="2"/>
      <w:bookmarkEnd w:id="3"/>
      <w:bookmarkEnd w:id="4"/>
    </w:p>
    <w:p w14:paraId="0954A89C">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6" w:name="_Toc15396476"/>
      <w:bookmarkStart w:id="7" w:name="_Toc15378442"/>
      <w:bookmarkStart w:id="8" w:name="_Toc15377426"/>
      <w:bookmarkStart w:id="9" w:name="_Toc15377194"/>
      <w:bookmarkStart w:id="10" w:name="_Toc15396598"/>
      <w:r>
        <w:rPr>
          <w:rFonts w:hint="eastAsia" w:ascii="方正小标宋简体" w:hAnsi="方正小标宋简体" w:eastAsia="方正小标宋简体" w:cs="方正小标宋简体"/>
          <w:sz w:val="72"/>
          <w:szCs w:val="72"/>
        </w:rPr>
        <w:t>四川省</w:t>
      </w:r>
      <w:bookmarkEnd w:id="5"/>
      <w:bookmarkStart w:id="11" w:name="_Toc15306268"/>
      <w:r>
        <w:rPr>
          <w:rFonts w:hint="eastAsia" w:ascii="方正小标宋简体" w:hAnsi="方正小标宋简体" w:eastAsia="方正小标宋简体" w:cs="方正小标宋简体"/>
          <w:sz w:val="72"/>
          <w:szCs w:val="72"/>
        </w:rPr>
        <w:t>峨眉山市应急管理局部门决算</w:t>
      </w:r>
      <w:bookmarkEnd w:id="6"/>
      <w:bookmarkEnd w:id="7"/>
      <w:bookmarkEnd w:id="8"/>
      <w:bookmarkEnd w:id="9"/>
      <w:bookmarkEnd w:id="10"/>
      <w:bookmarkEnd w:id="11"/>
    </w:p>
    <w:p w14:paraId="0CC8D23D">
      <w:pPr>
        <w:widowControl/>
        <w:jc w:val="center"/>
        <w:rPr>
          <w:rFonts w:ascii="方正小标宋简体" w:hAnsi="宋体" w:eastAsia="方正小标宋简体"/>
          <w:sz w:val="52"/>
          <w:szCs w:val="52"/>
        </w:rPr>
      </w:pPr>
    </w:p>
    <w:p w14:paraId="1704CC4F">
      <w:pPr>
        <w:widowControl/>
        <w:jc w:val="center"/>
        <w:rPr>
          <w:rFonts w:ascii="方正小标宋简体" w:hAnsi="宋体" w:eastAsia="方正小标宋简体"/>
          <w:sz w:val="52"/>
          <w:szCs w:val="52"/>
        </w:rPr>
      </w:pPr>
    </w:p>
    <w:p w14:paraId="7C310517">
      <w:pPr>
        <w:widowControl/>
        <w:jc w:val="center"/>
        <w:rPr>
          <w:rFonts w:ascii="方正小标宋简体" w:hAnsi="宋体" w:eastAsia="方正小标宋简体"/>
          <w:sz w:val="52"/>
          <w:szCs w:val="52"/>
        </w:rPr>
      </w:pPr>
    </w:p>
    <w:p w14:paraId="790AD8BD">
      <w:pPr>
        <w:widowControl/>
        <w:jc w:val="center"/>
        <w:rPr>
          <w:rFonts w:ascii="方正小标宋简体" w:hAnsi="宋体" w:eastAsia="方正小标宋简体"/>
          <w:sz w:val="52"/>
          <w:szCs w:val="52"/>
        </w:rPr>
      </w:pPr>
    </w:p>
    <w:p w14:paraId="1C94A4E0">
      <w:pPr>
        <w:widowControl/>
        <w:jc w:val="center"/>
        <w:rPr>
          <w:rFonts w:ascii="方正小标宋简体" w:hAnsi="宋体" w:eastAsia="方正小标宋简体"/>
          <w:sz w:val="52"/>
          <w:szCs w:val="52"/>
        </w:rPr>
      </w:pPr>
    </w:p>
    <w:p w14:paraId="1FB266D4">
      <w:pPr>
        <w:widowControl/>
        <w:jc w:val="center"/>
        <w:rPr>
          <w:rFonts w:ascii="方正小标宋简体" w:hAnsi="宋体" w:eastAsia="方正小标宋简体"/>
          <w:sz w:val="52"/>
          <w:szCs w:val="52"/>
        </w:rPr>
      </w:pPr>
    </w:p>
    <w:p w14:paraId="3FB91B0C">
      <w:pPr>
        <w:widowControl/>
        <w:jc w:val="center"/>
        <w:rPr>
          <w:rFonts w:ascii="方正小标宋简体" w:hAnsi="宋体" w:eastAsia="方正小标宋简体"/>
          <w:sz w:val="52"/>
          <w:szCs w:val="52"/>
        </w:rPr>
      </w:pPr>
    </w:p>
    <w:p w14:paraId="02E07364">
      <w:pPr>
        <w:pStyle w:val="2"/>
        <w:spacing w:before="93"/>
        <w:rPr>
          <w:rFonts w:hint="eastAsia"/>
        </w:rPr>
      </w:pPr>
    </w:p>
    <w:p w14:paraId="6F7D3A79">
      <w:pPr>
        <w:widowControl/>
        <w:jc w:val="center"/>
        <w:rPr>
          <w:rFonts w:ascii="仿宋" w:hAnsi="仿宋" w:eastAsia="仿宋"/>
          <w:b/>
          <w:bCs/>
          <w:sz w:val="44"/>
          <w:szCs w:val="44"/>
        </w:rPr>
      </w:pPr>
      <w:r>
        <w:rPr>
          <w:rFonts w:hint="eastAsia" w:ascii="仿宋" w:hAnsi="仿宋" w:eastAsia="仿宋"/>
          <w:b/>
          <w:bCs/>
          <w:sz w:val="44"/>
          <w:szCs w:val="44"/>
        </w:rPr>
        <w:t>目录</w:t>
      </w:r>
    </w:p>
    <w:p w14:paraId="6A2A71DD">
      <w:pPr>
        <w:widowControl/>
        <w:jc w:val="center"/>
        <w:rPr>
          <w:rFonts w:ascii="仿宋" w:hAnsi="仿宋" w:eastAsia="仿宋" w:cstheme="minorBidi"/>
          <w:sz w:val="32"/>
          <w:szCs w:val="32"/>
        </w:rPr>
      </w:pPr>
    </w:p>
    <w:p w14:paraId="6C641D0D">
      <w:pPr>
        <w:pStyle w:val="11"/>
        <w:rPr>
          <w:sz w:val="32"/>
          <w:szCs w:val="32"/>
        </w:rPr>
      </w:pPr>
      <w:r>
        <w:rPr>
          <w:rFonts w:hint="eastAsia"/>
          <w:sz w:val="32"/>
          <w:szCs w:val="32"/>
        </w:rPr>
        <w:t>公开时间：2023年</w:t>
      </w:r>
      <w:r>
        <w:rPr>
          <w:sz w:val="32"/>
          <w:szCs w:val="32"/>
        </w:rPr>
        <w:t>1</w:t>
      </w:r>
      <w:r>
        <w:rPr>
          <w:rFonts w:hint="eastAsia"/>
          <w:sz w:val="32"/>
          <w:szCs w:val="32"/>
          <w:lang w:val="en-US" w:eastAsia="zh-CN"/>
        </w:rPr>
        <w:t>2</w:t>
      </w:r>
      <w:r>
        <w:rPr>
          <w:rFonts w:hint="eastAsia"/>
          <w:sz w:val="32"/>
          <w:szCs w:val="32"/>
        </w:rPr>
        <w:t>月</w:t>
      </w:r>
      <w:r>
        <w:rPr>
          <w:rFonts w:hint="eastAsia"/>
          <w:sz w:val="32"/>
          <w:szCs w:val="32"/>
          <w:lang w:val="en-US" w:eastAsia="zh-CN"/>
        </w:rPr>
        <w:t>12</w:t>
      </w:r>
      <w:r>
        <w:rPr>
          <w:rFonts w:hint="eastAsia"/>
          <w:sz w:val="32"/>
          <w:szCs w:val="32"/>
        </w:rPr>
        <w:t>日</w:t>
      </w:r>
    </w:p>
    <w:p w14:paraId="19AF9AF4">
      <w:pPr>
        <w:rPr>
          <w:rFonts w:ascii="仿宋" w:hAnsi="仿宋" w:eastAsia="仿宋"/>
          <w:sz w:val="32"/>
          <w:szCs w:val="32"/>
        </w:rPr>
      </w:pPr>
    </w:p>
    <w:p w14:paraId="597CDBFE">
      <w:pPr>
        <w:pStyle w:val="11"/>
        <w:adjustRightInd w:val="0"/>
        <w:snapToGrid w:val="0"/>
        <w:spacing w:before="0" w:line="440" w:lineRule="exact"/>
        <w:jc w:val="left"/>
        <w:rPr>
          <w:rFonts w:cstheme="minorBidi"/>
          <w:sz w:val="32"/>
          <w:szCs w:val="32"/>
        </w:rPr>
      </w:pPr>
      <w:r>
        <w:rPr>
          <w:rFonts w:hint="eastAsia"/>
          <w:b/>
          <w:sz w:val="32"/>
          <w:szCs w:val="32"/>
        </w:rPr>
        <w:t>第一部分</w:t>
      </w:r>
      <w:r>
        <w:rPr>
          <w:b/>
          <w:sz w:val="32"/>
          <w:szCs w:val="32"/>
        </w:rPr>
        <w:t xml:space="preserve"> </w:t>
      </w:r>
      <w:r>
        <w:rPr>
          <w:rFonts w:hint="eastAsia"/>
          <w:b/>
          <w:sz w:val="32"/>
          <w:szCs w:val="32"/>
        </w:rPr>
        <w:t>部门概况</w:t>
      </w:r>
      <w:r>
        <w:rPr>
          <w:sz w:val="32"/>
          <w:szCs w:val="32"/>
        </w:rPr>
        <w:tab/>
      </w:r>
      <w:r>
        <w:rPr>
          <w:sz w:val="32"/>
          <w:szCs w:val="32"/>
        </w:rPr>
        <w:t>1</w:t>
      </w:r>
    </w:p>
    <w:p w14:paraId="27B99220">
      <w:pPr>
        <w:pStyle w:val="12"/>
        <w:adjustRightInd w:val="0"/>
        <w:snapToGrid w:val="0"/>
        <w:spacing w:line="440" w:lineRule="exact"/>
        <w:jc w:val="left"/>
        <w:rPr>
          <w:rFonts w:ascii="仿宋" w:hAnsi="仿宋" w:eastAsia="仿宋"/>
          <w:sz w:val="32"/>
          <w:szCs w:val="32"/>
        </w:rPr>
      </w:pPr>
      <w:r>
        <w:rPr>
          <w:rFonts w:hint="eastAsia" w:ascii="仿宋" w:hAnsi="仿宋" w:eastAsia="仿宋"/>
          <w:sz w:val="32"/>
          <w:szCs w:val="32"/>
        </w:rPr>
        <w:t>一、部门职责</w:t>
      </w:r>
      <w:r>
        <w:rPr>
          <w:rFonts w:ascii="仿宋" w:hAnsi="仿宋" w:eastAsia="仿宋"/>
          <w:sz w:val="32"/>
          <w:szCs w:val="32"/>
        </w:rPr>
        <w:tab/>
      </w:r>
      <w:r>
        <w:rPr>
          <w:rFonts w:ascii="仿宋" w:hAnsi="仿宋" w:eastAsia="仿宋"/>
          <w:sz w:val="32"/>
          <w:szCs w:val="32"/>
        </w:rPr>
        <w:t>1</w:t>
      </w:r>
    </w:p>
    <w:p w14:paraId="1BFCA1E0">
      <w:pPr>
        <w:pStyle w:val="12"/>
        <w:adjustRightInd w:val="0"/>
        <w:snapToGrid w:val="0"/>
        <w:spacing w:line="440" w:lineRule="exact"/>
        <w:jc w:val="left"/>
        <w:rPr>
          <w:rFonts w:ascii="仿宋" w:hAnsi="仿宋" w:eastAsia="仿宋" w:cstheme="minorBidi"/>
          <w:sz w:val="32"/>
          <w:szCs w:val="32"/>
        </w:rPr>
      </w:pPr>
      <w:r>
        <w:rPr>
          <w:rFonts w:hint="eastAsia" w:ascii="仿宋" w:hAnsi="仿宋" w:eastAsia="仿宋"/>
          <w:sz w:val="32"/>
          <w:szCs w:val="32"/>
        </w:rPr>
        <w:t>二、机构设置</w:t>
      </w:r>
      <w:r>
        <w:rPr>
          <w:rFonts w:ascii="仿宋" w:hAnsi="仿宋" w:eastAsia="仿宋"/>
          <w:sz w:val="32"/>
          <w:szCs w:val="32"/>
        </w:rPr>
        <w:tab/>
      </w:r>
      <w:r>
        <w:rPr>
          <w:rFonts w:ascii="仿宋" w:hAnsi="仿宋" w:eastAsia="仿宋"/>
          <w:sz w:val="32"/>
          <w:szCs w:val="32"/>
        </w:rPr>
        <w:t>2</w:t>
      </w:r>
    </w:p>
    <w:p w14:paraId="223676E4">
      <w:pPr>
        <w:pStyle w:val="11"/>
        <w:adjustRightInd w:val="0"/>
        <w:snapToGrid w:val="0"/>
        <w:spacing w:before="0" w:line="440" w:lineRule="exact"/>
        <w:jc w:val="left"/>
        <w:rPr>
          <w:sz w:val="32"/>
          <w:szCs w:val="32"/>
        </w:rPr>
      </w:pPr>
      <w:r>
        <w:rPr>
          <w:rFonts w:hint="eastAsia"/>
          <w:b/>
          <w:sz w:val="32"/>
          <w:szCs w:val="32"/>
        </w:rPr>
        <w:t>第二部分 2022年度部门决算情况说明</w:t>
      </w:r>
      <w:r>
        <w:rPr>
          <w:sz w:val="32"/>
          <w:szCs w:val="32"/>
        </w:rPr>
        <w:tab/>
      </w:r>
      <w:r>
        <w:rPr>
          <w:sz w:val="32"/>
          <w:szCs w:val="32"/>
        </w:rPr>
        <w:t>3</w:t>
      </w:r>
    </w:p>
    <w:p w14:paraId="41170520">
      <w:pPr>
        <w:pStyle w:val="12"/>
        <w:adjustRightInd w:val="0"/>
        <w:snapToGrid w:val="0"/>
        <w:spacing w:line="440" w:lineRule="exact"/>
        <w:jc w:val="left"/>
        <w:rPr>
          <w:rFonts w:ascii="仿宋" w:hAnsi="仿宋" w:eastAsia="仿宋" w:cstheme="minorBidi"/>
          <w:sz w:val="32"/>
          <w:szCs w:val="32"/>
        </w:rPr>
      </w:pPr>
      <w:r>
        <w:rPr>
          <w:rFonts w:hint="eastAsia" w:ascii="仿宋" w:hAnsi="仿宋" w:eastAsia="仿宋"/>
          <w:sz w:val="32"/>
          <w:szCs w:val="32"/>
        </w:rPr>
        <w:t>一、收入支出决算总体情况说明</w:t>
      </w:r>
      <w:r>
        <w:rPr>
          <w:rFonts w:ascii="仿宋" w:hAnsi="仿宋" w:eastAsia="仿宋"/>
          <w:sz w:val="32"/>
          <w:szCs w:val="32"/>
        </w:rPr>
        <w:tab/>
      </w:r>
      <w:r>
        <w:rPr>
          <w:rFonts w:ascii="仿宋" w:hAnsi="仿宋" w:eastAsia="仿宋"/>
          <w:sz w:val="32"/>
          <w:szCs w:val="32"/>
        </w:rPr>
        <w:t>3</w:t>
      </w:r>
    </w:p>
    <w:p w14:paraId="429059C6">
      <w:pPr>
        <w:pStyle w:val="12"/>
        <w:adjustRightInd w:val="0"/>
        <w:snapToGrid w:val="0"/>
        <w:spacing w:line="440" w:lineRule="exact"/>
        <w:jc w:val="left"/>
        <w:rPr>
          <w:rFonts w:ascii="仿宋" w:hAnsi="仿宋" w:eastAsia="仿宋" w:cstheme="minorBidi"/>
          <w:sz w:val="32"/>
          <w:szCs w:val="32"/>
        </w:rPr>
      </w:pPr>
      <w:r>
        <w:rPr>
          <w:rFonts w:hint="eastAsia" w:ascii="仿宋" w:hAnsi="仿宋" w:eastAsia="仿宋"/>
          <w:sz w:val="32"/>
          <w:szCs w:val="32"/>
        </w:rPr>
        <w:t>二、收入决算情况说明</w:t>
      </w:r>
      <w:r>
        <w:rPr>
          <w:rFonts w:ascii="仿宋" w:hAnsi="仿宋" w:eastAsia="仿宋"/>
          <w:sz w:val="32"/>
          <w:szCs w:val="32"/>
        </w:rPr>
        <w:tab/>
      </w:r>
      <w:r>
        <w:rPr>
          <w:rFonts w:ascii="仿宋" w:hAnsi="仿宋" w:eastAsia="仿宋"/>
          <w:sz w:val="32"/>
          <w:szCs w:val="32"/>
        </w:rPr>
        <w:t>4</w:t>
      </w:r>
    </w:p>
    <w:p w14:paraId="3BC71BFC">
      <w:pPr>
        <w:pStyle w:val="12"/>
        <w:adjustRightInd w:val="0"/>
        <w:snapToGrid w:val="0"/>
        <w:spacing w:line="440" w:lineRule="exact"/>
        <w:jc w:val="left"/>
        <w:rPr>
          <w:rFonts w:ascii="仿宋" w:hAnsi="仿宋" w:eastAsia="仿宋" w:cstheme="minorBidi"/>
          <w:sz w:val="32"/>
          <w:szCs w:val="32"/>
        </w:rPr>
      </w:pPr>
      <w:r>
        <w:rPr>
          <w:rFonts w:hint="eastAsia" w:ascii="仿宋" w:hAnsi="仿宋" w:eastAsia="仿宋"/>
          <w:sz w:val="32"/>
          <w:szCs w:val="32"/>
        </w:rPr>
        <w:t>三、支出决算情况说明</w:t>
      </w:r>
      <w:r>
        <w:rPr>
          <w:rFonts w:ascii="仿宋" w:hAnsi="仿宋" w:eastAsia="仿宋"/>
          <w:sz w:val="32"/>
          <w:szCs w:val="32"/>
        </w:rPr>
        <w:tab/>
      </w:r>
      <w:r>
        <w:rPr>
          <w:rFonts w:ascii="仿宋" w:hAnsi="仿宋" w:eastAsia="仿宋"/>
          <w:sz w:val="32"/>
          <w:szCs w:val="32"/>
        </w:rPr>
        <w:t>5</w:t>
      </w:r>
    </w:p>
    <w:p w14:paraId="1E44E634">
      <w:pPr>
        <w:pStyle w:val="12"/>
        <w:adjustRightInd w:val="0"/>
        <w:snapToGrid w:val="0"/>
        <w:spacing w:line="440" w:lineRule="exact"/>
        <w:jc w:val="left"/>
        <w:rPr>
          <w:rFonts w:ascii="仿宋" w:hAnsi="仿宋" w:eastAsia="仿宋" w:cstheme="minorBidi"/>
          <w:sz w:val="32"/>
          <w:szCs w:val="32"/>
        </w:rPr>
      </w:pPr>
      <w:r>
        <w:rPr>
          <w:rFonts w:hint="eastAsia" w:ascii="仿宋" w:hAnsi="仿宋" w:eastAsia="仿宋"/>
          <w:sz w:val="32"/>
          <w:szCs w:val="32"/>
        </w:rPr>
        <w:t>四、财政拨款收入支出决算总体情况说明</w:t>
      </w:r>
      <w:r>
        <w:rPr>
          <w:rFonts w:ascii="仿宋" w:hAnsi="仿宋" w:eastAsia="仿宋"/>
          <w:sz w:val="32"/>
          <w:szCs w:val="32"/>
        </w:rPr>
        <w:tab/>
      </w:r>
      <w:r>
        <w:rPr>
          <w:rFonts w:ascii="仿宋" w:hAnsi="仿宋" w:eastAsia="仿宋"/>
          <w:sz w:val="32"/>
          <w:szCs w:val="32"/>
        </w:rPr>
        <w:t>6</w:t>
      </w:r>
    </w:p>
    <w:p w14:paraId="08C4E890">
      <w:pPr>
        <w:pStyle w:val="12"/>
        <w:adjustRightInd w:val="0"/>
        <w:snapToGrid w:val="0"/>
        <w:spacing w:line="440" w:lineRule="exact"/>
        <w:jc w:val="left"/>
        <w:rPr>
          <w:rFonts w:ascii="仿宋" w:hAnsi="仿宋" w:eastAsia="仿宋" w:cstheme="minorBidi"/>
          <w:sz w:val="32"/>
          <w:szCs w:val="32"/>
        </w:rPr>
      </w:pPr>
      <w:r>
        <w:rPr>
          <w:rFonts w:hint="eastAsia" w:ascii="仿宋" w:hAnsi="仿宋" w:eastAsia="仿宋"/>
          <w:sz w:val="32"/>
          <w:szCs w:val="32"/>
        </w:rPr>
        <w:t>五、一般公共预算财政拨款支出决算情况说明</w:t>
      </w:r>
      <w:r>
        <w:rPr>
          <w:rFonts w:ascii="仿宋" w:hAnsi="仿宋" w:eastAsia="仿宋"/>
          <w:sz w:val="32"/>
          <w:szCs w:val="32"/>
        </w:rPr>
        <w:tab/>
      </w:r>
      <w:r>
        <w:rPr>
          <w:rFonts w:ascii="仿宋" w:hAnsi="仿宋" w:eastAsia="仿宋"/>
          <w:sz w:val="32"/>
          <w:szCs w:val="32"/>
        </w:rPr>
        <w:t>6</w:t>
      </w:r>
    </w:p>
    <w:p w14:paraId="67DA31BF">
      <w:pPr>
        <w:pStyle w:val="12"/>
        <w:adjustRightInd w:val="0"/>
        <w:snapToGrid w:val="0"/>
        <w:spacing w:line="440" w:lineRule="exact"/>
        <w:jc w:val="left"/>
        <w:rPr>
          <w:rFonts w:ascii="仿宋" w:hAnsi="仿宋" w:eastAsia="仿宋" w:cstheme="minorBidi"/>
          <w:sz w:val="32"/>
          <w:szCs w:val="32"/>
        </w:rPr>
      </w:pPr>
      <w:r>
        <w:rPr>
          <w:rFonts w:hint="eastAsia" w:ascii="仿宋" w:hAnsi="仿宋" w:eastAsia="仿宋"/>
          <w:sz w:val="32"/>
          <w:szCs w:val="32"/>
        </w:rPr>
        <w:t>六、一般公共预算财政拨款基本支出决算情况说明</w:t>
      </w:r>
      <w:r>
        <w:rPr>
          <w:rFonts w:ascii="仿宋" w:hAnsi="仿宋" w:eastAsia="仿宋"/>
          <w:sz w:val="32"/>
          <w:szCs w:val="32"/>
        </w:rPr>
        <w:tab/>
      </w:r>
      <w:r>
        <w:rPr>
          <w:rFonts w:ascii="仿宋" w:hAnsi="仿宋" w:eastAsia="仿宋"/>
          <w:sz w:val="32"/>
          <w:szCs w:val="32"/>
        </w:rPr>
        <w:t>11</w:t>
      </w:r>
    </w:p>
    <w:p w14:paraId="704A6597">
      <w:pPr>
        <w:pStyle w:val="12"/>
        <w:adjustRightInd w:val="0"/>
        <w:snapToGrid w:val="0"/>
        <w:spacing w:line="440" w:lineRule="exact"/>
        <w:jc w:val="left"/>
        <w:rPr>
          <w:rFonts w:ascii="仿宋" w:hAnsi="仿宋" w:eastAsia="仿宋" w:cstheme="minorBidi"/>
          <w:sz w:val="32"/>
          <w:szCs w:val="32"/>
        </w:rPr>
      </w:pPr>
      <w:r>
        <w:rPr>
          <w:rFonts w:hint="eastAsia" w:ascii="仿宋" w:hAnsi="仿宋" w:eastAsia="仿宋"/>
          <w:sz w:val="32"/>
          <w:szCs w:val="32"/>
        </w:rPr>
        <w:t>七、财政拨款“三公”经费支出决算情况说明</w:t>
      </w:r>
      <w:r>
        <w:rPr>
          <w:rFonts w:ascii="仿宋" w:hAnsi="仿宋" w:eastAsia="仿宋"/>
          <w:sz w:val="32"/>
          <w:szCs w:val="32"/>
        </w:rPr>
        <w:tab/>
      </w:r>
      <w:r>
        <w:rPr>
          <w:rFonts w:ascii="仿宋" w:hAnsi="仿宋" w:eastAsia="仿宋"/>
          <w:sz w:val="32"/>
          <w:szCs w:val="32"/>
        </w:rPr>
        <w:t>12</w:t>
      </w:r>
    </w:p>
    <w:p w14:paraId="24452BCB">
      <w:pPr>
        <w:pStyle w:val="12"/>
        <w:adjustRightInd w:val="0"/>
        <w:snapToGrid w:val="0"/>
        <w:spacing w:line="440" w:lineRule="exact"/>
        <w:jc w:val="left"/>
        <w:rPr>
          <w:rFonts w:ascii="仿宋" w:hAnsi="仿宋" w:eastAsia="仿宋" w:cstheme="minorBidi"/>
          <w:sz w:val="32"/>
          <w:szCs w:val="32"/>
        </w:rPr>
      </w:pPr>
      <w:r>
        <w:rPr>
          <w:rFonts w:hint="eastAsia" w:ascii="仿宋" w:hAnsi="仿宋" w:eastAsia="仿宋"/>
          <w:sz w:val="32"/>
          <w:szCs w:val="32"/>
        </w:rPr>
        <w:t>八、政府性基金预算支出决算情况说明</w:t>
      </w:r>
      <w:r>
        <w:rPr>
          <w:rFonts w:ascii="仿宋" w:hAnsi="仿宋" w:eastAsia="仿宋"/>
          <w:sz w:val="32"/>
          <w:szCs w:val="32"/>
        </w:rPr>
        <w:tab/>
      </w:r>
      <w:r>
        <w:rPr>
          <w:rFonts w:ascii="仿宋" w:hAnsi="仿宋" w:eastAsia="仿宋"/>
          <w:sz w:val="32"/>
          <w:szCs w:val="32"/>
        </w:rPr>
        <w:t>14</w:t>
      </w:r>
    </w:p>
    <w:p w14:paraId="58586082">
      <w:pPr>
        <w:pStyle w:val="12"/>
        <w:adjustRightInd w:val="0"/>
        <w:snapToGrid w:val="0"/>
        <w:spacing w:line="440" w:lineRule="exact"/>
        <w:ind w:leftChars="0"/>
        <w:jc w:val="left"/>
        <w:rPr>
          <w:rFonts w:ascii="仿宋" w:hAnsi="仿宋" w:eastAsia="仿宋" w:cstheme="minorEastAsia"/>
          <w:sz w:val="32"/>
          <w:szCs w:val="32"/>
        </w:rPr>
      </w:pPr>
      <w:r>
        <w:rPr>
          <w:rFonts w:hint="eastAsia" w:ascii="仿宋" w:hAnsi="仿宋" w:eastAsia="仿宋" w:cstheme="minorEastAsia"/>
          <w:sz w:val="32"/>
          <w:szCs w:val="32"/>
        </w:rPr>
        <w:t>九、国有资本经营预算支出决算情况说明</w:t>
      </w:r>
      <w:r>
        <w:rPr>
          <w:rFonts w:ascii="仿宋" w:hAnsi="仿宋" w:eastAsia="仿宋" w:cstheme="minorEastAsia"/>
          <w:sz w:val="32"/>
          <w:szCs w:val="32"/>
        </w:rPr>
        <w:tab/>
      </w:r>
      <w:r>
        <w:rPr>
          <w:rFonts w:ascii="仿宋" w:hAnsi="仿宋" w:eastAsia="仿宋" w:cstheme="minorEastAsia"/>
          <w:sz w:val="32"/>
          <w:szCs w:val="32"/>
        </w:rPr>
        <w:t>15</w:t>
      </w:r>
    </w:p>
    <w:p w14:paraId="31BD8E10">
      <w:pPr>
        <w:pStyle w:val="12"/>
        <w:adjustRightInd w:val="0"/>
        <w:snapToGrid w:val="0"/>
        <w:spacing w:line="440" w:lineRule="exact"/>
        <w:ind w:leftChars="0"/>
        <w:jc w:val="left"/>
        <w:rPr>
          <w:rFonts w:ascii="仿宋" w:hAnsi="仿宋" w:eastAsia="仿宋" w:cstheme="minorEastAsia"/>
          <w:sz w:val="32"/>
          <w:szCs w:val="32"/>
        </w:rPr>
      </w:pPr>
      <w:r>
        <w:rPr>
          <w:rFonts w:hint="eastAsia"/>
        </w:rPr>
        <w:t>十、</w:t>
      </w:r>
      <w:r>
        <w:rPr>
          <w:rFonts w:hint="eastAsia" w:ascii="仿宋" w:hAnsi="仿宋" w:eastAsia="仿宋" w:cstheme="minorEastAsia"/>
          <w:sz w:val="32"/>
          <w:szCs w:val="32"/>
        </w:rPr>
        <w:t>其他重要事项的情况说明</w:t>
      </w:r>
      <w:r>
        <w:rPr>
          <w:rFonts w:hint="eastAsia" w:ascii="仿宋" w:hAnsi="仿宋" w:eastAsia="仿宋" w:cstheme="minorEastAsia"/>
          <w:sz w:val="32"/>
          <w:szCs w:val="32"/>
        </w:rPr>
        <w:tab/>
      </w:r>
      <w:r>
        <w:rPr>
          <w:rFonts w:ascii="仿宋" w:hAnsi="仿宋" w:eastAsia="仿宋" w:cstheme="minorEastAsia"/>
          <w:sz w:val="32"/>
          <w:szCs w:val="32"/>
        </w:rPr>
        <w:t>15</w:t>
      </w:r>
    </w:p>
    <w:p w14:paraId="40797F1F">
      <w:pPr>
        <w:pStyle w:val="11"/>
        <w:adjustRightInd w:val="0"/>
        <w:snapToGrid w:val="0"/>
        <w:spacing w:before="0" w:line="440" w:lineRule="exact"/>
        <w:jc w:val="left"/>
        <w:rPr>
          <w:rFonts w:cstheme="minorBidi"/>
          <w:sz w:val="32"/>
          <w:szCs w:val="32"/>
        </w:rPr>
      </w:pPr>
      <w:r>
        <w:rPr>
          <w:rFonts w:hint="eastAsia"/>
          <w:b/>
          <w:sz w:val="32"/>
          <w:szCs w:val="32"/>
        </w:rPr>
        <w:t>第三部分</w:t>
      </w:r>
      <w:r>
        <w:rPr>
          <w:b/>
          <w:sz w:val="32"/>
          <w:szCs w:val="32"/>
        </w:rPr>
        <w:t xml:space="preserve"> </w:t>
      </w:r>
      <w:r>
        <w:rPr>
          <w:rFonts w:hint="eastAsia"/>
          <w:b/>
          <w:sz w:val="32"/>
          <w:szCs w:val="32"/>
        </w:rPr>
        <w:t>名词解释</w:t>
      </w:r>
      <w:r>
        <w:rPr>
          <w:sz w:val="32"/>
          <w:szCs w:val="32"/>
        </w:rPr>
        <w:tab/>
      </w:r>
      <w:r>
        <w:rPr>
          <w:sz w:val="32"/>
          <w:szCs w:val="32"/>
        </w:rPr>
        <w:t>17</w:t>
      </w:r>
    </w:p>
    <w:p w14:paraId="58D7ACBC">
      <w:pPr>
        <w:pStyle w:val="11"/>
        <w:adjustRightInd w:val="0"/>
        <w:snapToGrid w:val="0"/>
        <w:spacing w:before="0" w:line="440" w:lineRule="exact"/>
        <w:jc w:val="left"/>
        <w:rPr>
          <w:rFonts w:cstheme="minorBidi"/>
          <w:sz w:val="32"/>
          <w:szCs w:val="32"/>
        </w:rPr>
      </w:pPr>
      <w:r>
        <w:rPr>
          <w:rFonts w:hint="eastAsia"/>
          <w:b/>
          <w:sz w:val="32"/>
          <w:szCs w:val="32"/>
        </w:rPr>
        <w:t>第四部分</w:t>
      </w:r>
      <w:r>
        <w:rPr>
          <w:b/>
          <w:sz w:val="32"/>
          <w:szCs w:val="32"/>
        </w:rPr>
        <w:t xml:space="preserve"> </w:t>
      </w:r>
      <w:r>
        <w:rPr>
          <w:rFonts w:hint="eastAsia"/>
          <w:b/>
          <w:sz w:val="32"/>
          <w:szCs w:val="32"/>
        </w:rPr>
        <w:t>附件</w:t>
      </w:r>
      <w:r>
        <w:rPr>
          <w:sz w:val="32"/>
          <w:szCs w:val="32"/>
        </w:rPr>
        <w:tab/>
      </w:r>
      <w:r>
        <w:rPr>
          <w:sz w:val="32"/>
          <w:szCs w:val="32"/>
        </w:rPr>
        <w:t>22</w:t>
      </w:r>
    </w:p>
    <w:p w14:paraId="5B659E17">
      <w:pPr>
        <w:pStyle w:val="11"/>
        <w:adjustRightInd w:val="0"/>
        <w:snapToGrid w:val="0"/>
        <w:spacing w:before="0" w:line="440" w:lineRule="exact"/>
        <w:jc w:val="left"/>
        <w:rPr>
          <w:rFonts w:cstheme="minorBidi"/>
          <w:sz w:val="32"/>
          <w:szCs w:val="32"/>
        </w:rPr>
      </w:pPr>
      <w:r>
        <w:rPr>
          <w:rFonts w:hint="eastAsia"/>
          <w:b/>
          <w:sz w:val="32"/>
          <w:szCs w:val="32"/>
        </w:rPr>
        <w:t>第五部分</w:t>
      </w:r>
      <w:r>
        <w:rPr>
          <w:b/>
          <w:sz w:val="32"/>
          <w:szCs w:val="32"/>
        </w:rPr>
        <w:t xml:space="preserve"> </w:t>
      </w:r>
      <w:r>
        <w:rPr>
          <w:rFonts w:hint="eastAsia"/>
          <w:b/>
          <w:sz w:val="32"/>
          <w:szCs w:val="32"/>
        </w:rPr>
        <w:t>附表</w:t>
      </w:r>
      <w:r>
        <w:rPr>
          <w:sz w:val="32"/>
          <w:szCs w:val="32"/>
        </w:rPr>
        <w:tab/>
      </w:r>
      <w:r>
        <w:rPr>
          <w:sz w:val="32"/>
          <w:szCs w:val="32"/>
        </w:rPr>
        <w:t>53</w:t>
      </w:r>
    </w:p>
    <w:p w14:paraId="2D7F95EB">
      <w:pPr>
        <w:pStyle w:val="12"/>
        <w:adjustRightInd w:val="0"/>
        <w:snapToGrid w:val="0"/>
        <w:spacing w:line="440" w:lineRule="exact"/>
        <w:jc w:val="left"/>
        <w:rPr>
          <w:rFonts w:ascii="仿宋" w:hAnsi="仿宋" w:eastAsia="仿宋"/>
          <w:sz w:val="32"/>
          <w:szCs w:val="32"/>
        </w:rPr>
      </w:pPr>
      <w:r>
        <w:rPr>
          <w:rFonts w:hint="eastAsia" w:ascii="仿宋" w:hAnsi="仿宋" w:eastAsia="仿宋"/>
          <w:sz w:val="32"/>
          <w:szCs w:val="32"/>
        </w:rPr>
        <w:t>一、收入支出决算总表</w:t>
      </w:r>
    </w:p>
    <w:p w14:paraId="21ACAD21">
      <w:pPr>
        <w:pStyle w:val="12"/>
        <w:adjustRightInd w:val="0"/>
        <w:snapToGrid w:val="0"/>
        <w:spacing w:line="440" w:lineRule="exact"/>
        <w:jc w:val="left"/>
        <w:rPr>
          <w:rFonts w:ascii="仿宋" w:hAnsi="仿宋" w:eastAsia="仿宋"/>
          <w:sz w:val="32"/>
          <w:szCs w:val="32"/>
        </w:rPr>
      </w:pPr>
      <w:r>
        <w:rPr>
          <w:rFonts w:hint="eastAsia" w:ascii="仿宋" w:hAnsi="仿宋" w:eastAsia="仿宋"/>
          <w:sz w:val="32"/>
          <w:szCs w:val="32"/>
        </w:rPr>
        <w:t>二、收入决算表</w:t>
      </w:r>
    </w:p>
    <w:p w14:paraId="52CF3A73">
      <w:pPr>
        <w:pStyle w:val="12"/>
        <w:adjustRightInd w:val="0"/>
        <w:snapToGrid w:val="0"/>
        <w:spacing w:line="440" w:lineRule="exact"/>
        <w:jc w:val="left"/>
        <w:rPr>
          <w:rFonts w:ascii="仿宋" w:hAnsi="仿宋" w:eastAsia="仿宋"/>
          <w:sz w:val="32"/>
          <w:szCs w:val="32"/>
        </w:rPr>
      </w:pPr>
      <w:r>
        <w:rPr>
          <w:rFonts w:hint="eastAsia" w:ascii="仿宋" w:hAnsi="仿宋" w:eastAsia="仿宋"/>
          <w:sz w:val="32"/>
          <w:szCs w:val="32"/>
        </w:rPr>
        <w:t>三、支出决算表</w:t>
      </w:r>
    </w:p>
    <w:p w14:paraId="2DD6C649">
      <w:pPr>
        <w:pStyle w:val="12"/>
        <w:adjustRightInd w:val="0"/>
        <w:snapToGrid w:val="0"/>
        <w:spacing w:line="440" w:lineRule="exact"/>
        <w:jc w:val="left"/>
        <w:rPr>
          <w:rFonts w:ascii="仿宋" w:hAnsi="仿宋" w:eastAsia="仿宋"/>
          <w:sz w:val="32"/>
          <w:szCs w:val="32"/>
        </w:rPr>
      </w:pPr>
      <w:r>
        <w:rPr>
          <w:rFonts w:hint="eastAsia" w:ascii="仿宋" w:hAnsi="仿宋" w:eastAsia="仿宋"/>
          <w:sz w:val="32"/>
          <w:szCs w:val="32"/>
        </w:rPr>
        <w:t>四、财政拨款收入支出决算总表</w:t>
      </w:r>
    </w:p>
    <w:p w14:paraId="72FE8BAB">
      <w:pPr>
        <w:pStyle w:val="12"/>
        <w:adjustRightInd w:val="0"/>
        <w:snapToGrid w:val="0"/>
        <w:spacing w:line="440" w:lineRule="exact"/>
        <w:jc w:val="left"/>
        <w:rPr>
          <w:rFonts w:ascii="仿宋" w:hAnsi="仿宋" w:eastAsia="仿宋"/>
          <w:sz w:val="32"/>
          <w:szCs w:val="32"/>
        </w:rPr>
      </w:pPr>
      <w:r>
        <w:rPr>
          <w:rFonts w:hint="eastAsia" w:ascii="仿宋" w:hAnsi="仿宋" w:eastAsia="仿宋"/>
          <w:sz w:val="32"/>
          <w:szCs w:val="32"/>
        </w:rPr>
        <w:t>五、财政拨款支出决算明细表</w:t>
      </w:r>
    </w:p>
    <w:p w14:paraId="2E3253B4">
      <w:pPr>
        <w:pStyle w:val="12"/>
        <w:adjustRightInd w:val="0"/>
        <w:snapToGrid w:val="0"/>
        <w:spacing w:line="440" w:lineRule="exact"/>
        <w:jc w:val="left"/>
        <w:rPr>
          <w:rFonts w:ascii="仿宋" w:hAnsi="仿宋" w:eastAsia="仿宋"/>
          <w:sz w:val="32"/>
          <w:szCs w:val="32"/>
        </w:rPr>
      </w:pPr>
      <w:r>
        <w:rPr>
          <w:rFonts w:hint="eastAsia" w:ascii="仿宋" w:hAnsi="仿宋" w:eastAsia="仿宋"/>
          <w:sz w:val="32"/>
          <w:szCs w:val="32"/>
        </w:rPr>
        <w:t>六、一般公共预算财政拨款支出决算表</w:t>
      </w:r>
    </w:p>
    <w:p w14:paraId="07BA1375">
      <w:pPr>
        <w:pStyle w:val="12"/>
        <w:adjustRightInd w:val="0"/>
        <w:snapToGrid w:val="0"/>
        <w:spacing w:line="440" w:lineRule="exact"/>
        <w:jc w:val="left"/>
        <w:rPr>
          <w:rFonts w:ascii="仿宋" w:hAnsi="仿宋" w:eastAsia="仿宋"/>
          <w:sz w:val="32"/>
          <w:szCs w:val="32"/>
        </w:rPr>
      </w:pPr>
      <w:r>
        <w:rPr>
          <w:rFonts w:hint="eastAsia" w:ascii="仿宋" w:hAnsi="仿宋" w:eastAsia="仿宋"/>
          <w:sz w:val="32"/>
          <w:szCs w:val="32"/>
        </w:rPr>
        <w:t>七、一般公共预算财政拨款支出决算明细表</w:t>
      </w:r>
    </w:p>
    <w:p w14:paraId="1D34CDC8">
      <w:pPr>
        <w:pStyle w:val="12"/>
        <w:adjustRightInd w:val="0"/>
        <w:snapToGrid w:val="0"/>
        <w:spacing w:line="440" w:lineRule="exact"/>
        <w:jc w:val="left"/>
        <w:rPr>
          <w:rFonts w:ascii="仿宋" w:hAnsi="仿宋" w:eastAsia="仿宋"/>
          <w:sz w:val="32"/>
          <w:szCs w:val="32"/>
        </w:rPr>
      </w:pPr>
      <w:r>
        <w:rPr>
          <w:rFonts w:hint="eastAsia" w:ascii="仿宋" w:hAnsi="仿宋" w:eastAsia="仿宋"/>
          <w:sz w:val="32"/>
          <w:szCs w:val="32"/>
        </w:rPr>
        <w:t>八、一般公共预算财政拨款基本支出决算明细表</w:t>
      </w:r>
    </w:p>
    <w:p w14:paraId="0B12CBD3">
      <w:pPr>
        <w:pStyle w:val="12"/>
        <w:adjustRightInd w:val="0"/>
        <w:snapToGrid w:val="0"/>
        <w:spacing w:line="440" w:lineRule="exact"/>
        <w:jc w:val="left"/>
        <w:rPr>
          <w:rFonts w:ascii="仿宋" w:hAnsi="仿宋" w:eastAsia="仿宋"/>
          <w:sz w:val="32"/>
          <w:szCs w:val="32"/>
        </w:rPr>
      </w:pPr>
      <w:r>
        <w:rPr>
          <w:rFonts w:hint="eastAsia" w:ascii="仿宋" w:hAnsi="仿宋" w:eastAsia="仿宋"/>
          <w:sz w:val="32"/>
          <w:szCs w:val="32"/>
        </w:rPr>
        <w:t>九、一般公共预算财政拨款项目支出决算表</w:t>
      </w:r>
    </w:p>
    <w:p w14:paraId="14A9F229">
      <w:pPr>
        <w:pStyle w:val="12"/>
        <w:adjustRightInd w:val="0"/>
        <w:snapToGrid w:val="0"/>
        <w:spacing w:line="440" w:lineRule="exact"/>
        <w:jc w:val="left"/>
        <w:rPr>
          <w:rFonts w:ascii="仿宋" w:hAnsi="仿宋" w:eastAsia="仿宋"/>
          <w:sz w:val="32"/>
          <w:szCs w:val="32"/>
        </w:rPr>
      </w:pPr>
      <w:r>
        <w:rPr>
          <w:rFonts w:hint="eastAsia" w:ascii="仿宋" w:hAnsi="仿宋" w:eastAsia="仿宋"/>
          <w:sz w:val="32"/>
          <w:szCs w:val="32"/>
        </w:rPr>
        <w:t>十、政府性基金预算财政拨款收入支出决算表</w:t>
      </w:r>
    </w:p>
    <w:p w14:paraId="4EEAE063">
      <w:pPr>
        <w:pStyle w:val="12"/>
        <w:adjustRightInd w:val="0"/>
        <w:snapToGrid w:val="0"/>
        <w:spacing w:line="440" w:lineRule="exact"/>
        <w:jc w:val="left"/>
        <w:rPr>
          <w:rFonts w:ascii="仿宋" w:hAnsi="仿宋" w:eastAsia="仿宋"/>
          <w:sz w:val="32"/>
          <w:szCs w:val="32"/>
        </w:rPr>
      </w:pPr>
      <w:r>
        <w:rPr>
          <w:rFonts w:hint="eastAsia" w:ascii="仿宋" w:hAnsi="仿宋" w:eastAsia="仿宋"/>
          <w:sz w:val="32"/>
          <w:szCs w:val="32"/>
        </w:rPr>
        <w:t>十一、国有资本经营预算财政拨款收入支出决算表</w:t>
      </w:r>
    </w:p>
    <w:p w14:paraId="6026B0F7">
      <w:pPr>
        <w:pStyle w:val="12"/>
        <w:adjustRightInd w:val="0"/>
        <w:snapToGrid w:val="0"/>
        <w:spacing w:line="440" w:lineRule="exact"/>
        <w:jc w:val="left"/>
        <w:rPr>
          <w:rFonts w:ascii="仿宋" w:hAnsi="仿宋" w:eastAsia="仿宋"/>
          <w:sz w:val="32"/>
          <w:szCs w:val="32"/>
        </w:rPr>
      </w:pPr>
      <w:r>
        <w:rPr>
          <w:rFonts w:hint="eastAsia" w:ascii="仿宋" w:hAnsi="仿宋" w:eastAsia="仿宋"/>
          <w:sz w:val="32"/>
          <w:szCs w:val="32"/>
        </w:rPr>
        <w:t>十二、国有资本经营预算财政拨款支出决算表</w:t>
      </w:r>
    </w:p>
    <w:p w14:paraId="0AD141F4">
      <w:pPr>
        <w:pStyle w:val="12"/>
        <w:adjustRightInd w:val="0"/>
        <w:snapToGrid w:val="0"/>
        <w:spacing w:line="440" w:lineRule="exact"/>
        <w:jc w:val="left"/>
        <w:rPr>
          <w:rFonts w:ascii="仿宋" w:hAnsi="仿宋" w:eastAsia="仿宋"/>
          <w:sz w:val="32"/>
          <w:szCs w:val="32"/>
        </w:rPr>
        <w:sectPr>
          <w:headerReference r:id="rId3" w:type="default"/>
          <w:pgSz w:w="11906" w:h="16838"/>
          <w:pgMar w:top="1440" w:right="1800" w:bottom="1440" w:left="1800" w:header="851" w:footer="992" w:gutter="0"/>
          <w:pgNumType w:start="1"/>
          <w:cols w:space="425" w:num="1"/>
          <w:titlePg/>
          <w:docGrid w:type="lines" w:linePitch="312" w:charSpace="0"/>
        </w:sectPr>
      </w:pPr>
      <w:bookmarkStart w:id="12" w:name="_Toc15377196"/>
      <w:bookmarkStart w:id="13" w:name="_Toc15396599"/>
      <w:r>
        <w:rPr>
          <w:rFonts w:hint="eastAsia" w:ascii="仿宋" w:hAnsi="仿宋" w:eastAsia="仿宋"/>
          <w:sz w:val="32"/>
          <w:szCs w:val="32"/>
        </w:rPr>
        <w:t>十三、财政拨款“三公”经费支出决算</w:t>
      </w:r>
    </w:p>
    <w:p w14:paraId="3396DDE5">
      <w:pPr>
        <w:pStyle w:val="2"/>
        <w:spacing w:before="93"/>
        <w:rPr>
          <w:rFonts w:hint="eastAsia"/>
        </w:rPr>
      </w:pPr>
    </w:p>
    <w:p w14:paraId="12974637">
      <w:pPr>
        <w:pStyle w:val="3"/>
        <w:jc w:val="center"/>
        <w:rPr>
          <w:rFonts w:ascii="黑体" w:hAnsi="黑体" w:eastAsia="黑体"/>
          <w:bCs w:val="0"/>
        </w:rPr>
      </w:pPr>
      <w:r>
        <w:rPr>
          <w:rFonts w:hint="eastAsia" w:ascii="黑体" w:hAnsi="黑体" w:eastAsia="黑体"/>
          <w:b w:val="0"/>
        </w:rPr>
        <w:t xml:space="preserve">第一部分 </w:t>
      </w:r>
      <w:r>
        <w:rPr>
          <w:rStyle w:val="27"/>
          <w:rFonts w:hint="eastAsia" w:ascii="黑体" w:hAnsi="黑体" w:eastAsia="黑体"/>
          <w:b w:val="0"/>
          <w:bCs w:val="0"/>
        </w:rPr>
        <w:t>部门概况</w:t>
      </w:r>
      <w:bookmarkEnd w:id="12"/>
      <w:bookmarkEnd w:id="13"/>
    </w:p>
    <w:p w14:paraId="1E2E2FB0">
      <w:pPr>
        <w:pStyle w:val="4"/>
        <w:numPr>
          <w:ilvl w:val="0"/>
          <w:numId w:val="1"/>
        </w:numPr>
        <w:rPr>
          <w:rFonts w:ascii="黑体" w:hAnsi="黑体" w:eastAsia="黑体"/>
          <w:b w:val="0"/>
        </w:rPr>
      </w:pPr>
      <w:r>
        <w:rPr>
          <w:rFonts w:hint="eastAsia" w:ascii="黑体" w:hAnsi="黑体" w:eastAsia="黑体"/>
          <w:b w:val="0"/>
        </w:rPr>
        <w:t>部门职责</w:t>
      </w:r>
    </w:p>
    <w:p w14:paraId="6FC308F3">
      <w:pPr>
        <w:pStyle w:val="26"/>
        <w:snapToGrid w:val="0"/>
        <w:spacing w:line="520" w:lineRule="exact"/>
        <w:ind w:left="629" w:firstLine="640"/>
        <w:rPr>
          <w:rFonts w:ascii="仿宋" w:hAnsi="仿宋" w:eastAsia="仿宋" w:cs="宋体"/>
          <w:color w:val="FF0000"/>
          <w:kern w:val="0"/>
          <w:sz w:val="32"/>
          <w:szCs w:val="32"/>
          <w:lang w:val="zh-CN"/>
        </w:rPr>
      </w:pPr>
      <w:r>
        <w:rPr>
          <w:rFonts w:hint="eastAsia" w:ascii="仿宋" w:hAnsi="仿宋" w:eastAsia="仿宋" w:cs="宋体"/>
          <w:kern w:val="0"/>
          <w:sz w:val="32"/>
          <w:szCs w:val="32"/>
        </w:rPr>
        <w:t>依法行使综合监督管理职责，指导协调、监督检查各</w:t>
      </w:r>
      <w:r>
        <w:rPr>
          <w:rFonts w:hint="eastAsia" w:ascii="仿宋" w:hAnsi="仿宋" w:eastAsia="仿宋" w:cs="宋体"/>
          <w:kern w:val="0"/>
          <w:sz w:val="32"/>
          <w:szCs w:val="32"/>
          <w:lang w:eastAsia="zh-CN"/>
        </w:rPr>
        <w:t>乡镇</w:t>
      </w:r>
      <w:r>
        <w:rPr>
          <w:rFonts w:hint="eastAsia" w:ascii="仿宋" w:hAnsi="仿宋" w:eastAsia="仿宋" w:cs="宋体"/>
          <w:kern w:val="0"/>
          <w:sz w:val="32"/>
          <w:szCs w:val="32"/>
        </w:rPr>
        <w:t>人民政府和市级有关部门安全生产工作，协调解决安全生产重大问题，监督考核并通报安全生产控制指标执行情况，监督事故查处和责任追究落实情况；承担煤矿、非煤矿山、危险化学品和烟花爆竹行业安全生产监管和煤炭行业管理职责；开展应急管理和安全方面的交流与合作，组织参与安全生产类、自然灾害类等突发事件的跨区域救援工作；制定</w:t>
      </w:r>
      <w:r>
        <w:rPr>
          <w:rFonts w:hint="eastAsia" w:ascii="仿宋" w:hAnsi="仿宋" w:eastAsia="仿宋" w:cs="宋体"/>
          <w:kern w:val="0"/>
          <w:sz w:val="32"/>
          <w:szCs w:val="32"/>
          <w:lang w:eastAsia="zh-CN"/>
        </w:rPr>
        <w:t>应急物资</w:t>
      </w:r>
      <w:r>
        <w:rPr>
          <w:rFonts w:hint="eastAsia" w:ascii="仿宋" w:hAnsi="仿宋" w:eastAsia="仿宋" w:cs="宋体"/>
          <w:kern w:val="0"/>
          <w:sz w:val="32"/>
          <w:szCs w:val="32"/>
        </w:rPr>
        <w:t>储备和应急救援装备规划并组织实施，会同有关部门建立健全</w:t>
      </w:r>
      <w:r>
        <w:rPr>
          <w:rFonts w:hint="eastAsia" w:ascii="仿宋" w:hAnsi="仿宋" w:eastAsia="仿宋" w:cs="宋体"/>
          <w:kern w:val="0"/>
          <w:sz w:val="32"/>
          <w:szCs w:val="32"/>
          <w:lang w:eastAsia="zh-CN"/>
        </w:rPr>
        <w:t>应急物资</w:t>
      </w:r>
      <w:r>
        <w:rPr>
          <w:rFonts w:hint="eastAsia" w:ascii="仿宋" w:hAnsi="仿宋" w:eastAsia="仿宋" w:cs="宋体"/>
          <w:kern w:val="0"/>
          <w:sz w:val="32"/>
          <w:szCs w:val="32"/>
        </w:rPr>
        <w:t>信息平台和调拨制度，在救灾时统一调度；负责应急管理、安全生产宣传教育和培训共同工作，组织和指导应急管理、安全生产的科学技术研究、推广应用和信息化建设工作；</w:t>
      </w:r>
      <w:r>
        <w:rPr>
          <w:rFonts w:hint="eastAsia" w:ascii="仿宋" w:hAnsi="仿宋" w:eastAsia="仿宋"/>
          <w:sz w:val="32"/>
        </w:rPr>
        <w:t>贯彻国务院、四川省和乐山市有关防震减灾工作的方针、政策和法规；制定本行政区域内防震减灾事业中、长期发展规划，编制防震减灾工作年度计划并组织实施；会同有关部门制定地震应急预案，负责本行政区域内的震情通报和地震灾害速报，配合上级部门进行震后趋势判断和地震灾害损失评估，参与制定地震灾区的重建规划；按照有关规定监督、管理本行政区域内工程建设项目的抗震设防标准和工程建设场地地震安全性评价工作；会同有关部门开展防震减灾宣传教育工作，普及防震减灾知识，</w:t>
      </w:r>
      <w:r>
        <w:rPr>
          <w:rFonts w:hint="eastAsia" w:ascii="仿宋" w:hAnsi="仿宋" w:eastAsia="仿宋"/>
          <w:sz w:val="32"/>
          <w:lang w:eastAsia="zh-CN"/>
        </w:rPr>
        <w:t>增强</w:t>
      </w:r>
      <w:r>
        <w:rPr>
          <w:rFonts w:hint="eastAsia" w:ascii="仿宋" w:hAnsi="仿宋" w:eastAsia="仿宋"/>
          <w:sz w:val="32"/>
        </w:rPr>
        <w:t>全社会的防震减灾意识；并按照有关规定审核防震减灾宣传报道；承担市人民政府防震减灾工作领导机构的日常工作。</w:t>
      </w:r>
      <w:r>
        <w:rPr>
          <w:rFonts w:hint="eastAsia" w:ascii="仿宋" w:hAnsi="仿宋" w:eastAsia="仿宋" w:cs="宋体"/>
          <w:kern w:val="0"/>
          <w:sz w:val="32"/>
          <w:szCs w:val="32"/>
        </w:rPr>
        <w:t>完成市委、市政府交办的</w:t>
      </w:r>
      <w:r>
        <w:rPr>
          <w:rFonts w:hint="eastAsia" w:ascii="仿宋" w:hAnsi="仿宋" w:eastAsia="仿宋" w:cs="宋体"/>
          <w:kern w:val="0"/>
          <w:sz w:val="32"/>
          <w:szCs w:val="32"/>
          <w:lang w:eastAsia="zh-CN"/>
        </w:rPr>
        <w:t>其他</w:t>
      </w:r>
      <w:r>
        <w:rPr>
          <w:rFonts w:hint="eastAsia" w:ascii="仿宋" w:hAnsi="仿宋" w:eastAsia="仿宋" w:cs="宋体"/>
          <w:kern w:val="0"/>
          <w:sz w:val="32"/>
          <w:szCs w:val="32"/>
        </w:rPr>
        <w:t>工作。</w:t>
      </w:r>
    </w:p>
    <w:p w14:paraId="69006BCF"/>
    <w:p w14:paraId="0EB117F8">
      <w:pPr>
        <w:pStyle w:val="4"/>
        <w:rPr>
          <w:rStyle w:val="28"/>
          <w:b w:val="0"/>
          <w:bCs w:val="0"/>
        </w:rPr>
      </w:pPr>
      <w:bookmarkStart w:id="14" w:name="_Toc15396601"/>
      <w:bookmarkStart w:id="15" w:name="_Toc15377200"/>
      <w:r>
        <w:rPr>
          <w:rFonts w:hint="eastAsia" w:ascii="黑体" w:eastAsia="黑体"/>
          <w:b w:val="0"/>
        </w:rPr>
        <w:t>二、</w:t>
      </w:r>
      <w:r>
        <w:rPr>
          <w:rFonts w:hint="eastAsia" w:ascii="黑体" w:hAnsi="黑体" w:eastAsia="黑体"/>
          <w:b w:val="0"/>
        </w:rPr>
        <w:t>机</w:t>
      </w:r>
      <w:r>
        <w:rPr>
          <w:rStyle w:val="28"/>
          <w:rFonts w:hint="eastAsia" w:ascii="黑体" w:hAnsi="黑体" w:eastAsia="黑体"/>
          <w:b w:val="0"/>
          <w:bCs w:val="0"/>
        </w:rPr>
        <w:t>构设置</w:t>
      </w:r>
      <w:bookmarkEnd w:id="14"/>
      <w:bookmarkEnd w:id="15"/>
    </w:p>
    <w:p w14:paraId="53A3E9B5">
      <w:pPr>
        <w:ind w:firstLine="800" w:firstLineChars="250"/>
        <w:rPr>
          <w:rFonts w:ascii="仿宋" w:hAnsi="仿宋" w:eastAsia="仿宋"/>
          <w:sz w:val="32"/>
          <w:szCs w:val="32"/>
        </w:rPr>
      </w:pPr>
      <w:r>
        <w:rPr>
          <w:rFonts w:hint="eastAsia" w:ascii="仿宋" w:hAnsi="仿宋" w:eastAsia="仿宋"/>
          <w:sz w:val="32"/>
          <w:szCs w:val="32"/>
        </w:rPr>
        <w:t>峨眉山市应急管理局下属二级预算单位5个，其中行政单位1个，参照公务员法管理的事业单位</w:t>
      </w:r>
      <w:r>
        <w:rPr>
          <w:rFonts w:hint="eastAsia" w:ascii="仿宋" w:hAnsi="仿宋" w:eastAsia="仿宋"/>
          <w:bCs/>
          <w:sz w:val="32"/>
          <w:szCs w:val="32"/>
        </w:rPr>
        <w:t>2</w:t>
      </w:r>
      <w:r>
        <w:rPr>
          <w:rFonts w:hint="eastAsia" w:ascii="仿宋" w:hAnsi="仿宋" w:eastAsia="仿宋"/>
          <w:sz w:val="32"/>
          <w:szCs w:val="32"/>
        </w:rPr>
        <w:t>个，其他事业单位2个。</w:t>
      </w:r>
    </w:p>
    <w:p w14:paraId="3095FC37">
      <w:pPr>
        <w:pStyle w:val="2"/>
        <w:adjustRightInd w:val="0"/>
        <w:snapToGrid w:val="0"/>
        <w:spacing w:before="93" w:line="600" w:lineRule="exact"/>
        <w:ind w:firstLine="672" w:firstLineChars="210"/>
        <w:rPr>
          <w:rFonts w:ascii="仿宋" w:hAnsi="仿宋" w:eastAsia="仿宋"/>
          <w:sz w:val="32"/>
          <w:szCs w:val="32"/>
        </w:rPr>
      </w:pPr>
      <w:r>
        <w:rPr>
          <w:rFonts w:hint="eastAsia" w:ascii="仿宋" w:hAnsi="仿宋" w:eastAsia="仿宋"/>
          <w:sz w:val="32"/>
          <w:szCs w:val="32"/>
        </w:rPr>
        <w:t>纳入峨眉山市应急管理局2022年度部门决算编制范围的二级预算单位包括：</w:t>
      </w:r>
    </w:p>
    <w:p w14:paraId="3440AC8E">
      <w:pPr>
        <w:pStyle w:val="2"/>
        <w:numPr>
          <w:ilvl w:val="0"/>
          <w:numId w:val="2"/>
        </w:numPr>
        <w:adjustRightInd w:val="0"/>
        <w:snapToGrid w:val="0"/>
        <w:spacing w:before="93" w:line="600" w:lineRule="exact"/>
        <w:outlineLvl w:val="2"/>
        <w:rPr>
          <w:rFonts w:ascii="仿宋" w:hAnsi="仿宋" w:eastAsia="仿宋"/>
          <w:sz w:val="32"/>
          <w:szCs w:val="32"/>
        </w:rPr>
      </w:pPr>
      <w:bookmarkStart w:id="16" w:name="_Toc15306276"/>
      <w:bookmarkStart w:id="17" w:name="_Toc15377433"/>
      <w:bookmarkStart w:id="18" w:name="_Toc15377202"/>
      <w:bookmarkStart w:id="19" w:name="_Toc15378449"/>
      <w:r>
        <w:rPr>
          <w:rFonts w:hint="eastAsia" w:ascii="仿宋" w:hAnsi="仿宋" w:eastAsia="仿宋"/>
          <w:sz w:val="32"/>
          <w:szCs w:val="32"/>
        </w:rPr>
        <w:t>峨眉山市应急管理局</w:t>
      </w:r>
    </w:p>
    <w:bookmarkEnd w:id="16"/>
    <w:bookmarkEnd w:id="17"/>
    <w:bookmarkEnd w:id="18"/>
    <w:bookmarkEnd w:id="19"/>
    <w:p w14:paraId="03F24F59">
      <w:pPr>
        <w:pStyle w:val="2"/>
        <w:numPr>
          <w:ilvl w:val="0"/>
          <w:numId w:val="2"/>
        </w:numPr>
        <w:adjustRightInd w:val="0"/>
        <w:snapToGrid w:val="0"/>
        <w:spacing w:before="93" w:line="600" w:lineRule="exact"/>
        <w:outlineLvl w:val="2"/>
        <w:rPr>
          <w:rFonts w:ascii="仿宋" w:hAnsi="仿宋" w:eastAsia="仿宋"/>
          <w:sz w:val="32"/>
          <w:szCs w:val="32"/>
        </w:rPr>
      </w:pPr>
      <w:bookmarkStart w:id="20" w:name="_Toc15377434"/>
      <w:bookmarkStart w:id="21" w:name="_Toc15378450"/>
      <w:bookmarkStart w:id="22" w:name="_Toc15377203"/>
      <w:bookmarkStart w:id="23" w:name="_Toc15306277"/>
      <w:r>
        <w:rPr>
          <w:rFonts w:hint="eastAsia" w:ascii="仿宋" w:hAnsi="仿宋" w:eastAsia="仿宋"/>
          <w:sz w:val="32"/>
          <w:szCs w:val="32"/>
        </w:rPr>
        <w:t>峨眉山市防震减灾服务中心</w:t>
      </w:r>
    </w:p>
    <w:bookmarkEnd w:id="20"/>
    <w:bookmarkEnd w:id="21"/>
    <w:bookmarkEnd w:id="22"/>
    <w:bookmarkEnd w:id="23"/>
    <w:p w14:paraId="3569DA38">
      <w:pPr>
        <w:widowControl/>
        <w:jc w:val="left"/>
        <w:rPr>
          <w:rFonts w:ascii="仿宋" w:hAnsi="仿宋" w:eastAsia="仿宋"/>
          <w:kern w:val="0"/>
          <w:sz w:val="32"/>
          <w:szCs w:val="32"/>
        </w:rPr>
      </w:pPr>
      <w:r>
        <w:rPr>
          <w:rFonts w:ascii="仿宋" w:hAnsi="仿宋" w:eastAsia="仿宋"/>
          <w:sz w:val="32"/>
          <w:szCs w:val="32"/>
        </w:rPr>
        <w:br w:type="page"/>
      </w:r>
    </w:p>
    <w:p w14:paraId="67F264BB">
      <w:pPr>
        <w:pStyle w:val="3"/>
        <w:ind w:right="440"/>
        <w:jc w:val="center"/>
        <w:rPr>
          <w:rStyle w:val="27"/>
          <w:rFonts w:ascii="黑体" w:hAnsi="黑体" w:eastAsia="黑体"/>
          <w:b w:val="0"/>
          <w:bCs/>
        </w:rPr>
      </w:pPr>
      <w:bookmarkStart w:id="24" w:name="_Toc15396602"/>
      <w:bookmarkStart w:id="25" w:name="_Toc15377204"/>
      <w:r>
        <w:rPr>
          <w:rFonts w:hint="eastAsia" w:ascii="黑体" w:hAnsi="黑体" w:eastAsia="黑体"/>
          <w:b w:val="0"/>
        </w:rPr>
        <w:t>第二部分 2022年度</w:t>
      </w:r>
      <w:r>
        <w:rPr>
          <w:rStyle w:val="27"/>
          <w:rFonts w:hint="eastAsia" w:ascii="黑体" w:hAnsi="黑体" w:eastAsia="黑体"/>
          <w:b w:val="0"/>
          <w:bCs/>
        </w:rPr>
        <w:t>部门决算情况说明</w:t>
      </w:r>
      <w:bookmarkEnd w:id="24"/>
      <w:bookmarkEnd w:id="25"/>
    </w:p>
    <w:p w14:paraId="21775B47"/>
    <w:p w14:paraId="2E483C8E">
      <w:pPr>
        <w:pStyle w:val="26"/>
        <w:numPr>
          <w:ilvl w:val="0"/>
          <w:numId w:val="3"/>
        </w:numPr>
        <w:spacing w:line="600" w:lineRule="exact"/>
        <w:ind w:firstLineChars="0"/>
        <w:outlineLvl w:val="1"/>
        <w:rPr>
          <w:rStyle w:val="28"/>
          <w:rFonts w:ascii="黑体" w:hAnsi="黑体" w:eastAsia="黑体"/>
          <w:b w:val="0"/>
        </w:rPr>
      </w:pPr>
      <w:bookmarkStart w:id="26" w:name="_Toc15396603"/>
      <w:bookmarkStart w:id="27" w:name="_Toc15377205"/>
      <w:r>
        <w:rPr>
          <w:rFonts w:hint="eastAsia" w:ascii="黑体" w:hAnsi="黑体" w:eastAsia="黑体"/>
          <w:sz w:val="32"/>
          <w:szCs w:val="32"/>
        </w:rPr>
        <w:t>收</w:t>
      </w:r>
      <w:r>
        <w:rPr>
          <w:rStyle w:val="28"/>
          <w:rFonts w:hint="eastAsia" w:ascii="黑体" w:hAnsi="黑体" w:eastAsia="黑体"/>
          <w:b w:val="0"/>
        </w:rPr>
        <w:t>入支出决算总体情况说明</w:t>
      </w:r>
      <w:bookmarkEnd w:id="26"/>
      <w:bookmarkEnd w:id="27"/>
    </w:p>
    <w:p w14:paraId="1FFBDFF0">
      <w:pPr>
        <w:spacing w:line="600" w:lineRule="exact"/>
        <w:ind w:firstLine="640" w:firstLineChars="200"/>
        <w:rPr>
          <w:rFonts w:ascii="仿宋" w:hAnsi="仿宋" w:eastAsia="仿宋"/>
          <w:sz w:val="32"/>
          <w:szCs w:val="32"/>
        </w:rPr>
      </w:pPr>
      <w:r>
        <w:rPr>
          <w:rFonts w:hint="eastAsia" w:ascii="仿宋" w:hAnsi="仿宋" w:eastAsia="仿宋"/>
          <w:sz w:val="32"/>
          <w:szCs w:val="32"/>
        </w:rPr>
        <w:t>2022年度收、支总计</w:t>
      </w:r>
      <w:r>
        <w:rPr>
          <w:rFonts w:ascii="仿宋" w:hAnsi="仿宋" w:eastAsia="仿宋"/>
          <w:sz w:val="32"/>
          <w:szCs w:val="32"/>
        </w:rPr>
        <w:t>2073.14</w:t>
      </w:r>
      <w:r>
        <w:rPr>
          <w:rFonts w:hint="eastAsia" w:ascii="仿宋" w:hAnsi="仿宋" w:eastAsia="仿宋"/>
          <w:sz w:val="32"/>
          <w:szCs w:val="32"/>
        </w:rPr>
        <w:t>万元。与2021年相比，收、支总计各减少</w:t>
      </w:r>
      <w:r>
        <w:rPr>
          <w:rFonts w:ascii="仿宋" w:hAnsi="仿宋" w:eastAsia="仿宋"/>
          <w:sz w:val="32"/>
          <w:szCs w:val="32"/>
        </w:rPr>
        <w:t>3415.34</w:t>
      </w:r>
      <w:r>
        <w:rPr>
          <w:rFonts w:hint="eastAsia" w:ascii="仿宋" w:hAnsi="仿宋" w:eastAsia="仿宋"/>
          <w:sz w:val="32"/>
          <w:szCs w:val="32"/>
        </w:rPr>
        <w:t>万元，下降</w:t>
      </w:r>
      <w:r>
        <w:rPr>
          <w:rFonts w:ascii="仿宋" w:hAnsi="仿宋" w:eastAsia="仿宋"/>
          <w:sz w:val="32"/>
          <w:szCs w:val="32"/>
        </w:rPr>
        <w:t>62.23%</w:t>
      </w:r>
      <w:r>
        <w:rPr>
          <w:rFonts w:hint="eastAsia" w:ascii="仿宋" w:hAnsi="仿宋" w:eastAsia="仿宋"/>
          <w:sz w:val="32"/>
          <w:szCs w:val="32"/>
        </w:rPr>
        <w:t>。其原因主要项目减少，收支减少。</w:t>
      </w:r>
    </w:p>
    <w:p w14:paraId="4E99D6FF">
      <w:pPr>
        <w:pStyle w:val="2"/>
        <w:spacing w:before="93"/>
        <w:rPr>
          <w:rFonts w:hint="eastAsia"/>
        </w:rPr>
      </w:pPr>
    </w:p>
    <w:p w14:paraId="748FA6F7">
      <w:pPr>
        <w:pStyle w:val="2"/>
        <w:spacing w:before="93"/>
      </w:pPr>
      <w:r>
        <w:rPr>
          <w:rFonts w:hint="eastAsia"/>
        </w:rPr>
        <w:t xml:space="preserve"> </w:t>
      </w:r>
      <w:r>
        <w:t xml:space="preserve">  </w:t>
      </w:r>
      <w:r>
        <w:drawing>
          <wp:inline distT="0" distB="0" distL="0" distR="0">
            <wp:extent cx="5200650" cy="45434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00650" cy="4543425"/>
                    </a:xfrm>
                    <a:prstGeom prst="rect">
                      <a:avLst/>
                    </a:prstGeom>
                  </pic:spPr>
                </pic:pic>
              </a:graphicData>
            </a:graphic>
          </wp:inline>
        </w:drawing>
      </w:r>
    </w:p>
    <w:p w14:paraId="7D2A35FD">
      <w:pPr>
        <w:spacing w:line="600" w:lineRule="exact"/>
        <w:ind w:firstLine="960" w:firstLineChars="3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：收、支决算总计变动情况图）（柱状图）</w:t>
      </w:r>
    </w:p>
    <w:p w14:paraId="33B4BC37">
      <w:pPr>
        <w:spacing w:line="600" w:lineRule="exact"/>
        <w:ind w:firstLine="640" w:firstLineChars="200"/>
        <w:jc w:val="left"/>
        <w:rPr>
          <w:rFonts w:ascii="仿宋_GB2312" w:eastAsia="仿宋_GB2312"/>
          <w:sz w:val="32"/>
          <w:szCs w:val="32"/>
        </w:rPr>
      </w:pPr>
    </w:p>
    <w:p w14:paraId="606350F2">
      <w:pPr>
        <w:pStyle w:val="26"/>
        <w:numPr>
          <w:ilvl w:val="0"/>
          <w:numId w:val="3"/>
        </w:numPr>
        <w:spacing w:line="600" w:lineRule="exact"/>
        <w:ind w:firstLineChars="0"/>
        <w:outlineLvl w:val="1"/>
        <w:rPr>
          <w:rStyle w:val="28"/>
          <w:rFonts w:ascii="黑体" w:hAnsi="黑体" w:eastAsia="黑体"/>
          <w:b w:val="0"/>
        </w:rPr>
      </w:pPr>
      <w:bookmarkStart w:id="28" w:name="_Toc15396604"/>
      <w:bookmarkStart w:id="29" w:name="_Toc15377206"/>
      <w:r>
        <w:rPr>
          <w:rFonts w:hint="eastAsia" w:ascii="黑体" w:hAnsi="黑体" w:eastAsia="黑体"/>
          <w:sz w:val="32"/>
          <w:szCs w:val="32"/>
        </w:rPr>
        <w:t>收</w:t>
      </w:r>
      <w:r>
        <w:rPr>
          <w:rStyle w:val="28"/>
          <w:rFonts w:hint="eastAsia" w:ascii="黑体" w:hAnsi="黑体" w:eastAsia="黑体"/>
          <w:b w:val="0"/>
        </w:rPr>
        <w:t>入决算情况说明</w:t>
      </w:r>
      <w:bookmarkEnd w:id="28"/>
      <w:bookmarkEnd w:id="29"/>
    </w:p>
    <w:p w14:paraId="45D74B55">
      <w:pPr>
        <w:spacing w:line="600" w:lineRule="exact"/>
        <w:ind w:firstLine="640" w:firstLineChars="200"/>
        <w:outlineLvl w:val="1"/>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22年本年收入合计</w:t>
      </w:r>
      <w:r>
        <w:rPr>
          <w:rFonts w:ascii="仿宋" w:hAnsi="仿宋" w:eastAsia="仿宋"/>
          <w:sz w:val="32"/>
          <w:szCs w:val="32"/>
        </w:rPr>
        <w:t>2009.25</w:t>
      </w:r>
      <w:r>
        <w:rPr>
          <w:rFonts w:hint="eastAsia" w:ascii="仿宋" w:hAnsi="仿宋" w:eastAsia="仿宋"/>
          <w:sz w:val="32"/>
          <w:szCs w:val="32"/>
        </w:rPr>
        <w:t>万元，其中：一般公共预算财政拨款收入</w:t>
      </w:r>
      <w:r>
        <w:rPr>
          <w:rFonts w:ascii="仿宋" w:hAnsi="仿宋" w:eastAsia="仿宋"/>
          <w:sz w:val="32"/>
          <w:szCs w:val="32"/>
        </w:rPr>
        <w:t>1202.23</w:t>
      </w:r>
      <w:r>
        <w:rPr>
          <w:rFonts w:hint="eastAsia" w:ascii="仿宋" w:hAnsi="仿宋" w:eastAsia="仿宋"/>
          <w:sz w:val="32"/>
          <w:szCs w:val="32"/>
        </w:rPr>
        <w:t>万元，占</w:t>
      </w:r>
      <w:r>
        <w:rPr>
          <w:rFonts w:ascii="仿宋" w:hAnsi="仿宋" w:eastAsia="仿宋"/>
          <w:sz w:val="32"/>
          <w:szCs w:val="32"/>
        </w:rPr>
        <w:t>59.83%</w:t>
      </w:r>
      <w:r>
        <w:rPr>
          <w:rFonts w:hint="eastAsia" w:ascii="仿宋" w:hAnsi="仿宋" w:eastAsia="仿宋"/>
          <w:sz w:val="32"/>
          <w:szCs w:val="32"/>
        </w:rPr>
        <w:t>；政府性基金预算财政拨款收入</w:t>
      </w:r>
      <w:r>
        <w:rPr>
          <w:rFonts w:ascii="仿宋" w:hAnsi="仿宋" w:eastAsia="仿宋"/>
          <w:sz w:val="32"/>
          <w:szCs w:val="32"/>
        </w:rPr>
        <w:t>807.02</w:t>
      </w:r>
      <w:r>
        <w:rPr>
          <w:rFonts w:hint="eastAsia" w:ascii="仿宋" w:hAnsi="仿宋" w:eastAsia="仿宋"/>
          <w:sz w:val="32"/>
          <w:szCs w:val="32"/>
        </w:rPr>
        <w:t>万元，占</w:t>
      </w:r>
      <w:r>
        <w:rPr>
          <w:rFonts w:ascii="仿宋" w:hAnsi="仿宋" w:eastAsia="仿宋"/>
          <w:sz w:val="32"/>
          <w:szCs w:val="32"/>
        </w:rPr>
        <w:t>40.17%</w:t>
      </w:r>
      <w:r>
        <w:rPr>
          <w:rFonts w:hint="eastAsia" w:ascii="仿宋" w:hAnsi="仿宋" w:eastAsia="仿宋"/>
          <w:sz w:val="32"/>
          <w:szCs w:val="32"/>
        </w:rPr>
        <w:t>；国有资本经营预算财政拨款收入</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；上级补助收入</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；事业收入</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；经营收入</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；附属单位上缴收入</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；其他收入</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w:t>
      </w:r>
    </w:p>
    <w:p w14:paraId="47D35382">
      <w:pPr>
        <w:spacing w:line="600" w:lineRule="exact"/>
        <w:ind w:firstLine="643" w:firstLineChars="200"/>
        <w:outlineLvl w:val="1"/>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01表</w:t>
      </w:r>
      <w:r>
        <w:rPr>
          <w:rFonts w:hint="eastAsia" w:ascii="仿宋" w:hAnsi="仿宋" w:eastAsia="仿宋"/>
          <w:b/>
          <w:sz w:val="32"/>
          <w:szCs w:val="32"/>
        </w:rPr>
        <w:t>，仅罗列本部门涉及的收入。</w:t>
      </w:r>
      <w:r>
        <w:rPr>
          <w:rFonts w:ascii="仿宋" w:hAnsi="仿宋" w:eastAsia="仿宋"/>
          <w:b/>
          <w:sz w:val="32"/>
          <w:szCs w:val="32"/>
        </w:rPr>
        <w:t>）</w:t>
      </w:r>
    </w:p>
    <w:p w14:paraId="5D7ACFF1">
      <w:pPr>
        <w:pStyle w:val="2"/>
        <w:spacing w:before="93"/>
        <w:ind w:left="300" w:hanging="300" w:hangingChars="100"/>
      </w:pPr>
      <w:r>
        <w:rPr>
          <w:rFonts w:hint="eastAsia"/>
        </w:rPr>
        <w:t xml:space="preserve"> </w:t>
      </w:r>
      <w:r>
        <w:t xml:space="preserve">  </w:t>
      </w:r>
      <w:r>
        <w:drawing>
          <wp:inline distT="0" distB="0" distL="0" distR="0">
            <wp:extent cx="5253355" cy="384810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56302" cy="3850162"/>
                    </a:xfrm>
                    <a:prstGeom prst="rect">
                      <a:avLst/>
                    </a:prstGeom>
                  </pic:spPr>
                </pic:pic>
              </a:graphicData>
            </a:graphic>
          </wp:inline>
        </w:drawing>
      </w:r>
    </w:p>
    <w:p w14:paraId="7004E711">
      <w:pPr>
        <w:spacing w:line="600" w:lineRule="exact"/>
        <w:ind w:firstLine="1440" w:firstLineChars="450"/>
        <w:rPr>
          <w:rFonts w:ascii="仿宋" w:hAnsi="仿宋" w:eastAsia="仿宋"/>
          <w:sz w:val="32"/>
          <w:szCs w:val="32"/>
        </w:rPr>
      </w:pPr>
      <w:r>
        <w:rPr>
          <w:rFonts w:hint="eastAsia" w:ascii="仿宋" w:hAnsi="仿宋" w:eastAsia="仿宋"/>
          <w:sz w:val="32"/>
          <w:szCs w:val="32"/>
        </w:rPr>
        <w:t>（图2：收入决算结构图）（饼状图）</w:t>
      </w:r>
    </w:p>
    <w:p w14:paraId="1EC94843">
      <w:pPr>
        <w:spacing w:line="600" w:lineRule="exact"/>
        <w:ind w:firstLine="640" w:firstLineChars="200"/>
        <w:rPr>
          <w:rFonts w:ascii="仿宋_GB2312" w:eastAsia="仿宋_GB2312"/>
          <w:sz w:val="32"/>
          <w:szCs w:val="32"/>
        </w:rPr>
      </w:pPr>
    </w:p>
    <w:p w14:paraId="7523A2AD">
      <w:pPr>
        <w:pStyle w:val="26"/>
        <w:numPr>
          <w:ilvl w:val="0"/>
          <w:numId w:val="3"/>
        </w:numPr>
        <w:spacing w:line="600" w:lineRule="exact"/>
        <w:ind w:firstLineChars="0"/>
        <w:outlineLvl w:val="1"/>
        <w:rPr>
          <w:rStyle w:val="28"/>
          <w:rFonts w:ascii="黑体" w:hAnsi="黑体" w:eastAsia="黑体"/>
          <w:b w:val="0"/>
        </w:rPr>
      </w:pPr>
      <w:bookmarkStart w:id="30" w:name="_Toc15396605"/>
      <w:bookmarkStart w:id="31" w:name="_Toc15377207"/>
      <w:r>
        <w:rPr>
          <w:rFonts w:hint="eastAsia" w:ascii="黑体" w:hAnsi="黑体" w:eastAsia="黑体"/>
          <w:sz w:val="32"/>
          <w:szCs w:val="32"/>
        </w:rPr>
        <w:t>支</w:t>
      </w:r>
      <w:r>
        <w:rPr>
          <w:rStyle w:val="28"/>
          <w:rFonts w:hint="eastAsia" w:ascii="黑体" w:hAnsi="黑体" w:eastAsia="黑体"/>
          <w:b w:val="0"/>
        </w:rPr>
        <w:t>出决算情况说明</w:t>
      </w:r>
      <w:bookmarkEnd w:id="30"/>
      <w:bookmarkEnd w:id="31"/>
    </w:p>
    <w:p w14:paraId="358A266F">
      <w:pPr>
        <w:spacing w:line="600" w:lineRule="exact"/>
        <w:ind w:firstLine="640" w:firstLineChars="200"/>
        <w:outlineLvl w:val="1"/>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22年本年支出合计</w:t>
      </w:r>
      <w:r>
        <w:rPr>
          <w:rFonts w:ascii="仿宋" w:hAnsi="仿宋" w:eastAsia="仿宋"/>
          <w:sz w:val="32"/>
          <w:szCs w:val="32"/>
        </w:rPr>
        <w:t>2073.14</w:t>
      </w:r>
      <w:r>
        <w:rPr>
          <w:rFonts w:hint="eastAsia" w:ascii="仿宋" w:hAnsi="仿宋" w:eastAsia="仿宋"/>
          <w:sz w:val="32"/>
          <w:szCs w:val="32"/>
        </w:rPr>
        <w:t>万元，其中：基本支出</w:t>
      </w:r>
      <w:r>
        <w:rPr>
          <w:rFonts w:ascii="仿宋" w:hAnsi="仿宋" w:eastAsia="仿宋"/>
          <w:sz w:val="32"/>
          <w:szCs w:val="32"/>
        </w:rPr>
        <w:t>992.95</w:t>
      </w:r>
      <w:r>
        <w:rPr>
          <w:rFonts w:hint="eastAsia" w:ascii="仿宋" w:hAnsi="仿宋" w:eastAsia="仿宋"/>
          <w:sz w:val="32"/>
          <w:szCs w:val="32"/>
        </w:rPr>
        <w:t>万元，占</w:t>
      </w:r>
      <w:r>
        <w:rPr>
          <w:rFonts w:ascii="仿宋" w:hAnsi="仿宋" w:eastAsia="仿宋"/>
          <w:sz w:val="32"/>
          <w:szCs w:val="32"/>
        </w:rPr>
        <w:t>47.9%</w:t>
      </w:r>
      <w:r>
        <w:rPr>
          <w:rFonts w:hint="eastAsia" w:ascii="仿宋" w:hAnsi="仿宋" w:eastAsia="仿宋"/>
          <w:sz w:val="32"/>
          <w:szCs w:val="32"/>
        </w:rPr>
        <w:t>；项目支出</w:t>
      </w:r>
      <w:r>
        <w:rPr>
          <w:rFonts w:ascii="仿宋" w:hAnsi="仿宋" w:eastAsia="仿宋"/>
          <w:sz w:val="32"/>
          <w:szCs w:val="32"/>
        </w:rPr>
        <w:t>1080.19</w:t>
      </w:r>
      <w:r>
        <w:rPr>
          <w:rFonts w:hint="eastAsia" w:ascii="仿宋" w:hAnsi="仿宋" w:eastAsia="仿宋"/>
          <w:sz w:val="32"/>
          <w:szCs w:val="32"/>
        </w:rPr>
        <w:t>万元，占</w:t>
      </w:r>
      <w:r>
        <w:rPr>
          <w:rFonts w:ascii="仿宋" w:hAnsi="仿宋" w:eastAsia="仿宋"/>
          <w:sz w:val="32"/>
          <w:szCs w:val="32"/>
        </w:rPr>
        <w:t>52.1%</w:t>
      </w:r>
      <w:r>
        <w:rPr>
          <w:rFonts w:hint="eastAsia" w:ascii="仿宋" w:hAnsi="仿宋" w:eastAsia="仿宋"/>
          <w:sz w:val="32"/>
          <w:szCs w:val="32"/>
        </w:rPr>
        <w:t>；上缴上级支出</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；经营支出</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；对附属单位补助支出</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w:t>
      </w:r>
    </w:p>
    <w:p w14:paraId="52DD9640">
      <w:pPr>
        <w:spacing w:line="600" w:lineRule="exact"/>
        <w:ind w:firstLine="643" w:firstLineChars="200"/>
        <w:outlineLvl w:val="1"/>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04</w:t>
      </w:r>
      <w:r>
        <w:rPr>
          <w:rFonts w:hint="eastAsia" w:ascii="仿宋" w:hAnsi="仿宋" w:eastAsia="仿宋"/>
          <w:b/>
          <w:sz w:val="32"/>
          <w:szCs w:val="32"/>
        </w:rPr>
        <w:t>表，仅罗列本部门涉及的支出。）</w:t>
      </w:r>
    </w:p>
    <w:p w14:paraId="399E292A">
      <w:pPr>
        <w:spacing w:line="600" w:lineRule="exact"/>
        <w:ind w:firstLine="640"/>
      </w:pPr>
    </w:p>
    <w:p w14:paraId="271A6F50">
      <w:pPr>
        <w:pStyle w:val="2"/>
        <w:spacing w:before="93"/>
      </w:pPr>
      <w:r>
        <w:rPr>
          <w:rFonts w:hint="eastAsia"/>
        </w:rPr>
        <w:t xml:space="preserve"> </w:t>
      </w:r>
      <w:r>
        <w:t xml:space="preserve"> </w:t>
      </w:r>
      <w:r>
        <w:drawing>
          <wp:inline distT="0" distB="0" distL="0" distR="0">
            <wp:extent cx="5417185" cy="403796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425889" cy="4044754"/>
                    </a:xfrm>
                    <a:prstGeom prst="rect">
                      <a:avLst/>
                    </a:prstGeom>
                  </pic:spPr>
                </pic:pic>
              </a:graphicData>
            </a:graphic>
          </wp:inline>
        </w:drawing>
      </w:r>
    </w:p>
    <w:p w14:paraId="14DBA756">
      <w:pPr>
        <w:spacing w:line="600" w:lineRule="exact"/>
        <w:ind w:firstLine="1280" w:firstLineChars="400"/>
        <w:rPr>
          <w:rFonts w:ascii="仿宋" w:hAnsi="仿宋" w:eastAsia="仿宋"/>
          <w:sz w:val="32"/>
          <w:szCs w:val="32"/>
        </w:rPr>
      </w:pPr>
      <w:r>
        <w:rPr>
          <w:rFonts w:hint="eastAsia" w:ascii="仿宋" w:hAnsi="仿宋" w:eastAsia="仿宋"/>
          <w:sz w:val="32"/>
          <w:szCs w:val="32"/>
        </w:rPr>
        <w:t>（图3：支出决算结构图）（饼状图）</w:t>
      </w:r>
    </w:p>
    <w:p w14:paraId="066E391A">
      <w:pPr>
        <w:spacing w:line="600" w:lineRule="exact"/>
        <w:ind w:firstLine="640" w:firstLineChars="200"/>
        <w:rPr>
          <w:rFonts w:ascii="仿宋_GB2312" w:eastAsia="仿宋_GB2312"/>
          <w:sz w:val="32"/>
          <w:szCs w:val="32"/>
        </w:rPr>
      </w:pPr>
    </w:p>
    <w:p w14:paraId="567914A8">
      <w:pPr>
        <w:spacing w:line="600" w:lineRule="exact"/>
        <w:ind w:firstLine="640" w:firstLineChars="200"/>
        <w:outlineLvl w:val="1"/>
        <w:rPr>
          <w:rStyle w:val="28"/>
          <w:rFonts w:ascii="黑体" w:hAnsi="黑体" w:eastAsia="黑体"/>
          <w:b w:val="0"/>
        </w:rPr>
      </w:pPr>
      <w:bookmarkStart w:id="32" w:name="_Toc15396606"/>
      <w:bookmarkStart w:id="33" w:name="_Toc15377208"/>
      <w:r>
        <w:rPr>
          <w:rFonts w:hint="eastAsia" w:ascii="黑体" w:hAnsi="黑体" w:eastAsia="黑体"/>
          <w:sz w:val="32"/>
          <w:szCs w:val="32"/>
        </w:rPr>
        <w:t>四、财</w:t>
      </w:r>
      <w:r>
        <w:rPr>
          <w:rStyle w:val="28"/>
          <w:rFonts w:hint="eastAsia" w:ascii="黑体" w:hAnsi="黑体" w:eastAsia="黑体"/>
          <w:b w:val="0"/>
        </w:rPr>
        <w:t>政拨款收入支出决算总体情况说明</w:t>
      </w:r>
      <w:bookmarkEnd w:id="32"/>
      <w:bookmarkEnd w:id="33"/>
    </w:p>
    <w:p w14:paraId="298C4C0C">
      <w:pPr>
        <w:spacing w:line="60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22年财政拨款收、支总计</w:t>
      </w:r>
      <w:r>
        <w:rPr>
          <w:rFonts w:ascii="仿宋" w:hAnsi="仿宋" w:eastAsia="仿宋"/>
          <w:sz w:val="32"/>
          <w:szCs w:val="32"/>
        </w:rPr>
        <w:t>2073.14</w:t>
      </w:r>
      <w:r>
        <w:rPr>
          <w:rFonts w:hint="eastAsia" w:ascii="仿宋" w:hAnsi="仿宋" w:eastAsia="仿宋"/>
          <w:sz w:val="32"/>
          <w:szCs w:val="32"/>
        </w:rPr>
        <w:t>万元。与</w:t>
      </w:r>
      <w:r>
        <w:rPr>
          <w:rFonts w:ascii="仿宋" w:hAnsi="仿宋" w:eastAsia="仿宋"/>
          <w:sz w:val="32"/>
          <w:szCs w:val="32"/>
        </w:rPr>
        <w:t>20</w:t>
      </w:r>
      <w:r>
        <w:rPr>
          <w:rFonts w:hint="eastAsia" w:ascii="仿宋" w:hAnsi="仿宋" w:eastAsia="仿宋"/>
          <w:sz w:val="32"/>
          <w:szCs w:val="32"/>
        </w:rPr>
        <w:t>21年相比，财政拨款收、支总计各减少</w:t>
      </w:r>
      <w:r>
        <w:rPr>
          <w:rFonts w:ascii="仿宋" w:hAnsi="仿宋" w:eastAsia="仿宋"/>
          <w:sz w:val="32"/>
          <w:szCs w:val="32"/>
        </w:rPr>
        <w:t>3415.29</w:t>
      </w:r>
      <w:r>
        <w:rPr>
          <w:rFonts w:hint="eastAsia" w:ascii="仿宋" w:hAnsi="仿宋" w:eastAsia="仿宋"/>
          <w:sz w:val="32"/>
          <w:szCs w:val="32"/>
        </w:rPr>
        <w:t>万元，下降</w:t>
      </w:r>
      <w:r>
        <w:rPr>
          <w:rFonts w:ascii="仿宋" w:hAnsi="仿宋" w:eastAsia="仿宋"/>
          <w:sz w:val="32"/>
          <w:szCs w:val="32"/>
        </w:rPr>
        <w:t>62.23%</w:t>
      </w:r>
      <w:r>
        <w:rPr>
          <w:rFonts w:hint="eastAsia" w:ascii="仿宋" w:hAnsi="仿宋" w:eastAsia="仿宋"/>
          <w:sz w:val="32"/>
          <w:szCs w:val="32"/>
        </w:rPr>
        <w:t>。其原因主要项目减少，收支减少。</w:t>
      </w:r>
    </w:p>
    <w:p w14:paraId="3902375F">
      <w:pPr>
        <w:spacing w:line="600" w:lineRule="exact"/>
        <w:ind w:firstLine="640"/>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01-1</w:t>
      </w:r>
      <w:r>
        <w:rPr>
          <w:rFonts w:hint="eastAsia" w:ascii="仿宋" w:hAnsi="仿宋" w:eastAsia="仿宋"/>
          <w:b/>
          <w:sz w:val="32"/>
          <w:szCs w:val="32"/>
        </w:rPr>
        <w:t>表</w:t>
      </w:r>
      <w:r>
        <w:rPr>
          <w:rFonts w:ascii="仿宋" w:hAnsi="仿宋" w:eastAsia="仿宋"/>
          <w:b/>
          <w:sz w:val="32"/>
          <w:szCs w:val="32"/>
        </w:rPr>
        <w:t>）</w:t>
      </w:r>
    </w:p>
    <w:p w14:paraId="2ACDEEE1">
      <w:pPr>
        <w:spacing w:line="600" w:lineRule="exact"/>
        <w:rPr>
          <w:rFonts w:hint="eastAsia"/>
        </w:rPr>
      </w:pPr>
    </w:p>
    <w:p w14:paraId="0BD8DD1F">
      <w:pPr>
        <w:pStyle w:val="2"/>
        <w:spacing w:before="93"/>
      </w:pPr>
      <w:r>
        <w:drawing>
          <wp:inline distT="0" distB="0" distL="0" distR="0">
            <wp:extent cx="5486400" cy="41719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491537" cy="4175856"/>
                    </a:xfrm>
                    <a:prstGeom prst="rect">
                      <a:avLst/>
                    </a:prstGeom>
                  </pic:spPr>
                </pic:pic>
              </a:graphicData>
            </a:graphic>
          </wp:inline>
        </w:drawing>
      </w:r>
    </w:p>
    <w:p w14:paraId="500BD72A">
      <w:pPr>
        <w:spacing w:line="600" w:lineRule="exact"/>
        <w:ind w:firstLine="320" w:firstLineChars="100"/>
        <w:rPr>
          <w:rFonts w:ascii="仿宋" w:hAnsi="仿宋" w:eastAsia="仿宋"/>
          <w:sz w:val="32"/>
          <w:szCs w:val="32"/>
        </w:rPr>
      </w:pPr>
      <w:r>
        <w:rPr>
          <w:rFonts w:hint="eastAsia" w:ascii="仿宋" w:hAnsi="仿宋" w:eastAsia="仿宋"/>
          <w:sz w:val="32"/>
          <w:szCs w:val="32"/>
        </w:rPr>
        <w:t>（图4：财政拨款收、支决算总计变动情况）（柱状图）</w:t>
      </w:r>
    </w:p>
    <w:p w14:paraId="7E864BDE">
      <w:pPr>
        <w:spacing w:line="600" w:lineRule="exact"/>
        <w:ind w:firstLine="640"/>
        <w:rPr>
          <w:rFonts w:ascii="仿宋" w:hAnsi="仿宋" w:eastAsia="仿宋"/>
          <w:b/>
          <w:sz w:val="32"/>
          <w:szCs w:val="32"/>
        </w:rPr>
      </w:pPr>
    </w:p>
    <w:p w14:paraId="19B53746">
      <w:pPr>
        <w:spacing w:line="600" w:lineRule="exact"/>
        <w:ind w:firstLine="640" w:firstLineChars="200"/>
        <w:outlineLvl w:val="1"/>
        <w:rPr>
          <w:rStyle w:val="28"/>
          <w:rFonts w:ascii="黑体" w:hAnsi="黑体" w:eastAsia="黑体"/>
          <w:b w:val="0"/>
        </w:rPr>
      </w:pPr>
      <w:bookmarkStart w:id="34" w:name="_Toc15396607"/>
      <w:bookmarkStart w:id="35" w:name="_Toc15377209"/>
      <w:r>
        <w:rPr>
          <w:rFonts w:hint="eastAsia" w:ascii="黑体" w:hAnsi="黑体" w:eastAsia="黑体"/>
          <w:sz w:val="32"/>
          <w:szCs w:val="32"/>
        </w:rPr>
        <w:t>五、</w:t>
      </w:r>
      <w:r>
        <w:rPr>
          <w:rFonts w:hint="eastAsia" w:ascii="黑体" w:hAnsi="黑体" w:eastAsia="黑体"/>
          <w:b/>
          <w:sz w:val="32"/>
          <w:szCs w:val="32"/>
        </w:rPr>
        <w:t>一</w:t>
      </w:r>
      <w:r>
        <w:rPr>
          <w:rStyle w:val="28"/>
          <w:rFonts w:hint="eastAsia" w:ascii="黑体" w:hAnsi="黑体" w:eastAsia="黑体"/>
          <w:b w:val="0"/>
        </w:rPr>
        <w:t>般公共预算财政拨款支出决算情况说明</w:t>
      </w:r>
      <w:bookmarkEnd w:id="34"/>
      <w:bookmarkEnd w:id="35"/>
    </w:p>
    <w:p w14:paraId="65B883EC">
      <w:pPr>
        <w:spacing w:line="600" w:lineRule="exact"/>
        <w:ind w:firstLine="643" w:firstLineChars="200"/>
        <w:outlineLvl w:val="2"/>
        <w:rPr>
          <w:rFonts w:ascii="仿宋" w:hAnsi="仿宋" w:eastAsia="仿宋"/>
          <w:b/>
          <w:sz w:val="32"/>
          <w:szCs w:val="32"/>
        </w:rPr>
      </w:pPr>
      <w:bookmarkStart w:id="36" w:name="_Toc15377210"/>
      <w:r>
        <w:rPr>
          <w:rFonts w:hint="eastAsia" w:ascii="仿宋" w:hAnsi="仿宋" w:eastAsia="仿宋"/>
          <w:b/>
          <w:sz w:val="32"/>
          <w:szCs w:val="32"/>
        </w:rPr>
        <w:t>（一）一般公共预算财政拨款支出决算总体情况</w:t>
      </w:r>
      <w:bookmarkEnd w:id="36"/>
    </w:p>
    <w:p w14:paraId="43F7F1E0">
      <w:pPr>
        <w:spacing w:line="60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22年一般公共预算财政拨款支出</w:t>
      </w:r>
      <w:r>
        <w:rPr>
          <w:rFonts w:ascii="仿宋" w:hAnsi="仿宋" w:eastAsia="仿宋"/>
          <w:sz w:val="32"/>
          <w:szCs w:val="32"/>
        </w:rPr>
        <w:t>1266.12</w:t>
      </w:r>
      <w:r>
        <w:rPr>
          <w:rFonts w:hint="eastAsia" w:ascii="仿宋" w:hAnsi="仿宋" w:eastAsia="仿宋"/>
          <w:sz w:val="32"/>
          <w:szCs w:val="32"/>
        </w:rPr>
        <w:t>万元，占本年支出合计的</w:t>
      </w:r>
      <w:r>
        <w:rPr>
          <w:rFonts w:ascii="仿宋" w:hAnsi="仿宋" w:eastAsia="仿宋"/>
          <w:sz w:val="32"/>
          <w:szCs w:val="32"/>
        </w:rPr>
        <w:t>61.07%</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21年相比，一般公共预算财政拨款支出减少</w:t>
      </w:r>
      <w:r>
        <w:rPr>
          <w:rFonts w:ascii="仿宋" w:hAnsi="仿宋" w:eastAsia="仿宋"/>
          <w:sz w:val="32"/>
          <w:szCs w:val="32"/>
        </w:rPr>
        <w:t>391.22</w:t>
      </w:r>
      <w:r>
        <w:rPr>
          <w:rFonts w:hint="eastAsia" w:ascii="仿宋" w:hAnsi="仿宋" w:eastAsia="仿宋"/>
          <w:sz w:val="32"/>
          <w:szCs w:val="32"/>
        </w:rPr>
        <w:t>万元，下降</w:t>
      </w:r>
      <w:r>
        <w:rPr>
          <w:rFonts w:ascii="仿宋" w:hAnsi="仿宋" w:eastAsia="仿宋"/>
          <w:sz w:val="32"/>
          <w:szCs w:val="32"/>
        </w:rPr>
        <w:t>23.61%</w:t>
      </w:r>
      <w:r>
        <w:rPr>
          <w:rFonts w:hint="eastAsia" w:ascii="仿宋" w:hAnsi="仿宋" w:eastAsia="仿宋"/>
          <w:sz w:val="32"/>
          <w:szCs w:val="32"/>
        </w:rPr>
        <w:t>。其原因主要项目减少，收支减少。</w:t>
      </w:r>
    </w:p>
    <w:p w14:paraId="1677814C">
      <w:pPr>
        <w:spacing w:line="600" w:lineRule="exact"/>
        <w:ind w:firstLine="640" w:firstLineChars="200"/>
        <w:rPr>
          <w:rFonts w:ascii="仿宋" w:hAnsi="仿宋" w:eastAsia="仿宋"/>
          <w:sz w:val="32"/>
          <w:szCs w:val="32"/>
        </w:rPr>
      </w:pPr>
    </w:p>
    <w:p w14:paraId="52E038B0">
      <w:pPr>
        <w:pStyle w:val="2"/>
        <w:spacing w:before="93"/>
      </w:pPr>
      <w:r>
        <w:t xml:space="preserve"> </w:t>
      </w:r>
      <w:r>
        <w:drawing>
          <wp:inline distT="0" distB="0" distL="0" distR="0">
            <wp:extent cx="5503545" cy="4191000"/>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5510975" cy="4196576"/>
                    </a:xfrm>
                    <a:prstGeom prst="rect">
                      <a:avLst/>
                    </a:prstGeom>
                  </pic:spPr>
                </pic:pic>
              </a:graphicData>
            </a:graphic>
          </wp:inline>
        </w:drawing>
      </w:r>
    </w:p>
    <w:p w14:paraId="2ACF8F89">
      <w:pPr>
        <w:spacing w:line="600" w:lineRule="exact"/>
        <w:ind w:firstLine="640" w:firstLineChars="200"/>
        <w:rPr>
          <w:rFonts w:ascii="仿宋" w:hAnsi="仿宋" w:eastAsia="仿宋"/>
          <w:sz w:val="32"/>
          <w:szCs w:val="32"/>
        </w:rPr>
      </w:pPr>
      <w:r>
        <w:rPr>
          <w:rFonts w:hint="eastAsia" w:ascii="仿宋" w:hAnsi="仿宋" w:eastAsia="仿宋"/>
          <w:sz w:val="32"/>
          <w:szCs w:val="32"/>
        </w:rPr>
        <w:t>（图5：一般公共预算财政拨款支出决算变动情况）（柱状图）</w:t>
      </w:r>
    </w:p>
    <w:p w14:paraId="00511007">
      <w:pPr>
        <w:spacing w:line="600" w:lineRule="exact"/>
        <w:ind w:firstLine="640" w:firstLineChars="200"/>
        <w:rPr>
          <w:rFonts w:ascii="仿宋" w:hAnsi="仿宋" w:eastAsia="仿宋"/>
          <w:sz w:val="32"/>
          <w:szCs w:val="32"/>
        </w:rPr>
      </w:pPr>
    </w:p>
    <w:p w14:paraId="69E31745">
      <w:pPr>
        <w:spacing w:line="600" w:lineRule="exact"/>
        <w:ind w:firstLine="643" w:firstLineChars="200"/>
        <w:outlineLvl w:val="2"/>
        <w:rPr>
          <w:rFonts w:ascii="仿宋" w:hAnsi="仿宋" w:eastAsia="仿宋"/>
          <w:b/>
          <w:sz w:val="32"/>
          <w:szCs w:val="32"/>
        </w:rPr>
      </w:pPr>
      <w:bookmarkStart w:id="37" w:name="_Toc15377211"/>
      <w:r>
        <w:rPr>
          <w:rFonts w:hint="eastAsia" w:ascii="仿宋" w:hAnsi="仿宋" w:eastAsia="仿宋"/>
          <w:b/>
          <w:sz w:val="32"/>
          <w:szCs w:val="32"/>
        </w:rPr>
        <w:t>（二）一般公共预算财政拨款支出决算结构情况</w:t>
      </w:r>
      <w:bookmarkEnd w:id="37"/>
    </w:p>
    <w:p w14:paraId="7572B7F3">
      <w:pPr>
        <w:spacing w:line="600" w:lineRule="exact"/>
        <w:ind w:firstLine="640"/>
        <w:rPr>
          <w:rFonts w:ascii="仿宋" w:hAnsi="仿宋" w:eastAsia="仿宋"/>
          <w:bCs/>
          <w:sz w:val="32"/>
          <w:szCs w:val="32"/>
        </w:rPr>
      </w:pPr>
      <w:r>
        <w:rPr>
          <w:rFonts w:ascii="仿宋" w:hAnsi="仿宋" w:eastAsia="仿宋"/>
          <w:sz w:val="32"/>
          <w:szCs w:val="32"/>
        </w:rPr>
        <w:t>20</w:t>
      </w:r>
      <w:r>
        <w:rPr>
          <w:rFonts w:hint="eastAsia" w:ascii="仿宋" w:hAnsi="仿宋" w:eastAsia="仿宋"/>
          <w:sz w:val="32"/>
          <w:szCs w:val="32"/>
        </w:rPr>
        <w:t>22年一般公共预算财政拨款支出</w:t>
      </w:r>
      <w:r>
        <w:rPr>
          <w:rFonts w:ascii="仿宋" w:hAnsi="仿宋" w:eastAsia="仿宋"/>
          <w:sz w:val="32"/>
          <w:szCs w:val="32"/>
        </w:rPr>
        <w:t>1266.12</w:t>
      </w:r>
      <w:r>
        <w:rPr>
          <w:rFonts w:hint="eastAsia" w:ascii="仿宋" w:hAnsi="仿宋" w:eastAsia="仿宋"/>
          <w:sz w:val="32"/>
          <w:szCs w:val="32"/>
        </w:rPr>
        <w:t>万元，主要用于以下方面</w:t>
      </w:r>
      <w:r>
        <w:rPr>
          <w:rFonts w:hint="eastAsia" w:ascii="仿宋" w:hAnsi="仿宋" w:eastAsia="仿宋"/>
          <w:sz w:val="32"/>
          <w:szCs w:val="32"/>
          <w:lang w:eastAsia="zh-CN"/>
        </w:rPr>
        <w:t>：</w:t>
      </w:r>
      <w:r>
        <w:rPr>
          <w:rFonts w:hint="eastAsia" w:ascii="仿宋" w:hAnsi="仿宋" w:eastAsia="仿宋"/>
          <w:bCs/>
          <w:sz w:val="32"/>
          <w:szCs w:val="32"/>
        </w:rPr>
        <w:t>一般公共服务支出</w:t>
      </w:r>
      <w:r>
        <w:rPr>
          <w:rFonts w:ascii="仿宋" w:hAnsi="仿宋" w:eastAsia="仿宋"/>
          <w:bCs/>
          <w:sz w:val="32"/>
          <w:szCs w:val="32"/>
        </w:rPr>
        <w:t>0</w:t>
      </w:r>
      <w:r>
        <w:rPr>
          <w:rFonts w:hint="eastAsia" w:ascii="仿宋" w:hAnsi="仿宋" w:eastAsia="仿宋"/>
          <w:bCs/>
          <w:sz w:val="32"/>
          <w:szCs w:val="32"/>
        </w:rPr>
        <w:t>万元，占</w:t>
      </w:r>
      <w:r>
        <w:rPr>
          <w:rFonts w:ascii="仿宋" w:hAnsi="仿宋" w:eastAsia="仿宋"/>
          <w:bCs/>
          <w:sz w:val="32"/>
          <w:szCs w:val="32"/>
        </w:rPr>
        <w:t>0%</w:t>
      </w:r>
      <w:r>
        <w:rPr>
          <w:rFonts w:hint="eastAsia" w:ascii="仿宋" w:hAnsi="仿宋" w:eastAsia="仿宋"/>
          <w:bCs/>
          <w:sz w:val="32"/>
          <w:szCs w:val="32"/>
        </w:rPr>
        <w:t>；教育支出</w:t>
      </w:r>
      <w:r>
        <w:rPr>
          <w:rFonts w:ascii="仿宋" w:hAnsi="仿宋" w:eastAsia="仿宋"/>
          <w:bCs/>
          <w:sz w:val="32"/>
          <w:szCs w:val="32"/>
        </w:rPr>
        <w:t>0</w:t>
      </w:r>
      <w:r>
        <w:rPr>
          <w:rFonts w:hint="eastAsia" w:ascii="仿宋" w:hAnsi="仿宋" w:eastAsia="仿宋"/>
          <w:bCs/>
          <w:sz w:val="32"/>
          <w:szCs w:val="32"/>
        </w:rPr>
        <w:t>万元，占</w:t>
      </w:r>
      <w:r>
        <w:rPr>
          <w:rFonts w:ascii="仿宋" w:hAnsi="仿宋" w:eastAsia="仿宋"/>
          <w:bCs/>
          <w:sz w:val="32"/>
          <w:szCs w:val="32"/>
        </w:rPr>
        <w:t>0%</w:t>
      </w:r>
      <w:r>
        <w:rPr>
          <w:rFonts w:hint="eastAsia" w:ascii="仿宋" w:hAnsi="仿宋" w:eastAsia="仿宋"/>
          <w:bCs/>
          <w:sz w:val="32"/>
          <w:szCs w:val="32"/>
        </w:rPr>
        <w:t>；科学技术支出</w:t>
      </w:r>
      <w:r>
        <w:rPr>
          <w:rFonts w:ascii="仿宋" w:hAnsi="仿宋" w:eastAsia="仿宋"/>
          <w:bCs/>
          <w:sz w:val="32"/>
          <w:szCs w:val="32"/>
        </w:rPr>
        <w:t>0</w:t>
      </w:r>
      <w:r>
        <w:rPr>
          <w:rFonts w:hint="eastAsia" w:ascii="仿宋" w:hAnsi="仿宋" w:eastAsia="仿宋"/>
          <w:bCs/>
          <w:sz w:val="32"/>
          <w:szCs w:val="32"/>
        </w:rPr>
        <w:t>万元，占</w:t>
      </w:r>
      <w:r>
        <w:rPr>
          <w:rFonts w:ascii="仿宋" w:hAnsi="仿宋" w:eastAsia="仿宋"/>
          <w:bCs/>
          <w:sz w:val="32"/>
          <w:szCs w:val="32"/>
        </w:rPr>
        <w:t>0%</w:t>
      </w:r>
      <w:r>
        <w:rPr>
          <w:rFonts w:hint="eastAsia" w:ascii="仿宋" w:hAnsi="仿宋" w:eastAsia="仿宋"/>
          <w:bCs/>
          <w:sz w:val="32"/>
          <w:szCs w:val="32"/>
        </w:rPr>
        <w:t>；文化旅游体育与传媒支出</w:t>
      </w:r>
      <w:r>
        <w:rPr>
          <w:rFonts w:ascii="仿宋" w:hAnsi="仿宋" w:eastAsia="仿宋"/>
          <w:bCs/>
          <w:sz w:val="32"/>
          <w:szCs w:val="32"/>
        </w:rPr>
        <w:t>0</w:t>
      </w:r>
      <w:r>
        <w:rPr>
          <w:rFonts w:hint="eastAsia" w:ascii="仿宋" w:hAnsi="仿宋" w:eastAsia="仿宋"/>
          <w:bCs/>
          <w:sz w:val="32"/>
          <w:szCs w:val="32"/>
        </w:rPr>
        <w:t>万元，占</w:t>
      </w:r>
      <w:r>
        <w:rPr>
          <w:rFonts w:ascii="仿宋" w:hAnsi="仿宋" w:eastAsia="仿宋"/>
          <w:bCs/>
          <w:sz w:val="32"/>
          <w:szCs w:val="32"/>
        </w:rPr>
        <w:t>0%</w:t>
      </w:r>
      <w:r>
        <w:rPr>
          <w:rFonts w:hint="eastAsia" w:ascii="仿宋" w:hAnsi="仿宋" w:eastAsia="仿宋"/>
          <w:bCs/>
          <w:sz w:val="32"/>
          <w:szCs w:val="32"/>
        </w:rPr>
        <w:t>；社会保障和就业支出</w:t>
      </w:r>
      <w:r>
        <w:rPr>
          <w:rFonts w:ascii="仿宋" w:hAnsi="仿宋" w:eastAsia="仿宋"/>
          <w:bCs/>
          <w:sz w:val="32"/>
          <w:szCs w:val="32"/>
        </w:rPr>
        <w:t>115.16</w:t>
      </w:r>
      <w:r>
        <w:rPr>
          <w:rFonts w:hint="eastAsia" w:ascii="仿宋" w:hAnsi="仿宋" w:eastAsia="仿宋"/>
          <w:bCs/>
          <w:sz w:val="32"/>
          <w:szCs w:val="32"/>
        </w:rPr>
        <w:t>万元，占</w:t>
      </w:r>
      <w:r>
        <w:rPr>
          <w:rFonts w:ascii="仿宋" w:hAnsi="仿宋" w:eastAsia="仿宋"/>
          <w:bCs/>
          <w:sz w:val="32"/>
          <w:szCs w:val="32"/>
        </w:rPr>
        <w:t>9.1%</w:t>
      </w:r>
      <w:r>
        <w:rPr>
          <w:rFonts w:hint="eastAsia" w:ascii="仿宋" w:hAnsi="仿宋" w:eastAsia="仿宋"/>
          <w:bCs/>
          <w:sz w:val="32"/>
          <w:szCs w:val="32"/>
        </w:rPr>
        <w:t>；卫生健康支出</w:t>
      </w:r>
      <w:r>
        <w:rPr>
          <w:rFonts w:ascii="仿宋" w:hAnsi="仿宋" w:eastAsia="仿宋"/>
          <w:bCs/>
          <w:sz w:val="32"/>
          <w:szCs w:val="32"/>
        </w:rPr>
        <w:t>18.58</w:t>
      </w:r>
      <w:r>
        <w:rPr>
          <w:rFonts w:hint="eastAsia" w:ascii="仿宋" w:hAnsi="仿宋" w:eastAsia="仿宋"/>
          <w:bCs/>
          <w:sz w:val="32"/>
          <w:szCs w:val="32"/>
        </w:rPr>
        <w:t>万元，占</w:t>
      </w:r>
      <w:r>
        <w:rPr>
          <w:rFonts w:ascii="仿宋" w:hAnsi="仿宋" w:eastAsia="仿宋"/>
          <w:bCs/>
          <w:sz w:val="32"/>
          <w:szCs w:val="32"/>
        </w:rPr>
        <w:t>1.47%</w:t>
      </w:r>
      <w:r>
        <w:rPr>
          <w:rFonts w:hint="eastAsia" w:ascii="仿宋" w:hAnsi="仿宋" w:eastAsia="仿宋"/>
          <w:bCs/>
          <w:sz w:val="32"/>
          <w:szCs w:val="32"/>
        </w:rPr>
        <w:t>；住房保障支出</w:t>
      </w:r>
      <w:r>
        <w:rPr>
          <w:rFonts w:ascii="仿宋" w:hAnsi="仿宋" w:eastAsia="仿宋"/>
          <w:bCs/>
          <w:sz w:val="32"/>
          <w:szCs w:val="32"/>
        </w:rPr>
        <w:t>64.15</w:t>
      </w:r>
      <w:r>
        <w:rPr>
          <w:rFonts w:hint="eastAsia" w:ascii="仿宋" w:hAnsi="仿宋" w:eastAsia="仿宋"/>
          <w:bCs/>
          <w:sz w:val="32"/>
          <w:szCs w:val="32"/>
        </w:rPr>
        <w:t>万元，占</w:t>
      </w:r>
      <w:r>
        <w:rPr>
          <w:rFonts w:ascii="仿宋" w:hAnsi="仿宋" w:eastAsia="仿宋"/>
          <w:bCs/>
          <w:sz w:val="32"/>
          <w:szCs w:val="32"/>
        </w:rPr>
        <w:t>5.07%</w:t>
      </w:r>
      <w:r>
        <w:rPr>
          <w:rFonts w:hint="eastAsia" w:ascii="仿宋" w:hAnsi="仿宋" w:eastAsia="仿宋"/>
          <w:bCs/>
          <w:sz w:val="32"/>
          <w:szCs w:val="32"/>
        </w:rPr>
        <w:t>；灾害防治及应急管理支出</w:t>
      </w:r>
      <w:r>
        <w:rPr>
          <w:rFonts w:ascii="仿宋" w:hAnsi="仿宋" w:eastAsia="仿宋"/>
          <w:bCs/>
          <w:sz w:val="32"/>
          <w:szCs w:val="32"/>
        </w:rPr>
        <w:t>1068.23</w:t>
      </w:r>
      <w:r>
        <w:rPr>
          <w:rFonts w:hint="eastAsia" w:ascii="仿宋" w:hAnsi="仿宋" w:eastAsia="仿宋"/>
          <w:bCs/>
          <w:sz w:val="32"/>
          <w:szCs w:val="32"/>
        </w:rPr>
        <w:t>万元，占8</w:t>
      </w:r>
      <w:r>
        <w:rPr>
          <w:rFonts w:ascii="仿宋" w:hAnsi="仿宋" w:eastAsia="仿宋"/>
          <w:bCs/>
          <w:sz w:val="32"/>
          <w:szCs w:val="32"/>
        </w:rPr>
        <w:t>4.37</w:t>
      </w:r>
      <w:r>
        <w:rPr>
          <w:rFonts w:hint="eastAsia" w:ascii="仿宋" w:hAnsi="仿宋" w:eastAsia="仿宋"/>
          <w:bCs/>
          <w:sz w:val="32"/>
          <w:szCs w:val="32"/>
        </w:rPr>
        <w:t>%。</w:t>
      </w:r>
    </w:p>
    <w:p w14:paraId="21E5D1FF">
      <w:pPr>
        <w:spacing w:line="600" w:lineRule="exact"/>
        <w:ind w:firstLine="640"/>
        <w:rPr>
          <w:rFonts w:ascii="仿宋" w:hAnsi="仿宋" w:eastAsia="仿宋"/>
          <w:b/>
          <w:sz w:val="32"/>
          <w:szCs w:val="32"/>
        </w:rPr>
      </w:pPr>
      <w:r>
        <w:rPr>
          <w:rFonts w:hint="eastAsia" w:ascii="仿宋" w:hAnsi="仿宋" w:eastAsia="仿宋"/>
          <w:b/>
          <w:sz w:val="32"/>
          <w:szCs w:val="32"/>
        </w:rPr>
        <w:t>（注：数据来源于财决01-1表，仅罗列本部门涉及的全部功能分类科目，至类级。）</w:t>
      </w:r>
    </w:p>
    <w:p w14:paraId="35EADB7D">
      <w:pPr>
        <w:pStyle w:val="2"/>
        <w:spacing w:before="93"/>
      </w:pPr>
      <w:r>
        <w:drawing>
          <wp:inline distT="0" distB="0" distL="0" distR="0">
            <wp:extent cx="5647690" cy="4949825"/>
            <wp:effectExtent l="0" t="0" r="0" b="3175"/>
            <wp:docPr id="13" name="图片 13" descr="C:\Users\Administrator\Desktop\定期要删除的临时资料\微信\WeChat Files\wxid_1y4uycj7qfjk21\FileStorage\Temp\1701394372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定期要删除的临时资料\微信\WeChat Files\wxid_1y4uycj7qfjk21\FileStorage\Temp\17013943726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47690" cy="4950182"/>
                    </a:xfrm>
                    <a:prstGeom prst="rect">
                      <a:avLst/>
                    </a:prstGeom>
                    <a:noFill/>
                    <a:ln>
                      <a:noFill/>
                    </a:ln>
                  </pic:spPr>
                </pic:pic>
              </a:graphicData>
            </a:graphic>
          </wp:inline>
        </w:drawing>
      </w:r>
    </w:p>
    <w:p w14:paraId="084ED32C">
      <w:pPr>
        <w:spacing w:line="600" w:lineRule="exact"/>
        <w:ind w:firstLine="640" w:firstLineChars="200"/>
        <w:rPr>
          <w:rFonts w:ascii="仿宋" w:hAnsi="仿宋" w:eastAsia="仿宋"/>
          <w:sz w:val="32"/>
          <w:szCs w:val="32"/>
        </w:rPr>
      </w:pPr>
      <w:r>
        <w:rPr>
          <w:rFonts w:hint="eastAsia" w:ascii="仿宋" w:hAnsi="仿宋" w:eastAsia="仿宋"/>
          <w:sz w:val="32"/>
          <w:szCs w:val="32"/>
        </w:rPr>
        <w:t>（图6：一般公共预算财政拨款支出决算结构）（饼状图）</w:t>
      </w:r>
    </w:p>
    <w:p w14:paraId="711B28CC">
      <w:pPr>
        <w:spacing w:line="600" w:lineRule="exact"/>
        <w:ind w:firstLine="640" w:firstLineChars="200"/>
        <w:rPr>
          <w:rFonts w:ascii="仿宋" w:hAnsi="仿宋" w:eastAsia="仿宋"/>
          <w:sz w:val="32"/>
          <w:szCs w:val="32"/>
        </w:rPr>
      </w:pPr>
    </w:p>
    <w:p w14:paraId="3C1B5B59">
      <w:pPr>
        <w:spacing w:line="600" w:lineRule="exact"/>
        <w:ind w:firstLine="643" w:firstLineChars="200"/>
        <w:outlineLvl w:val="2"/>
        <w:rPr>
          <w:rFonts w:ascii="仿宋" w:hAnsi="仿宋" w:eastAsia="仿宋"/>
          <w:b/>
          <w:sz w:val="32"/>
          <w:szCs w:val="32"/>
        </w:rPr>
      </w:pPr>
      <w:bookmarkStart w:id="38" w:name="_Toc15377212"/>
      <w:r>
        <w:rPr>
          <w:rFonts w:hint="eastAsia" w:ascii="仿宋" w:hAnsi="仿宋" w:eastAsia="仿宋"/>
          <w:b/>
          <w:sz w:val="32"/>
          <w:szCs w:val="32"/>
        </w:rPr>
        <w:t>（三）一般公共预算财政拨款支出决算具体情况</w:t>
      </w:r>
      <w:bookmarkEnd w:id="38"/>
    </w:p>
    <w:p w14:paraId="5A635FC3">
      <w:pPr>
        <w:spacing w:line="600" w:lineRule="exact"/>
        <w:ind w:firstLine="640" w:firstLineChars="200"/>
        <w:outlineLvl w:val="2"/>
        <w:rPr>
          <w:rFonts w:ascii="仿宋" w:hAnsi="仿宋" w:eastAsia="仿宋"/>
          <w:bCs/>
          <w:sz w:val="32"/>
          <w:szCs w:val="32"/>
        </w:rPr>
      </w:pPr>
      <w:bookmarkStart w:id="39" w:name="_Toc15377213"/>
      <w:bookmarkStart w:id="40" w:name="_Toc15377444"/>
      <w:bookmarkStart w:id="41" w:name="_Toc15378460"/>
      <w:r>
        <w:rPr>
          <w:rFonts w:hint="eastAsia" w:ascii="仿宋" w:hAnsi="仿宋" w:eastAsia="仿宋"/>
          <w:bCs/>
          <w:sz w:val="32"/>
          <w:szCs w:val="32"/>
        </w:rPr>
        <w:t>2022年一般公共预算支出决算数为</w:t>
      </w:r>
      <w:r>
        <w:rPr>
          <w:rFonts w:ascii="仿宋" w:hAnsi="仿宋" w:eastAsia="仿宋"/>
          <w:bCs/>
          <w:sz w:val="32"/>
          <w:szCs w:val="32"/>
        </w:rPr>
        <w:t>1266.12</w:t>
      </w:r>
      <w:r>
        <w:rPr>
          <w:rFonts w:hint="eastAsia" w:ascii="仿宋" w:hAnsi="仿宋" w:eastAsia="仿宋"/>
          <w:bCs/>
          <w:sz w:val="32"/>
          <w:szCs w:val="32"/>
        </w:rPr>
        <w:t>，</w:t>
      </w:r>
      <w:r>
        <w:rPr>
          <w:rStyle w:val="16"/>
          <w:rFonts w:hint="eastAsia" w:ascii="仿宋" w:hAnsi="仿宋" w:eastAsia="仿宋"/>
          <w:b w:val="0"/>
          <w:bCs/>
          <w:sz w:val="32"/>
          <w:szCs w:val="32"/>
        </w:rPr>
        <w:t>完成预算</w:t>
      </w:r>
      <w:r>
        <w:rPr>
          <w:rStyle w:val="16"/>
          <w:rFonts w:ascii="仿宋" w:hAnsi="仿宋" w:eastAsia="仿宋"/>
          <w:b w:val="0"/>
          <w:bCs/>
          <w:sz w:val="32"/>
          <w:szCs w:val="32"/>
        </w:rPr>
        <w:t>100%</w:t>
      </w:r>
      <w:r>
        <w:rPr>
          <w:rStyle w:val="16"/>
          <w:rFonts w:hint="eastAsia" w:ascii="仿宋" w:hAnsi="仿宋" w:eastAsia="仿宋"/>
          <w:b w:val="0"/>
          <w:bCs/>
          <w:sz w:val="32"/>
          <w:szCs w:val="32"/>
        </w:rPr>
        <w:t>。其中：</w:t>
      </w:r>
      <w:bookmarkEnd w:id="39"/>
      <w:bookmarkEnd w:id="40"/>
      <w:bookmarkEnd w:id="41"/>
    </w:p>
    <w:p w14:paraId="104BF5B4">
      <w:pPr>
        <w:spacing w:line="600" w:lineRule="exact"/>
        <w:ind w:firstLine="640" w:firstLineChars="200"/>
        <w:rPr>
          <w:rFonts w:ascii="仿宋" w:hAnsi="仿宋" w:eastAsia="仿宋"/>
          <w:b/>
          <w:sz w:val="32"/>
          <w:szCs w:val="32"/>
        </w:rPr>
      </w:pPr>
      <w:r>
        <w:rPr>
          <w:rStyle w:val="16"/>
          <w:rFonts w:ascii="仿宋" w:hAnsi="仿宋" w:eastAsia="仿宋"/>
          <w:b w:val="0"/>
          <w:bCs/>
          <w:sz w:val="32"/>
          <w:szCs w:val="32"/>
        </w:rPr>
        <w:t>1.</w:t>
      </w:r>
      <w:r>
        <w:rPr>
          <w:rStyle w:val="16"/>
          <w:rFonts w:hint="eastAsia" w:ascii="仿宋" w:hAnsi="仿宋" w:eastAsia="仿宋"/>
          <w:b w:val="0"/>
          <w:bCs/>
          <w:sz w:val="32"/>
          <w:szCs w:val="32"/>
        </w:rPr>
        <w:t>一般公共服务（类）</w:t>
      </w:r>
      <w:r>
        <w:rPr>
          <w:rStyle w:val="16"/>
          <w:rFonts w:ascii="仿宋" w:hAnsi="仿宋" w:eastAsia="仿宋"/>
          <w:b w:val="0"/>
          <w:bCs/>
          <w:sz w:val="32"/>
          <w:szCs w:val="32"/>
        </w:rPr>
        <w:t>***</w:t>
      </w:r>
      <w:r>
        <w:rPr>
          <w:rStyle w:val="16"/>
          <w:rFonts w:hint="eastAsia" w:ascii="仿宋" w:hAnsi="仿宋" w:eastAsia="仿宋"/>
          <w:b w:val="0"/>
          <w:bCs/>
          <w:sz w:val="32"/>
          <w:szCs w:val="32"/>
        </w:rPr>
        <w:t>（款）</w:t>
      </w:r>
      <w:r>
        <w:rPr>
          <w:rStyle w:val="16"/>
          <w:rFonts w:ascii="仿宋" w:hAnsi="仿宋" w:eastAsia="仿宋"/>
          <w:b w:val="0"/>
          <w:bCs/>
          <w:sz w:val="32"/>
          <w:szCs w:val="32"/>
        </w:rPr>
        <w:t>***</w:t>
      </w:r>
      <w:r>
        <w:rPr>
          <w:rStyle w:val="16"/>
          <w:rFonts w:hint="eastAsia" w:ascii="仿宋" w:hAnsi="仿宋" w:eastAsia="仿宋"/>
          <w:b w:val="0"/>
          <w:bCs/>
          <w:sz w:val="32"/>
          <w:szCs w:val="32"/>
        </w:rPr>
        <w:t>（项）</w:t>
      </w:r>
      <w:r>
        <w:rPr>
          <w:rStyle w:val="16"/>
          <w:rFonts w:hint="eastAsia" w:ascii="仿宋" w:hAnsi="仿宋" w:eastAsia="仿宋"/>
          <w:b w:val="0"/>
          <w:bCs/>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本年无此项业务发生。</w:t>
      </w:r>
    </w:p>
    <w:p w14:paraId="2B79FB50">
      <w:pPr>
        <w:spacing w:line="600" w:lineRule="exact"/>
        <w:ind w:firstLine="640" w:firstLineChars="200"/>
        <w:rPr>
          <w:rFonts w:ascii="仿宋" w:hAnsi="仿宋" w:eastAsia="仿宋"/>
          <w:b/>
          <w:sz w:val="32"/>
          <w:szCs w:val="32"/>
        </w:rPr>
      </w:pPr>
      <w:r>
        <w:rPr>
          <w:rStyle w:val="16"/>
          <w:rFonts w:ascii="仿宋" w:hAnsi="仿宋" w:eastAsia="仿宋"/>
          <w:b w:val="0"/>
          <w:sz w:val="32"/>
          <w:szCs w:val="32"/>
        </w:rPr>
        <w:t>2.</w:t>
      </w:r>
      <w:r>
        <w:rPr>
          <w:rStyle w:val="16"/>
          <w:rFonts w:hint="eastAsia" w:ascii="仿宋" w:hAnsi="仿宋" w:eastAsia="仿宋"/>
          <w:b w:val="0"/>
          <w:sz w:val="32"/>
          <w:szCs w:val="32"/>
        </w:rPr>
        <w:t>教育（类）</w:t>
      </w:r>
      <w:r>
        <w:rPr>
          <w:rStyle w:val="16"/>
          <w:rFonts w:ascii="仿宋" w:hAnsi="仿宋" w:eastAsia="仿宋"/>
          <w:b w:val="0"/>
          <w:sz w:val="32"/>
          <w:szCs w:val="32"/>
        </w:rPr>
        <w:t>***</w:t>
      </w:r>
      <w:r>
        <w:rPr>
          <w:rStyle w:val="16"/>
          <w:rFonts w:hint="eastAsia" w:ascii="仿宋" w:hAnsi="仿宋" w:eastAsia="仿宋"/>
          <w:b w:val="0"/>
          <w:sz w:val="32"/>
          <w:szCs w:val="32"/>
        </w:rPr>
        <w:t>（款）</w:t>
      </w:r>
      <w:r>
        <w:rPr>
          <w:rStyle w:val="16"/>
          <w:rFonts w:ascii="仿宋" w:hAnsi="仿宋" w:eastAsia="仿宋"/>
          <w:b w:val="0"/>
          <w:sz w:val="32"/>
          <w:szCs w:val="32"/>
        </w:rPr>
        <w:t>***</w:t>
      </w:r>
      <w:r>
        <w:rPr>
          <w:rStyle w:val="16"/>
          <w:rFonts w:hint="eastAsia" w:ascii="仿宋" w:hAnsi="仿宋" w:eastAsia="仿宋"/>
          <w:b w:val="0"/>
          <w:sz w:val="32"/>
          <w:szCs w:val="32"/>
        </w:rPr>
        <w:t>（项）</w:t>
      </w:r>
      <w:r>
        <w:rPr>
          <w:rStyle w:val="16"/>
          <w:rFonts w:hint="eastAsia" w:ascii="仿宋" w:hAnsi="仿宋" w:eastAsia="仿宋"/>
          <w:b w:val="0"/>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本年无此项业务发生。</w:t>
      </w:r>
    </w:p>
    <w:p w14:paraId="0B4C2930">
      <w:pPr>
        <w:spacing w:line="600" w:lineRule="exact"/>
        <w:ind w:firstLine="640" w:firstLineChars="200"/>
        <w:rPr>
          <w:rFonts w:ascii="仿宋" w:hAnsi="仿宋" w:eastAsia="仿宋"/>
          <w:b/>
          <w:sz w:val="32"/>
          <w:szCs w:val="32"/>
        </w:rPr>
      </w:pPr>
      <w:r>
        <w:rPr>
          <w:rStyle w:val="16"/>
          <w:rFonts w:ascii="仿宋" w:hAnsi="仿宋" w:eastAsia="仿宋"/>
          <w:b w:val="0"/>
          <w:sz w:val="32"/>
          <w:szCs w:val="32"/>
        </w:rPr>
        <w:t>3.</w:t>
      </w:r>
      <w:r>
        <w:rPr>
          <w:rStyle w:val="16"/>
          <w:rFonts w:hint="eastAsia" w:ascii="仿宋" w:hAnsi="仿宋" w:eastAsia="仿宋"/>
          <w:b w:val="0"/>
          <w:sz w:val="32"/>
          <w:szCs w:val="32"/>
        </w:rPr>
        <w:t>科学技术（类）</w:t>
      </w:r>
      <w:r>
        <w:rPr>
          <w:rStyle w:val="16"/>
          <w:rFonts w:ascii="仿宋" w:hAnsi="仿宋" w:eastAsia="仿宋"/>
          <w:b w:val="0"/>
          <w:sz w:val="32"/>
          <w:szCs w:val="32"/>
        </w:rPr>
        <w:t>***</w:t>
      </w:r>
      <w:r>
        <w:rPr>
          <w:rStyle w:val="16"/>
          <w:rFonts w:hint="eastAsia" w:ascii="仿宋" w:hAnsi="仿宋" w:eastAsia="仿宋"/>
          <w:b w:val="0"/>
          <w:sz w:val="32"/>
          <w:szCs w:val="32"/>
        </w:rPr>
        <w:t>（款）</w:t>
      </w:r>
      <w:r>
        <w:rPr>
          <w:rStyle w:val="16"/>
          <w:rFonts w:ascii="仿宋" w:hAnsi="仿宋" w:eastAsia="仿宋"/>
          <w:b w:val="0"/>
          <w:sz w:val="32"/>
          <w:szCs w:val="32"/>
        </w:rPr>
        <w:t>***</w:t>
      </w:r>
      <w:r>
        <w:rPr>
          <w:rStyle w:val="16"/>
          <w:rFonts w:hint="eastAsia" w:ascii="仿宋" w:hAnsi="仿宋" w:eastAsia="仿宋"/>
          <w:b w:val="0"/>
          <w:sz w:val="32"/>
          <w:szCs w:val="32"/>
        </w:rPr>
        <w:t>（项）</w:t>
      </w:r>
      <w:r>
        <w:rPr>
          <w:rStyle w:val="16"/>
          <w:rFonts w:hint="eastAsia" w:ascii="仿宋" w:hAnsi="仿宋" w:eastAsia="仿宋"/>
          <w:b w:val="0"/>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本年无此项业务发生。</w:t>
      </w:r>
    </w:p>
    <w:p w14:paraId="42CC9277">
      <w:pPr>
        <w:spacing w:line="600" w:lineRule="exact"/>
        <w:ind w:firstLine="640" w:firstLineChars="200"/>
        <w:rPr>
          <w:rFonts w:ascii="仿宋" w:hAnsi="仿宋" w:eastAsia="仿宋"/>
          <w:b/>
          <w:sz w:val="32"/>
          <w:szCs w:val="32"/>
        </w:rPr>
      </w:pPr>
      <w:r>
        <w:rPr>
          <w:rStyle w:val="16"/>
          <w:rFonts w:ascii="仿宋" w:hAnsi="仿宋" w:eastAsia="仿宋"/>
          <w:b w:val="0"/>
          <w:sz w:val="32"/>
          <w:szCs w:val="32"/>
        </w:rPr>
        <w:t>4.</w:t>
      </w:r>
      <w:r>
        <w:rPr>
          <w:rStyle w:val="16"/>
          <w:rFonts w:hint="eastAsia" w:ascii="仿宋" w:hAnsi="仿宋" w:eastAsia="仿宋"/>
          <w:b w:val="0"/>
          <w:sz w:val="32"/>
          <w:szCs w:val="32"/>
        </w:rPr>
        <w:t>文化旅游体育与传媒（类）</w:t>
      </w:r>
      <w:r>
        <w:rPr>
          <w:rStyle w:val="16"/>
          <w:rFonts w:ascii="仿宋" w:hAnsi="仿宋" w:eastAsia="仿宋"/>
          <w:b w:val="0"/>
          <w:sz w:val="32"/>
          <w:szCs w:val="32"/>
        </w:rPr>
        <w:t>***</w:t>
      </w:r>
      <w:r>
        <w:rPr>
          <w:rStyle w:val="16"/>
          <w:rFonts w:hint="eastAsia" w:ascii="仿宋" w:hAnsi="仿宋" w:eastAsia="仿宋"/>
          <w:b w:val="0"/>
          <w:sz w:val="32"/>
          <w:szCs w:val="32"/>
        </w:rPr>
        <w:t>（款）</w:t>
      </w:r>
      <w:r>
        <w:rPr>
          <w:rStyle w:val="16"/>
          <w:rFonts w:ascii="仿宋" w:hAnsi="仿宋" w:eastAsia="仿宋"/>
          <w:b w:val="0"/>
          <w:sz w:val="32"/>
          <w:szCs w:val="32"/>
        </w:rPr>
        <w:t>***</w:t>
      </w:r>
      <w:r>
        <w:rPr>
          <w:rStyle w:val="16"/>
          <w:rFonts w:hint="eastAsia" w:ascii="仿宋" w:hAnsi="仿宋" w:eastAsia="仿宋"/>
          <w:b w:val="0"/>
          <w:sz w:val="32"/>
          <w:szCs w:val="32"/>
        </w:rPr>
        <w:t>（项）</w:t>
      </w:r>
      <w:r>
        <w:rPr>
          <w:rStyle w:val="16"/>
          <w:rFonts w:hint="eastAsia" w:ascii="仿宋" w:hAnsi="仿宋" w:eastAsia="仿宋"/>
          <w:b w:val="0"/>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本年无此项业务发生。</w:t>
      </w:r>
    </w:p>
    <w:p w14:paraId="35CEE409">
      <w:pPr>
        <w:spacing w:line="600" w:lineRule="exact"/>
        <w:ind w:firstLine="640" w:firstLineChars="200"/>
        <w:rPr>
          <w:rStyle w:val="16"/>
          <w:rFonts w:ascii="仿宋" w:hAnsi="仿宋" w:eastAsia="仿宋"/>
          <w:b w:val="0"/>
          <w:bCs/>
          <w:sz w:val="32"/>
          <w:szCs w:val="32"/>
        </w:rPr>
      </w:pPr>
      <w:r>
        <w:rPr>
          <w:rStyle w:val="16"/>
          <w:rFonts w:ascii="仿宋" w:hAnsi="仿宋" w:eastAsia="仿宋"/>
          <w:b w:val="0"/>
          <w:sz w:val="32"/>
          <w:szCs w:val="32"/>
        </w:rPr>
        <w:t>5.</w:t>
      </w:r>
      <w:r>
        <w:rPr>
          <w:rStyle w:val="16"/>
          <w:rFonts w:hint="eastAsia" w:ascii="仿宋" w:hAnsi="仿宋" w:eastAsia="仿宋"/>
          <w:b w:val="0"/>
          <w:sz w:val="32"/>
          <w:szCs w:val="32"/>
        </w:rPr>
        <w:t>社会保障和就业（类）行政事业单位养老支出（款）行政事业单位养老支出（项）</w:t>
      </w:r>
      <w:r>
        <w:rPr>
          <w:rStyle w:val="16"/>
          <w:rFonts w:hint="eastAsia" w:ascii="仿宋" w:hAnsi="仿宋" w:eastAsia="仿宋"/>
          <w:b w:val="0"/>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支出决算数为</w:t>
      </w:r>
      <w:r>
        <w:rPr>
          <w:rStyle w:val="16"/>
          <w:rFonts w:ascii="仿宋" w:hAnsi="仿宋" w:eastAsia="仿宋"/>
          <w:b w:val="0"/>
          <w:bCs/>
          <w:sz w:val="32"/>
          <w:szCs w:val="32"/>
        </w:rPr>
        <w:t>45.31</w:t>
      </w:r>
      <w:r>
        <w:rPr>
          <w:rStyle w:val="16"/>
          <w:rFonts w:hint="eastAsia" w:ascii="仿宋" w:hAnsi="仿宋" w:eastAsia="仿宋"/>
          <w:b w:val="0"/>
          <w:bCs/>
          <w:sz w:val="32"/>
          <w:szCs w:val="32"/>
        </w:rPr>
        <w:t>万元，完成预算</w:t>
      </w:r>
      <w:r>
        <w:rPr>
          <w:rStyle w:val="16"/>
          <w:rFonts w:ascii="仿宋" w:hAnsi="仿宋" w:eastAsia="仿宋"/>
          <w:b w:val="0"/>
          <w:bCs/>
          <w:sz w:val="32"/>
          <w:szCs w:val="32"/>
        </w:rPr>
        <w:t>100%</w:t>
      </w:r>
      <w:r>
        <w:rPr>
          <w:rStyle w:val="16"/>
          <w:rFonts w:hint="eastAsia" w:ascii="仿宋" w:hAnsi="仿宋" w:eastAsia="仿宋"/>
          <w:b w:val="0"/>
          <w:bCs/>
          <w:sz w:val="32"/>
          <w:szCs w:val="32"/>
        </w:rPr>
        <w:t>，决算数与预算数持平。</w:t>
      </w:r>
    </w:p>
    <w:p w14:paraId="103B5BCF">
      <w:pPr>
        <w:spacing w:line="600" w:lineRule="exact"/>
        <w:ind w:firstLine="640" w:firstLineChars="200"/>
        <w:rPr>
          <w:rFonts w:ascii="仿宋" w:hAnsi="仿宋" w:eastAsia="仿宋"/>
          <w:b/>
          <w:sz w:val="32"/>
          <w:szCs w:val="32"/>
        </w:rPr>
      </w:pPr>
      <w:r>
        <w:rPr>
          <w:rStyle w:val="16"/>
          <w:rFonts w:ascii="仿宋" w:hAnsi="仿宋" w:eastAsia="仿宋"/>
          <w:b w:val="0"/>
          <w:sz w:val="32"/>
          <w:szCs w:val="32"/>
        </w:rPr>
        <w:t>6.</w:t>
      </w:r>
      <w:r>
        <w:rPr>
          <w:rStyle w:val="16"/>
          <w:rFonts w:hint="eastAsia" w:ascii="仿宋" w:hAnsi="仿宋" w:eastAsia="仿宋"/>
          <w:b w:val="0"/>
          <w:sz w:val="32"/>
          <w:szCs w:val="32"/>
        </w:rPr>
        <w:t>社会保障和就业（类）行政事业单位养老支出（款）机关事业单位职业年金缴费支出（项）</w:t>
      </w:r>
      <w:r>
        <w:rPr>
          <w:rStyle w:val="16"/>
          <w:rFonts w:hint="eastAsia" w:ascii="仿宋" w:hAnsi="仿宋" w:eastAsia="仿宋"/>
          <w:b w:val="0"/>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支出决算数为</w:t>
      </w:r>
      <w:r>
        <w:rPr>
          <w:rStyle w:val="16"/>
          <w:rFonts w:ascii="仿宋" w:hAnsi="仿宋" w:eastAsia="仿宋"/>
          <w:b w:val="0"/>
          <w:bCs/>
          <w:sz w:val="32"/>
          <w:szCs w:val="32"/>
        </w:rPr>
        <w:t>23.88</w:t>
      </w:r>
      <w:r>
        <w:rPr>
          <w:rStyle w:val="16"/>
          <w:rFonts w:hint="eastAsia" w:ascii="仿宋" w:hAnsi="仿宋" w:eastAsia="仿宋"/>
          <w:b w:val="0"/>
          <w:bCs/>
          <w:sz w:val="32"/>
          <w:szCs w:val="32"/>
        </w:rPr>
        <w:t>万元，完成预算</w:t>
      </w:r>
      <w:r>
        <w:rPr>
          <w:rStyle w:val="16"/>
          <w:rFonts w:ascii="仿宋" w:hAnsi="仿宋" w:eastAsia="仿宋"/>
          <w:b w:val="0"/>
          <w:bCs/>
          <w:sz w:val="32"/>
          <w:szCs w:val="32"/>
        </w:rPr>
        <w:t>100%</w:t>
      </w:r>
      <w:r>
        <w:rPr>
          <w:rStyle w:val="16"/>
          <w:rFonts w:hint="eastAsia" w:ascii="仿宋" w:hAnsi="仿宋" w:eastAsia="仿宋"/>
          <w:b w:val="0"/>
          <w:bCs/>
          <w:sz w:val="32"/>
          <w:szCs w:val="32"/>
        </w:rPr>
        <w:t>，决算数与预算数持平。</w:t>
      </w:r>
    </w:p>
    <w:p w14:paraId="4423A0F1">
      <w:pPr>
        <w:spacing w:line="600" w:lineRule="exact"/>
        <w:ind w:firstLine="640" w:firstLineChars="200"/>
        <w:rPr>
          <w:rStyle w:val="16"/>
          <w:rFonts w:ascii="仿宋" w:hAnsi="仿宋" w:eastAsia="仿宋"/>
          <w:b w:val="0"/>
          <w:bCs/>
          <w:sz w:val="32"/>
          <w:szCs w:val="32"/>
        </w:rPr>
      </w:pPr>
      <w:r>
        <w:rPr>
          <w:rStyle w:val="16"/>
          <w:rFonts w:ascii="仿宋" w:hAnsi="仿宋" w:eastAsia="仿宋"/>
          <w:b w:val="0"/>
          <w:bCs/>
          <w:sz w:val="32"/>
          <w:szCs w:val="32"/>
        </w:rPr>
        <w:t>7.</w:t>
      </w:r>
      <w:r>
        <w:rPr>
          <w:rStyle w:val="16"/>
          <w:rFonts w:hint="eastAsia" w:ascii="仿宋" w:hAnsi="仿宋" w:eastAsia="仿宋"/>
          <w:b w:val="0"/>
          <w:bCs/>
          <w:sz w:val="32"/>
          <w:szCs w:val="32"/>
        </w:rPr>
        <w:t>社会保障和就业（类）抚恤（款）死亡抚恤（项）</w:t>
      </w:r>
      <w:r>
        <w:rPr>
          <w:rStyle w:val="16"/>
          <w:rFonts w:hint="eastAsia" w:ascii="仿宋" w:hAnsi="仿宋" w:eastAsia="仿宋"/>
          <w:b w:val="0"/>
          <w:bCs/>
          <w:sz w:val="32"/>
          <w:szCs w:val="32"/>
          <w:lang w:eastAsia="zh-CN"/>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支出决算数为</w:t>
      </w:r>
      <w:r>
        <w:rPr>
          <w:rStyle w:val="16"/>
          <w:rFonts w:ascii="仿宋" w:hAnsi="仿宋" w:eastAsia="仿宋"/>
          <w:b w:val="0"/>
          <w:bCs/>
          <w:sz w:val="32"/>
          <w:szCs w:val="32"/>
        </w:rPr>
        <w:t>42.09</w:t>
      </w:r>
      <w:r>
        <w:rPr>
          <w:rStyle w:val="16"/>
          <w:rFonts w:hint="eastAsia" w:ascii="仿宋" w:hAnsi="仿宋" w:eastAsia="仿宋"/>
          <w:b w:val="0"/>
          <w:bCs/>
          <w:sz w:val="32"/>
          <w:szCs w:val="32"/>
        </w:rPr>
        <w:t>万元，完成预算</w:t>
      </w:r>
      <w:r>
        <w:rPr>
          <w:rStyle w:val="16"/>
          <w:rFonts w:ascii="仿宋" w:hAnsi="仿宋" w:eastAsia="仿宋"/>
          <w:b w:val="0"/>
          <w:bCs/>
          <w:sz w:val="32"/>
          <w:szCs w:val="32"/>
        </w:rPr>
        <w:t>100%</w:t>
      </w:r>
      <w:r>
        <w:rPr>
          <w:rStyle w:val="16"/>
          <w:rFonts w:hint="eastAsia" w:ascii="仿宋" w:hAnsi="仿宋" w:eastAsia="仿宋"/>
          <w:b w:val="0"/>
          <w:bCs/>
          <w:sz w:val="32"/>
          <w:szCs w:val="32"/>
        </w:rPr>
        <w:t>，决算数与预算数持平。</w:t>
      </w:r>
    </w:p>
    <w:p w14:paraId="28D4B223">
      <w:pPr>
        <w:spacing w:line="600" w:lineRule="exact"/>
        <w:ind w:firstLine="640" w:firstLineChars="200"/>
        <w:rPr>
          <w:rStyle w:val="16"/>
          <w:rFonts w:ascii="仿宋" w:hAnsi="仿宋" w:eastAsia="仿宋"/>
          <w:b w:val="0"/>
          <w:sz w:val="32"/>
          <w:szCs w:val="32"/>
        </w:rPr>
      </w:pPr>
      <w:r>
        <w:rPr>
          <w:rStyle w:val="16"/>
          <w:rFonts w:ascii="仿宋" w:hAnsi="仿宋" w:eastAsia="仿宋"/>
          <w:b w:val="0"/>
          <w:sz w:val="32"/>
          <w:szCs w:val="32"/>
        </w:rPr>
        <w:t>8.</w:t>
      </w:r>
      <w:r>
        <w:rPr>
          <w:rStyle w:val="16"/>
          <w:rFonts w:hint="eastAsia" w:ascii="仿宋" w:hAnsi="仿宋" w:eastAsia="仿宋"/>
          <w:b w:val="0"/>
          <w:sz w:val="32"/>
          <w:szCs w:val="32"/>
        </w:rPr>
        <w:t>社会保障和就业（类）抚恤（款）其他优抚支出（项）</w:t>
      </w:r>
      <w:r>
        <w:rPr>
          <w:rStyle w:val="16"/>
          <w:rFonts w:hint="eastAsia" w:ascii="仿宋" w:hAnsi="仿宋" w:eastAsia="仿宋"/>
          <w:b w:val="0"/>
          <w:sz w:val="32"/>
          <w:szCs w:val="32"/>
          <w:lang w:eastAsia="zh-CN"/>
        </w:rPr>
        <w:t>：</w:t>
      </w:r>
      <w:r>
        <w:rPr>
          <w:rStyle w:val="16"/>
          <w:rFonts w:ascii="仿宋" w:hAnsi="仿宋" w:eastAsia="仿宋"/>
          <w:b w:val="0"/>
          <w:sz w:val="32"/>
          <w:szCs w:val="32"/>
        </w:rPr>
        <w:t xml:space="preserve"> </w:t>
      </w:r>
      <w:r>
        <w:rPr>
          <w:rStyle w:val="16"/>
          <w:rFonts w:hint="eastAsia" w:ascii="仿宋" w:hAnsi="仿宋" w:eastAsia="仿宋"/>
          <w:b w:val="0"/>
          <w:sz w:val="32"/>
          <w:szCs w:val="32"/>
        </w:rPr>
        <w:t>支出决算数为</w:t>
      </w:r>
      <w:r>
        <w:rPr>
          <w:rStyle w:val="16"/>
          <w:rFonts w:ascii="仿宋" w:hAnsi="仿宋" w:eastAsia="仿宋"/>
          <w:b w:val="0"/>
          <w:sz w:val="32"/>
          <w:szCs w:val="32"/>
        </w:rPr>
        <w:t>1.92</w:t>
      </w:r>
      <w:r>
        <w:rPr>
          <w:rStyle w:val="16"/>
          <w:rFonts w:hint="eastAsia" w:ascii="仿宋" w:hAnsi="仿宋" w:eastAsia="仿宋"/>
          <w:b w:val="0"/>
          <w:sz w:val="32"/>
          <w:szCs w:val="32"/>
        </w:rPr>
        <w:t>万元，完成预算</w:t>
      </w:r>
      <w:r>
        <w:rPr>
          <w:rStyle w:val="16"/>
          <w:rFonts w:ascii="仿宋" w:hAnsi="仿宋" w:eastAsia="仿宋"/>
          <w:b w:val="0"/>
          <w:sz w:val="32"/>
          <w:szCs w:val="32"/>
        </w:rPr>
        <w:t>100%</w:t>
      </w:r>
      <w:r>
        <w:rPr>
          <w:rStyle w:val="16"/>
          <w:rFonts w:hint="eastAsia" w:ascii="仿宋" w:hAnsi="仿宋" w:eastAsia="仿宋"/>
          <w:b w:val="0"/>
          <w:sz w:val="32"/>
          <w:szCs w:val="32"/>
        </w:rPr>
        <w:t>，决算数与预算数持平。</w:t>
      </w:r>
    </w:p>
    <w:p w14:paraId="5A31E8A0">
      <w:pPr>
        <w:spacing w:line="600" w:lineRule="exact"/>
        <w:ind w:firstLine="640" w:firstLineChars="200"/>
        <w:rPr>
          <w:rStyle w:val="16"/>
          <w:sz w:val="32"/>
          <w:szCs w:val="32"/>
        </w:rPr>
      </w:pPr>
      <w:r>
        <w:rPr>
          <w:rStyle w:val="16"/>
          <w:rFonts w:ascii="仿宋" w:hAnsi="仿宋" w:eastAsia="仿宋"/>
          <w:b w:val="0"/>
          <w:sz w:val="32"/>
          <w:szCs w:val="32"/>
        </w:rPr>
        <w:t>9.</w:t>
      </w:r>
      <w:r>
        <w:rPr>
          <w:rStyle w:val="16"/>
          <w:rFonts w:hint="eastAsia" w:ascii="仿宋" w:hAnsi="仿宋" w:eastAsia="仿宋"/>
          <w:b w:val="0"/>
          <w:sz w:val="32"/>
          <w:szCs w:val="32"/>
        </w:rPr>
        <w:t>社会保障和就业（类）其他社会保障和就业支出（款）其他社会保障和就业支出（项）</w:t>
      </w:r>
      <w:r>
        <w:rPr>
          <w:rStyle w:val="16"/>
          <w:rFonts w:hint="eastAsia" w:ascii="仿宋" w:hAnsi="仿宋" w:eastAsia="仿宋"/>
          <w:b w:val="0"/>
          <w:sz w:val="32"/>
          <w:szCs w:val="32"/>
          <w:lang w:eastAsia="zh-CN"/>
        </w:rPr>
        <w:t>：</w:t>
      </w:r>
      <w:r>
        <w:rPr>
          <w:rStyle w:val="16"/>
          <w:rFonts w:ascii="仿宋" w:hAnsi="仿宋" w:eastAsia="仿宋"/>
          <w:b w:val="0"/>
          <w:sz w:val="32"/>
          <w:szCs w:val="32"/>
        </w:rPr>
        <w:t xml:space="preserve"> </w:t>
      </w:r>
      <w:r>
        <w:rPr>
          <w:rStyle w:val="16"/>
          <w:rFonts w:hint="eastAsia" w:ascii="仿宋" w:hAnsi="仿宋" w:eastAsia="仿宋"/>
          <w:b w:val="0"/>
          <w:sz w:val="32"/>
          <w:szCs w:val="32"/>
        </w:rPr>
        <w:t>支出决算数为</w:t>
      </w:r>
      <w:r>
        <w:rPr>
          <w:rStyle w:val="16"/>
          <w:rFonts w:ascii="仿宋" w:hAnsi="仿宋" w:eastAsia="仿宋"/>
          <w:b w:val="0"/>
          <w:sz w:val="32"/>
          <w:szCs w:val="32"/>
        </w:rPr>
        <w:t>1.96</w:t>
      </w:r>
      <w:r>
        <w:rPr>
          <w:rStyle w:val="16"/>
          <w:rFonts w:hint="eastAsia" w:ascii="仿宋" w:hAnsi="仿宋" w:eastAsia="仿宋"/>
          <w:b w:val="0"/>
          <w:sz w:val="32"/>
          <w:szCs w:val="32"/>
        </w:rPr>
        <w:t>万元，完成预算</w:t>
      </w:r>
      <w:r>
        <w:rPr>
          <w:rStyle w:val="16"/>
          <w:rFonts w:ascii="仿宋" w:hAnsi="仿宋" w:eastAsia="仿宋"/>
          <w:b w:val="0"/>
          <w:sz w:val="32"/>
          <w:szCs w:val="32"/>
        </w:rPr>
        <w:t>100%</w:t>
      </w:r>
      <w:r>
        <w:rPr>
          <w:rStyle w:val="16"/>
          <w:rFonts w:hint="eastAsia" w:ascii="仿宋" w:hAnsi="仿宋" w:eastAsia="仿宋"/>
          <w:b w:val="0"/>
          <w:sz w:val="32"/>
          <w:szCs w:val="32"/>
        </w:rPr>
        <w:t>，决算数与预算数持平。</w:t>
      </w:r>
    </w:p>
    <w:p w14:paraId="56EC0B75">
      <w:pPr>
        <w:spacing w:line="600" w:lineRule="exact"/>
        <w:ind w:right="420" w:rightChars="200" w:firstLine="640" w:firstLineChars="200"/>
        <w:rPr>
          <w:rStyle w:val="16"/>
          <w:rFonts w:ascii="仿宋" w:hAnsi="仿宋" w:eastAsia="仿宋"/>
          <w:b w:val="0"/>
          <w:bCs/>
          <w:sz w:val="32"/>
          <w:szCs w:val="32"/>
        </w:rPr>
      </w:pPr>
      <w:r>
        <w:rPr>
          <w:rStyle w:val="16"/>
          <w:rFonts w:ascii="仿宋" w:hAnsi="仿宋" w:eastAsia="仿宋"/>
          <w:b w:val="0"/>
          <w:bCs/>
          <w:sz w:val="32"/>
          <w:szCs w:val="32"/>
        </w:rPr>
        <w:t>10.</w:t>
      </w:r>
      <w:r>
        <w:rPr>
          <w:rFonts w:hint="eastAsia" w:ascii="仿宋" w:hAnsi="仿宋" w:eastAsia="仿宋"/>
          <w:sz w:val="32"/>
          <w:szCs w:val="32"/>
        </w:rPr>
        <w:t>卫生健康支出</w:t>
      </w:r>
      <w:r>
        <w:rPr>
          <w:rStyle w:val="16"/>
          <w:rFonts w:hint="eastAsia" w:ascii="仿宋" w:hAnsi="仿宋" w:eastAsia="仿宋"/>
          <w:b w:val="0"/>
          <w:bCs/>
          <w:sz w:val="32"/>
          <w:szCs w:val="32"/>
        </w:rPr>
        <w:t>（类）行政事业单位医疗（款）行政单位医疗（项）</w:t>
      </w:r>
      <w:r>
        <w:rPr>
          <w:rStyle w:val="16"/>
          <w:rFonts w:hint="eastAsia" w:ascii="仿宋" w:hAnsi="仿宋" w:eastAsia="仿宋"/>
          <w:b w:val="0"/>
          <w:bCs/>
          <w:sz w:val="32"/>
          <w:szCs w:val="32"/>
          <w:lang w:eastAsia="zh-CN"/>
        </w:rPr>
        <w:t>：</w:t>
      </w:r>
      <w:r>
        <w:rPr>
          <w:rStyle w:val="16"/>
          <w:rFonts w:hint="eastAsia" w:ascii="仿宋" w:hAnsi="仿宋" w:eastAsia="仿宋"/>
          <w:b w:val="0"/>
          <w:bCs/>
          <w:sz w:val="32"/>
          <w:szCs w:val="32"/>
        </w:rPr>
        <w:t>支出决算数为</w:t>
      </w:r>
      <w:r>
        <w:rPr>
          <w:rStyle w:val="16"/>
          <w:rFonts w:ascii="仿宋" w:hAnsi="仿宋" w:eastAsia="仿宋"/>
          <w:b w:val="0"/>
          <w:bCs/>
          <w:sz w:val="32"/>
          <w:szCs w:val="32"/>
        </w:rPr>
        <w:t>14.49</w:t>
      </w:r>
      <w:r>
        <w:rPr>
          <w:rStyle w:val="16"/>
          <w:rFonts w:hint="eastAsia" w:ascii="仿宋" w:hAnsi="仿宋" w:eastAsia="仿宋"/>
          <w:b w:val="0"/>
          <w:bCs/>
          <w:sz w:val="32"/>
          <w:szCs w:val="32"/>
        </w:rPr>
        <w:t>万元，完成预算</w:t>
      </w:r>
      <w:r>
        <w:rPr>
          <w:rStyle w:val="16"/>
          <w:rFonts w:ascii="仿宋" w:hAnsi="仿宋" w:eastAsia="仿宋"/>
          <w:b w:val="0"/>
          <w:bCs/>
          <w:sz w:val="32"/>
          <w:szCs w:val="32"/>
        </w:rPr>
        <w:t>100%</w:t>
      </w:r>
      <w:r>
        <w:rPr>
          <w:rStyle w:val="16"/>
          <w:rFonts w:hint="eastAsia" w:ascii="仿宋" w:hAnsi="仿宋" w:eastAsia="仿宋"/>
          <w:b w:val="0"/>
          <w:bCs/>
          <w:sz w:val="32"/>
          <w:szCs w:val="32"/>
        </w:rPr>
        <w:t>，决算数与预算数持平。</w:t>
      </w:r>
    </w:p>
    <w:p w14:paraId="686D2086">
      <w:pPr>
        <w:spacing w:line="600" w:lineRule="exact"/>
        <w:ind w:right="420" w:rightChars="200" w:firstLine="640" w:firstLineChars="200"/>
        <w:rPr>
          <w:rFonts w:ascii="仿宋" w:hAnsi="仿宋" w:eastAsia="仿宋"/>
          <w:b/>
          <w:bCs/>
          <w:sz w:val="32"/>
          <w:szCs w:val="32"/>
        </w:rPr>
      </w:pPr>
      <w:r>
        <w:rPr>
          <w:rStyle w:val="16"/>
          <w:rFonts w:ascii="仿宋" w:hAnsi="仿宋" w:eastAsia="仿宋"/>
          <w:b w:val="0"/>
          <w:bCs/>
          <w:sz w:val="32"/>
          <w:szCs w:val="32"/>
        </w:rPr>
        <w:t>11.</w:t>
      </w:r>
      <w:r>
        <w:rPr>
          <w:rFonts w:hint="eastAsia" w:ascii="仿宋" w:hAnsi="仿宋" w:eastAsia="仿宋"/>
          <w:sz w:val="32"/>
          <w:szCs w:val="32"/>
        </w:rPr>
        <w:t>卫生健康支出</w:t>
      </w:r>
      <w:r>
        <w:rPr>
          <w:rStyle w:val="16"/>
          <w:rFonts w:hint="eastAsia" w:ascii="仿宋" w:hAnsi="仿宋" w:eastAsia="仿宋"/>
          <w:b w:val="0"/>
          <w:bCs/>
          <w:sz w:val="32"/>
          <w:szCs w:val="32"/>
        </w:rPr>
        <w:t>（类）行政事业单位医疗（款）事业单位医疗（项）</w:t>
      </w:r>
      <w:r>
        <w:rPr>
          <w:rStyle w:val="16"/>
          <w:rFonts w:hint="eastAsia" w:ascii="仿宋" w:hAnsi="仿宋" w:eastAsia="仿宋"/>
          <w:b w:val="0"/>
          <w:bCs/>
          <w:sz w:val="32"/>
          <w:szCs w:val="32"/>
          <w:lang w:eastAsia="zh-CN"/>
        </w:rPr>
        <w:t>：</w:t>
      </w:r>
      <w:r>
        <w:rPr>
          <w:rStyle w:val="16"/>
          <w:rFonts w:hint="eastAsia" w:ascii="仿宋" w:hAnsi="仿宋" w:eastAsia="仿宋"/>
          <w:b w:val="0"/>
          <w:bCs/>
          <w:sz w:val="32"/>
          <w:szCs w:val="32"/>
        </w:rPr>
        <w:t>支出决算数为</w:t>
      </w:r>
      <w:r>
        <w:rPr>
          <w:rStyle w:val="16"/>
          <w:rFonts w:ascii="仿宋" w:hAnsi="仿宋" w:eastAsia="仿宋"/>
          <w:b w:val="0"/>
          <w:bCs/>
          <w:sz w:val="32"/>
          <w:szCs w:val="32"/>
        </w:rPr>
        <w:t>4.09</w:t>
      </w:r>
      <w:r>
        <w:rPr>
          <w:rStyle w:val="16"/>
          <w:rFonts w:hint="eastAsia" w:ascii="仿宋" w:hAnsi="仿宋" w:eastAsia="仿宋"/>
          <w:b w:val="0"/>
          <w:bCs/>
          <w:sz w:val="32"/>
          <w:szCs w:val="32"/>
        </w:rPr>
        <w:t>万元，完成预算</w:t>
      </w:r>
      <w:r>
        <w:rPr>
          <w:rStyle w:val="16"/>
          <w:rFonts w:ascii="仿宋" w:hAnsi="仿宋" w:eastAsia="仿宋"/>
          <w:b w:val="0"/>
          <w:bCs/>
          <w:sz w:val="32"/>
          <w:szCs w:val="32"/>
        </w:rPr>
        <w:t>100%</w:t>
      </w:r>
      <w:r>
        <w:rPr>
          <w:rStyle w:val="16"/>
          <w:rFonts w:hint="eastAsia" w:ascii="仿宋" w:hAnsi="仿宋" w:eastAsia="仿宋"/>
          <w:b w:val="0"/>
          <w:bCs/>
          <w:sz w:val="32"/>
          <w:szCs w:val="32"/>
        </w:rPr>
        <w:t>，决算数与预算数持平。</w:t>
      </w:r>
    </w:p>
    <w:p w14:paraId="76AAF8AA">
      <w:pPr>
        <w:pStyle w:val="2"/>
        <w:spacing w:before="93" w:line="600" w:lineRule="exact"/>
        <w:ind w:right="420" w:rightChars="200"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2.</w:t>
      </w:r>
      <w:r>
        <w:rPr>
          <w:rFonts w:hint="eastAsia" w:ascii="仿宋" w:hAnsi="仿宋" w:eastAsia="仿宋"/>
          <w:sz w:val="32"/>
          <w:szCs w:val="32"/>
        </w:rPr>
        <w:t>住房保障（类）住房改革（款）住房公积金（项）</w:t>
      </w:r>
      <w:r>
        <w:rPr>
          <w:rFonts w:hint="eastAsia" w:ascii="仿宋" w:hAnsi="仿宋" w:eastAsia="仿宋"/>
          <w:sz w:val="32"/>
          <w:szCs w:val="32"/>
          <w:lang w:eastAsia="zh-CN"/>
        </w:rPr>
        <w:t>：</w:t>
      </w:r>
      <w:r>
        <w:rPr>
          <w:rFonts w:hint="eastAsia" w:ascii="仿宋" w:hAnsi="仿宋" w:eastAsia="仿宋"/>
          <w:sz w:val="32"/>
          <w:szCs w:val="32"/>
        </w:rPr>
        <w:t>支出决算数为</w:t>
      </w:r>
      <w:r>
        <w:rPr>
          <w:rFonts w:ascii="仿宋" w:hAnsi="仿宋" w:eastAsia="仿宋"/>
          <w:sz w:val="32"/>
          <w:szCs w:val="32"/>
        </w:rPr>
        <w:t>64.15</w:t>
      </w:r>
      <w:r>
        <w:rPr>
          <w:rFonts w:hint="eastAsia" w:ascii="仿宋" w:hAnsi="仿宋" w:eastAsia="仿宋"/>
          <w:sz w:val="32"/>
          <w:szCs w:val="32"/>
        </w:rPr>
        <w:t>万元，完成预算100%，决算数与预算数持平。</w:t>
      </w:r>
    </w:p>
    <w:p w14:paraId="564F4433">
      <w:pPr>
        <w:pStyle w:val="2"/>
        <w:spacing w:before="93" w:line="600" w:lineRule="exact"/>
        <w:ind w:firstLine="645"/>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3</w:t>
      </w:r>
      <w:r>
        <w:rPr>
          <w:rFonts w:hint="eastAsia" w:ascii="仿宋" w:hAnsi="仿宋" w:eastAsia="仿宋"/>
          <w:sz w:val="32"/>
          <w:szCs w:val="32"/>
        </w:rPr>
        <w:t>．灾害防治及应急管理支出（类）应急管理事务（款）行政运行（项）</w:t>
      </w:r>
      <w:r>
        <w:rPr>
          <w:rFonts w:hint="eastAsia" w:ascii="仿宋" w:hAnsi="仿宋" w:eastAsia="仿宋"/>
          <w:sz w:val="32"/>
          <w:szCs w:val="32"/>
          <w:lang w:eastAsia="zh-CN"/>
        </w:rPr>
        <w:t>：</w:t>
      </w:r>
      <w:r>
        <w:rPr>
          <w:rFonts w:hint="eastAsia" w:ascii="仿宋" w:hAnsi="仿宋" w:eastAsia="仿宋"/>
          <w:sz w:val="32"/>
          <w:szCs w:val="32"/>
        </w:rPr>
        <w:t>支出决算数为</w:t>
      </w:r>
      <w:r>
        <w:rPr>
          <w:rFonts w:ascii="仿宋" w:hAnsi="仿宋" w:eastAsia="仿宋"/>
          <w:sz w:val="32"/>
          <w:szCs w:val="32"/>
        </w:rPr>
        <w:t>578.85</w:t>
      </w:r>
      <w:r>
        <w:rPr>
          <w:rFonts w:hint="eastAsia" w:ascii="仿宋" w:hAnsi="仿宋" w:eastAsia="仿宋"/>
          <w:sz w:val="32"/>
          <w:szCs w:val="32"/>
        </w:rPr>
        <w:t>万元，完成预算100%，决算数与预算数持平。</w:t>
      </w:r>
    </w:p>
    <w:p w14:paraId="4477C90A">
      <w:pPr>
        <w:pStyle w:val="2"/>
        <w:spacing w:before="93" w:line="600" w:lineRule="exact"/>
        <w:ind w:firstLine="646"/>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4</w:t>
      </w:r>
      <w:r>
        <w:rPr>
          <w:rFonts w:hint="eastAsia" w:ascii="仿宋" w:hAnsi="仿宋" w:eastAsia="仿宋"/>
          <w:sz w:val="32"/>
          <w:szCs w:val="32"/>
        </w:rPr>
        <w:t>．灾害防治及应急管理支出（类）应急管理事务（款）应急救援（项）</w:t>
      </w:r>
      <w:r>
        <w:rPr>
          <w:rFonts w:hint="eastAsia" w:ascii="仿宋" w:hAnsi="仿宋" w:eastAsia="仿宋"/>
          <w:sz w:val="32"/>
          <w:szCs w:val="32"/>
          <w:lang w:eastAsia="zh-CN"/>
        </w:rPr>
        <w:t>：</w:t>
      </w:r>
      <w:r>
        <w:rPr>
          <w:rFonts w:hint="eastAsia" w:ascii="仿宋" w:hAnsi="仿宋" w:eastAsia="仿宋"/>
          <w:sz w:val="32"/>
          <w:szCs w:val="32"/>
        </w:rPr>
        <w:t>支出决算数为</w:t>
      </w:r>
      <w:r>
        <w:rPr>
          <w:rFonts w:ascii="仿宋" w:hAnsi="仿宋" w:eastAsia="仿宋"/>
          <w:sz w:val="32"/>
          <w:szCs w:val="32"/>
        </w:rPr>
        <w:t>49.2</w:t>
      </w:r>
      <w:r>
        <w:rPr>
          <w:rFonts w:hint="eastAsia" w:ascii="仿宋" w:hAnsi="仿宋" w:eastAsia="仿宋"/>
          <w:sz w:val="32"/>
          <w:szCs w:val="32"/>
        </w:rPr>
        <w:t>万元，完成预算100%，决算数与预算数持平。</w:t>
      </w:r>
    </w:p>
    <w:p w14:paraId="77D7BB21">
      <w:pPr>
        <w:pStyle w:val="2"/>
        <w:spacing w:before="93" w:line="600" w:lineRule="exact"/>
        <w:ind w:firstLine="646"/>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5</w:t>
      </w:r>
      <w:r>
        <w:rPr>
          <w:rFonts w:hint="eastAsia" w:ascii="仿宋" w:hAnsi="仿宋" w:eastAsia="仿宋"/>
          <w:sz w:val="32"/>
          <w:szCs w:val="32"/>
        </w:rPr>
        <w:t>．灾害防治及应急管理支出（类）应急管理事务（款）应急管理（项）</w:t>
      </w:r>
      <w:r>
        <w:rPr>
          <w:rFonts w:hint="eastAsia" w:ascii="仿宋" w:hAnsi="仿宋" w:eastAsia="仿宋"/>
          <w:sz w:val="32"/>
          <w:szCs w:val="32"/>
          <w:lang w:eastAsia="zh-CN"/>
        </w:rPr>
        <w:t>：</w:t>
      </w:r>
      <w:r>
        <w:rPr>
          <w:rFonts w:hint="eastAsia" w:ascii="仿宋" w:hAnsi="仿宋" w:eastAsia="仿宋"/>
          <w:sz w:val="32"/>
          <w:szCs w:val="32"/>
        </w:rPr>
        <w:t>支出决算数为</w:t>
      </w:r>
      <w:r>
        <w:rPr>
          <w:rFonts w:ascii="仿宋" w:hAnsi="仿宋" w:eastAsia="仿宋"/>
          <w:sz w:val="32"/>
          <w:szCs w:val="32"/>
        </w:rPr>
        <w:t>1.77</w:t>
      </w:r>
      <w:r>
        <w:rPr>
          <w:rFonts w:hint="eastAsia" w:ascii="仿宋" w:hAnsi="仿宋" w:eastAsia="仿宋"/>
          <w:sz w:val="32"/>
          <w:szCs w:val="32"/>
        </w:rPr>
        <w:t>万元，完成预算100%，决算数与预算数持平。</w:t>
      </w:r>
    </w:p>
    <w:p w14:paraId="490BCB81">
      <w:pPr>
        <w:pStyle w:val="2"/>
        <w:spacing w:before="93" w:line="600" w:lineRule="exact"/>
        <w:ind w:firstLine="646"/>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6</w:t>
      </w:r>
      <w:r>
        <w:rPr>
          <w:rFonts w:hint="eastAsia" w:ascii="仿宋" w:hAnsi="仿宋" w:eastAsia="仿宋"/>
          <w:sz w:val="32"/>
          <w:szCs w:val="32"/>
        </w:rPr>
        <w:t>．灾害防治及应急管理支出（类）应急管理事务（款）事业运行（项）</w:t>
      </w:r>
      <w:r>
        <w:rPr>
          <w:rFonts w:hint="eastAsia" w:ascii="仿宋" w:hAnsi="仿宋" w:eastAsia="仿宋"/>
          <w:sz w:val="32"/>
          <w:szCs w:val="32"/>
          <w:lang w:eastAsia="zh-CN"/>
        </w:rPr>
        <w:t>：</w:t>
      </w:r>
      <w:r>
        <w:rPr>
          <w:rFonts w:hint="eastAsia" w:ascii="仿宋" w:hAnsi="仿宋" w:eastAsia="仿宋"/>
          <w:sz w:val="32"/>
          <w:szCs w:val="32"/>
        </w:rPr>
        <w:t>支出决算数为</w:t>
      </w:r>
      <w:r>
        <w:rPr>
          <w:rFonts w:ascii="仿宋" w:hAnsi="仿宋" w:eastAsia="仿宋"/>
          <w:sz w:val="32"/>
          <w:szCs w:val="32"/>
        </w:rPr>
        <w:t>106.2</w:t>
      </w:r>
      <w:r>
        <w:rPr>
          <w:rFonts w:hint="eastAsia" w:ascii="仿宋" w:hAnsi="仿宋" w:eastAsia="仿宋"/>
          <w:sz w:val="32"/>
          <w:szCs w:val="32"/>
        </w:rPr>
        <w:t>万元，完成预算100%，决算数与预算数持平。</w:t>
      </w:r>
    </w:p>
    <w:p w14:paraId="5056F8F1">
      <w:pPr>
        <w:pStyle w:val="2"/>
        <w:spacing w:before="93" w:line="600" w:lineRule="exact"/>
        <w:ind w:firstLine="646"/>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7</w:t>
      </w:r>
      <w:r>
        <w:rPr>
          <w:rFonts w:hint="eastAsia" w:ascii="仿宋" w:hAnsi="仿宋" w:eastAsia="仿宋"/>
          <w:sz w:val="32"/>
          <w:szCs w:val="32"/>
        </w:rPr>
        <w:t>．灾害防治及应急管理支出（类）应急管理事务（款）其他应急管理支出（项）</w:t>
      </w:r>
      <w:r>
        <w:rPr>
          <w:rFonts w:hint="eastAsia" w:ascii="仿宋" w:hAnsi="仿宋" w:eastAsia="仿宋"/>
          <w:sz w:val="32"/>
          <w:szCs w:val="32"/>
          <w:lang w:eastAsia="zh-CN"/>
        </w:rPr>
        <w:t>：</w:t>
      </w:r>
      <w:r>
        <w:rPr>
          <w:rFonts w:hint="eastAsia" w:ascii="仿宋" w:hAnsi="仿宋" w:eastAsia="仿宋"/>
          <w:sz w:val="32"/>
          <w:szCs w:val="32"/>
        </w:rPr>
        <w:t>支出决算数为</w:t>
      </w:r>
      <w:r>
        <w:rPr>
          <w:rFonts w:ascii="仿宋" w:hAnsi="仿宋" w:eastAsia="仿宋"/>
          <w:sz w:val="32"/>
          <w:szCs w:val="32"/>
        </w:rPr>
        <w:t>106.88</w:t>
      </w:r>
      <w:r>
        <w:rPr>
          <w:rFonts w:hint="eastAsia" w:ascii="仿宋" w:hAnsi="仿宋" w:eastAsia="仿宋"/>
          <w:sz w:val="32"/>
          <w:szCs w:val="32"/>
        </w:rPr>
        <w:t>万元，完成预算100%，决算数与预算数持平。</w:t>
      </w:r>
    </w:p>
    <w:p w14:paraId="2217FF73">
      <w:pPr>
        <w:pStyle w:val="2"/>
        <w:spacing w:before="93" w:line="600" w:lineRule="exact"/>
        <w:ind w:firstLine="646"/>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8</w:t>
      </w:r>
      <w:r>
        <w:rPr>
          <w:rFonts w:hint="eastAsia" w:ascii="仿宋" w:hAnsi="仿宋" w:eastAsia="仿宋"/>
          <w:sz w:val="32"/>
          <w:szCs w:val="32"/>
        </w:rPr>
        <w:t>．地震事务（类）应急管理事务（款）行政运行（项）</w:t>
      </w:r>
      <w:r>
        <w:rPr>
          <w:rFonts w:hint="eastAsia" w:ascii="仿宋" w:hAnsi="仿宋" w:eastAsia="仿宋"/>
          <w:sz w:val="32"/>
          <w:szCs w:val="32"/>
          <w:lang w:eastAsia="zh-CN"/>
        </w:rPr>
        <w:t>：</w:t>
      </w:r>
      <w:r>
        <w:rPr>
          <w:rFonts w:hint="eastAsia" w:ascii="仿宋" w:hAnsi="仿宋" w:eastAsia="仿宋"/>
          <w:sz w:val="32"/>
          <w:szCs w:val="32"/>
        </w:rPr>
        <w:t>支出决算数为</w:t>
      </w:r>
      <w:r>
        <w:rPr>
          <w:rFonts w:ascii="仿宋" w:hAnsi="仿宋" w:eastAsia="仿宋"/>
          <w:sz w:val="32"/>
          <w:szCs w:val="32"/>
        </w:rPr>
        <w:t>109.98</w:t>
      </w:r>
      <w:r>
        <w:rPr>
          <w:rFonts w:hint="eastAsia" w:ascii="仿宋" w:hAnsi="仿宋" w:eastAsia="仿宋"/>
          <w:sz w:val="32"/>
          <w:szCs w:val="32"/>
        </w:rPr>
        <w:t>万元，完成预算100%，决算数与预算数持平。</w:t>
      </w:r>
    </w:p>
    <w:p w14:paraId="38507193">
      <w:pPr>
        <w:pStyle w:val="2"/>
        <w:spacing w:before="93" w:line="600" w:lineRule="exact"/>
        <w:ind w:firstLine="646"/>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9</w:t>
      </w:r>
      <w:r>
        <w:rPr>
          <w:rFonts w:hint="eastAsia" w:ascii="仿宋" w:hAnsi="仿宋" w:eastAsia="仿宋"/>
          <w:sz w:val="32"/>
          <w:szCs w:val="32"/>
        </w:rPr>
        <w:t>．地震事务（类）应急管理事务（款）其他地震事务支出（项）</w:t>
      </w:r>
      <w:r>
        <w:rPr>
          <w:rFonts w:hint="eastAsia" w:ascii="仿宋" w:hAnsi="仿宋" w:eastAsia="仿宋"/>
          <w:sz w:val="32"/>
          <w:szCs w:val="32"/>
          <w:lang w:eastAsia="zh-CN"/>
        </w:rPr>
        <w:t>：</w:t>
      </w:r>
      <w:r>
        <w:rPr>
          <w:rFonts w:hint="eastAsia" w:ascii="仿宋" w:hAnsi="仿宋" w:eastAsia="仿宋"/>
          <w:sz w:val="32"/>
          <w:szCs w:val="32"/>
        </w:rPr>
        <w:t>支出决算数为</w:t>
      </w:r>
      <w:r>
        <w:rPr>
          <w:rFonts w:ascii="仿宋" w:hAnsi="仿宋" w:eastAsia="仿宋"/>
          <w:sz w:val="32"/>
          <w:szCs w:val="32"/>
        </w:rPr>
        <w:t>0.33</w:t>
      </w:r>
      <w:r>
        <w:rPr>
          <w:rFonts w:hint="eastAsia" w:ascii="仿宋" w:hAnsi="仿宋" w:eastAsia="仿宋"/>
          <w:sz w:val="32"/>
          <w:szCs w:val="32"/>
        </w:rPr>
        <w:t>万元，完成预算100%，决算数与预算数持平。</w:t>
      </w:r>
    </w:p>
    <w:p w14:paraId="4456DC39">
      <w:pPr>
        <w:pStyle w:val="2"/>
        <w:spacing w:before="93" w:line="600" w:lineRule="exact"/>
        <w:ind w:firstLine="646"/>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．灾害防治及应急管理支出（类）自然灾害救灾及恢复重建支出（款）自然灾害救灾补助（项）</w:t>
      </w:r>
      <w:r>
        <w:rPr>
          <w:rFonts w:hint="eastAsia" w:ascii="仿宋" w:hAnsi="仿宋" w:eastAsia="仿宋"/>
          <w:sz w:val="32"/>
          <w:szCs w:val="32"/>
          <w:lang w:eastAsia="zh-CN"/>
        </w:rPr>
        <w:t>：</w:t>
      </w:r>
      <w:r>
        <w:rPr>
          <w:rFonts w:hint="eastAsia" w:ascii="仿宋" w:hAnsi="仿宋" w:eastAsia="仿宋"/>
          <w:sz w:val="32"/>
          <w:szCs w:val="32"/>
        </w:rPr>
        <w:t>支出决算为</w:t>
      </w:r>
      <w:r>
        <w:rPr>
          <w:rFonts w:ascii="仿宋" w:hAnsi="仿宋" w:eastAsia="仿宋"/>
          <w:sz w:val="32"/>
          <w:szCs w:val="32"/>
        </w:rPr>
        <w:t>115.02</w:t>
      </w:r>
      <w:r>
        <w:rPr>
          <w:rFonts w:hint="eastAsia" w:ascii="仿宋" w:hAnsi="仿宋" w:eastAsia="仿宋"/>
          <w:sz w:val="32"/>
          <w:szCs w:val="32"/>
        </w:rPr>
        <w:t>万元，完成预算100%，决算数与预算数持平。</w:t>
      </w:r>
    </w:p>
    <w:p w14:paraId="6566D42D">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1-1表和财决08表，仅罗列本部门涉及的全部功能分类科目，至项级。上述“预算”口径为全年预算数。增减变动原因为决算数</w:t>
      </w:r>
      <w:r>
        <w:rPr>
          <w:rFonts w:hint="eastAsia" w:ascii="仿宋" w:hAnsi="仿宋" w:eastAsia="仿宋"/>
          <w:b/>
          <w:sz w:val="32"/>
          <w:szCs w:val="32"/>
          <w:lang w:eastAsia="zh-CN"/>
        </w:rPr>
        <w:t>〈</w:t>
      </w:r>
      <w:r>
        <w:rPr>
          <w:rFonts w:hint="eastAsia" w:ascii="仿宋" w:hAnsi="仿宋" w:eastAsia="仿宋"/>
          <w:b/>
          <w:sz w:val="32"/>
          <w:szCs w:val="32"/>
        </w:rPr>
        <w:t>项级</w:t>
      </w:r>
      <w:r>
        <w:rPr>
          <w:rFonts w:hint="eastAsia" w:ascii="仿宋" w:hAnsi="仿宋" w:eastAsia="仿宋"/>
          <w:b/>
          <w:sz w:val="32"/>
          <w:szCs w:val="32"/>
          <w:lang w:eastAsia="zh-CN"/>
        </w:rPr>
        <w:t>〉</w:t>
      </w:r>
      <w:r>
        <w:rPr>
          <w:rFonts w:hint="eastAsia" w:ascii="仿宋" w:hAnsi="仿宋" w:eastAsia="仿宋"/>
          <w:b/>
          <w:sz w:val="32"/>
          <w:szCs w:val="32"/>
        </w:rPr>
        <w:t>和全年预算数</w:t>
      </w:r>
      <w:r>
        <w:rPr>
          <w:rFonts w:hint="eastAsia" w:ascii="仿宋" w:hAnsi="仿宋" w:eastAsia="仿宋"/>
          <w:b/>
          <w:sz w:val="32"/>
          <w:szCs w:val="32"/>
          <w:lang w:eastAsia="zh-CN"/>
        </w:rPr>
        <w:t>〈</w:t>
      </w:r>
      <w:r>
        <w:rPr>
          <w:rFonts w:hint="eastAsia" w:ascii="仿宋" w:hAnsi="仿宋" w:eastAsia="仿宋"/>
          <w:b/>
          <w:sz w:val="32"/>
          <w:szCs w:val="32"/>
        </w:rPr>
        <w:t>项级</w:t>
      </w:r>
      <w:r>
        <w:rPr>
          <w:rFonts w:hint="eastAsia" w:ascii="仿宋" w:hAnsi="仿宋" w:eastAsia="仿宋"/>
          <w:b/>
          <w:sz w:val="32"/>
          <w:szCs w:val="32"/>
          <w:lang w:eastAsia="zh-CN"/>
        </w:rPr>
        <w:t>〉</w:t>
      </w:r>
      <w:r>
        <w:rPr>
          <w:rFonts w:hint="eastAsia" w:ascii="仿宋" w:hAnsi="仿宋" w:eastAsia="仿宋"/>
          <w:b/>
          <w:sz w:val="32"/>
          <w:szCs w:val="32"/>
        </w:rPr>
        <w:t>比较，与预算数持平可以不写原因。）</w:t>
      </w:r>
    </w:p>
    <w:p w14:paraId="62506D46">
      <w:pPr>
        <w:spacing w:line="600" w:lineRule="exact"/>
        <w:ind w:firstLine="640"/>
        <w:rPr>
          <w:rFonts w:ascii="仿宋" w:hAnsi="仿宋" w:eastAsia="仿宋"/>
          <w:b/>
          <w:sz w:val="32"/>
          <w:szCs w:val="32"/>
        </w:rPr>
      </w:pPr>
    </w:p>
    <w:p w14:paraId="2005464F">
      <w:pPr>
        <w:tabs>
          <w:tab w:val="right" w:pos="8306"/>
        </w:tabs>
        <w:spacing w:line="600" w:lineRule="exact"/>
        <w:ind w:firstLine="640"/>
        <w:outlineLvl w:val="1"/>
        <w:rPr>
          <w:rStyle w:val="28"/>
        </w:rPr>
      </w:pPr>
      <w:bookmarkStart w:id="42" w:name="_Toc15377214"/>
      <w:bookmarkStart w:id="43" w:name="_Toc15396608"/>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8"/>
          <w:rFonts w:hint="eastAsia" w:ascii="黑体" w:hAnsi="黑体" w:eastAsia="黑体"/>
          <w:b w:val="0"/>
        </w:rPr>
        <w:t>般公共预算财政拨款基本支出决算情况说明</w:t>
      </w:r>
      <w:bookmarkEnd w:id="42"/>
      <w:bookmarkEnd w:id="43"/>
      <w:r>
        <w:rPr>
          <w:rStyle w:val="28"/>
          <w:rFonts w:ascii="黑体" w:hAnsi="黑体" w:eastAsia="黑体"/>
          <w:b w:val="0"/>
        </w:rPr>
        <w:tab/>
      </w:r>
    </w:p>
    <w:p w14:paraId="7CAC2921">
      <w:pPr>
        <w:spacing w:line="600" w:lineRule="exact"/>
        <w:ind w:firstLine="645"/>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22年一般公共预算财政拨款基本支出</w:t>
      </w:r>
      <w:r>
        <w:rPr>
          <w:rFonts w:ascii="仿宋" w:hAnsi="仿宋" w:eastAsia="仿宋"/>
          <w:sz w:val="32"/>
          <w:szCs w:val="32"/>
        </w:rPr>
        <w:t>992.95</w:t>
      </w:r>
      <w:r>
        <w:rPr>
          <w:rFonts w:hint="eastAsia" w:ascii="仿宋" w:hAnsi="仿宋" w:eastAsia="仿宋"/>
          <w:sz w:val="32"/>
          <w:szCs w:val="32"/>
        </w:rPr>
        <w:t>万元，其中：</w:t>
      </w:r>
    </w:p>
    <w:p w14:paraId="09ED0A22">
      <w:pPr>
        <w:spacing w:line="600" w:lineRule="exact"/>
        <w:ind w:firstLine="645"/>
        <w:rPr>
          <w:rFonts w:ascii="仿宋" w:hAnsi="仿宋" w:eastAsia="仿宋"/>
          <w:sz w:val="32"/>
          <w:szCs w:val="32"/>
        </w:rPr>
      </w:pPr>
      <w:r>
        <w:rPr>
          <w:rFonts w:hint="eastAsia" w:ascii="仿宋" w:hAnsi="仿宋" w:eastAsia="仿宋"/>
          <w:sz w:val="32"/>
          <w:szCs w:val="32"/>
        </w:rPr>
        <w:t>人员经费</w:t>
      </w:r>
      <w:r>
        <w:rPr>
          <w:rFonts w:ascii="仿宋" w:hAnsi="仿宋" w:eastAsia="仿宋"/>
          <w:sz w:val="32"/>
          <w:szCs w:val="32"/>
        </w:rPr>
        <w:t>821.52</w:t>
      </w:r>
      <w:r>
        <w:rPr>
          <w:rFonts w:hint="eastAsia" w:ascii="仿宋" w:hAnsi="仿宋" w:eastAsia="仿宋"/>
          <w:sz w:val="32"/>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ascii="仿宋" w:hAnsi="仿宋" w:eastAsia="仿宋"/>
          <w:sz w:val="32"/>
          <w:szCs w:val="32"/>
        </w:rPr>
        <w:br w:type="textWrapping"/>
      </w:r>
      <w:r>
        <w:rPr>
          <w:rFonts w:hint="eastAsia" w:ascii="仿宋" w:hAnsi="仿宋" w:eastAsia="仿宋"/>
          <w:sz w:val="32"/>
          <w:szCs w:val="32"/>
        </w:rPr>
        <w:t>　　公用经费</w:t>
      </w:r>
      <w:r>
        <w:rPr>
          <w:rFonts w:ascii="仿宋" w:hAnsi="仿宋" w:eastAsia="仿宋"/>
          <w:sz w:val="32"/>
          <w:szCs w:val="32"/>
        </w:rPr>
        <w:t>171.43</w:t>
      </w:r>
      <w:r>
        <w:rPr>
          <w:rFonts w:hint="eastAsia" w:ascii="仿宋" w:hAnsi="仿宋" w:eastAsia="仿宋"/>
          <w:sz w:val="32"/>
          <w:szCs w:val="32"/>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45A2C160">
      <w:pPr>
        <w:spacing w:line="600" w:lineRule="exact"/>
        <w:ind w:firstLine="645"/>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7表和财决08-1表，仅罗列本部门实际支出涉及的经济分类科目。）</w:t>
      </w:r>
    </w:p>
    <w:p w14:paraId="3E8DDAE3">
      <w:pPr>
        <w:spacing w:line="600" w:lineRule="exact"/>
        <w:ind w:firstLine="640"/>
        <w:rPr>
          <w:rFonts w:ascii="仿宋" w:hAnsi="仿宋" w:eastAsia="仿宋"/>
          <w:b/>
          <w:sz w:val="32"/>
          <w:szCs w:val="32"/>
        </w:rPr>
      </w:pPr>
    </w:p>
    <w:p w14:paraId="082C9E9E">
      <w:pPr>
        <w:spacing w:line="600" w:lineRule="exact"/>
        <w:ind w:firstLine="640"/>
        <w:outlineLvl w:val="1"/>
        <w:rPr>
          <w:rStyle w:val="28"/>
          <w:rFonts w:ascii="黑体" w:hAnsi="黑体" w:eastAsia="黑体"/>
          <w:b w:val="0"/>
        </w:rPr>
      </w:pPr>
      <w:bookmarkStart w:id="44" w:name="_Toc15396609"/>
      <w:bookmarkStart w:id="45" w:name="_Toc15377215"/>
      <w:r>
        <w:rPr>
          <w:rFonts w:hint="eastAsia" w:ascii="黑体" w:eastAsia="黑体"/>
          <w:sz w:val="32"/>
          <w:szCs w:val="32"/>
        </w:rPr>
        <w:t>七、</w:t>
      </w:r>
      <w:r>
        <w:rPr>
          <w:rStyle w:val="28"/>
          <w:rFonts w:hint="eastAsia" w:ascii="黑体" w:hAnsi="黑体" w:eastAsia="黑体"/>
          <w:b w:val="0"/>
        </w:rPr>
        <w:t>财政拨款</w:t>
      </w:r>
      <w:r>
        <w:rPr>
          <w:rStyle w:val="28"/>
          <w:rFonts w:hint="eastAsia" w:ascii="黑体" w:hAnsi="黑体" w:eastAsia="黑体"/>
        </w:rPr>
        <w:t>“</w:t>
      </w:r>
      <w:r>
        <w:rPr>
          <w:rStyle w:val="28"/>
          <w:rFonts w:hint="eastAsia" w:ascii="黑体" w:hAnsi="黑体" w:eastAsia="黑体"/>
          <w:b w:val="0"/>
        </w:rPr>
        <w:t>三公”经费支出决算情况说明</w:t>
      </w:r>
      <w:bookmarkEnd w:id="44"/>
      <w:bookmarkEnd w:id="45"/>
    </w:p>
    <w:p w14:paraId="7C543437">
      <w:pPr>
        <w:spacing w:line="600" w:lineRule="exact"/>
        <w:ind w:firstLine="640"/>
        <w:outlineLvl w:val="2"/>
        <w:rPr>
          <w:rFonts w:ascii="仿宋" w:hAnsi="仿宋" w:eastAsia="仿宋"/>
          <w:b/>
          <w:sz w:val="32"/>
          <w:szCs w:val="32"/>
        </w:rPr>
      </w:pPr>
      <w:bookmarkStart w:id="46" w:name="_Toc15377216"/>
      <w:r>
        <w:rPr>
          <w:rFonts w:hint="eastAsia" w:ascii="仿宋" w:hAnsi="仿宋" w:eastAsia="仿宋"/>
          <w:b/>
          <w:sz w:val="32"/>
          <w:szCs w:val="32"/>
        </w:rPr>
        <w:t>（一）“三公”经费财政拨款支出决算总体情况说明</w:t>
      </w:r>
      <w:bookmarkEnd w:id="46"/>
    </w:p>
    <w:p w14:paraId="54EBDFAB">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22年“三公”经费财政拨款支出决算为</w:t>
      </w:r>
      <w:r>
        <w:rPr>
          <w:rFonts w:ascii="仿宋" w:hAnsi="仿宋" w:eastAsia="仿宋"/>
          <w:sz w:val="32"/>
          <w:szCs w:val="32"/>
        </w:rPr>
        <w:t>9.79</w:t>
      </w:r>
      <w:r>
        <w:rPr>
          <w:rFonts w:hint="eastAsia" w:ascii="仿宋" w:hAnsi="仿宋" w:eastAsia="仿宋"/>
          <w:sz w:val="32"/>
          <w:szCs w:val="32"/>
        </w:rPr>
        <w:t>万元，完成预算</w:t>
      </w:r>
      <w:r>
        <w:rPr>
          <w:rFonts w:ascii="仿宋" w:hAnsi="仿宋" w:eastAsia="仿宋"/>
          <w:sz w:val="32"/>
          <w:szCs w:val="32"/>
        </w:rPr>
        <w:t>100%</w:t>
      </w:r>
      <w:r>
        <w:rPr>
          <w:rFonts w:hint="eastAsia" w:ascii="仿宋" w:hAnsi="仿宋" w:eastAsia="仿宋"/>
          <w:sz w:val="32"/>
          <w:szCs w:val="32"/>
        </w:rPr>
        <w:t>，较上年减少</w:t>
      </w:r>
      <w:r>
        <w:rPr>
          <w:rFonts w:ascii="仿宋" w:hAnsi="仿宋" w:eastAsia="仿宋"/>
          <w:sz w:val="32"/>
          <w:szCs w:val="32"/>
        </w:rPr>
        <w:t>1.6</w:t>
      </w:r>
      <w:r>
        <w:rPr>
          <w:rFonts w:hint="eastAsia" w:ascii="仿宋" w:hAnsi="仿宋" w:eastAsia="仿宋"/>
          <w:sz w:val="32"/>
          <w:szCs w:val="32"/>
        </w:rPr>
        <w:t>万元，下降</w:t>
      </w:r>
      <w:r>
        <w:rPr>
          <w:rFonts w:ascii="仿宋" w:hAnsi="仿宋" w:eastAsia="仿宋"/>
          <w:sz w:val="32"/>
          <w:szCs w:val="32"/>
        </w:rPr>
        <w:t>14.05</w:t>
      </w:r>
      <w:r>
        <w:rPr>
          <w:rFonts w:hint="eastAsia" w:ascii="仿宋" w:hAnsi="仿宋" w:eastAsia="仿宋"/>
          <w:sz w:val="32"/>
          <w:szCs w:val="32"/>
        </w:rPr>
        <w:t>%。</w:t>
      </w:r>
    </w:p>
    <w:p w14:paraId="61E7EC7C">
      <w:pPr>
        <w:spacing w:line="600" w:lineRule="exact"/>
        <w:ind w:firstLine="640"/>
        <w:rPr>
          <w:rFonts w:ascii="仿宋" w:hAnsi="仿宋" w:eastAsia="仿宋"/>
          <w:b/>
          <w:sz w:val="32"/>
          <w:szCs w:val="32"/>
        </w:rPr>
      </w:pPr>
      <w:r>
        <w:rPr>
          <w:rFonts w:hint="eastAsia" w:ascii="仿宋" w:hAnsi="仿宋" w:eastAsia="仿宋"/>
          <w:b/>
          <w:sz w:val="32"/>
          <w:szCs w:val="32"/>
        </w:rPr>
        <w:t>（注：上述“预算”口径为全年预算数，包括一般公共预算和政府性基金预算财政拨款支出决算情况。）</w:t>
      </w:r>
    </w:p>
    <w:p w14:paraId="31919861">
      <w:pPr>
        <w:spacing w:line="600" w:lineRule="exact"/>
        <w:ind w:firstLine="640"/>
        <w:outlineLvl w:val="2"/>
        <w:rPr>
          <w:rFonts w:ascii="仿宋" w:hAnsi="仿宋" w:eastAsia="仿宋"/>
          <w:b/>
          <w:sz w:val="32"/>
          <w:szCs w:val="32"/>
        </w:rPr>
      </w:pPr>
      <w:bookmarkStart w:id="47" w:name="_Toc15377217"/>
      <w:r>
        <w:rPr>
          <w:rFonts w:hint="eastAsia" w:ascii="仿宋" w:hAnsi="仿宋" w:eastAsia="仿宋"/>
          <w:b/>
          <w:sz w:val="32"/>
          <w:szCs w:val="32"/>
        </w:rPr>
        <w:t>（二）“三公”经费财政拨款支出决算具体情况说明</w:t>
      </w:r>
      <w:bookmarkEnd w:id="47"/>
    </w:p>
    <w:p w14:paraId="7D7FF68B">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22年“三公”经费财政拨款支出决算中，因公出国（境）费支出决算</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；公务用车购置及运行维护费支出决算</w:t>
      </w:r>
      <w:r>
        <w:rPr>
          <w:rFonts w:ascii="仿宋" w:hAnsi="仿宋" w:eastAsia="仿宋"/>
          <w:sz w:val="32"/>
          <w:szCs w:val="32"/>
        </w:rPr>
        <w:t>9.73</w:t>
      </w:r>
      <w:r>
        <w:rPr>
          <w:rFonts w:hint="eastAsia" w:ascii="仿宋" w:hAnsi="仿宋" w:eastAsia="仿宋"/>
          <w:sz w:val="32"/>
          <w:szCs w:val="32"/>
        </w:rPr>
        <w:t>万元，占</w:t>
      </w:r>
      <w:r>
        <w:rPr>
          <w:rFonts w:ascii="仿宋" w:hAnsi="仿宋" w:eastAsia="仿宋"/>
          <w:sz w:val="32"/>
          <w:szCs w:val="32"/>
        </w:rPr>
        <w:t>99.39%</w:t>
      </w:r>
      <w:r>
        <w:rPr>
          <w:rFonts w:hint="eastAsia" w:ascii="仿宋" w:hAnsi="仿宋" w:eastAsia="仿宋"/>
          <w:sz w:val="32"/>
          <w:szCs w:val="32"/>
        </w:rPr>
        <w:t>；公务接待费支出决算</w:t>
      </w:r>
      <w:r>
        <w:rPr>
          <w:rFonts w:ascii="仿宋" w:hAnsi="仿宋" w:eastAsia="仿宋"/>
          <w:sz w:val="32"/>
          <w:szCs w:val="32"/>
        </w:rPr>
        <w:t>0.06</w:t>
      </w:r>
      <w:r>
        <w:rPr>
          <w:rFonts w:hint="eastAsia" w:ascii="仿宋" w:hAnsi="仿宋" w:eastAsia="仿宋"/>
          <w:sz w:val="32"/>
          <w:szCs w:val="32"/>
        </w:rPr>
        <w:t>万元，占</w:t>
      </w:r>
      <w:r>
        <w:rPr>
          <w:rFonts w:ascii="仿宋" w:hAnsi="仿宋" w:eastAsia="仿宋"/>
          <w:sz w:val="32"/>
          <w:szCs w:val="32"/>
        </w:rPr>
        <w:t>0.61%</w:t>
      </w:r>
      <w:r>
        <w:rPr>
          <w:rFonts w:hint="eastAsia" w:ascii="仿宋" w:hAnsi="仿宋" w:eastAsia="仿宋"/>
          <w:sz w:val="32"/>
          <w:szCs w:val="32"/>
        </w:rPr>
        <w:t>。具体情况如下：</w:t>
      </w:r>
    </w:p>
    <w:p w14:paraId="478D0A77">
      <w:pPr>
        <w:spacing w:line="600" w:lineRule="exact"/>
        <w:ind w:firstLine="640"/>
        <w:rPr>
          <w:rFonts w:ascii="仿宋" w:hAnsi="仿宋" w:eastAsia="仿宋"/>
          <w:sz w:val="32"/>
          <w:szCs w:val="32"/>
        </w:rPr>
      </w:pPr>
    </w:p>
    <w:p w14:paraId="741105FD">
      <w:pPr>
        <w:pStyle w:val="2"/>
        <w:spacing w:before="93"/>
        <w:ind w:firstLine="450" w:firstLineChars="150"/>
      </w:pPr>
      <w:r>
        <w:drawing>
          <wp:inline distT="0" distB="0" distL="0" distR="0">
            <wp:extent cx="5210175" cy="4184015"/>
            <wp:effectExtent l="0" t="0" r="9525" b="6985"/>
            <wp:docPr id="14" name="图片 14" descr="C:\Users\Administrator\Desktop\定期要删除的临时资料\微信\WeChat Files\wxid_1y4uycj7qfjk21\FileStorage\Temp\1701395616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定期要删除的临时资料\微信\WeChat Files\wxid_1y4uycj7qfjk21\FileStorage\Temp\170139561662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10175" cy="4184015"/>
                    </a:xfrm>
                    <a:prstGeom prst="rect">
                      <a:avLst/>
                    </a:prstGeom>
                    <a:noFill/>
                    <a:ln>
                      <a:noFill/>
                    </a:ln>
                  </pic:spPr>
                </pic:pic>
              </a:graphicData>
            </a:graphic>
          </wp:inline>
        </w:drawing>
      </w:r>
    </w:p>
    <w:p w14:paraId="417C3742">
      <w:pPr>
        <w:spacing w:line="600" w:lineRule="exact"/>
        <w:ind w:firstLine="640"/>
        <w:rPr>
          <w:rFonts w:ascii="仿宋" w:hAnsi="仿宋" w:eastAsia="仿宋"/>
          <w:sz w:val="32"/>
          <w:szCs w:val="32"/>
        </w:rPr>
      </w:pPr>
      <w:r>
        <w:rPr>
          <w:rFonts w:hint="eastAsia" w:ascii="仿宋" w:hAnsi="仿宋" w:eastAsia="仿宋"/>
          <w:sz w:val="32"/>
          <w:szCs w:val="32"/>
        </w:rPr>
        <w:t>（图7：“三公”经费财政拨款支出结构）（饼状图）</w:t>
      </w:r>
    </w:p>
    <w:p w14:paraId="53860539">
      <w:pPr>
        <w:spacing w:line="600" w:lineRule="exact"/>
        <w:ind w:firstLine="640"/>
        <w:rPr>
          <w:rFonts w:ascii="仿宋" w:hAnsi="仿宋" w:eastAsia="仿宋"/>
          <w:sz w:val="32"/>
          <w:szCs w:val="32"/>
        </w:rPr>
      </w:pPr>
      <w:r>
        <w:rPr>
          <w:rFonts w:ascii="仿宋" w:hAnsi="仿宋" w:eastAsia="仿宋"/>
          <w:bCs/>
          <w:sz w:val="32"/>
          <w:szCs w:val="32"/>
        </w:rPr>
        <w:t>1.</w:t>
      </w:r>
      <w:r>
        <w:rPr>
          <w:rFonts w:hint="eastAsia" w:ascii="仿宋" w:hAnsi="仿宋" w:eastAsia="仿宋"/>
          <w:bCs/>
          <w:sz w:val="32"/>
          <w:szCs w:val="32"/>
        </w:rPr>
        <w:t>因公出国（境）经费支出</w:t>
      </w:r>
      <w:r>
        <w:rPr>
          <w:rFonts w:ascii="仿宋" w:hAnsi="仿宋" w:eastAsia="仿宋"/>
          <w:bCs/>
          <w:sz w:val="32"/>
          <w:szCs w:val="32"/>
        </w:rPr>
        <w:t>0</w:t>
      </w:r>
      <w:r>
        <w:rPr>
          <w:rFonts w:hint="eastAsia" w:ascii="仿宋" w:hAnsi="仿宋" w:eastAsia="仿宋"/>
          <w:bCs/>
          <w:sz w:val="32"/>
          <w:szCs w:val="32"/>
        </w:rPr>
        <w:t>万元</w:t>
      </w:r>
      <w:r>
        <w:rPr>
          <w:rFonts w:hint="eastAsia" w:ascii="仿宋" w:hAnsi="仿宋" w:eastAsia="仿宋"/>
          <w:sz w:val="32"/>
          <w:szCs w:val="32"/>
        </w:rPr>
        <w:t>，</w:t>
      </w:r>
      <w:r>
        <w:rPr>
          <w:rStyle w:val="16"/>
          <w:rFonts w:hint="eastAsia" w:ascii="仿宋" w:hAnsi="仿宋" w:eastAsia="仿宋"/>
          <w:b w:val="0"/>
          <w:bCs/>
          <w:sz w:val="32"/>
          <w:szCs w:val="32"/>
        </w:rPr>
        <w:t>完成预算</w:t>
      </w:r>
      <w:r>
        <w:rPr>
          <w:rStyle w:val="16"/>
          <w:rFonts w:ascii="仿宋" w:hAnsi="仿宋" w:eastAsia="仿宋"/>
          <w:b w:val="0"/>
          <w:bCs/>
          <w:sz w:val="32"/>
          <w:szCs w:val="32"/>
        </w:rPr>
        <w:t>0%</w:t>
      </w:r>
      <w:r>
        <w:rPr>
          <w:rStyle w:val="16"/>
          <w:rFonts w:hint="eastAsia" w:ascii="仿宋" w:hAnsi="仿宋" w:eastAsia="仿宋"/>
          <w:b w:val="0"/>
          <w:bCs/>
          <w:sz w:val="32"/>
          <w:szCs w:val="32"/>
        </w:rPr>
        <w:t>。</w:t>
      </w:r>
      <w:r>
        <w:rPr>
          <w:rFonts w:hint="eastAsia" w:ascii="仿宋" w:hAnsi="仿宋" w:eastAsia="仿宋"/>
          <w:sz w:val="32"/>
          <w:szCs w:val="32"/>
        </w:rPr>
        <w:t>全年安排因公出国（境）团组</w:t>
      </w:r>
      <w:r>
        <w:rPr>
          <w:rFonts w:ascii="仿宋" w:hAnsi="仿宋" w:eastAsia="仿宋"/>
          <w:sz w:val="32"/>
          <w:szCs w:val="32"/>
        </w:rPr>
        <w:t>0</w:t>
      </w:r>
      <w:r>
        <w:rPr>
          <w:rFonts w:hint="eastAsia" w:ascii="仿宋" w:hAnsi="仿宋" w:eastAsia="仿宋"/>
          <w:sz w:val="32"/>
          <w:szCs w:val="32"/>
        </w:rPr>
        <w:t>次，出国（境）</w:t>
      </w:r>
      <w:r>
        <w:rPr>
          <w:rFonts w:ascii="仿宋" w:hAnsi="仿宋" w:eastAsia="仿宋"/>
          <w:sz w:val="32"/>
          <w:szCs w:val="32"/>
        </w:rPr>
        <w:t>0</w:t>
      </w:r>
      <w:r>
        <w:rPr>
          <w:rFonts w:hint="eastAsia" w:ascii="仿宋" w:hAnsi="仿宋" w:eastAsia="仿宋"/>
          <w:sz w:val="32"/>
          <w:szCs w:val="32"/>
        </w:rPr>
        <w:t>人。本年无此项业务发生。</w:t>
      </w:r>
    </w:p>
    <w:p w14:paraId="03CF7B5B">
      <w:pPr>
        <w:spacing w:line="600" w:lineRule="exact"/>
        <w:ind w:firstLine="640"/>
        <w:rPr>
          <w:rFonts w:ascii="仿宋" w:hAnsi="仿宋" w:eastAsia="仿宋"/>
          <w:bCs/>
          <w:sz w:val="32"/>
          <w:szCs w:val="32"/>
        </w:rPr>
      </w:pPr>
      <w:r>
        <w:rPr>
          <w:rFonts w:ascii="仿宋" w:hAnsi="仿宋" w:eastAsia="仿宋"/>
          <w:bCs/>
          <w:sz w:val="32"/>
          <w:szCs w:val="32"/>
        </w:rPr>
        <w:t>2.</w:t>
      </w:r>
      <w:r>
        <w:rPr>
          <w:rFonts w:hint="eastAsia" w:ascii="仿宋" w:hAnsi="仿宋" w:eastAsia="仿宋"/>
          <w:bCs/>
          <w:sz w:val="32"/>
          <w:szCs w:val="32"/>
        </w:rPr>
        <w:t>公务用车购置及运行维护费支出</w:t>
      </w:r>
      <w:r>
        <w:rPr>
          <w:rFonts w:ascii="仿宋" w:hAnsi="仿宋" w:eastAsia="仿宋"/>
          <w:bCs/>
          <w:sz w:val="32"/>
          <w:szCs w:val="32"/>
        </w:rPr>
        <w:t>9.73</w:t>
      </w:r>
      <w:r>
        <w:rPr>
          <w:rFonts w:hint="eastAsia" w:ascii="仿宋" w:hAnsi="仿宋" w:eastAsia="仿宋"/>
          <w:bCs/>
          <w:sz w:val="32"/>
          <w:szCs w:val="32"/>
        </w:rPr>
        <w:t>万元</w:t>
      </w:r>
      <w:r>
        <w:rPr>
          <w:rFonts w:hint="eastAsia" w:ascii="仿宋" w:hAnsi="仿宋" w:eastAsia="仿宋"/>
          <w:bCs/>
          <w:sz w:val="32"/>
          <w:szCs w:val="32"/>
          <w:lang w:eastAsia="zh-CN"/>
        </w:rPr>
        <w:t>，</w:t>
      </w:r>
      <w:r>
        <w:rPr>
          <w:rStyle w:val="16"/>
          <w:rFonts w:hint="eastAsia" w:ascii="仿宋" w:hAnsi="仿宋" w:eastAsia="仿宋"/>
          <w:b w:val="0"/>
          <w:sz w:val="32"/>
          <w:szCs w:val="32"/>
        </w:rPr>
        <w:t>完成预算</w:t>
      </w:r>
      <w:r>
        <w:rPr>
          <w:rStyle w:val="16"/>
          <w:rFonts w:ascii="仿宋" w:hAnsi="仿宋" w:eastAsia="仿宋"/>
          <w:b w:val="0"/>
          <w:sz w:val="32"/>
          <w:szCs w:val="32"/>
        </w:rPr>
        <w:t>100%</w:t>
      </w:r>
      <w:r>
        <w:rPr>
          <w:rStyle w:val="16"/>
          <w:rFonts w:hint="eastAsia" w:ascii="仿宋" w:hAnsi="仿宋" w:eastAsia="仿宋"/>
          <w:b w:val="0"/>
          <w:sz w:val="32"/>
          <w:szCs w:val="32"/>
        </w:rPr>
        <w:t>。</w:t>
      </w:r>
      <w:r>
        <w:rPr>
          <w:rFonts w:hint="eastAsia" w:ascii="仿宋" w:hAnsi="仿宋" w:eastAsia="仿宋"/>
          <w:bCs/>
          <w:sz w:val="32"/>
          <w:szCs w:val="32"/>
        </w:rPr>
        <w:t>公务用车购置及运行维护费支出决算比</w:t>
      </w:r>
      <w:r>
        <w:rPr>
          <w:rFonts w:ascii="仿宋" w:hAnsi="仿宋" w:eastAsia="仿宋"/>
          <w:bCs/>
          <w:sz w:val="32"/>
          <w:szCs w:val="32"/>
        </w:rPr>
        <w:t>20</w:t>
      </w:r>
      <w:r>
        <w:rPr>
          <w:rFonts w:hint="eastAsia" w:ascii="仿宋" w:hAnsi="仿宋" w:eastAsia="仿宋"/>
          <w:bCs/>
          <w:sz w:val="32"/>
          <w:szCs w:val="32"/>
        </w:rPr>
        <w:t>21年增加0</w:t>
      </w:r>
      <w:r>
        <w:rPr>
          <w:rFonts w:ascii="仿宋" w:hAnsi="仿宋" w:eastAsia="仿宋"/>
          <w:bCs/>
          <w:sz w:val="32"/>
          <w:szCs w:val="32"/>
        </w:rPr>
        <w:t>.01</w:t>
      </w:r>
      <w:r>
        <w:rPr>
          <w:rFonts w:hint="eastAsia" w:ascii="仿宋" w:hAnsi="仿宋" w:eastAsia="仿宋"/>
          <w:bCs/>
          <w:sz w:val="32"/>
          <w:szCs w:val="32"/>
        </w:rPr>
        <w:t>万元，增长</w:t>
      </w:r>
      <w:r>
        <w:rPr>
          <w:rFonts w:ascii="仿宋" w:hAnsi="仿宋" w:eastAsia="仿宋"/>
          <w:bCs/>
          <w:sz w:val="32"/>
          <w:szCs w:val="32"/>
        </w:rPr>
        <w:t>0.1%</w:t>
      </w:r>
      <w:r>
        <w:rPr>
          <w:rFonts w:hint="eastAsia" w:ascii="仿宋" w:hAnsi="仿宋" w:eastAsia="仿宋"/>
          <w:bCs/>
          <w:sz w:val="32"/>
          <w:szCs w:val="32"/>
        </w:rPr>
        <w:t>。</w:t>
      </w:r>
    </w:p>
    <w:p w14:paraId="107FC4F7">
      <w:pPr>
        <w:spacing w:line="600" w:lineRule="exact"/>
        <w:ind w:firstLine="640" w:firstLineChars="200"/>
        <w:rPr>
          <w:rFonts w:ascii="仿宋" w:hAnsi="仿宋" w:eastAsia="仿宋"/>
          <w:bCs/>
          <w:sz w:val="32"/>
          <w:szCs w:val="32"/>
        </w:rPr>
      </w:pPr>
      <w:r>
        <w:rPr>
          <w:rFonts w:hint="eastAsia" w:ascii="仿宋" w:hAnsi="仿宋" w:eastAsia="仿宋"/>
          <w:bCs/>
          <w:sz w:val="32"/>
          <w:szCs w:val="32"/>
        </w:rPr>
        <w:t>其中：公务用车购置支出</w:t>
      </w:r>
      <w:r>
        <w:rPr>
          <w:rFonts w:ascii="仿宋" w:hAnsi="仿宋" w:eastAsia="仿宋"/>
          <w:bCs/>
          <w:sz w:val="32"/>
          <w:szCs w:val="32"/>
        </w:rPr>
        <w:t>0</w:t>
      </w:r>
      <w:r>
        <w:rPr>
          <w:rFonts w:hint="eastAsia" w:ascii="仿宋" w:hAnsi="仿宋" w:eastAsia="仿宋"/>
          <w:bCs/>
          <w:sz w:val="32"/>
          <w:szCs w:val="32"/>
        </w:rPr>
        <w:t>万元。全年按规定更新购置公务用车</w:t>
      </w:r>
      <w:r>
        <w:rPr>
          <w:rFonts w:ascii="仿宋" w:hAnsi="仿宋" w:eastAsia="仿宋"/>
          <w:bCs/>
          <w:sz w:val="32"/>
          <w:szCs w:val="32"/>
        </w:rPr>
        <w:t>0</w:t>
      </w:r>
      <w:r>
        <w:rPr>
          <w:rFonts w:hint="eastAsia" w:ascii="仿宋" w:hAnsi="仿宋" w:eastAsia="仿宋"/>
          <w:bCs/>
          <w:sz w:val="32"/>
          <w:szCs w:val="32"/>
        </w:rPr>
        <w:t>辆，其中：轿车</w:t>
      </w:r>
      <w:r>
        <w:rPr>
          <w:rFonts w:ascii="仿宋" w:hAnsi="仿宋" w:eastAsia="仿宋"/>
          <w:bCs/>
          <w:sz w:val="32"/>
          <w:szCs w:val="32"/>
        </w:rPr>
        <w:t>0</w:t>
      </w:r>
      <w:r>
        <w:rPr>
          <w:rFonts w:hint="eastAsia" w:ascii="仿宋" w:hAnsi="仿宋" w:eastAsia="仿宋"/>
          <w:bCs/>
          <w:sz w:val="32"/>
          <w:szCs w:val="32"/>
        </w:rPr>
        <w:t>辆、金额</w:t>
      </w:r>
      <w:r>
        <w:rPr>
          <w:rFonts w:ascii="仿宋" w:hAnsi="仿宋" w:eastAsia="仿宋"/>
          <w:bCs/>
          <w:sz w:val="32"/>
          <w:szCs w:val="32"/>
        </w:rPr>
        <w:t>0</w:t>
      </w:r>
      <w:r>
        <w:rPr>
          <w:rFonts w:hint="eastAsia" w:ascii="仿宋" w:hAnsi="仿宋" w:eastAsia="仿宋"/>
          <w:bCs/>
          <w:sz w:val="32"/>
          <w:szCs w:val="32"/>
        </w:rPr>
        <w:t>万元，越野车</w:t>
      </w:r>
      <w:r>
        <w:rPr>
          <w:rFonts w:ascii="仿宋" w:hAnsi="仿宋" w:eastAsia="仿宋"/>
          <w:bCs/>
          <w:sz w:val="32"/>
          <w:szCs w:val="32"/>
        </w:rPr>
        <w:t>0</w:t>
      </w:r>
      <w:r>
        <w:rPr>
          <w:rFonts w:hint="eastAsia" w:ascii="仿宋" w:hAnsi="仿宋" w:eastAsia="仿宋"/>
          <w:bCs/>
          <w:sz w:val="32"/>
          <w:szCs w:val="32"/>
        </w:rPr>
        <w:t>辆、金额</w:t>
      </w:r>
      <w:r>
        <w:rPr>
          <w:rFonts w:ascii="仿宋" w:hAnsi="仿宋" w:eastAsia="仿宋"/>
          <w:bCs/>
          <w:sz w:val="32"/>
          <w:szCs w:val="32"/>
        </w:rPr>
        <w:t>0</w:t>
      </w:r>
      <w:r>
        <w:rPr>
          <w:rFonts w:hint="eastAsia" w:ascii="仿宋" w:hAnsi="仿宋" w:eastAsia="仿宋"/>
          <w:bCs/>
          <w:sz w:val="32"/>
          <w:szCs w:val="32"/>
        </w:rPr>
        <w:t>万元，载客汽车</w:t>
      </w:r>
      <w:r>
        <w:rPr>
          <w:rFonts w:ascii="仿宋" w:hAnsi="仿宋" w:eastAsia="仿宋"/>
          <w:bCs/>
          <w:sz w:val="32"/>
          <w:szCs w:val="32"/>
        </w:rPr>
        <w:t>0</w:t>
      </w:r>
      <w:r>
        <w:rPr>
          <w:rFonts w:hint="eastAsia" w:ascii="仿宋" w:hAnsi="仿宋" w:eastAsia="仿宋"/>
          <w:bCs/>
          <w:sz w:val="32"/>
          <w:szCs w:val="32"/>
        </w:rPr>
        <w:t>辆、金额</w:t>
      </w:r>
      <w:r>
        <w:rPr>
          <w:rFonts w:ascii="仿宋" w:hAnsi="仿宋" w:eastAsia="仿宋"/>
          <w:bCs/>
          <w:sz w:val="32"/>
          <w:szCs w:val="32"/>
        </w:rPr>
        <w:t>0</w:t>
      </w:r>
      <w:r>
        <w:rPr>
          <w:rFonts w:hint="eastAsia" w:ascii="仿宋" w:hAnsi="仿宋" w:eastAsia="仿宋"/>
          <w:bCs/>
          <w:sz w:val="32"/>
          <w:szCs w:val="32"/>
        </w:rPr>
        <w:t>万元。截至</w:t>
      </w:r>
      <w:r>
        <w:rPr>
          <w:rFonts w:ascii="仿宋" w:hAnsi="仿宋" w:eastAsia="仿宋"/>
          <w:bCs/>
          <w:sz w:val="32"/>
          <w:szCs w:val="32"/>
        </w:rPr>
        <w:t>20</w:t>
      </w:r>
      <w:r>
        <w:rPr>
          <w:rFonts w:hint="eastAsia" w:ascii="仿宋" w:hAnsi="仿宋" w:eastAsia="仿宋"/>
          <w:bCs/>
          <w:sz w:val="32"/>
          <w:szCs w:val="32"/>
        </w:rPr>
        <w:t>22年</w:t>
      </w:r>
      <w:r>
        <w:rPr>
          <w:rFonts w:ascii="仿宋" w:hAnsi="仿宋" w:eastAsia="仿宋"/>
          <w:bCs/>
          <w:sz w:val="32"/>
          <w:szCs w:val="32"/>
        </w:rPr>
        <w:t>12</w:t>
      </w:r>
      <w:r>
        <w:rPr>
          <w:rFonts w:hint="eastAsia" w:ascii="仿宋" w:hAnsi="仿宋" w:eastAsia="仿宋"/>
          <w:bCs/>
          <w:sz w:val="32"/>
          <w:szCs w:val="32"/>
        </w:rPr>
        <w:t>月底，单位共有公务用车</w:t>
      </w:r>
      <w:r>
        <w:rPr>
          <w:rFonts w:ascii="仿宋" w:hAnsi="仿宋" w:eastAsia="仿宋"/>
          <w:bCs/>
          <w:sz w:val="32"/>
          <w:szCs w:val="32"/>
        </w:rPr>
        <w:t>5</w:t>
      </w:r>
      <w:r>
        <w:rPr>
          <w:rFonts w:hint="eastAsia" w:ascii="仿宋" w:hAnsi="仿宋" w:eastAsia="仿宋"/>
          <w:bCs/>
          <w:sz w:val="32"/>
          <w:szCs w:val="32"/>
        </w:rPr>
        <w:t>辆，其中：轿车1辆、越野车</w:t>
      </w:r>
      <w:r>
        <w:rPr>
          <w:rFonts w:ascii="仿宋" w:hAnsi="仿宋" w:eastAsia="仿宋"/>
          <w:bCs/>
          <w:sz w:val="32"/>
          <w:szCs w:val="32"/>
        </w:rPr>
        <w:t>3</w:t>
      </w:r>
      <w:r>
        <w:rPr>
          <w:rFonts w:hint="eastAsia" w:ascii="仿宋" w:hAnsi="仿宋" w:eastAsia="仿宋"/>
          <w:bCs/>
          <w:sz w:val="32"/>
          <w:szCs w:val="32"/>
        </w:rPr>
        <w:t>辆、其他专用汽车1辆（炊事餐车），载客汽车</w:t>
      </w:r>
      <w:r>
        <w:rPr>
          <w:rFonts w:ascii="仿宋" w:hAnsi="仿宋" w:eastAsia="仿宋"/>
          <w:bCs/>
          <w:sz w:val="32"/>
          <w:szCs w:val="32"/>
        </w:rPr>
        <w:t>0</w:t>
      </w:r>
      <w:r>
        <w:rPr>
          <w:rFonts w:hint="eastAsia" w:ascii="仿宋" w:hAnsi="仿宋" w:eastAsia="仿宋"/>
          <w:bCs/>
          <w:sz w:val="32"/>
          <w:szCs w:val="32"/>
        </w:rPr>
        <w:t>辆。</w:t>
      </w:r>
    </w:p>
    <w:p w14:paraId="3D032079">
      <w:pPr>
        <w:spacing w:line="600" w:lineRule="exact"/>
        <w:ind w:firstLine="640"/>
        <w:rPr>
          <w:rFonts w:ascii="仿宋" w:hAnsi="仿宋" w:eastAsia="仿宋"/>
          <w:bCs/>
          <w:sz w:val="32"/>
          <w:szCs w:val="32"/>
        </w:rPr>
      </w:pPr>
      <w:r>
        <w:rPr>
          <w:rFonts w:hint="eastAsia" w:ascii="仿宋" w:hAnsi="仿宋" w:eastAsia="仿宋"/>
          <w:bCs/>
          <w:sz w:val="32"/>
          <w:szCs w:val="32"/>
        </w:rPr>
        <w:t>公务用车运行维护费支出</w:t>
      </w:r>
      <w:r>
        <w:rPr>
          <w:rFonts w:ascii="仿宋" w:hAnsi="仿宋" w:eastAsia="仿宋"/>
          <w:bCs/>
          <w:sz w:val="32"/>
          <w:szCs w:val="32"/>
        </w:rPr>
        <w:t>9.73</w:t>
      </w:r>
      <w:r>
        <w:rPr>
          <w:rFonts w:hint="eastAsia" w:ascii="仿宋" w:hAnsi="仿宋" w:eastAsia="仿宋"/>
          <w:bCs/>
          <w:sz w:val="32"/>
          <w:szCs w:val="32"/>
        </w:rPr>
        <w:t>万元。主要用于</w:t>
      </w:r>
      <w:r>
        <w:rPr>
          <w:rFonts w:hint="eastAsia" w:ascii="仿宋" w:hAnsi="仿宋" w:eastAsia="仿宋" w:cs="仿宋_GB2312"/>
          <w:sz w:val="32"/>
          <w:szCs w:val="32"/>
        </w:rPr>
        <w:t>矿山</w:t>
      </w:r>
      <w:r>
        <w:rPr>
          <w:rFonts w:hint="eastAsia" w:ascii="仿宋" w:hAnsi="仿宋" w:eastAsia="仿宋" w:cs="仿宋_GB2312"/>
          <w:bCs/>
          <w:sz w:val="32"/>
          <w:szCs w:val="32"/>
        </w:rPr>
        <w:t>检查、应急处置及各项安全生产检查</w:t>
      </w:r>
      <w:r>
        <w:rPr>
          <w:rFonts w:hint="eastAsia" w:ascii="仿宋" w:hAnsi="仿宋" w:eastAsia="仿宋"/>
          <w:bCs/>
          <w:sz w:val="32"/>
          <w:szCs w:val="32"/>
        </w:rPr>
        <w:t>等所需的公务用车燃料费、维修费、过路过桥费、保险费等支出。</w:t>
      </w:r>
    </w:p>
    <w:p w14:paraId="064FC18B">
      <w:pPr>
        <w:spacing w:line="600" w:lineRule="exact"/>
        <w:ind w:firstLine="640"/>
        <w:rPr>
          <w:rFonts w:ascii="仿宋" w:hAnsi="仿宋" w:eastAsia="仿宋"/>
          <w:bCs/>
          <w:sz w:val="32"/>
          <w:szCs w:val="32"/>
        </w:rPr>
      </w:pPr>
      <w:r>
        <w:rPr>
          <w:rFonts w:ascii="仿宋" w:hAnsi="仿宋" w:eastAsia="仿宋"/>
          <w:bCs/>
          <w:sz w:val="32"/>
          <w:szCs w:val="32"/>
        </w:rPr>
        <w:t>3.</w:t>
      </w:r>
      <w:r>
        <w:rPr>
          <w:rFonts w:hint="eastAsia" w:ascii="仿宋" w:hAnsi="仿宋" w:eastAsia="仿宋"/>
          <w:bCs/>
          <w:sz w:val="32"/>
          <w:szCs w:val="32"/>
        </w:rPr>
        <w:t>公务接待费支出</w:t>
      </w:r>
      <w:r>
        <w:rPr>
          <w:rFonts w:ascii="仿宋" w:hAnsi="仿宋" w:eastAsia="仿宋"/>
          <w:bCs/>
          <w:sz w:val="32"/>
          <w:szCs w:val="32"/>
        </w:rPr>
        <w:t>0.06</w:t>
      </w:r>
      <w:r>
        <w:rPr>
          <w:rFonts w:hint="eastAsia" w:ascii="仿宋" w:hAnsi="仿宋" w:eastAsia="仿宋"/>
          <w:bCs/>
          <w:sz w:val="32"/>
          <w:szCs w:val="32"/>
        </w:rPr>
        <w:t>万元，</w:t>
      </w:r>
      <w:r>
        <w:rPr>
          <w:rStyle w:val="16"/>
          <w:rFonts w:hint="eastAsia" w:ascii="仿宋" w:hAnsi="仿宋" w:eastAsia="仿宋"/>
          <w:b w:val="0"/>
          <w:sz w:val="32"/>
          <w:szCs w:val="32"/>
        </w:rPr>
        <w:t>完成预算</w:t>
      </w:r>
      <w:r>
        <w:rPr>
          <w:rStyle w:val="16"/>
          <w:rFonts w:ascii="仿宋" w:hAnsi="仿宋" w:eastAsia="仿宋"/>
          <w:b w:val="0"/>
          <w:sz w:val="32"/>
          <w:szCs w:val="32"/>
        </w:rPr>
        <w:t>100%</w:t>
      </w:r>
      <w:r>
        <w:rPr>
          <w:rStyle w:val="16"/>
          <w:rFonts w:hint="eastAsia" w:ascii="仿宋" w:hAnsi="仿宋" w:eastAsia="仿宋"/>
          <w:bCs/>
          <w:sz w:val="32"/>
          <w:szCs w:val="32"/>
        </w:rPr>
        <w:t>。</w:t>
      </w:r>
      <w:r>
        <w:rPr>
          <w:rFonts w:hint="eastAsia" w:ascii="仿宋" w:hAnsi="仿宋" w:eastAsia="仿宋"/>
          <w:bCs/>
          <w:sz w:val="32"/>
          <w:szCs w:val="32"/>
        </w:rPr>
        <w:t>公务接待费支出决算比</w:t>
      </w:r>
      <w:r>
        <w:rPr>
          <w:rFonts w:ascii="仿宋" w:hAnsi="仿宋" w:eastAsia="仿宋"/>
          <w:bCs/>
          <w:sz w:val="32"/>
          <w:szCs w:val="32"/>
        </w:rPr>
        <w:t>20</w:t>
      </w:r>
      <w:r>
        <w:rPr>
          <w:rFonts w:hint="eastAsia" w:ascii="仿宋" w:hAnsi="仿宋" w:eastAsia="仿宋"/>
          <w:bCs/>
          <w:sz w:val="32"/>
          <w:szCs w:val="32"/>
        </w:rPr>
        <w:t>21年减少</w:t>
      </w:r>
      <w:r>
        <w:rPr>
          <w:rFonts w:ascii="仿宋" w:hAnsi="仿宋" w:eastAsia="仿宋"/>
          <w:bCs/>
          <w:sz w:val="32"/>
          <w:szCs w:val="32"/>
        </w:rPr>
        <w:t>1.61</w:t>
      </w:r>
      <w:r>
        <w:rPr>
          <w:rFonts w:hint="eastAsia" w:ascii="仿宋" w:hAnsi="仿宋" w:eastAsia="仿宋"/>
          <w:bCs/>
          <w:sz w:val="32"/>
          <w:szCs w:val="32"/>
        </w:rPr>
        <w:t>万元，下降</w:t>
      </w:r>
      <w:r>
        <w:rPr>
          <w:rFonts w:ascii="仿宋" w:hAnsi="仿宋" w:eastAsia="仿宋"/>
          <w:bCs/>
          <w:sz w:val="32"/>
          <w:szCs w:val="32"/>
        </w:rPr>
        <w:t>96.41%</w:t>
      </w:r>
      <w:r>
        <w:rPr>
          <w:rFonts w:hint="eastAsia" w:ascii="仿宋" w:hAnsi="仿宋" w:eastAsia="仿宋"/>
          <w:bCs/>
          <w:sz w:val="32"/>
          <w:szCs w:val="32"/>
        </w:rPr>
        <w:t>。按财政要求压缩</w:t>
      </w:r>
      <w:r>
        <w:rPr>
          <w:rFonts w:hint="eastAsia" w:ascii="仿宋" w:hAnsi="仿宋" w:eastAsia="仿宋"/>
          <w:bCs/>
          <w:sz w:val="32"/>
          <w:szCs w:val="32"/>
          <w:lang w:eastAsia="zh-CN"/>
        </w:rPr>
        <w:t>“三公”经费</w:t>
      </w:r>
      <w:r>
        <w:rPr>
          <w:rFonts w:hint="eastAsia" w:ascii="仿宋" w:hAnsi="仿宋" w:eastAsia="仿宋"/>
          <w:bCs/>
          <w:sz w:val="32"/>
          <w:szCs w:val="32"/>
        </w:rPr>
        <w:t>。其中：</w:t>
      </w:r>
    </w:p>
    <w:p w14:paraId="69294E41">
      <w:pPr>
        <w:spacing w:line="600" w:lineRule="exact"/>
        <w:ind w:firstLine="640"/>
        <w:rPr>
          <w:rFonts w:ascii="仿宋" w:hAnsi="仿宋" w:eastAsia="仿宋"/>
          <w:bCs/>
          <w:sz w:val="32"/>
          <w:szCs w:val="32"/>
        </w:rPr>
      </w:pPr>
      <w:r>
        <w:rPr>
          <w:rFonts w:hint="eastAsia" w:ascii="仿宋" w:hAnsi="仿宋" w:eastAsia="仿宋"/>
          <w:bCs/>
          <w:sz w:val="32"/>
          <w:szCs w:val="32"/>
        </w:rPr>
        <w:t>国内公务接待支出</w:t>
      </w:r>
      <w:r>
        <w:rPr>
          <w:rFonts w:ascii="仿宋" w:hAnsi="仿宋" w:eastAsia="仿宋"/>
          <w:bCs/>
          <w:sz w:val="32"/>
          <w:szCs w:val="32"/>
        </w:rPr>
        <w:t>0.06</w:t>
      </w:r>
      <w:r>
        <w:rPr>
          <w:rFonts w:hint="eastAsia" w:ascii="仿宋" w:hAnsi="仿宋" w:eastAsia="仿宋"/>
          <w:bCs/>
          <w:sz w:val="32"/>
          <w:szCs w:val="32"/>
        </w:rPr>
        <w:t>万元，主要</w:t>
      </w:r>
      <w:r>
        <w:rPr>
          <w:rFonts w:hint="eastAsia" w:ascii="仿宋" w:hAnsi="仿宋" w:eastAsia="仿宋" w:cs="仿宋_GB2312"/>
          <w:color w:val="000000" w:themeColor="text1"/>
          <w:sz w:val="32"/>
          <w:szCs w:val="32"/>
          <w14:textFill>
            <w14:solidFill>
              <w14:schemeClr w14:val="tx1"/>
            </w14:solidFill>
          </w14:textFill>
        </w:rPr>
        <w:t>安全生产等上级检查督查</w:t>
      </w:r>
      <w:r>
        <w:rPr>
          <w:rFonts w:hint="eastAsia" w:ascii="仿宋" w:hAnsi="仿宋" w:eastAsia="仿宋"/>
          <w:bCs/>
          <w:sz w:val="32"/>
          <w:szCs w:val="32"/>
        </w:rPr>
        <w:t>。国内公务接待</w:t>
      </w:r>
      <w:r>
        <w:rPr>
          <w:rFonts w:ascii="仿宋" w:hAnsi="仿宋" w:eastAsia="仿宋"/>
          <w:bCs/>
          <w:sz w:val="32"/>
          <w:szCs w:val="32"/>
        </w:rPr>
        <w:t>1</w:t>
      </w:r>
      <w:r>
        <w:rPr>
          <w:rFonts w:hint="eastAsia" w:ascii="仿宋" w:hAnsi="仿宋" w:eastAsia="仿宋"/>
          <w:bCs/>
          <w:sz w:val="32"/>
          <w:szCs w:val="32"/>
        </w:rPr>
        <w:t>批次，</w:t>
      </w:r>
      <w:r>
        <w:rPr>
          <w:rFonts w:ascii="仿宋" w:hAnsi="仿宋" w:eastAsia="仿宋"/>
          <w:bCs/>
          <w:sz w:val="32"/>
          <w:szCs w:val="32"/>
        </w:rPr>
        <w:t>8</w:t>
      </w:r>
      <w:r>
        <w:rPr>
          <w:rFonts w:hint="eastAsia" w:ascii="仿宋" w:hAnsi="仿宋" w:eastAsia="仿宋"/>
          <w:bCs/>
          <w:sz w:val="32"/>
          <w:szCs w:val="32"/>
        </w:rPr>
        <w:t>人次（不包括陪同人员），共计支出</w:t>
      </w:r>
      <w:r>
        <w:rPr>
          <w:rFonts w:ascii="仿宋" w:hAnsi="仿宋" w:eastAsia="仿宋"/>
          <w:bCs/>
          <w:sz w:val="32"/>
          <w:szCs w:val="32"/>
        </w:rPr>
        <w:t>0.06</w:t>
      </w:r>
      <w:r>
        <w:rPr>
          <w:rFonts w:hint="eastAsia" w:ascii="仿宋" w:hAnsi="仿宋" w:eastAsia="仿宋"/>
          <w:bCs/>
          <w:sz w:val="32"/>
          <w:szCs w:val="32"/>
        </w:rPr>
        <w:t>万元，具体内容包括：</w:t>
      </w:r>
      <w:r>
        <w:rPr>
          <w:rFonts w:hint="eastAsia" w:ascii="仿宋" w:hAnsi="仿宋" w:eastAsia="仿宋" w:cs="仿宋_GB2312"/>
          <w:color w:val="000000" w:themeColor="text1"/>
          <w:sz w:val="32"/>
          <w:szCs w:val="32"/>
          <w14:textFill>
            <w14:solidFill>
              <w14:schemeClr w14:val="tx1"/>
            </w14:solidFill>
          </w14:textFill>
        </w:rPr>
        <w:t>安全生产等上级检查督查，金额0.06万元。</w:t>
      </w:r>
    </w:p>
    <w:p w14:paraId="187A8595">
      <w:pPr>
        <w:spacing w:line="600" w:lineRule="exact"/>
        <w:ind w:firstLine="640" w:firstLineChars="200"/>
        <w:rPr>
          <w:rFonts w:ascii="仿宋" w:hAnsi="仿宋" w:eastAsia="仿宋"/>
          <w:bCs/>
          <w:sz w:val="32"/>
          <w:szCs w:val="32"/>
        </w:rPr>
      </w:pPr>
      <w:r>
        <w:rPr>
          <w:rFonts w:hint="eastAsia" w:ascii="仿宋" w:hAnsi="仿宋" w:eastAsia="仿宋"/>
          <w:bCs/>
          <w:sz w:val="32"/>
          <w:szCs w:val="32"/>
        </w:rPr>
        <w:t>外事接待支出</w:t>
      </w:r>
      <w:r>
        <w:rPr>
          <w:rFonts w:ascii="仿宋" w:hAnsi="仿宋" w:eastAsia="仿宋"/>
          <w:bCs/>
          <w:sz w:val="32"/>
          <w:szCs w:val="32"/>
        </w:rPr>
        <w:t>0</w:t>
      </w:r>
      <w:r>
        <w:rPr>
          <w:rFonts w:hint="eastAsia" w:ascii="仿宋" w:hAnsi="仿宋" w:eastAsia="仿宋"/>
          <w:bCs/>
          <w:sz w:val="32"/>
          <w:szCs w:val="32"/>
        </w:rPr>
        <w:t>万元，外事接待</w:t>
      </w:r>
      <w:r>
        <w:rPr>
          <w:rFonts w:ascii="仿宋" w:hAnsi="仿宋" w:eastAsia="仿宋"/>
          <w:bCs/>
          <w:sz w:val="32"/>
          <w:szCs w:val="32"/>
        </w:rPr>
        <w:t>0</w:t>
      </w:r>
      <w:r>
        <w:rPr>
          <w:rFonts w:hint="eastAsia" w:ascii="仿宋" w:hAnsi="仿宋" w:eastAsia="仿宋"/>
          <w:bCs/>
          <w:sz w:val="32"/>
          <w:szCs w:val="32"/>
        </w:rPr>
        <w:t>批次，</w:t>
      </w:r>
      <w:r>
        <w:rPr>
          <w:rFonts w:ascii="仿宋" w:hAnsi="仿宋" w:eastAsia="仿宋"/>
          <w:bCs/>
          <w:sz w:val="32"/>
          <w:szCs w:val="32"/>
        </w:rPr>
        <w:t>0</w:t>
      </w:r>
      <w:r>
        <w:rPr>
          <w:rFonts w:hint="eastAsia" w:ascii="仿宋" w:hAnsi="仿宋" w:eastAsia="仿宋"/>
          <w:bCs/>
          <w:sz w:val="32"/>
          <w:szCs w:val="32"/>
        </w:rPr>
        <w:t>人次（不包括陪同人员），共计支出</w:t>
      </w:r>
      <w:r>
        <w:rPr>
          <w:rFonts w:ascii="仿宋" w:hAnsi="仿宋" w:eastAsia="仿宋"/>
          <w:bCs/>
          <w:sz w:val="32"/>
          <w:szCs w:val="32"/>
        </w:rPr>
        <w:t>0</w:t>
      </w:r>
      <w:r>
        <w:rPr>
          <w:rFonts w:hint="eastAsia" w:ascii="仿宋" w:hAnsi="仿宋" w:eastAsia="仿宋"/>
          <w:bCs/>
          <w:sz w:val="32"/>
          <w:szCs w:val="32"/>
        </w:rPr>
        <w:t>万元。</w:t>
      </w:r>
    </w:p>
    <w:p w14:paraId="6356EE6B">
      <w:pPr>
        <w:spacing w:line="600" w:lineRule="exact"/>
        <w:ind w:firstLine="640"/>
        <w:outlineLvl w:val="1"/>
        <w:rPr>
          <w:rFonts w:ascii="黑体" w:eastAsia="黑体"/>
          <w:sz w:val="32"/>
          <w:szCs w:val="32"/>
        </w:rPr>
      </w:pPr>
      <w:bookmarkStart w:id="48" w:name="_Toc15377218"/>
      <w:bookmarkStart w:id="49" w:name="_Toc15396610"/>
    </w:p>
    <w:p w14:paraId="5655A52C">
      <w:pPr>
        <w:spacing w:line="600" w:lineRule="exact"/>
        <w:ind w:firstLine="640"/>
        <w:outlineLvl w:val="1"/>
        <w:rPr>
          <w:rStyle w:val="28"/>
          <w:rFonts w:ascii="黑体" w:hAnsi="黑体" w:eastAsia="黑体"/>
        </w:rPr>
      </w:pPr>
      <w:r>
        <w:rPr>
          <w:rFonts w:hint="eastAsia" w:ascii="黑体" w:eastAsia="黑体"/>
          <w:sz w:val="32"/>
          <w:szCs w:val="32"/>
        </w:rPr>
        <w:t>八、</w:t>
      </w:r>
      <w:r>
        <w:rPr>
          <w:rStyle w:val="28"/>
          <w:rFonts w:hint="eastAsia" w:ascii="黑体" w:hAnsi="黑体" w:eastAsia="黑体"/>
          <w:b w:val="0"/>
        </w:rPr>
        <w:t>政府性基金预算支出决算情况说明</w:t>
      </w:r>
      <w:bookmarkEnd w:id="48"/>
      <w:bookmarkEnd w:id="49"/>
    </w:p>
    <w:p w14:paraId="0D4BC6BD">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22年政府性基金预算财政拨款支出</w:t>
      </w:r>
      <w:r>
        <w:rPr>
          <w:rFonts w:ascii="仿宋" w:hAnsi="仿宋" w:eastAsia="仿宋"/>
          <w:sz w:val="32"/>
          <w:szCs w:val="32"/>
        </w:rPr>
        <w:t>807.02</w:t>
      </w:r>
      <w:r>
        <w:rPr>
          <w:rFonts w:hint="eastAsia" w:ascii="仿宋" w:hAnsi="仿宋" w:eastAsia="仿宋"/>
          <w:sz w:val="32"/>
          <w:szCs w:val="32"/>
        </w:rPr>
        <w:t>万元。</w:t>
      </w:r>
    </w:p>
    <w:p w14:paraId="72D9910F">
      <w:pPr>
        <w:spacing w:line="600" w:lineRule="exact"/>
        <w:ind w:firstLine="640"/>
        <w:rPr>
          <w:rFonts w:ascii="仿宋_GB2312" w:eastAsia="仿宋_GB2312"/>
          <w:sz w:val="32"/>
          <w:szCs w:val="32"/>
        </w:rPr>
      </w:pPr>
    </w:p>
    <w:p w14:paraId="6B21872B">
      <w:pPr>
        <w:numPr>
          <w:ilvl w:val="0"/>
          <w:numId w:val="4"/>
        </w:numPr>
        <w:spacing w:line="600" w:lineRule="exact"/>
        <w:ind w:firstLine="640"/>
        <w:outlineLvl w:val="1"/>
        <w:rPr>
          <w:rStyle w:val="28"/>
          <w:rFonts w:ascii="黑体" w:hAnsi="黑体" w:eastAsia="黑体"/>
          <w:b w:val="0"/>
        </w:rPr>
      </w:pPr>
      <w:bookmarkStart w:id="50" w:name="_Toc15377219"/>
      <w:bookmarkStart w:id="51" w:name="_Toc15396611"/>
      <w:r>
        <w:rPr>
          <w:rStyle w:val="28"/>
          <w:rFonts w:hint="eastAsia" w:ascii="黑体" w:hAnsi="黑体" w:eastAsia="黑体"/>
          <w:b w:val="0"/>
        </w:rPr>
        <w:t>国有资本经营预算支出决算情况说明</w:t>
      </w:r>
      <w:bookmarkEnd w:id="50"/>
      <w:bookmarkEnd w:id="51"/>
    </w:p>
    <w:p w14:paraId="1A75DB42">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22年国有资本经营预算财政拨款支出</w:t>
      </w:r>
      <w:r>
        <w:rPr>
          <w:rFonts w:ascii="仿宋" w:hAnsi="仿宋" w:eastAsia="仿宋"/>
          <w:sz w:val="32"/>
          <w:szCs w:val="32"/>
        </w:rPr>
        <w:t>0</w:t>
      </w:r>
      <w:r>
        <w:rPr>
          <w:rFonts w:hint="eastAsia" w:ascii="仿宋" w:hAnsi="仿宋" w:eastAsia="仿宋"/>
          <w:sz w:val="32"/>
          <w:szCs w:val="32"/>
        </w:rPr>
        <w:t>万元。</w:t>
      </w:r>
    </w:p>
    <w:p w14:paraId="7A8CB333">
      <w:pPr>
        <w:spacing w:line="580" w:lineRule="exact"/>
        <w:jc w:val="center"/>
        <w:rPr>
          <w:rFonts w:ascii="方正小标宋简体" w:hAnsi="方正小标宋简体" w:eastAsia="方正小标宋简体" w:cs="方正小标宋简体"/>
          <w:sz w:val="44"/>
          <w:szCs w:val="44"/>
        </w:rPr>
      </w:pPr>
    </w:p>
    <w:p w14:paraId="20EDE2C9">
      <w:pPr>
        <w:numPr>
          <w:ilvl w:val="0"/>
          <w:numId w:val="4"/>
        </w:numPr>
        <w:spacing w:line="600" w:lineRule="exact"/>
        <w:ind w:firstLine="640"/>
        <w:outlineLvl w:val="1"/>
        <w:rPr>
          <w:rStyle w:val="28"/>
          <w:rFonts w:ascii="黑体" w:hAnsi="黑体" w:eastAsia="黑体"/>
          <w:b w:val="0"/>
        </w:rPr>
      </w:pPr>
      <w:bookmarkStart w:id="52" w:name="_Toc15396612"/>
      <w:bookmarkStart w:id="53" w:name="_Toc15377221"/>
      <w:r>
        <w:rPr>
          <w:rStyle w:val="28"/>
          <w:rFonts w:hint="eastAsia" w:ascii="黑体" w:hAnsi="黑体" w:eastAsia="黑体"/>
          <w:b w:val="0"/>
        </w:rPr>
        <w:t>其他重要事项的情况说明</w:t>
      </w:r>
      <w:bookmarkEnd w:id="52"/>
      <w:bookmarkEnd w:id="53"/>
    </w:p>
    <w:p w14:paraId="12B281D8">
      <w:pPr>
        <w:spacing w:line="600" w:lineRule="exact"/>
        <w:ind w:firstLine="643" w:firstLineChars="200"/>
        <w:outlineLvl w:val="2"/>
        <w:rPr>
          <w:rFonts w:ascii="仿宋" w:hAnsi="仿宋" w:eastAsia="仿宋"/>
          <w:sz w:val="32"/>
          <w:szCs w:val="32"/>
        </w:rPr>
      </w:pPr>
      <w:bookmarkStart w:id="54" w:name="_Toc15377222"/>
      <w:r>
        <w:rPr>
          <w:rFonts w:hint="eastAsia" w:ascii="仿宋" w:hAnsi="仿宋" w:eastAsia="仿宋"/>
          <w:b/>
          <w:sz w:val="32"/>
          <w:szCs w:val="32"/>
        </w:rPr>
        <w:t>（一）机关运行经费支出情况</w:t>
      </w:r>
      <w:bookmarkEnd w:id="54"/>
    </w:p>
    <w:p w14:paraId="57EA72A4">
      <w:pPr>
        <w:spacing w:line="60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22年，峨眉山市应急管理局机关运行经费支出</w:t>
      </w:r>
      <w:r>
        <w:rPr>
          <w:rFonts w:ascii="仿宋" w:hAnsi="仿宋" w:eastAsia="仿宋"/>
          <w:sz w:val="32"/>
          <w:szCs w:val="32"/>
        </w:rPr>
        <w:t>171.44</w:t>
      </w:r>
      <w:r>
        <w:rPr>
          <w:rFonts w:hint="eastAsia" w:ascii="仿宋" w:hAnsi="仿宋" w:eastAsia="仿宋"/>
          <w:sz w:val="32"/>
          <w:szCs w:val="32"/>
        </w:rPr>
        <w:t>万元，比</w:t>
      </w:r>
      <w:r>
        <w:rPr>
          <w:rFonts w:ascii="仿宋" w:hAnsi="仿宋" w:eastAsia="仿宋"/>
          <w:sz w:val="32"/>
          <w:szCs w:val="32"/>
        </w:rPr>
        <w:t>20</w:t>
      </w:r>
      <w:r>
        <w:rPr>
          <w:rFonts w:hint="eastAsia" w:ascii="仿宋" w:hAnsi="仿宋" w:eastAsia="仿宋"/>
          <w:sz w:val="32"/>
          <w:szCs w:val="32"/>
        </w:rPr>
        <w:t>21年增加</w:t>
      </w:r>
      <w:r>
        <w:rPr>
          <w:rFonts w:ascii="仿宋" w:hAnsi="仿宋" w:eastAsia="仿宋"/>
          <w:sz w:val="32"/>
          <w:szCs w:val="32"/>
        </w:rPr>
        <w:t>51.38</w:t>
      </w:r>
      <w:r>
        <w:rPr>
          <w:rFonts w:hint="eastAsia" w:ascii="仿宋" w:hAnsi="仿宋" w:eastAsia="仿宋"/>
          <w:sz w:val="32"/>
          <w:szCs w:val="32"/>
        </w:rPr>
        <w:t>万元，增长</w:t>
      </w:r>
      <w:r>
        <w:rPr>
          <w:rFonts w:ascii="仿宋" w:hAnsi="仿宋" w:eastAsia="仿宋"/>
          <w:sz w:val="32"/>
          <w:szCs w:val="32"/>
        </w:rPr>
        <w:t>42.79%</w:t>
      </w:r>
      <w:r>
        <w:rPr>
          <w:rFonts w:hint="eastAsia" w:ascii="仿宋" w:hAnsi="仿宋" w:eastAsia="仿宋"/>
          <w:sz w:val="32"/>
          <w:szCs w:val="32"/>
        </w:rPr>
        <w:t>。</w:t>
      </w:r>
      <w:r>
        <w:rPr>
          <w:rFonts w:hint="eastAsia" w:ascii="仿宋" w:hAnsi="仿宋" w:eastAsia="仿宋" w:cs="仿宋_GB2312"/>
          <w:sz w:val="32"/>
          <w:szCs w:val="32"/>
        </w:rPr>
        <w:t>主要原因是人员增加。</w:t>
      </w:r>
    </w:p>
    <w:p w14:paraId="7580AE0C">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6F4540D1">
      <w:pPr>
        <w:autoSpaceDE w:val="0"/>
        <w:autoSpaceDN w:val="0"/>
        <w:adjustRightInd w:val="0"/>
        <w:spacing w:line="600" w:lineRule="exact"/>
        <w:ind w:firstLine="643" w:firstLineChars="200"/>
        <w:jc w:val="left"/>
        <w:outlineLvl w:val="2"/>
        <w:rPr>
          <w:rFonts w:ascii="仿宋" w:hAnsi="仿宋" w:eastAsia="仿宋"/>
          <w:b/>
          <w:sz w:val="32"/>
          <w:szCs w:val="32"/>
        </w:rPr>
      </w:pPr>
      <w:bookmarkStart w:id="55" w:name="_Toc15377223"/>
      <w:r>
        <w:rPr>
          <w:rFonts w:hint="eastAsia" w:ascii="仿宋" w:hAnsi="仿宋" w:eastAsia="仿宋"/>
          <w:b/>
          <w:sz w:val="32"/>
          <w:szCs w:val="32"/>
        </w:rPr>
        <w:t>（二）政府采购支出情况</w:t>
      </w:r>
      <w:bookmarkEnd w:id="55"/>
    </w:p>
    <w:p w14:paraId="2E633675">
      <w:pPr>
        <w:spacing w:line="60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22年，峨眉山市应急管理局政府采购支出总额</w:t>
      </w:r>
      <w:r>
        <w:rPr>
          <w:rFonts w:ascii="仿宋" w:hAnsi="仿宋" w:eastAsia="仿宋"/>
          <w:sz w:val="32"/>
          <w:szCs w:val="32"/>
        </w:rPr>
        <w:t>0</w:t>
      </w:r>
      <w:r>
        <w:rPr>
          <w:rFonts w:hint="eastAsia" w:ascii="仿宋" w:hAnsi="仿宋" w:eastAsia="仿宋"/>
          <w:sz w:val="32"/>
          <w:szCs w:val="32"/>
        </w:rPr>
        <w:t>万元，其中：政府采购货物支出</w:t>
      </w:r>
      <w:r>
        <w:rPr>
          <w:rFonts w:ascii="仿宋" w:hAnsi="仿宋" w:eastAsia="仿宋"/>
          <w:sz w:val="32"/>
          <w:szCs w:val="32"/>
        </w:rPr>
        <w:t>0</w:t>
      </w:r>
      <w:r>
        <w:rPr>
          <w:rFonts w:hint="eastAsia" w:ascii="仿宋" w:hAnsi="仿宋" w:eastAsia="仿宋"/>
          <w:sz w:val="32"/>
          <w:szCs w:val="32"/>
        </w:rPr>
        <w:t>万元、政府采购工程支出</w:t>
      </w:r>
      <w:r>
        <w:rPr>
          <w:rFonts w:ascii="仿宋" w:hAnsi="仿宋" w:eastAsia="仿宋"/>
          <w:sz w:val="32"/>
          <w:szCs w:val="32"/>
        </w:rPr>
        <w:t>0</w:t>
      </w:r>
      <w:r>
        <w:rPr>
          <w:rFonts w:hint="eastAsia" w:ascii="仿宋" w:hAnsi="仿宋" w:eastAsia="仿宋"/>
          <w:sz w:val="32"/>
          <w:szCs w:val="32"/>
        </w:rPr>
        <w:t>万元、政府采购服务支出</w:t>
      </w:r>
      <w:r>
        <w:rPr>
          <w:rFonts w:ascii="仿宋" w:hAnsi="仿宋" w:eastAsia="仿宋"/>
          <w:sz w:val="32"/>
          <w:szCs w:val="32"/>
        </w:rPr>
        <w:t>0</w:t>
      </w:r>
      <w:r>
        <w:rPr>
          <w:rFonts w:hint="eastAsia" w:ascii="仿宋" w:hAnsi="仿宋" w:eastAsia="仿宋"/>
          <w:sz w:val="32"/>
          <w:szCs w:val="32"/>
        </w:rPr>
        <w:t>万元。授予中小企业合同金额</w:t>
      </w:r>
      <w:r>
        <w:rPr>
          <w:rFonts w:ascii="仿宋" w:hAnsi="仿宋" w:eastAsia="仿宋"/>
          <w:sz w:val="32"/>
          <w:szCs w:val="32"/>
        </w:rPr>
        <w:t>0</w:t>
      </w:r>
      <w:r>
        <w:rPr>
          <w:rFonts w:hint="eastAsia" w:ascii="仿宋" w:hAnsi="仿宋" w:eastAsia="仿宋"/>
          <w:sz w:val="32"/>
          <w:szCs w:val="32"/>
        </w:rPr>
        <w:t>万元，占政府采购支出总额的</w:t>
      </w:r>
      <w:r>
        <w:rPr>
          <w:rFonts w:ascii="仿宋" w:hAnsi="仿宋" w:eastAsia="仿宋"/>
          <w:sz w:val="32"/>
          <w:szCs w:val="32"/>
        </w:rPr>
        <w:t>0%</w:t>
      </w:r>
      <w:r>
        <w:rPr>
          <w:rFonts w:hint="eastAsia" w:ascii="仿宋" w:hAnsi="仿宋" w:eastAsia="仿宋"/>
          <w:sz w:val="32"/>
          <w:szCs w:val="32"/>
        </w:rPr>
        <w:t>，其中：授予小微企业合同金额</w:t>
      </w:r>
      <w:r>
        <w:rPr>
          <w:rFonts w:ascii="仿宋" w:hAnsi="仿宋" w:eastAsia="仿宋"/>
          <w:sz w:val="32"/>
          <w:szCs w:val="32"/>
        </w:rPr>
        <w:t>0</w:t>
      </w:r>
      <w:r>
        <w:rPr>
          <w:rFonts w:hint="eastAsia" w:ascii="仿宋" w:hAnsi="仿宋" w:eastAsia="仿宋"/>
          <w:sz w:val="32"/>
          <w:szCs w:val="32"/>
        </w:rPr>
        <w:t>万元，占政府采购支出总额的</w:t>
      </w:r>
      <w:r>
        <w:rPr>
          <w:rFonts w:ascii="仿宋" w:hAnsi="仿宋" w:eastAsia="仿宋"/>
          <w:sz w:val="32"/>
          <w:szCs w:val="32"/>
        </w:rPr>
        <w:t>0%</w:t>
      </w:r>
      <w:r>
        <w:rPr>
          <w:rFonts w:hint="eastAsia" w:ascii="仿宋" w:hAnsi="仿宋" w:eastAsia="仿宋"/>
          <w:sz w:val="32"/>
          <w:szCs w:val="32"/>
        </w:rPr>
        <w:t>。</w:t>
      </w:r>
    </w:p>
    <w:p w14:paraId="54DFF541">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215733EB">
      <w:pPr>
        <w:autoSpaceDE w:val="0"/>
        <w:autoSpaceDN w:val="0"/>
        <w:adjustRightInd w:val="0"/>
        <w:spacing w:line="600" w:lineRule="exact"/>
        <w:ind w:firstLine="643" w:firstLineChars="200"/>
        <w:jc w:val="left"/>
        <w:outlineLvl w:val="2"/>
        <w:rPr>
          <w:rFonts w:ascii="仿宋" w:hAnsi="仿宋" w:eastAsia="仿宋"/>
          <w:b/>
          <w:sz w:val="32"/>
          <w:szCs w:val="32"/>
        </w:rPr>
      </w:pPr>
      <w:bookmarkStart w:id="56" w:name="_Toc15377224"/>
      <w:r>
        <w:rPr>
          <w:rFonts w:hint="eastAsia" w:ascii="仿宋" w:hAnsi="仿宋" w:eastAsia="仿宋"/>
          <w:b/>
          <w:sz w:val="32"/>
          <w:szCs w:val="32"/>
        </w:rPr>
        <w:t>（三）国有资产占有使用情况</w:t>
      </w:r>
      <w:bookmarkEnd w:id="56"/>
    </w:p>
    <w:p w14:paraId="601BCA03">
      <w:pPr>
        <w:spacing w:line="600" w:lineRule="exact"/>
        <w:ind w:firstLine="640"/>
        <w:rPr>
          <w:rFonts w:ascii="仿宋" w:hAnsi="仿宋" w:eastAsia="仿宋"/>
          <w:bCs/>
          <w:sz w:val="32"/>
          <w:szCs w:val="32"/>
        </w:rPr>
      </w:pPr>
      <w:r>
        <w:rPr>
          <w:rFonts w:hint="eastAsia" w:ascii="仿宋" w:hAnsi="仿宋" w:eastAsia="仿宋"/>
          <w:sz w:val="32"/>
          <w:szCs w:val="32"/>
        </w:rPr>
        <w:t>截至</w:t>
      </w:r>
      <w:r>
        <w:rPr>
          <w:rFonts w:ascii="仿宋" w:hAnsi="仿宋" w:eastAsia="仿宋"/>
          <w:sz w:val="32"/>
          <w:szCs w:val="32"/>
        </w:rPr>
        <w:t>20</w:t>
      </w:r>
      <w:r>
        <w:rPr>
          <w:rFonts w:hint="eastAsia" w:ascii="仿宋" w:hAnsi="仿宋" w:eastAsia="仿宋"/>
          <w:sz w:val="32"/>
          <w:szCs w:val="32"/>
        </w:rPr>
        <w:t>22年</w:t>
      </w:r>
      <w:r>
        <w:rPr>
          <w:rFonts w:ascii="仿宋" w:hAnsi="仿宋" w:eastAsia="仿宋"/>
          <w:sz w:val="32"/>
          <w:szCs w:val="32"/>
        </w:rPr>
        <w:t>12</w:t>
      </w:r>
      <w:r>
        <w:rPr>
          <w:rFonts w:hint="eastAsia" w:ascii="仿宋" w:hAnsi="仿宋" w:eastAsia="仿宋"/>
          <w:sz w:val="32"/>
          <w:szCs w:val="32"/>
        </w:rPr>
        <w:t>月</w:t>
      </w:r>
      <w:r>
        <w:rPr>
          <w:rFonts w:ascii="仿宋" w:hAnsi="仿宋" w:eastAsia="仿宋"/>
          <w:sz w:val="32"/>
          <w:szCs w:val="32"/>
        </w:rPr>
        <w:t>31</w:t>
      </w:r>
      <w:r>
        <w:rPr>
          <w:rFonts w:hint="eastAsia" w:ascii="仿宋" w:hAnsi="仿宋" w:eastAsia="仿宋"/>
          <w:sz w:val="32"/>
          <w:szCs w:val="32"/>
        </w:rPr>
        <w:t>日，峨眉山市应急管理局共有车辆</w:t>
      </w:r>
      <w:r>
        <w:rPr>
          <w:rFonts w:ascii="仿宋" w:hAnsi="仿宋" w:eastAsia="仿宋"/>
          <w:sz w:val="32"/>
          <w:szCs w:val="32"/>
        </w:rPr>
        <w:t>5</w:t>
      </w:r>
      <w:r>
        <w:rPr>
          <w:rFonts w:hint="eastAsia" w:ascii="仿宋" w:hAnsi="仿宋" w:eastAsia="仿宋"/>
          <w:sz w:val="32"/>
          <w:szCs w:val="32"/>
        </w:rPr>
        <w:t>辆，其中：主要领导干部用车</w:t>
      </w:r>
      <w:r>
        <w:rPr>
          <w:rFonts w:ascii="仿宋" w:hAnsi="仿宋" w:eastAsia="仿宋"/>
          <w:sz w:val="32"/>
          <w:szCs w:val="32"/>
        </w:rPr>
        <w:t>0</w:t>
      </w:r>
      <w:r>
        <w:rPr>
          <w:rFonts w:hint="eastAsia" w:ascii="仿宋" w:hAnsi="仿宋" w:eastAsia="仿宋"/>
          <w:sz w:val="32"/>
          <w:szCs w:val="32"/>
        </w:rPr>
        <w:t>辆、机要通信用车</w:t>
      </w:r>
      <w:r>
        <w:rPr>
          <w:rFonts w:ascii="仿宋" w:hAnsi="仿宋" w:eastAsia="仿宋"/>
          <w:sz w:val="32"/>
          <w:szCs w:val="32"/>
        </w:rPr>
        <w:t>0</w:t>
      </w:r>
      <w:r>
        <w:rPr>
          <w:rFonts w:hint="eastAsia" w:ascii="仿宋" w:hAnsi="仿宋" w:eastAsia="仿宋"/>
          <w:sz w:val="32"/>
          <w:szCs w:val="32"/>
        </w:rPr>
        <w:t>辆、应急保障用车</w:t>
      </w:r>
      <w:r>
        <w:rPr>
          <w:rFonts w:ascii="仿宋" w:hAnsi="仿宋" w:eastAsia="仿宋"/>
          <w:sz w:val="32"/>
          <w:szCs w:val="32"/>
        </w:rPr>
        <w:t>0</w:t>
      </w:r>
      <w:r>
        <w:rPr>
          <w:rFonts w:hint="eastAsia" w:ascii="仿宋" w:hAnsi="仿宋" w:eastAsia="仿宋"/>
          <w:sz w:val="32"/>
          <w:szCs w:val="32"/>
        </w:rPr>
        <w:t>辆、特种专业技术用车1辆、其他用车</w:t>
      </w:r>
      <w:r>
        <w:rPr>
          <w:rFonts w:ascii="仿宋" w:hAnsi="仿宋" w:eastAsia="仿宋"/>
          <w:sz w:val="32"/>
          <w:szCs w:val="32"/>
        </w:rPr>
        <w:t>4</w:t>
      </w:r>
      <w:r>
        <w:rPr>
          <w:rFonts w:hint="eastAsia" w:ascii="仿宋" w:hAnsi="仿宋" w:eastAsia="仿宋"/>
          <w:sz w:val="32"/>
          <w:szCs w:val="32"/>
        </w:rPr>
        <w:t>辆，</w:t>
      </w:r>
      <w:r>
        <w:rPr>
          <w:rFonts w:hint="eastAsia" w:ascii="仿宋" w:hAnsi="仿宋" w:eastAsia="仿宋"/>
          <w:bCs/>
          <w:sz w:val="32"/>
          <w:szCs w:val="32"/>
        </w:rPr>
        <w:t>主要用于</w:t>
      </w:r>
      <w:r>
        <w:rPr>
          <w:rFonts w:hint="eastAsia" w:ascii="仿宋" w:hAnsi="仿宋" w:eastAsia="仿宋" w:cs="仿宋_GB2312"/>
          <w:sz w:val="32"/>
          <w:szCs w:val="32"/>
        </w:rPr>
        <w:t>矿山</w:t>
      </w:r>
      <w:r>
        <w:rPr>
          <w:rFonts w:hint="eastAsia" w:ascii="仿宋" w:hAnsi="仿宋" w:eastAsia="仿宋" w:cs="仿宋_GB2312"/>
          <w:bCs/>
          <w:sz w:val="32"/>
          <w:szCs w:val="32"/>
        </w:rPr>
        <w:t>检查、应急处置及各项安全生产检查</w:t>
      </w:r>
      <w:r>
        <w:rPr>
          <w:rFonts w:hint="eastAsia" w:ascii="仿宋" w:hAnsi="仿宋" w:eastAsia="仿宋"/>
          <w:bCs/>
          <w:sz w:val="32"/>
          <w:szCs w:val="32"/>
        </w:rPr>
        <w:t>等所需的公务用车燃料费、维修费、过路过桥费、保险费等支出。</w:t>
      </w:r>
    </w:p>
    <w:p w14:paraId="46A69691">
      <w:pPr>
        <w:autoSpaceDE w:val="0"/>
        <w:autoSpaceDN w:val="0"/>
        <w:adjustRightInd w:val="0"/>
        <w:spacing w:line="600" w:lineRule="exact"/>
        <w:ind w:firstLine="640" w:firstLineChars="200"/>
        <w:jc w:val="left"/>
        <w:rPr>
          <w:rFonts w:ascii="仿宋" w:hAnsi="仿宋" w:eastAsia="仿宋"/>
          <w:sz w:val="32"/>
          <w:szCs w:val="32"/>
        </w:rPr>
      </w:pPr>
      <w:r>
        <w:rPr>
          <w:rFonts w:hint="eastAsia" w:ascii="仿宋" w:hAnsi="仿宋" w:eastAsia="仿宋"/>
          <w:sz w:val="32"/>
          <w:szCs w:val="32"/>
        </w:rPr>
        <w:t>单价</w:t>
      </w:r>
      <w:r>
        <w:rPr>
          <w:rFonts w:ascii="仿宋" w:hAnsi="仿宋" w:eastAsia="仿宋"/>
          <w:sz w:val="32"/>
          <w:szCs w:val="32"/>
        </w:rPr>
        <w:t>100</w:t>
      </w:r>
      <w:r>
        <w:rPr>
          <w:rFonts w:hint="eastAsia" w:ascii="仿宋" w:hAnsi="仿宋" w:eastAsia="仿宋"/>
          <w:sz w:val="32"/>
          <w:szCs w:val="32"/>
        </w:rPr>
        <w:t>万元以上专用设备</w:t>
      </w:r>
      <w:r>
        <w:rPr>
          <w:rFonts w:ascii="仿宋" w:hAnsi="仿宋" w:eastAsia="仿宋"/>
          <w:sz w:val="32"/>
          <w:szCs w:val="32"/>
        </w:rPr>
        <w:t>0</w:t>
      </w:r>
      <w:r>
        <w:rPr>
          <w:rFonts w:hint="eastAsia" w:ascii="仿宋" w:hAnsi="仿宋" w:eastAsia="仿宋"/>
          <w:sz w:val="32"/>
          <w:szCs w:val="32"/>
        </w:rPr>
        <w:t>台（套）。</w:t>
      </w:r>
    </w:p>
    <w:p w14:paraId="05D53E29">
      <w:pPr>
        <w:autoSpaceDE w:val="0"/>
        <w:autoSpaceDN w:val="0"/>
        <w:adjustRightInd w:val="0"/>
        <w:spacing w:line="600" w:lineRule="exact"/>
        <w:ind w:firstLine="643" w:firstLineChars="200"/>
        <w:jc w:val="left"/>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表，按部门决算报表填报数据罗列车辆情况。）</w:t>
      </w:r>
    </w:p>
    <w:p w14:paraId="451D70DE">
      <w:pPr>
        <w:pStyle w:val="2"/>
        <w:spacing w:before="93"/>
        <w:rPr>
          <w:rFonts w:hint="eastAsia"/>
        </w:rPr>
      </w:pPr>
    </w:p>
    <w:p w14:paraId="5BC148D5">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04A58829">
      <w:pPr>
        <w:widowControl/>
        <w:spacing w:line="60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根据预算绩效管理要求，本部门在2022年度预算编制阶段，组织对安全生产综合监管</w:t>
      </w:r>
      <w:r>
        <w:rPr>
          <w:rFonts w:hint="eastAsia" w:ascii="仿宋" w:hAnsi="仿宋" w:eastAsia="仿宋" w:cs="宋体"/>
          <w:sz w:val="32"/>
          <w:szCs w:val="32"/>
        </w:rPr>
        <w:t>信息平台运</w:t>
      </w:r>
      <w:r>
        <w:rPr>
          <w:rFonts w:hint="eastAsia" w:ascii="仿宋" w:hAnsi="仿宋" w:eastAsia="仿宋" w:cs="___WRD_EMBED_SUB_46"/>
          <w:sz w:val="32"/>
          <w:szCs w:val="32"/>
        </w:rPr>
        <w:t>行</w:t>
      </w:r>
      <w:r>
        <w:rPr>
          <w:rFonts w:hint="eastAsia" w:ascii="仿宋" w:hAnsi="仿宋" w:eastAsia="仿宋" w:cs="宋体"/>
          <w:sz w:val="32"/>
          <w:szCs w:val="32"/>
        </w:rPr>
        <w:t>维护</w:t>
      </w:r>
      <w:r>
        <w:rPr>
          <w:rFonts w:hint="eastAsia" w:ascii="仿宋" w:hAnsi="仿宋" w:eastAsia="仿宋" w:cs="仿宋_GB2312"/>
          <w:sz w:val="32"/>
          <w:szCs w:val="32"/>
        </w:rPr>
        <w:t>、自行</w:t>
      </w:r>
      <w:r>
        <w:rPr>
          <w:rFonts w:hint="eastAsia" w:ascii="仿宋" w:hAnsi="仿宋" w:eastAsia="仿宋" w:cs="宋体"/>
          <w:sz w:val="32"/>
          <w:szCs w:val="32"/>
        </w:rPr>
        <w:t>式炊</w:t>
      </w:r>
      <w:r>
        <w:rPr>
          <w:rFonts w:hint="eastAsia" w:ascii="仿宋" w:hAnsi="仿宋" w:eastAsia="仿宋" w:cs="___WRD_EMBED_SUB_46"/>
          <w:sz w:val="32"/>
          <w:szCs w:val="32"/>
        </w:rPr>
        <w:t>事</w:t>
      </w:r>
      <w:r>
        <w:rPr>
          <w:rFonts w:hint="eastAsia" w:ascii="仿宋" w:hAnsi="仿宋" w:eastAsia="仿宋" w:cs="宋体"/>
          <w:sz w:val="32"/>
          <w:szCs w:val="32"/>
        </w:rPr>
        <w:t>餐</w:t>
      </w:r>
      <w:r>
        <w:rPr>
          <w:rFonts w:hint="eastAsia" w:ascii="仿宋" w:hAnsi="仿宋" w:eastAsia="仿宋" w:cs="___WRD_EMBED_SUB_46"/>
          <w:sz w:val="32"/>
          <w:szCs w:val="32"/>
        </w:rPr>
        <w:t>车</w:t>
      </w:r>
      <w:r>
        <w:rPr>
          <w:rFonts w:hint="eastAsia" w:ascii="仿宋" w:hAnsi="仿宋" w:eastAsia="仿宋" w:cs="宋体"/>
          <w:sz w:val="32"/>
          <w:szCs w:val="32"/>
        </w:rPr>
        <w:t>购</w:t>
      </w:r>
      <w:r>
        <w:rPr>
          <w:rFonts w:hint="eastAsia" w:ascii="仿宋" w:hAnsi="仿宋" w:eastAsia="仿宋" w:cs="___WRD_EMBED_SUB_46"/>
          <w:sz w:val="32"/>
          <w:szCs w:val="32"/>
        </w:rPr>
        <w:t>置</w:t>
      </w:r>
      <w:r>
        <w:rPr>
          <w:rFonts w:hint="eastAsia" w:ascii="仿宋" w:hAnsi="仿宋" w:eastAsia="仿宋" w:cs="仿宋_GB2312"/>
          <w:sz w:val="32"/>
          <w:szCs w:val="32"/>
        </w:rPr>
        <w:t>、应急救援装备购置等</w:t>
      </w:r>
      <w:r>
        <w:rPr>
          <w:rFonts w:ascii="仿宋" w:hAnsi="仿宋" w:eastAsia="仿宋" w:cs="仿宋_GB2312"/>
          <w:sz w:val="32"/>
          <w:szCs w:val="32"/>
        </w:rPr>
        <w:t>3</w:t>
      </w:r>
      <w:r>
        <w:rPr>
          <w:rFonts w:hint="eastAsia" w:ascii="仿宋" w:hAnsi="仿宋" w:eastAsia="仿宋" w:cs="仿宋_GB2312"/>
          <w:sz w:val="32"/>
          <w:szCs w:val="32"/>
        </w:rPr>
        <w:t>个项目开展了预算事前绩效评估，对</w:t>
      </w:r>
      <w:r>
        <w:rPr>
          <w:rFonts w:ascii="仿宋" w:hAnsi="仿宋" w:eastAsia="仿宋" w:cs="仿宋_GB2312"/>
          <w:sz w:val="32"/>
          <w:szCs w:val="32"/>
        </w:rPr>
        <w:t>10</w:t>
      </w:r>
      <w:r>
        <w:rPr>
          <w:rFonts w:hint="eastAsia" w:ascii="仿宋" w:hAnsi="仿宋" w:eastAsia="仿宋" w:cs="仿宋_GB2312"/>
          <w:sz w:val="32"/>
          <w:szCs w:val="32"/>
        </w:rPr>
        <w:t>个项目编制了绩效目标，预算执行过程中，选取</w:t>
      </w:r>
      <w:r>
        <w:rPr>
          <w:rFonts w:ascii="仿宋" w:hAnsi="仿宋" w:eastAsia="仿宋" w:cs="仿宋_GB2312"/>
          <w:sz w:val="32"/>
          <w:szCs w:val="32"/>
        </w:rPr>
        <w:t>10</w:t>
      </w:r>
      <w:r>
        <w:rPr>
          <w:rFonts w:hint="eastAsia" w:ascii="仿宋" w:hAnsi="仿宋" w:eastAsia="仿宋" w:cs="仿宋_GB2312"/>
          <w:sz w:val="32"/>
          <w:szCs w:val="32"/>
        </w:rPr>
        <w:t>个项目开展绩效监控。</w:t>
      </w:r>
    </w:p>
    <w:p w14:paraId="0A892AF8">
      <w:pPr>
        <w:widowControl/>
        <w:spacing w:line="600" w:lineRule="exact"/>
        <w:ind w:firstLine="640" w:firstLineChars="200"/>
        <w:jc w:val="left"/>
        <w:rPr>
          <w:rFonts w:ascii="仿宋_GB2312" w:eastAsia="仿宋_GB2312"/>
          <w:b/>
          <w:sz w:val="32"/>
          <w:szCs w:val="32"/>
        </w:rPr>
      </w:pPr>
      <w:r>
        <w:rPr>
          <w:rFonts w:hint="eastAsia" w:ascii="仿宋" w:hAnsi="仿宋" w:eastAsia="仿宋" w:cs="仿宋_GB2312"/>
          <w:sz w:val="32"/>
          <w:szCs w:val="32"/>
        </w:rPr>
        <w:t>组织对2022年度一</w:t>
      </w:r>
      <w:r>
        <w:rPr>
          <w:rFonts w:hint="eastAsia" w:ascii="仿宋" w:hAnsi="仿宋" w:eastAsia="仿宋" w:cs="微软雅黑"/>
          <w:sz w:val="32"/>
          <w:szCs w:val="32"/>
        </w:rPr>
        <w:t>般</w:t>
      </w:r>
      <w:r>
        <w:rPr>
          <w:rFonts w:hint="eastAsia" w:ascii="仿宋" w:hAnsi="仿宋" w:eastAsia="仿宋" w:cs="___WRD_EMBED_SUB_40"/>
          <w:sz w:val="32"/>
          <w:szCs w:val="32"/>
        </w:rPr>
        <w:t>公共预算、政府性基金预算、国有资本经营预算、社会保险基金预算以及资本资产、</w:t>
      </w:r>
      <w:r>
        <w:rPr>
          <w:rFonts w:hint="eastAsia" w:ascii="仿宋" w:hAnsi="仿宋" w:eastAsia="仿宋" w:cs="微软雅黑"/>
          <w:sz w:val="32"/>
          <w:szCs w:val="32"/>
        </w:rPr>
        <w:t>债券</w:t>
      </w:r>
      <w:r>
        <w:rPr>
          <w:rFonts w:hint="eastAsia" w:ascii="仿宋" w:hAnsi="仿宋" w:eastAsia="仿宋" w:cs="___WRD_EMBED_SUB_40"/>
          <w:sz w:val="32"/>
          <w:szCs w:val="32"/>
        </w:rPr>
        <w:t>资金等全面开展绩效自评，形</w:t>
      </w:r>
      <w:r>
        <w:rPr>
          <w:rFonts w:hint="eastAsia" w:ascii="仿宋" w:hAnsi="仿宋" w:eastAsia="仿宋" w:cs="仿宋_GB2312"/>
          <w:sz w:val="32"/>
          <w:szCs w:val="32"/>
        </w:rPr>
        <w:t>成峨眉山市应急管理局部门整体绩效自评报告、</w:t>
      </w:r>
      <w:r>
        <w:rPr>
          <w:rFonts w:ascii="仿宋" w:hAnsi="仿宋" w:eastAsia="仿宋" w:cs="仿宋_GB2312"/>
          <w:sz w:val="32"/>
          <w:szCs w:val="32"/>
        </w:rPr>
        <w:t>1个</w:t>
      </w:r>
      <w:r>
        <w:rPr>
          <w:rFonts w:hint="eastAsia" w:ascii="仿宋" w:hAnsi="仿宋" w:eastAsia="仿宋" w:cs="仿宋_GB2312"/>
          <w:sz w:val="32"/>
          <w:szCs w:val="32"/>
        </w:rPr>
        <w:t>专项预算项目绩效自评报告，其中，峨眉山市应急管理局部门整体绩效自评得分为</w:t>
      </w:r>
      <w:r>
        <w:rPr>
          <w:rFonts w:ascii="仿宋" w:hAnsi="仿宋" w:eastAsia="仿宋" w:cs="仿宋_GB2312"/>
          <w:sz w:val="32"/>
          <w:szCs w:val="32"/>
        </w:rPr>
        <w:t>90</w:t>
      </w:r>
      <w:r>
        <w:rPr>
          <w:rFonts w:hint="eastAsia" w:ascii="仿宋" w:hAnsi="仿宋" w:eastAsia="仿宋" w:cs="仿宋_GB2312"/>
          <w:sz w:val="32"/>
          <w:szCs w:val="32"/>
        </w:rPr>
        <w:t>分，绩效自评综述：绩效管理情况为优</w:t>
      </w:r>
      <w:r>
        <w:rPr>
          <w:rFonts w:hint="eastAsia" w:ascii="仿宋" w:hAnsi="仿宋" w:eastAsia="仿宋" w:cs="宋体"/>
          <w:sz w:val="32"/>
          <w:szCs w:val="32"/>
        </w:rPr>
        <w:t>秀</w:t>
      </w:r>
      <w:r>
        <w:rPr>
          <w:rFonts w:hint="eastAsia" w:ascii="仿宋" w:hAnsi="仿宋" w:eastAsia="仿宋" w:cs="___WRD_EMBED_SUB_40"/>
          <w:sz w:val="32"/>
          <w:szCs w:val="32"/>
        </w:rPr>
        <w:t>，执行资金预算化管理，积极推进部门整体支出、项目支出绩效管理，通过资金预算编制、调整、执行、控制、绩效评</w:t>
      </w:r>
      <w:r>
        <w:rPr>
          <w:rFonts w:hint="eastAsia" w:ascii="仿宋" w:hAnsi="仿宋" w:eastAsia="仿宋" w:cs="宋体"/>
          <w:sz w:val="32"/>
          <w:szCs w:val="32"/>
        </w:rPr>
        <w:t>价</w:t>
      </w:r>
      <w:r>
        <w:rPr>
          <w:rFonts w:hint="eastAsia" w:ascii="仿宋" w:hAnsi="仿宋" w:eastAsia="仿宋" w:cs="___WRD_EMBED_SUB_40"/>
          <w:sz w:val="32"/>
          <w:szCs w:val="32"/>
        </w:rPr>
        <w:t>，增强财政资金投入、产出效能，达到了年</w:t>
      </w:r>
      <w:r>
        <w:rPr>
          <w:rFonts w:hint="eastAsia" w:ascii="仿宋" w:hAnsi="仿宋" w:eastAsia="仿宋" w:cs="宋体"/>
          <w:sz w:val="32"/>
          <w:szCs w:val="32"/>
        </w:rPr>
        <w:t>初</w:t>
      </w:r>
      <w:r>
        <w:rPr>
          <w:rFonts w:hint="eastAsia" w:ascii="仿宋" w:hAnsi="仿宋" w:eastAsia="仿宋" w:cs="___WRD_EMBED_SUB_40"/>
          <w:sz w:val="32"/>
          <w:szCs w:val="32"/>
        </w:rPr>
        <w:t>设定的各项绩效目标。</w:t>
      </w:r>
      <w:r>
        <w:rPr>
          <w:rFonts w:hint="eastAsia" w:ascii="仿宋" w:hAnsi="仿宋" w:eastAsia="仿宋" w:cs="仿宋_GB2312"/>
          <w:sz w:val="32"/>
          <w:szCs w:val="32"/>
        </w:rPr>
        <w:t>绩效自评报告详见附件。</w:t>
      </w:r>
      <w:r>
        <w:rPr>
          <w:rFonts w:ascii="仿宋_GB2312" w:eastAsia="仿宋_GB2312"/>
          <w:b/>
          <w:sz w:val="32"/>
          <w:szCs w:val="32"/>
        </w:rPr>
        <w:br w:type="page"/>
      </w:r>
    </w:p>
    <w:p w14:paraId="0B5AAC45">
      <w:pPr>
        <w:numPr>
          <w:ilvl w:val="0"/>
          <w:numId w:val="5"/>
        </w:numPr>
        <w:spacing w:line="600" w:lineRule="exact"/>
        <w:ind w:firstLine="660" w:firstLineChars="150"/>
        <w:jc w:val="center"/>
        <w:outlineLvl w:val="0"/>
        <w:rPr>
          <w:rStyle w:val="27"/>
          <w:rFonts w:ascii="黑体" w:hAnsi="黑体" w:eastAsia="黑体"/>
          <w:b w:val="0"/>
        </w:rPr>
      </w:pPr>
      <w:bookmarkStart w:id="57" w:name="_Toc15377225"/>
      <w:bookmarkStart w:id="58" w:name="_Toc15396613"/>
      <w:r>
        <w:rPr>
          <w:rFonts w:hint="eastAsia" w:ascii="黑体" w:hAnsi="黑体" w:eastAsia="黑体"/>
          <w:sz w:val="44"/>
          <w:szCs w:val="44"/>
        </w:rPr>
        <w:t>名</w:t>
      </w:r>
      <w:r>
        <w:rPr>
          <w:rStyle w:val="27"/>
          <w:rFonts w:hint="eastAsia" w:ascii="黑体" w:hAnsi="黑体" w:eastAsia="黑体"/>
          <w:b w:val="0"/>
        </w:rPr>
        <w:t>词解释</w:t>
      </w:r>
      <w:bookmarkEnd w:id="57"/>
      <w:bookmarkEnd w:id="58"/>
    </w:p>
    <w:p w14:paraId="6A8FF02A">
      <w:pPr>
        <w:spacing w:line="600" w:lineRule="exact"/>
        <w:jc w:val="left"/>
        <w:rPr>
          <w:rFonts w:ascii="宋体"/>
          <w:b/>
          <w:sz w:val="44"/>
          <w:szCs w:val="44"/>
        </w:rPr>
      </w:pPr>
    </w:p>
    <w:p w14:paraId="169FDF96">
      <w:pPr>
        <w:pStyle w:val="25"/>
        <w:spacing w:line="600" w:lineRule="exact"/>
        <w:ind w:firstLine="640" w:firstLineChars="200"/>
        <w:rPr>
          <w:rFonts w:hAnsi="仿宋"/>
          <w:color w:val="auto"/>
          <w:sz w:val="32"/>
          <w:szCs w:val="32"/>
        </w:rPr>
      </w:pPr>
      <w:r>
        <w:rPr>
          <w:rFonts w:hAnsi="仿宋"/>
          <w:color w:val="auto"/>
          <w:sz w:val="32"/>
          <w:szCs w:val="32"/>
        </w:rPr>
        <w:t>1.</w:t>
      </w:r>
      <w:r>
        <w:rPr>
          <w:rFonts w:hint="eastAsia" w:hAnsi="仿宋"/>
          <w:color w:val="auto"/>
          <w:sz w:val="32"/>
          <w:szCs w:val="32"/>
        </w:rPr>
        <w:t>财政拨款收入：指单位从同级财政部门取得的财政预算资金。</w:t>
      </w:r>
    </w:p>
    <w:p w14:paraId="3650503F">
      <w:pPr>
        <w:pStyle w:val="25"/>
        <w:spacing w:line="600" w:lineRule="exact"/>
        <w:ind w:firstLine="640" w:firstLineChars="200"/>
        <w:rPr>
          <w:rFonts w:hAnsi="仿宋"/>
          <w:color w:val="auto"/>
          <w:sz w:val="32"/>
          <w:szCs w:val="32"/>
        </w:rPr>
      </w:pPr>
      <w:r>
        <w:rPr>
          <w:rFonts w:hAnsi="仿宋"/>
          <w:color w:val="auto"/>
          <w:sz w:val="32"/>
          <w:szCs w:val="32"/>
        </w:rPr>
        <w:t>2.</w:t>
      </w:r>
      <w:r>
        <w:rPr>
          <w:rFonts w:hint="eastAsia" w:hAnsi="仿宋"/>
          <w:color w:val="auto"/>
          <w:sz w:val="32"/>
          <w:szCs w:val="32"/>
        </w:rPr>
        <w:t>事业收入：指事业单位开展专业业务活动及辅助活动取得的收入。</w:t>
      </w:r>
    </w:p>
    <w:p w14:paraId="2D40F929">
      <w:pPr>
        <w:pStyle w:val="25"/>
        <w:spacing w:line="600" w:lineRule="exact"/>
        <w:ind w:firstLine="640" w:firstLineChars="200"/>
        <w:rPr>
          <w:rFonts w:hint="eastAsia" w:hAnsi="仿宋"/>
          <w:color w:val="auto"/>
          <w:sz w:val="32"/>
          <w:szCs w:val="32"/>
        </w:rPr>
      </w:pPr>
      <w:r>
        <w:rPr>
          <w:rFonts w:hAnsi="仿宋"/>
          <w:color w:val="auto"/>
          <w:sz w:val="32"/>
          <w:szCs w:val="32"/>
        </w:rPr>
        <w:t>3.</w:t>
      </w:r>
      <w:r>
        <w:rPr>
          <w:rFonts w:hint="eastAsia" w:hAnsi="仿宋"/>
          <w:color w:val="auto"/>
          <w:sz w:val="32"/>
          <w:szCs w:val="32"/>
        </w:rPr>
        <w:t>经营收入：指事业单位在专业业务活动及其辅助活动之外开展非独立核算经营活动取得的收入。</w:t>
      </w:r>
    </w:p>
    <w:p w14:paraId="3FC6B505">
      <w:pPr>
        <w:pStyle w:val="25"/>
        <w:spacing w:line="600" w:lineRule="exact"/>
        <w:ind w:firstLine="640" w:firstLineChars="200"/>
        <w:rPr>
          <w:rFonts w:hAnsi="仿宋"/>
          <w:color w:val="auto"/>
          <w:sz w:val="32"/>
          <w:szCs w:val="32"/>
        </w:rPr>
      </w:pPr>
      <w:r>
        <w:rPr>
          <w:rFonts w:hAnsi="仿宋"/>
          <w:color w:val="auto"/>
          <w:sz w:val="32"/>
          <w:szCs w:val="32"/>
        </w:rPr>
        <w:t>4.</w:t>
      </w:r>
      <w:r>
        <w:rPr>
          <w:rFonts w:hint="eastAsia" w:hAnsi="仿宋"/>
          <w:color w:val="auto"/>
          <w:sz w:val="32"/>
          <w:szCs w:val="32"/>
        </w:rPr>
        <w:t>其他收入：指单位取得的除上述收入以外的各项收入。</w:t>
      </w:r>
      <w:r>
        <w:rPr>
          <w:rFonts w:hAnsi="仿宋"/>
          <w:color w:val="auto"/>
          <w:sz w:val="32"/>
          <w:szCs w:val="32"/>
        </w:rPr>
        <w:t xml:space="preserve"> </w:t>
      </w:r>
    </w:p>
    <w:p w14:paraId="1BA1C931">
      <w:pPr>
        <w:pStyle w:val="25"/>
        <w:spacing w:line="600" w:lineRule="exact"/>
        <w:ind w:firstLine="640" w:firstLineChars="200"/>
        <w:rPr>
          <w:rFonts w:hAnsi="仿宋"/>
          <w:color w:val="auto"/>
          <w:sz w:val="32"/>
          <w:szCs w:val="32"/>
        </w:rPr>
      </w:pPr>
      <w:r>
        <w:rPr>
          <w:rFonts w:hAnsi="仿宋"/>
          <w:color w:val="auto"/>
          <w:sz w:val="32"/>
          <w:szCs w:val="32"/>
        </w:rPr>
        <w:t>5.</w:t>
      </w:r>
      <w:r>
        <w:rPr>
          <w:rFonts w:hint="eastAsia" w:hAnsi="仿宋"/>
          <w:color w:val="auto"/>
          <w:sz w:val="32"/>
          <w:szCs w:val="32"/>
        </w:rPr>
        <w:t>使用非财政拨款结余：指事业单位使用以前年度积累的非财政拨款结余弥补当年收支差额的金额。</w:t>
      </w:r>
      <w:r>
        <w:rPr>
          <w:rFonts w:hAnsi="仿宋"/>
          <w:color w:val="auto"/>
          <w:sz w:val="32"/>
          <w:szCs w:val="32"/>
        </w:rPr>
        <w:t xml:space="preserve"> </w:t>
      </w:r>
    </w:p>
    <w:p w14:paraId="306316A9">
      <w:pPr>
        <w:pStyle w:val="25"/>
        <w:spacing w:line="600" w:lineRule="exact"/>
        <w:ind w:firstLine="640" w:firstLineChars="200"/>
        <w:rPr>
          <w:rFonts w:hAnsi="仿宋"/>
          <w:color w:val="auto"/>
          <w:sz w:val="32"/>
          <w:szCs w:val="32"/>
        </w:rPr>
      </w:pPr>
      <w:r>
        <w:rPr>
          <w:rFonts w:hAnsi="仿宋"/>
          <w:color w:val="auto"/>
          <w:sz w:val="32"/>
          <w:szCs w:val="32"/>
        </w:rPr>
        <w:t>6.</w:t>
      </w:r>
      <w:r>
        <w:rPr>
          <w:rFonts w:hint="eastAsia" w:hAnsi="仿宋"/>
          <w:color w:val="auto"/>
          <w:sz w:val="32"/>
          <w:szCs w:val="32"/>
        </w:rPr>
        <w:t>年初结转和结余：指以前年度尚未完成、结转到本年按有关规定继续使用的资金。</w:t>
      </w:r>
      <w:r>
        <w:rPr>
          <w:rFonts w:hAnsi="仿宋"/>
          <w:color w:val="auto"/>
          <w:sz w:val="32"/>
          <w:szCs w:val="32"/>
        </w:rPr>
        <w:t xml:space="preserve"> </w:t>
      </w:r>
    </w:p>
    <w:p w14:paraId="4551C4EA">
      <w:pPr>
        <w:pStyle w:val="25"/>
        <w:spacing w:line="600" w:lineRule="exact"/>
        <w:ind w:firstLine="640" w:firstLineChars="200"/>
        <w:rPr>
          <w:rFonts w:hAnsi="仿宋"/>
          <w:color w:val="auto"/>
          <w:sz w:val="32"/>
          <w:szCs w:val="32"/>
        </w:rPr>
      </w:pPr>
      <w:r>
        <w:rPr>
          <w:rFonts w:hAnsi="仿宋"/>
          <w:color w:val="auto"/>
          <w:sz w:val="32"/>
          <w:szCs w:val="32"/>
        </w:rPr>
        <w:t>7.</w:t>
      </w:r>
      <w:r>
        <w:rPr>
          <w:rFonts w:hint="eastAsia" w:hAnsi="仿宋"/>
          <w:color w:val="auto"/>
          <w:sz w:val="32"/>
          <w:szCs w:val="32"/>
        </w:rPr>
        <w:t>结余分配：指事业单位按照会计制度规定缴纳的所得税、提取的专用结余以及转入非财政拨款结余的金额等。</w:t>
      </w:r>
    </w:p>
    <w:p w14:paraId="1947F25D">
      <w:pPr>
        <w:pStyle w:val="25"/>
        <w:spacing w:line="600" w:lineRule="exact"/>
        <w:ind w:firstLine="640" w:firstLineChars="200"/>
        <w:rPr>
          <w:rFonts w:hAnsi="仿宋"/>
          <w:color w:val="auto"/>
          <w:sz w:val="32"/>
          <w:szCs w:val="32"/>
        </w:rPr>
      </w:pPr>
      <w:r>
        <w:rPr>
          <w:rFonts w:hAnsi="仿宋"/>
          <w:color w:val="auto"/>
          <w:sz w:val="32"/>
          <w:szCs w:val="32"/>
        </w:rPr>
        <w:t>8</w:t>
      </w:r>
      <w:r>
        <w:rPr>
          <w:rFonts w:hint="eastAsia" w:hAnsi="仿宋"/>
          <w:color w:val="auto"/>
          <w:sz w:val="32"/>
          <w:szCs w:val="32"/>
        </w:rPr>
        <w:t>.年末结转和结余：指单位按有关规定结转到下年或以后年度继续使用的资金。</w:t>
      </w:r>
    </w:p>
    <w:p w14:paraId="5AD755F0">
      <w:pPr>
        <w:spacing w:line="600" w:lineRule="exact"/>
        <w:ind w:firstLine="640" w:firstLineChars="200"/>
        <w:rPr>
          <w:rFonts w:ascii="仿宋" w:hAnsi="仿宋" w:eastAsia="仿宋"/>
          <w:sz w:val="32"/>
          <w:szCs w:val="32"/>
        </w:rPr>
      </w:pPr>
      <w:r>
        <w:rPr>
          <w:rFonts w:ascii="仿宋" w:hAnsi="仿宋" w:eastAsia="仿宋"/>
          <w:sz w:val="32"/>
          <w:szCs w:val="32"/>
        </w:rPr>
        <w:t>9.</w:t>
      </w:r>
      <w:r>
        <w:rPr>
          <w:rFonts w:hint="eastAsia" w:ascii="仿宋" w:hAnsi="仿宋" w:eastAsia="仿宋" w:cs="仿宋"/>
          <w:color w:val="000000"/>
          <w:kern w:val="0"/>
          <w:sz w:val="32"/>
          <w:szCs w:val="32"/>
        </w:rPr>
        <w:t xml:space="preserve"> </w:t>
      </w:r>
      <w:r>
        <w:rPr>
          <w:rFonts w:hint="eastAsia" w:ascii="仿宋" w:hAnsi="仿宋" w:eastAsia="仿宋"/>
          <w:sz w:val="32"/>
          <w:szCs w:val="32"/>
        </w:rPr>
        <w:t>社会保障和就业（类）行政事业单位养老支出（款）机关事业单位基本养老保险缴费支出（项）：是指反映机关事业单位实施养老保险制度由单位缴纳的基本养老保险支出。</w:t>
      </w:r>
    </w:p>
    <w:p w14:paraId="470CB9D9">
      <w:pPr>
        <w:spacing w:line="60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0</w:t>
      </w:r>
      <w:r>
        <w:rPr>
          <w:rFonts w:hint="eastAsia" w:ascii="仿宋" w:hAnsi="仿宋" w:eastAsia="仿宋"/>
          <w:sz w:val="32"/>
          <w:szCs w:val="32"/>
        </w:rPr>
        <w:t>.社会保障和就业（类）行政事业单位养老支出（款）机关事业单位职业年金缴费支出（项）：是指反映机关事业单位实施养老保险制度由单位缴纳的职业年金支出。</w:t>
      </w:r>
    </w:p>
    <w:p w14:paraId="48CD67E3">
      <w:pPr>
        <w:pStyle w:val="2"/>
        <w:spacing w:before="93" w:line="600" w:lineRule="exact"/>
        <w:ind w:firstLine="640" w:firstLineChars="200"/>
        <w:rPr>
          <w:rFonts w:ascii="仿宋" w:hAnsi="仿宋" w:eastAsia="仿宋"/>
        </w:rPr>
      </w:pPr>
      <w:r>
        <w:rPr>
          <w:rFonts w:hint="eastAsia" w:ascii="仿宋" w:hAnsi="仿宋" w:eastAsia="仿宋"/>
          <w:sz w:val="32"/>
          <w:szCs w:val="32"/>
        </w:rPr>
        <w:t>1</w:t>
      </w:r>
      <w:r>
        <w:rPr>
          <w:rFonts w:ascii="仿宋" w:hAnsi="仿宋" w:eastAsia="仿宋"/>
          <w:sz w:val="32"/>
          <w:szCs w:val="32"/>
        </w:rPr>
        <w:t>1.</w:t>
      </w:r>
      <w:r>
        <w:rPr>
          <w:rFonts w:hint="eastAsia" w:ascii="仿宋" w:hAnsi="仿宋" w:eastAsia="仿宋"/>
          <w:sz w:val="32"/>
          <w:szCs w:val="32"/>
        </w:rPr>
        <w:t>社会保障和就业（类）抚恤（款）死亡抚恤（项）</w:t>
      </w:r>
      <w:r>
        <w:rPr>
          <w:rFonts w:hint="eastAsia" w:ascii="仿宋" w:hAnsi="仿宋" w:eastAsia="仿宋"/>
          <w:sz w:val="32"/>
          <w:szCs w:val="32"/>
          <w:lang w:eastAsia="zh-CN"/>
        </w:rPr>
        <w:t>：</w:t>
      </w:r>
      <w:r>
        <w:rPr>
          <w:rFonts w:hint="eastAsia" w:ascii="仿宋" w:hAnsi="仿宋" w:eastAsia="仿宋"/>
          <w:sz w:val="32"/>
          <w:szCs w:val="32"/>
        </w:rPr>
        <w:t>反映按规定用于烈士和牺牲、病故人员家属的一次性和定期抚恤金、丧葬补助费以及烈士褒扬金。</w:t>
      </w:r>
    </w:p>
    <w:p w14:paraId="237F3FE7">
      <w:pPr>
        <w:spacing w:line="60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2</w:t>
      </w:r>
      <w:r>
        <w:rPr>
          <w:rFonts w:hint="eastAsia" w:ascii="仿宋" w:hAnsi="仿宋" w:eastAsia="仿宋"/>
          <w:sz w:val="32"/>
          <w:szCs w:val="32"/>
        </w:rPr>
        <w:t>.社会保障和就业（类）抚恤（款）其他优抚支出（项）</w:t>
      </w:r>
      <w:r>
        <w:rPr>
          <w:rFonts w:hint="eastAsia" w:ascii="仿宋" w:hAnsi="仿宋" w:eastAsia="仿宋"/>
          <w:sz w:val="32"/>
          <w:szCs w:val="32"/>
          <w:lang w:eastAsia="zh-CN"/>
        </w:rPr>
        <w:t>：</w:t>
      </w:r>
      <w:r>
        <w:rPr>
          <w:rFonts w:hint="eastAsia" w:ascii="仿宋" w:hAnsi="仿宋" w:eastAsia="仿宋"/>
          <w:sz w:val="32"/>
          <w:szCs w:val="32"/>
        </w:rPr>
        <w:t>反映除上述项目以外其他用于优抚方面的支出，包括向优抚对象发放的价格临时补贴等支出。</w:t>
      </w:r>
    </w:p>
    <w:p w14:paraId="50340A85">
      <w:pPr>
        <w:spacing w:line="60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3.</w:t>
      </w:r>
      <w:r>
        <w:rPr>
          <w:rFonts w:hint="eastAsia" w:ascii="仿宋" w:hAnsi="仿宋" w:eastAsia="仿宋"/>
          <w:sz w:val="32"/>
          <w:szCs w:val="32"/>
        </w:rPr>
        <w:t>社会保障和就业（类）其他社会保障和就业支出（款）其他社会保障和就业支出（项）</w:t>
      </w:r>
      <w:r>
        <w:rPr>
          <w:rFonts w:hint="eastAsia" w:ascii="仿宋" w:hAnsi="仿宋" w:eastAsia="仿宋"/>
          <w:sz w:val="32"/>
          <w:szCs w:val="32"/>
          <w:lang w:eastAsia="zh-CN"/>
        </w:rPr>
        <w:t>：</w:t>
      </w:r>
      <w:r>
        <w:rPr>
          <w:rFonts w:hint="eastAsia" w:ascii="仿宋" w:hAnsi="仿宋" w:eastAsia="仿宋"/>
          <w:sz w:val="32"/>
          <w:szCs w:val="32"/>
        </w:rPr>
        <w:t>是指反映除上述项目以</w:t>
      </w:r>
      <w:bookmarkStart w:id="75" w:name="_GoBack"/>
      <w:r>
        <w:rPr>
          <w:rFonts w:hint="eastAsia" w:ascii="仿宋" w:hAnsi="仿宋" w:eastAsia="仿宋"/>
          <w:sz w:val="32"/>
          <w:szCs w:val="32"/>
          <w:lang w:eastAsia="zh-CN"/>
        </w:rPr>
        <w:t>外的</w:t>
      </w:r>
      <w:bookmarkEnd w:id="75"/>
      <w:r>
        <w:rPr>
          <w:rFonts w:hint="eastAsia" w:ascii="仿宋" w:hAnsi="仿宋" w:eastAsia="仿宋"/>
          <w:sz w:val="32"/>
          <w:szCs w:val="32"/>
        </w:rPr>
        <w:t>其他用于社会保障和就业方面的支出。</w:t>
      </w:r>
    </w:p>
    <w:p w14:paraId="6E43B65C">
      <w:pPr>
        <w:spacing w:line="60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4.</w:t>
      </w:r>
      <w:r>
        <w:rPr>
          <w:rFonts w:hint="eastAsia" w:ascii="仿宋" w:hAnsi="仿宋" w:eastAsia="仿宋"/>
          <w:sz w:val="32"/>
          <w:szCs w:val="32"/>
        </w:rPr>
        <w:t>卫生健康（类）行政事业单位医疗（款）行政单位医疗（项）</w:t>
      </w:r>
      <w:r>
        <w:rPr>
          <w:rFonts w:hint="eastAsia" w:ascii="仿宋" w:hAnsi="仿宋" w:eastAsia="仿宋"/>
          <w:sz w:val="32"/>
          <w:szCs w:val="32"/>
          <w:lang w:eastAsia="zh-CN"/>
        </w:rPr>
        <w:t>：</w:t>
      </w:r>
      <w:r>
        <w:rPr>
          <w:rFonts w:hint="eastAsia" w:ascii="仿宋" w:hAnsi="仿宋" w:eastAsia="仿宋"/>
          <w:sz w:val="32"/>
          <w:szCs w:val="32"/>
        </w:rPr>
        <w:t>是指反映财政部门集中安排的行政单位基本医疗保险缴费经费，未参加医疗保险的行政单位的公费医疗经费，按国家规定享受离退休人员、红军老战士待遇人员的医疗经费。</w:t>
      </w:r>
    </w:p>
    <w:p w14:paraId="1C07EC24">
      <w:pPr>
        <w:spacing w:line="60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5.</w:t>
      </w:r>
      <w:r>
        <w:rPr>
          <w:rFonts w:hint="eastAsia" w:ascii="仿宋" w:hAnsi="仿宋" w:eastAsia="仿宋"/>
          <w:sz w:val="32"/>
          <w:szCs w:val="32"/>
        </w:rPr>
        <w:t>卫生健康（类）行政事业单位医疗（款）事业单位医疗（项）</w:t>
      </w:r>
      <w:r>
        <w:rPr>
          <w:rFonts w:hint="eastAsia" w:ascii="仿宋" w:hAnsi="仿宋" w:eastAsia="仿宋"/>
          <w:sz w:val="32"/>
          <w:szCs w:val="32"/>
          <w:lang w:eastAsia="zh-CN"/>
        </w:rPr>
        <w:t>：</w:t>
      </w:r>
      <w:r>
        <w:rPr>
          <w:rFonts w:ascii="仿宋" w:hAnsi="仿宋" w:eastAsia="仿宋"/>
          <w:sz w:val="32"/>
          <w:szCs w:val="32"/>
        </w:rPr>
        <w:t xml:space="preserve"> 反映财政部门安排的事业单位基本医疗保险缴费经费，未参加医疗保险的事业单位的公费医疗经费，按国家规定享受离休人员待遇的医疗经费</w:t>
      </w:r>
      <w:r>
        <w:rPr>
          <w:rFonts w:hint="eastAsia" w:ascii="仿宋" w:hAnsi="仿宋" w:eastAsia="仿宋"/>
          <w:sz w:val="32"/>
          <w:szCs w:val="32"/>
        </w:rPr>
        <w:t>。</w:t>
      </w:r>
    </w:p>
    <w:p w14:paraId="12C06646">
      <w:pPr>
        <w:spacing w:line="60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6.</w:t>
      </w:r>
      <w:r>
        <w:rPr>
          <w:rFonts w:hint="eastAsia" w:ascii="仿宋" w:hAnsi="仿宋" w:eastAsia="仿宋"/>
          <w:sz w:val="32"/>
          <w:szCs w:val="32"/>
        </w:rPr>
        <w:t>城乡社区（类）国有土地使用权出让收入安排的支出（款）土地开发支出（项）</w:t>
      </w:r>
      <w:r>
        <w:rPr>
          <w:rFonts w:hint="eastAsia" w:ascii="仿宋" w:hAnsi="仿宋" w:eastAsia="仿宋"/>
          <w:sz w:val="32"/>
          <w:szCs w:val="32"/>
          <w:lang w:eastAsia="zh-CN"/>
        </w:rPr>
        <w:t>：</w:t>
      </w:r>
      <w:r>
        <w:rPr>
          <w:rFonts w:ascii="仿宋" w:hAnsi="仿宋" w:eastAsia="仿宋"/>
          <w:sz w:val="32"/>
          <w:szCs w:val="32"/>
        </w:rPr>
        <w:t xml:space="preserve"> 反映</w:t>
      </w:r>
      <w:r>
        <w:rPr>
          <w:rFonts w:hint="eastAsia" w:ascii="仿宋" w:hAnsi="仿宋" w:eastAsia="仿宋"/>
          <w:sz w:val="32"/>
          <w:szCs w:val="32"/>
        </w:rPr>
        <w:t>新疆生产建设兵团和地方政府用于前期土地开发性支出以及与前期土地开发相关的费用等支出。</w:t>
      </w:r>
    </w:p>
    <w:p w14:paraId="4E6157C4">
      <w:pPr>
        <w:spacing w:line="600" w:lineRule="exact"/>
        <w:ind w:firstLine="640" w:firstLineChars="200"/>
        <w:rPr>
          <w:rFonts w:ascii="仿宋" w:hAnsi="仿宋" w:eastAsia="仿宋"/>
          <w:sz w:val="32"/>
          <w:szCs w:val="32"/>
        </w:rPr>
      </w:pPr>
      <w:r>
        <w:rPr>
          <w:rFonts w:ascii="仿宋" w:hAnsi="仿宋" w:eastAsia="仿宋"/>
          <w:sz w:val="32"/>
          <w:szCs w:val="32"/>
        </w:rPr>
        <w:t>17.</w:t>
      </w:r>
      <w:r>
        <w:rPr>
          <w:rFonts w:hint="eastAsia" w:ascii="仿宋" w:hAnsi="仿宋" w:eastAsia="仿宋"/>
          <w:sz w:val="32"/>
          <w:szCs w:val="32"/>
        </w:rPr>
        <w:t>城乡社区（类）国有土地使用权出让收入安排的支出（款）其他国有土地使用权出让收入安排的支出（项）</w:t>
      </w:r>
      <w:r>
        <w:rPr>
          <w:rFonts w:hint="eastAsia" w:ascii="仿宋" w:hAnsi="仿宋" w:eastAsia="仿宋"/>
          <w:sz w:val="32"/>
          <w:szCs w:val="32"/>
          <w:lang w:eastAsia="zh-CN"/>
        </w:rPr>
        <w:t>：</w:t>
      </w:r>
      <w:r>
        <w:rPr>
          <w:rFonts w:ascii="仿宋" w:hAnsi="仿宋" w:eastAsia="仿宋"/>
          <w:sz w:val="32"/>
          <w:szCs w:val="32"/>
        </w:rPr>
        <w:t xml:space="preserve"> 反映</w:t>
      </w:r>
      <w:r>
        <w:rPr>
          <w:rFonts w:hint="eastAsia" w:ascii="仿宋" w:hAnsi="仿宋" w:eastAsia="仿宋"/>
          <w:sz w:val="32"/>
          <w:szCs w:val="32"/>
        </w:rPr>
        <w:t>土地出让收入用于其他方面的支出。不包括市县级政府当年按规定用土地收入向中央和省级政府缴纳的新增建设用地土地有偿使用费的支出。</w:t>
      </w:r>
    </w:p>
    <w:p w14:paraId="5702E707">
      <w:pPr>
        <w:spacing w:line="60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8.</w:t>
      </w:r>
      <w:r>
        <w:rPr>
          <w:rFonts w:hint="eastAsia" w:ascii="仿宋" w:hAnsi="仿宋" w:eastAsia="仿宋"/>
          <w:sz w:val="32"/>
          <w:szCs w:val="32"/>
        </w:rPr>
        <w:t>住房保障支出（类）住房改革支出（款）住房公积金（项）</w:t>
      </w:r>
      <w:r>
        <w:rPr>
          <w:rFonts w:hint="eastAsia" w:ascii="仿宋" w:hAnsi="仿宋" w:eastAsia="仿宋"/>
          <w:sz w:val="32"/>
          <w:szCs w:val="32"/>
          <w:lang w:eastAsia="zh-CN"/>
        </w:rPr>
        <w:t>：</w:t>
      </w:r>
      <w:r>
        <w:rPr>
          <w:rFonts w:hint="eastAsia" w:ascii="仿宋" w:hAnsi="仿宋" w:eastAsia="仿宋"/>
          <w:sz w:val="32"/>
          <w:szCs w:val="32"/>
        </w:rPr>
        <w:t>是指反映行政事业单位按人力资源和社会保障部、财政部规定的基本工资和津贴补贴以及规定比例为职工缴纳的住房公积金。</w:t>
      </w:r>
    </w:p>
    <w:p w14:paraId="54E04E9B">
      <w:pPr>
        <w:spacing w:line="60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9.</w:t>
      </w:r>
      <w:r>
        <w:rPr>
          <w:rFonts w:hint="eastAsia" w:ascii="仿宋" w:hAnsi="仿宋" w:eastAsia="仿宋"/>
          <w:sz w:val="32"/>
          <w:szCs w:val="32"/>
        </w:rPr>
        <w:t>灾害防治及应急管理（类）应急管理事务（款）行政运行（项）</w:t>
      </w:r>
      <w:r>
        <w:rPr>
          <w:rFonts w:hint="eastAsia" w:ascii="仿宋" w:hAnsi="仿宋" w:eastAsia="仿宋"/>
          <w:sz w:val="32"/>
          <w:szCs w:val="32"/>
          <w:lang w:eastAsia="zh-CN"/>
        </w:rPr>
        <w:t>：</w:t>
      </w:r>
      <w:r>
        <w:rPr>
          <w:rFonts w:ascii="仿宋" w:hAnsi="仿宋" w:eastAsia="仿宋"/>
          <w:sz w:val="32"/>
          <w:szCs w:val="32"/>
        </w:rPr>
        <w:t xml:space="preserve"> 反映</w:t>
      </w:r>
      <w:r>
        <w:rPr>
          <w:rFonts w:hint="eastAsia" w:ascii="仿宋" w:hAnsi="仿宋" w:eastAsia="仿宋"/>
          <w:sz w:val="32"/>
          <w:szCs w:val="32"/>
        </w:rPr>
        <w:t>应急管理</w:t>
      </w:r>
      <w:r>
        <w:rPr>
          <w:rFonts w:ascii="仿宋" w:hAnsi="仿宋" w:eastAsia="仿宋"/>
          <w:sz w:val="32"/>
          <w:szCs w:val="32"/>
        </w:rPr>
        <w:t>行政单位（包括实行公务员管理的事业单位）的基本支出。</w:t>
      </w:r>
    </w:p>
    <w:p w14:paraId="0461BBF5">
      <w:pPr>
        <w:spacing w:line="60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0.</w:t>
      </w:r>
      <w:r>
        <w:rPr>
          <w:rFonts w:hint="eastAsia" w:ascii="仿宋" w:hAnsi="仿宋" w:eastAsia="仿宋"/>
          <w:sz w:val="32"/>
          <w:szCs w:val="32"/>
        </w:rPr>
        <w:t>灾害防治及应急管理（类）应急管理事务（款）应急救援（项）</w:t>
      </w:r>
      <w:r>
        <w:rPr>
          <w:rFonts w:hint="eastAsia" w:ascii="仿宋" w:hAnsi="仿宋" w:eastAsia="仿宋"/>
          <w:sz w:val="32"/>
          <w:szCs w:val="32"/>
          <w:lang w:eastAsia="zh-CN"/>
        </w:rPr>
        <w:t>：</w:t>
      </w:r>
      <w:r>
        <w:rPr>
          <w:rFonts w:ascii="仿宋" w:hAnsi="仿宋" w:eastAsia="仿宋"/>
          <w:sz w:val="32"/>
          <w:szCs w:val="32"/>
        </w:rPr>
        <w:t xml:space="preserve"> 反映</w:t>
      </w:r>
      <w:r>
        <w:rPr>
          <w:rFonts w:hint="eastAsia" w:ascii="仿宋" w:hAnsi="仿宋" w:eastAsia="仿宋"/>
          <w:sz w:val="32"/>
          <w:szCs w:val="32"/>
        </w:rPr>
        <w:t>安全生产、自然灾害应急救援方面的支出</w:t>
      </w:r>
      <w:r>
        <w:rPr>
          <w:rFonts w:ascii="仿宋" w:hAnsi="仿宋" w:eastAsia="仿宋"/>
          <w:sz w:val="32"/>
          <w:szCs w:val="32"/>
        </w:rPr>
        <w:t>。</w:t>
      </w:r>
    </w:p>
    <w:p w14:paraId="2CB97240">
      <w:pPr>
        <w:spacing w:line="60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1.</w:t>
      </w:r>
      <w:r>
        <w:rPr>
          <w:rFonts w:hint="eastAsia" w:ascii="仿宋" w:hAnsi="仿宋" w:eastAsia="仿宋"/>
          <w:sz w:val="32"/>
          <w:szCs w:val="32"/>
        </w:rPr>
        <w:t>灾害防治及应急管理（类）应急管理事务（款）应急管理（项）</w:t>
      </w:r>
      <w:r>
        <w:rPr>
          <w:rFonts w:hint="eastAsia" w:ascii="仿宋" w:hAnsi="仿宋" w:eastAsia="仿宋"/>
          <w:sz w:val="32"/>
          <w:szCs w:val="32"/>
          <w:lang w:eastAsia="zh-CN"/>
        </w:rPr>
        <w:t>：</w:t>
      </w:r>
      <w:r>
        <w:rPr>
          <w:rFonts w:ascii="仿宋" w:hAnsi="仿宋" w:eastAsia="仿宋"/>
          <w:sz w:val="32"/>
          <w:szCs w:val="32"/>
        </w:rPr>
        <w:t xml:space="preserve"> 反映</w:t>
      </w:r>
      <w:r>
        <w:rPr>
          <w:rFonts w:hint="eastAsia" w:ascii="仿宋" w:hAnsi="仿宋" w:eastAsia="仿宋"/>
          <w:sz w:val="32"/>
          <w:szCs w:val="32"/>
        </w:rPr>
        <w:t>用于应急管理的法律法规制定修订，应急预案演练、协调保障等方面的支出</w:t>
      </w:r>
      <w:r>
        <w:rPr>
          <w:rFonts w:ascii="仿宋" w:hAnsi="仿宋" w:eastAsia="仿宋"/>
          <w:sz w:val="32"/>
          <w:szCs w:val="32"/>
        </w:rPr>
        <w:t>。</w:t>
      </w:r>
    </w:p>
    <w:p w14:paraId="07A1B206">
      <w:pPr>
        <w:spacing w:line="60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2</w:t>
      </w:r>
      <w:r>
        <w:rPr>
          <w:rFonts w:hint="eastAsia" w:ascii="仿宋" w:hAnsi="仿宋" w:eastAsia="仿宋"/>
          <w:sz w:val="32"/>
          <w:szCs w:val="32"/>
        </w:rPr>
        <w:t>.灾害防治及应急管理（类）应急管理事务（款）事业运行（项）</w:t>
      </w:r>
      <w:r>
        <w:rPr>
          <w:rFonts w:hint="eastAsia" w:ascii="仿宋" w:hAnsi="仿宋" w:eastAsia="仿宋"/>
          <w:sz w:val="32"/>
          <w:szCs w:val="32"/>
          <w:lang w:eastAsia="zh-CN"/>
        </w:rPr>
        <w:t>：</w:t>
      </w:r>
      <w:r>
        <w:rPr>
          <w:rFonts w:ascii="仿宋" w:hAnsi="仿宋" w:eastAsia="仿宋"/>
          <w:sz w:val="32"/>
          <w:szCs w:val="32"/>
        </w:rPr>
        <w:t xml:space="preserve"> 反映事业单位的基本支出，不包括行政单位（包括实行公务员管理的事业单位）后勤服务中心、医务室等附属事业单位。</w:t>
      </w:r>
    </w:p>
    <w:p w14:paraId="4470FB46">
      <w:pPr>
        <w:spacing w:line="60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3</w:t>
      </w:r>
      <w:r>
        <w:rPr>
          <w:rFonts w:hint="eastAsia" w:ascii="仿宋" w:hAnsi="仿宋" w:eastAsia="仿宋"/>
          <w:sz w:val="32"/>
          <w:szCs w:val="32"/>
        </w:rPr>
        <w:t>.灾害防治及应急管理（类）应急管理事务（款）其他应急管理支出（项）</w:t>
      </w:r>
      <w:r>
        <w:rPr>
          <w:rFonts w:hint="eastAsia" w:ascii="仿宋" w:hAnsi="仿宋" w:eastAsia="仿宋"/>
          <w:sz w:val="32"/>
          <w:szCs w:val="32"/>
          <w:lang w:eastAsia="zh-CN"/>
        </w:rPr>
        <w:t>：</w:t>
      </w:r>
      <w:r>
        <w:rPr>
          <w:rFonts w:ascii="仿宋" w:hAnsi="仿宋" w:eastAsia="仿宋"/>
          <w:sz w:val="32"/>
          <w:szCs w:val="32"/>
        </w:rPr>
        <w:t xml:space="preserve"> 反映除上述项目外的其他应急管理方面的支出。</w:t>
      </w:r>
    </w:p>
    <w:p w14:paraId="4A23CD0F">
      <w:pPr>
        <w:spacing w:line="60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4</w:t>
      </w:r>
      <w:r>
        <w:rPr>
          <w:rFonts w:hint="eastAsia" w:ascii="仿宋" w:hAnsi="仿宋" w:eastAsia="仿宋"/>
          <w:sz w:val="32"/>
          <w:szCs w:val="32"/>
        </w:rPr>
        <w:t>.灾害防治及应急管理（类）自然灾害救灾及恢复重建支出（款）自然灾害救灾补助（项）</w:t>
      </w:r>
      <w:r>
        <w:rPr>
          <w:rFonts w:hint="eastAsia" w:ascii="仿宋" w:hAnsi="仿宋" w:eastAsia="仿宋"/>
          <w:sz w:val="32"/>
          <w:szCs w:val="32"/>
          <w:lang w:eastAsia="zh-CN"/>
        </w:rPr>
        <w:t>：</w:t>
      </w:r>
      <w:r>
        <w:rPr>
          <w:rFonts w:ascii="仿宋" w:hAnsi="仿宋" w:eastAsia="仿宋"/>
          <w:sz w:val="32"/>
          <w:szCs w:val="32"/>
        </w:rPr>
        <w:t xml:space="preserve"> 反映</w:t>
      </w:r>
      <w:r>
        <w:rPr>
          <w:rFonts w:hint="eastAsia" w:ascii="仿宋" w:hAnsi="仿宋" w:eastAsia="仿宋"/>
          <w:sz w:val="32"/>
          <w:szCs w:val="32"/>
        </w:rPr>
        <w:t>用于应对重大自然灾害应急救援和受灾群众救助</w:t>
      </w:r>
      <w:r>
        <w:rPr>
          <w:rFonts w:ascii="仿宋" w:hAnsi="仿宋" w:eastAsia="仿宋"/>
          <w:sz w:val="32"/>
          <w:szCs w:val="32"/>
        </w:rPr>
        <w:t>的支出。</w:t>
      </w:r>
    </w:p>
    <w:p w14:paraId="514AFC85">
      <w:pPr>
        <w:spacing w:line="60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5.</w:t>
      </w:r>
      <w:r>
        <w:rPr>
          <w:rFonts w:hint="eastAsia" w:ascii="仿宋" w:hAnsi="仿宋" w:eastAsia="仿宋"/>
          <w:sz w:val="32"/>
          <w:szCs w:val="32"/>
        </w:rPr>
        <w:t xml:space="preserve"> 灾害防治及应急管理（类）地震事务（款）行政运行（项）</w:t>
      </w:r>
      <w:r>
        <w:rPr>
          <w:rFonts w:hint="eastAsia" w:ascii="仿宋" w:hAnsi="仿宋" w:eastAsia="仿宋"/>
          <w:sz w:val="32"/>
          <w:szCs w:val="32"/>
          <w:lang w:eastAsia="zh-CN"/>
        </w:rPr>
        <w:t>：</w:t>
      </w:r>
      <w:r>
        <w:rPr>
          <w:rFonts w:hint="eastAsia" w:ascii="仿宋" w:hAnsi="仿宋" w:eastAsia="仿宋"/>
          <w:sz w:val="32"/>
          <w:szCs w:val="32"/>
        </w:rPr>
        <w:t>反映地震行政单位</w:t>
      </w:r>
      <w:r>
        <w:rPr>
          <w:rFonts w:hint="eastAsia" w:ascii="仿宋" w:hAnsi="仿宋" w:eastAsia="仿宋"/>
          <w:sz w:val="32"/>
          <w:szCs w:val="32"/>
          <w:lang w:eastAsia="zh-CN"/>
        </w:rPr>
        <w:t>（</w:t>
      </w:r>
      <w:r>
        <w:rPr>
          <w:rFonts w:hint="eastAsia" w:ascii="仿宋" w:hAnsi="仿宋" w:eastAsia="仿宋"/>
          <w:sz w:val="32"/>
          <w:szCs w:val="32"/>
        </w:rPr>
        <w:t>包括实行公务员管理的事业单位</w:t>
      </w:r>
      <w:r>
        <w:rPr>
          <w:rFonts w:hint="eastAsia" w:ascii="仿宋" w:hAnsi="仿宋" w:eastAsia="仿宋"/>
          <w:sz w:val="32"/>
          <w:szCs w:val="32"/>
          <w:lang w:eastAsia="zh-CN"/>
        </w:rPr>
        <w:t>）</w:t>
      </w:r>
      <w:r>
        <w:rPr>
          <w:rFonts w:hint="eastAsia" w:ascii="仿宋" w:hAnsi="仿宋" w:eastAsia="仿宋"/>
          <w:sz w:val="32"/>
          <w:szCs w:val="32"/>
        </w:rPr>
        <w:t>的基本支出。</w:t>
      </w:r>
    </w:p>
    <w:p w14:paraId="49E57489">
      <w:pPr>
        <w:pStyle w:val="2"/>
        <w:spacing w:before="93" w:line="600" w:lineRule="exact"/>
        <w:ind w:firstLine="640" w:firstLineChars="200"/>
        <w:rPr>
          <w:rFonts w:ascii="仿宋" w:hAnsi="仿宋" w:eastAsia="仿宋"/>
        </w:rPr>
      </w:pPr>
      <w:r>
        <w:rPr>
          <w:rFonts w:hint="eastAsia" w:ascii="仿宋" w:hAnsi="仿宋" w:eastAsia="仿宋"/>
          <w:sz w:val="32"/>
          <w:szCs w:val="32"/>
        </w:rPr>
        <w:t>2</w:t>
      </w:r>
      <w:r>
        <w:rPr>
          <w:rFonts w:ascii="仿宋" w:hAnsi="仿宋" w:eastAsia="仿宋"/>
          <w:sz w:val="32"/>
          <w:szCs w:val="32"/>
        </w:rPr>
        <w:t>6.</w:t>
      </w:r>
      <w:r>
        <w:rPr>
          <w:rFonts w:hint="eastAsia" w:ascii="仿宋" w:hAnsi="仿宋" w:eastAsia="仿宋"/>
          <w:sz w:val="32"/>
          <w:szCs w:val="32"/>
        </w:rPr>
        <w:t>灾害防治及应急管理（类）地震事务（款）其他地震事务支出（项）</w:t>
      </w:r>
      <w:r>
        <w:rPr>
          <w:rFonts w:hint="eastAsia" w:ascii="仿宋" w:hAnsi="仿宋" w:eastAsia="仿宋"/>
          <w:sz w:val="32"/>
          <w:szCs w:val="32"/>
          <w:lang w:eastAsia="zh-CN"/>
        </w:rPr>
        <w:t>：</w:t>
      </w:r>
      <w:r>
        <w:rPr>
          <w:rFonts w:hint="eastAsia" w:ascii="仿宋" w:hAnsi="仿宋" w:eastAsia="仿宋"/>
          <w:sz w:val="32"/>
          <w:szCs w:val="32"/>
        </w:rPr>
        <w:t>反映除上述项目以外其他用于地震事务方面的支出。</w:t>
      </w:r>
    </w:p>
    <w:p w14:paraId="3508B2B6">
      <w:pPr>
        <w:spacing w:line="600" w:lineRule="exact"/>
        <w:ind w:firstLine="640" w:firstLineChars="200"/>
        <w:rPr>
          <w:rFonts w:ascii="仿宋" w:hAnsi="仿宋" w:eastAsia="仿宋"/>
          <w:sz w:val="32"/>
          <w:szCs w:val="32"/>
        </w:rPr>
      </w:pPr>
      <w:r>
        <w:rPr>
          <w:rFonts w:ascii="仿宋" w:hAnsi="仿宋" w:eastAsia="仿宋"/>
          <w:sz w:val="32"/>
          <w:szCs w:val="32"/>
        </w:rPr>
        <w:t>27.</w:t>
      </w:r>
      <w:r>
        <w:rPr>
          <w:rFonts w:hint="eastAsia" w:ascii="仿宋" w:hAnsi="仿宋" w:eastAsia="仿宋"/>
          <w:sz w:val="32"/>
          <w:szCs w:val="32"/>
        </w:rPr>
        <w:t>基本支出：指为保障机构正常运转、完成日常工作任务而发生的人员支出和公用支出。</w:t>
      </w:r>
    </w:p>
    <w:p w14:paraId="37D3FBF8">
      <w:pPr>
        <w:spacing w:line="600" w:lineRule="exact"/>
        <w:ind w:firstLine="640" w:firstLineChars="200"/>
        <w:rPr>
          <w:rFonts w:ascii="仿宋" w:hAnsi="仿宋" w:eastAsia="仿宋"/>
          <w:sz w:val="32"/>
          <w:szCs w:val="32"/>
        </w:rPr>
      </w:pPr>
      <w:r>
        <w:rPr>
          <w:rFonts w:ascii="仿宋" w:hAnsi="仿宋" w:eastAsia="仿宋"/>
          <w:sz w:val="32"/>
          <w:szCs w:val="32"/>
        </w:rPr>
        <w:t>28.</w:t>
      </w:r>
      <w:r>
        <w:rPr>
          <w:rFonts w:hint="eastAsia" w:ascii="仿宋" w:hAnsi="仿宋" w:eastAsia="仿宋"/>
          <w:sz w:val="32"/>
          <w:szCs w:val="32"/>
        </w:rPr>
        <w:t>项目支出：指在基本支出之外为完成特定行政任务和事业发展目标所发生的支出。</w:t>
      </w:r>
      <w:r>
        <w:rPr>
          <w:rFonts w:ascii="仿宋" w:hAnsi="仿宋" w:eastAsia="仿宋"/>
          <w:sz w:val="32"/>
          <w:szCs w:val="32"/>
        </w:rPr>
        <w:t xml:space="preserve"> </w:t>
      </w:r>
    </w:p>
    <w:p w14:paraId="4C4F214F">
      <w:pPr>
        <w:spacing w:line="600" w:lineRule="exact"/>
        <w:ind w:firstLine="640" w:firstLineChars="200"/>
        <w:rPr>
          <w:rFonts w:ascii="仿宋" w:hAnsi="仿宋" w:eastAsia="仿宋"/>
          <w:sz w:val="32"/>
          <w:szCs w:val="32"/>
        </w:rPr>
      </w:pPr>
      <w:r>
        <w:rPr>
          <w:rFonts w:ascii="仿宋" w:hAnsi="仿宋" w:eastAsia="仿宋"/>
          <w:sz w:val="32"/>
          <w:szCs w:val="32"/>
        </w:rPr>
        <w:t>29.</w:t>
      </w:r>
      <w:r>
        <w:rPr>
          <w:rFonts w:hint="eastAsia" w:ascii="仿宋" w:hAnsi="仿宋" w:eastAsia="仿宋"/>
          <w:sz w:val="32"/>
          <w:szCs w:val="32"/>
        </w:rPr>
        <w:t>经营支出：指事业单位在专业业务活动及其辅助活动之外开展非独立核算经营活动发生的支出。</w:t>
      </w:r>
    </w:p>
    <w:p w14:paraId="28DEF72B">
      <w:pPr>
        <w:pStyle w:val="25"/>
        <w:spacing w:line="600" w:lineRule="exact"/>
        <w:ind w:firstLine="640" w:firstLineChars="200"/>
        <w:rPr>
          <w:rFonts w:hAnsi="仿宋"/>
          <w:color w:val="auto"/>
          <w:sz w:val="32"/>
          <w:szCs w:val="32"/>
        </w:rPr>
      </w:pPr>
      <w:r>
        <w:rPr>
          <w:rFonts w:hAnsi="仿宋"/>
          <w:color w:val="auto"/>
          <w:sz w:val="32"/>
          <w:szCs w:val="32"/>
        </w:rPr>
        <w:t>30.</w:t>
      </w:r>
      <w:r>
        <w:rPr>
          <w:rFonts w:hint="eastAsia" w:hAnsi="仿宋"/>
          <w:color w:val="auto"/>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3090C4AF">
      <w:pPr>
        <w:pStyle w:val="25"/>
        <w:spacing w:line="600" w:lineRule="exact"/>
        <w:ind w:firstLine="640" w:firstLineChars="200"/>
        <w:rPr>
          <w:rFonts w:hAnsi="仿宋"/>
          <w:color w:val="auto"/>
          <w:sz w:val="32"/>
          <w:szCs w:val="32"/>
        </w:rPr>
      </w:pPr>
      <w:r>
        <w:rPr>
          <w:rFonts w:hAnsi="仿宋"/>
          <w:color w:val="auto"/>
          <w:sz w:val="32"/>
          <w:szCs w:val="32"/>
        </w:rPr>
        <w:t>31.</w:t>
      </w:r>
      <w:r>
        <w:rPr>
          <w:rFonts w:hint="eastAsia" w:hAnsi="仿宋"/>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2B600F34">
      <w:pPr>
        <w:ind w:firstLine="643" w:firstLineChars="200"/>
        <w:rPr>
          <w:rFonts w:ascii="仿宋" w:hAnsi="仿宋" w:eastAsia="仿宋"/>
          <w:b/>
          <w:sz w:val="32"/>
          <w:szCs w:val="32"/>
        </w:rPr>
      </w:pPr>
      <w:r>
        <w:rPr>
          <w:rFonts w:hint="eastAsia" w:ascii="仿宋" w:hAnsi="仿宋" w:eastAsia="仿宋"/>
          <w:b/>
          <w:sz w:val="32"/>
          <w:szCs w:val="32"/>
        </w:rPr>
        <w:t>（名词解释部分请根据各部门实际列支情况罗列，并根据本部门职责职能增减名词解释内容。）</w:t>
      </w:r>
    </w:p>
    <w:p w14:paraId="4918C2FA">
      <w:pPr>
        <w:pStyle w:val="2"/>
        <w:spacing w:before="93"/>
      </w:pPr>
    </w:p>
    <w:p w14:paraId="526D166E">
      <w:pPr>
        <w:pStyle w:val="2"/>
        <w:spacing w:before="93"/>
      </w:pPr>
    </w:p>
    <w:p w14:paraId="27BC3C3E">
      <w:pPr>
        <w:pStyle w:val="2"/>
        <w:spacing w:before="93"/>
      </w:pPr>
    </w:p>
    <w:p w14:paraId="3976902A">
      <w:pPr>
        <w:pStyle w:val="2"/>
        <w:spacing w:before="93"/>
      </w:pPr>
    </w:p>
    <w:p w14:paraId="6C4D5F6B">
      <w:pPr>
        <w:pStyle w:val="2"/>
        <w:spacing w:before="93"/>
      </w:pPr>
    </w:p>
    <w:p w14:paraId="01A2AD41">
      <w:pPr>
        <w:pStyle w:val="2"/>
        <w:spacing w:before="93"/>
      </w:pPr>
    </w:p>
    <w:p w14:paraId="7BE62FEB">
      <w:pPr>
        <w:pStyle w:val="2"/>
        <w:spacing w:before="93"/>
        <w:rPr>
          <w:rFonts w:hint="eastAsia"/>
        </w:rPr>
      </w:pPr>
    </w:p>
    <w:p w14:paraId="3A051B4A">
      <w:pPr>
        <w:spacing w:line="600" w:lineRule="exact"/>
        <w:jc w:val="center"/>
        <w:outlineLvl w:val="0"/>
        <w:rPr>
          <w:rStyle w:val="27"/>
          <w:rFonts w:ascii="黑体" w:hAnsi="黑体" w:eastAsia="黑体"/>
          <w:b w:val="0"/>
        </w:rPr>
      </w:pPr>
      <w:bookmarkStart w:id="59" w:name="_Toc15396614"/>
      <w:bookmarkStart w:id="60" w:name="_Toc15377226"/>
      <w:r>
        <w:rPr>
          <w:rFonts w:hint="eastAsia" w:ascii="黑体" w:hAnsi="黑体" w:eastAsia="黑体"/>
          <w:sz w:val="44"/>
          <w:szCs w:val="44"/>
        </w:rPr>
        <w:t>第</w:t>
      </w:r>
      <w:r>
        <w:rPr>
          <w:rStyle w:val="27"/>
          <w:rFonts w:hint="eastAsia" w:ascii="黑体" w:hAnsi="黑体" w:eastAsia="黑体"/>
          <w:b w:val="0"/>
        </w:rPr>
        <w:t>四部分 附件</w:t>
      </w:r>
      <w:bookmarkEnd w:id="59"/>
    </w:p>
    <w:p w14:paraId="311D85F3">
      <w:pPr>
        <w:spacing w:line="572" w:lineRule="exact"/>
        <w:jc w:val="left"/>
        <w:outlineLvl w:val="0"/>
        <w:rPr>
          <w:rFonts w:ascii="方正小标宋简体" w:hAnsi="方正小标宋简体" w:eastAsia="方正小标宋简体" w:cs="方正小标宋简体"/>
          <w:sz w:val="44"/>
          <w:szCs w:val="44"/>
        </w:rPr>
      </w:pPr>
      <w:r>
        <w:rPr>
          <w:rFonts w:hint="eastAsia" w:ascii="黑体" w:hAnsi="黑体" w:eastAsia="黑体" w:cs="黑体"/>
          <w:sz w:val="32"/>
          <w:szCs w:val="32"/>
        </w:rPr>
        <w:t>附件1</w:t>
      </w:r>
      <w:r>
        <w:rPr>
          <w:rFonts w:ascii="黑体" w:hAnsi="黑体" w:eastAsia="黑体" w:cs="黑体"/>
          <w:sz w:val="32"/>
          <w:szCs w:val="32"/>
        </w:rPr>
        <w:t>-1</w:t>
      </w:r>
    </w:p>
    <w:p w14:paraId="40D6AB1C">
      <w:pPr>
        <w:widowControl/>
        <w:spacing w:line="540" w:lineRule="exact"/>
        <w:jc w:val="center"/>
        <w:rPr>
          <w:rFonts w:ascii="宋体" w:hAnsi="宋体"/>
          <w:b/>
          <w:sz w:val="44"/>
          <w:szCs w:val="44"/>
          <w:shd w:val="clear" w:color="auto" w:fill="FFFFFF"/>
        </w:rPr>
      </w:pPr>
      <w:r>
        <w:rPr>
          <w:rFonts w:hint="eastAsia" w:ascii="宋体" w:hAnsi="宋体"/>
          <w:b/>
          <w:sz w:val="44"/>
          <w:szCs w:val="44"/>
          <w:shd w:val="clear" w:color="auto" w:fill="FFFFFF"/>
        </w:rPr>
        <w:t>峨眉山市应急管理局</w:t>
      </w:r>
    </w:p>
    <w:p w14:paraId="58BD2D55">
      <w:pPr>
        <w:widowControl/>
        <w:spacing w:line="540" w:lineRule="exact"/>
        <w:jc w:val="center"/>
        <w:rPr>
          <w:rFonts w:ascii="宋体" w:hAnsi="宋体"/>
          <w:b/>
          <w:sz w:val="44"/>
          <w:szCs w:val="44"/>
          <w:shd w:val="clear" w:color="auto" w:fill="FFFFFF"/>
        </w:rPr>
      </w:pPr>
      <w:r>
        <w:rPr>
          <w:rFonts w:ascii="宋体" w:hAnsi="宋体"/>
          <w:b/>
          <w:sz w:val="44"/>
          <w:szCs w:val="44"/>
          <w:shd w:val="clear" w:color="auto" w:fill="FFFFFF"/>
        </w:rPr>
        <w:t>202</w:t>
      </w:r>
      <w:r>
        <w:rPr>
          <w:rFonts w:hint="eastAsia" w:ascii="宋体" w:hAnsi="宋体"/>
          <w:b/>
          <w:sz w:val="44"/>
          <w:szCs w:val="44"/>
          <w:shd w:val="clear" w:color="auto" w:fill="FFFFFF"/>
        </w:rPr>
        <w:t>2年部门整体支出绩效评价报告</w:t>
      </w:r>
    </w:p>
    <w:p w14:paraId="164FCE73">
      <w:pPr>
        <w:widowControl/>
        <w:adjustRightInd w:val="0"/>
        <w:snapToGrid w:val="0"/>
        <w:spacing w:line="560" w:lineRule="exact"/>
        <w:ind w:firstLine="640" w:firstLineChars="200"/>
        <w:contextualSpacing/>
        <w:jc w:val="left"/>
        <w:rPr>
          <w:rFonts w:ascii="黑体" w:hAnsi="宋体" w:eastAsia="黑体" w:cs="宋体"/>
          <w:kern w:val="0"/>
          <w:sz w:val="32"/>
          <w:szCs w:val="32"/>
          <w:shd w:val="clear" w:color="auto" w:fill="FFFFFF"/>
        </w:rPr>
      </w:pPr>
    </w:p>
    <w:p w14:paraId="7CF09747">
      <w:pPr>
        <w:widowControl/>
        <w:numPr>
          <w:ilvl w:val="0"/>
          <w:numId w:val="6"/>
        </w:numPr>
        <w:adjustRightInd w:val="0"/>
        <w:snapToGrid w:val="0"/>
        <w:spacing w:line="560" w:lineRule="exact"/>
        <w:ind w:firstLine="640" w:firstLineChars="200"/>
        <w:contextualSpacing/>
        <w:jc w:val="left"/>
        <w:rPr>
          <w:rFonts w:ascii="黑体" w:hAnsi="宋体" w:eastAsia="黑体" w:cs="宋体"/>
          <w:kern w:val="0"/>
          <w:sz w:val="32"/>
          <w:szCs w:val="32"/>
          <w:shd w:val="clear" w:color="auto" w:fill="FFFFFF"/>
          <w:lang w:val="zh-CN"/>
        </w:rPr>
      </w:pPr>
      <w:r>
        <w:rPr>
          <w:rFonts w:hint="eastAsia" w:ascii="黑体" w:hAnsi="宋体" w:eastAsia="黑体" w:cs="宋体"/>
          <w:kern w:val="0"/>
          <w:sz w:val="32"/>
          <w:szCs w:val="32"/>
          <w:shd w:val="clear" w:color="auto" w:fill="FFFFFF"/>
          <w:lang w:val="zh-CN"/>
        </w:rPr>
        <w:t>部门（单位）概况</w:t>
      </w:r>
    </w:p>
    <w:p w14:paraId="5B8AE02A">
      <w:pPr>
        <w:widowControl/>
        <w:numPr>
          <w:ilvl w:val="0"/>
          <w:numId w:val="7"/>
        </w:numPr>
        <w:adjustRightInd w:val="0"/>
        <w:snapToGrid w:val="0"/>
        <w:spacing w:line="560" w:lineRule="exact"/>
        <w:ind w:firstLine="643"/>
        <w:contextualSpacing/>
        <w:jc w:val="left"/>
        <w:rPr>
          <w:rFonts w:ascii="仿宋" w:hAnsi="仿宋" w:eastAsia="仿宋" w:cs="楷体_GB2312"/>
          <w:bCs/>
          <w:kern w:val="0"/>
          <w:sz w:val="32"/>
          <w:szCs w:val="32"/>
          <w:shd w:val="clear" w:color="auto" w:fill="FFFFFF"/>
          <w:lang w:val="zh-CN"/>
        </w:rPr>
      </w:pPr>
      <w:r>
        <w:rPr>
          <w:rFonts w:hint="eastAsia" w:ascii="仿宋" w:hAnsi="仿宋" w:eastAsia="仿宋" w:cs="楷体_GB2312"/>
          <w:bCs/>
          <w:kern w:val="0"/>
          <w:sz w:val="32"/>
          <w:szCs w:val="32"/>
          <w:shd w:val="clear" w:color="auto" w:fill="FFFFFF"/>
          <w:lang w:val="zh-CN"/>
        </w:rPr>
        <w:t>机构组成。</w:t>
      </w:r>
    </w:p>
    <w:p w14:paraId="5D139847">
      <w:pPr>
        <w:spacing w:line="600" w:lineRule="exact"/>
        <w:ind w:firstLine="800" w:firstLineChars="250"/>
        <w:rPr>
          <w:rFonts w:ascii="仿宋" w:hAnsi="仿宋" w:eastAsia="仿宋"/>
          <w:sz w:val="32"/>
          <w:szCs w:val="32"/>
        </w:rPr>
      </w:pPr>
      <w:r>
        <w:rPr>
          <w:rFonts w:hint="eastAsia" w:ascii="仿宋" w:hAnsi="仿宋" w:eastAsia="仿宋"/>
          <w:sz w:val="32"/>
          <w:szCs w:val="32"/>
        </w:rPr>
        <w:t>峨眉山市应急管理局下属二级预算单位5个，其中行政单位1个，参照公务员法管理的事业单位</w:t>
      </w:r>
      <w:r>
        <w:rPr>
          <w:rFonts w:hint="eastAsia" w:ascii="仿宋" w:hAnsi="仿宋" w:eastAsia="仿宋"/>
          <w:bCs/>
          <w:sz w:val="32"/>
          <w:szCs w:val="32"/>
        </w:rPr>
        <w:t>2</w:t>
      </w:r>
      <w:r>
        <w:rPr>
          <w:rFonts w:hint="eastAsia" w:ascii="仿宋" w:hAnsi="仿宋" w:eastAsia="仿宋"/>
          <w:sz w:val="32"/>
          <w:szCs w:val="32"/>
        </w:rPr>
        <w:t>个，其他事业单位2个。</w:t>
      </w:r>
    </w:p>
    <w:p w14:paraId="268C9CB3">
      <w:pPr>
        <w:pStyle w:val="2"/>
        <w:adjustRightInd w:val="0"/>
        <w:snapToGrid w:val="0"/>
        <w:spacing w:before="93" w:line="600" w:lineRule="exact"/>
        <w:ind w:firstLine="672" w:firstLineChars="210"/>
        <w:rPr>
          <w:rFonts w:ascii="仿宋" w:hAnsi="仿宋" w:eastAsia="仿宋"/>
          <w:sz w:val="32"/>
          <w:szCs w:val="32"/>
        </w:rPr>
      </w:pPr>
      <w:r>
        <w:rPr>
          <w:rFonts w:hint="eastAsia" w:ascii="仿宋" w:hAnsi="仿宋" w:eastAsia="仿宋"/>
          <w:sz w:val="32"/>
          <w:szCs w:val="32"/>
        </w:rPr>
        <w:t>纳入峨眉山市应急管理局2022年度部门决算编制范围的二级预算单位包括：</w:t>
      </w:r>
    </w:p>
    <w:p w14:paraId="4C515905">
      <w:pPr>
        <w:pStyle w:val="2"/>
        <w:adjustRightInd w:val="0"/>
        <w:snapToGrid w:val="0"/>
        <w:spacing w:before="93" w:line="600" w:lineRule="exact"/>
        <w:ind w:left="672"/>
        <w:outlineLvl w:val="2"/>
        <w:rPr>
          <w:rFonts w:ascii="仿宋" w:hAnsi="仿宋" w:eastAsia="仿宋"/>
          <w:sz w:val="32"/>
          <w:szCs w:val="32"/>
        </w:rPr>
      </w:pPr>
      <w:r>
        <w:rPr>
          <w:rFonts w:hint="eastAsia" w:ascii="仿宋" w:hAnsi="仿宋" w:eastAsia="仿宋"/>
          <w:sz w:val="32"/>
          <w:szCs w:val="32"/>
        </w:rPr>
        <w:t>1.峨眉山市应急管理局</w:t>
      </w:r>
    </w:p>
    <w:p w14:paraId="15AD57F2">
      <w:pPr>
        <w:pStyle w:val="2"/>
        <w:adjustRightInd w:val="0"/>
        <w:snapToGrid w:val="0"/>
        <w:spacing w:before="93" w:line="600" w:lineRule="exact"/>
        <w:ind w:left="672"/>
        <w:outlineLvl w:val="2"/>
        <w:rPr>
          <w:rFonts w:ascii="仿宋" w:hAnsi="仿宋" w:eastAsia="仿宋"/>
          <w:sz w:val="32"/>
          <w:szCs w:val="32"/>
        </w:rPr>
      </w:pPr>
      <w:r>
        <w:rPr>
          <w:rFonts w:hint="eastAsia" w:ascii="仿宋" w:hAnsi="仿宋" w:eastAsia="仿宋"/>
          <w:sz w:val="32"/>
          <w:szCs w:val="32"/>
        </w:rPr>
        <w:t>2.峨眉山市防震减灾服务中心</w:t>
      </w:r>
    </w:p>
    <w:p w14:paraId="23292290">
      <w:pPr>
        <w:widowControl/>
        <w:adjustRightInd w:val="0"/>
        <w:snapToGrid w:val="0"/>
        <w:spacing w:line="600" w:lineRule="exact"/>
        <w:ind w:firstLine="640" w:firstLineChars="200"/>
        <w:contextualSpacing/>
        <w:jc w:val="left"/>
        <w:rPr>
          <w:rFonts w:ascii="仿宋" w:hAnsi="仿宋" w:eastAsia="仿宋" w:cs="楷体_GB2312"/>
          <w:bCs/>
          <w:kern w:val="0"/>
          <w:sz w:val="32"/>
          <w:szCs w:val="32"/>
          <w:shd w:val="clear" w:color="auto" w:fill="FFFFFF"/>
          <w:lang w:val="zh-CN"/>
        </w:rPr>
      </w:pPr>
      <w:r>
        <w:rPr>
          <w:rFonts w:hint="eastAsia" w:ascii="仿宋" w:hAnsi="仿宋" w:eastAsia="仿宋" w:cs="楷体_GB2312"/>
          <w:bCs/>
          <w:kern w:val="0"/>
          <w:sz w:val="32"/>
          <w:szCs w:val="32"/>
          <w:shd w:val="clear" w:color="auto" w:fill="FFFFFF"/>
          <w:lang w:val="zh-CN"/>
        </w:rPr>
        <w:t>（二）机构职能和人员概况。</w:t>
      </w:r>
    </w:p>
    <w:p w14:paraId="7CDBED7F">
      <w:pPr>
        <w:spacing w:line="600" w:lineRule="exact"/>
        <w:ind w:firstLine="640" w:firstLineChars="200"/>
        <w:rPr>
          <w:rFonts w:ascii="仿宋" w:hAnsi="仿宋" w:eastAsia="仿宋"/>
          <w:color w:val="000000" w:themeColor="text1"/>
          <w:lang w:val="zh-CN"/>
          <w14:textFill>
            <w14:solidFill>
              <w14:schemeClr w14:val="tx1"/>
            </w14:solidFill>
          </w14:textFill>
        </w:rPr>
      </w:pPr>
      <w:r>
        <w:rPr>
          <w:rFonts w:hint="eastAsia" w:ascii="仿宋" w:hAnsi="仿宋" w:eastAsia="仿宋" w:cs="宋体"/>
          <w:kern w:val="0"/>
          <w:sz w:val="32"/>
          <w:szCs w:val="32"/>
        </w:rPr>
        <w:t>依法行使综合监督管理职责，指导协调、监督检查各</w:t>
      </w:r>
      <w:r>
        <w:rPr>
          <w:rFonts w:hint="eastAsia" w:ascii="仿宋" w:hAnsi="仿宋" w:eastAsia="仿宋" w:cs="宋体"/>
          <w:kern w:val="0"/>
          <w:sz w:val="32"/>
          <w:szCs w:val="32"/>
          <w:lang w:eastAsia="zh-CN"/>
        </w:rPr>
        <w:t>乡镇</w:t>
      </w:r>
      <w:r>
        <w:rPr>
          <w:rFonts w:hint="eastAsia" w:ascii="仿宋" w:hAnsi="仿宋" w:eastAsia="仿宋" w:cs="宋体"/>
          <w:kern w:val="0"/>
          <w:sz w:val="32"/>
          <w:szCs w:val="32"/>
        </w:rPr>
        <w:t>人民政府和市级有关部门安全生产工作，协调解决安全生产重大问题，监督考核并通报安全生产控制指标执行情况，监督事故查处和责任追究落实情况；承担煤矿、非煤矿山、危险化学品和烟花爆竹行业安全生产监管和煤炭行业管理职责；开展应急管理和安全方面的交流与合作，组织参与安全生产类、自然灾害类等突发事件的跨区域救援工作；制定</w:t>
      </w:r>
      <w:r>
        <w:rPr>
          <w:rFonts w:hint="eastAsia" w:ascii="仿宋" w:hAnsi="仿宋" w:eastAsia="仿宋" w:cs="宋体"/>
          <w:kern w:val="0"/>
          <w:sz w:val="32"/>
          <w:szCs w:val="32"/>
          <w:lang w:eastAsia="zh-CN"/>
        </w:rPr>
        <w:t>应急物资</w:t>
      </w:r>
      <w:r>
        <w:rPr>
          <w:rFonts w:hint="eastAsia" w:ascii="仿宋" w:hAnsi="仿宋" w:eastAsia="仿宋" w:cs="宋体"/>
          <w:kern w:val="0"/>
          <w:sz w:val="32"/>
          <w:szCs w:val="32"/>
        </w:rPr>
        <w:t>储备和应急救援装备规划并组织实施，会同有关部门建立健全</w:t>
      </w:r>
      <w:r>
        <w:rPr>
          <w:rFonts w:hint="eastAsia" w:ascii="仿宋" w:hAnsi="仿宋" w:eastAsia="仿宋" w:cs="宋体"/>
          <w:kern w:val="0"/>
          <w:sz w:val="32"/>
          <w:szCs w:val="32"/>
          <w:lang w:eastAsia="zh-CN"/>
        </w:rPr>
        <w:t>应急物资</w:t>
      </w:r>
      <w:r>
        <w:rPr>
          <w:rFonts w:hint="eastAsia" w:ascii="仿宋" w:hAnsi="仿宋" w:eastAsia="仿宋" w:cs="宋体"/>
          <w:kern w:val="0"/>
          <w:sz w:val="32"/>
          <w:szCs w:val="32"/>
        </w:rPr>
        <w:t>信息平台和调拨制度，在救灾时统一调度；负责应急管理、安全生产宣传教育和培训共同工作，组织和指导应急管理、安全生产的科学技术研究、推广应用和信息化建设工作；</w:t>
      </w:r>
      <w:r>
        <w:rPr>
          <w:rFonts w:hint="eastAsia" w:ascii="仿宋" w:hAnsi="仿宋" w:eastAsia="仿宋"/>
          <w:sz w:val="32"/>
        </w:rPr>
        <w:t>贯彻国务院、四川省和乐山市有关防震减灾工作的方针、政策和法规；制定本行政区域内防震减灾事业中、长期发展规划，编制防震减灾工作年度计划并组织实施；会同有关部门制定地震应急预案，负责本行政区域内的震情通报和地震灾害速报，配合上级部门进行震后趋势判断和地震灾害损失评估，参与制定地震灾区的重建规划；按照有关规定监督、管理本行政区域内工程建设项目的抗震设防标准和工程建设场地地震安全性评价工作；会同有关部门开展防震减灾宣传教育工作，普及防震减灾知识，提高全社会的防震减灾意识；并按照有关规定审核防震减灾宣传报道；承担市人民政府防震减灾工作领导机构的日常工作。</w:t>
      </w:r>
      <w:r>
        <w:rPr>
          <w:rFonts w:hint="eastAsia" w:ascii="仿宋" w:hAnsi="仿宋" w:eastAsia="仿宋" w:cs="宋体"/>
          <w:kern w:val="0"/>
          <w:sz w:val="32"/>
          <w:szCs w:val="32"/>
        </w:rPr>
        <w:t>完成市委、市政府交办的</w:t>
      </w:r>
      <w:r>
        <w:rPr>
          <w:rFonts w:hint="eastAsia" w:ascii="仿宋" w:hAnsi="仿宋" w:eastAsia="仿宋" w:cs="宋体"/>
          <w:kern w:val="0"/>
          <w:sz w:val="32"/>
          <w:szCs w:val="32"/>
          <w:lang w:eastAsia="zh-CN"/>
        </w:rPr>
        <w:t>其他</w:t>
      </w:r>
      <w:r>
        <w:rPr>
          <w:rFonts w:hint="eastAsia" w:ascii="仿宋" w:hAnsi="仿宋" w:eastAsia="仿宋" w:cs="宋体"/>
          <w:kern w:val="0"/>
          <w:sz w:val="32"/>
          <w:szCs w:val="32"/>
        </w:rPr>
        <w:t>工作。</w:t>
      </w:r>
      <w:r>
        <w:rPr>
          <w:rFonts w:hint="eastAsia" w:ascii="仿宋" w:hAnsi="仿宋" w:eastAsia="仿宋"/>
          <w:color w:val="000000" w:themeColor="text1"/>
          <w:sz w:val="32"/>
          <w14:textFill>
            <w14:solidFill>
              <w14:schemeClr w14:val="tx1"/>
            </w14:solidFill>
          </w14:textFill>
        </w:rPr>
        <w:t>2022年年末峨眉山市应急管理局部门行政人员17名，机关工勤人员1名，参照公务法管理16名，事业人员14名。</w:t>
      </w:r>
    </w:p>
    <w:p w14:paraId="3EA6FA1C">
      <w:pPr>
        <w:pStyle w:val="26"/>
        <w:widowControl/>
        <w:numPr>
          <w:ilvl w:val="0"/>
          <w:numId w:val="8"/>
        </w:numPr>
        <w:adjustRightInd w:val="0"/>
        <w:snapToGrid w:val="0"/>
        <w:spacing w:line="560" w:lineRule="exact"/>
        <w:ind w:firstLineChars="0"/>
        <w:contextualSpacing/>
        <w:jc w:val="left"/>
        <w:rPr>
          <w:rFonts w:ascii="仿宋" w:hAnsi="仿宋" w:eastAsia="仿宋" w:cs="楷体_GB2312"/>
          <w:bCs/>
          <w:kern w:val="0"/>
          <w:sz w:val="32"/>
          <w:szCs w:val="32"/>
          <w:shd w:val="clear" w:color="auto" w:fill="FFFFFF"/>
          <w:lang w:val="zh-CN"/>
        </w:rPr>
      </w:pPr>
      <w:r>
        <w:rPr>
          <w:rFonts w:hint="eastAsia" w:ascii="仿宋" w:hAnsi="仿宋" w:eastAsia="仿宋" w:cs="楷体_GB2312"/>
          <w:bCs/>
          <w:kern w:val="0"/>
          <w:sz w:val="32"/>
          <w:szCs w:val="32"/>
          <w:shd w:val="clear" w:color="auto" w:fill="FFFFFF"/>
          <w:lang w:val="zh-CN"/>
        </w:rPr>
        <w:t>年度主要工作任务。</w:t>
      </w:r>
    </w:p>
    <w:p w14:paraId="61D07AEC">
      <w:pPr>
        <w:spacing w:line="600" w:lineRule="exact"/>
        <w:ind w:left="630"/>
        <w:rPr>
          <w:rFonts w:ascii="仿宋" w:hAnsi="仿宋" w:eastAsia="仿宋" w:cs="楷体_GB2312"/>
          <w:sz w:val="32"/>
          <w:szCs w:val="32"/>
        </w:rPr>
      </w:pPr>
      <w:r>
        <w:rPr>
          <w:rFonts w:hint="eastAsia" w:ascii="仿宋" w:hAnsi="仿宋" w:eastAsia="仿宋" w:cs="楷体_GB2312"/>
          <w:sz w:val="32"/>
          <w:szCs w:val="32"/>
        </w:rPr>
        <w:t>1、党建工作</w:t>
      </w:r>
    </w:p>
    <w:p w14:paraId="18D2A844">
      <w:pPr>
        <w:pStyle w:val="34"/>
        <w:spacing w:line="600" w:lineRule="exact"/>
        <w:ind w:firstLine="640" w:firstLineChars="200"/>
        <w:rPr>
          <w:rFonts w:ascii="仿宋" w:hAnsi="仿宋" w:eastAsia="仿宋" w:cs="仿宋_GB2312"/>
        </w:rPr>
      </w:pPr>
      <w:r>
        <w:rPr>
          <w:rFonts w:hint="eastAsia" w:ascii="仿宋" w:hAnsi="仿宋" w:eastAsia="仿宋" w:cs="仿宋_GB2312"/>
        </w:rPr>
        <w:t>峨眉山市应急管理局持续深入学习贯彻党的二十大精神、四川省第十二次党代会精神、习近平总书记关于安全生产工作的重要论述、习近平总书记关于防灾减灾救</w:t>
      </w:r>
      <w:r>
        <w:rPr>
          <w:rFonts w:hint="eastAsia" w:ascii="仿宋" w:hAnsi="仿宋" w:eastAsia="仿宋" w:cs="仿宋_GB2312"/>
          <w:lang w:eastAsia="zh-CN"/>
        </w:rPr>
        <w:t>灾的</w:t>
      </w:r>
      <w:r>
        <w:rPr>
          <w:rFonts w:hint="eastAsia" w:ascii="仿宋" w:hAnsi="仿宋" w:eastAsia="仿宋" w:cs="仿宋_GB2312"/>
        </w:rPr>
        <w:t>重要指示精神等，全面落实国家、省、乐山市、峨眉山市关于安全生产、抗震救灾、防灾减灾救灾、森林防灭火工作安排部署。</w:t>
      </w:r>
    </w:p>
    <w:p w14:paraId="7E4755EB">
      <w:pPr>
        <w:spacing w:line="600" w:lineRule="exact"/>
        <w:ind w:firstLine="640" w:firstLineChars="200"/>
        <w:rPr>
          <w:rFonts w:ascii="仿宋" w:hAnsi="仿宋" w:eastAsia="仿宋" w:cs="楷体_GB2312"/>
          <w:sz w:val="32"/>
          <w:szCs w:val="32"/>
        </w:rPr>
      </w:pPr>
      <w:r>
        <w:rPr>
          <w:rFonts w:hint="eastAsia" w:ascii="仿宋" w:hAnsi="仿宋" w:eastAsia="仿宋" w:cs="楷体_GB2312"/>
          <w:sz w:val="32"/>
          <w:szCs w:val="32"/>
        </w:rPr>
        <w:t>2、安全生产工作</w:t>
      </w:r>
    </w:p>
    <w:p w14:paraId="7CE2FB8B">
      <w:pPr>
        <w:spacing w:line="600" w:lineRule="exact"/>
        <w:ind w:firstLine="640" w:firstLineChars="200"/>
        <w:rPr>
          <w:rFonts w:ascii="仿宋" w:hAnsi="仿宋" w:eastAsia="仿宋" w:cs="宋体"/>
          <w:kern w:val="0"/>
          <w:sz w:val="32"/>
          <w:szCs w:val="32"/>
        </w:rPr>
      </w:pPr>
      <w:r>
        <w:rPr>
          <w:rFonts w:ascii="仿宋" w:hAnsi="仿宋" w:eastAsia="仿宋" w:cs="宋体"/>
          <w:kern w:val="0"/>
          <w:sz w:val="32"/>
          <w:szCs w:val="32"/>
        </w:rPr>
        <w:t>将</w:t>
      </w:r>
      <w:r>
        <w:rPr>
          <w:rFonts w:hint="eastAsia" w:ascii="仿宋" w:hAnsi="仿宋" w:eastAsia="仿宋" w:cs="宋体"/>
          <w:kern w:val="0"/>
          <w:sz w:val="32"/>
          <w:szCs w:val="32"/>
        </w:rPr>
        <w:t>危险化学品、非煤矿山、道路运输等安全生产专项整治</w:t>
      </w:r>
      <w:r>
        <w:rPr>
          <w:rFonts w:ascii="仿宋" w:hAnsi="仿宋" w:eastAsia="仿宋" w:cs="宋体"/>
          <w:kern w:val="0"/>
          <w:sz w:val="32"/>
          <w:szCs w:val="32"/>
        </w:rPr>
        <w:t>任务细化成具体工作，</w:t>
      </w:r>
      <w:r>
        <w:rPr>
          <w:rFonts w:hint="eastAsia" w:ascii="仿宋" w:hAnsi="仿宋" w:eastAsia="仿宋" w:cs="宋体"/>
          <w:kern w:val="0"/>
          <w:sz w:val="32"/>
          <w:szCs w:val="32"/>
        </w:rPr>
        <w:t>明确</w:t>
      </w:r>
      <w:r>
        <w:rPr>
          <w:rFonts w:ascii="仿宋" w:hAnsi="仿宋" w:eastAsia="仿宋" w:cs="宋体"/>
          <w:kern w:val="0"/>
          <w:sz w:val="32"/>
          <w:szCs w:val="32"/>
        </w:rPr>
        <w:t>了</w:t>
      </w:r>
      <w:r>
        <w:rPr>
          <w:rFonts w:hint="eastAsia" w:ascii="仿宋" w:hAnsi="仿宋" w:eastAsia="仿宋" w:cs="宋体"/>
          <w:kern w:val="0"/>
          <w:sz w:val="32"/>
          <w:szCs w:val="32"/>
        </w:rPr>
        <w:t>相关</w:t>
      </w:r>
      <w:r>
        <w:rPr>
          <w:rFonts w:hint="eastAsia" w:ascii="仿宋" w:hAnsi="仿宋" w:eastAsia="仿宋" w:cs="宋体"/>
          <w:kern w:val="0"/>
          <w:sz w:val="32"/>
          <w:szCs w:val="32"/>
          <w:lang w:eastAsia="zh-CN"/>
        </w:rPr>
        <w:t>各部门</w:t>
      </w:r>
      <w:r>
        <w:rPr>
          <w:rFonts w:ascii="仿宋" w:hAnsi="仿宋" w:eastAsia="仿宋" w:cs="宋体"/>
          <w:kern w:val="0"/>
          <w:sz w:val="32"/>
          <w:szCs w:val="32"/>
        </w:rPr>
        <w:t>（单位）和属地</w:t>
      </w:r>
      <w:r>
        <w:rPr>
          <w:rFonts w:hint="eastAsia" w:ascii="仿宋" w:hAnsi="仿宋" w:eastAsia="仿宋" w:cs="宋体"/>
          <w:kern w:val="0"/>
          <w:sz w:val="32"/>
          <w:szCs w:val="32"/>
        </w:rPr>
        <w:t>乡镇（街道）</w:t>
      </w:r>
      <w:r>
        <w:rPr>
          <w:rFonts w:ascii="仿宋" w:hAnsi="仿宋" w:eastAsia="仿宋" w:cs="宋体"/>
          <w:kern w:val="0"/>
          <w:sz w:val="32"/>
          <w:szCs w:val="32"/>
        </w:rPr>
        <w:t>的工作职责</w:t>
      </w:r>
      <w:r>
        <w:rPr>
          <w:rFonts w:hint="eastAsia" w:ascii="仿宋" w:hAnsi="仿宋" w:eastAsia="仿宋" w:cs="宋体"/>
          <w:kern w:val="0"/>
          <w:sz w:val="32"/>
          <w:szCs w:val="32"/>
        </w:rPr>
        <w:t>，</w:t>
      </w:r>
      <w:r>
        <w:rPr>
          <w:rFonts w:ascii="仿宋" w:hAnsi="仿宋" w:eastAsia="仿宋" w:cs="宋体"/>
          <w:kern w:val="0"/>
          <w:sz w:val="32"/>
          <w:szCs w:val="32"/>
        </w:rPr>
        <w:t>构建</w:t>
      </w:r>
      <w:r>
        <w:rPr>
          <w:rFonts w:hint="eastAsia" w:ascii="仿宋" w:hAnsi="仿宋" w:eastAsia="仿宋" w:cs="宋体"/>
          <w:kern w:val="0"/>
          <w:sz w:val="32"/>
          <w:szCs w:val="32"/>
        </w:rPr>
        <w:t>了</w:t>
      </w:r>
      <w:r>
        <w:rPr>
          <w:rFonts w:ascii="仿宋" w:hAnsi="仿宋" w:eastAsia="仿宋" w:cs="宋体"/>
          <w:kern w:val="0"/>
          <w:sz w:val="32"/>
          <w:szCs w:val="32"/>
        </w:rPr>
        <w:t>“照单履职、</w:t>
      </w:r>
      <w:r>
        <w:rPr>
          <w:rFonts w:hint="eastAsia" w:ascii="仿宋" w:hAnsi="仿宋" w:eastAsia="仿宋" w:cs="宋体"/>
          <w:kern w:val="0"/>
          <w:sz w:val="32"/>
          <w:szCs w:val="32"/>
        </w:rPr>
        <w:t>照单推进、</w:t>
      </w:r>
      <w:r>
        <w:rPr>
          <w:rFonts w:ascii="仿宋" w:hAnsi="仿宋" w:eastAsia="仿宋" w:cs="宋体"/>
          <w:kern w:val="0"/>
          <w:sz w:val="32"/>
          <w:szCs w:val="32"/>
        </w:rPr>
        <w:t>照单</w:t>
      </w:r>
      <w:r>
        <w:rPr>
          <w:rFonts w:hint="eastAsia" w:ascii="仿宋" w:hAnsi="仿宋" w:eastAsia="仿宋" w:cs="宋体"/>
          <w:kern w:val="0"/>
          <w:sz w:val="32"/>
          <w:szCs w:val="32"/>
        </w:rPr>
        <w:t>检查</w:t>
      </w:r>
      <w:r>
        <w:rPr>
          <w:rFonts w:ascii="仿宋" w:hAnsi="仿宋" w:eastAsia="仿宋" w:cs="宋体"/>
          <w:kern w:val="0"/>
          <w:sz w:val="32"/>
          <w:szCs w:val="32"/>
        </w:rPr>
        <w:t>、照单追责”的“清单式”</w:t>
      </w:r>
      <w:r>
        <w:rPr>
          <w:rFonts w:hint="eastAsia" w:ascii="仿宋" w:hAnsi="仿宋" w:eastAsia="仿宋" w:cs="宋体"/>
          <w:kern w:val="0"/>
          <w:sz w:val="32"/>
          <w:szCs w:val="32"/>
        </w:rPr>
        <w:t>任务</w:t>
      </w:r>
      <w:r>
        <w:rPr>
          <w:rFonts w:ascii="仿宋" w:hAnsi="仿宋" w:eastAsia="仿宋" w:cs="宋体"/>
          <w:kern w:val="0"/>
          <w:sz w:val="32"/>
          <w:szCs w:val="32"/>
        </w:rPr>
        <w:t>责任体系，</w:t>
      </w:r>
      <w:r>
        <w:rPr>
          <w:rFonts w:hint="eastAsia" w:ascii="仿宋" w:hAnsi="仿宋" w:eastAsia="仿宋" w:cs="宋体"/>
          <w:kern w:val="0"/>
          <w:sz w:val="32"/>
          <w:szCs w:val="32"/>
        </w:rPr>
        <w:t>打造了整治工作</w:t>
      </w:r>
      <w:r>
        <w:rPr>
          <w:rFonts w:ascii="仿宋" w:hAnsi="仿宋" w:eastAsia="仿宋" w:cs="宋体"/>
          <w:kern w:val="0"/>
          <w:sz w:val="32"/>
          <w:szCs w:val="32"/>
        </w:rPr>
        <w:t>责任共同体。</w:t>
      </w:r>
      <w:r>
        <w:rPr>
          <w:rFonts w:hint="eastAsia" w:ascii="仿宋" w:hAnsi="仿宋" w:eastAsia="仿宋" w:cs="宋体"/>
          <w:kern w:val="0"/>
          <w:sz w:val="32"/>
          <w:szCs w:val="32"/>
        </w:rPr>
        <w:t>二是强化跟</w:t>
      </w:r>
      <w:r>
        <w:rPr>
          <w:rFonts w:hint="eastAsia" w:ascii="仿宋" w:hAnsi="仿宋" w:eastAsia="仿宋" w:cs="微软雅黑"/>
          <w:kern w:val="0"/>
          <w:sz w:val="32"/>
          <w:szCs w:val="32"/>
        </w:rPr>
        <w:t>踪</w:t>
      </w:r>
      <w:r>
        <w:rPr>
          <w:rFonts w:hint="eastAsia" w:ascii="仿宋" w:hAnsi="仿宋" w:eastAsia="仿宋" w:cs="宋体"/>
          <w:kern w:val="0"/>
          <w:sz w:val="32"/>
          <w:szCs w:val="32"/>
        </w:rPr>
        <w:t>问效。将整治工作纳入年度目标考核体系，通过优化完善会商、调度、通报、考核等工作机制，充分调动各部门创建工作的积极性和主动性。同时，</w:t>
      </w:r>
      <w:r>
        <w:rPr>
          <w:rFonts w:ascii="仿宋" w:hAnsi="仿宋" w:eastAsia="仿宋" w:cs="宋体"/>
          <w:kern w:val="0"/>
          <w:sz w:val="32"/>
          <w:szCs w:val="32"/>
        </w:rPr>
        <w:t>全面推行安全生产“三张清单、一项承诺书”管理制度，</w:t>
      </w:r>
      <w:r>
        <w:rPr>
          <w:rFonts w:hint="eastAsia" w:ascii="仿宋" w:hAnsi="仿宋" w:eastAsia="仿宋" w:cs="宋体"/>
          <w:kern w:val="0"/>
          <w:sz w:val="32"/>
          <w:szCs w:val="32"/>
        </w:rPr>
        <w:t>运用</w:t>
      </w:r>
      <w:r>
        <w:rPr>
          <w:rFonts w:ascii="仿宋" w:hAnsi="仿宋" w:eastAsia="仿宋" w:cs="宋体"/>
          <w:kern w:val="0"/>
          <w:sz w:val="32"/>
          <w:szCs w:val="32"/>
        </w:rPr>
        <w:t>“两书一函”、考核巡查、警示约谈、挂牌督办、提级调查等手段，</w:t>
      </w:r>
      <w:r>
        <w:rPr>
          <w:rFonts w:hint="eastAsia" w:ascii="仿宋" w:hAnsi="仿宋" w:eastAsia="仿宋" w:cs="宋体"/>
          <w:kern w:val="0"/>
          <w:sz w:val="32"/>
          <w:szCs w:val="32"/>
        </w:rPr>
        <w:t>下发限期整改通知书、提醒敦促函共50份，压紧压实</w:t>
      </w:r>
      <w:r>
        <w:rPr>
          <w:rFonts w:ascii="仿宋" w:hAnsi="仿宋" w:eastAsia="仿宋" w:cs="宋体"/>
          <w:kern w:val="0"/>
          <w:sz w:val="32"/>
          <w:szCs w:val="32"/>
        </w:rPr>
        <w:t>乡镇（街道）、部门属地监管责任</w:t>
      </w:r>
      <w:r>
        <w:rPr>
          <w:rFonts w:hint="eastAsia" w:ascii="仿宋" w:hAnsi="仿宋" w:eastAsia="仿宋" w:cs="宋体"/>
          <w:kern w:val="0"/>
          <w:sz w:val="32"/>
          <w:szCs w:val="32"/>
        </w:rPr>
        <w:t>和</w:t>
      </w:r>
      <w:r>
        <w:rPr>
          <w:rFonts w:ascii="仿宋" w:hAnsi="仿宋" w:eastAsia="仿宋" w:cs="宋体"/>
          <w:kern w:val="0"/>
          <w:sz w:val="32"/>
          <w:szCs w:val="32"/>
        </w:rPr>
        <w:t>企业</w:t>
      </w:r>
      <w:r>
        <w:rPr>
          <w:rFonts w:hint="eastAsia" w:ascii="仿宋" w:hAnsi="仿宋" w:eastAsia="仿宋" w:cs="宋体"/>
          <w:kern w:val="0"/>
          <w:sz w:val="32"/>
          <w:szCs w:val="32"/>
        </w:rPr>
        <w:t>主体责任。市安委会印发《峨眉山市2022年安全生产大检查实施方案》《峨眉山市贯彻落实国务院安委会安全生产15条措施工作方案》，明确工作责任，细化工作措施，全面安排部署安全生产大检查工作。各乡镇（街道）、部门分别牵头负责，并迅速制定安全生产大检查工作方案，条块结合联动推进全市安全生产大检查，压紧压实安全生产责任。</w:t>
      </w:r>
    </w:p>
    <w:p w14:paraId="4A58940E">
      <w:pPr>
        <w:spacing w:line="60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安全社区复评和安全宣传“五进”工作。正在准备安全社区复评和安全宣传“五进”工作，接受乐山市安委会督导检查2次，为下一步迎接省上验收做好充分准备。以安全宣传“五进”（进企业、进农村、进社区、进学校、进家庭）示范点创建为抓手，不断创新方式方法、细化工作举措，着力建立健全公民安全教育体系，积极营造人人关注安全、重视安全、参与安全的良好氛围，切实筑牢防灾减灾救灾的人民防线。</w:t>
      </w:r>
    </w:p>
    <w:p w14:paraId="3D0868A6">
      <w:pPr>
        <w:spacing w:line="600" w:lineRule="exact"/>
        <w:ind w:firstLine="640" w:firstLineChars="200"/>
        <w:rPr>
          <w:rFonts w:ascii="仿宋" w:hAnsi="仿宋" w:eastAsia="仿宋"/>
        </w:rPr>
      </w:pPr>
      <w:r>
        <w:rPr>
          <w:rFonts w:hint="eastAsia" w:ascii="仿宋" w:hAnsi="仿宋" w:eastAsia="仿宋" w:cs="宋体"/>
          <w:kern w:val="0"/>
          <w:sz w:val="32"/>
          <w:szCs w:val="32"/>
        </w:rPr>
        <w:t>护安2022。三年行动的收官之年，圆满完成护安2022的安全生产工作，聚焦小水电、大货车、自建房、燃气、矿产品加工、非煤矿山、危化、道路交通、旅游、消防等重点领域，督促行业主管部门深入开展无死角、全覆盖安全生产大检查，认真排查治理各类安全生产隐患。目前，全市出动排查组5164个、检查人员14507人次，检查企事业单位955次，发现隐患问题2630条，整改2502条、整改中128条。未完成整改的隐患，均已采取责任、措施、资金、时限、预案“五落实”措施。严格落实“清单制”管理，强化重大安全隐患挂牌督办整治，确保刚性整改到位，做到闭环销号。挂牌整治重大安全隐患10条，已整改7条，整改中3条。市安委办督促行业部门聚焦重大安全风险隐患，敢于较真碰硬，严查违法违规行为。目前，全市已出动执法人员1874人次，检查企业920家次，下达执法文书423份，立案217起，吊销许可证2家，责令停产停业9家，行政处罚184万元。</w:t>
      </w:r>
    </w:p>
    <w:p w14:paraId="37F717A2">
      <w:pPr>
        <w:adjustRightInd w:val="0"/>
        <w:snapToGrid w:val="0"/>
        <w:spacing w:line="560" w:lineRule="exact"/>
        <w:ind w:left="630"/>
        <w:rPr>
          <w:rFonts w:ascii="仿宋" w:hAnsi="仿宋" w:eastAsia="仿宋" w:cs="楷体_GB2312"/>
          <w:bCs/>
          <w:snapToGrid w:val="0"/>
          <w:kern w:val="0"/>
          <w:sz w:val="32"/>
          <w:szCs w:val="32"/>
        </w:rPr>
      </w:pPr>
      <w:r>
        <w:rPr>
          <w:rFonts w:hint="eastAsia" w:ascii="仿宋" w:hAnsi="仿宋" w:eastAsia="仿宋" w:cs="楷体_GB2312"/>
          <w:bCs/>
          <w:snapToGrid w:val="0"/>
          <w:kern w:val="0"/>
          <w:sz w:val="32"/>
          <w:szCs w:val="32"/>
        </w:rPr>
        <w:t>3、应急管理工作</w:t>
      </w:r>
    </w:p>
    <w:p w14:paraId="78251116">
      <w:pPr>
        <w:adjustRightInd w:val="0"/>
        <w:snapToGrid w:val="0"/>
        <w:spacing w:line="600" w:lineRule="exact"/>
        <w:ind w:firstLine="640" w:firstLineChars="200"/>
        <w:rPr>
          <w:rFonts w:ascii="仿宋" w:hAnsi="仿宋" w:eastAsia="仿宋" w:cs="仿宋_GB2312"/>
          <w:sz w:val="32"/>
          <w:szCs w:val="32"/>
        </w:rPr>
      </w:pPr>
      <w:r>
        <w:rPr>
          <w:rFonts w:hint="eastAsia" w:ascii="仿宋" w:hAnsi="仿宋" w:eastAsia="仿宋" w:cs="宋体"/>
          <w:kern w:val="0"/>
          <w:sz w:val="32"/>
          <w:szCs w:val="32"/>
        </w:rPr>
        <w:t>调整完善和新增了涵盖市抗震救灾指挥部在内的峨眉山市应急委员会“1+22”指挥部职能职责，形成了我市“1+22N”突发事</w:t>
      </w:r>
      <w:r>
        <w:rPr>
          <w:rFonts w:hint="eastAsia" w:ascii="仿宋" w:hAnsi="仿宋" w:eastAsia="仿宋" w:cs="仿宋_GB2312"/>
          <w:bCs/>
          <w:snapToGrid w:val="0"/>
          <w:kern w:val="0"/>
          <w:sz w:val="32"/>
          <w:szCs w:val="32"/>
        </w:rPr>
        <w:t>件专项应急指挥体系，进一步加强、优化、统筹我市应急能力建设，推动形成统一指挥、专常兼备、反应灵敏、上下联动、平战结合的法治化指挥体系和应急机制。</w:t>
      </w:r>
      <w:r>
        <w:rPr>
          <w:rFonts w:hint="eastAsia" w:ascii="仿宋" w:hAnsi="仿宋" w:eastAsia="仿宋" w:cs="仿宋_GB2312"/>
          <w:sz w:val="32"/>
          <w:szCs w:val="32"/>
        </w:rPr>
        <w:t>建立完善会商机制，会同气象、水务、自然资源、农业农村、住建、交通、防震减灾、消防救援等相关单位定期对全市自然灾害风险隐患进行综合研判，发布会商情况通报，部署风险管控应对措施。加强应急值守，严格落实应急值班和领导带班制度，及时传达各类自然灾害预警预报，保障指挥部各项调度指令顺利传递，形成了有效的自然灾害防范机制。严格落实“三个避让”“三个紧急撤离”和防灾减灾“12个100%”要求，试点开展应急物资前置，保障</w:t>
      </w:r>
      <w:r>
        <w:rPr>
          <w:rFonts w:hint="eastAsia" w:ascii="仿宋" w:hAnsi="仿宋" w:eastAsia="仿宋" w:cs="仿宋_GB2312"/>
          <w:sz w:val="32"/>
          <w:szCs w:val="32"/>
          <w:lang w:eastAsia="zh-CN"/>
        </w:rPr>
        <w:t>乡镇通信</w:t>
      </w:r>
      <w:r>
        <w:rPr>
          <w:rFonts w:hint="eastAsia" w:ascii="仿宋" w:hAnsi="仿宋" w:eastAsia="仿宋" w:cs="仿宋_GB2312"/>
          <w:sz w:val="32"/>
          <w:szCs w:val="32"/>
        </w:rPr>
        <w:t>、防汛和救灾物资储备。</w:t>
      </w:r>
      <w:r>
        <w:rPr>
          <w:rFonts w:hint="eastAsia" w:ascii="仿宋" w:hAnsi="仿宋" w:eastAsia="仿宋" w:cs="仿宋_GB2312"/>
          <w:bCs/>
          <w:snapToGrid w:val="0"/>
          <w:kern w:val="0"/>
          <w:sz w:val="32"/>
          <w:szCs w:val="32"/>
        </w:rPr>
        <w:t>组织修订完善乡镇（街道）地震应急预案和部门预案，其中乡镇（街道）已全部完成修订；峨眉山市抗震救灾专项预案已完成编制；组织13个乡镇（街道）、15个重点部门开展峨眉山市重特大地震救援行动方案编制工作。</w:t>
      </w:r>
      <w:r>
        <w:rPr>
          <w:rFonts w:hint="eastAsia" w:ascii="仿宋" w:hAnsi="仿宋" w:eastAsia="仿宋" w:cs="仿宋_GB2312"/>
          <w:sz w:val="32"/>
          <w:szCs w:val="32"/>
        </w:rPr>
        <w:t>提高区域应急联动保障能力，投入资金</w:t>
      </w:r>
      <w:r>
        <w:rPr>
          <w:rFonts w:hint="eastAsia" w:ascii="仿宋" w:hAnsi="仿宋" w:eastAsia="仿宋" w:cs="仿宋_GB2312"/>
          <w:kern w:val="0"/>
          <w:sz w:val="32"/>
          <w:szCs w:val="32"/>
        </w:rPr>
        <w:t>60</w:t>
      </w:r>
      <w:r>
        <w:rPr>
          <w:rFonts w:hint="eastAsia" w:ascii="仿宋" w:hAnsi="仿宋" w:eastAsia="仿宋" w:cs="仿宋_GB2312"/>
          <w:sz w:val="32"/>
          <w:szCs w:val="32"/>
        </w:rPr>
        <w:t>万元，采购消防车、救援装备物资等，提升消防大队等应急队伍装备水平。</w:t>
      </w:r>
      <w:r>
        <w:rPr>
          <w:rFonts w:hint="eastAsia" w:ascii="仿宋" w:hAnsi="仿宋" w:eastAsia="仿宋" w:cs="仿宋_GB2312"/>
          <w:bCs/>
          <w:snapToGrid w:val="0"/>
          <w:kern w:val="0"/>
          <w:sz w:val="32"/>
          <w:szCs w:val="32"/>
        </w:rPr>
        <w:t>推进县乡村三级应急队伍体系建设，建立专职消防队 69人、危化应急互助队 25人、森林专业扑火队 50人的县级队伍。建成13支乡镇（街道）应急分队468人，154个村（社区）应急小队1947人的乡村队伍，并挂牌。并组建防灾减灾网格员1534名。</w:t>
      </w:r>
      <w:r>
        <w:rPr>
          <w:rFonts w:hint="eastAsia" w:ascii="仿宋" w:hAnsi="仿宋" w:eastAsia="仿宋" w:cs="仿宋_GB2312"/>
          <w:sz w:val="32"/>
          <w:szCs w:val="32"/>
        </w:rPr>
        <w:t>全市组织各类应急演练636次，参演人数13.48万人，</w:t>
      </w:r>
      <w:r>
        <w:rPr>
          <w:rFonts w:hint="eastAsia" w:ascii="仿宋" w:hAnsi="仿宋" w:eastAsia="仿宋" w:cs="仿宋_GB2312"/>
          <w:bCs/>
          <w:snapToGrid w:val="0"/>
          <w:kern w:val="0"/>
          <w:sz w:val="32"/>
          <w:szCs w:val="32"/>
        </w:rPr>
        <w:t>提高基层应急队伍先期处置能力和实战操作能力；</w:t>
      </w:r>
      <w:r>
        <w:rPr>
          <w:rFonts w:hint="eastAsia" w:ascii="仿宋" w:hAnsi="仿宋" w:eastAsia="仿宋" w:cs="仿宋_GB2312"/>
          <w:sz w:val="32"/>
          <w:szCs w:val="32"/>
        </w:rPr>
        <w:t>开展146场次防灾减灾救灾宣传活动，发放宣传资料20000余份。建立完善会商机制，会同气象、水务、自然资源、农业农村、住建、交通、防震减灾、消防救援等相关单位定期对全市自然灾害风险隐患进行综合研判，发布会商情况通报，部署风险管控应对措施。加强应急值守，严格落实应急值班和领导带班制度，及时传达各类自然灾害预警预报，保障指挥部各项调度指令顺利传递，形成了有效的自然灾害防范机制。</w:t>
      </w:r>
    </w:p>
    <w:p w14:paraId="7317CF92">
      <w:pPr>
        <w:pStyle w:val="35"/>
        <w:spacing w:line="600" w:lineRule="exact"/>
        <w:ind w:left="420" w:leftChars="200" w:firstLine="0" w:firstLineChars="0"/>
        <w:rPr>
          <w:rFonts w:ascii="仿宋" w:hAnsi="仿宋" w:eastAsia="仿宋" w:cs="楷体_GB2312"/>
          <w:szCs w:val="32"/>
        </w:rPr>
      </w:pPr>
      <w:r>
        <w:rPr>
          <w:rFonts w:hint="eastAsia" w:ascii="仿宋" w:hAnsi="仿宋" w:eastAsia="仿宋" w:cs="楷体_GB2312"/>
          <w:szCs w:val="32"/>
        </w:rPr>
        <w:t>4、自然灾害风险普查工作</w:t>
      </w:r>
    </w:p>
    <w:p w14:paraId="33A88CEE">
      <w:pPr>
        <w:pStyle w:val="35"/>
        <w:spacing w:line="600" w:lineRule="exact"/>
        <w:ind w:firstLine="640"/>
        <w:rPr>
          <w:rFonts w:ascii="仿宋" w:hAnsi="仿宋" w:eastAsia="仿宋" w:cs="仿宋_GB2312"/>
          <w:szCs w:val="32"/>
        </w:rPr>
      </w:pPr>
      <w:r>
        <w:rPr>
          <w:rFonts w:hint="eastAsia" w:ascii="仿宋" w:hAnsi="仿宋" w:eastAsia="仿宋" w:cs="仿宋_GB2312"/>
          <w:szCs w:val="32"/>
        </w:rPr>
        <w:t>在第一次全国自然灾害综合风险普查工作中，峨眉山市按照上级要求高质量完成了地震灾害、地质灾害、森林火灾、水旱灾害、气象灾害、房屋建筑和市政设施、公路设施、桥梁、承灾体、减灾能力、年度历史自然灾害、重大历史灾害等调查和数据录入工作。摸清了我市自然灾害风险隐患底数，查明了重点区域减灾能力，为有效开展自然灾害防治和应急管理工作提供权威的自然灾害风险信息和科学决策依据。</w:t>
      </w:r>
    </w:p>
    <w:p w14:paraId="12194268">
      <w:pPr>
        <w:pStyle w:val="35"/>
        <w:spacing w:line="600" w:lineRule="exact"/>
        <w:ind w:left="420" w:leftChars="200" w:firstLine="0" w:firstLineChars="0"/>
        <w:rPr>
          <w:rFonts w:ascii="仿宋" w:hAnsi="仿宋" w:eastAsia="仿宋" w:cs="楷体_GB2312"/>
          <w:szCs w:val="32"/>
        </w:rPr>
      </w:pPr>
      <w:r>
        <w:rPr>
          <w:rFonts w:hint="eastAsia" w:ascii="仿宋" w:hAnsi="仿宋" w:eastAsia="仿宋" w:cs="楷体_GB2312"/>
          <w:szCs w:val="32"/>
        </w:rPr>
        <w:t>5、森林防灭火工作</w:t>
      </w:r>
    </w:p>
    <w:p w14:paraId="4F5B1445">
      <w:pPr>
        <w:spacing w:line="60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峨眉山市按照“上下基本对应”要求，将指挥部办公室调整到应急管理局，对市自然资源局、市经信局、市公安局等成员单位的工作职能进行了部分调整；增加共青团市委为森防指成员单位，基本形成了森防指及其办公室“牵头抓总”，23个成员单位各司其职、协同配合的工作格局，持续完善森林防灭火指挥体系建设。全市所有乡镇（街道）、有林区的行政村（社区）落实包保责任人共115人，其中县级领导13人、乡镇级领导102人；30个重点目标（设施）和683名痴聋呆傻哑等7类重点人群落实713名监管责任人，组织签订责任清单和承诺书866份。2022年1-11月，全市未发生森林火灾。</w:t>
      </w:r>
    </w:p>
    <w:p w14:paraId="1C85F4FC">
      <w:pPr>
        <w:pStyle w:val="35"/>
        <w:spacing w:line="600" w:lineRule="exact"/>
        <w:ind w:left="420" w:leftChars="200" w:firstLine="0" w:firstLineChars="0"/>
        <w:rPr>
          <w:rFonts w:ascii="仿宋" w:hAnsi="仿宋" w:eastAsia="仿宋" w:cs="楷体_GB2312"/>
          <w:szCs w:val="32"/>
        </w:rPr>
      </w:pPr>
      <w:r>
        <w:rPr>
          <w:rFonts w:hint="eastAsia" w:ascii="仿宋" w:hAnsi="仿宋" w:eastAsia="仿宋" w:cs="楷体_GB2312"/>
          <w:szCs w:val="32"/>
        </w:rPr>
        <w:t>6、省级安全发展示范城市创建工作</w:t>
      </w:r>
    </w:p>
    <w:p w14:paraId="4C97B63C">
      <w:pPr>
        <w:spacing w:line="60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峨眉山市投资1500万元开展以清单制管理推进安全发展示范城市建设工作，进行城市安全风险、城市应急管理能力评估。新建峨眉山市景城一体应急指挥中心，实现省、市、县、乡、村应急物资和监测预警数据共建共享，构建“纵向指挥到底，横向调度到边”的指挥调度全域格局。并依托指挥中心建成城市安全清单制管理信息化系统，完善城市应急管理综合应用平台。经过资料审查、点位核查及综合评议，峨眉山市省级安全发展示范城市创建工作得到了省、乐山市领导的充分肯定，我市将对评议工作中</w:t>
      </w:r>
      <w:r>
        <w:rPr>
          <w:rFonts w:hint="eastAsia" w:ascii="仿宋" w:hAnsi="仿宋" w:eastAsia="仿宋" w:cs="宋体"/>
          <w:kern w:val="0"/>
          <w:sz w:val="32"/>
          <w:szCs w:val="32"/>
          <w:lang w:eastAsia="zh-CN"/>
        </w:rPr>
        <w:t>指出</w:t>
      </w:r>
      <w:r>
        <w:rPr>
          <w:rFonts w:hint="eastAsia" w:ascii="仿宋" w:hAnsi="仿宋" w:eastAsia="仿宋" w:cs="宋体"/>
          <w:kern w:val="0"/>
          <w:sz w:val="32"/>
          <w:szCs w:val="32"/>
        </w:rPr>
        <w:t>的问题及时整改，进一步提升城市安全管理水平，高质量完成创建工作。</w:t>
      </w:r>
    </w:p>
    <w:p w14:paraId="4731AAEB">
      <w:pPr>
        <w:pStyle w:val="26"/>
        <w:widowControl/>
        <w:numPr>
          <w:ilvl w:val="0"/>
          <w:numId w:val="8"/>
        </w:numPr>
        <w:adjustRightInd w:val="0"/>
        <w:snapToGrid w:val="0"/>
        <w:spacing w:line="560" w:lineRule="exact"/>
        <w:ind w:firstLineChars="0"/>
        <w:contextualSpacing/>
        <w:jc w:val="left"/>
        <w:rPr>
          <w:rFonts w:ascii="楷体_GB2312" w:hAnsi="楷体_GB2312" w:eastAsia="楷体_GB2312" w:cs="楷体_GB2312"/>
          <w:bCs/>
          <w:kern w:val="0"/>
          <w:sz w:val="32"/>
          <w:szCs w:val="32"/>
          <w:shd w:val="clear" w:color="auto" w:fill="FFFFFF"/>
          <w:lang w:val="zh-CN"/>
        </w:rPr>
      </w:pPr>
      <w:r>
        <w:rPr>
          <w:rFonts w:hint="eastAsia" w:ascii="仿宋" w:hAnsi="仿宋" w:eastAsia="仿宋" w:cs="楷体_GB2312"/>
          <w:bCs/>
          <w:kern w:val="0"/>
          <w:sz w:val="32"/>
          <w:szCs w:val="32"/>
          <w:shd w:val="clear" w:color="auto" w:fill="FFFFFF"/>
          <w:lang w:val="zh-CN"/>
        </w:rPr>
        <w:t>部门整体支出绩效目标</w:t>
      </w:r>
      <w:r>
        <w:rPr>
          <w:rFonts w:hint="eastAsia" w:ascii="微软雅黑" w:hAnsi="微软雅黑" w:eastAsia="微软雅黑" w:cs="微软雅黑"/>
          <w:bCs/>
          <w:kern w:val="0"/>
          <w:sz w:val="32"/>
          <w:szCs w:val="32"/>
          <w:shd w:val="clear" w:color="auto" w:fill="FFFFFF"/>
          <w:lang w:val="zh-CN"/>
        </w:rPr>
        <w:t>。</w:t>
      </w:r>
    </w:p>
    <w:p w14:paraId="6DA6CB23">
      <w:pPr>
        <w:pStyle w:val="2"/>
        <w:spacing w:before="93" w:line="600" w:lineRule="exact"/>
        <w:ind w:firstLine="640" w:firstLineChars="200"/>
        <w:rPr>
          <w:rFonts w:hint="eastAsia"/>
          <w:highlight w:val="yellow"/>
          <w:lang w:val="zh-CN"/>
        </w:rPr>
      </w:pPr>
      <w:r>
        <w:rPr>
          <w:rFonts w:hint="eastAsia" w:ascii="仿宋" w:hAnsi="仿宋" w:eastAsia="仿宋"/>
          <w:sz w:val="32"/>
          <w:szCs w:val="32"/>
          <w:lang w:val="zh-CN"/>
        </w:rPr>
        <w:t>进一步加强项目支出执行前、中、后绩效情况，进一步强化绩效目标量化、细化填报工作，合理安排预算。</w:t>
      </w:r>
    </w:p>
    <w:p w14:paraId="75D6FB5B">
      <w:pPr>
        <w:pStyle w:val="13"/>
        <w:ind w:left="420" w:firstLine="0" w:firstLineChars="0"/>
        <w:rPr>
          <w:lang w:val="zh-CN"/>
        </w:rPr>
      </w:pPr>
    </w:p>
    <w:p w14:paraId="738D8CD1">
      <w:pPr>
        <w:widowControl/>
        <w:adjustRightInd w:val="0"/>
        <w:snapToGrid w:val="0"/>
        <w:spacing w:line="560" w:lineRule="exact"/>
        <w:ind w:firstLine="643" w:firstLineChars="200"/>
        <w:contextualSpacing/>
        <w:jc w:val="left"/>
        <w:rPr>
          <w:rFonts w:ascii="黑体" w:hAnsi="黑体" w:eastAsia="黑体" w:cs="宋体"/>
          <w:b/>
          <w:kern w:val="0"/>
          <w:sz w:val="32"/>
          <w:szCs w:val="32"/>
          <w:shd w:val="clear" w:color="auto" w:fill="FFFFFF"/>
        </w:rPr>
      </w:pPr>
      <w:r>
        <w:rPr>
          <w:rFonts w:hint="eastAsia" w:ascii="黑体" w:hAnsi="黑体" w:eastAsia="黑体" w:cs="宋体"/>
          <w:b/>
          <w:kern w:val="0"/>
          <w:sz w:val="32"/>
          <w:szCs w:val="32"/>
          <w:shd w:val="clear" w:color="auto" w:fill="FFFFFF"/>
        </w:rPr>
        <w:t>二、部门资金收支情况。</w:t>
      </w:r>
    </w:p>
    <w:p w14:paraId="0AAFD374">
      <w:pPr>
        <w:widowControl/>
        <w:adjustRightInd w:val="0"/>
        <w:snapToGrid w:val="0"/>
        <w:spacing w:line="560" w:lineRule="exact"/>
        <w:ind w:firstLine="643" w:firstLineChars="200"/>
        <w:contextualSpacing/>
        <w:jc w:val="left"/>
        <w:rPr>
          <w:rFonts w:ascii="仿宋" w:hAnsi="仿宋" w:eastAsia="仿宋" w:cs="楷体_GB2312"/>
          <w:bCs/>
          <w:kern w:val="0"/>
          <w:sz w:val="32"/>
          <w:szCs w:val="32"/>
          <w:shd w:val="clear" w:color="auto" w:fill="FFFFFF"/>
          <w:lang w:val="zh-CN"/>
        </w:rPr>
      </w:pPr>
      <w:r>
        <w:rPr>
          <w:rFonts w:hint="eastAsia" w:ascii="仿宋" w:hAnsi="仿宋" w:eastAsia="仿宋" w:cs="楷体_GB2312"/>
          <w:b/>
          <w:bCs/>
          <w:kern w:val="0"/>
          <w:sz w:val="32"/>
          <w:szCs w:val="32"/>
          <w:shd w:val="clear" w:color="auto" w:fill="FFFFFF"/>
          <w:lang w:val="zh-CN"/>
        </w:rPr>
        <w:t>（一）</w:t>
      </w:r>
      <w:r>
        <w:rPr>
          <w:rFonts w:hint="eastAsia" w:ascii="微软雅黑" w:hAnsi="微软雅黑" w:eastAsia="微软雅黑" w:cs="微软雅黑"/>
          <w:bCs/>
          <w:kern w:val="0"/>
          <w:sz w:val="32"/>
          <w:szCs w:val="32"/>
          <w:shd w:val="clear" w:color="auto" w:fill="FFFFFF"/>
          <w:lang w:val="zh-CN"/>
        </w:rPr>
        <w:t>部门财政拨款收支情况</w:t>
      </w:r>
      <w:r>
        <w:rPr>
          <w:rFonts w:hint="eastAsia" w:ascii="仿宋" w:hAnsi="仿宋" w:eastAsia="仿宋" w:cs="楷体_GB2312"/>
          <w:bCs/>
          <w:kern w:val="0"/>
          <w:sz w:val="32"/>
          <w:szCs w:val="32"/>
          <w:shd w:val="clear" w:color="auto" w:fill="FFFFFF"/>
          <w:lang w:val="zh-CN"/>
        </w:rPr>
        <w:t>。</w:t>
      </w:r>
    </w:p>
    <w:p w14:paraId="60E257C1">
      <w:pPr>
        <w:widowControl/>
        <w:adjustRightInd w:val="0"/>
        <w:snapToGrid w:val="0"/>
        <w:spacing w:line="600" w:lineRule="exact"/>
        <w:ind w:firstLine="640" w:firstLineChars="200"/>
        <w:contextualSpacing/>
        <w:jc w:val="left"/>
        <w:rPr>
          <w:rFonts w:ascii="仿宋" w:hAnsi="仿宋" w:eastAsia="仿宋" w:cs="仿宋_GB2312"/>
          <w:kern w:val="0"/>
          <w:sz w:val="32"/>
          <w:szCs w:val="32"/>
          <w:shd w:val="clear" w:color="auto" w:fill="FFFFFF"/>
        </w:rPr>
      </w:pPr>
      <w:r>
        <w:rPr>
          <w:rFonts w:hint="eastAsia" w:ascii="仿宋" w:hAnsi="仿宋" w:eastAsia="仿宋" w:cs="仿宋_GB2312"/>
          <w:kern w:val="0"/>
          <w:sz w:val="32"/>
          <w:szCs w:val="32"/>
          <w:shd w:val="clear" w:color="auto" w:fill="FFFFFF"/>
        </w:rPr>
        <w:t>1.</w:t>
      </w:r>
      <w:r>
        <w:rPr>
          <w:rFonts w:hint="eastAsia" w:ascii="仿宋" w:hAnsi="仿宋" w:eastAsia="仿宋"/>
        </w:rPr>
        <w:t xml:space="preserve"> </w:t>
      </w:r>
      <w:r>
        <w:rPr>
          <w:rFonts w:hint="eastAsia" w:ascii="仿宋" w:hAnsi="仿宋" w:eastAsia="仿宋" w:cs="仿宋_GB2312"/>
          <w:kern w:val="0"/>
          <w:sz w:val="32"/>
          <w:szCs w:val="32"/>
          <w:shd w:val="clear" w:color="auto" w:fill="FFFFFF"/>
        </w:rPr>
        <w:t>部门财政拨款收入情况</w:t>
      </w:r>
    </w:p>
    <w:p w14:paraId="64B605FD">
      <w:pPr>
        <w:widowControl/>
        <w:adjustRightInd w:val="0"/>
        <w:snapToGrid w:val="0"/>
        <w:spacing w:line="600" w:lineRule="exact"/>
        <w:ind w:firstLine="640" w:firstLineChars="200"/>
        <w:contextualSpacing/>
        <w:jc w:val="left"/>
        <w:rPr>
          <w:rFonts w:hint="eastAsia" w:ascii="仿宋" w:hAnsi="仿宋" w:eastAsia="仿宋"/>
        </w:rPr>
      </w:pPr>
      <w:r>
        <w:rPr>
          <w:rFonts w:hint="eastAsia" w:ascii="仿宋" w:hAnsi="仿宋" w:eastAsia="仿宋"/>
          <w:sz w:val="32"/>
          <w:szCs w:val="32"/>
        </w:rPr>
        <w:t>2022年度收、支总计</w:t>
      </w:r>
      <w:r>
        <w:rPr>
          <w:rFonts w:ascii="仿宋" w:hAnsi="仿宋" w:eastAsia="仿宋"/>
          <w:sz w:val="32"/>
          <w:szCs w:val="32"/>
        </w:rPr>
        <w:t>2073.14</w:t>
      </w:r>
      <w:r>
        <w:rPr>
          <w:rFonts w:hint="eastAsia" w:ascii="仿宋" w:hAnsi="仿宋" w:eastAsia="仿宋"/>
          <w:sz w:val="32"/>
          <w:szCs w:val="32"/>
        </w:rPr>
        <w:t>万元。与2021年相比，收、支总计各减少</w:t>
      </w:r>
      <w:r>
        <w:rPr>
          <w:rFonts w:ascii="仿宋" w:hAnsi="仿宋" w:eastAsia="仿宋"/>
          <w:sz w:val="32"/>
          <w:szCs w:val="32"/>
        </w:rPr>
        <w:t>3415.34</w:t>
      </w:r>
      <w:r>
        <w:rPr>
          <w:rFonts w:hint="eastAsia" w:ascii="仿宋" w:hAnsi="仿宋" w:eastAsia="仿宋"/>
          <w:sz w:val="32"/>
          <w:szCs w:val="32"/>
        </w:rPr>
        <w:t>万元，下降</w:t>
      </w:r>
      <w:r>
        <w:rPr>
          <w:rFonts w:ascii="仿宋" w:hAnsi="仿宋" w:eastAsia="仿宋"/>
          <w:sz w:val="32"/>
          <w:szCs w:val="32"/>
        </w:rPr>
        <w:t>62.23%</w:t>
      </w:r>
      <w:r>
        <w:rPr>
          <w:rFonts w:hint="eastAsia" w:ascii="仿宋" w:hAnsi="仿宋" w:eastAsia="仿宋"/>
          <w:sz w:val="32"/>
          <w:szCs w:val="32"/>
        </w:rPr>
        <w:t>。其原因主要项目减少，收支减少。</w:t>
      </w:r>
    </w:p>
    <w:p w14:paraId="27884413">
      <w:pPr>
        <w:widowControl/>
        <w:adjustRightInd w:val="0"/>
        <w:snapToGrid w:val="0"/>
        <w:spacing w:line="600" w:lineRule="exact"/>
        <w:ind w:firstLine="640" w:firstLineChars="200"/>
        <w:contextualSpacing/>
        <w:jc w:val="left"/>
        <w:rPr>
          <w:rFonts w:ascii="仿宋" w:hAnsi="仿宋" w:eastAsia="仿宋" w:cs="仿宋_GB2312"/>
          <w:kern w:val="0"/>
          <w:sz w:val="32"/>
          <w:szCs w:val="32"/>
          <w:shd w:val="clear" w:color="auto" w:fill="FFFFFF"/>
        </w:rPr>
      </w:pPr>
      <w:r>
        <w:rPr>
          <w:rFonts w:hint="eastAsia" w:ascii="仿宋" w:hAnsi="仿宋" w:eastAsia="仿宋" w:cs="仿宋_GB2312"/>
          <w:kern w:val="0"/>
          <w:sz w:val="32"/>
          <w:szCs w:val="32"/>
          <w:shd w:val="clear" w:color="auto" w:fill="FFFFFF"/>
        </w:rPr>
        <w:t>2.</w:t>
      </w:r>
      <w:r>
        <w:rPr>
          <w:rFonts w:hint="eastAsia" w:ascii="仿宋" w:hAnsi="仿宋" w:eastAsia="仿宋"/>
        </w:rPr>
        <w:t xml:space="preserve"> </w:t>
      </w:r>
      <w:r>
        <w:rPr>
          <w:rFonts w:hint="eastAsia" w:ascii="仿宋" w:hAnsi="仿宋" w:eastAsia="仿宋" w:cs="仿宋_GB2312"/>
          <w:kern w:val="0"/>
          <w:sz w:val="32"/>
          <w:szCs w:val="32"/>
          <w:shd w:val="clear" w:color="auto" w:fill="FFFFFF"/>
        </w:rPr>
        <w:t>部门财政拨款支出情况</w:t>
      </w:r>
    </w:p>
    <w:p w14:paraId="7B709675">
      <w:pPr>
        <w:spacing w:line="600" w:lineRule="exact"/>
        <w:ind w:firstLine="640" w:firstLineChars="200"/>
        <w:outlineLvl w:val="1"/>
        <w:rPr>
          <w:rFonts w:hint="eastAsia"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22年本年支出合计</w:t>
      </w:r>
      <w:r>
        <w:rPr>
          <w:rFonts w:ascii="仿宋" w:hAnsi="仿宋" w:eastAsia="仿宋"/>
          <w:sz w:val="32"/>
          <w:szCs w:val="32"/>
        </w:rPr>
        <w:t>2073.14</w:t>
      </w:r>
      <w:r>
        <w:rPr>
          <w:rFonts w:hint="eastAsia" w:ascii="仿宋" w:hAnsi="仿宋" w:eastAsia="仿宋"/>
          <w:sz w:val="32"/>
          <w:szCs w:val="32"/>
        </w:rPr>
        <w:t>万元，其中：基本支出</w:t>
      </w:r>
      <w:r>
        <w:rPr>
          <w:rFonts w:ascii="仿宋" w:hAnsi="仿宋" w:eastAsia="仿宋"/>
          <w:sz w:val="32"/>
          <w:szCs w:val="32"/>
        </w:rPr>
        <w:t>992.95</w:t>
      </w:r>
      <w:r>
        <w:rPr>
          <w:rFonts w:hint="eastAsia" w:ascii="仿宋" w:hAnsi="仿宋" w:eastAsia="仿宋"/>
          <w:sz w:val="32"/>
          <w:szCs w:val="32"/>
        </w:rPr>
        <w:t>万元，占</w:t>
      </w:r>
      <w:r>
        <w:rPr>
          <w:rFonts w:ascii="仿宋" w:hAnsi="仿宋" w:eastAsia="仿宋"/>
          <w:sz w:val="32"/>
          <w:szCs w:val="32"/>
        </w:rPr>
        <w:t>47.9%</w:t>
      </w:r>
      <w:r>
        <w:rPr>
          <w:rFonts w:hint="eastAsia" w:ascii="仿宋" w:hAnsi="仿宋" w:eastAsia="仿宋"/>
          <w:sz w:val="32"/>
          <w:szCs w:val="32"/>
        </w:rPr>
        <w:t>；项目支出</w:t>
      </w:r>
      <w:r>
        <w:rPr>
          <w:rFonts w:ascii="仿宋" w:hAnsi="仿宋" w:eastAsia="仿宋"/>
          <w:sz w:val="32"/>
          <w:szCs w:val="32"/>
        </w:rPr>
        <w:t>1080.19</w:t>
      </w:r>
      <w:r>
        <w:rPr>
          <w:rFonts w:hint="eastAsia" w:ascii="仿宋" w:hAnsi="仿宋" w:eastAsia="仿宋"/>
          <w:sz w:val="32"/>
          <w:szCs w:val="32"/>
        </w:rPr>
        <w:t>万元，占</w:t>
      </w:r>
      <w:r>
        <w:rPr>
          <w:rFonts w:ascii="仿宋" w:hAnsi="仿宋" w:eastAsia="仿宋"/>
          <w:sz w:val="32"/>
          <w:szCs w:val="32"/>
        </w:rPr>
        <w:t>52.1%</w:t>
      </w:r>
      <w:r>
        <w:rPr>
          <w:rFonts w:hint="eastAsia" w:ascii="仿宋" w:hAnsi="仿宋" w:eastAsia="仿宋"/>
          <w:sz w:val="32"/>
          <w:szCs w:val="32"/>
        </w:rPr>
        <w:t>；上缴上级支出</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；经营支出</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；对附属单位补助支出</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w:t>
      </w:r>
    </w:p>
    <w:p w14:paraId="3F8C3558">
      <w:pPr>
        <w:pStyle w:val="26"/>
        <w:widowControl/>
        <w:numPr>
          <w:ilvl w:val="0"/>
          <w:numId w:val="2"/>
        </w:numPr>
        <w:adjustRightInd w:val="0"/>
        <w:snapToGrid w:val="0"/>
        <w:spacing w:line="600" w:lineRule="exact"/>
        <w:ind w:firstLineChars="0"/>
        <w:contextualSpacing/>
        <w:jc w:val="left"/>
        <w:rPr>
          <w:rFonts w:ascii="仿宋" w:hAnsi="仿宋" w:eastAsia="仿宋" w:cs="仿宋_GB2312"/>
          <w:kern w:val="0"/>
          <w:sz w:val="32"/>
          <w:szCs w:val="32"/>
          <w:shd w:val="clear" w:color="auto" w:fill="FFFFFF"/>
        </w:rPr>
      </w:pPr>
      <w:r>
        <w:rPr>
          <w:rFonts w:hint="eastAsia" w:ascii="仿宋" w:hAnsi="仿宋" w:eastAsia="仿宋" w:cs="仿宋_GB2312"/>
          <w:kern w:val="0"/>
          <w:sz w:val="32"/>
          <w:szCs w:val="32"/>
          <w:shd w:val="clear" w:color="auto" w:fill="FFFFFF"/>
        </w:rPr>
        <w:t>部门财政拨款结转结余情况</w:t>
      </w:r>
    </w:p>
    <w:p w14:paraId="4E637748">
      <w:pPr>
        <w:pStyle w:val="2"/>
        <w:spacing w:before="93" w:line="600" w:lineRule="exact"/>
        <w:ind w:firstLine="640" w:firstLineChars="200"/>
        <w:rPr>
          <w:rFonts w:hint="eastAsia" w:ascii="仿宋" w:hAnsi="仿宋" w:eastAsia="仿宋"/>
          <w:sz w:val="32"/>
          <w:szCs w:val="32"/>
        </w:rPr>
      </w:pPr>
      <w:r>
        <w:rPr>
          <w:rFonts w:hint="eastAsia" w:ascii="仿宋" w:hAnsi="仿宋" w:eastAsia="仿宋"/>
          <w:sz w:val="32"/>
          <w:szCs w:val="32"/>
        </w:rPr>
        <w:t>根据财政局对财政拨款结转和结余资金的管理要求，我单位加强财政结转结余资金管理，加快财政支出进度，在用好财政资金的同时，不断提高财政资金使用效益。因此，本单位2022年度结转和结余资金为0元。</w:t>
      </w:r>
    </w:p>
    <w:p w14:paraId="295BF323">
      <w:pPr>
        <w:pStyle w:val="2"/>
        <w:spacing w:before="93"/>
        <w:ind w:left="1152"/>
        <w:rPr>
          <w:rFonts w:hint="eastAsia"/>
        </w:rPr>
      </w:pPr>
    </w:p>
    <w:p w14:paraId="60254CA5">
      <w:pPr>
        <w:widowControl/>
        <w:adjustRightInd w:val="0"/>
        <w:snapToGrid w:val="0"/>
        <w:spacing w:line="560" w:lineRule="exact"/>
        <w:ind w:firstLine="640" w:firstLineChars="200"/>
        <w:contextualSpacing/>
        <w:jc w:val="left"/>
        <w:rPr>
          <w:rFonts w:ascii="黑体" w:hAnsi="宋体" w:eastAsia="黑体" w:cs="宋体"/>
          <w:kern w:val="0"/>
          <w:sz w:val="32"/>
          <w:szCs w:val="32"/>
          <w:shd w:val="clear" w:color="auto" w:fill="FFFFFF"/>
        </w:rPr>
      </w:pPr>
      <w:r>
        <w:rPr>
          <w:rFonts w:hint="eastAsia" w:ascii="黑体" w:hAnsi="宋体" w:eastAsia="黑体" w:cs="宋体"/>
          <w:kern w:val="0"/>
          <w:sz w:val="32"/>
          <w:szCs w:val="32"/>
          <w:shd w:val="clear" w:color="auto" w:fill="FFFFFF"/>
        </w:rPr>
        <w:t>三、部门整体绩效分析</w:t>
      </w:r>
    </w:p>
    <w:p w14:paraId="56DAEE05">
      <w:pPr>
        <w:widowControl/>
        <w:adjustRightInd w:val="0"/>
        <w:snapToGrid w:val="0"/>
        <w:spacing w:line="560" w:lineRule="exact"/>
        <w:ind w:firstLine="640" w:firstLineChars="200"/>
        <w:contextualSpacing/>
        <w:jc w:val="left"/>
        <w:rPr>
          <w:rFonts w:ascii="黑体" w:hAnsi="黑体" w:eastAsia="黑体" w:cs="楷体_GB2312"/>
          <w:bCs/>
          <w:kern w:val="0"/>
          <w:sz w:val="32"/>
          <w:szCs w:val="32"/>
          <w:highlight w:val="yellow"/>
          <w:shd w:val="clear" w:color="auto" w:fill="FFFFFF"/>
          <w:lang w:val="zh-CN"/>
        </w:rPr>
      </w:pPr>
      <w:r>
        <w:rPr>
          <w:rFonts w:hint="eastAsia" w:ascii="黑体" w:hAnsi="黑体" w:eastAsia="黑体" w:cs="楷体_GB2312"/>
          <w:bCs/>
          <w:kern w:val="0"/>
          <w:sz w:val="32"/>
          <w:szCs w:val="32"/>
          <w:shd w:val="clear" w:color="auto" w:fill="FFFFFF"/>
          <w:lang w:val="zh-CN"/>
        </w:rPr>
        <w:t>（一）部门预算项目绩效分析。</w:t>
      </w:r>
    </w:p>
    <w:p w14:paraId="4661629E">
      <w:pPr>
        <w:widowControl/>
        <w:adjustRightInd w:val="0"/>
        <w:snapToGrid w:val="0"/>
        <w:spacing w:line="600"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1.人员类项目绩效分析</w:t>
      </w:r>
    </w:p>
    <w:p w14:paraId="04D3F933">
      <w:pPr>
        <w:widowControl/>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yellow"/>
          <w:shd w:val="clear" w:color="auto" w:fill="FFFFFF"/>
        </w:rPr>
      </w:pPr>
      <w:r>
        <w:rPr>
          <w:rFonts w:hint="eastAsia" w:ascii="仿宋" w:hAnsi="仿宋" w:eastAsia="仿宋" w:cs="仿宋"/>
          <w:kern w:val="0"/>
          <w:sz w:val="32"/>
          <w:szCs w:val="32"/>
        </w:rPr>
        <w:t>2022年全局人员类经费支出共计</w:t>
      </w:r>
      <w:r>
        <w:rPr>
          <w:rFonts w:ascii="仿宋" w:hAnsi="仿宋" w:eastAsia="仿宋" w:cs="仿宋"/>
          <w:kern w:val="0"/>
          <w:sz w:val="32"/>
          <w:szCs w:val="32"/>
        </w:rPr>
        <w:t>821.52</w:t>
      </w:r>
      <w:r>
        <w:rPr>
          <w:rFonts w:hint="eastAsia" w:ascii="仿宋" w:hAnsi="仿宋" w:eastAsia="仿宋" w:cs="仿宋"/>
          <w:kern w:val="0"/>
          <w:sz w:val="32"/>
          <w:szCs w:val="32"/>
        </w:rPr>
        <w:t>万元，主要包括：基本工资、津贴补贴、奖金、伙食补助费、绩效工资、机关事业单位基本养老保险缴费、职业年金缴费、其他社会保障缴费、其他工资福利支出等，占总支出的3</w:t>
      </w:r>
      <w:r>
        <w:rPr>
          <w:rFonts w:ascii="仿宋" w:hAnsi="仿宋" w:eastAsia="仿宋" w:cs="仿宋"/>
          <w:kern w:val="0"/>
          <w:sz w:val="32"/>
          <w:szCs w:val="32"/>
        </w:rPr>
        <w:t>9.63</w:t>
      </w:r>
      <w:r>
        <w:rPr>
          <w:rFonts w:hint="eastAsia" w:ascii="仿宋" w:hAnsi="仿宋" w:eastAsia="仿宋" w:cs="仿宋"/>
          <w:kern w:val="0"/>
          <w:sz w:val="32"/>
          <w:szCs w:val="32"/>
        </w:rPr>
        <w:t>%。</w:t>
      </w:r>
    </w:p>
    <w:p w14:paraId="0ED60628">
      <w:pPr>
        <w:widowControl/>
        <w:adjustRightInd w:val="0"/>
        <w:snapToGrid w:val="0"/>
        <w:spacing w:line="600"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2.运转类项目绩效分析</w:t>
      </w:r>
    </w:p>
    <w:p w14:paraId="5F714333">
      <w:pPr>
        <w:widowControl/>
        <w:adjustRightInd w:val="0"/>
        <w:snapToGrid w:val="0"/>
        <w:spacing w:line="600" w:lineRule="exact"/>
        <w:ind w:firstLine="640" w:firstLineChars="200"/>
        <w:contextualSpacing/>
        <w:jc w:val="left"/>
        <w:rPr>
          <w:rFonts w:ascii="仿宋" w:hAnsi="仿宋" w:eastAsia="仿宋" w:cs="仿宋"/>
          <w:kern w:val="0"/>
          <w:sz w:val="32"/>
          <w:szCs w:val="32"/>
        </w:rPr>
      </w:pPr>
      <w:r>
        <w:rPr>
          <w:rFonts w:hint="eastAsia" w:ascii="仿宋" w:hAnsi="仿宋" w:eastAsia="仿宋" w:cs="仿宋"/>
          <w:kern w:val="0"/>
          <w:sz w:val="32"/>
          <w:szCs w:val="32"/>
        </w:rPr>
        <w:t>2022年全局运转类经费支出共计</w:t>
      </w:r>
      <w:r>
        <w:rPr>
          <w:rFonts w:ascii="仿宋" w:hAnsi="仿宋" w:eastAsia="仿宋" w:cs="仿宋"/>
          <w:kern w:val="0"/>
          <w:sz w:val="32"/>
          <w:szCs w:val="32"/>
        </w:rPr>
        <w:t>171.43</w:t>
      </w:r>
      <w:r>
        <w:rPr>
          <w:rFonts w:hint="eastAsia" w:ascii="仿宋" w:hAnsi="仿宋" w:eastAsia="仿宋" w:cs="仿宋"/>
          <w:kern w:val="0"/>
          <w:sz w:val="32"/>
          <w:szCs w:val="32"/>
        </w:rPr>
        <w:t>万元，主要包括：办公费、印刷费、咨询费、手续费、水费、电费、邮电费、物业管理费、差旅费、因公出国（境）费用、维修（护）费、租赁费、会议费、培训费、工会经费等，占总支出的</w:t>
      </w:r>
      <w:r>
        <w:rPr>
          <w:rFonts w:ascii="仿宋" w:hAnsi="仿宋" w:eastAsia="仿宋" w:cs="仿宋"/>
          <w:kern w:val="0"/>
          <w:sz w:val="32"/>
          <w:szCs w:val="32"/>
        </w:rPr>
        <w:t>8.27</w:t>
      </w:r>
      <w:r>
        <w:rPr>
          <w:rFonts w:hint="eastAsia" w:ascii="仿宋" w:hAnsi="仿宋" w:eastAsia="仿宋" w:cs="仿宋"/>
          <w:kern w:val="0"/>
          <w:sz w:val="32"/>
          <w:szCs w:val="32"/>
        </w:rPr>
        <w:t>%。</w:t>
      </w:r>
    </w:p>
    <w:p w14:paraId="12E2066D">
      <w:pPr>
        <w:widowControl/>
        <w:adjustRightInd w:val="0"/>
        <w:snapToGrid w:val="0"/>
        <w:spacing w:line="600"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3.特定目标类项目绩效分析</w:t>
      </w:r>
    </w:p>
    <w:p w14:paraId="0A237A7C">
      <w:pPr>
        <w:widowControl/>
        <w:adjustRightInd w:val="0"/>
        <w:snapToGrid w:val="0"/>
        <w:spacing w:line="600" w:lineRule="exact"/>
        <w:ind w:firstLine="640" w:firstLineChars="200"/>
        <w:contextualSpacing/>
        <w:jc w:val="left"/>
        <w:rPr>
          <w:rFonts w:ascii="仿宋" w:hAnsi="仿宋" w:eastAsia="仿宋" w:cs="仿宋"/>
          <w:kern w:val="0"/>
          <w:sz w:val="32"/>
          <w:szCs w:val="32"/>
        </w:rPr>
      </w:pPr>
      <w:r>
        <w:rPr>
          <w:rFonts w:hint="eastAsia" w:ascii="仿宋" w:hAnsi="仿宋" w:eastAsia="仿宋" w:cs="仿宋"/>
          <w:kern w:val="0"/>
          <w:sz w:val="32"/>
          <w:szCs w:val="32"/>
        </w:rPr>
        <w:t>2022年全局项目类经费支出共计</w:t>
      </w:r>
      <w:r>
        <w:rPr>
          <w:rFonts w:ascii="仿宋" w:hAnsi="仿宋" w:eastAsia="仿宋" w:cs="仿宋"/>
          <w:kern w:val="0"/>
          <w:sz w:val="32"/>
          <w:szCs w:val="32"/>
        </w:rPr>
        <w:t>1080.19</w:t>
      </w:r>
      <w:r>
        <w:rPr>
          <w:rFonts w:hint="eastAsia" w:ascii="仿宋" w:hAnsi="仿宋" w:eastAsia="仿宋" w:cs="仿宋"/>
          <w:kern w:val="0"/>
          <w:sz w:val="32"/>
          <w:szCs w:val="32"/>
        </w:rPr>
        <w:t>万元，包括安全生产综合监管信息平台运行维护、防灾减灾工作经费、自行式炊事餐车购置、应急救援装备购置、排危除险应急资金、煤矿关闭奖补资金等，占总支出的</w:t>
      </w:r>
      <w:r>
        <w:rPr>
          <w:rFonts w:ascii="仿宋" w:hAnsi="仿宋" w:eastAsia="仿宋" w:cs="仿宋"/>
          <w:kern w:val="0"/>
          <w:sz w:val="32"/>
          <w:szCs w:val="32"/>
        </w:rPr>
        <w:t>52.1</w:t>
      </w:r>
      <w:r>
        <w:rPr>
          <w:rFonts w:hint="eastAsia" w:ascii="仿宋" w:hAnsi="仿宋" w:eastAsia="仿宋" w:cs="仿宋"/>
          <w:kern w:val="0"/>
          <w:sz w:val="32"/>
          <w:szCs w:val="32"/>
        </w:rPr>
        <w:t>%。</w:t>
      </w:r>
    </w:p>
    <w:p w14:paraId="18CABDA0">
      <w:pPr>
        <w:widowControl/>
        <w:adjustRightInd w:val="0"/>
        <w:snapToGrid w:val="0"/>
        <w:spacing w:line="560" w:lineRule="exact"/>
        <w:ind w:firstLine="640" w:firstLineChars="200"/>
        <w:contextualSpacing/>
        <w:jc w:val="left"/>
        <w:rPr>
          <w:rFonts w:ascii="黑体" w:hAnsi="黑体" w:eastAsia="黑体" w:cs="楷体_GB2312"/>
          <w:bCs/>
          <w:kern w:val="0"/>
          <w:sz w:val="32"/>
          <w:szCs w:val="32"/>
          <w:shd w:val="clear" w:color="auto" w:fill="FFFFFF"/>
          <w:lang w:val="zh-CN"/>
        </w:rPr>
      </w:pPr>
      <w:r>
        <w:rPr>
          <w:rFonts w:hint="eastAsia" w:ascii="黑体" w:hAnsi="黑体" w:eastAsia="黑体" w:cs="楷体_GB2312"/>
          <w:bCs/>
          <w:kern w:val="0"/>
          <w:sz w:val="32"/>
          <w:szCs w:val="32"/>
          <w:shd w:val="clear" w:color="auto" w:fill="FFFFFF"/>
          <w:lang w:val="zh-CN"/>
        </w:rPr>
        <w:t>（二）部门整体履职绩效分析。</w:t>
      </w:r>
    </w:p>
    <w:p w14:paraId="4B6733D9">
      <w:pPr>
        <w:pStyle w:val="34"/>
        <w:spacing w:line="600" w:lineRule="exact"/>
        <w:ind w:firstLine="640" w:firstLineChars="200"/>
        <w:rPr>
          <w:rFonts w:ascii="方正仿宋_GB2312" w:hAnsi="方正仿宋_GB2312" w:eastAsia="方正仿宋_GB2312" w:cs="方正仿宋_GB2312"/>
          <w:szCs w:val="32"/>
        </w:rPr>
      </w:pPr>
      <w:r>
        <w:rPr>
          <w:rFonts w:hint="eastAsia" w:ascii="方正仿宋_GB2312" w:hAnsi="方正仿宋_GB2312" w:eastAsia="方正仿宋_GB2312" w:cs="方正仿宋_GB2312"/>
          <w:szCs w:val="32"/>
        </w:rPr>
        <w:t>2022年峨眉山市应急管理局持续深入学习贯彻党的二十大精神、四川省第十二次党代会精神、习近平总书记关于安全生产工作的重要论述、习近平总书记关于防灾减灾救</w:t>
      </w:r>
      <w:r>
        <w:rPr>
          <w:rFonts w:hint="eastAsia" w:ascii="方正仿宋_GB2312" w:hAnsi="方正仿宋_GB2312" w:eastAsia="方正仿宋_GB2312" w:cs="方正仿宋_GB2312"/>
          <w:szCs w:val="32"/>
          <w:lang w:eastAsia="zh-CN"/>
        </w:rPr>
        <w:t>灾的</w:t>
      </w:r>
      <w:r>
        <w:rPr>
          <w:rFonts w:hint="eastAsia" w:ascii="方正仿宋_GB2312" w:hAnsi="方正仿宋_GB2312" w:eastAsia="方正仿宋_GB2312" w:cs="方正仿宋_GB2312"/>
          <w:szCs w:val="32"/>
        </w:rPr>
        <w:t>重要指示精神等，全面落实国家、省、乐山市、峨眉山市关于安全生产、抗震救灾、防灾减灾救灾、森林防灭火工作安排部署。</w:t>
      </w:r>
    </w:p>
    <w:p w14:paraId="2898094A">
      <w:pPr>
        <w:spacing w:line="600" w:lineRule="exact"/>
        <w:ind w:firstLine="640" w:firstLineChars="200"/>
        <w:rPr>
          <w:rFonts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1、将危险化学品、非煤矿山、道路运输等安全生产专项整治任务细化成具体工作，明确了相关</w:t>
      </w:r>
      <w:r>
        <w:rPr>
          <w:rFonts w:hint="eastAsia" w:ascii="方正仿宋_GB2312" w:hAnsi="方正仿宋_GB2312" w:eastAsia="方正仿宋_GB2312" w:cs="方正仿宋_GB2312"/>
          <w:kern w:val="0"/>
          <w:sz w:val="32"/>
          <w:szCs w:val="32"/>
          <w:lang w:eastAsia="zh-CN"/>
        </w:rPr>
        <w:t>各</w:t>
      </w:r>
      <w:r>
        <w:rPr>
          <w:rFonts w:hint="eastAsia" w:ascii="方正仿宋_GB2312" w:hAnsi="方正仿宋_GB2312" w:eastAsia="方正仿宋_GB2312" w:cs="方正仿宋_GB2312"/>
          <w:kern w:val="0"/>
          <w:sz w:val="32"/>
          <w:szCs w:val="32"/>
        </w:rPr>
        <w:t>部门（单位）和属地乡镇（街道）的工作职责，构建了“照单履职、照单推进、照单检查、照单追责”的“清单式”任务责任体系，打造了整治工作责任共同体。二是强化跟踪问效。将整治工作纳入年度目标考核体系，通过优化完善会商、调度、通报、考核等工作机制，充分调动各部门创建工作的积极性和主动性。同时，全面推行安全生产“三张清单、一项承诺书”管理制度，运用“两书一函”、考核巡查、警示约谈、挂牌督办、提级调查等手段，下发限期整改通知书、提醒敦促函共50份，压紧压实乡镇（街道）、部门属地监管责任和企业主体责任。市安委会印发《峨眉山市2022年安全生产大检查实施方案》《峨眉山市贯彻落实国务院安委会安全生产15条措施工作方案》，明确工作责任，细化工作措施，全面安排部署安全生产大检查工作。各乡镇（街道）、部门分别牵头负责，并迅速制定安全生产大检查工作方案，条块结合联动推进全市安全生产大检查，压紧压实安全生产责任。</w:t>
      </w:r>
    </w:p>
    <w:p w14:paraId="449D768B">
      <w:pPr>
        <w:spacing w:line="600" w:lineRule="exact"/>
        <w:ind w:firstLine="640" w:firstLineChars="2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kern w:val="0"/>
          <w:sz w:val="32"/>
          <w:szCs w:val="32"/>
        </w:rPr>
        <w:t>圆满完成护安2022的安全生产工作，聚焦小水电、大货车、自建房、燃气、矿产品加工、非煤矿山、危化、道路交通、旅游、消防等重点领域，督促行业主管部门深入开展无死角、全覆盖安全生产大检查，认真排查治理各类安全生产隐患。目前，全市出动排查组5164个、检查人员14507人次，检查企事业单位955次，发现隐患问题2630条，整改2502条、整改中128条。未完成整改的隐患，均已采取责任、措施、资金、时限、预案“五落实”措施。严格落实“清单制”管理，强化重大安全隐患挂牌督办整治，确保刚性整改到位，做到闭环销号。挂牌整治重大安全隐患10条，已整改7条，整改中3条。市安委办督促行业部门聚焦重大安全风险隐患，敢于较真碰硬，严查违法违规行为。目前，全市已出动执法人员1874人次，检查企业920家次，下达执法文书423份，立案217起，吊销许可证2家，责令停产停业9家，行政处罚184万元。</w:t>
      </w:r>
    </w:p>
    <w:p w14:paraId="4661ECC3">
      <w:pPr>
        <w:adjustRightInd w:val="0"/>
        <w:snapToGrid w:val="0"/>
        <w:spacing w:line="600" w:lineRule="exact"/>
        <w:ind w:firstLine="640" w:firstLineChars="20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kern w:val="0"/>
          <w:sz w:val="32"/>
          <w:szCs w:val="32"/>
        </w:rPr>
        <w:t>2、调整完善和新增了涵盖市抗震救灾指挥部在内的峨眉山市应急委员会“1+22”指挥部职能职责，形成了我市“1+22N”突发事</w:t>
      </w:r>
      <w:r>
        <w:rPr>
          <w:rFonts w:hint="eastAsia" w:ascii="方正仿宋_GB2312" w:hAnsi="方正仿宋_GB2312" w:eastAsia="方正仿宋_GB2312" w:cs="方正仿宋_GB2312"/>
          <w:bCs/>
          <w:snapToGrid w:val="0"/>
          <w:kern w:val="0"/>
          <w:sz w:val="32"/>
          <w:szCs w:val="32"/>
        </w:rPr>
        <w:t>件专项应急指挥体系，进一步加强、优化、统筹我市应急能力建设，推动形成统一指挥、专常兼备、反应灵敏、上下联动、平战结合的法治化指挥体系和应急机制。</w:t>
      </w:r>
      <w:r>
        <w:rPr>
          <w:rFonts w:hint="eastAsia" w:ascii="方正仿宋_GB2312" w:hAnsi="方正仿宋_GB2312" w:eastAsia="方正仿宋_GB2312" w:cs="方正仿宋_GB2312"/>
          <w:sz w:val="32"/>
          <w:szCs w:val="32"/>
        </w:rPr>
        <w:t>建立完善会商机制，会同气象、水务、自然资源、农业农村、住建、交通、防震减灾、消防救援等相关单位定期对全市自然灾害风险隐患进行综合研判，发布会商情况通报，部署风险管控应对措施。加强应急值守，严格落实应急值班和领导带班制度，及时传达各类自然灾害预警预报，保障指挥部各项调度指令顺利传递，形成了有效的自然灾害防范机制。严格落实“三个避让”“三个紧急撤离”和防灾减灾“12个100%”要求，试点开展应急物资前置，保障</w:t>
      </w:r>
      <w:r>
        <w:rPr>
          <w:rFonts w:hint="eastAsia" w:ascii="方正仿宋_GB2312" w:hAnsi="方正仿宋_GB2312" w:eastAsia="方正仿宋_GB2312" w:cs="方正仿宋_GB2312"/>
          <w:sz w:val="32"/>
          <w:szCs w:val="32"/>
          <w:lang w:eastAsia="zh-CN"/>
        </w:rPr>
        <w:t>乡镇通信</w:t>
      </w:r>
      <w:r>
        <w:rPr>
          <w:rFonts w:hint="eastAsia" w:ascii="方正仿宋_GB2312" w:hAnsi="方正仿宋_GB2312" w:eastAsia="方正仿宋_GB2312" w:cs="方正仿宋_GB2312"/>
          <w:sz w:val="32"/>
          <w:szCs w:val="32"/>
        </w:rPr>
        <w:t>、防汛和救灾物资储备。</w:t>
      </w:r>
      <w:r>
        <w:rPr>
          <w:rFonts w:hint="eastAsia" w:ascii="方正仿宋_GB2312" w:hAnsi="方正仿宋_GB2312" w:eastAsia="方正仿宋_GB2312" w:cs="方正仿宋_GB2312"/>
          <w:bCs/>
          <w:snapToGrid w:val="0"/>
          <w:kern w:val="0"/>
          <w:sz w:val="32"/>
          <w:szCs w:val="32"/>
        </w:rPr>
        <w:t>组织修订完善乡镇（街道）地震应急预案和部门预案，其中乡镇（街道）已全部完成修订；峨眉山市抗震救灾专项预案已完成编制；组织13个乡镇（街道）、15个重点部门开展峨眉山市重特大地震救援行动方案编制工作。</w:t>
      </w:r>
      <w:r>
        <w:rPr>
          <w:rFonts w:hint="eastAsia" w:ascii="方正仿宋_GB2312" w:hAnsi="方正仿宋_GB2312" w:eastAsia="方正仿宋_GB2312" w:cs="方正仿宋_GB2312"/>
          <w:sz w:val="32"/>
          <w:szCs w:val="32"/>
        </w:rPr>
        <w:t>提高区域应急联动保障能力，投入资金</w:t>
      </w:r>
      <w:r>
        <w:rPr>
          <w:rFonts w:hint="eastAsia" w:ascii="方正仿宋_GB2312" w:hAnsi="方正仿宋_GB2312" w:eastAsia="方正仿宋_GB2312" w:cs="方正仿宋_GB2312"/>
          <w:kern w:val="0"/>
          <w:sz w:val="32"/>
          <w:szCs w:val="32"/>
        </w:rPr>
        <w:t>60</w:t>
      </w:r>
      <w:r>
        <w:rPr>
          <w:rFonts w:hint="eastAsia" w:ascii="方正仿宋_GB2312" w:hAnsi="方正仿宋_GB2312" w:eastAsia="方正仿宋_GB2312" w:cs="方正仿宋_GB2312"/>
          <w:sz w:val="32"/>
          <w:szCs w:val="32"/>
        </w:rPr>
        <w:t>万元，采购消防车、救援装备物资等，提升消防大队等应急队伍装备水平。</w:t>
      </w:r>
      <w:r>
        <w:rPr>
          <w:rFonts w:hint="eastAsia" w:ascii="方正仿宋_GB2312" w:hAnsi="方正仿宋_GB2312" w:eastAsia="方正仿宋_GB2312" w:cs="方正仿宋_GB2312"/>
          <w:bCs/>
          <w:snapToGrid w:val="0"/>
          <w:kern w:val="0"/>
          <w:sz w:val="32"/>
          <w:szCs w:val="32"/>
        </w:rPr>
        <w:t>推进县乡村三级应急队伍体系建设，建立专职消防队 69人、危化应急互助队 25人、森林专业扑火队 50人的县级队伍。建成13支乡镇（街道）应急分队468人，154个村（社区）应急小队1947人的乡村队伍，并挂牌。并组建防灾减灾网格员1534名。</w:t>
      </w:r>
      <w:r>
        <w:rPr>
          <w:rFonts w:hint="eastAsia" w:ascii="方正仿宋_GB2312" w:hAnsi="方正仿宋_GB2312" w:eastAsia="方正仿宋_GB2312" w:cs="方正仿宋_GB2312"/>
          <w:sz w:val="32"/>
          <w:szCs w:val="32"/>
        </w:rPr>
        <w:t>全市组织各类应急演练636次，参演人数13.48万人，</w:t>
      </w:r>
      <w:r>
        <w:rPr>
          <w:rFonts w:hint="eastAsia" w:ascii="方正仿宋_GB2312" w:hAnsi="方正仿宋_GB2312" w:eastAsia="方正仿宋_GB2312" w:cs="方正仿宋_GB2312"/>
          <w:bCs/>
          <w:snapToGrid w:val="0"/>
          <w:kern w:val="0"/>
          <w:sz w:val="32"/>
          <w:szCs w:val="32"/>
        </w:rPr>
        <w:t>提高基层应急队伍先期处置能力和实战操作能力；</w:t>
      </w:r>
      <w:r>
        <w:rPr>
          <w:rFonts w:hint="eastAsia" w:ascii="方正仿宋_GB2312" w:hAnsi="方正仿宋_GB2312" w:eastAsia="方正仿宋_GB2312" w:cs="方正仿宋_GB2312"/>
          <w:sz w:val="32"/>
          <w:szCs w:val="32"/>
        </w:rPr>
        <w:t>开展146场次防灾减灾救灾宣传活动，发放宣传资料20000余份。建立完善会商机制，会同气象、水务、自然资源、农业农村、住建、交通、防震减灾、消防救援等相关单位定期对全市自然灾害风险隐患进行综合研判，发布会商情况通报，部署风险管控应对措施。加强应急值守，严格落实应急值班和领导带班制度，及时传达各类自然灾害预警预报，保障指挥部各项调度指令顺利传递，形成了有效的自然灾害防范机制。</w:t>
      </w:r>
    </w:p>
    <w:p w14:paraId="24A0B96A">
      <w:pPr>
        <w:spacing w:line="600" w:lineRule="exact"/>
        <w:ind w:firstLine="640" w:firstLineChars="200"/>
        <w:rPr>
          <w:rFonts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3、峨眉山市按照“上下基本对应”要求，将指挥部办公室调整到应急管理局，对市自然资源局、市经信局、市公安局等成员单位的工作职能进行了部分调整；增加共青团市委为森防指成员单位，基本形成了森防指及其办公室“牵头抓总”，23个成员单位各司其职、协同配合的工作格局，持续完善森林防灭火指挥体系建设。全市所有乡镇（街道）、有林区的行政村（社区）落实包保责任人共115人，其中县级领导13人、乡镇级领导102人；30个重点目标（设施）和683名痴聋呆傻哑等7类重点人群落实713名监管责任人，组织签订责任清单和承诺书866份。2022年1-11月，全市未发生森林火灾。</w:t>
      </w:r>
    </w:p>
    <w:p w14:paraId="3911D9AB">
      <w:pPr>
        <w:spacing w:line="600" w:lineRule="exact"/>
        <w:ind w:firstLine="640" w:firstLineChars="200"/>
        <w:rPr>
          <w:rFonts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4、峨眉山市投资500万元开展以清单制管理推进安全发展示范城市建设工作，进行城市安全风险、城市应急管理能力评估。新建峨眉山市景城一体应急指挥中心，实现省、市、县、乡、村应急物资和监测预警数据共建共享，构建“纵向指挥到底，横向调度到边”的指挥调度全域格局。并依托指挥中心建成城市安全清单制管理信息化系统，完善城市应急管理综合应用平台。经过资料审查、点位核查及综合评议，峨眉山市省级安全发展示范城市创建工作得到了省、乐山市领导的充分肯定，我市将对评议工作中</w:t>
      </w:r>
      <w:r>
        <w:rPr>
          <w:rFonts w:hint="eastAsia" w:ascii="方正仿宋_GB2312" w:hAnsi="方正仿宋_GB2312" w:eastAsia="方正仿宋_GB2312" w:cs="方正仿宋_GB2312"/>
          <w:kern w:val="0"/>
          <w:sz w:val="32"/>
          <w:szCs w:val="32"/>
          <w:lang w:eastAsia="zh-CN"/>
        </w:rPr>
        <w:t>指出</w:t>
      </w:r>
      <w:r>
        <w:rPr>
          <w:rFonts w:hint="eastAsia" w:ascii="方正仿宋_GB2312" w:hAnsi="方正仿宋_GB2312" w:eastAsia="方正仿宋_GB2312" w:cs="方正仿宋_GB2312"/>
          <w:kern w:val="0"/>
          <w:sz w:val="32"/>
          <w:szCs w:val="32"/>
        </w:rPr>
        <w:t>的问题及时整改，进一步提升城市安全管理水平，高质量完成创建工作。</w:t>
      </w:r>
    </w:p>
    <w:p w14:paraId="457DD559">
      <w:pPr>
        <w:widowControl/>
        <w:adjustRightInd w:val="0"/>
        <w:snapToGrid w:val="0"/>
        <w:spacing w:line="560" w:lineRule="exact"/>
        <w:ind w:firstLine="640" w:firstLineChars="200"/>
        <w:contextualSpacing/>
        <w:jc w:val="left"/>
        <w:rPr>
          <w:rFonts w:ascii="黑体" w:hAnsi="黑体" w:eastAsia="黑体" w:cs="楷体_GB2312"/>
          <w:bCs/>
          <w:kern w:val="0"/>
          <w:sz w:val="32"/>
          <w:szCs w:val="32"/>
          <w:shd w:val="clear" w:color="auto" w:fill="FFFFFF"/>
          <w:lang w:val="zh-CN"/>
        </w:rPr>
      </w:pPr>
      <w:r>
        <w:rPr>
          <w:rFonts w:hint="eastAsia" w:ascii="黑体" w:hAnsi="黑体" w:eastAsia="黑体" w:cs="楷体_GB2312"/>
          <w:bCs/>
          <w:kern w:val="0"/>
          <w:sz w:val="32"/>
          <w:szCs w:val="32"/>
          <w:shd w:val="clear" w:color="auto" w:fill="FFFFFF"/>
          <w:lang w:val="zh-CN"/>
        </w:rPr>
        <w:t>（三）结果应用情况。</w:t>
      </w:r>
    </w:p>
    <w:p w14:paraId="386D86AE">
      <w:pPr>
        <w:widowControl/>
        <w:adjustRightInd w:val="0"/>
        <w:snapToGrid w:val="0"/>
        <w:spacing w:line="600" w:lineRule="exact"/>
        <w:ind w:firstLine="640" w:firstLineChars="200"/>
        <w:contextualSpacing/>
        <w:jc w:val="left"/>
        <w:rPr>
          <w:rFonts w:ascii="仿宋" w:hAnsi="仿宋" w:eastAsia="仿宋" w:cs="宋体"/>
          <w:kern w:val="0"/>
          <w:sz w:val="32"/>
          <w:szCs w:val="32"/>
          <w:shd w:val="clear" w:color="auto" w:fill="FFFFFF"/>
          <w:lang w:val="zh-CN"/>
        </w:rPr>
      </w:pPr>
      <w:r>
        <w:rPr>
          <w:rFonts w:hint="eastAsia" w:ascii="仿宋" w:hAnsi="仿宋" w:eastAsia="仿宋" w:cs="宋体"/>
          <w:kern w:val="0"/>
          <w:sz w:val="32"/>
          <w:szCs w:val="32"/>
          <w:shd w:val="clear" w:color="auto" w:fill="FFFFFF"/>
          <w:lang w:val="zh-CN"/>
        </w:rPr>
        <w:t>2022年全局严格执行中央八项规定精神和省、市、区相关规定，从严控制“三公”经费预算支出，“三公”经费的使用严格按照年初预算执行，根据“过紧日子”十条措施，不存在超支或违规支出的行为。属于政府集中采购目录的事项严格执行政府采购相关规定。年度预决算信息按照财政部门相关要求在政府门户网站按时合规予以公开。</w:t>
      </w:r>
    </w:p>
    <w:p w14:paraId="12B2677E">
      <w:pPr>
        <w:pStyle w:val="2"/>
        <w:spacing w:before="93" w:line="600" w:lineRule="exact"/>
        <w:ind w:firstLine="640" w:firstLineChars="200"/>
        <w:rPr>
          <w:rFonts w:hint="eastAsia" w:ascii="仿宋" w:hAnsi="仿宋" w:eastAsia="仿宋"/>
          <w:sz w:val="32"/>
          <w:szCs w:val="32"/>
          <w:lang w:val="zh-CN"/>
        </w:rPr>
      </w:pPr>
      <w:r>
        <w:rPr>
          <w:rFonts w:hint="eastAsia" w:ascii="仿宋" w:hAnsi="仿宋" w:eastAsia="仿宋"/>
          <w:sz w:val="32"/>
          <w:szCs w:val="32"/>
          <w:lang w:val="zh-CN"/>
        </w:rPr>
        <w:t>全面实施了预算绩效目标管理，以绩效目标实现为导向，进一步加强制度建设，提升自评质量，预算绩效管理取得新成效。一是抓好绩效目标编制，及时报</w:t>
      </w:r>
      <w:r>
        <w:rPr>
          <w:rFonts w:hint="eastAsia" w:ascii="仿宋" w:hAnsi="仿宋" w:eastAsia="仿宋" w:cs="宋体"/>
          <w:sz w:val="32"/>
          <w:szCs w:val="32"/>
          <w:lang w:val="zh-CN"/>
        </w:rPr>
        <w:t>送</w:t>
      </w:r>
      <w:r>
        <w:rPr>
          <w:rFonts w:hint="eastAsia" w:ascii="仿宋" w:hAnsi="仿宋" w:eastAsia="仿宋" w:cs="___WRD_EMBED_SUB_40"/>
          <w:sz w:val="32"/>
          <w:szCs w:val="32"/>
          <w:lang w:val="zh-CN"/>
        </w:rPr>
        <w:t>绩效目标；二是</w:t>
      </w:r>
      <w:r>
        <w:rPr>
          <w:rFonts w:hint="eastAsia" w:ascii="仿宋" w:hAnsi="仿宋" w:eastAsia="仿宋" w:cs="宋体"/>
          <w:sz w:val="32"/>
          <w:szCs w:val="32"/>
          <w:lang w:val="zh-CN"/>
        </w:rPr>
        <w:t>探索</w:t>
      </w:r>
      <w:r>
        <w:rPr>
          <w:rFonts w:hint="eastAsia" w:ascii="仿宋" w:hAnsi="仿宋" w:eastAsia="仿宋" w:cs="___WRD_EMBED_SUB_40"/>
          <w:sz w:val="32"/>
          <w:szCs w:val="32"/>
          <w:lang w:val="zh-CN"/>
        </w:rPr>
        <w:t>绩效跟</w:t>
      </w:r>
      <w:r>
        <w:rPr>
          <w:rFonts w:hint="eastAsia" w:ascii="仿宋" w:hAnsi="仿宋" w:eastAsia="仿宋" w:cs="宋体"/>
          <w:sz w:val="32"/>
          <w:szCs w:val="32"/>
          <w:lang w:val="zh-CN"/>
        </w:rPr>
        <w:t>踪</w:t>
      </w:r>
      <w:r>
        <w:rPr>
          <w:rFonts w:hint="eastAsia" w:ascii="仿宋" w:hAnsi="仿宋" w:eastAsia="仿宋" w:cs="___WRD_EMBED_SUB_40"/>
          <w:sz w:val="32"/>
          <w:szCs w:val="32"/>
          <w:lang w:val="zh-CN"/>
        </w:rPr>
        <w:t>监控，要求加强过程监控；三是深入开展财政支出绩效评</w:t>
      </w:r>
      <w:r>
        <w:rPr>
          <w:rFonts w:hint="eastAsia" w:ascii="仿宋" w:hAnsi="仿宋" w:eastAsia="仿宋" w:cs="宋体"/>
          <w:sz w:val="32"/>
          <w:szCs w:val="32"/>
          <w:lang w:val="zh-CN"/>
        </w:rPr>
        <w:t>价</w:t>
      </w:r>
      <w:r>
        <w:rPr>
          <w:rFonts w:hint="eastAsia" w:ascii="仿宋" w:hAnsi="仿宋" w:eastAsia="仿宋" w:cs="___WRD_EMBED_SUB_40"/>
          <w:sz w:val="32"/>
          <w:szCs w:val="32"/>
          <w:lang w:val="zh-CN"/>
        </w:rPr>
        <w:t>，对专项资金实施绩效自评和项目核查，在</w:t>
      </w:r>
      <w:r>
        <w:rPr>
          <w:rFonts w:hint="eastAsia" w:ascii="仿宋" w:hAnsi="仿宋" w:eastAsia="仿宋" w:cs="宋体"/>
          <w:sz w:val="32"/>
          <w:szCs w:val="32"/>
          <w:lang w:val="zh-CN"/>
        </w:rPr>
        <w:t>此</w:t>
      </w:r>
      <w:r>
        <w:rPr>
          <w:rFonts w:hint="eastAsia" w:ascii="仿宋" w:hAnsi="仿宋" w:eastAsia="仿宋" w:cs="___WRD_EMBED_SUB_40"/>
          <w:sz w:val="32"/>
          <w:szCs w:val="32"/>
          <w:lang w:val="zh-CN"/>
        </w:rPr>
        <w:t>基</w:t>
      </w:r>
      <w:r>
        <w:rPr>
          <w:rFonts w:hint="eastAsia" w:ascii="仿宋" w:hAnsi="仿宋" w:eastAsia="仿宋" w:cs="宋体"/>
          <w:sz w:val="32"/>
          <w:szCs w:val="32"/>
          <w:lang w:val="zh-CN"/>
        </w:rPr>
        <w:t>础</w:t>
      </w:r>
      <w:r>
        <w:rPr>
          <w:rFonts w:hint="eastAsia" w:ascii="仿宋" w:hAnsi="仿宋" w:eastAsia="仿宋" w:cs="___WRD_EMBED_SUB_40"/>
          <w:sz w:val="32"/>
          <w:szCs w:val="32"/>
          <w:lang w:val="zh-CN"/>
        </w:rPr>
        <w:t>上形成自评报告；四是强化评</w:t>
      </w:r>
      <w:r>
        <w:rPr>
          <w:rFonts w:hint="eastAsia" w:ascii="仿宋" w:hAnsi="仿宋" w:eastAsia="仿宋" w:cs="宋体"/>
          <w:sz w:val="32"/>
          <w:szCs w:val="32"/>
          <w:lang w:val="zh-CN"/>
        </w:rPr>
        <w:t>价</w:t>
      </w:r>
      <w:r>
        <w:rPr>
          <w:rFonts w:hint="eastAsia" w:ascii="仿宋" w:hAnsi="仿宋" w:eastAsia="仿宋" w:cs="___WRD_EMBED_SUB_40"/>
          <w:sz w:val="32"/>
          <w:szCs w:val="32"/>
          <w:lang w:val="zh-CN"/>
        </w:rPr>
        <w:t>结</w:t>
      </w:r>
      <w:r>
        <w:rPr>
          <w:rFonts w:hint="eastAsia" w:ascii="仿宋" w:hAnsi="仿宋" w:eastAsia="仿宋" w:cs="宋体"/>
          <w:sz w:val="32"/>
          <w:szCs w:val="32"/>
          <w:lang w:val="zh-CN"/>
        </w:rPr>
        <w:t>果</w:t>
      </w:r>
      <w:r>
        <w:rPr>
          <w:rFonts w:hint="eastAsia" w:ascii="仿宋" w:hAnsi="仿宋" w:eastAsia="仿宋" w:cs="___WRD_EMBED_SUB_40"/>
          <w:sz w:val="32"/>
          <w:szCs w:val="32"/>
          <w:lang w:val="zh-CN"/>
        </w:rPr>
        <w:t>应用，组织绩效自评和绩效跟</w:t>
      </w:r>
      <w:r>
        <w:rPr>
          <w:rFonts w:hint="eastAsia" w:ascii="仿宋" w:hAnsi="仿宋" w:eastAsia="仿宋" w:cs="宋体"/>
          <w:sz w:val="32"/>
          <w:szCs w:val="32"/>
          <w:lang w:val="zh-CN"/>
        </w:rPr>
        <w:t>踪</w:t>
      </w:r>
      <w:r>
        <w:rPr>
          <w:rFonts w:hint="eastAsia" w:ascii="仿宋" w:hAnsi="仿宋" w:eastAsia="仿宋" w:cs="___WRD_EMBED_SUB_40"/>
          <w:sz w:val="32"/>
          <w:szCs w:val="32"/>
          <w:lang w:val="zh-CN"/>
        </w:rPr>
        <w:t>监控，对发现的问题及时改进，加强评</w:t>
      </w:r>
      <w:r>
        <w:rPr>
          <w:rFonts w:hint="eastAsia" w:ascii="仿宋" w:hAnsi="仿宋" w:eastAsia="仿宋" w:cs="宋体"/>
          <w:sz w:val="32"/>
          <w:szCs w:val="32"/>
          <w:lang w:val="zh-CN"/>
        </w:rPr>
        <w:t>价</w:t>
      </w:r>
      <w:r>
        <w:rPr>
          <w:rFonts w:hint="eastAsia" w:ascii="仿宋" w:hAnsi="仿宋" w:eastAsia="仿宋" w:cs="___WRD_EMBED_SUB_40"/>
          <w:sz w:val="32"/>
          <w:szCs w:val="32"/>
          <w:lang w:val="zh-CN"/>
        </w:rPr>
        <w:t>结</w:t>
      </w:r>
      <w:r>
        <w:rPr>
          <w:rFonts w:hint="eastAsia" w:ascii="仿宋" w:hAnsi="仿宋" w:eastAsia="仿宋" w:cs="宋体"/>
          <w:sz w:val="32"/>
          <w:szCs w:val="32"/>
          <w:lang w:val="zh-CN"/>
        </w:rPr>
        <w:t>果</w:t>
      </w:r>
      <w:r>
        <w:rPr>
          <w:rFonts w:hint="eastAsia" w:ascii="仿宋" w:hAnsi="仿宋" w:eastAsia="仿宋" w:cs="___WRD_EMBED_SUB_40"/>
          <w:sz w:val="32"/>
          <w:szCs w:val="32"/>
          <w:lang w:val="zh-CN"/>
        </w:rPr>
        <w:t>与项目资金安排的</w:t>
      </w:r>
      <w:r>
        <w:rPr>
          <w:rFonts w:hint="eastAsia" w:ascii="仿宋" w:hAnsi="仿宋" w:eastAsia="仿宋" w:cs="宋体"/>
          <w:sz w:val="32"/>
          <w:szCs w:val="32"/>
          <w:lang w:val="zh-CN"/>
        </w:rPr>
        <w:t>衔</w:t>
      </w:r>
      <w:r>
        <w:rPr>
          <w:rFonts w:hint="eastAsia" w:ascii="仿宋" w:hAnsi="仿宋" w:eastAsia="仿宋" w:cs="___WRD_EMBED_SUB_40"/>
          <w:sz w:val="32"/>
          <w:szCs w:val="32"/>
          <w:lang w:val="zh-CN"/>
        </w:rPr>
        <w:t>接；五是健全绩效管理工作机制，明确职责</w:t>
      </w:r>
      <w:r>
        <w:rPr>
          <w:rFonts w:hint="eastAsia" w:ascii="仿宋" w:hAnsi="仿宋" w:eastAsia="仿宋"/>
          <w:sz w:val="32"/>
          <w:szCs w:val="32"/>
          <w:lang w:val="zh-CN"/>
        </w:rPr>
        <w:t>分工，</w:t>
      </w:r>
      <w:r>
        <w:rPr>
          <w:rFonts w:hint="eastAsia" w:ascii="仿宋" w:hAnsi="仿宋" w:eastAsia="仿宋" w:cs="微软雅黑"/>
          <w:sz w:val="32"/>
          <w:szCs w:val="32"/>
          <w:lang w:val="zh-CN"/>
        </w:rPr>
        <w:t>努</w:t>
      </w:r>
      <w:r>
        <w:rPr>
          <w:rFonts w:hint="eastAsia" w:ascii="仿宋" w:hAnsi="仿宋" w:eastAsia="仿宋" w:cs="___WRD_EMBED_SUB_40"/>
          <w:sz w:val="32"/>
          <w:szCs w:val="32"/>
          <w:lang w:val="zh-CN"/>
        </w:rPr>
        <w:t>力提高了绩效管</w:t>
      </w:r>
      <w:r>
        <w:rPr>
          <w:rFonts w:hint="eastAsia" w:ascii="仿宋" w:hAnsi="仿宋" w:eastAsia="仿宋"/>
          <w:sz w:val="32"/>
          <w:szCs w:val="32"/>
          <w:lang w:val="zh-CN"/>
        </w:rPr>
        <w:t>理工作水平</w:t>
      </w:r>
    </w:p>
    <w:p w14:paraId="2A712CC8">
      <w:pPr>
        <w:widowControl/>
        <w:numPr>
          <w:ilvl w:val="0"/>
          <w:numId w:val="9"/>
        </w:numPr>
        <w:adjustRightInd w:val="0"/>
        <w:snapToGrid w:val="0"/>
        <w:spacing w:line="560" w:lineRule="exact"/>
        <w:ind w:firstLine="641"/>
        <w:contextualSpacing/>
        <w:jc w:val="left"/>
        <w:rPr>
          <w:rFonts w:ascii="黑体" w:hAnsi="黑体" w:eastAsia="黑体" w:cs="楷体_GB2312"/>
          <w:bCs/>
          <w:kern w:val="0"/>
          <w:sz w:val="32"/>
          <w:szCs w:val="32"/>
          <w:shd w:val="clear" w:color="auto" w:fill="FFFFFF"/>
          <w:lang w:val="zh-CN"/>
        </w:rPr>
      </w:pPr>
      <w:r>
        <w:rPr>
          <w:rFonts w:hint="eastAsia" w:ascii="黑体" w:hAnsi="黑体" w:eastAsia="黑体" w:cs="楷体_GB2312"/>
          <w:bCs/>
          <w:kern w:val="0"/>
          <w:sz w:val="32"/>
          <w:szCs w:val="32"/>
          <w:shd w:val="clear" w:color="auto" w:fill="FFFFFF"/>
          <w:lang w:val="zh-CN"/>
        </w:rPr>
        <w:t>自评质量。</w:t>
      </w:r>
    </w:p>
    <w:p w14:paraId="1C9C4D21">
      <w:pPr>
        <w:widowControl/>
        <w:adjustRightInd w:val="0"/>
        <w:snapToGrid w:val="0"/>
        <w:spacing w:line="600" w:lineRule="exact"/>
        <w:ind w:firstLine="640" w:firstLineChars="200"/>
        <w:contextualSpacing/>
        <w:jc w:val="left"/>
        <w:rPr>
          <w:rFonts w:ascii="仿宋" w:hAnsi="仿宋" w:eastAsia="仿宋" w:cs="宋体"/>
          <w:kern w:val="0"/>
          <w:sz w:val="32"/>
          <w:szCs w:val="32"/>
          <w:shd w:val="clear" w:color="auto" w:fill="FFFFFF"/>
          <w:lang w:val="zh-CN"/>
        </w:rPr>
      </w:pPr>
      <w:r>
        <w:rPr>
          <w:rFonts w:hint="eastAsia" w:ascii="仿宋" w:hAnsi="仿宋" w:eastAsia="仿宋" w:cs="宋体"/>
          <w:kern w:val="0"/>
          <w:sz w:val="32"/>
          <w:szCs w:val="32"/>
          <w:shd w:val="clear" w:color="auto" w:fill="FFFFFF"/>
          <w:lang w:val="zh-CN"/>
        </w:rPr>
        <w:t>2022年全局部门整体支出绩效自评得分为</w:t>
      </w:r>
      <w:r>
        <w:rPr>
          <w:rFonts w:ascii="仿宋" w:hAnsi="仿宋" w:eastAsia="仿宋" w:cs="宋体"/>
          <w:kern w:val="0"/>
          <w:sz w:val="32"/>
          <w:szCs w:val="32"/>
          <w:shd w:val="clear" w:color="auto" w:fill="FFFFFF"/>
          <w:lang w:val="zh-CN"/>
        </w:rPr>
        <w:t>90</w:t>
      </w:r>
      <w:r>
        <w:rPr>
          <w:rFonts w:hint="eastAsia" w:ascii="仿宋" w:hAnsi="仿宋" w:eastAsia="仿宋" w:cs="宋体"/>
          <w:kern w:val="0"/>
          <w:sz w:val="32"/>
          <w:szCs w:val="32"/>
          <w:shd w:val="clear" w:color="auto" w:fill="FFFFFF"/>
          <w:lang w:val="zh-CN"/>
        </w:rPr>
        <w:t>分，结果显示绩效管理情况为优秀，达到了年初设定的各项绩效目标。所有资金使用严格按审批程序办理、操作规范，会计核算结果真实、准确，各项支出严格按照各项制度执行。</w:t>
      </w:r>
    </w:p>
    <w:p w14:paraId="170847D4">
      <w:pPr>
        <w:widowControl/>
        <w:adjustRightInd w:val="0"/>
        <w:snapToGrid w:val="0"/>
        <w:spacing w:line="560" w:lineRule="exact"/>
        <w:ind w:firstLine="640" w:firstLineChars="200"/>
        <w:contextualSpacing/>
        <w:jc w:val="left"/>
        <w:rPr>
          <w:rFonts w:ascii="黑体" w:hAnsi="宋体" w:eastAsia="黑体" w:cs="宋体"/>
          <w:kern w:val="0"/>
          <w:sz w:val="32"/>
          <w:szCs w:val="32"/>
          <w:shd w:val="clear" w:color="auto" w:fill="FFFFFF"/>
        </w:rPr>
      </w:pPr>
      <w:r>
        <w:rPr>
          <w:rFonts w:hint="eastAsia" w:ascii="黑体" w:hAnsi="宋体" w:eastAsia="黑体" w:cs="宋体"/>
          <w:kern w:val="0"/>
          <w:sz w:val="32"/>
          <w:szCs w:val="32"/>
          <w:shd w:val="clear" w:color="auto" w:fill="FFFFFF"/>
        </w:rPr>
        <w:t>四、评价结论及建议</w:t>
      </w:r>
    </w:p>
    <w:p w14:paraId="1AF9B848">
      <w:pPr>
        <w:widowControl/>
        <w:adjustRightInd w:val="0"/>
        <w:snapToGrid w:val="0"/>
        <w:spacing w:line="560" w:lineRule="exact"/>
        <w:ind w:firstLine="640" w:firstLineChars="200"/>
        <w:contextualSpacing/>
        <w:jc w:val="left"/>
        <w:rPr>
          <w:rFonts w:ascii="黑体" w:hAnsi="黑体" w:eastAsia="黑体" w:cs="楷体_GB2312"/>
          <w:bCs/>
          <w:kern w:val="0"/>
          <w:sz w:val="32"/>
          <w:szCs w:val="32"/>
          <w:shd w:val="clear" w:color="auto" w:fill="FFFFFF"/>
          <w:lang w:val="zh-CN"/>
        </w:rPr>
      </w:pPr>
      <w:r>
        <w:rPr>
          <w:rFonts w:hint="eastAsia" w:ascii="黑体" w:hAnsi="黑体" w:eastAsia="黑体" w:cs="楷体_GB2312"/>
          <w:bCs/>
          <w:kern w:val="0"/>
          <w:sz w:val="32"/>
          <w:szCs w:val="32"/>
          <w:shd w:val="clear" w:color="auto" w:fill="FFFFFF"/>
          <w:lang w:val="zh-CN"/>
        </w:rPr>
        <w:t>（一）评价结论。</w:t>
      </w:r>
    </w:p>
    <w:p w14:paraId="0856B8D4">
      <w:pPr>
        <w:pStyle w:val="2"/>
        <w:spacing w:before="93" w:line="60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按照部门整体支出绩效评价评分表的评分标准，我局对年初设定的绩效目标完成情况进行了自检自查。绩效目标立项合理、指标明确。对经费的管理和使用合理规范，相关管理制度健全，项目效益明确，项目实施达到了预期效果，各项工作均已圆满完成。</w:t>
      </w:r>
    </w:p>
    <w:p w14:paraId="5A81B79D">
      <w:pPr>
        <w:widowControl/>
        <w:numPr>
          <w:ilvl w:val="0"/>
          <w:numId w:val="10"/>
        </w:numPr>
        <w:adjustRightInd w:val="0"/>
        <w:snapToGrid w:val="0"/>
        <w:spacing w:line="560" w:lineRule="exact"/>
        <w:ind w:firstLine="640" w:firstLineChars="200"/>
        <w:contextualSpacing/>
        <w:jc w:val="left"/>
        <w:rPr>
          <w:rFonts w:ascii="楷体_GB2312" w:hAnsi="楷体_GB2312" w:eastAsia="楷体_GB2312" w:cs="楷体_GB2312"/>
          <w:b/>
          <w:bCs/>
          <w:kern w:val="0"/>
          <w:sz w:val="32"/>
          <w:szCs w:val="32"/>
          <w:shd w:val="clear" w:color="auto" w:fill="FFFFFF"/>
          <w:lang w:val="zh-CN"/>
        </w:rPr>
      </w:pPr>
      <w:r>
        <w:rPr>
          <w:rFonts w:hint="eastAsia" w:ascii="黑体" w:hAnsi="黑体" w:eastAsia="黑体" w:cs="楷体_GB2312"/>
          <w:bCs/>
          <w:kern w:val="0"/>
          <w:sz w:val="32"/>
          <w:szCs w:val="32"/>
          <w:shd w:val="clear" w:color="auto" w:fill="FFFFFF"/>
          <w:lang w:val="zh-CN"/>
        </w:rPr>
        <w:t>存在问题</w:t>
      </w:r>
      <w:r>
        <w:rPr>
          <w:rFonts w:hint="eastAsia" w:ascii="楷体_GB2312" w:hAnsi="楷体_GB2312" w:eastAsia="楷体_GB2312" w:cs="楷体_GB2312"/>
          <w:b/>
          <w:bCs/>
          <w:kern w:val="0"/>
          <w:sz w:val="32"/>
          <w:szCs w:val="32"/>
          <w:shd w:val="clear" w:color="auto" w:fill="FFFFFF"/>
          <w:lang w:val="zh-CN"/>
        </w:rPr>
        <w:t>。</w:t>
      </w:r>
    </w:p>
    <w:p w14:paraId="6FA3DAF6">
      <w:pPr>
        <w:pStyle w:val="2"/>
        <w:spacing w:before="93" w:line="600" w:lineRule="atLeas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lang w:val="zh-CN"/>
        </w:rPr>
        <w:t>绩效管理意识不强，还需进一步提高绩效管理水平。绩效自评目标不够规范。在绩效目标指标设定上普遍存在着与部门整体目标的关联不够的问题。</w:t>
      </w:r>
    </w:p>
    <w:p w14:paraId="2FB1413C">
      <w:pPr>
        <w:widowControl/>
        <w:numPr>
          <w:ilvl w:val="0"/>
          <w:numId w:val="10"/>
        </w:numPr>
        <w:adjustRightInd w:val="0"/>
        <w:snapToGrid w:val="0"/>
        <w:spacing w:line="560" w:lineRule="exact"/>
        <w:ind w:firstLine="640" w:firstLineChars="200"/>
        <w:contextualSpacing/>
        <w:jc w:val="left"/>
        <w:rPr>
          <w:rFonts w:ascii="黑体" w:hAnsi="黑体" w:eastAsia="黑体" w:cs="楷体_GB2312"/>
          <w:bCs/>
          <w:kern w:val="0"/>
          <w:sz w:val="32"/>
          <w:szCs w:val="32"/>
          <w:shd w:val="clear" w:color="auto" w:fill="FFFFFF"/>
          <w:lang w:val="zh-CN"/>
        </w:rPr>
      </w:pPr>
      <w:r>
        <w:rPr>
          <w:rFonts w:hint="eastAsia" w:ascii="黑体" w:hAnsi="黑体" w:eastAsia="黑体" w:cs="楷体_GB2312"/>
          <w:bCs/>
          <w:kern w:val="0"/>
          <w:sz w:val="32"/>
          <w:szCs w:val="32"/>
          <w:shd w:val="clear" w:color="auto" w:fill="FFFFFF"/>
          <w:lang w:val="zh-CN"/>
        </w:rPr>
        <w:t>改进建议。</w:t>
      </w:r>
    </w:p>
    <w:p w14:paraId="4B5085E9">
      <w:pPr>
        <w:pStyle w:val="2"/>
        <w:spacing w:before="93" w:line="600" w:lineRule="exact"/>
        <w:ind w:firstLine="640" w:firstLineChars="200"/>
        <w:rPr>
          <w:rFonts w:ascii="仿宋" w:hAnsi="仿宋" w:eastAsia="仿宋" w:cs="宋体"/>
          <w:sz w:val="32"/>
          <w:szCs w:val="32"/>
          <w:shd w:val="clear" w:color="auto" w:fill="FFFFFF"/>
          <w:lang w:val="zh-CN"/>
        </w:rPr>
      </w:pPr>
      <w:r>
        <w:rPr>
          <w:rFonts w:hint="eastAsia" w:ascii="仿宋" w:hAnsi="仿宋" w:eastAsia="仿宋" w:cs="宋体"/>
          <w:sz w:val="32"/>
          <w:szCs w:val="32"/>
          <w:shd w:val="clear" w:color="auto" w:fill="FFFFFF"/>
        </w:rPr>
        <w:t>深入开展部门整体支出绩效评价工作，对下属单位实施绩效自评和部门核查。强化评价结果应用，组织绩效自评，对发现的问题及时改进。健全绩效管理工作机制，明确职责分工，努力提高绩效管理工作水平。</w:t>
      </w:r>
    </w:p>
    <w:p w14:paraId="2B934C67">
      <w:pPr>
        <w:pStyle w:val="2"/>
        <w:spacing w:before="93"/>
        <w:rPr>
          <w:rFonts w:hint="eastAsia" w:hAnsi="宋体" w:cs="宋体"/>
          <w:sz w:val="32"/>
          <w:szCs w:val="32"/>
          <w:shd w:val="clear" w:color="auto" w:fill="FFFFFF"/>
          <w:lang w:val="zh-CN"/>
        </w:rPr>
      </w:pPr>
    </w:p>
    <w:p w14:paraId="60C9FDC7">
      <w:pPr>
        <w:pStyle w:val="2"/>
        <w:spacing w:before="93"/>
        <w:rPr>
          <w:rFonts w:hAnsi="宋体" w:cs="宋体"/>
          <w:sz w:val="32"/>
          <w:szCs w:val="32"/>
          <w:shd w:val="clear" w:color="auto" w:fill="FFFFFF"/>
          <w:lang w:val="zh-CN"/>
        </w:rPr>
      </w:pPr>
    </w:p>
    <w:p w14:paraId="69A42EC8">
      <w:pPr>
        <w:pStyle w:val="2"/>
        <w:spacing w:before="93"/>
        <w:rPr>
          <w:rFonts w:hAnsi="宋体" w:cs="宋体"/>
          <w:sz w:val="32"/>
          <w:szCs w:val="32"/>
          <w:shd w:val="clear" w:color="auto" w:fill="FFFFFF"/>
          <w:lang w:val="zh-CN"/>
        </w:rPr>
      </w:pPr>
    </w:p>
    <w:p w14:paraId="5731D9CD">
      <w:pPr>
        <w:pStyle w:val="2"/>
        <w:spacing w:before="93"/>
        <w:rPr>
          <w:rFonts w:hAnsi="宋体" w:cs="宋体"/>
          <w:sz w:val="32"/>
          <w:szCs w:val="32"/>
          <w:shd w:val="clear" w:color="auto" w:fill="FFFFFF"/>
          <w:lang w:val="zh-CN"/>
        </w:rPr>
      </w:pPr>
    </w:p>
    <w:p w14:paraId="4EDB3CA3">
      <w:pPr>
        <w:pStyle w:val="2"/>
        <w:spacing w:before="93"/>
        <w:rPr>
          <w:rFonts w:hAnsi="宋体" w:cs="宋体"/>
          <w:sz w:val="32"/>
          <w:szCs w:val="32"/>
          <w:shd w:val="clear" w:color="auto" w:fill="FFFFFF"/>
          <w:lang w:val="zh-CN"/>
        </w:rPr>
      </w:pPr>
    </w:p>
    <w:p w14:paraId="36E5E45F">
      <w:pPr>
        <w:pStyle w:val="2"/>
        <w:spacing w:before="93"/>
        <w:rPr>
          <w:rFonts w:hAnsi="宋体" w:cs="宋体"/>
          <w:sz w:val="32"/>
          <w:szCs w:val="32"/>
          <w:shd w:val="clear" w:color="auto" w:fill="FFFFFF"/>
          <w:lang w:val="zh-CN"/>
        </w:rPr>
      </w:pPr>
    </w:p>
    <w:p w14:paraId="4314F807">
      <w:pPr>
        <w:pStyle w:val="2"/>
        <w:spacing w:before="93"/>
        <w:rPr>
          <w:rFonts w:hAnsi="宋体" w:cs="宋体"/>
          <w:sz w:val="32"/>
          <w:szCs w:val="32"/>
          <w:shd w:val="clear" w:color="auto" w:fill="FFFFFF"/>
          <w:lang w:val="zh-CN"/>
        </w:rPr>
      </w:pPr>
    </w:p>
    <w:p w14:paraId="1B6622AB">
      <w:pPr>
        <w:pStyle w:val="2"/>
        <w:spacing w:before="93"/>
        <w:rPr>
          <w:rFonts w:hAnsi="宋体" w:cs="宋体"/>
          <w:sz w:val="32"/>
          <w:szCs w:val="32"/>
          <w:shd w:val="clear" w:color="auto" w:fill="FFFFFF"/>
          <w:lang w:val="zh-CN"/>
        </w:rPr>
      </w:pPr>
    </w:p>
    <w:p w14:paraId="27F31C64">
      <w:pPr>
        <w:pStyle w:val="2"/>
        <w:spacing w:before="93"/>
        <w:rPr>
          <w:rFonts w:hAnsi="宋体" w:cs="宋体"/>
          <w:sz w:val="32"/>
          <w:szCs w:val="32"/>
          <w:shd w:val="clear" w:color="auto" w:fill="FFFFFF"/>
          <w:lang w:val="zh-CN"/>
        </w:rPr>
      </w:pPr>
    </w:p>
    <w:p w14:paraId="72875AA6">
      <w:pPr>
        <w:pStyle w:val="2"/>
        <w:spacing w:before="93"/>
        <w:rPr>
          <w:rFonts w:hint="eastAsia" w:hAnsi="宋体" w:cs="宋体"/>
          <w:sz w:val="32"/>
          <w:szCs w:val="32"/>
          <w:shd w:val="clear" w:color="auto" w:fill="FFFFFF"/>
          <w:lang w:val="zh-CN"/>
        </w:rPr>
      </w:pPr>
    </w:p>
    <w:p w14:paraId="19307DE0">
      <w:pPr>
        <w:pStyle w:val="2"/>
        <w:spacing w:before="93"/>
        <w:rPr>
          <w:b/>
          <w:sz w:val="32"/>
          <w:szCs w:val="32"/>
        </w:rPr>
      </w:pPr>
      <w:r>
        <w:rPr>
          <w:rFonts w:hint="eastAsia" w:hAnsi="宋体" w:cs="宋体"/>
          <w:b/>
          <w:sz w:val="32"/>
          <w:szCs w:val="32"/>
          <w:shd w:val="clear" w:color="auto" w:fill="FFFFFF"/>
          <w:lang w:val="zh-CN"/>
        </w:rPr>
        <w:t>附件</w:t>
      </w:r>
      <w:r>
        <w:rPr>
          <w:rFonts w:hint="eastAsia" w:hAnsi="宋体" w:cs="宋体"/>
          <w:b/>
          <w:sz w:val="32"/>
          <w:szCs w:val="32"/>
          <w:shd w:val="clear" w:color="auto" w:fill="FFFFFF"/>
        </w:rPr>
        <w:t>2</w:t>
      </w:r>
    </w:p>
    <w:p w14:paraId="42595A95">
      <w:pPr>
        <w:spacing w:line="600" w:lineRule="exact"/>
        <w:jc w:val="center"/>
        <w:rPr>
          <w:rFonts w:ascii="方正小标宋_GBK" w:hAnsi="方正小标宋_GBK" w:eastAsia="方正小标宋_GBK" w:cs="方正小标宋_GBK"/>
          <w:sz w:val="32"/>
          <w:szCs w:val="32"/>
          <w:lang w:val="zh-CN"/>
        </w:rPr>
      </w:pPr>
      <w:r>
        <w:rPr>
          <w:rFonts w:ascii="Cambria" w:hAnsi="Cambria" w:eastAsia="方正小标宋_GBK" w:cs="方正小标宋_GBK"/>
          <w:sz w:val="32"/>
          <w:szCs w:val="32"/>
        </w:rPr>
        <w:t xml:space="preserve"> </w:t>
      </w:r>
      <w:r>
        <w:rPr>
          <w:rFonts w:hint="eastAsia" w:ascii="方正小标宋_GBK" w:hAnsi="方正小标宋_GBK" w:eastAsia="方正小标宋_GBK" w:cs="方正小标宋_GBK"/>
          <w:sz w:val="32"/>
          <w:szCs w:val="32"/>
        </w:rPr>
        <w:t>2022年</w:t>
      </w:r>
      <w:r>
        <w:rPr>
          <w:rFonts w:hint="eastAsia" w:asciiTheme="majorEastAsia" w:hAnsiTheme="majorEastAsia" w:eastAsiaTheme="majorEastAsia" w:cstheme="majorEastAsia"/>
          <w:sz w:val="32"/>
          <w:szCs w:val="32"/>
        </w:rPr>
        <w:t>煤矿关闭奖补资金</w:t>
      </w:r>
      <w:r>
        <w:rPr>
          <w:rFonts w:hint="eastAsia" w:ascii="方正小标宋_GBK" w:hAnsi="方正小标宋_GBK" w:eastAsia="方正小标宋_GBK" w:cs="方正小标宋_GBK"/>
          <w:sz w:val="32"/>
          <w:szCs w:val="32"/>
          <w:lang w:val="zh-CN"/>
        </w:rPr>
        <w:t>专项项目支出</w:t>
      </w:r>
    </w:p>
    <w:p w14:paraId="2EFF0853">
      <w:pPr>
        <w:spacing w:line="600" w:lineRule="exact"/>
        <w:jc w:val="center"/>
        <w:rPr>
          <w:rFonts w:hint="eastAsia" w:ascii="方正小标宋_GBK" w:hAnsi="方正小标宋_GBK" w:eastAsia="方正小标宋_GBK" w:cs="方正小标宋_GBK"/>
          <w:sz w:val="32"/>
          <w:szCs w:val="32"/>
          <w:lang w:val="zh-CN"/>
        </w:rPr>
      </w:pPr>
      <w:r>
        <w:rPr>
          <w:rFonts w:hint="eastAsia" w:ascii="方正小标宋_GBK" w:hAnsi="方正小标宋_GBK" w:eastAsia="方正小标宋_GBK" w:cs="方正小标宋_GBK"/>
          <w:sz w:val="32"/>
          <w:szCs w:val="32"/>
          <w:lang w:val="zh-CN"/>
        </w:rPr>
        <w:t>绩效自评报告</w:t>
      </w:r>
    </w:p>
    <w:p w14:paraId="50FB9794">
      <w:pPr>
        <w:widowControl/>
        <w:kinsoku w:val="0"/>
        <w:autoSpaceDE w:val="0"/>
        <w:autoSpaceDN w:val="0"/>
        <w:adjustRightInd w:val="0"/>
        <w:snapToGrid w:val="0"/>
        <w:spacing w:line="560" w:lineRule="atLeast"/>
        <w:ind w:left="624"/>
        <w:textAlignment w:val="baseline"/>
        <w:outlineLvl w:val="0"/>
        <w:rPr>
          <w:rFonts w:ascii="仿宋" w:hAnsi="仿宋" w:eastAsia="仿宋" w:cs="仿宋"/>
          <w:sz w:val="32"/>
          <w:szCs w:val="32"/>
        </w:rPr>
      </w:pPr>
      <w:r>
        <w:rPr>
          <w:rFonts w:ascii="仿宋" w:hAnsi="仿宋" w:eastAsia="仿宋" w:cs="仿宋"/>
          <w:spacing w:val="-6"/>
          <w:sz w:val="32"/>
          <w:szCs w:val="32"/>
        </w:rPr>
        <w:t>一</w:t>
      </w:r>
      <w:r>
        <w:rPr>
          <w:rFonts w:ascii="仿宋" w:hAnsi="仿宋" w:eastAsia="仿宋" w:cs="仿宋"/>
          <w:spacing w:val="-4"/>
          <w:sz w:val="32"/>
          <w:szCs w:val="32"/>
        </w:rPr>
        <w:t>、</w:t>
      </w:r>
      <w:r>
        <w:rPr>
          <w:rFonts w:ascii="仿宋" w:hAnsi="仿宋" w:eastAsia="仿宋" w:cs="仿宋"/>
          <w:spacing w:val="-3"/>
          <w:sz w:val="32"/>
          <w:szCs w:val="32"/>
        </w:rPr>
        <w:t>项目概况</w:t>
      </w:r>
    </w:p>
    <w:p w14:paraId="53D8AB26">
      <w:pPr>
        <w:widowControl/>
        <w:kinsoku w:val="0"/>
        <w:autoSpaceDE w:val="0"/>
        <w:autoSpaceDN w:val="0"/>
        <w:adjustRightInd w:val="0"/>
        <w:snapToGrid w:val="0"/>
        <w:spacing w:line="560" w:lineRule="atLeast"/>
        <w:ind w:left="759"/>
        <w:textAlignment w:val="baseline"/>
        <w:rPr>
          <w:rFonts w:ascii="仿宋" w:hAnsi="仿宋" w:eastAsia="仿宋" w:cs="仿宋"/>
          <w:spacing w:val="9"/>
          <w:sz w:val="32"/>
          <w:szCs w:val="32"/>
        </w:rPr>
      </w:pPr>
      <w:r>
        <w:rPr>
          <w:rFonts w:hint="eastAsia" w:ascii="仿宋" w:hAnsi="仿宋" w:eastAsia="仿宋" w:cs="仿宋"/>
          <w:spacing w:val="10"/>
          <w:sz w:val="32"/>
          <w:szCs w:val="32"/>
          <w:lang w:eastAsia="zh-CN"/>
        </w:rPr>
        <w:t>（</w:t>
      </w:r>
      <w:r>
        <w:rPr>
          <w:rFonts w:ascii="仿宋" w:hAnsi="仿宋" w:eastAsia="仿宋" w:cs="仿宋"/>
          <w:spacing w:val="10"/>
          <w:sz w:val="32"/>
          <w:szCs w:val="32"/>
        </w:rPr>
        <w:t>一</w:t>
      </w:r>
      <w:r>
        <w:rPr>
          <w:rFonts w:hint="eastAsia" w:ascii="仿宋" w:hAnsi="仿宋" w:eastAsia="仿宋" w:cs="仿宋"/>
          <w:spacing w:val="10"/>
          <w:sz w:val="32"/>
          <w:szCs w:val="32"/>
          <w:lang w:eastAsia="zh-CN"/>
        </w:rPr>
        <w:t>）</w:t>
      </w:r>
      <w:r>
        <w:rPr>
          <w:rFonts w:ascii="仿宋" w:hAnsi="仿宋" w:eastAsia="仿宋" w:cs="仿宋"/>
          <w:spacing w:val="10"/>
          <w:sz w:val="32"/>
          <w:szCs w:val="32"/>
        </w:rPr>
        <w:t>项目</w:t>
      </w:r>
      <w:r>
        <w:rPr>
          <w:rFonts w:hint="eastAsia" w:ascii="仿宋" w:hAnsi="仿宋" w:eastAsia="仿宋" w:cs="仿宋"/>
          <w:spacing w:val="10"/>
          <w:sz w:val="32"/>
          <w:szCs w:val="32"/>
        </w:rPr>
        <w:t>基本情况</w:t>
      </w:r>
      <w:r>
        <w:rPr>
          <w:rFonts w:ascii="仿宋" w:hAnsi="仿宋" w:eastAsia="仿宋" w:cs="仿宋"/>
          <w:spacing w:val="9"/>
          <w:sz w:val="32"/>
          <w:szCs w:val="32"/>
        </w:rPr>
        <w:t>。</w:t>
      </w:r>
    </w:p>
    <w:p w14:paraId="6F44414B">
      <w:pPr>
        <w:widowControl/>
        <w:kinsoku w:val="0"/>
        <w:autoSpaceDE w:val="0"/>
        <w:autoSpaceDN w:val="0"/>
        <w:adjustRightInd w:val="0"/>
        <w:snapToGrid w:val="0"/>
        <w:spacing w:line="560" w:lineRule="atLeast"/>
        <w:ind w:firstLine="676" w:firstLineChars="200"/>
        <w:textAlignment w:val="baseline"/>
        <w:rPr>
          <w:rFonts w:ascii="仿宋" w:hAnsi="仿宋" w:eastAsia="仿宋" w:cs="仿宋"/>
          <w:spacing w:val="9"/>
          <w:sz w:val="32"/>
          <w:szCs w:val="32"/>
        </w:rPr>
      </w:pPr>
      <w:r>
        <w:rPr>
          <w:rFonts w:hint="eastAsia" w:ascii="仿宋" w:hAnsi="仿宋" w:eastAsia="仿宋" w:cs="仿宋"/>
          <w:spacing w:val="9"/>
          <w:sz w:val="32"/>
          <w:szCs w:val="32"/>
        </w:rPr>
        <w:t>2020年，按照国家、省、乐山市关于化解煤炭过剩产能工作要求，峨眉山</w:t>
      </w:r>
      <w:r>
        <w:rPr>
          <w:rFonts w:hint="eastAsia" w:ascii="仿宋" w:hAnsi="仿宋" w:eastAsia="仿宋" w:cs="仿宋"/>
          <w:spacing w:val="9"/>
          <w:sz w:val="32"/>
          <w:szCs w:val="32"/>
          <w:lang w:eastAsia="zh-CN"/>
        </w:rPr>
        <w:t>市委、市政府</w:t>
      </w:r>
      <w:r>
        <w:rPr>
          <w:rFonts w:hint="eastAsia" w:ascii="仿宋" w:hAnsi="仿宋" w:eastAsia="仿宋" w:cs="仿宋"/>
          <w:spacing w:val="9"/>
          <w:sz w:val="32"/>
          <w:szCs w:val="32"/>
        </w:rPr>
        <w:t>决定对峨眉山市八益煤业有限公司苗圃井、峨眉山市川主张沟煤矿、峨眉山市川主乡李杨煤矿等3处煤矿实施政策性引导关闭，合计退出煤炭产能45万吨。</w:t>
      </w:r>
    </w:p>
    <w:p w14:paraId="7D59A263">
      <w:pPr>
        <w:widowControl/>
        <w:kinsoku w:val="0"/>
        <w:autoSpaceDE w:val="0"/>
        <w:autoSpaceDN w:val="0"/>
        <w:adjustRightInd w:val="0"/>
        <w:snapToGrid w:val="0"/>
        <w:spacing w:line="560" w:lineRule="atLeast"/>
        <w:ind w:right="47" w:firstLine="652" w:firstLineChars="200"/>
        <w:textAlignment w:val="baseline"/>
        <w:rPr>
          <w:rFonts w:ascii="仿宋" w:hAnsi="仿宋" w:eastAsia="仿宋" w:cs="仿宋"/>
          <w:spacing w:val="-4"/>
          <w:sz w:val="32"/>
          <w:szCs w:val="32"/>
        </w:rPr>
      </w:pPr>
      <w:r>
        <w:rPr>
          <w:rFonts w:hint="eastAsia" w:ascii="仿宋" w:hAnsi="仿宋" w:eastAsia="仿宋" w:cs="仿宋"/>
          <w:spacing w:val="3"/>
          <w:sz w:val="32"/>
          <w:szCs w:val="32"/>
        </w:rPr>
        <w:t>（二）</w:t>
      </w:r>
      <w:r>
        <w:rPr>
          <w:rFonts w:ascii="仿宋" w:hAnsi="仿宋" w:eastAsia="仿宋" w:cs="仿宋"/>
          <w:spacing w:val="3"/>
          <w:sz w:val="32"/>
          <w:szCs w:val="32"/>
        </w:rPr>
        <w:t>项目应实现的具体绩效目标，包括目标的量化、细化</w:t>
      </w:r>
      <w:r>
        <w:rPr>
          <w:rFonts w:ascii="仿宋" w:hAnsi="仿宋" w:eastAsia="仿宋" w:cs="仿宋"/>
          <w:spacing w:val="-8"/>
          <w:sz w:val="32"/>
          <w:szCs w:val="32"/>
        </w:rPr>
        <w:t>情况</w:t>
      </w:r>
      <w:r>
        <w:rPr>
          <w:rFonts w:ascii="仿宋" w:hAnsi="仿宋" w:eastAsia="仿宋" w:cs="仿宋"/>
          <w:spacing w:val="-7"/>
          <w:sz w:val="32"/>
          <w:szCs w:val="32"/>
        </w:rPr>
        <w:t>以</w:t>
      </w:r>
      <w:r>
        <w:rPr>
          <w:rFonts w:ascii="仿宋" w:hAnsi="仿宋" w:eastAsia="仿宋" w:cs="仿宋"/>
          <w:spacing w:val="-4"/>
          <w:sz w:val="32"/>
          <w:szCs w:val="32"/>
        </w:rPr>
        <w:t>及项目实施进度计划等。</w:t>
      </w:r>
    </w:p>
    <w:p w14:paraId="7A6E54F4">
      <w:pPr>
        <w:widowControl/>
        <w:kinsoku w:val="0"/>
        <w:autoSpaceDE w:val="0"/>
        <w:autoSpaceDN w:val="0"/>
        <w:adjustRightInd w:val="0"/>
        <w:snapToGrid w:val="0"/>
        <w:spacing w:line="560" w:lineRule="atLeast"/>
        <w:ind w:right="47"/>
        <w:textAlignment w:val="baseline"/>
        <w:rPr>
          <w:rFonts w:ascii="仿宋" w:hAnsi="仿宋" w:eastAsia="仿宋" w:cs="仿宋"/>
          <w:spacing w:val="9"/>
          <w:sz w:val="32"/>
          <w:szCs w:val="32"/>
        </w:rPr>
      </w:pPr>
      <w:r>
        <w:rPr>
          <w:rFonts w:hint="eastAsia" w:ascii="仿宋" w:hAnsi="仿宋" w:eastAsia="仿宋" w:cs="仿宋"/>
          <w:spacing w:val="-4"/>
          <w:sz w:val="32"/>
          <w:szCs w:val="32"/>
        </w:rPr>
        <w:t xml:space="preserve">    </w:t>
      </w:r>
      <w:r>
        <w:rPr>
          <w:rFonts w:hint="eastAsia" w:ascii="仿宋" w:hAnsi="仿宋" w:eastAsia="仿宋" w:cs="仿宋"/>
          <w:spacing w:val="9"/>
          <w:sz w:val="32"/>
          <w:szCs w:val="32"/>
        </w:rPr>
        <w:t xml:space="preserve"> 项目目标任务为对3家煤矿企业实施引导关闭退出，涉及煤炭产能45万吨。该任务于2021年1月完成并通过上级组织验收。</w:t>
      </w:r>
    </w:p>
    <w:p w14:paraId="4D9B4184">
      <w:pPr>
        <w:widowControl/>
        <w:kinsoku w:val="0"/>
        <w:autoSpaceDE w:val="0"/>
        <w:autoSpaceDN w:val="0"/>
        <w:adjustRightInd w:val="0"/>
        <w:snapToGrid w:val="0"/>
        <w:spacing w:line="560" w:lineRule="atLeast"/>
        <w:ind w:right="53" w:firstLine="652" w:firstLineChars="200"/>
        <w:textAlignment w:val="baseline"/>
        <w:rPr>
          <w:rFonts w:ascii="仿宋" w:hAnsi="仿宋" w:eastAsia="仿宋" w:cs="仿宋"/>
          <w:spacing w:val="-12"/>
          <w:sz w:val="32"/>
          <w:szCs w:val="32"/>
        </w:rPr>
      </w:pPr>
      <w:r>
        <w:rPr>
          <w:rFonts w:hint="eastAsia" w:ascii="仿宋" w:hAnsi="仿宋" w:eastAsia="仿宋" w:cs="仿宋"/>
          <w:spacing w:val="3"/>
          <w:sz w:val="32"/>
          <w:szCs w:val="32"/>
        </w:rPr>
        <w:t>（三）</w:t>
      </w:r>
      <w:r>
        <w:rPr>
          <w:rFonts w:ascii="仿宋" w:hAnsi="仿宋" w:eastAsia="仿宋" w:cs="仿宋"/>
          <w:spacing w:val="3"/>
          <w:sz w:val="32"/>
          <w:szCs w:val="32"/>
        </w:rPr>
        <w:t>分析评价申报内容是否与实际相符，申报目标是否</w:t>
      </w:r>
      <w:r>
        <w:rPr>
          <w:rFonts w:ascii="仿宋" w:hAnsi="仿宋" w:eastAsia="仿宋" w:cs="仿宋"/>
          <w:spacing w:val="2"/>
          <w:sz w:val="32"/>
          <w:szCs w:val="32"/>
        </w:rPr>
        <w:t>合</w:t>
      </w:r>
      <w:r>
        <w:rPr>
          <w:rFonts w:ascii="仿宋" w:hAnsi="仿宋" w:eastAsia="仿宋" w:cs="仿宋"/>
          <w:spacing w:val="-14"/>
          <w:sz w:val="32"/>
          <w:szCs w:val="32"/>
        </w:rPr>
        <w:t>理</w:t>
      </w:r>
      <w:r>
        <w:rPr>
          <w:rFonts w:ascii="仿宋" w:hAnsi="仿宋" w:eastAsia="仿宋" w:cs="仿宋"/>
          <w:spacing w:val="-12"/>
          <w:sz w:val="32"/>
          <w:szCs w:val="32"/>
        </w:rPr>
        <w:t>可行。</w:t>
      </w:r>
    </w:p>
    <w:p w14:paraId="10700097">
      <w:pPr>
        <w:widowControl/>
        <w:kinsoku w:val="0"/>
        <w:autoSpaceDE w:val="0"/>
        <w:autoSpaceDN w:val="0"/>
        <w:adjustRightInd w:val="0"/>
        <w:snapToGrid w:val="0"/>
        <w:spacing w:line="560" w:lineRule="atLeast"/>
        <w:ind w:left="759" w:right="53"/>
        <w:textAlignment w:val="baseline"/>
        <w:rPr>
          <w:rFonts w:ascii="仿宋" w:hAnsi="仿宋" w:eastAsia="仿宋" w:cs="仿宋"/>
          <w:spacing w:val="-12"/>
          <w:sz w:val="32"/>
          <w:szCs w:val="32"/>
        </w:rPr>
      </w:pPr>
      <w:r>
        <w:rPr>
          <w:rFonts w:hint="eastAsia" w:ascii="仿宋" w:hAnsi="仿宋" w:eastAsia="仿宋" w:cs="仿宋"/>
          <w:spacing w:val="-12"/>
          <w:sz w:val="32"/>
          <w:szCs w:val="32"/>
        </w:rPr>
        <w:t>煤矿井口已全部封闭，申报内容与实际相符，目标合理可行。</w:t>
      </w:r>
    </w:p>
    <w:p w14:paraId="573DA620">
      <w:pPr>
        <w:spacing w:before="1" w:line="317" w:lineRule="auto"/>
        <w:ind w:left="759" w:right="53"/>
        <w:rPr>
          <w:rFonts w:ascii="仿宋" w:hAnsi="仿宋" w:eastAsia="仿宋" w:cs="仿宋"/>
          <w:spacing w:val="-12"/>
          <w:sz w:val="32"/>
          <w:szCs w:val="32"/>
        </w:rPr>
      </w:pPr>
    </w:p>
    <w:p w14:paraId="26ACABA7">
      <w:pPr>
        <w:spacing w:before="1" w:line="221" w:lineRule="auto"/>
        <w:ind w:left="624"/>
        <w:outlineLvl w:val="0"/>
        <w:rPr>
          <w:rFonts w:ascii="黑体" w:hAnsi="黑体" w:eastAsia="黑体" w:cs="黑体"/>
          <w:sz w:val="32"/>
          <w:szCs w:val="32"/>
        </w:rPr>
      </w:pPr>
      <w:r>
        <w:rPr>
          <w:rFonts w:ascii="黑体" w:hAnsi="黑体" w:eastAsia="黑体" w:cs="黑体"/>
          <w:spacing w:val="-2"/>
          <w:sz w:val="32"/>
          <w:szCs w:val="32"/>
        </w:rPr>
        <w:t>二、项目</w:t>
      </w:r>
      <w:r>
        <w:rPr>
          <w:rFonts w:ascii="黑体" w:hAnsi="黑体" w:eastAsia="黑体" w:cs="黑体"/>
          <w:spacing w:val="-1"/>
          <w:sz w:val="32"/>
          <w:szCs w:val="32"/>
        </w:rPr>
        <w:t>资金申报及使用情况</w:t>
      </w:r>
    </w:p>
    <w:p w14:paraId="2EE421F6">
      <w:pPr>
        <w:spacing w:before="169" w:line="226" w:lineRule="auto"/>
        <w:ind w:left="759"/>
        <w:rPr>
          <w:rFonts w:ascii="楷体" w:hAnsi="楷体" w:eastAsia="楷体" w:cs="楷体"/>
          <w:sz w:val="32"/>
          <w:szCs w:val="32"/>
        </w:rPr>
      </w:pPr>
      <w:r>
        <w:rPr>
          <w:rFonts w:hint="eastAsia" w:ascii="楷体" w:hAnsi="楷体" w:eastAsia="楷体" w:cs="楷体"/>
          <w:spacing w:val="13"/>
          <w:sz w:val="32"/>
          <w:szCs w:val="32"/>
          <w:lang w:eastAsia="zh-CN"/>
        </w:rPr>
        <w:t>（</w:t>
      </w:r>
      <w:r>
        <w:rPr>
          <w:rFonts w:ascii="楷体" w:hAnsi="楷体" w:eastAsia="楷体" w:cs="楷体"/>
          <w:spacing w:val="12"/>
          <w:sz w:val="32"/>
          <w:szCs w:val="32"/>
        </w:rPr>
        <w:t>一</w:t>
      </w:r>
      <w:r>
        <w:rPr>
          <w:rFonts w:hint="eastAsia" w:ascii="楷体" w:hAnsi="楷体" w:eastAsia="楷体" w:cs="楷体"/>
          <w:spacing w:val="12"/>
          <w:sz w:val="32"/>
          <w:szCs w:val="32"/>
          <w:lang w:eastAsia="zh-CN"/>
        </w:rPr>
        <w:t>）</w:t>
      </w:r>
      <w:r>
        <w:rPr>
          <w:rFonts w:ascii="楷体" w:hAnsi="楷体" w:eastAsia="楷体" w:cs="楷体"/>
          <w:spacing w:val="12"/>
          <w:sz w:val="32"/>
          <w:szCs w:val="32"/>
        </w:rPr>
        <w:t>项目资金申报及批复情况</w:t>
      </w:r>
    </w:p>
    <w:p w14:paraId="1CBDDB81">
      <w:pPr>
        <w:spacing w:before="165" w:line="317" w:lineRule="auto"/>
        <w:ind w:firstLine="624"/>
        <w:rPr>
          <w:rFonts w:ascii="仿宋" w:hAnsi="仿宋" w:eastAsia="仿宋" w:cs="仿宋_GB2312"/>
          <w:spacing w:val="-2"/>
          <w:sz w:val="32"/>
          <w:szCs w:val="32"/>
        </w:rPr>
      </w:pPr>
      <w:r>
        <w:rPr>
          <w:rFonts w:hint="eastAsia" w:ascii="仿宋" w:hAnsi="仿宋" w:eastAsia="仿宋" w:cs="仿宋_GB2312"/>
          <w:spacing w:val="-2"/>
          <w:sz w:val="32"/>
          <w:szCs w:val="32"/>
        </w:rPr>
        <w:t>2022年1月，下达资金700万元。</w:t>
      </w:r>
    </w:p>
    <w:p w14:paraId="0EABF97A">
      <w:pPr>
        <w:spacing w:before="158" w:line="226" w:lineRule="auto"/>
        <w:ind w:left="759"/>
        <w:rPr>
          <w:rFonts w:ascii="楷体" w:hAnsi="楷体" w:eastAsia="楷体" w:cs="楷体"/>
          <w:sz w:val="32"/>
          <w:szCs w:val="32"/>
        </w:rPr>
      </w:pPr>
      <w:r>
        <w:rPr>
          <w:rFonts w:hint="eastAsia" w:ascii="楷体" w:hAnsi="楷体" w:eastAsia="楷体" w:cs="楷体"/>
          <w:spacing w:val="14"/>
          <w:sz w:val="32"/>
          <w:szCs w:val="32"/>
          <w:lang w:eastAsia="zh-CN"/>
        </w:rPr>
        <w:t>（</w:t>
      </w:r>
      <w:r>
        <w:rPr>
          <w:rFonts w:ascii="楷体" w:hAnsi="楷体" w:eastAsia="楷体" w:cs="楷体"/>
          <w:spacing w:val="13"/>
          <w:sz w:val="32"/>
          <w:szCs w:val="32"/>
        </w:rPr>
        <w:t>二</w:t>
      </w:r>
      <w:r>
        <w:rPr>
          <w:rFonts w:hint="eastAsia" w:ascii="楷体" w:hAnsi="楷体" w:eastAsia="楷体" w:cs="楷体"/>
          <w:spacing w:val="13"/>
          <w:sz w:val="32"/>
          <w:szCs w:val="32"/>
          <w:lang w:eastAsia="zh-CN"/>
        </w:rPr>
        <w:t>）</w:t>
      </w:r>
      <w:r>
        <w:rPr>
          <w:rFonts w:ascii="楷体" w:hAnsi="楷体" w:eastAsia="楷体" w:cs="楷体"/>
          <w:spacing w:val="13"/>
          <w:sz w:val="32"/>
          <w:szCs w:val="32"/>
        </w:rPr>
        <w:t>资金计划、到位及使用情况</w:t>
      </w:r>
      <w:r>
        <w:rPr>
          <w:rFonts w:hint="eastAsia" w:ascii="楷体" w:hAnsi="楷体" w:eastAsia="楷体" w:cs="楷体"/>
          <w:spacing w:val="13"/>
          <w:sz w:val="32"/>
          <w:szCs w:val="32"/>
          <w:lang w:eastAsia="zh-CN"/>
        </w:rPr>
        <w:t>（</w:t>
      </w:r>
      <w:r>
        <w:rPr>
          <w:rFonts w:ascii="楷体" w:hAnsi="楷体" w:eastAsia="楷体" w:cs="楷体"/>
          <w:spacing w:val="13"/>
          <w:sz w:val="32"/>
          <w:szCs w:val="32"/>
        </w:rPr>
        <w:t>可用表格形式反映</w:t>
      </w:r>
      <w:r>
        <w:rPr>
          <w:rFonts w:hint="eastAsia" w:ascii="楷体" w:hAnsi="楷体" w:eastAsia="楷体" w:cs="楷体"/>
          <w:spacing w:val="13"/>
          <w:sz w:val="32"/>
          <w:szCs w:val="32"/>
          <w:lang w:eastAsia="zh-CN"/>
        </w:rPr>
        <w:t>）</w:t>
      </w:r>
    </w:p>
    <w:p w14:paraId="3A59531F">
      <w:pPr>
        <w:spacing w:before="165" w:line="317" w:lineRule="auto"/>
        <w:ind w:firstLine="624"/>
        <w:rPr>
          <w:rFonts w:ascii="仿宋" w:hAnsi="仿宋" w:eastAsia="仿宋" w:cs="仿宋"/>
          <w:spacing w:val="-2"/>
          <w:sz w:val="32"/>
          <w:szCs w:val="32"/>
        </w:rPr>
      </w:pPr>
      <w:r>
        <w:rPr>
          <w:rFonts w:ascii="仿宋" w:hAnsi="仿宋" w:eastAsia="仿宋" w:cs="仿宋"/>
          <w:spacing w:val="-2"/>
          <w:sz w:val="32"/>
          <w:szCs w:val="32"/>
        </w:rPr>
        <w:t xml:space="preserve">1. 资金计划。 </w:t>
      </w:r>
      <w:r>
        <w:rPr>
          <w:rFonts w:hint="eastAsia" w:ascii="仿宋" w:hAnsi="仿宋" w:eastAsia="仿宋" w:cs="仿宋"/>
          <w:spacing w:val="-2"/>
          <w:sz w:val="32"/>
          <w:szCs w:val="32"/>
        </w:rPr>
        <w:t>综合考虑各矿情况实际，经峨眉山市委常委会通过，对峨眉山市八益煤业有限公司苗圃井、峨眉山市川主张沟煤矿、峨眉山市川主乡李杨煤矿分别奖补资金2400万元，2600万元，2800万元，合计7800万元。</w:t>
      </w:r>
    </w:p>
    <w:p w14:paraId="3A437047">
      <w:pPr>
        <w:spacing w:before="2" w:line="317" w:lineRule="auto"/>
        <w:ind w:right="49" w:firstLine="624" w:firstLineChars="200"/>
        <w:rPr>
          <w:rFonts w:ascii="仿宋" w:hAnsi="仿宋" w:eastAsia="仿宋" w:cs="仿宋"/>
          <w:spacing w:val="-4"/>
          <w:sz w:val="32"/>
          <w:szCs w:val="32"/>
        </w:rPr>
      </w:pPr>
      <w:r>
        <w:rPr>
          <w:rFonts w:hint="eastAsia" w:ascii="仿宋" w:hAnsi="仿宋" w:eastAsia="仿宋" w:cs="仿宋"/>
          <w:spacing w:val="-4"/>
          <w:sz w:val="32"/>
          <w:szCs w:val="32"/>
        </w:rPr>
        <w:t>2.</w:t>
      </w:r>
      <w:r>
        <w:rPr>
          <w:rFonts w:ascii="仿宋" w:hAnsi="仿宋" w:eastAsia="仿宋" w:cs="仿宋"/>
          <w:spacing w:val="-4"/>
          <w:sz w:val="32"/>
          <w:szCs w:val="32"/>
        </w:rPr>
        <w:t xml:space="preserve">资金到位。 </w:t>
      </w:r>
      <w:r>
        <w:rPr>
          <w:rFonts w:hint="eastAsia" w:ascii="仿宋" w:hAnsi="仿宋" w:eastAsia="仿宋" w:cs="仿宋"/>
          <w:spacing w:val="-4"/>
          <w:sz w:val="32"/>
          <w:szCs w:val="32"/>
        </w:rPr>
        <w:t>2022年目前已拨付资金700万元。</w:t>
      </w:r>
    </w:p>
    <w:p w14:paraId="7226BE20">
      <w:pPr>
        <w:spacing w:before="104" w:line="317" w:lineRule="auto"/>
        <w:ind w:firstLine="616" w:firstLineChars="200"/>
        <w:rPr>
          <w:rFonts w:ascii="仿宋" w:hAnsi="仿宋" w:eastAsia="仿宋" w:cs="仿宋"/>
          <w:spacing w:val="-3"/>
          <w:sz w:val="32"/>
          <w:szCs w:val="32"/>
        </w:rPr>
      </w:pPr>
      <w:r>
        <w:rPr>
          <w:rFonts w:ascii="仿宋" w:hAnsi="仿宋" w:eastAsia="仿宋" w:cs="仿宋"/>
          <w:spacing w:val="-6"/>
          <w:sz w:val="32"/>
          <w:szCs w:val="32"/>
        </w:rPr>
        <w:t xml:space="preserve">3. </w:t>
      </w:r>
      <w:r>
        <w:rPr>
          <w:rFonts w:ascii="仿宋" w:hAnsi="仿宋" w:eastAsia="仿宋" w:cs="仿宋"/>
          <w:spacing w:val="-4"/>
          <w:sz w:val="32"/>
          <w:szCs w:val="32"/>
        </w:rPr>
        <w:t>资</w:t>
      </w:r>
      <w:r>
        <w:rPr>
          <w:rFonts w:ascii="仿宋" w:hAnsi="仿宋" w:eastAsia="仿宋" w:cs="仿宋"/>
          <w:spacing w:val="-3"/>
          <w:sz w:val="32"/>
          <w:szCs w:val="32"/>
        </w:rPr>
        <w:t xml:space="preserve">金使用。 </w:t>
      </w:r>
    </w:p>
    <w:tbl>
      <w:tblPr>
        <w:tblStyle w:val="14"/>
        <w:tblW w:w="8620" w:type="dxa"/>
        <w:jc w:val="center"/>
        <w:tblLayout w:type="autofit"/>
        <w:tblCellMar>
          <w:top w:w="0" w:type="dxa"/>
          <w:left w:w="108" w:type="dxa"/>
          <w:bottom w:w="0" w:type="dxa"/>
          <w:right w:w="108" w:type="dxa"/>
        </w:tblCellMar>
      </w:tblPr>
      <w:tblGrid>
        <w:gridCol w:w="1221"/>
        <w:gridCol w:w="1261"/>
        <w:gridCol w:w="1351"/>
        <w:gridCol w:w="1651"/>
        <w:gridCol w:w="1742"/>
        <w:gridCol w:w="1394"/>
      </w:tblGrid>
      <w:tr w14:paraId="13752EF7">
        <w:tblPrEx>
          <w:tblCellMar>
            <w:top w:w="0" w:type="dxa"/>
            <w:left w:w="108" w:type="dxa"/>
            <w:bottom w:w="0" w:type="dxa"/>
            <w:right w:w="108" w:type="dxa"/>
          </w:tblCellMar>
        </w:tblPrEx>
        <w:trPr>
          <w:trHeight w:val="894" w:hRule="atLeast"/>
          <w:jc w:val="center"/>
        </w:trPr>
        <w:tc>
          <w:tcPr>
            <w:tcW w:w="8620" w:type="dxa"/>
            <w:gridSpan w:val="6"/>
            <w:tcBorders>
              <w:top w:val="nil"/>
              <w:left w:val="nil"/>
              <w:bottom w:val="nil"/>
              <w:right w:val="nil"/>
            </w:tcBorders>
            <w:shd w:val="clear" w:color="auto" w:fill="auto"/>
            <w:vAlign w:val="center"/>
          </w:tcPr>
          <w:p w14:paraId="49B94CA7">
            <w:pPr>
              <w:widowControl/>
              <w:jc w:val="center"/>
              <w:textAlignment w:val="center"/>
              <w:rPr>
                <w:rFonts w:ascii="宋体" w:hAnsi="宋体" w:cs="宋体"/>
                <w:color w:val="000000"/>
                <w:sz w:val="28"/>
                <w:szCs w:val="28"/>
              </w:rPr>
            </w:pPr>
            <w:r>
              <w:rPr>
                <w:rFonts w:hint="eastAsia" w:ascii="宋体" w:hAnsi="宋体" w:cs="宋体"/>
                <w:color w:val="000000"/>
                <w:kern w:val="0"/>
                <w:sz w:val="28"/>
                <w:szCs w:val="28"/>
                <w:lang w:bidi="ar"/>
              </w:rPr>
              <w:t>2022年3处关闭煤矿奖补资金发放记录（单位：万元）</w:t>
            </w:r>
          </w:p>
        </w:tc>
      </w:tr>
      <w:tr w14:paraId="58D84642">
        <w:tblPrEx>
          <w:tblCellMar>
            <w:top w:w="0" w:type="dxa"/>
            <w:left w:w="108" w:type="dxa"/>
            <w:bottom w:w="0" w:type="dxa"/>
            <w:right w:w="108" w:type="dxa"/>
          </w:tblCellMar>
        </w:tblPrEx>
        <w:trPr>
          <w:trHeight w:val="554" w:hRule="atLeast"/>
          <w:jc w:val="center"/>
        </w:trPr>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7C2CD">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煤矿名称</w:t>
            </w:r>
          </w:p>
        </w:tc>
        <w:tc>
          <w:tcPr>
            <w:tcW w:w="1261" w:type="dxa"/>
            <w:tcBorders>
              <w:top w:val="single" w:color="000000" w:sz="4" w:space="0"/>
              <w:left w:val="single" w:color="000000" w:sz="4" w:space="0"/>
              <w:bottom w:val="single" w:color="000000" w:sz="4" w:space="0"/>
              <w:right w:val="nil"/>
            </w:tcBorders>
            <w:shd w:val="clear" w:color="auto" w:fill="auto"/>
            <w:vAlign w:val="center"/>
          </w:tcPr>
          <w:p w14:paraId="529F365B">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苗圃煤矿</w:t>
            </w:r>
          </w:p>
        </w:tc>
        <w:tc>
          <w:tcPr>
            <w:tcW w:w="1351" w:type="dxa"/>
            <w:tcBorders>
              <w:top w:val="single" w:color="000000" w:sz="4" w:space="0"/>
              <w:left w:val="single" w:color="000000" w:sz="4" w:space="0"/>
              <w:bottom w:val="single" w:color="000000" w:sz="4" w:space="0"/>
              <w:right w:val="nil"/>
            </w:tcBorders>
            <w:shd w:val="clear" w:color="auto" w:fill="auto"/>
            <w:vAlign w:val="center"/>
          </w:tcPr>
          <w:p w14:paraId="63B8963F">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张沟煤矿</w:t>
            </w:r>
          </w:p>
        </w:tc>
        <w:tc>
          <w:tcPr>
            <w:tcW w:w="1651" w:type="dxa"/>
            <w:tcBorders>
              <w:top w:val="single" w:color="000000" w:sz="4" w:space="0"/>
              <w:left w:val="single" w:color="000000" w:sz="4" w:space="0"/>
              <w:bottom w:val="single" w:color="000000" w:sz="4" w:space="0"/>
              <w:right w:val="nil"/>
            </w:tcBorders>
            <w:shd w:val="clear" w:color="auto" w:fill="auto"/>
            <w:vAlign w:val="center"/>
          </w:tcPr>
          <w:p w14:paraId="0FA1D35C">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李杨煤矿</w:t>
            </w:r>
          </w:p>
        </w:tc>
        <w:tc>
          <w:tcPr>
            <w:tcW w:w="1742" w:type="dxa"/>
            <w:tcBorders>
              <w:top w:val="single" w:color="000000" w:sz="4" w:space="0"/>
              <w:left w:val="nil"/>
              <w:bottom w:val="single" w:color="000000" w:sz="4" w:space="0"/>
              <w:right w:val="nil"/>
            </w:tcBorders>
            <w:shd w:val="clear" w:color="auto" w:fill="auto"/>
            <w:vAlign w:val="center"/>
          </w:tcPr>
          <w:p w14:paraId="0CDA12A5">
            <w:pPr>
              <w:widowControl/>
              <w:jc w:val="center"/>
              <w:textAlignment w:val="center"/>
              <w:rPr>
                <w:rFonts w:ascii="黑体" w:hAnsi="宋体" w:eastAsia="黑体" w:cs="黑体"/>
                <w:color w:val="000000"/>
                <w:sz w:val="24"/>
              </w:rPr>
            </w:pPr>
            <w:r>
              <w:rPr>
                <w:rFonts w:hint="eastAsia" w:ascii="黑体" w:hAnsi="宋体" w:eastAsia="黑体" w:cs="黑体"/>
                <w:color w:val="000000"/>
                <w:kern w:val="0"/>
                <w:sz w:val="24"/>
                <w:lang w:bidi="ar"/>
              </w:rPr>
              <w:t>合计金额</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C7A5">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到账时间</w:t>
            </w:r>
          </w:p>
        </w:tc>
      </w:tr>
      <w:tr w14:paraId="66C07C79">
        <w:tblPrEx>
          <w:tblCellMar>
            <w:top w:w="0" w:type="dxa"/>
            <w:left w:w="108" w:type="dxa"/>
            <w:bottom w:w="0" w:type="dxa"/>
            <w:right w:w="108" w:type="dxa"/>
          </w:tblCellMar>
        </w:tblPrEx>
        <w:trPr>
          <w:trHeight w:val="564" w:hRule="atLeast"/>
          <w:jc w:val="center"/>
        </w:trPr>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A91F4">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奖补总额</w:t>
            </w:r>
          </w:p>
        </w:tc>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A40A0">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100</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2AE1">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500</w:t>
            </w:r>
          </w:p>
        </w:tc>
        <w:tc>
          <w:tcPr>
            <w:tcW w:w="1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72EA1">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100</w:t>
            </w:r>
          </w:p>
        </w:tc>
        <w:tc>
          <w:tcPr>
            <w:tcW w:w="1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69F1">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700</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96307">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2022年1月</w:t>
            </w:r>
          </w:p>
        </w:tc>
      </w:tr>
    </w:tbl>
    <w:p w14:paraId="18A40450">
      <w:pPr>
        <w:pStyle w:val="2"/>
        <w:spacing w:before="93"/>
      </w:pPr>
    </w:p>
    <w:p w14:paraId="7C8977E8">
      <w:pPr>
        <w:spacing w:before="1" w:line="222" w:lineRule="auto"/>
        <w:ind w:left="759"/>
        <w:rPr>
          <w:rFonts w:ascii="楷体" w:hAnsi="楷体" w:eastAsia="楷体" w:cs="楷体"/>
          <w:sz w:val="32"/>
          <w:szCs w:val="32"/>
        </w:rPr>
      </w:pPr>
      <w:r>
        <w:rPr>
          <w:rFonts w:hint="eastAsia" w:ascii="楷体" w:hAnsi="楷体" w:eastAsia="楷体" w:cs="楷体"/>
          <w:spacing w:val="19"/>
          <w:sz w:val="32"/>
          <w:szCs w:val="32"/>
          <w:lang w:eastAsia="zh-CN"/>
        </w:rPr>
        <w:t>（</w:t>
      </w:r>
      <w:r>
        <w:rPr>
          <w:rFonts w:ascii="楷体" w:hAnsi="楷体" w:eastAsia="楷体" w:cs="楷体"/>
          <w:spacing w:val="13"/>
          <w:sz w:val="32"/>
          <w:szCs w:val="32"/>
        </w:rPr>
        <w:t>三</w:t>
      </w:r>
      <w:r>
        <w:rPr>
          <w:rFonts w:hint="eastAsia" w:ascii="楷体" w:hAnsi="楷体" w:eastAsia="楷体" w:cs="楷体"/>
          <w:spacing w:val="13"/>
          <w:sz w:val="32"/>
          <w:szCs w:val="32"/>
          <w:lang w:eastAsia="zh-CN"/>
        </w:rPr>
        <w:t>）</w:t>
      </w:r>
      <w:r>
        <w:rPr>
          <w:rFonts w:ascii="楷体" w:hAnsi="楷体" w:eastAsia="楷体" w:cs="楷体"/>
          <w:spacing w:val="13"/>
          <w:sz w:val="32"/>
          <w:szCs w:val="32"/>
        </w:rPr>
        <w:t>项目财务管理情况</w:t>
      </w:r>
    </w:p>
    <w:p w14:paraId="22CD855C">
      <w:pPr>
        <w:spacing w:before="186" w:line="314" w:lineRule="auto"/>
        <w:ind w:right="74" w:firstLine="620"/>
        <w:rPr>
          <w:rFonts w:ascii="仿宋" w:hAnsi="仿宋" w:eastAsia="仿宋" w:cs="仿宋"/>
          <w:sz w:val="32"/>
          <w:szCs w:val="32"/>
        </w:rPr>
      </w:pPr>
      <w:r>
        <w:rPr>
          <w:rFonts w:hint="eastAsia" w:ascii="仿宋" w:hAnsi="仿宋" w:eastAsia="仿宋" w:cs="仿宋"/>
          <w:sz w:val="32"/>
          <w:szCs w:val="32"/>
        </w:rPr>
        <w:t>按照相关管理办法执行。</w:t>
      </w:r>
    </w:p>
    <w:p w14:paraId="4181979F">
      <w:pPr>
        <w:spacing w:line="221" w:lineRule="auto"/>
        <w:ind w:left="624"/>
        <w:outlineLvl w:val="0"/>
        <w:rPr>
          <w:rFonts w:ascii="黑体" w:hAnsi="黑体" w:eastAsia="黑体" w:cs="黑体"/>
          <w:sz w:val="32"/>
          <w:szCs w:val="32"/>
        </w:rPr>
      </w:pPr>
      <w:r>
        <w:rPr>
          <w:rFonts w:ascii="黑体" w:hAnsi="黑体" w:eastAsia="黑体" w:cs="黑体"/>
          <w:spacing w:val="-4"/>
          <w:sz w:val="32"/>
          <w:szCs w:val="32"/>
        </w:rPr>
        <w:t>三、项目实施及管理情</w:t>
      </w:r>
      <w:r>
        <w:rPr>
          <w:rFonts w:ascii="黑体" w:hAnsi="黑体" w:eastAsia="黑体" w:cs="黑体"/>
          <w:spacing w:val="-3"/>
          <w:sz w:val="32"/>
          <w:szCs w:val="32"/>
        </w:rPr>
        <w:t>况</w:t>
      </w:r>
    </w:p>
    <w:p w14:paraId="1C894DFC">
      <w:pPr>
        <w:spacing w:before="177" w:line="318" w:lineRule="auto"/>
        <w:ind w:right="79" w:firstLine="620"/>
        <w:rPr>
          <w:rFonts w:ascii="仿宋" w:hAnsi="仿宋" w:eastAsia="仿宋" w:cs="仿宋"/>
          <w:sz w:val="32"/>
          <w:szCs w:val="32"/>
        </w:rPr>
      </w:pPr>
      <w:r>
        <w:rPr>
          <w:rFonts w:ascii="仿宋" w:hAnsi="仿宋" w:eastAsia="仿宋" w:cs="仿宋"/>
          <w:spacing w:val="-5"/>
          <w:sz w:val="32"/>
          <w:szCs w:val="32"/>
        </w:rPr>
        <w:t>结</w:t>
      </w:r>
      <w:r>
        <w:rPr>
          <w:rFonts w:ascii="仿宋" w:hAnsi="仿宋" w:eastAsia="仿宋" w:cs="仿宋"/>
          <w:spacing w:val="-3"/>
          <w:sz w:val="32"/>
          <w:szCs w:val="32"/>
        </w:rPr>
        <w:t>合项目组织实施管理办法，重点围绕以下内容进行分析评</w:t>
      </w:r>
      <w:r>
        <w:rPr>
          <w:rFonts w:ascii="仿宋" w:hAnsi="仿宋" w:eastAsia="仿宋" w:cs="仿宋"/>
          <w:spacing w:val="-10"/>
          <w:sz w:val="32"/>
          <w:szCs w:val="32"/>
        </w:rPr>
        <w:t>价，</w:t>
      </w:r>
      <w:r>
        <w:rPr>
          <w:rFonts w:ascii="仿宋" w:hAnsi="仿宋" w:eastAsia="仿宋" w:cs="仿宋"/>
          <w:spacing w:val="-5"/>
          <w:sz w:val="32"/>
          <w:szCs w:val="32"/>
        </w:rPr>
        <w:t>并对自评中发现的问题分析说明。</w:t>
      </w:r>
    </w:p>
    <w:p w14:paraId="1E847A42">
      <w:pPr>
        <w:spacing w:before="1" w:line="222" w:lineRule="auto"/>
        <w:ind w:left="759"/>
        <w:rPr>
          <w:rFonts w:ascii="仿宋" w:hAnsi="仿宋" w:eastAsia="仿宋" w:cs="仿宋"/>
          <w:sz w:val="32"/>
          <w:szCs w:val="32"/>
        </w:rPr>
      </w:pPr>
      <w:r>
        <w:rPr>
          <w:rFonts w:hint="eastAsia" w:ascii="仿宋" w:hAnsi="仿宋" w:eastAsia="仿宋" w:cs="仿宋"/>
          <w:spacing w:val="12"/>
          <w:sz w:val="32"/>
          <w:szCs w:val="32"/>
          <w:lang w:eastAsia="zh-CN"/>
        </w:rPr>
        <w:t>（</w:t>
      </w:r>
      <w:r>
        <w:rPr>
          <w:rFonts w:ascii="仿宋" w:hAnsi="仿宋" w:eastAsia="仿宋" w:cs="仿宋"/>
          <w:spacing w:val="9"/>
          <w:sz w:val="32"/>
          <w:szCs w:val="32"/>
        </w:rPr>
        <w:t>一</w:t>
      </w:r>
      <w:r>
        <w:rPr>
          <w:rFonts w:hint="eastAsia" w:ascii="仿宋" w:hAnsi="仿宋" w:eastAsia="仿宋" w:cs="仿宋"/>
          <w:spacing w:val="9"/>
          <w:sz w:val="32"/>
          <w:szCs w:val="32"/>
          <w:lang w:eastAsia="zh-CN"/>
        </w:rPr>
        <w:t>）</w:t>
      </w:r>
      <w:r>
        <w:rPr>
          <w:rFonts w:ascii="仿宋" w:hAnsi="仿宋" w:eastAsia="仿宋" w:cs="仿宋"/>
          <w:spacing w:val="6"/>
          <w:sz w:val="32"/>
          <w:szCs w:val="32"/>
        </w:rPr>
        <w:t>项目组织架构及实施流程。</w:t>
      </w:r>
    </w:p>
    <w:p w14:paraId="38DF2542">
      <w:pPr>
        <w:spacing w:before="162" w:line="318" w:lineRule="auto"/>
        <w:ind w:right="70" w:firstLine="759"/>
        <w:rPr>
          <w:rFonts w:ascii="仿宋" w:hAnsi="仿宋" w:eastAsia="仿宋" w:cs="仿宋"/>
          <w:spacing w:val="8"/>
          <w:sz w:val="32"/>
          <w:szCs w:val="32"/>
        </w:rPr>
      </w:pPr>
      <w:r>
        <w:rPr>
          <w:rFonts w:hint="eastAsia" w:ascii="仿宋" w:hAnsi="仿宋" w:eastAsia="仿宋" w:cs="仿宋"/>
          <w:spacing w:val="8"/>
          <w:sz w:val="32"/>
          <w:szCs w:val="32"/>
        </w:rPr>
        <w:t>项目资金由市财政下达至市应急管理局，经应急管理局审核后，再划拨至属地乡镇，由属地乡镇监督发放。</w:t>
      </w:r>
    </w:p>
    <w:p w14:paraId="23D5F8ED">
      <w:pPr>
        <w:spacing w:before="162" w:line="318" w:lineRule="auto"/>
        <w:ind w:right="70" w:firstLine="759"/>
        <w:rPr>
          <w:rFonts w:ascii="仿宋" w:hAnsi="仿宋" w:eastAsia="仿宋" w:cs="仿宋"/>
          <w:spacing w:val="-4"/>
          <w:sz w:val="32"/>
          <w:szCs w:val="32"/>
        </w:rPr>
      </w:pPr>
      <w:r>
        <w:rPr>
          <w:rFonts w:hint="eastAsia" w:ascii="仿宋" w:hAnsi="仿宋" w:eastAsia="仿宋" w:cs="仿宋"/>
          <w:spacing w:val="8"/>
          <w:sz w:val="32"/>
          <w:szCs w:val="32"/>
          <w:lang w:eastAsia="zh-CN"/>
        </w:rPr>
        <w:t>（</w:t>
      </w:r>
      <w:r>
        <w:rPr>
          <w:rFonts w:ascii="仿宋" w:hAnsi="仿宋" w:eastAsia="仿宋" w:cs="仿宋"/>
          <w:spacing w:val="5"/>
          <w:sz w:val="32"/>
          <w:szCs w:val="32"/>
        </w:rPr>
        <w:t>二</w:t>
      </w:r>
      <w:r>
        <w:rPr>
          <w:rFonts w:hint="eastAsia" w:ascii="仿宋" w:hAnsi="仿宋" w:eastAsia="仿宋" w:cs="仿宋"/>
          <w:spacing w:val="5"/>
          <w:sz w:val="32"/>
          <w:szCs w:val="32"/>
          <w:lang w:eastAsia="zh-CN"/>
        </w:rPr>
        <w:t>）</w:t>
      </w:r>
      <w:r>
        <w:rPr>
          <w:rFonts w:ascii="仿宋" w:hAnsi="仿宋" w:eastAsia="仿宋" w:cs="仿宋"/>
          <w:spacing w:val="4"/>
          <w:sz w:val="32"/>
          <w:szCs w:val="32"/>
        </w:rPr>
        <w:t>项目管理情况。</w:t>
      </w:r>
      <w:r>
        <w:rPr>
          <w:rFonts w:hint="eastAsia" w:ascii="仿宋" w:hAnsi="仿宋" w:eastAsia="仿宋" w:cs="仿宋"/>
          <w:spacing w:val="4"/>
          <w:sz w:val="32"/>
          <w:szCs w:val="32"/>
        </w:rPr>
        <w:t>按照相关管理办法执行</w:t>
      </w:r>
      <w:r>
        <w:rPr>
          <w:rFonts w:ascii="仿宋" w:hAnsi="仿宋" w:eastAsia="仿宋" w:cs="仿宋"/>
          <w:spacing w:val="-4"/>
          <w:sz w:val="32"/>
          <w:szCs w:val="32"/>
        </w:rPr>
        <w:t>。</w:t>
      </w:r>
    </w:p>
    <w:p w14:paraId="7E220BCA">
      <w:pPr>
        <w:spacing w:before="104" w:line="317" w:lineRule="auto"/>
        <w:ind w:firstLine="672" w:firstLineChars="200"/>
        <w:rPr>
          <w:rFonts w:ascii="仿宋" w:hAnsi="仿宋" w:eastAsia="仿宋" w:cs="仿宋"/>
          <w:spacing w:val="4"/>
          <w:sz w:val="32"/>
          <w:szCs w:val="32"/>
        </w:rPr>
      </w:pPr>
      <w:r>
        <w:rPr>
          <w:rFonts w:hint="eastAsia" w:ascii="仿宋" w:hAnsi="仿宋" w:eastAsia="仿宋" w:cs="仿宋"/>
          <w:spacing w:val="8"/>
          <w:sz w:val="32"/>
          <w:szCs w:val="32"/>
          <w:lang w:eastAsia="zh-CN"/>
        </w:rPr>
        <w:t>（</w:t>
      </w:r>
      <w:r>
        <w:rPr>
          <w:rFonts w:ascii="仿宋" w:hAnsi="仿宋" w:eastAsia="仿宋" w:cs="仿宋"/>
          <w:spacing w:val="8"/>
          <w:sz w:val="32"/>
          <w:szCs w:val="32"/>
        </w:rPr>
        <w:t>三</w:t>
      </w:r>
      <w:r>
        <w:rPr>
          <w:rFonts w:hint="eastAsia" w:ascii="仿宋" w:hAnsi="仿宋" w:eastAsia="仿宋" w:cs="仿宋"/>
          <w:spacing w:val="8"/>
          <w:sz w:val="32"/>
          <w:szCs w:val="32"/>
          <w:lang w:eastAsia="zh-CN"/>
        </w:rPr>
        <w:t>）</w:t>
      </w:r>
      <w:r>
        <w:rPr>
          <w:rFonts w:ascii="仿宋" w:hAnsi="仿宋" w:eastAsia="仿宋" w:cs="仿宋"/>
          <w:spacing w:val="8"/>
          <w:sz w:val="32"/>
          <w:szCs w:val="32"/>
        </w:rPr>
        <w:t>项</w:t>
      </w:r>
      <w:r>
        <w:rPr>
          <w:rFonts w:ascii="仿宋" w:hAnsi="仿宋" w:eastAsia="仿宋" w:cs="仿宋"/>
          <w:spacing w:val="4"/>
          <w:sz w:val="32"/>
          <w:szCs w:val="32"/>
        </w:rPr>
        <w:t>目监管情况。</w:t>
      </w:r>
    </w:p>
    <w:p w14:paraId="15F9B995">
      <w:pPr>
        <w:spacing w:before="104" w:line="317" w:lineRule="auto"/>
        <w:ind w:firstLine="628" w:firstLineChars="200"/>
        <w:rPr>
          <w:rFonts w:ascii="仿宋" w:hAnsi="仿宋" w:eastAsia="仿宋" w:cs="仿宋"/>
          <w:sz w:val="32"/>
          <w:szCs w:val="32"/>
        </w:rPr>
      </w:pPr>
      <w:r>
        <w:rPr>
          <w:rFonts w:hint="eastAsia" w:ascii="仿宋" w:hAnsi="仿宋" w:eastAsia="仿宋" w:cs="仿宋"/>
          <w:spacing w:val="-3"/>
          <w:sz w:val="32"/>
          <w:szCs w:val="32"/>
        </w:rPr>
        <w:t>相关资金优先用于职工善后安置等工作，资金由属地乡镇监督发放。</w:t>
      </w:r>
    </w:p>
    <w:p w14:paraId="59D14ABF">
      <w:pPr>
        <w:spacing w:line="221" w:lineRule="auto"/>
        <w:ind w:left="624"/>
        <w:outlineLvl w:val="0"/>
        <w:rPr>
          <w:rFonts w:ascii="黑体" w:hAnsi="黑体" w:eastAsia="黑体" w:cs="黑体"/>
          <w:sz w:val="32"/>
          <w:szCs w:val="32"/>
        </w:rPr>
      </w:pPr>
      <w:r>
        <w:rPr>
          <w:rFonts w:ascii="黑体" w:hAnsi="黑体" w:eastAsia="黑体" w:cs="黑体"/>
          <w:spacing w:val="-6"/>
          <w:sz w:val="32"/>
          <w:szCs w:val="32"/>
        </w:rPr>
        <w:t>四</w:t>
      </w:r>
      <w:r>
        <w:rPr>
          <w:rFonts w:ascii="黑体" w:hAnsi="黑体" w:eastAsia="黑体" w:cs="黑体"/>
          <w:spacing w:val="-4"/>
          <w:sz w:val="32"/>
          <w:szCs w:val="32"/>
        </w:rPr>
        <w:t>、</w:t>
      </w:r>
      <w:r>
        <w:rPr>
          <w:rFonts w:ascii="黑体" w:hAnsi="黑体" w:eastAsia="黑体" w:cs="黑体"/>
          <w:spacing w:val="-3"/>
          <w:sz w:val="32"/>
          <w:szCs w:val="32"/>
        </w:rPr>
        <w:t>项目绩效情况</w:t>
      </w:r>
    </w:p>
    <w:p w14:paraId="1AE2D785">
      <w:pPr>
        <w:spacing w:before="152" w:line="227" w:lineRule="auto"/>
        <w:ind w:left="759"/>
        <w:rPr>
          <w:rFonts w:ascii="楷体" w:hAnsi="楷体" w:eastAsia="楷体" w:cs="楷体"/>
          <w:sz w:val="32"/>
          <w:szCs w:val="32"/>
        </w:rPr>
      </w:pPr>
      <w:r>
        <w:rPr>
          <w:rFonts w:hint="eastAsia" w:ascii="楷体" w:hAnsi="楷体" w:eastAsia="楷体" w:cs="楷体"/>
          <w:spacing w:val="23"/>
          <w:sz w:val="32"/>
          <w:szCs w:val="32"/>
          <w:lang w:eastAsia="zh-CN"/>
        </w:rPr>
        <w:t>（</w:t>
      </w:r>
      <w:r>
        <w:rPr>
          <w:rFonts w:ascii="楷体" w:hAnsi="楷体" w:eastAsia="楷体" w:cs="楷体"/>
          <w:spacing w:val="17"/>
          <w:sz w:val="32"/>
          <w:szCs w:val="32"/>
        </w:rPr>
        <w:t>一</w:t>
      </w:r>
      <w:r>
        <w:rPr>
          <w:rFonts w:hint="eastAsia" w:ascii="楷体" w:hAnsi="楷体" w:eastAsia="楷体" w:cs="楷体"/>
          <w:spacing w:val="17"/>
          <w:sz w:val="32"/>
          <w:szCs w:val="32"/>
          <w:lang w:eastAsia="zh-CN"/>
        </w:rPr>
        <w:t>）</w:t>
      </w:r>
      <w:r>
        <w:rPr>
          <w:rFonts w:ascii="楷体" w:hAnsi="楷体" w:eastAsia="楷体" w:cs="楷体"/>
          <w:spacing w:val="17"/>
          <w:sz w:val="32"/>
          <w:szCs w:val="32"/>
        </w:rPr>
        <w:t>项目完成情况</w:t>
      </w:r>
    </w:p>
    <w:p w14:paraId="3F6D4CF0">
      <w:pPr>
        <w:widowControl/>
        <w:kinsoku w:val="0"/>
        <w:autoSpaceDE w:val="0"/>
        <w:autoSpaceDN w:val="0"/>
        <w:adjustRightInd w:val="0"/>
        <w:snapToGrid w:val="0"/>
        <w:spacing w:line="560" w:lineRule="atLeast"/>
        <w:ind w:firstLine="676" w:firstLineChars="200"/>
        <w:textAlignment w:val="baseline"/>
        <w:rPr>
          <w:rFonts w:ascii="楷体" w:hAnsi="楷体" w:eastAsia="楷体" w:cs="楷体"/>
          <w:spacing w:val="23"/>
          <w:sz w:val="32"/>
          <w:szCs w:val="32"/>
        </w:rPr>
      </w:pPr>
      <w:r>
        <w:rPr>
          <w:rFonts w:hint="eastAsia" w:ascii="仿宋" w:hAnsi="仿宋" w:eastAsia="仿宋" w:cs="仿宋"/>
          <w:spacing w:val="9"/>
          <w:sz w:val="32"/>
          <w:szCs w:val="32"/>
        </w:rPr>
        <w:t>合计退出煤炭产能45万吨，完成上级下达任务。</w:t>
      </w:r>
    </w:p>
    <w:p w14:paraId="795D6409">
      <w:pPr>
        <w:spacing w:before="1" w:line="226" w:lineRule="auto"/>
        <w:ind w:left="759"/>
        <w:rPr>
          <w:rFonts w:ascii="楷体" w:hAnsi="楷体" w:eastAsia="楷体" w:cs="楷体"/>
          <w:spacing w:val="23"/>
          <w:sz w:val="32"/>
          <w:szCs w:val="32"/>
        </w:rPr>
      </w:pPr>
    </w:p>
    <w:p w14:paraId="5615158F">
      <w:pPr>
        <w:spacing w:before="1" w:line="226" w:lineRule="auto"/>
        <w:ind w:left="759"/>
        <w:rPr>
          <w:rFonts w:ascii="楷体" w:hAnsi="楷体" w:eastAsia="楷体" w:cs="楷体"/>
          <w:sz w:val="32"/>
          <w:szCs w:val="32"/>
        </w:rPr>
      </w:pPr>
      <w:r>
        <w:rPr>
          <w:rFonts w:hint="eastAsia" w:ascii="楷体" w:hAnsi="楷体" w:eastAsia="楷体" w:cs="楷体"/>
          <w:spacing w:val="23"/>
          <w:sz w:val="32"/>
          <w:szCs w:val="32"/>
          <w:lang w:eastAsia="zh-CN"/>
        </w:rPr>
        <w:t>（</w:t>
      </w:r>
      <w:r>
        <w:rPr>
          <w:rFonts w:ascii="楷体" w:hAnsi="楷体" w:eastAsia="楷体" w:cs="楷体"/>
          <w:spacing w:val="17"/>
          <w:sz w:val="32"/>
          <w:szCs w:val="32"/>
        </w:rPr>
        <w:t>二</w:t>
      </w:r>
      <w:r>
        <w:rPr>
          <w:rFonts w:hint="eastAsia" w:ascii="楷体" w:hAnsi="楷体" w:eastAsia="楷体" w:cs="楷体"/>
          <w:spacing w:val="17"/>
          <w:sz w:val="32"/>
          <w:szCs w:val="32"/>
          <w:lang w:eastAsia="zh-CN"/>
        </w:rPr>
        <w:t>）</w:t>
      </w:r>
      <w:r>
        <w:rPr>
          <w:rFonts w:ascii="楷体" w:hAnsi="楷体" w:eastAsia="楷体" w:cs="楷体"/>
          <w:spacing w:val="17"/>
          <w:sz w:val="32"/>
          <w:szCs w:val="32"/>
        </w:rPr>
        <w:t>项目效益情况</w:t>
      </w:r>
    </w:p>
    <w:p w14:paraId="1BAAF5BE">
      <w:pPr>
        <w:widowControl/>
        <w:kinsoku w:val="0"/>
        <w:autoSpaceDE w:val="0"/>
        <w:autoSpaceDN w:val="0"/>
        <w:adjustRightInd w:val="0"/>
        <w:snapToGrid w:val="0"/>
        <w:spacing w:line="560" w:lineRule="atLeast"/>
        <w:ind w:firstLine="676" w:firstLineChars="200"/>
        <w:textAlignment w:val="baseline"/>
        <w:rPr>
          <w:rFonts w:ascii="仿宋" w:hAnsi="仿宋" w:eastAsia="仿宋" w:cs="仿宋"/>
          <w:spacing w:val="9"/>
          <w:sz w:val="32"/>
          <w:szCs w:val="32"/>
        </w:rPr>
      </w:pPr>
      <w:r>
        <w:rPr>
          <w:rFonts w:hint="eastAsia" w:ascii="仿宋" w:hAnsi="仿宋" w:eastAsia="仿宋" w:cs="仿宋"/>
          <w:spacing w:val="9"/>
          <w:sz w:val="32"/>
          <w:szCs w:val="32"/>
        </w:rPr>
        <w:t>峨眉山市煤矿实现整体退出，从源头上解决煤矿安全生产事故多、风险大的问题。</w:t>
      </w:r>
    </w:p>
    <w:p w14:paraId="61A4A066">
      <w:pPr>
        <w:spacing w:line="283" w:lineRule="auto"/>
        <w:rPr>
          <w:rFonts w:ascii="Arial"/>
        </w:rPr>
      </w:pPr>
    </w:p>
    <w:p w14:paraId="1AE1B53C">
      <w:pPr>
        <w:spacing w:before="101" w:line="222" w:lineRule="auto"/>
        <w:ind w:left="644"/>
        <w:outlineLvl w:val="0"/>
        <w:rPr>
          <w:rFonts w:ascii="黑体" w:hAnsi="黑体" w:eastAsia="黑体" w:cs="黑体"/>
          <w:sz w:val="31"/>
          <w:szCs w:val="31"/>
        </w:rPr>
      </w:pPr>
      <w:r>
        <w:rPr>
          <w:rFonts w:ascii="黑体" w:hAnsi="黑体" w:eastAsia="黑体" w:cs="黑体"/>
          <w:spacing w:val="6"/>
          <w:sz w:val="31"/>
          <w:szCs w:val="31"/>
        </w:rPr>
        <w:t>五、评价结论及建议</w:t>
      </w:r>
    </w:p>
    <w:p w14:paraId="14146377">
      <w:pPr>
        <w:spacing w:before="176" w:line="223" w:lineRule="auto"/>
        <w:ind w:left="769"/>
        <w:rPr>
          <w:rFonts w:ascii="楷体" w:hAnsi="楷体" w:eastAsia="楷体" w:cs="楷体"/>
          <w:sz w:val="31"/>
          <w:szCs w:val="31"/>
        </w:rPr>
      </w:pPr>
      <w:r>
        <w:rPr>
          <w:rFonts w:hint="eastAsia" w:ascii="楷体" w:hAnsi="楷体" w:eastAsia="楷体" w:cs="楷体"/>
          <w:spacing w:val="32"/>
          <w:sz w:val="31"/>
          <w:szCs w:val="31"/>
          <w:lang w:eastAsia="zh-CN"/>
        </w:rPr>
        <w:t>（</w:t>
      </w:r>
      <w:r>
        <w:rPr>
          <w:rFonts w:ascii="楷体" w:hAnsi="楷体" w:eastAsia="楷体" w:cs="楷体"/>
          <w:spacing w:val="32"/>
          <w:sz w:val="31"/>
          <w:szCs w:val="31"/>
        </w:rPr>
        <w:t>一</w:t>
      </w:r>
      <w:r>
        <w:rPr>
          <w:rFonts w:hint="eastAsia" w:ascii="楷体" w:hAnsi="楷体" w:eastAsia="楷体" w:cs="楷体"/>
          <w:spacing w:val="32"/>
          <w:sz w:val="31"/>
          <w:szCs w:val="31"/>
          <w:lang w:eastAsia="zh-CN"/>
        </w:rPr>
        <w:t>）</w:t>
      </w:r>
      <w:r>
        <w:rPr>
          <w:rFonts w:ascii="楷体" w:hAnsi="楷体" w:eastAsia="楷体" w:cs="楷体"/>
          <w:spacing w:val="32"/>
          <w:sz w:val="31"/>
          <w:szCs w:val="31"/>
        </w:rPr>
        <w:t>评价结论</w:t>
      </w:r>
    </w:p>
    <w:p w14:paraId="415B0F51">
      <w:pPr>
        <w:spacing w:before="190" w:line="328" w:lineRule="auto"/>
        <w:ind w:firstLine="636" w:firstLineChars="200"/>
        <w:rPr>
          <w:rFonts w:ascii="仿宋" w:hAnsi="仿宋" w:eastAsia="仿宋" w:cs="仿宋"/>
          <w:sz w:val="31"/>
          <w:szCs w:val="31"/>
        </w:rPr>
      </w:pPr>
      <w:r>
        <w:rPr>
          <w:rFonts w:hint="eastAsia" w:ascii="仿宋" w:hAnsi="仿宋" w:eastAsia="仿宋" w:cs="仿宋"/>
          <w:spacing w:val="4"/>
          <w:sz w:val="31"/>
          <w:szCs w:val="31"/>
        </w:rPr>
        <w:t>该项目</w:t>
      </w:r>
      <w:r>
        <w:rPr>
          <w:rFonts w:ascii="仿宋" w:hAnsi="仿宋" w:eastAsia="仿宋" w:cs="仿宋"/>
          <w:spacing w:val="4"/>
          <w:sz w:val="31"/>
          <w:szCs w:val="31"/>
        </w:rPr>
        <w:t>总体评价</w:t>
      </w:r>
      <w:r>
        <w:rPr>
          <w:rFonts w:hint="eastAsia" w:ascii="仿宋" w:hAnsi="仿宋" w:eastAsia="仿宋" w:cs="仿宋"/>
          <w:spacing w:val="4"/>
          <w:sz w:val="31"/>
          <w:szCs w:val="31"/>
        </w:rPr>
        <w:t>符合国家化解煤炭过剩产能工作要求</w:t>
      </w:r>
      <w:r>
        <w:rPr>
          <w:rFonts w:ascii="仿宋" w:hAnsi="仿宋" w:eastAsia="仿宋" w:cs="仿宋"/>
          <w:spacing w:val="4"/>
          <w:sz w:val="31"/>
          <w:szCs w:val="31"/>
        </w:rPr>
        <w:t>。</w:t>
      </w:r>
    </w:p>
    <w:p w14:paraId="68AD6CDA">
      <w:pPr>
        <w:spacing w:line="226" w:lineRule="auto"/>
        <w:ind w:left="769"/>
        <w:rPr>
          <w:rFonts w:ascii="楷体" w:hAnsi="楷体" w:eastAsia="楷体" w:cs="楷体"/>
          <w:sz w:val="31"/>
          <w:szCs w:val="31"/>
        </w:rPr>
      </w:pPr>
      <w:r>
        <w:rPr>
          <w:rFonts w:hint="eastAsia" w:ascii="楷体" w:hAnsi="楷体" w:eastAsia="楷体" w:cs="楷体"/>
          <w:spacing w:val="30"/>
          <w:sz w:val="31"/>
          <w:szCs w:val="31"/>
          <w:lang w:eastAsia="zh-CN"/>
        </w:rPr>
        <w:t>（</w:t>
      </w:r>
      <w:r>
        <w:rPr>
          <w:rFonts w:ascii="楷体" w:hAnsi="楷体" w:eastAsia="楷体" w:cs="楷体"/>
          <w:spacing w:val="30"/>
          <w:sz w:val="31"/>
          <w:szCs w:val="31"/>
        </w:rPr>
        <w:t>二</w:t>
      </w:r>
      <w:r>
        <w:rPr>
          <w:rFonts w:hint="eastAsia" w:ascii="楷体" w:hAnsi="楷体" w:eastAsia="楷体" w:cs="楷体"/>
          <w:spacing w:val="30"/>
          <w:sz w:val="31"/>
          <w:szCs w:val="31"/>
          <w:lang w:eastAsia="zh-CN"/>
        </w:rPr>
        <w:t>）</w:t>
      </w:r>
      <w:r>
        <w:rPr>
          <w:rFonts w:ascii="楷体" w:hAnsi="楷体" w:eastAsia="楷体" w:cs="楷体"/>
          <w:spacing w:val="30"/>
          <w:sz w:val="31"/>
          <w:szCs w:val="31"/>
        </w:rPr>
        <w:t>存在的问题</w:t>
      </w:r>
    </w:p>
    <w:p w14:paraId="15326C44">
      <w:pPr>
        <w:spacing w:before="174" w:line="219" w:lineRule="auto"/>
        <w:ind w:left="640" w:firstLine="948" w:firstLineChars="300"/>
        <w:rPr>
          <w:rFonts w:ascii="仿宋" w:hAnsi="仿宋" w:eastAsia="仿宋" w:cs="仿宋"/>
          <w:sz w:val="31"/>
          <w:szCs w:val="31"/>
        </w:rPr>
      </w:pPr>
      <w:r>
        <w:rPr>
          <w:rFonts w:hint="eastAsia" w:ascii="仿宋" w:hAnsi="仿宋" w:eastAsia="仿宋" w:cs="仿宋"/>
          <w:spacing w:val="3"/>
          <w:sz w:val="31"/>
          <w:szCs w:val="31"/>
        </w:rPr>
        <w:t>无</w:t>
      </w:r>
      <w:r>
        <w:rPr>
          <w:rFonts w:ascii="仿宋" w:hAnsi="仿宋" w:eastAsia="仿宋" w:cs="仿宋"/>
          <w:spacing w:val="3"/>
          <w:sz w:val="31"/>
          <w:szCs w:val="31"/>
        </w:rPr>
        <w:t>。</w:t>
      </w:r>
    </w:p>
    <w:p w14:paraId="7C1DA66A">
      <w:pPr>
        <w:spacing w:line="572" w:lineRule="exact"/>
        <w:jc w:val="left"/>
        <w:outlineLvl w:val="0"/>
        <w:rPr>
          <w:rFonts w:ascii="仿宋_GB2312" w:hAnsi="仿宋_GB2312" w:eastAsia="仿宋_GB2312" w:cs="仿宋_GB2312"/>
          <w:b/>
          <w:bCs/>
          <w:sz w:val="32"/>
          <w:szCs w:val="32"/>
        </w:rPr>
      </w:pPr>
    </w:p>
    <w:p w14:paraId="5D092BB6">
      <w:pPr>
        <w:spacing w:line="572" w:lineRule="exact"/>
        <w:jc w:val="left"/>
        <w:outlineLvl w:val="0"/>
        <w:rPr>
          <w:rFonts w:ascii="仿宋_GB2312" w:hAnsi="仿宋_GB2312" w:eastAsia="仿宋_GB2312" w:cs="仿宋_GB2312"/>
          <w:b/>
          <w:bCs/>
          <w:sz w:val="32"/>
          <w:szCs w:val="32"/>
        </w:rPr>
      </w:pPr>
    </w:p>
    <w:p w14:paraId="52F8F7D0">
      <w:pPr>
        <w:spacing w:line="572" w:lineRule="exact"/>
        <w:jc w:val="left"/>
        <w:outlineLvl w:val="0"/>
        <w:rPr>
          <w:rFonts w:ascii="仿宋_GB2312" w:hAnsi="仿宋_GB2312" w:eastAsia="仿宋_GB2312" w:cs="仿宋_GB2312"/>
          <w:b/>
          <w:bCs/>
          <w:sz w:val="32"/>
          <w:szCs w:val="32"/>
        </w:rPr>
      </w:pPr>
    </w:p>
    <w:p w14:paraId="092702A2">
      <w:pPr>
        <w:spacing w:line="572" w:lineRule="exact"/>
        <w:jc w:val="left"/>
        <w:outlineLvl w:val="0"/>
        <w:rPr>
          <w:rFonts w:hint="eastAsia" w:ascii="仿宋_GB2312" w:hAnsi="仿宋_GB2312" w:eastAsia="仿宋_GB2312" w:cs="仿宋_GB2312"/>
          <w:b/>
          <w:bCs/>
          <w:sz w:val="32"/>
          <w:szCs w:val="32"/>
        </w:rPr>
      </w:pPr>
    </w:p>
    <w:p w14:paraId="703C63A2">
      <w:pPr>
        <w:spacing w:line="572" w:lineRule="exact"/>
        <w:jc w:val="left"/>
        <w:outlineLvl w:val="0"/>
        <w:rPr>
          <w:rFonts w:ascii="Cambria" w:hAnsi="Cambria" w:eastAsia="仿宋_GB2312" w:cs="仿宋_GB2312"/>
          <w:b/>
          <w:bCs/>
          <w:sz w:val="32"/>
          <w:szCs w:val="32"/>
        </w:rPr>
      </w:pPr>
      <w:r>
        <w:rPr>
          <w:rFonts w:hint="eastAsia" w:ascii="仿宋_GB2312" w:hAnsi="仿宋_GB2312" w:eastAsia="仿宋_GB2312" w:cs="仿宋_GB2312"/>
          <w:b/>
          <w:bCs/>
          <w:sz w:val="32"/>
          <w:szCs w:val="32"/>
        </w:rPr>
        <w:t>附件</w:t>
      </w:r>
      <w:r>
        <w:rPr>
          <w:rFonts w:ascii="Cambria" w:hAnsi="Cambria" w:eastAsia="仿宋_GB2312" w:cs="仿宋_GB2312"/>
          <w:b/>
          <w:bCs/>
          <w:sz w:val="32"/>
          <w:szCs w:val="32"/>
        </w:rPr>
        <w:t>3-1</w:t>
      </w:r>
    </w:p>
    <w:tbl>
      <w:tblPr>
        <w:tblStyle w:val="14"/>
        <w:tblW w:w="9063" w:type="dxa"/>
        <w:tblInd w:w="113" w:type="dxa"/>
        <w:tblLayout w:type="autofit"/>
        <w:tblCellMar>
          <w:top w:w="0" w:type="dxa"/>
          <w:left w:w="108" w:type="dxa"/>
          <w:bottom w:w="0" w:type="dxa"/>
          <w:right w:w="108" w:type="dxa"/>
        </w:tblCellMar>
      </w:tblPr>
      <w:tblGrid>
        <w:gridCol w:w="774"/>
        <w:gridCol w:w="775"/>
        <w:gridCol w:w="1072"/>
        <w:gridCol w:w="1072"/>
        <w:gridCol w:w="607"/>
        <w:gridCol w:w="607"/>
        <w:gridCol w:w="609"/>
        <w:gridCol w:w="966"/>
        <w:gridCol w:w="861"/>
        <w:gridCol w:w="861"/>
        <w:gridCol w:w="859"/>
      </w:tblGrid>
      <w:tr w14:paraId="73E7C29B">
        <w:tblPrEx>
          <w:tblCellMar>
            <w:top w:w="0" w:type="dxa"/>
            <w:left w:w="108" w:type="dxa"/>
            <w:bottom w:w="0" w:type="dxa"/>
            <w:right w:w="108" w:type="dxa"/>
          </w:tblCellMar>
        </w:tblPrEx>
        <w:trPr>
          <w:trHeight w:val="576" w:hRule="atLeast"/>
        </w:trPr>
        <w:tc>
          <w:tcPr>
            <w:tcW w:w="906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9371E73">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w:t>
            </w:r>
            <w:r>
              <w:rPr>
                <w:rFonts w:hint="eastAsia" w:ascii="微软雅黑" w:hAnsi="微软雅黑" w:eastAsia="微软雅黑" w:cs="微软雅黑"/>
                <w:b/>
                <w:bCs/>
                <w:color w:val="000000"/>
                <w:kern w:val="0"/>
                <w:sz w:val="30"/>
                <w:szCs w:val="30"/>
              </w:rPr>
              <w:t>门</w:t>
            </w:r>
            <w:r>
              <w:rPr>
                <w:rFonts w:hint="eastAsia" w:ascii="___WRD_EMBED_SUB_17" w:hAnsi="___WRD_EMBED_SUB_17" w:eastAsia="___WRD_EMBED_SUB_17" w:cs="___WRD_EMBED_SUB_17"/>
                <w:b/>
                <w:bCs/>
                <w:color w:val="000000"/>
                <w:kern w:val="0"/>
                <w:sz w:val="30"/>
                <w:szCs w:val="30"/>
              </w:rPr>
              <w:t>预算项目支出</w:t>
            </w:r>
            <w:r>
              <w:rPr>
                <w:rFonts w:hint="eastAsia" w:ascii="微软雅黑" w:hAnsi="微软雅黑" w:eastAsia="微软雅黑" w:cs="微软雅黑"/>
                <w:b/>
                <w:bCs/>
                <w:color w:val="000000"/>
                <w:kern w:val="0"/>
                <w:sz w:val="30"/>
                <w:szCs w:val="30"/>
              </w:rPr>
              <w:t>绩效自评</w:t>
            </w:r>
            <w:r>
              <w:rPr>
                <w:rFonts w:hint="eastAsia" w:ascii="___WRD_EMBED_SUB_17" w:hAnsi="___WRD_EMBED_SUB_17" w:eastAsia="___WRD_EMBED_SUB_17" w:cs="___WRD_EMBED_SUB_17"/>
                <w:b/>
                <w:bCs/>
                <w:color w:val="000000"/>
                <w:kern w:val="0"/>
                <w:sz w:val="30"/>
                <w:szCs w:val="30"/>
              </w:rPr>
              <w:t>表</w:t>
            </w:r>
            <w:r>
              <w:rPr>
                <w:rFonts w:hint="eastAsia" w:ascii="微软雅黑" w:hAnsi="微软雅黑" w:eastAsia="微软雅黑" w:cs="微软雅黑"/>
                <w:b/>
                <w:bCs/>
                <w:color w:val="000000"/>
                <w:kern w:val="0"/>
                <w:sz w:val="30"/>
                <w:szCs w:val="30"/>
              </w:rPr>
              <w:t>（</w:t>
            </w:r>
            <w:r>
              <w:rPr>
                <w:rFonts w:hint="eastAsia" w:ascii="黑体" w:hAnsi="黑体" w:eastAsia="黑体" w:cs="宋体"/>
                <w:b/>
                <w:bCs/>
                <w:color w:val="000000"/>
                <w:kern w:val="0"/>
                <w:sz w:val="30"/>
                <w:szCs w:val="30"/>
              </w:rPr>
              <w:t>2022年度</w:t>
            </w:r>
            <w:r>
              <w:rPr>
                <w:rFonts w:hint="eastAsia" w:ascii="微软雅黑" w:hAnsi="微软雅黑" w:eastAsia="微软雅黑" w:cs="微软雅黑"/>
                <w:b/>
                <w:bCs/>
                <w:color w:val="000000"/>
                <w:kern w:val="0"/>
                <w:sz w:val="30"/>
                <w:szCs w:val="30"/>
              </w:rPr>
              <w:t>）</w:t>
            </w:r>
          </w:p>
        </w:tc>
      </w:tr>
      <w:tr w14:paraId="0539BDED">
        <w:tblPrEx>
          <w:tblCellMar>
            <w:top w:w="0" w:type="dxa"/>
            <w:left w:w="108" w:type="dxa"/>
            <w:bottom w:w="0" w:type="dxa"/>
            <w:right w:w="108" w:type="dxa"/>
          </w:tblCellMar>
        </w:tblPrEx>
        <w:trPr>
          <w:trHeight w:val="545" w:hRule="atLeast"/>
        </w:trPr>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995281">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项目名称</w:t>
            </w:r>
          </w:p>
        </w:tc>
        <w:tc>
          <w:tcPr>
            <w:tcW w:w="7513" w:type="dxa"/>
            <w:gridSpan w:val="9"/>
            <w:tcBorders>
              <w:top w:val="single" w:color="000000" w:sz="4" w:space="0"/>
              <w:left w:val="nil"/>
              <w:bottom w:val="single" w:color="000000" w:sz="4" w:space="0"/>
              <w:right w:val="single" w:color="000000" w:sz="4" w:space="0"/>
            </w:tcBorders>
            <w:shd w:val="clear" w:color="auto" w:fill="auto"/>
            <w:vAlign w:val="center"/>
          </w:tcPr>
          <w:p w14:paraId="340A1778">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51118122T000000398304-安全生产综合监管信息平台运行维护</w:t>
            </w:r>
          </w:p>
        </w:tc>
      </w:tr>
      <w:tr w14:paraId="49F882BB">
        <w:tblPrEx>
          <w:tblCellMar>
            <w:top w:w="0" w:type="dxa"/>
            <w:left w:w="108" w:type="dxa"/>
            <w:bottom w:w="0" w:type="dxa"/>
            <w:right w:w="108" w:type="dxa"/>
          </w:tblCellMar>
        </w:tblPrEx>
        <w:trPr>
          <w:trHeight w:val="485" w:hRule="atLeast"/>
        </w:trPr>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694417">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主管部门</w:t>
            </w:r>
          </w:p>
        </w:tc>
        <w:tc>
          <w:tcPr>
            <w:tcW w:w="3967" w:type="dxa"/>
            <w:gridSpan w:val="5"/>
            <w:tcBorders>
              <w:top w:val="single" w:color="000000" w:sz="4" w:space="0"/>
              <w:left w:val="nil"/>
              <w:bottom w:val="single" w:color="000000" w:sz="4" w:space="0"/>
              <w:right w:val="single" w:color="000000" w:sz="4" w:space="0"/>
            </w:tcBorders>
            <w:shd w:val="clear" w:color="auto" w:fill="auto"/>
            <w:vAlign w:val="center"/>
          </w:tcPr>
          <w:p w14:paraId="27B96B0A">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应急管理局</w:t>
            </w:r>
          </w:p>
        </w:tc>
        <w:tc>
          <w:tcPr>
            <w:tcW w:w="965" w:type="dxa"/>
            <w:tcBorders>
              <w:top w:val="nil"/>
              <w:left w:val="nil"/>
              <w:bottom w:val="nil"/>
              <w:right w:val="nil"/>
            </w:tcBorders>
            <w:shd w:val="clear" w:color="auto" w:fill="auto"/>
            <w:vAlign w:val="center"/>
          </w:tcPr>
          <w:p w14:paraId="082B32EB">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实施单位 （盖章）</w:t>
            </w:r>
          </w:p>
        </w:tc>
        <w:tc>
          <w:tcPr>
            <w:tcW w:w="2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CF9B1E">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峨眉山市应急管理局</w:t>
            </w:r>
          </w:p>
        </w:tc>
      </w:tr>
      <w:tr w14:paraId="032D7204">
        <w:tblPrEx>
          <w:tblCellMar>
            <w:top w:w="0" w:type="dxa"/>
            <w:left w:w="108" w:type="dxa"/>
            <w:bottom w:w="0" w:type="dxa"/>
            <w:right w:w="108" w:type="dxa"/>
          </w:tblCellMar>
        </w:tblPrEx>
        <w:trPr>
          <w:trHeight w:val="485" w:hRule="atLeast"/>
        </w:trPr>
        <w:tc>
          <w:tcPr>
            <w:tcW w:w="775" w:type="dxa"/>
            <w:vMerge w:val="restart"/>
            <w:tcBorders>
              <w:top w:val="nil"/>
              <w:left w:val="single" w:color="000000" w:sz="4" w:space="0"/>
              <w:bottom w:val="single" w:color="000000" w:sz="4" w:space="0"/>
              <w:right w:val="single" w:color="000000" w:sz="4" w:space="0"/>
            </w:tcBorders>
            <w:shd w:val="clear" w:color="auto" w:fill="auto"/>
            <w:vAlign w:val="center"/>
          </w:tcPr>
          <w:p w14:paraId="034A09F9">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项目基本情况</w:t>
            </w:r>
          </w:p>
        </w:tc>
        <w:tc>
          <w:tcPr>
            <w:tcW w:w="774" w:type="dxa"/>
            <w:vMerge w:val="restart"/>
            <w:tcBorders>
              <w:top w:val="nil"/>
              <w:left w:val="single" w:color="000000" w:sz="4" w:space="0"/>
              <w:bottom w:val="single" w:color="000000" w:sz="4" w:space="0"/>
              <w:right w:val="single" w:color="000000" w:sz="4" w:space="0"/>
            </w:tcBorders>
            <w:shd w:val="clear" w:color="auto" w:fill="auto"/>
            <w:vAlign w:val="center"/>
          </w:tcPr>
          <w:p w14:paraId="7A3D1B94">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1.项目年度目标完成情况</w:t>
            </w:r>
          </w:p>
        </w:tc>
        <w:tc>
          <w:tcPr>
            <w:tcW w:w="3967" w:type="dxa"/>
            <w:gridSpan w:val="5"/>
            <w:tcBorders>
              <w:top w:val="single" w:color="000000" w:sz="4" w:space="0"/>
              <w:left w:val="nil"/>
              <w:bottom w:val="single" w:color="000000" w:sz="4" w:space="0"/>
              <w:right w:val="single" w:color="000000" w:sz="4" w:space="0"/>
            </w:tcBorders>
            <w:shd w:val="clear" w:color="auto" w:fill="auto"/>
            <w:vAlign w:val="center"/>
          </w:tcPr>
          <w:p w14:paraId="4BB9A761">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项目年度目标</w:t>
            </w:r>
          </w:p>
        </w:tc>
        <w:tc>
          <w:tcPr>
            <w:tcW w:w="3546" w:type="dxa"/>
            <w:gridSpan w:val="4"/>
            <w:tcBorders>
              <w:top w:val="single" w:color="000000" w:sz="4" w:space="0"/>
              <w:left w:val="nil"/>
              <w:bottom w:val="single" w:color="000000" w:sz="4" w:space="0"/>
              <w:right w:val="single" w:color="000000" w:sz="4" w:space="0"/>
            </w:tcBorders>
            <w:shd w:val="clear" w:color="auto" w:fill="auto"/>
            <w:vAlign w:val="center"/>
          </w:tcPr>
          <w:p w14:paraId="79068CB9">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年度目标完成情况</w:t>
            </w:r>
          </w:p>
        </w:tc>
      </w:tr>
      <w:tr w14:paraId="72F50D92">
        <w:tblPrEx>
          <w:tblCellMar>
            <w:top w:w="0" w:type="dxa"/>
            <w:left w:w="108" w:type="dxa"/>
            <w:bottom w:w="0" w:type="dxa"/>
            <w:right w:w="108" w:type="dxa"/>
          </w:tblCellMar>
        </w:tblPrEx>
        <w:trPr>
          <w:trHeight w:val="1608" w:hRule="atLeast"/>
        </w:trPr>
        <w:tc>
          <w:tcPr>
            <w:tcW w:w="775" w:type="dxa"/>
            <w:vMerge w:val="continue"/>
            <w:tcBorders>
              <w:top w:val="nil"/>
              <w:left w:val="single" w:color="000000" w:sz="4" w:space="0"/>
              <w:bottom w:val="single" w:color="000000" w:sz="4" w:space="0"/>
              <w:right w:val="single" w:color="000000" w:sz="4" w:space="0"/>
            </w:tcBorders>
            <w:vAlign w:val="center"/>
          </w:tcPr>
          <w:p w14:paraId="4778E564">
            <w:pPr>
              <w:widowControl/>
              <w:jc w:val="left"/>
              <w:rPr>
                <w:rFonts w:ascii="等线" w:hAnsi="等线" w:eastAsia="等线" w:cs="宋体"/>
                <w:color w:val="000000"/>
                <w:kern w:val="0"/>
                <w:sz w:val="18"/>
                <w:szCs w:val="18"/>
              </w:rPr>
            </w:pPr>
          </w:p>
        </w:tc>
        <w:tc>
          <w:tcPr>
            <w:tcW w:w="774" w:type="dxa"/>
            <w:vMerge w:val="continue"/>
            <w:tcBorders>
              <w:top w:val="nil"/>
              <w:left w:val="single" w:color="000000" w:sz="4" w:space="0"/>
              <w:bottom w:val="single" w:color="000000" w:sz="4" w:space="0"/>
              <w:right w:val="single" w:color="000000" w:sz="4" w:space="0"/>
            </w:tcBorders>
            <w:vAlign w:val="center"/>
          </w:tcPr>
          <w:p w14:paraId="6A9E9C05">
            <w:pPr>
              <w:widowControl/>
              <w:jc w:val="left"/>
              <w:rPr>
                <w:rFonts w:ascii="等线" w:hAnsi="等线" w:eastAsia="等线" w:cs="宋体"/>
                <w:color w:val="000000"/>
                <w:kern w:val="0"/>
                <w:sz w:val="18"/>
                <w:szCs w:val="18"/>
              </w:rPr>
            </w:pPr>
          </w:p>
        </w:tc>
        <w:tc>
          <w:tcPr>
            <w:tcW w:w="3967" w:type="dxa"/>
            <w:gridSpan w:val="5"/>
            <w:tcBorders>
              <w:top w:val="single" w:color="000000" w:sz="4" w:space="0"/>
              <w:left w:val="nil"/>
              <w:bottom w:val="single" w:color="000000" w:sz="4" w:space="0"/>
              <w:right w:val="single" w:color="000000" w:sz="4" w:space="0"/>
            </w:tcBorders>
            <w:shd w:val="clear" w:color="auto" w:fill="auto"/>
            <w:vAlign w:val="center"/>
          </w:tcPr>
          <w:p w14:paraId="22458DDB">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保障局机关网络安全</w:t>
            </w:r>
          </w:p>
        </w:tc>
        <w:tc>
          <w:tcPr>
            <w:tcW w:w="3546" w:type="dxa"/>
            <w:gridSpan w:val="4"/>
            <w:tcBorders>
              <w:top w:val="single" w:color="000000" w:sz="4" w:space="0"/>
              <w:left w:val="nil"/>
              <w:bottom w:val="single" w:color="000000" w:sz="4" w:space="0"/>
              <w:right w:val="single" w:color="000000" w:sz="4" w:space="0"/>
            </w:tcBorders>
            <w:shd w:val="clear" w:color="auto" w:fill="auto"/>
            <w:vAlign w:val="center"/>
          </w:tcPr>
          <w:p w14:paraId="05B1C0D6">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完成网络安全运维服务，包括：7×24小时安全设备运行监控、5×8小时机房值守、故障处理、运行状况统计分析、性能优化、风险评估、方案建议、应急保障等服务，确保局机关网络通信和安全正常运行。</w:t>
            </w:r>
          </w:p>
        </w:tc>
      </w:tr>
      <w:tr w14:paraId="25ED5193">
        <w:tblPrEx>
          <w:tblCellMar>
            <w:top w:w="0" w:type="dxa"/>
            <w:left w:w="108" w:type="dxa"/>
            <w:bottom w:w="0" w:type="dxa"/>
            <w:right w:w="108" w:type="dxa"/>
          </w:tblCellMar>
        </w:tblPrEx>
        <w:trPr>
          <w:trHeight w:val="773" w:hRule="atLeast"/>
        </w:trPr>
        <w:tc>
          <w:tcPr>
            <w:tcW w:w="775" w:type="dxa"/>
            <w:vMerge w:val="continue"/>
            <w:tcBorders>
              <w:top w:val="nil"/>
              <w:left w:val="single" w:color="000000" w:sz="4" w:space="0"/>
              <w:bottom w:val="single" w:color="000000" w:sz="4" w:space="0"/>
              <w:right w:val="single" w:color="000000" w:sz="4" w:space="0"/>
            </w:tcBorders>
            <w:vAlign w:val="center"/>
          </w:tcPr>
          <w:p w14:paraId="3209C777">
            <w:pPr>
              <w:widowControl/>
              <w:jc w:val="left"/>
              <w:rPr>
                <w:rFonts w:ascii="等线" w:hAnsi="等线" w:eastAsia="等线" w:cs="宋体"/>
                <w:color w:val="000000"/>
                <w:kern w:val="0"/>
                <w:sz w:val="18"/>
                <w:szCs w:val="18"/>
              </w:rPr>
            </w:pPr>
          </w:p>
        </w:tc>
        <w:tc>
          <w:tcPr>
            <w:tcW w:w="774" w:type="dxa"/>
            <w:tcBorders>
              <w:top w:val="nil"/>
              <w:left w:val="nil"/>
              <w:bottom w:val="single" w:color="000000" w:sz="4" w:space="0"/>
              <w:right w:val="single" w:color="000000" w:sz="4" w:space="0"/>
            </w:tcBorders>
            <w:shd w:val="clear" w:color="auto" w:fill="auto"/>
            <w:vAlign w:val="center"/>
          </w:tcPr>
          <w:p w14:paraId="6E401290">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2.项目实施内容及过程概述</w:t>
            </w:r>
          </w:p>
        </w:tc>
        <w:tc>
          <w:tcPr>
            <w:tcW w:w="7513" w:type="dxa"/>
            <w:gridSpan w:val="9"/>
            <w:tcBorders>
              <w:top w:val="single" w:color="000000" w:sz="4" w:space="0"/>
              <w:left w:val="nil"/>
              <w:bottom w:val="single" w:color="000000" w:sz="4" w:space="0"/>
              <w:right w:val="single" w:color="000000" w:sz="4" w:space="0"/>
            </w:tcBorders>
            <w:shd w:val="clear" w:color="auto" w:fill="auto"/>
            <w:vAlign w:val="center"/>
          </w:tcPr>
          <w:p w14:paraId="49C77D92">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保障局机关网络安全运维服务 ，包括：7×24小时安全设备运行监控、5×8小时机房值守、故障处理、运行状况统计分析、性能优化、风险评估、方案建议、应急保障等服务，确保局机关网络通信和安全正常运行 。</w:t>
            </w:r>
          </w:p>
        </w:tc>
      </w:tr>
      <w:tr w14:paraId="44A84895">
        <w:tblPrEx>
          <w:tblCellMar>
            <w:top w:w="0" w:type="dxa"/>
            <w:left w:w="108" w:type="dxa"/>
            <w:bottom w:w="0" w:type="dxa"/>
            <w:right w:w="108" w:type="dxa"/>
          </w:tblCellMar>
        </w:tblPrEx>
        <w:trPr>
          <w:trHeight w:val="576" w:hRule="atLeast"/>
        </w:trPr>
        <w:tc>
          <w:tcPr>
            <w:tcW w:w="775" w:type="dxa"/>
            <w:vMerge w:val="restart"/>
            <w:tcBorders>
              <w:top w:val="nil"/>
              <w:left w:val="single" w:color="000000" w:sz="4" w:space="0"/>
              <w:bottom w:val="single" w:color="000000" w:sz="4" w:space="0"/>
              <w:right w:val="single" w:color="000000" w:sz="4" w:space="0"/>
            </w:tcBorders>
            <w:shd w:val="clear" w:color="auto" w:fill="auto"/>
            <w:vAlign w:val="center"/>
          </w:tcPr>
          <w:p w14:paraId="123AEB41">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预算执行情况（10分）</w:t>
            </w:r>
          </w:p>
        </w:tc>
        <w:tc>
          <w:tcPr>
            <w:tcW w:w="774" w:type="dxa"/>
            <w:tcBorders>
              <w:top w:val="nil"/>
              <w:left w:val="nil"/>
              <w:bottom w:val="single" w:color="000000" w:sz="4" w:space="0"/>
              <w:right w:val="single" w:color="000000" w:sz="4" w:space="0"/>
            </w:tcBorders>
            <w:shd w:val="clear" w:color="auto" w:fill="auto"/>
            <w:vAlign w:val="center"/>
          </w:tcPr>
          <w:p w14:paraId="185E27F7">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年度预算数（万元）</w:t>
            </w:r>
          </w:p>
        </w:tc>
        <w:tc>
          <w:tcPr>
            <w:tcW w:w="1072" w:type="dxa"/>
            <w:tcBorders>
              <w:top w:val="nil"/>
              <w:left w:val="nil"/>
              <w:bottom w:val="single" w:color="000000" w:sz="4" w:space="0"/>
              <w:right w:val="single" w:color="000000" w:sz="4" w:space="0"/>
            </w:tcBorders>
            <w:shd w:val="clear" w:color="auto" w:fill="auto"/>
            <w:vAlign w:val="center"/>
          </w:tcPr>
          <w:p w14:paraId="49DB6D1B">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年初预算</w:t>
            </w:r>
          </w:p>
        </w:tc>
        <w:tc>
          <w:tcPr>
            <w:tcW w:w="1072" w:type="dxa"/>
            <w:tcBorders>
              <w:top w:val="nil"/>
              <w:left w:val="nil"/>
              <w:bottom w:val="single" w:color="000000" w:sz="4" w:space="0"/>
              <w:right w:val="single" w:color="000000" w:sz="4" w:space="0"/>
            </w:tcBorders>
            <w:shd w:val="clear" w:color="auto" w:fill="auto"/>
            <w:vAlign w:val="center"/>
          </w:tcPr>
          <w:p w14:paraId="6674A470">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调整后预算数</w:t>
            </w:r>
          </w:p>
        </w:tc>
        <w:tc>
          <w:tcPr>
            <w:tcW w:w="1822" w:type="dxa"/>
            <w:gridSpan w:val="3"/>
            <w:tcBorders>
              <w:top w:val="single" w:color="000000" w:sz="4" w:space="0"/>
              <w:left w:val="nil"/>
              <w:bottom w:val="single" w:color="000000" w:sz="4" w:space="0"/>
              <w:right w:val="single" w:color="000000" w:sz="4" w:space="0"/>
            </w:tcBorders>
            <w:shd w:val="clear" w:color="auto" w:fill="auto"/>
            <w:vAlign w:val="center"/>
          </w:tcPr>
          <w:p w14:paraId="3BFE97BB">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预算执行数</w:t>
            </w:r>
          </w:p>
        </w:tc>
        <w:tc>
          <w:tcPr>
            <w:tcW w:w="965" w:type="dxa"/>
            <w:tcBorders>
              <w:top w:val="nil"/>
              <w:left w:val="nil"/>
              <w:bottom w:val="single" w:color="000000" w:sz="4" w:space="0"/>
              <w:right w:val="single" w:color="000000" w:sz="4" w:space="0"/>
            </w:tcBorders>
            <w:shd w:val="clear" w:color="auto" w:fill="auto"/>
            <w:vAlign w:val="center"/>
          </w:tcPr>
          <w:p w14:paraId="602695AE">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预算执行率</w:t>
            </w:r>
          </w:p>
        </w:tc>
        <w:tc>
          <w:tcPr>
            <w:tcW w:w="861" w:type="dxa"/>
            <w:tcBorders>
              <w:top w:val="nil"/>
              <w:left w:val="nil"/>
              <w:bottom w:val="single" w:color="000000" w:sz="4" w:space="0"/>
              <w:right w:val="single" w:color="000000" w:sz="4" w:space="0"/>
            </w:tcBorders>
            <w:shd w:val="clear" w:color="auto" w:fill="auto"/>
            <w:vAlign w:val="center"/>
          </w:tcPr>
          <w:p w14:paraId="6842284E">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权重</w:t>
            </w:r>
          </w:p>
        </w:tc>
        <w:tc>
          <w:tcPr>
            <w:tcW w:w="861" w:type="dxa"/>
            <w:tcBorders>
              <w:top w:val="nil"/>
              <w:left w:val="nil"/>
              <w:bottom w:val="single" w:color="000000" w:sz="4" w:space="0"/>
              <w:right w:val="single" w:color="000000" w:sz="4" w:space="0"/>
            </w:tcBorders>
            <w:shd w:val="clear" w:color="auto" w:fill="auto"/>
            <w:vAlign w:val="center"/>
          </w:tcPr>
          <w:p w14:paraId="4E9320AA">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得分</w:t>
            </w:r>
          </w:p>
        </w:tc>
        <w:tc>
          <w:tcPr>
            <w:tcW w:w="858" w:type="dxa"/>
            <w:tcBorders>
              <w:top w:val="nil"/>
              <w:left w:val="nil"/>
              <w:bottom w:val="single" w:color="000000" w:sz="4" w:space="0"/>
              <w:right w:val="single" w:color="000000" w:sz="4" w:space="0"/>
            </w:tcBorders>
            <w:shd w:val="clear" w:color="auto" w:fill="auto"/>
            <w:vAlign w:val="center"/>
          </w:tcPr>
          <w:p w14:paraId="51246955">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原因</w:t>
            </w:r>
          </w:p>
        </w:tc>
      </w:tr>
      <w:tr w14:paraId="73901C6F">
        <w:tblPrEx>
          <w:tblCellMar>
            <w:top w:w="0" w:type="dxa"/>
            <w:left w:w="108" w:type="dxa"/>
            <w:bottom w:w="0" w:type="dxa"/>
            <w:right w:w="108" w:type="dxa"/>
          </w:tblCellMar>
        </w:tblPrEx>
        <w:trPr>
          <w:trHeight w:val="576" w:hRule="atLeast"/>
        </w:trPr>
        <w:tc>
          <w:tcPr>
            <w:tcW w:w="775" w:type="dxa"/>
            <w:vMerge w:val="continue"/>
            <w:tcBorders>
              <w:top w:val="nil"/>
              <w:left w:val="single" w:color="000000" w:sz="4" w:space="0"/>
              <w:bottom w:val="single" w:color="000000" w:sz="4" w:space="0"/>
              <w:right w:val="single" w:color="000000" w:sz="4" w:space="0"/>
            </w:tcBorders>
            <w:vAlign w:val="center"/>
          </w:tcPr>
          <w:p w14:paraId="5CEF818D">
            <w:pPr>
              <w:widowControl/>
              <w:jc w:val="left"/>
              <w:rPr>
                <w:rFonts w:ascii="等线" w:hAnsi="等线" w:eastAsia="等线" w:cs="宋体"/>
                <w:color w:val="000000"/>
                <w:kern w:val="0"/>
                <w:sz w:val="18"/>
                <w:szCs w:val="18"/>
              </w:rPr>
            </w:pPr>
          </w:p>
        </w:tc>
        <w:tc>
          <w:tcPr>
            <w:tcW w:w="774" w:type="dxa"/>
            <w:tcBorders>
              <w:top w:val="nil"/>
              <w:left w:val="nil"/>
              <w:bottom w:val="single" w:color="000000" w:sz="4" w:space="0"/>
              <w:right w:val="single" w:color="000000" w:sz="4" w:space="0"/>
            </w:tcBorders>
            <w:shd w:val="clear" w:color="auto" w:fill="auto"/>
            <w:vAlign w:val="center"/>
          </w:tcPr>
          <w:p w14:paraId="63F979E8">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总额</w:t>
            </w:r>
          </w:p>
        </w:tc>
        <w:tc>
          <w:tcPr>
            <w:tcW w:w="1072" w:type="dxa"/>
            <w:tcBorders>
              <w:top w:val="nil"/>
              <w:left w:val="nil"/>
              <w:bottom w:val="single" w:color="000000" w:sz="4" w:space="0"/>
              <w:right w:val="single" w:color="000000" w:sz="4" w:space="0"/>
            </w:tcBorders>
            <w:shd w:val="clear" w:color="auto" w:fill="auto"/>
            <w:vAlign w:val="center"/>
          </w:tcPr>
          <w:p w14:paraId="5578D5B9">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27.00</w:t>
            </w:r>
          </w:p>
        </w:tc>
        <w:tc>
          <w:tcPr>
            <w:tcW w:w="1072" w:type="dxa"/>
            <w:tcBorders>
              <w:top w:val="nil"/>
              <w:left w:val="nil"/>
              <w:bottom w:val="single" w:color="000000" w:sz="4" w:space="0"/>
              <w:right w:val="single" w:color="000000" w:sz="4" w:space="0"/>
            </w:tcBorders>
            <w:shd w:val="clear" w:color="auto" w:fill="auto"/>
            <w:vAlign w:val="center"/>
          </w:tcPr>
          <w:p w14:paraId="27E9AE37">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19.88</w:t>
            </w:r>
          </w:p>
        </w:tc>
        <w:tc>
          <w:tcPr>
            <w:tcW w:w="1822" w:type="dxa"/>
            <w:gridSpan w:val="3"/>
            <w:tcBorders>
              <w:top w:val="single" w:color="000000" w:sz="4" w:space="0"/>
              <w:left w:val="nil"/>
              <w:bottom w:val="single" w:color="000000" w:sz="4" w:space="0"/>
              <w:right w:val="single" w:color="000000" w:sz="4" w:space="0"/>
            </w:tcBorders>
            <w:shd w:val="clear" w:color="auto" w:fill="auto"/>
            <w:vAlign w:val="center"/>
          </w:tcPr>
          <w:p w14:paraId="3357F12B">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19.88</w:t>
            </w:r>
          </w:p>
        </w:tc>
        <w:tc>
          <w:tcPr>
            <w:tcW w:w="965" w:type="dxa"/>
            <w:tcBorders>
              <w:top w:val="nil"/>
              <w:left w:val="nil"/>
              <w:bottom w:val="single" w:color="000000" w:sz="4" w:space="0"/>
              <w:right w:val="single" w:color="000000" w:sz="4" w:space="0"/>
            </w:tcBorders>
            <w:shd w:val="clear" w:color="auto" w:fill="auto"/>
            <w:vAlign w:val="center"/>
          </w:tcPr>
          <w:p w14:paraId="27466296">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100.00%</w:t>
            </w:r>
          </w:p>
        </w:tc>
        <w:tc>
          <w:tcPr>
            <w:tcW w:w="861" w:type="dxa"/>
            <w:tcBorders>
              <w:top w:val="nil"/>
              <w:left w:val="nil"/>
              <w:bottom w:val="single" w:color="000000" w:sz="4" w:space="0"/>
              <w:right w:val="single" w:color="000000" w:sz="4" w:space="0"/>
            </w:tcBorders>
            <w:shd w:val="clear" w:color="auto" w:fill="auto"/>
            <w:vAlign w:val="center"/>
          </w:tcPr>
          <w:p w14:paraId="5BCAB095">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61" w:type="dxa"/>
            <w:tcBorders>
              <w:top w:val="nil"/>
              <w:left w:val="nil"/>
              <w:bottom w:val="single" w:color="000000" w:sz="4" w:space="0"/>
              <w:right w:val="single" w:color="000000" w:sz="4" w:space="0"/>
            </w:tcBorders>
            <w:shd w:val="clear" w:color="auto" w:fill="auto"/>
            <w:vAlign w:val="center"/>
          </w:tcPr>
          <w:p w14:paraId="4687C303">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58" w:type="dxa"/>
            <w:vMerge w:val="restart"/>
            <w:tcBorders>
              <w:top w:val="nil"/>
              <w:left w:val="single" w:color="000000" w:sz="4" w:space="0"/>
              <w:bottom w:val="single" w:color="000000" w:sz="4" w:space="0"/>
              <w:right w:val="single" w:color="000000" w:sz="4" w:space="0"/>
            </w:tcBorders>
            <w:shd w:val="clear" w:color="auto" w:fill="auto"/>
            <w:vAlign w:val="center"/>
          </w:tcPr>
          <w:p w14:paraId="7BBFCCAC">
            <w:pPr>
              <w:widowControl/>
              <w:jc w:val="left"/>
              <w:rPr>
                <w:rFonts w:ascii="等线" w:hAnsi="等线" w:eastAsia="等线" w:cs="宋体"/>
                <w:i/>
                <w:iCs/>
                <w:color w:val="000000"/>
                <w:kern w:val="0"/>
                <w:sz w:val="18"/>
                <w:szCs w:val="18"/>
              </w:rPr>
            </w:pPr>
            <w:r>
              <w:rPr>
                <w:rFonts w:hint="eastAsia" w:ascii="等线" w:hAnsi="等线" w:eastAsia="等线" w:cs="宋体"/>
                <w:i/>
                <w:iCs/>
                <w:color w:val="000000"/>
                <w:kern w:val="0"/>
                <w:sz w:val="18"/>
                <w:szCs w:val="18"/>
              </w:rPr>
              <w:t>　</w:t>
            </w:r>
          </w:p>
        </w:tc>
      </w:tr>
      <w:tr w14:paraId="6CF53EEE">
        <w:tblPrEx>
          <w:tblCellMar>
            <w:top w:w="0" w:type="dxa"/>
            <w:left w:w="108" w:type="dxa"/>
            <w:bottom w:w="0" w:type="dxa"/>
            <w:right w:w="108" w:type="dxa"/>
          </w:tblCellMar>
        </w:tblPrEx>
        <w:trPr>
          <w:trHeight w:val="576" w:hRule="atLeast"/>
        </w:trPr>
        <w:tc>
          <w:tcPr>
            <w:tcW w:w="775" w:type="dxa"/>
            <w:vMerge w:val="continue"/>
            <w:tcBorders>
              <w:top w:val="nil"/>
              <w:left w:val="single" w:color="000000" w:sz="4" w:space="0"/>
              <w:bottom w:val="single" w:color="000000" w:sz="4" w:space="0"/>
              <w:right w:val="single" w:color="000000" w:sz="4" w:space="0"/>
            </w:tcBorders>
            <w:vAlign w:val="center"/>
          </w:tcPr>
          <w:p w14:paraId="0EC6B3DB">
            <w:pPr>
              <w:widowControl/>
              <w:jc w:val="left"/>
              <w:rPr>
                <w:rFonts w:ascii="等线" w:hAnsi="等线" w:eastAsia="等线" w:cs="宋体"/>
                <w:color w:val="000000"/>
                <w:kern w:val="0"/>
                <w:sz w:val="18"/>
                <w:szCs w:val="18"/>
              </w:rPr>
            </w:pPr>
          </w:p>
        </w:tc>
        <w:tc>
          <w:tcPr>
            <w:tcW w:w="774" w:type="dxa"/>
            <w:tcBorders>
              <w:top w:val="nil"/>
              <w:left w:val="nil"/>
              <w:bottom w:val="single" w:color="000000" w:sz="4" w:space="0"/>
              <w:right w:val="single" w:color="000000" w:sz="4" w:space="0"/>
            </w:tcBorders>
            <w:shd w:val="clear" w:color="auto" w:fill="auto"/>
            <w:vAlign w:val="center"/>
          </w:tcPr>
          <w:p w14:paraId="67057B0B">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其中：财政资金</w:t>
            </w:r>
          </w:p>
        </w:tc>
        <w:tc>
          <w:tcPr>
            <w:tcW w:w="1072" w:type="dxa"/>
            <w:tcBorders>
              <w:top w:val="nil"/>
              <w:left w:val="nil"/>
              <w:bottom w:val="single" w:color="000000" w:sz="4" w:space="0"/>
              <w:right w:val="single" w:color="000000" w:sz="4" w:space="0"/>
            </w:tcBorders>
            <w:shd w:val="clear" w:color="auto" w:fill="auto"/>
            <w:vAlign w:val="center"/>
          </w:tcPr>
          <w:p w14:paraId="0C330C22">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27.00</w:t>
            </w:r>
          </w:p>
        </w:tc>
        <w:tc>
          <w:tcPr>
            <w:tcW w:w="1072" w:type="dxa"/>
            <w:tcBorders>
              <w:top w:val="nil"/>
              <w:left w:val="nil"/>
              <w:bottom w:val="single" w:color="000000" w:sz="4" w:space="0"/>
              <w:right w:val="single" w:color="000000" w:sz="4" w:space="0"/>
            </w:tcBorders>
            <w:shd w:val="clear" w:color="auto" w:fill="auto"/>
            <w:vAlign w:val="center"/>
          </w:tcPr>
          <w:p w14:paraId="5E96F282">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19.88</w:t>
            </w:r>
          </w:p>
        </w:tc>
        <w:tc>
          <w:tcPr>
            <w:tcW w:w="1822" w:type="dxa"/>
            <w:gridSpan w:val="3"/>
            <w:tcBorders>
              <w:top w:val="single" w:color="000000" w:sz="4" w:space="0"/>
              <w:left w:val="nil"/>
              <w:bottom w:val="single" w:color="000000" w:sz="4" w:space="0"/>
              <w:right w:val="single" w:color="000000" w:sz="4" w:space="0"/>
            </w:tcBorders>
            <w:shd w:val="clear" w:color="auto" w:fill="auto"/>
            <w:vAlign w:val="center"/>
          </w:tcPr>
          <w:p w14:paraId="1689EEC3">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19.88</w:t>
            </w:r>
          </w:p>
        </w:tc>
        <w:tc>
          <w:tcPr>
            <w:tcW w:w="965" w:type="dxa"/>
            <w:tcBorders>
              <w:top w:val="nil"/>
              <w:left w:val="nil"/>
              <w:bottom w:val="single" w:color="000000" w:sz="4" w:space="0"/>
              <w:right w:val="single" w:color="000000" w:sz="4" w:space="0"/>
            </w:tcBorders>
            <w:shd w:val="clear" w:color="auto" w:fill="auto"/>
            <w:vAlign w:val="center"/>
          </w:tcPr>
          <w:p w14:paraId="0529A133">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100.00%</w:t>
            </w:r>
          </w:p>
        </w:tc>
        <w:tc>
          <w:tcPr>
            <w:tcW w:w="861" w:type="dxa"/>
            <w:tcBorders>
              <w:top w:val="nil"/>
              <w:left w:val="nil"/>
              <w:bottom w:val="single" w:color="000000" w:sz="4" w:space="0"/>
              <w:right w:val="single" w:color="000000" w:sz="4" w:space="0"/>
            </w:tcBorders>
            <w:shd w:val="clear" w:color="auto" w:fill="auto"/>
            <w:vAlign w:val="center"/>
          </w:tcPr>
          <w:p w14:paraId="2DAF6D2D">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861" w:type="dxa"/>
            <w:tcBorders>
              <w:top w:val="nil"/>
              <w:left w:val="nil"/>
              <w:bottom w:val="single" w:color="000000" w:sz="4" w:space="0"/>
              <w:right w:val="single" w:color="000000" w:sz="4" w:space="0"/>
            </w:tcBorders>
            <w:shd w:val="clear" w:color="auto" w:fill="auto"/>
            <w:vAlign w:val="center"/>
          </w:tcPr>
          <w:p w14:paraId="397D19E1">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858" w:type="dxa"/>
            <w:vMerge w:val="continue"/>
            <w:tcBorders>
              <w:top w:val="nil"/>
              <w:left w:val="single" w:color="000000" w:sz="4" w:space="0"/>
              <w:bottom w:val="single" w:color="000000" w:sz="4" w:space="0"/>
              <w:right w:val="single" w:color="000000" w:sz="4" w:space="0"/>
            </w:tcBorders>
            <w:vAlign w:val="center"/>
          </w:tcPr>
          <w:p w14:paraId="2ABF8502">
            <w:pPr>
              <w:widowControl/>
              <w:jc w:val="left"/>
              <w:rPr>
                <w:rFonts w:ascii="等线" w:hAnsi="等线" w:eastAsia="等线" w:cs="宋体"/>
                <w:i/>
                <w:iCs/>
                <w:color w:val="000000"/>
                <w:kern w:val="0"/>
                <w:sz w:val="18"/>
                <w:szCs w:val="18"/>
              </w:rPr>
            </w:pPr>
          </w:p>
        </w:tc>
      </w:tr>
      <w:tr w14:paraId="75D320A4">
        <w:tblPrEx>
          <w:tblCellMar>
            <w:top w:w="0" w:type="dxa"/>
            <w:left w:w="108" w:type="dxa"/>
            <w:bottom w:w="0" w:type="dxa"/>
            <w:right w:w="108" w:type="dxa"/>
          </w:tblCellMar>
        </w:tblPrEx>
        <w:trPr>
          <w:trHeight w:val="576" w:hRule="atLeast"/>
        </w:trPr>
        <w:tc>
          <w:tcPr>
            <w:tcW w:w="775" w:type="dxa"/>
            <w:vMerge w:val="continue"/>
            <w:tcBorders>
              <w:top w:val="nil"/>
              <w:left w:val="single" w:color="000000" w:sz="4" w:space="0"/>
              <w:bottom w:val="single" w:color="000000" w:sz="4" w:space="0"/>
              <w:right w:val="single" w:color="000000" w:sz="4" w:space="0"/>
            </w:tcBorders>
            <w:vAlign w:val="center"/>
          </w:tcPr>
          <w:p w14:paraId="3C5B45C8">
            <w:pPr>
              <w:widowControl/>
              <w:jc w:val="left"/>
              <w:rPr>
                <w:rFonts w:ascii="等线" w:hAnsi="等线" w:eastAsia="等线" w:cs="宋体"/>
                <w:color w:val="000000"/>
                <w:kern w:val="0"/>
                <w:sz w:val="18"/>
                <w:szCs w:val="18"/>
              </w:rPr>
            </w:pPr>
          </w:p>
        </w:tc>
        <w:tc>
          <w:tcPr>
            <w:tcW w:w="774" w:type="dxa"/>
            <w:tcBorders>
              <w:top w:val="nil"/>
              <w:left w:val="nil"/>
              <w:bottom w:val="single" w:color="000000" w:sz="4" w:space="0"/>
              <w:right w:val="single" w:color="000000" w:sz="4" w:space="0"/>
            </w:tcBorders>
            <w:shd w:val="clear" w:color="auto" w:fill="auto"/>
            <w:vAlign w:val="center"/>
          </w:tcPr>
          <w:p w14:paraId="1DB983FD">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财政专户管理资金</w:t>
            </w:r>
          </w:p>
        </w:tc>
        <w:tc>
          <w:tcPr>
            <w:tcW w:w="1072" w:type="dxa"/>
            <w:tcBorders>
              <w:top w:val="nil"/>
              <w:left w:val="nil"/>
              <w:bottom w:val="single" w:color="000000" w:sz="4" w:space="0"/>
              <w:right w:val="single" w:color="000000" w:sz="4" w:space="0"/>
            </w:tcBorders>
            <w:shd w:val="clear" w:color="auto" w:fill="auto"/>
            <w:vAlign w:val="center"/>
          </w:tcPr>
          <w:p w14:paraId="34480186">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w:t>
            </w:r>
          </w:p>
        </w:tc>
        <w:tc>
          <w:tcPr>
            <w:tcW w:w="1072" w:type="dxa"/>
            <w:tcBorders>
              <w:top w:val="nil"/>
              <w:left w:val="nil"/>
              <w:bottom w:val="single" w:color="000000" w:sz="4" w:space="0"/>
              <w:right w:val="single" w:color="000000" w:sz="4" w:space="0"/>
            </w:tcBorders>
            <w:shd w:val="clear" w:color="auto" w:fill="auto"/>
            <w:vAlign w:val="center"/>
          </w:tcPr>
          <w:p w14:paraId="13709553">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w:t>
            </w:r>
          </w:p>
        </w:tc>
        <w:tc>
          <w:tcPr>
            <w:tcW w:w="1822" w:type="dxa"/>
            <w:gridSpan w:val="3"/>
            <w:tcBorders>
              <w:top w:val="single" w:color="000000" w:sz="4" w:space="0"/>
              <w:left w:val="nil"/>
              <w:bottom w:val="single" w:color="000000" w:sz="4" w:space="0"/>
              <w:right w:val="single" w:color="000000" w:sz="4" w:space="0"/>
            </w:tcBorders>
            <w:shd w:val="clear" w:color="auto" w:fill="auto"/>
            <w:vAlign w:val="center"/>
          </w:tcPr>
          <w:p w14:paraId="5F0172AA">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w:t>
            </w:r>
          </w:p>
        </w:tc>
        <w:tc>
          <w:tcPr>
            <w:tcW w:w="965" w:type="dxa"/>
            <w:tcBorders>
              <w:top w:val="nil"/>
              <w:left w:val="nil"/>
              <w:bottom w:val="single" w:color="000000" w:sz="4" w:space="0"/>
              <w:right w:val="single" w:color="000000" w:sz="4" w:space="0"/>
            </w:tcBorders>
            <w:shd w:val="clear" w:color="auto" w:fill="auto"/>
            <w:vAlign w:val="center"/>
          </w:tcPr>
          <w:p w14:paraId="18C04C8D">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w:t>
            </w:r>
          </w:p>
        </w:tc>
        <w:tc>
          <w:tcPr>
            <w:tcW w:w="861" w:type="dxa"/>
            <w:tcBorders>
              <w:top w:val="nil"/>
              <w:left w:val="nil"/>
              <w:bottom w:val="single" w:color="000000" w:sz="4" w:space="0"/>
              <w:right w:val="single" w:color="000000" w:sz="4" w:space="0"/>
            </w:tcBorders>
            <w:shd w:val="clear" w:color="auto" w:fill="auto"/>
            <w:vAlign w:val="center"/>
          </w:tcPr>
          <w:p w14:paraId="1386470C">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861" w:type="dxa"/>
            <w:tcBorders>
              <w:top w:val="nil"/>
              <w:left w:val="nil"/>
              <w:bottom w:val="single" w:color="000000" w:sz="4" w:space="0"/>
              <w:right w:val="single" w:color="000000" w:sz="4" w:space="0"/>
            </w:tcBorders>
            <w:shd w:val="clear" w:color="auto" w:fill="auto"/>
            <w:vAlign w:val="center"/>
          </w:tcPr>
          <w:p w14:paraId="3295121B">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858" w:type="dxa"/>
            <w:vMerge w:val="continue"/>
            <w:tcBorders>
              <w:top w:val="nil"/>
              <w:left w:val="single" w:color="000000" w:sz="4" w:space="0"/>
              <w:bottom w:val="single" w:color="000000" w:sz="4" w:space="0"/>
              <w:right w:val="single" w:color="000000" w:sz="4" w:space="0"/>
            </w:tcBorders>
            <w:vAlign w:val="center"/>
          </w:tcPr>
          <w:p w14:paraId="276C8A80">
            <w:pPr>
              <w:widowControl/>
              <w:jc w:val="left"/>
              <w:rPr>
                <w:rFonts w:ascii="等线" w:hAnsi="等线" w:eastAsia="等线" w:cs="宋体"/>
                <w:i/>
                <w:iCs/>
                <w:color w:val="000000"/>
                <w:kern w:val="0"/>
                <w:sz w:val="18"/>
                <w:szCs w:val="18"/>
              </w:rPr>
            </w:pPr>
          </w:p>
        </w:tc>
      </w:tr>
      <w:tr w14:paraId="14D69396">
        <w:tblPrEx>
          <w:tblCellMar>
            <w:top w:w="0" w:type="dxa"/>
            <w:left w:w="108" w:type="dxa"/>
            <w:bottom w:w="0" w:type="dxa"/>
            <w:right w:w="108" w:type="dxa"/>
          </w:tblCellMar>
        </w:tblPrEx>
        <w:trPr>
          <w:trHeight w:val="576" w:hRule="atLeast"/>
        </w:trPr>
        <w:tc>
          <w:tcPr>
            <w:tcW w:w="775" w:type="dxa"/>
            <w:vMerge w:val="continue"/>
            <w:tcBorders>
              <w:top w:val="nil"/>
              <w:left w:val="single" w:color="000000" w:sz="4" w:space="0"/>
              <w:bottom w:val="single" w:color="000000" w:sz="4" w:space="0"/>
              <w:right w:val="single" w:color="000000" w:sz="4" w:space="0"/>
            </w:tcBorders>
            <w:vAlign w:val="center"/>
          </w:tcPr>
          <w:p w14:paraId="71E51B06">
            <w:pPr>
              <w:widowControl/>
              <w:jc w:val="left"/>
              <w:rPr>
                <w:rFonts w:ascii="等线" w:hAnsi="等线" w:eastAsia="等线" w:cs="宋体"/>
                <w:color w:val="000000"/>
                <w:kern w:val="0"/>
                <w:sz w:val="18"/>
                <w:szCs w:val="18"/>
              </w:rPr>
            </w:pPr>
          </w:p>
        </w:tc>
        <w:tc>
          <w:tcPr>
            <w:tcW w:w="774" w:type="dxa"/>
            <w:tcBorders>
              <w:top w:val="nil"/>
              <w:left w:val="nil"/>
              <w:bottom w:val="single" w:color="000000" w:sz="4" w:space="0"/>
              <w:right w:val="single" w:color="000000" w:sz="4" w:space="0"/>
            </w:tcBorders>
            <w:shd w:val="clear" w:color="auto" w:fill="auto"/>
            <w:vAlign w:val="center"/>
          </w:tcPr>
          <w:p w14:paraId="4B8B641F">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单位资金</w:t>
            </w:r>
          </w:p>
        </w:tc>
        <w:tc>
          <w:tcPr>
            <w:tcW w:w="1072" w:type="dxa"/>
            <w:tcBorders>
              <w:top w:val="nil"/>
              <w:left w:val="nil"/>
              <w:bottom w:val="single" w:color="000000" w:sz="4" w:space="0"/>
              <w:right w:val="single" w:color="000000" w:sz="4" w:space="0"/>
            </w:tcBorders>
            <w:shd w:val="clear" w:color="auto" w:fill="auto"/>
            <w:vAlign w:val="center"/>
          </w:tcPr>
          <w:p w14:paraId="42979773">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w:t>
            </w:r>
          </w:p>
        </w:tc>
        <w:tc>
          <w:tcPr>
            <w:tcW w:w="1072" w:type="dxa"/>
            <w:tcBorders>
              <w:top w:val="nil"/>
              <w:left w:val="nil"/>
              <w:bottom w:val="single" w:color="000000" w:sz="4" w:space="0"/>
              <w:right w:val="single" w:color="000000" w:sz="4" w:space="0"/>
            </w:tcBorders>
            <w:shd w:val="clear" w:color="auto" w:fill="auto"/>
            <w:vAlign w:val="center"/>
          </w:tcPr>
          <w:p w14:paraId="19743533">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w:t>
            </w:r>
          </w:p>
        </w:tc>
        <w:tc>
          <w:tcPr>
            <w:tcW w:w="1822" w:type="dxa"/>
            <w:gridSpan w:val="3"/>
            <w:tcBorders>
              <w:top w:val="single" w:color="000000" w:sz="4" w:space="0"/>
              <w:left w:val="nil"/>
              <w:bottom w:val="single" w:color="000000" w:sz="4" w:space="0"/>
              <w:right w:val="single" w:color="000000" w:sz="4" w:space="0"/>
            </w:tcBorders>
            <w:shd w:val="clear" w:color="auto" w:fill="auto"/>
            <w:vAlign w:val="center"/>
          </w:tcPr>
          <w:p w14:paraId="7E4BEA99">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w:t>
            </w:r>
          </w:p>
        </w:tc>
        <w:tc>
          <w:tcPr>
            <w:tcW w:w="965" w:type="dxa"/>
            <w:tcBorders>
              <w:top w:val="nil"/>
              <w:left w:val="nil"/>
              <w:bottom w:val="single" w:color="000000" w:sz="4" w:space="0"/>
              <w:right w:val="single" w:color="000000" w:sz="4" w:space="0"/>
            </w:tcBorders>
            <w:shd w:val="clear" w:color="auto" w:fill="auto"/>
            <w:vAlign w:val="center"/>
          </w:tcPr>
          <w:p w14:paraId="1C36D2E1">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0.00%</w:t>
            </w:r>
          </w:p>
        </w:tc>
        <w:tc>
          <w:tcPr>
            <w:tcW w:w="861" w:type="dxa"/>
            <w:tcBorders>
              <w:top w:val="nil"/>
              <w:left w:val="nil"/>
              <w:bottom w:val="single" w:color="000000" w:sz="4" w:space="0"/>
              <w:right w:val="single" w:color="000000" w:sz="4" w:space="0"/>
            </w:tcBorders>
            <w:shd w:val="clear" w:color="auto" w:fill="auto"/>
            <w:vAlign w:val="center"/>
          </w:tcPr>
          <w:p w14:paraId="71F3CD26">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861" w:type="dxa"/>
            <w:tcBorders>
              <w:top w:val="nil"/>
              <w:left w:val="nil"/>
              <w:bottom w:val="single" w:color="000000" w:sz="4" w:space="0"/>
              <w:right w:val="single" w:color="000000" w:sz="4" w:space="0"/>
            </w:tcBorders>
            <w:shd w:val="clear" w:color="auto" w:fill="auto"/>
            <w:vAlign w:val="center"/>
          </w:tcPr>
          <w:p w14:paraId="103EFB13">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858" w:type="dxa"/>
            <w:vMerge w:val="continue"/>
            <w:tcBorders>
              <w:top w:val="nil"/>
              <w:left w:val="single" w:color="000000" w:sz="4" w:space="0"/>
              <w:bottom w:val="single" w:color="000000" w:sz="4" w:space="0"/>
              <w:right w:val="single" w:color="000000" w:sz="4" w:space="0"/>
            </w:tcBorders>
            <w:vAlign w:val="center"/>
          </w:tcPr>
          <w:p w14:paraId="3919E36D">
            <w:pPr>
              <w:widowControl/>
              <w:jc w:val="left"/>
              <w:rPr>
                <w:rFonts w:ascii="等线" w:hAnsi="等线" w:eastAsia="等线" w:cs="宋体"/>
                <w:i/>
                <w:iCs/>
                <w:color w:val="000000"/>
                <w:kern w:val="0"/>
                <w:sz w:val="18"/>
                <w:szCs w:val="18"/>
              </w:rPr>
            </w:pPr>
          </w:p>
        </w:tc>
      </w:tr>
      <w:tr w14:paraId="4858F907">
        <w:tblPrEx>
          <w:tblCellMar>
            <w:top w:w="0" w:type="dxa"/>
            <w:left w:w="108" w:type="dxa"/>
            <w:bottom w:w="0" w:type="dxa"/>
            <w:right w:w="108" w:type="dxa"/>
          </w:tblCellMar>
        </w:tblPrEx>
        <w:trPr>
          <w:trHeight w:val="576" w:hRule="atLeast"/>
        </w:trPr>
        <w:tc>
          <w:tcPr>
            <w:tcW w:w="775" w:type="dxa"/>
            <w:vMerge w:val="continue"/>
            <w:tcBorders>
              <w:top w:val="nil"/>
              <w:left w:val="single" w:color="000000" w:sz="4" w:space="0"/>
              <w:bottom w:val="single" w:color="000000" w:sz="4" w:space="0"/>
              <w:right w:val="single" w:color="000000" w:sz="4" w:space="0"/>
            </w:tcBorders>
            <w:vAlign w:val="center"/>
          </w:tcPr>
          <w:p w14:paraId="06F6DC03">
            <w:pPr>
              <w:widowControl/>
              <w:jc w:val="left"/>
              <w:rPr>
                <w:rFonts w:ascii="等线" w:hAnsi="等线" w:eastAsia="等线" w:cs="宋体"/>
                <w:color w:val="000000"/>
                <w:kern w:val="0"/>
                <w:sz w:val="18"/>
                <w:szCs w:val="18"/>
              </w:rPr>
            </w:pPr>
          </w:p>
        </w:tc>
        <w:tc>
          <w:tcPr>
            <w:tcW w:w="774" w:type="dxa"/>
            <w:tcBorders>
              <w:top w:val="nil"/>
              <w:left w:val="nil"/>
              <w:bottom w:val="single" w:color="000000" w:sz="4" w:space="0"/>
              <w:right w:val="single" w:color="000000" w:sz="4" w:space="0"/>
            </w:tcBorders>
            <w:shd w:val="clear" w:color="auto" w:fill="auto"/>
            <w:vAlign w:val="center"/>
          </w:tcPr>
          <w:p w14:paraId="543307D1">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其他资金</w:t>
            </w:r>
          </w:p>
        </w:tc>
        <w:tc>
          <w:tcPr>
            <w:tcW w:w="1072" w:type="dxa"/>
            <w:tcBorders>
              <w:top w:val="nil"/>
              <w:left w:val="nil"/>
              <w:bottom w:val="single" w:color="000000" w:sz="4" w:space="0"/>
              <w:right w:val="single" w:color="000000" w:sz="4" w:space="0"/>
            </w:tcBorders>
            <w:shd w:val="clear" w:color="auto" w:fill="auto"/>
            <w:vAlign w:val="center"/>
          </w:tcPr>
          <w:p w14:paraId="384447CB">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c>
          <w:tcPr>
            <w:tcW w:w="1072" w:type="dxa"/>
            <w:tcBorders>
              <w:top w:val="nil"/>
              <w:left w:val="nil"/>
              <w:bottom w:val="single" w:color="000000" w:sz="4" w:space="0"/>
              <w:right w:val="single" w:color="000000" w:sz="4" w:space="0"/>
            </w:tcBorders>
            <w:shd w:val="clear" w:color="auto" w:fill="auto"/>
            <w:vAlign w:val="center"/>
          </w:tcPr>
          <w:p w14:paraId="3378FC77">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c>
          <w:tcPr>
            <w:tcW w:w="1822" w:type="dxa"/>
            <w:gridSpan w:val="3"/>
            <w:tcBorders>
              <w:top w:val="single" w:color="000000" w:sz="4" w:space="0"/>
              <w:left w:val="nil"/>
              <w:bottom w:val="single" w:color="000000" w:sz="4" w:space="0"/>
              <w:right w:val="single" w:color="000000" w:sz="4" w:space="0"/>
            </w:tcBorders>
            <w:shd w:val="clear" w:color="auto" w:fill="auto"/>
            <w:vAlign w:val="center"/>
          </w:tcPr>
          <w:p w14:paraId="051371A5">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c>
          <w:tcPr>
            <w:tcW w:w="965" w:type="dxa"/>
            <w:tcBorders>
              <w:top w:val="nil"/>
              <w:left w:val="nil"/>
              <w:bottom w:val="single" w:color="000000" w:sz="4" w:space="0"/>
              <w:right w:val="single" w:color="000000" w:sz="4" w:space="0"/>
            </w:tcBorders>
            <w:shd w:val="clear" w:color="auto" w:fill="auto"/>
            <w:vAlign w:val="center"/>
          </w:tcPr>
          <w:p w14:paraId="43B5728D">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c>
          <w:tcPr>
            <w:tcW w:w="861" w:type="dxa"/>
            <w:tcBorders>
              <w:top w:val="nil"/>
              <w:left w:val="nil"/>
              <w:bottom w:val="single" w:color="000000" w:sz="4" w:space="0"/>
              <w:right w:val="single" w:color="000000" w:sz="4" w:space="0"/>
            </w:tcBorders>
            <w:shd w:val="clear" w:color="auto" w:fill="auto"/>
            <w:vAlign w:val="center"/>
          </w:tcPr>
          <w:p w14:paraId="54BDF604">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861" w:type="dxa"/>
            <w:tcBorders>
              <w:top w:val="nil"/>
              <w:left w:val="nil"/>
              <w:bottom w:val="single" w:color="000000" w:sz="4" w:space="0"/>
              <w:right w:val="single" w:color="000000" w:sz="4" w:space="0"/>
            </w:tcBorders>
            <w:shd w:val="clear" w:color="auto" w:fill="auto"/>
            <w:vAlign w:val="center"/>
          </w:tcPr>
          <w:p w14:paraId="13352435">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858" w:type="dxa"/>
            <w:vMerge w:val="continue"/>
            <w:tcBorders>
              <w:top w:val="nil"/>
              <w:left w:val="single" w:color="000000" w:sz="4" w:space="0"/>
              <w:bottom w:val="single" w:color="000000" w:sz="4" w:space="0"/>
              <w:right w:val="single" w:color="000000" w:sz="4" w:space="0"/>
            </w:tcBorders>
            <w:vAlign w:val="center"/>
          </w:tcPr>
          <w:p w14:paraId="058A71F3">
            <w:pPr>
              <w:widowControl/>
              <w:jc w:val="left"/>
              <w:rPr>
                <w:rFonts w:ascii="等线" w:hAnsi="等线" w:eastAsia="等线" w:cs="宋体"/>
                <w:i/>
                <w:iCs/>
                <w:color w:val="000000"/>
                <w:kern w:val="0"/>
                <w:sz w:val="18"/>
                <w:szCs w:val="18"/>
              </w:rPr>
            </w:pPr>
          </w:p>
        </w:tc>
      </w:tr>
      <w:tr w14:paraId="4E5F68BB">
        <w:tblPrEx>
          <w:tblCellMar>
            <w:top w:w="0" w:type="dxa"/>
            <w:left w:w="108" w:type="dxa"/>
            <w:bottom w:w="0" w:type="dxa"/>
            <w:right w:w="108" w:type="dxa"/>
          </w:tblCellMar>
        </w:tblPrEx>
        <w:trPr>
          <w:trHeight w:val="576" w:hRule="atLeast"/>
        </w:trPr>
        <w:tc>
          <w:tcPr>
            <w:tcW w:w="775" w:type="dxa"/>
            <w:vMerge w:val="restart"/>
            <w:tcBorders>
              <w:top w:val="nil"/>
              <w:left w:val="single" w:color="000000" w:sz="4" w:space="0"/>
              <w:bottom w:val="single" w:color="000000" w:sz="4" w:space="0"/>
              <w:right w:val="single" w:color="000000" w:sz="4" w:space="0"/>
            </w:tcBorders>
            <w:shd w:val="clear" w:color="auto" w:fill="auto"/>
            <w:vAlign w:val="center"/>
          </w:tcPr>
          <w:p w14:paraId="7558B64E">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绩效指标（90分）</w:t>
            </w:r>
          </w:p>
        </w:tc>
        <w:tc>
          <w:tcPr>
            <w:tcW w:w="774" w:type="dxa"/>
            <w:tcBorders>
              <w:top w:val="nil"/>
              <w:left w:val="nil"/>
              <w:bottom w:val="single" w:color="000000" w:sz="4" w:space="0"/>
              <w:right w:val="single" w:color="000000" w:sz="4" w:space="0"/>
            </w:tcBorders>
            <w:shd w:val="clear" w:color="auto" w:fill="auto"/>
            <w:vAlign w:val="center"/>
          </w:tcPr>
          <w:p w14:paraId="78BD13B6">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一级指标</w:t>
            </w:r>
          </w:p>
        </w:tc>
        <w:tc>
          <w:tcPr>
            <w:tcW w:w="1072" w:type="dxa"/>
            <w:tcBorders>
              <w:top w:val="nil"/>
              <w:left w:val="nil"/>
              <w:bottom w:val="single" w:color="000000" w:sz="4" w:space="0"/>
              <w:right w:val="single" w:color="000000" w:sz="4" w:space="0"/>
            </w:tcBorders>
            <w:shd w:val="clear" w:color="auto" w:fill="auto"/>
            <w:vAlign w:val="center"/>
          </w:tcPr>
          <w:p w14:paraId="0249D2F0">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二级指标</w:t>
            </w:r>
          </w:p>
        </w:tc>
        <w:tc>
          <w:tcPr>
            <w:tcW w:w="1072" w:type="dxa"/>
            <w:tcBorders>
              <w:top w:val="nil"/>
              <w:left w:val="nil"/>
              <w:bottom w:val="single" w:color="000000" w:sz="4" w:space="0"/>
              <w:right w:val="single" w:color="000000" w:sz="4" w:space="0"/>
            </w:tcBorders>
            <w:shd w:val="clear" w:color="auto" w:fill="auto"/>
            <w:vAlign w:val="center"/>
          </w:tcPr>
          <w:p w14:paraId="1D2BCD58">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三级指标</w:t>
            </w:r>
          </w:p>
        </w:tc>
        <w:tc>
          <w:tcPr>
            <w:tcW w:w="607" w:type="dxa"/>
            <w:tcBorders>
              <w:top w:val="nil"/>
              <w:left w:val="nil"/>
              <w:bottom w:val="single" w:color="000000" w:sz="4" w:space="0"/>
              <w:right w:val="single" w:color="000000" w:sz="4" w:space="0"/>
            </w:tcBorders>
            <w:shd w:val="clear" w:color="auto" w:fill="auto"/>
            <w:vAlign w:val="center"/>
          </w:tcPr>
          <w:p w14:paraId="6783A5A9">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指标性质</w:t>
            </w:r>
          </w:p>
        </w:tc>
        <w:tc>
          <w:tcPr>
            <w:tcW w:w="607" w:type="dxa"/>
            <w:tcBorders>
              <w:top w:val="nil"/>
              <w:left w:val="nil"/>
              <w:bottom w:val="single" w:color="000000" w:sz="4" w:space="0"/>
              <w:right w:val="single" w:color="000000" w:sz="4" w:space="0"/>
            </w:tcBorders>
            <w:shd w:val="clear" w:color="auto" w:fill="auto"/>
            <w:vAlign w:val="center"/>
          </w:tcPr>
          <w:p w14:paraId="14B54887">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指标值</w:t>
            </w:r>
          </w:p>
        </w:tc>
        <w:tc>
          <w:tcPr>
            <w:tcW w:w="608" w:type="dxa"/>
            <w:tcBorders>
              <w:top w:val="nil"/>
              <w:left w:val="nil"/>
              <w:bottom w:val="single" w:color="000000" w:sz="4" w:space="0"/>
              <w:right w:val="single" w:color="000000" w:sz="4" w:space="0"/>
            </w:tcBorders>
            <w:shd w:val="clear" w:color="auto" w:fill="auto"/>
            <w:vAlign w:val="center"/>
          </w:tcPr>
          <w:p w14:paraId="43CC544B">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度量单位</w:t>
            </w:r>
          </w:p>
        </w:tc>
        <w:tc>
          <w:tcPr>
            <w:tcW w:w="965" w:type="dxa"/>
            <w:tcBorders>
              <w:top w:val="nil"/>
              <w:left w:val="nil"/>
              <w:bottom w:val="single" w:color="000000" w:sz="4" w:space="0"/>
              <w:right w:val="single" w:color="000000" w:sz="4" w:space="0"/>
            </w:tcBorders>
            <w:shd w:val="clear" w:color="auto" w:fill="auto"/>
            <w:vAlign w:val="center"/>
          </w:tcPr>
          <w:p w14:paraId="021382B4">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完成值</w:t>
            </w:r>
          </w:p>
        </w:tc>
        <w:tc>
          <w:tcPr>
            <w:tcW w:w="861" w:type="dxa"/>
            <w:tcBorders>
              <w:top w:val="nil"/>
              <w:left w:val="nil"/>
              <w:bottom w:val="single" w:color="000000" w:sz="4" w:space="0"/>
              <w:right w:val="single" w:color="000000" w:sz="4" w:space="0"/>
            </w:tcBorders>
            <w:shd w:val="clear" w:color="auto" w:fill="auto"/>
            <w:vAlign w:val="center"/>
          </w:tcPr>
          <w:p w14:paraId="42BCDA04">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权重</w:t>
            </w:r>
          </w:p>
        </w:tc>
        <w:tc>
          <w:tcPr>
            <w:tcW w:w="861" w:type="dxa"/>
            <w:tcBorders>
              <w:top w:val="nil"/>
              <w:left w:val="nil"/>
              <w:bottom w:val="single" w:color="000000" w:sz="4" w:space="0"/>
              <w:right w:val="single" w:color="000000" w:sz="4" w:space="0"/>
            </w:tcBorders>
            <w:shd w:val="clear" w:color="auto" w:fill="auto"/>
            <w:vAlign w:val="center"/>
          </w:tcPr>
          <w:p w14:paraId="57CFC450">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得分</w:t>
            </w:r>
          </w:p>
        </w:tc>
        <w:tc>
          <w:tcPr>
            <w:tcW w:w="858" w:type="dxa"/>
            <w:tcBorders>
              <w:top w:val="nil"/>
              <w:left w:val="nil"/>
              <w:bottom w:val="single" w:color="000000" w:sz="4" w:space="0"/>
              <w:right w:val="single" w:color="000000" w:sz="4" w:space="0"/>
            </w:tcBorders>
            <w:shd w:val="clear" w:color="auto" w:fill="auto"/>
            <w:vAlign w:val="center"/>
          </w:tcPr>
          <w:p w14:paraId="08D7AF2C">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未完成原因分析</w:t>
            </w:r>
          </w:p>
        </w:tc>
      </w:tr>
      <w:tr w14:paraId="241BC98D">
        <w:tblPrEx>
          <w:tblCellMar>
            <w:top w:w="0" w:type="dxa"/>
            <w:left w:w="108" w:type="dxa"/>
            <w:bottom w:w="0" w:type="dxa"/>
            <w:right w:w="108" w:type="dxa"/>
          </w:tblCellMar>
        </w:tblPrEx>
        <w:trPr>
          <w:trHeight w:val="728" w:hRule="atLeast"/>
        </w:trPr>
        <w:tc>
          <w:tcPr>
            <w:tcW w:w="775" w:type="dxa"/>
            <w:vMerge w:val="continue"/>
            <w:tcBorders>
              <w:top w:val="nil"/>
              <w:left w:val="single" w:color="000000" w:sz="4" w:space="0"/>
              <w:bottom w:val="single" w:color="000000" w:sz="4" w:space="0"/>
              <w:right w:val="single" w:color="000000" w:sz="4" w:space="0"/>
            </w:tcBorders>
            <w:vAlign w:val="center"/>
          </w:tcPr>
          <w:p w14:paraId="4F914863">
            <w:pPr>
              <w:widowControl/>
              <w:jc w:val="left"/>
              <w:rPr>
                <w:rFonts w:ascii="等线" w:hAnsi="等线" w:eastAsia="等线" w:cs="宋体"/>
                <w:color w:val="000000"/>
                <w:kern w:val="0"/>
                <w:sz w:val="18"/>
                <w:szCs w:val="18"/>
              </w:rPr>
            </w:pPr>
          </w:p>
        </w:tc>
        <w:tc>
          <w:tcPr>
            <w:tcW w:w="774" w:type="dxa"/>
            <w:vMerge w:val="restart"/>
            <w:tcBorders>
              <w:top w:val="nil"/>
              <w:left w:val="single" w:color="000000" w:sz="4" w:space="0"/>
              <w:bottom w:val="single" w:color="000000" w:sz="4" w:space="0"/>
              <w:right w:val="single" w:color="000000" w:sz="4" w:space="0"/>
            </w:tcBorders>
            <w:shd w:val="clear" w:color="auto" w:fill="auto"/>
            <w:vAlign w:val="center"/>
          </w:tcPr>
          <w:p w14:paraId="2856F978">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产出指标</w:t>
            </w:r>
          </w:p>
        </w:tc>
        <w:tc>
          <w:tcPr>
            <w:tcW w:w="1072" w:type="dxa"/>
            <w:tcBorders>
              <w:top w:val="nil"/>
              <w:left w:val="nil"/>
              <w:bottom w:val="single" w:color="000000" w:sz="4" w:space="0"/>
              <w:right w:val="single" w:color="000000" w:sz="4" w:space="0"/>
            </w:tcBorders>
            <w:shd w:val="clear" w:color="auto" w:fill="auto"/>
            <w:vAlign w:val="center"/>
          </w:tcPr>
          <w:p w14:paraId="093C4360">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数量指标</w:t>
            </w:r>
          </w:p>
        </w:tc>
        <w:tc>
          <w:tcPr>
            <w:tcW w:w="1072" w:type="dxa"/>
            <w:tcBorders>
              <w:top w:val="nil"/>
              <w:left w:val="nil"/>
              <w:bottom w:val="single" w:color="000000" w:sz="4" w:space="0"/>
              <w:right w:val="single" w:color="000000" w:sz="4" w:space="0"/>
            </w:tcBorders>
            <w:shd w:val="clear" w:color="auto" w:fill="auto"/>
            <w:vAlign w:val="center"/>
          </w:tcPr>
          <w:p w14:paraId="56FCFDAE">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硬件采购（维护）数量</w:t>
            </w:r>
          </w:p>
        </w:tc>
        <w:tc>
          <w:tcPr>
            <w:tcW w:w="607" w:type="dxa"/>
            <w:tcBorders>
              <w:top w:val="nil"/>
              <w:left w:val="nil"/>
              <w:bottom w:val="single" w:color="000000" w:sz="4" w:space="0"/>
              <w:right w:val="single" w:color="000000" w:sz="4" w:space="0"/>
            </w:tcBorders>
            <w:shd w:val="clear" w:color="auto" w:fill="auto"/>
            <w:vAlign w:val="center"/>
          </w:tcPr>
          <w:p w14:paraId="0F752F60">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607" w:type="dxa"/>
            <w:tcBorders>
              <w:top w:val="nil"/>
              <w:left w:val="nil"/>
              <w:bottom w:val="single" w:color="000000" w:sz="4" w:space="0"/>
              <w:right w:val="single" w:color="000000" w:sz="4" w:space="0"/>
            </w:tcBorders>
            <w:shd w:val="clear" w:color="auto" w:fill="auto"/>
            <w:vAlign w:val="center"/>
          </w:tcPr>
          <w:p w14:paraId="272701AC">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12</w:t>
            </w:r>
          </w:p>
        </w:tc>
        <w:tc>
          <w:tcPr>
            <w:tcW w:w="608" w:type="dxa"/>
            <w:tcBorders>
              <w:top w:val="nil"/>
              <w:left w:val="nil"/>
              <w:bottom w:val="single" w:color="000000" w:sz="4" w:space="0"/>
              <w:right w:val="single" w:color="000000" w:sz="4" w:space="0"/>
            </w:tcBorders>
            <w:shd w:val="clear" w:color="auto" w:fill="auto"/>
            <w:vAlign w:val="center"/>
          </w:tcPr>
          <w:p w14:paraId="1185CCE0">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个</w:t>
            </w:r>
          </w:p>
        </w:tc>
        <w:tc>
          <w:tcPr>
            <w:tcW w:w="965" w:type="dxa"/>
            <w:tcBorders>
              <w:top w:val="nil"/>
              <w:left w:val="nil"/>
              <w:bottom w:val="single" w:color="000000" w:sz="4" w:space="0"/>
              <w:right w:val="single" w:color="000000" w:sz="4" w:space="0"/>
            </w:tcBorders>
            <w:shd w:val="clear" w:color="auto" w:fill="auto"/>
            <w:vAlign w:val="center"/>
          </w:tcPr>
          <w:p w14:paraId="16DEF443">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c>
          <w:tcPr>
            <w:tcW w:w="861" w:type="dxa"/>
            <w:tcBorders>
              <w:top w:val="nil"/>
              <w:left w:val="nil"/>
              <w:bottom w:val="single" w:color="000000" w:sz="4" w:space="0"/>
              <w:right w:val="single" w:color="000000" w:sz="4" w:space="0"/>
            </w:tcBorders>
            <w:shd w:val="clear" w:color="auto" w:fill="auto"/>
            <w:vAlign w:val="center"/>
          </w:tcPr>
          <w:p w14:paraId="2945C700">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61" w:type="dxa"/>
            <w:tcBorders>
              <w:top w:val="nil"/>
              <w:left w:val="nil"/>
              <w:bottom w:val="single" w:color="000000" w:sz="4" w:space="0"/>
              <w:right w:val="single" w:color="000000" w:sz="4" w:space="0"/>
            </w:tcBorders>
            <w:shd w:val="clear" w:color="auto" w:fill="auto"/>
            <w:vAlign w:val="center"/>
          </w:tcPr>
          <w:p w14:paraId="2B3F739C">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58" w:type="dxa"/>
            <w:tcBorders>
              <w:top w:val="nil"/>
              <w:left w:val="nil"/>
              <w:bottom w:val="single" w:color="000000" w:sz="4" w:space="0"/>
              <w:right w:val="single" w:color="000000" w:sz="4" w:space="0"/>
            </w:tcBorders>
            <w:shd w:val="clear" w:color="auto" w:fill="auto"/>
            <w:vAlign w:val="center"/>
          </w:tcPr>
          <w:p w14:paraId="29B4B57E">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r>
      <w:tr w14:paraId="13AD0B0C">
        <w:tblPrEx>
          <w:tblCellMar>
            <w:top w:w="0" w:type="dxa"/>
            <w:left w:w="108" w:type="dxa"/>
            <w:bottom w:w="0" w:type="dxa"/>
            <w:right w:w="108" w:type="dxa"/>
          </w:tblCellMar>
        </w:tblPrEx>
        <w:trPr>
          <w:trHeight w:val="272" w:hRule="atLeast"/>
        </w:trPr>
        <w:tc>
          <w:tcPr>
            <w:tcW w:w="775" w:type="dxa"/>
            <w:vMerge w:val="continue"/>
            <w:tcBorders>
              <w:top w:val="nil"/>
              <w:left w:val="single" w:color="000000" w:sz="4" w:space="0"/>
              <w:bottom w:val="single" w:color="000000" w:sz="4" w:space="0"/>
              <w:right w:val="single" w:color="000000" w:sz="4" w:space="0"/>
            </w:tcBorders>
            <w:vAlign w:val="center"/>
          </w:tcPr>
          <w:p w14:paraId="5A97F06A">
            <w:pPr>
              <w:widowControl/>
              <w:jc w:val="left"/>
              <w:rPr>
                <w:rFonts w:ascii="等线" w:hAnsi="等线" w:eastAsia="等线" w:cs="宋体"/>
                <w:color w:val="000000"/>
                <w:kern w:val="0"/>
                <w:sz w:val="18"/>
                <w:szCs w:val="18"/>
              </w:rPr>
            </w:pPr>
          </w:p>
        </w:tc>
        <w:tc>
          <w:tcPr>
            <w:tcW w:w="774" w:type="dxa"/>
            <w:vMerge w:val="continue"/>
            <w:tcBorders>
              <w:top w:val="nil"/>
              <w:left w:val="single" w:color="000000" w:sz="4" w:space="0"/>
              <w:bottom w:val="single" w:color="000000" w:sz="4" w:space="0"/>
              <w:right w:val="single" w:color="000000" w:sz="4" w:space="0"/>
            </w:tcBorders>
            <w:vAlign w:val="center"/>
          </w:tcPr>
          <w:p w14:paraId="475487B1">
            <w:pPr>
              <w:widowControl/>
              <w:jc w:val="left"/>
              <w:rPr>
                <w:rFonts w:ascii="等线" w:hAnsi="等线" w:eastAsia="等线" w:cs="宋体"/>
                <w:color w:val="000000"/>
                <w:kern w:val="0"/>
                <w:sz w:val="18"/>
                <w:szCs w:val="18"/>
              </w:rPr>
            </w:pPr>
          </w:p>
        </w:tc>
        <w:tc>
          <w:tcPr>
            <w:tcW w:w="1072" w:type="dxa"/>
            <w:tcBorders>
              <w:top w:val="nil"/>
              <w:left w:val="nil"/>
              <w:bottom w:val="single" w:color="000000" w:sz="4" w:space="0"/>
              <w:right w:val="single" w:color="000000" w:sz="4" w:space="0"/>
            </w:tcBorders>
            <w:shd w:val="clear" w:color="auto" w:fill="auto"/>
            <w:vAlign w:val="center"/>
          </w:tcPr>
          <w:p w14:paraId="13B334DE">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质量指标</w:t>
            </w:r>
          </w:p>
        </w:tc>
        <w:tc>
          <w:tcPr>
            <w:tcW w:w="1072" w:type="dxa"/>
            <w:tcBorders>
              <w:top w:val="nil"/>
              <w:left w:val="nil"/>
              <w:bottom w:val="single" w:color="000000" w:sz="4" w:space="0"/>
              <w:right w:val="single" w:color="000000" w:sz="4" w:space="0"/>
            </w:tcBorders>
            <w:shd w:val="clear" w:color="auto" w:fill="auto"/>
            <w:vAlign w:val="center"/>
          </w:tcPr>
          <w:p w14:paraId="6B2E2761">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系统故障率</w:t>
            </w:r>
          </w:p>
        </w:tc>
        <w:tc>
          <w:tcPr>
            <w:tcW w:w="607" w:type="dxa"/>
            <w:tcBorders>
              <w:top w:val="nil"/>
              <w:left w:val="nil"/>
              <w:bottom w:val="single" w:color="000000" w:sz="4" w:space="0"/>
              <w:right w:val="single" w:color="000000" w:sz="4" w:space="0"/>
            </w:tcBorders>
            <w:shd w:val="clear" w:color="auto" w:fill="auto"/>
            <w:vAlign w:val="center"/>
          </w:tcPr>
          <w:p w14:paraId="2632D49A">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607" w:type="dxa"/>
            <w:tcBorders>
              <w:top w:val="nil"/>
              <w:left w:val="nil"/>
              <w:bottom w:val="single" w:color="000000" w:sz="4" w:space="0"/>
              <w:right w:val="single" w:color="000000" w:sz="4" w:space="0"/>
            </w:tcBorders>
            <w:shd w:val="clear" w:color="auto" w:fill="auto"/>
            <w:vAlign w:val="center"/>
          </w:tcPr>
          <w:p w14:paraId="48A4D590">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608" w:type="dxa"/>
            <w:tcBorders>
              <w:top w:val="nil"/>
              <w:left w:val="nil"/>
              <w:bottom w:val="single" w:color="000000" w:sz="4" w:space="0"/>
              <w:right w:val="single" w:color="000000" w:sz="4" w:space="0"/>
            </w:tcBorders>
            <w:shd w:val="clear" w:color="auto" w:fill="auto"/>
            <w:vAlign w:val="center"/>
          </w:tcPr>
          <w:p w14:paraId="077B069D">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965" w:type="dxa"/>
            <w:tcBorders>
              <w:top w:val="nil"/>
              <w:left w:val="nil"/>
              <w:bottom w:val="single" w:color="000000" w:sz="4" w:space="0"/>
              <w:right w:val="single" w:color="000000" w:sz="4" w:space="0"/>
            </w:tcBorders>
            <w:shd w:val="clear" w:color="auto" w:fill="auto"/>
            <w:vAlign w:val="center"/>
          </w:tcPr>
          <w:p w14:paraId="6D175AD4">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c>
          <w:tcPr>
            <w:tcW w:w="861" w:type="dxa"/>
            <w:tcBorders>
              <w:top w:val="nil"/>
              <w:left w:val="nil"/>
              <w:bottom w:val="single" w:color="000000" w:sz="4" w:space="0"/>
              <w:right w:val="single" w:color="000000" w:sz="4" w:space="0"/>
            </w:tcBorders>
            <w:shd w:val="clear" w:color="auto" w:fill="auto"/>
            <w:vAlign w:val="center"/>
          </w:tcPr>
          <w:p w14:paraId="4DCBADD4">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w:t>
            </w:r>
          </w:p>
        </w:tc>
        <w:tc>
          <w:tcPr>
            <w:tcW w:w="861" w:type="dxa"/>
            <w:tcBorders>
              <w:top w:val="nil"/>
              <w:left w:val="nil"/>
              <w:bottom w:val="single" w:color="000000" w:sz="4" w:space="0"/>
              <w:right w:val="single" w:color="000000" w:sz="4" w:space="0"/>
            </w:tcBorders>
            <w:shd w:val="clear" w:color="auto" w:fill="auto"/>
            <w:vAlign w:val="center"/>
          </w:tcPr>
          <w:p w14:paraId="1DE5E1A6">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20</w:t>
            </w:r>
          </w:p>
        </w:tc>
        <w:tc>
          <w:tcPr>
            <w:tcW w:w="858" w:type="dxa"/>
            <w:tcBorders>
              <w:top w:val="nil"/>
              <w:left w:val="nil"/>
              <w:bottom w:val="single" w:color="000000" w:sz="4" w:space="0"/>
              <w:right w:val="single" w:color="000000" w:sz="4" w:space="0"/>
            </w:tcBorders>
            <w:shd w:val="clear" w:color="auto" w:fill="auto"/>
            <w:vAlign w:val="center"/>
          </w:tcPr>
          <w:p w14:paraId="1070DB88">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r>
      <w:tr w14:paraId="6E2E6A41">
        <w:tblPrEx>
          <w:tblCellMar>
            <w:top w:w="0" w:type="dxa"/>
            <w:left w:w="108" w:type="dxa"/>
            <w:bottom w:w="0" w:type="dxa"/>
            <w:right w:w="108" w:type="dxa"/>
          </w:tblCellMar>
        </w:tblPrEx>
        <w:trPr>
          <w:trHeight w:val="485" w:hRule="atLeast"/>
        </w:trPr>
        <w:tc>
          <w:tcPr>
            <w:tcW w:w="775" w:type="dxa"/>
            <w:vMerge w:val="continue"/>
            <w:tcBorders>
              <w:top w:val="nil"/>
              <w:left w:val="single" w:color="000000" w:sz="4" w:space="0"/>
              <w:bottom w:val="single" w:color="000000" w:sz="4" w:space="0"/>
              <w:right w:val="single" w:color="000000" w:sz="4" w:space="0"/>
            </w:tcBorders>
            <w:vAlign w:val="center"/>
          </w:tcPr>
          <w:p w14:paraId="62E12B65">
            <w:pPr>
              <w:widowControl/>
              <w:jc w:val="left"/>
              <w:rPr>
                <w:rFonts w:ascii="等线" w:hAnsi="等线" w:eastAsia="等线" w:cs="宋体"/>
                <w:color w:val="000000"/>
                <w:kern w:val="0"/>
                <w:sz w:val="18"/>
                <w:szCs w:val="18"/>
              </w:rPr>
            </w:pPr>
          </w:p>
        </w:tc>
        <w:tc>
          <w:tcPr>
            <w:tcW w:w="774" w:type="dxa"/>
            <w:vMerge w:val="continue"/>
            <w:tcBorders>
              <w:top w:val="nil"/>
              <w:left w:val="single" w:color="000000" w:sz="4" w:space="0"/>
              <w:bottom w:val="single" w:color="000000" w:sz="4" w:space="0"/>
              <w:right w:val="single" w:color="000000" w:sz="4" w:space="0"/>
            </w:tcBorders>
            <w:vAlign w:val="center"/>
          </w:tcPr>
          <w:p w14:paraId="0966E17A">
            <w:pPr>
              <w:widowControl/>
              <w:jc w:val="left"/>
              <w:rPr>
                <w:rFonts w:ascii="等线" w:hAnsi="等线" w:eastAsia="等线" w:cs="宋体"/>
                <w:color w:val="000000"/>
                <w:kern w:val="0"/>
                <w:sz w:val="18"/>
                <w:szCs w:val="18"/>
              </w:rPr>
            </w:pPr>
          </w:p>
        </w:tc>
        <w:tc>
          <w:tcPr>
            <w:tcW w:w="1072" w:type="dxa"/>
            <w:tcBorders>
              <w:top w:val="nil"/>
              <w:left w:val="nil"/>
              <w:bottom w:val="single" w:color="000000" w:sz="4" w:space="0"/>
              <w:right w:val="single" w:color="000000" w:sz="4" w:space="0"/>
            </w:tcBorders>
            <w:shd w:val="clear" w:color="auto" w:fill="auto"/>
            <w:vAlign w:val="center"/>
          </w:tcPr>
          <w:p w14:paraId="07CAF801">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时效指标</w:t>
            </w:r>
          </w:p>
        </w:tc>
        <w:tc>
          <w:tcPr>
            <w:tcW w:w="1072" w:type="dxa"/>
            <w:tcBorders>
              <w:top w:val="nil"/>
              <w:left w:val="nil"/>
              <w:bottom w:val="single" w:color="000000" w:sz="4" w:space="0"/>
              <w:right w:val="single" w:color="000000" w:sz="4" w:space="0"/>
            </w:tcBorders>
            <w:shd w:val="clear" w:color="auto" w:fill="auto"/>
            <w:vAlign w:val="center"/>
          </w:tcPr>
          <w:p w14:paraId="162C50BB">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系统故障修复处理时间</w:t>
            </w:r>
          </w:p>
        </w:tc>
        <w:tc>
          <w:tcPr>
            <w:tcW w:w="607" w:type="dxa"/>
            <w:tcBorders>
              <w:top w:val="nil"/>
              <w:left w:val="nil"/>
              <w:bottom w:val="single" w:color="000000" w:sz="4" w:space="0"/>
              <w:right w:val="single" w:color="000000" w:sz="4" w:space="0"/>
            </w:tcBorders>
            <w:shd w:val="clear" w:color="auto" w:fill="auto"/>
            <w:vAlign w:val="center"/>
          </w:tcPr>
          <w:p w14:paraId="47014D0D">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607" w:type="dxa"/>
            <w:tcBorders>
              <w:top w:val="nil"/>
              <w:left w:val="nil"/>
              <w:bottom w:val="single" w:color="000000" w:sz="4" w:space="0"/>
              <w:right w:val="single" w:color="000000" w:sz="4" w:space="0"/>
            </w:tcBorders>
            <w:shd w:val="clear" w:color="auto" w:fill="auto"/>
            <w:vAlign w:val="center"/>
          </w:tcPr>
          <w:p w14:paraId="25F79A7F">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72</w:t>
            </w:r>
          </w:p>
        </w:tc>
        <w:tc>
          <w:tcPr>
            <w:tcW w:w="608" w:type="dxa"/>
            <w:tcBorders>
              <w:top w:val="nil"/>
              <w:left w:val="nil"/>
              <w:bottom w:val="single" w:color="000000" w:sz="4" w:space="0"/>
              <w:right w:val="single" w:color="000000" w:sz="4" w:space="0"/>
            </w:tcBorders>
            <w:shd w:val="clear" w:color="auto" w:fill="auto"/>
            <w:vAlign w:val="center"/>
          </w:tcPr>
          <w:p w14:paraId="629741FC">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小时</w:t>
            </w:r>
          </w:p>
        </w:tc>
        <w:tc>
          <w:tcPr>
            <w:tcW w:w="965" w:type="dxa"/>
            <w:tcBorders>
              <w:top w:val="nil"/>
              <w:left w:val="nil"/>
              <w:bottom w:val="single" w:color="000000" w:sz="4" w:space="0"/>
              <w:right w:val="single" w:color="000000" w:sz="4" w:space="0"/>
            </w:tcBorders>
            <w:shd w:val="clear" w:color="auto" w:fill="auto"/>
            <w:vAlign w:val="center"/>
          </w:tcPr>
          <w:p w14:paraId="7872A821">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c>
          <w:tcPr>
            <w:tcW w:w="861" w:type="dxa"/>
            <w:tcBorders>
              <w:top w:val="nil"/>
              <w:left w:val="nil"/>
              <w:bottom w:val="single" w:color="000000" w:sz="4" w:space="0"/>
              <w:right w:val="single" w:color="000000" w:sz="4" w:space="0"/>
            </w:tcBorders>
            <w:shd w:val="clear" w:color="auto" w:fill="auto"/>
            <w:vAlign w:val="center"/>
          </w:tcPr>
          <w:p w14:paraId="7A11EEAB">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61" w:type="dxa"/>
            <w:tcBorders>
              <w:top w:val="nil"/>
              <w:left w:val="nil"/>
              <w:bottom w:val="single" w:color="000000" w:sz="4" w:space="0"/>
              <w:right w:val="single" w:color="000000" w:sz="4" w:space="0"/>
            </w:tcBorders>
            <w:shd w:val="clear" w:color="auto" w:fill="auto"/>
            <w:vAlign w:val="center"/>
          </w:tcPr>
          <w:p w14:paraId="39D376B3">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58" w:type="dxa"/>
            <w:tcBorders>
              <w:top w:val="nil"/>
              <w:left w:val="nil"/>
              <w:bottom w:val="single" w:color="000000" w:sz="4" w:space="0"/>
              <w:right w:val="single" w:color="000000" w:sz="4" w:space="0"/>
            </w:tcBorders>
            <w:shd w:val="clear" w:color="auto" w:fill="auto"/>
            <w:vAlign w:val="center"/>
          </w:tcPr>
          <w:p w14:paraId="7EA14F59">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r>
      <w:tr w14:paraId="73697D5B">
        <w:tblPrEx>
          <w:tblCellMar>
            <w:top w:w="0" w:type="dxa"/>
            <w:left w:w="108" w:type="dxa"/>
            <w:bottom w:w="0" w:type="dxa"/>
            <w:right w:w="108" w:type="dxa"/>
          </w:tblCellMar>
        </w:tblPrEx>
        <w:trPr>
          <w:trHeight w:val="485" w:hRule="atLeast"/>
        </w:trPr>
        <w:tc>
          <w:tcPr>
            <w:tcW w:w="775" w:type="dxa"/>
            <w:vMerge w:val="continue"/>
            <w:tcBorders>
              <w:top w:val="nil"/>
              <w:left w:val="single" w:color="000000" w:sz="4" w:space="0"/>
              <w:bottom w:val="single" w:color="000000" w:sz="4" w:space="0"/>
              <w:right w:val="single" w:color="000000" w:sz="4" w:space="0"/>
            </w:tcBorders>
            <w:vAlign w:val="center"/>
          </w:tcPr>
          <w:p w14:paraId="10F00714">
            <w:pPr>
              <w:widowControl/>
              <w:jc w:val="left"/>
              <w:rPr>
                <w:rFonts w:ascii="等线" w:hAnsi="等线" w:eastAsia="等线" w:cs="宋体"/>
                <w:color w:val="000000"/>
                <w:kern w:val="0"/>
                <w:sz w:val="18"/>
                <w:szCs w:val="18"/>
              </w:rPr>
            </w:pPr>
          </w:p>
        </w:tc>
        <w:tc>
          <w:tcPr>
            <w:tcW w:w="774" w:type="dxa"/>
            <w:vMerge w:val="continue"/>
            <w:tcBorders>
              <w:top w:val="nil"/>
              <w:left w:val="single" w:color="000000" w:sz="4" w:space="0"/>
              <w:bottom w:val="single" w:color="000000" w:sz="4" w:space="0"/>
              <w:right w:val="single" w:color="000000" w:sz="4" w:space="0"/>
            </w:tcBorders>
            <w:vAlign w:val="center"/>
          </w:tcPr>
          <w:p w14:paraId="110AD5DC">
            <w:pPr>
              <w:widowControl/>
              <w:jc w:val="left"/>
              <w:rPr>
                <w:rFonts w:ascii="等线" w:hAnsi="等线" w:eastAsia="等线" w:cs="宋体"/>
                <w:color w:val="000000"/>
                <w:kern w:val="0"/>
                <w:sz w:val="18"/>
                <w:szCs w:val="18"/>
              </w:rPr>
            </w:pPr>
          </w:p>
        </w:tc>
        <w:tc>
          <w:tcPr>
            <w:tcW w:w="1072" w:type="dxa"/>
            <w:tcBorders>
              <w:top w:val="nil"/>
              <w:left w:val="nil"/>
              <w:bottom w:val="single" w:color="000000" w:sz="4" w:space="0"/>
              <w:right w:val="single" w:color="000000" w:sz="4" w:space="0"/>
            </w:tcBorders>
            <w:shd w:val="clear" w:color="auto" w:fill="auto"/>
            <w:vAlign w:val="center"/>
          </w:tcPr>
          <w:p w14:paraId="23AE43D3">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成本指标</w:t>
            </w:r>
          </w:p>
        </w:tc>
        <w:tc>
          <w:tcPr>
            <w:tcW w:w="1072" w:type="dxa"/>
            <w:tcBorders>
              <w:top w:val="nil"/>
              <w:left w:val="nil"/>
              <w:bottom w:val="single" w:color="000000" w:sz="4" w:space="0"/>
              <w:right w:val="single" w:color="000000" w:sz="4" w:space="0"/>
            </w:tcBorders>
            <w:shd w:val="clear" w:color="auto" w:fill="auto"/>
            <w:vAlign w:val="center"/>
          </w:tcPr>
          <w:p w14:paraId="4BA8B0B8">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年度维护成本增长率</w:t>
            </w:r>
          </w:p>
        </w:tc>
        <w:tc>
          <w:tcPr>
            <w:tcW w:w="607" w:type="dxa"/>
            <w:tcBorders>
              <w:top w:val="nil"/>
              <w:left w:val="nil"/>
              <w:bottom w:val="single" w:color="000000" w:sz="4" w:space="0"/>
              <w:right w:val="single" w:color="000000" w:sz="4" w:space="0"/>
            </w:tcBorders>
            <w:shd w:val="clear" w:color="auto" w:fill="auto"/>
            <w:vAlign w:val="center"/>
          </w:tcPr>
          <w:p w14:paraId="46F6A552">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607" w:type="dxa"/>
            <w:tcBorders>
              <w:top w:val="nil"/>
              <w:left w:val="nil"/>
              <w:bottom w:val="single" w:color="000000" w:sz="4" w:space="0"/>
              <w:right w:val="single" w:color="000000" w:sz="4" w:space="0"/>
            </w:tcBorders>
            <w:shd w:val="clear" w:color="auto" w:fill="auto"/>
            <w:vAlign w:val="center"/>
          </w:tcPr>
          <w:p w14:paraId="3312C6E2">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608" w:type="dxa"/>
            <w:tcBorders>
              <w:top w:val="nil"/>
              <w:left w:val="nil"/>
              <w:bottom w:val="single" w:color="000000" w:sz="4" w:space="0"/>
              <w:right w:val="single" w:color="000000" w:sz="4" w:space="0"/>
            </w:tcBorders>
            <w:shd w:val="clear" w:color="auto" w:fill="auto"/>
            <w:vAlign w:val="center"/>
          </w:tcPr>
          <w:p w14:paraId="696E1607">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965" w:type="dxa"/>
            <w:tcBorders>
              <w:top w:val="nil"/>
              <w:left w:val="nil"/>
              <w:bottom w:val="single" w:color="000000" w:sz="4" w:space="0"/>
              <w:right w:val="single" w:color="000000" w:sz="4" w:space="0"/>
            </w:tcBorders>
            <w:shd w:val="clear" w:color="auto" w:fill="auto"/>
            <w:vAlign w:val="center"/>
          </w:tcPr>
          <w:p w14:paraId="0D3F871E">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c>
          <w:tcPr>
            <w:tcW w:w="861" w:type="dxa"/>
            <w:tcBorders>
              <w:top w:val="nil"/>
              <w:left w:val="nil"/>
              <w:bottom w:val="single" w:color="000000" w:sz="4" w:space="0"/>
              <w:right w:val="single" w:color="000000" w:sz="4" w:space="0"/>
            </w:tcBorders>
            <w:shd w:val="clear" w:color="auto" w:fill="auto"/>
            <w:vAlign w:val="center"/>
          </w:tcPr>
          <w:p w14:paraId="00626DAB">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61" w:type="dxa"/>
            <w:tcBorders>
              <w:top w:val="nil"/>
              <w:left w:val="nil"/>
              <w:bottom w:val="single" w:color="000000" w:sz="4" w:space="0"/>
              <w:right w:val="single" w:color="000000" w:sz="4" w:space="0"/>
            </w:tcBorders>
            <w:shd w:val="clear" w:color="auto" w:fill="auto"/>
            <w:vAlign w:val="center"/>
          </w:tcPr>
          <w:p w14:paraId="1C5AD3FC">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58" w:type="dxa"/>
            <w:tcBorders>
              <w:top w:val="nil"/>
              <w:left w:val="nil"/>
              <w:bottom w:val="single" w:color="000000" w:sz="4" w:space="0"/>
              <w:right w:val="single" w:color="000000" w:sz="4" w:space="0"/>
            </w:tcBorders>
            <w:shd w:val="clear" w:color="auto" w:fill="auto"/>
            <w:vAlign w:val="center"/>
          </w:tcPr>
          <w:p w14:paraId="3239233B">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r>
      <w:tr w14:paraId="0103C9D5">
        <w:tblPrEx>
          <w:tblCellMar>
            <w:top w:w="0" w:type="dxa"/>
            <w:left w:w="108" w:type="dxa"/>
            <w:bottom w:w="0" w:type="dxa"/>
            <w:right w:w="108" w:type="dxa"/>
          </w:tblCellMar>
        </w:tblPrEx>
        <w:trPr>
          <w:trHeight w:val="485" w:hRule="atLeast"/>
        </w:trPr>
        <w:tc>
          <w:tcPr>
            <w:tcW w:w="775" w:type="dxa"/>
            <w:vMerge w:val="continue"/>
            <w:tcBorders>
              <w:top w:val="nil"/>
              <w:left w:val="single" w:color="000000" w:sz="4" w:space="0"/>
              <w:bottom w:val="single" w:color="000000" w:sz="4" w:space="0"/>
              <w:right w:val="single" w:color="000000" w:sz="4" w:space="0"/>
            </w:tcBorders>
            <w:vAlign w:val="center"/>
          </w:tcPr>
          <w:p w14:paraId="72D4482B">
            <w:pPr>
              <w:widowControl/>
              <w:jc w:val="left"/>
              <w:rPr>
                <w:rFonts w:ascii="等线" w:hAnsi="等线" w:eastAsia="等线" w:cs="宋体"/>
                <w:color w:val="000000"/>
                <w:kern w:val="0"/>
                <w:sz w:val="18"/>
                <w:szCs w:val="18"/>
              </w:rPr>
            </w:pPr>
          </w:p>
        </w:tc>
        <w:tc>
          <w:tcPr>
            <w:tcW w:w="774" w:type="dxa"/>
            <w:vMerge w:val="restart"/>
            <w:tcBorders>
              <w:top w:val="nil"/>
              <w:left w:val="single" w:color="000000" w:sz="4" w:space="0"/>
              <w:bottom w:val="single" w:color="000000" w:sz="4" w:space="0"/>
              <w:right w:val="single" w:color="000000" w:sz="4" w:space="0"/>
            </w:tcBorders>
            <w:shd w:val="clear" w:color="auto" w:fill="auto"/>
            <w:vAlign w:val="center"/>
          </w:tcPr>
          <w:p w14:paraId="1C820749">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效益指标</w:t>
            </w:r>
          </w:p>
        </w:tc>
        <w:tc>
          <w:tcPr>
            <w:tcW w:w="1072" w:type="dxa"/>
            <w:tcBorders>
              <w:top w:val="nil"/>
              <w:left w:val="nil"/>
              <w:bottom w:val="single" w:color="000000" w:sz="4" w:space="0"/>
              <w:right w:val="single" w:color="000000" w:sz="4" w:space="0"/>
            </w:tcBorders>
            <w:shd w:val="clear" w:color="auto" w:fill="auto"/>
            <w:vAlign w:val="center"/>
          </w:tcPr>
          <w:p w14:paraId="7ED7A701">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经济效益指标</w:t>
            </w:r>
          </w:p>
        </w:tc>
        <w:tc>
          <w:tcPr>
            <w:tcW w:w="1072" w:type="dxa"/>
            <w:tcBorders>
              <w:top w:val="nil"/>
              <w:left w:val="nil"/>
              <w:bottom w:val="single" w:color="000000" w:sz="4" w:space="0"/>
              <w:right w:val="single" w:color="000000" w:sz="4" w:space="0"/>
            </w:tcBorders>
            <w:shd w:val="clear" w:color="auto" w:fill="auto"/>
            <w:vAlign w:val="center"/>
          </w:tcPr>
          <w:p w14:paraId="094E7EC2">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重点企业监管数量</w:t>
            </w:r>
          </w:p>
        </w:tc>
        <w:tc>
          <w:tcPr>
            <w:tcW w:w="607" w:type="dxa"/>
            <w:tcBorders>
              <w:top w:val="nil"/>
              <w:left w:val="nil"/>
              <w:bottom w:val="single" w:color="000000" w:sz="4" w:space="0"/>
              <w:right w:val="single" w:color="000000" w:sz="4" w:space="0"/>
            </w:tcBorders>
            <w:shd w:val="clear" w:color="auto" w:fill="auto"/>
            <w:vAlign w:val="center"/>
          </w:tcPr>
          <w:p w14:paraId="4EC335F0">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607" w:type="dxa"/>
            <w:tcBorders>
              <w:top w:val="nil"/>
              <w:left w:val="nil"/>
              <w:bottom w:val="single" w:color="000000" w:sz="4" w:space="0"/>
              <w:right w:val="single" w:color="000000" w:sz="4" w:space="0"/>
            </w:tcBorders>
            <w:shd w:val="clear" w:color="auto" w:fill="auto"/>
            <w:vAlign w:val="center"/>
          </w:tcPr>
          <w:p w14:paraId="241A69C8">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30</w:t>
            </w:r>
          </w:p>
        </w:tc>
        <w:tc>
          <w:tcPr>
            <w:tcW w:w="608" w:type="dxa"/>
            <w:tcBorders>
              <w:top w:val="nil"/>
              <w:left w:val="nil"/>
              <w:bottom w:val="single" w:color="000000" w:sz="4" w:space="0"/>
              <w:right w:val="single" w:color="000000" w:sz="4" w:space="0"/>
            </w:tcBorders>
            <w:shd w:val="clear" w:color="auto" w:fill="auto"/>
            <w:vAlign w:val="center"/>
          </w:tcPr>
          <w:p w14:paraId="7782CDC3">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家</w:t>
            </w:r>
          </w:p>
        </w:tc>
        <w:tc>
          <w:tcPr>
            <w:tcW w:w="965" w:type="dxa"/>
            <w:tcBorders>
              <w:top w:val="nil"/>
              <w:left w:val="nil"/>
              <w:bottom w:val="single" w:color="000000" w:sz="4" w:space="0"/>
              <w:right w:val="single" w:color="000000" w:sz="4" w:space="0"/>
            </w:tcBorders>
            <w:shd w:val="clear" w:color="auto" w:fill="auto"/>
            <w:vAlign w:val="center"/>
          </w:tcPr>
          <w:p w14:paraId="5B196D56">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c>
          <w:tcPr>
            <w:tcW w:w="861" w:type="dxa"/>
            <w:tcBorders>
              <w:top w:val="nil"/>
              <w:left w:val="nil"/>
              <w:bottom w:val="single" w:color="000000" w:sz="4" w:space="0"/>
              <w:right w:val="single" w:color="000000" w:sz="4" w:space="0"/>
            </w:tcBorders>
            <w:shd w:val="clear" w:color="auto" w:fill="auto"/>
            <w:vAlign w:val="center"/>
          </w:tcPr>
          <w:p w14:paraId="50B13431">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61" w:type="dxa"/>
            <w:tcBorders>
              <w:top w:val="nil"/>
              <w:left w:val="nil"/>
              <w:bottom w:val="single" w:color="000000" w:sz="4" w:space="0"/>
              <w:right w:val="single" w:color="000000" w:sz="4" w:space="0"/>
            </w:tcBorders>
            <w:shd w:val="clear" w:color="auto" w:fill="auto"/>
            <w:vAlign w:val="center"/>
          </w:tcPr>
          <w:p w14:paraId="748B3A78">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58" w:type="dxa"/>
            <w:tcBorders>
              <w:top w:val="nil"/>
              <w:left w:val="nil"/>
              <w:bottom w:val="single" w:color="000000" w:sz="4" w:space="0"/>
              <w:right w:val="single" w:color="000000" w:sz="4" w:space="0"/>
            </w:tcBorders>
            <w:shd w:val="clear" w:color="auto" w:fill="auto"/>
            <w:vAlign w:val="center"/>
          </w:tcPr>
          <w:p w14:paraId="0404837E">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r>
      <w:tr w14:paraId="29502FE6">
        <w:tblPrEx>
          <w:tblCellMar>
            <w:top w:w="0" w:type="dxa"/>
            <w:left w:w="108" w:type="dxa"/>
            <w:bottom w:w="0" w:type="dxa"/>
            <w:right w:w="108" w:type="dxa"/>
          </w:tblCellMar>
        </w:tblPrEx>
        <w:trPr>
          <w:trHeight w:val="485" w:hRule="atLeast"/>
        </w:trPr>
        <w:tc>
          <w:tcPr>
            <w:tcW w:w="775" w:type="dxa"/>
            <w:vMerge w:val="continue"/>
            <w:tcBorders>
              <w:top w:val="nil"/>
              <w:left w:val="single" w:color="000000" w:sz="4" w:space="0"/>
              <w:bottom w:val="single" w:color="000000" w:sz="4" w:space="0"/>
              <w:right w:val="single" w:color="000000" w:sz="4" w:space="0"/>
            </w:tcBorders>
            <w:vAlign w:val="center"/>
          </w:tcPr>
          <w:p w14:paraId="1EE6741E">
            <w:pPr>
              <w:widowControl/>
              <w:jc w:val="left"/>
              <w:rPr>
                <w:rFonts w:ascii="等线" w:hAnsi="等线" w:eastAsia="等线" w:cs="宋体"/>
                <w:color w:val="000000"/>
                <w:kern w:val="0"/>
                <w:sz w:val="18"/>
                <w:szCs w:val="18"/>
              </w:rPr>
            </w:pPr>
          </w:p>
        </w:tc>
        <w:tc>
          <w:tcPr>
            <w:tcW w:w="774" w:type="dxa"/>
            <w:vMerge w:val="continue"/>
            <w:tcBorders>
              <w:top w:val="nil"/>
              <w:left w:val="single" w:color="000000" w:sz="4" w:space="0"/>
              <w:bottom w:val="single" w:color="000000" w:sz="4" w:space="0"/>
              <w:right w:val="single" w:color="000000" w:sz="4" w:space="0"/>
            </w:tcBorders>
            <w:vAlign w:val="center"/>
          </w:tcPr>
          <w:p w14:paraId="489E3ABD">
            <w:pPr>
              <w:widowControl/>
              <w:jc w:val="left"/>
              <w:rPr>
                <w:rFonts w:ascii="等线" w:hAnsi="等线" w:eastAsia="等线" w:cs="宋体"/>
                <w:color w:val="000000"/>
                <w:kern w:val="0"/>
                <w:sz w:val="18"/>
                <w:szCs w:val="18"/>
              </w:rPr>
            </w:pPr>
          </w:p>
        </w:tc>
        <w:tc>
          <w:tcPr>
            <w:tcW w:w="1072" w:type="dxa"/>
            <w:tcBorders>
              <w:top w:val="nil"/>
              <w:left w:val="nil"/>
              <w:bottom w:val="single" w:color="000000" w:sz="4" w:space="0"/>
              <w:right w:val="single" w:color="000000" w:sz="4" w:space="0"/>
            </w:tcBorders>
            <w:shd w:val="clear" w:color="auto" w:fill="auto"/>
            <w:vAlign w:val="center"/>
          </w:tcPr>
          <w:p w14:paraId="450936B9">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社会效益指标</w:t>
            </w:r>
          </w:p>
        </w:tc>
        <w:tc>
          <w:tcPr>
            <w:tcW w:w="1072" w:type="dxa"/>
            <w:tcBorders>
              <w:top w:val="nil"/>
              <w:left w:val="nil"/>
              <w:bottom w:val="single" w:color="000000" w:sz="4" w:space="0"/>
              <w:right w:val="single" w:color="000000" w:sz="4" w:space="0"/>
            </w:tcBorders>
            <w:shd w:val="clear" w:color="auto" w:fill="auto"/>
            <w:vAlign w:val="center"/>
          </w:tcPr>
          <w:p w14:paraId="1D6DBB95">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主页点击量</w:t>
            </w:r>
          </w:p>
        </w:tc>
        <w:tc>
          <w:tcPr>
            <w:tcW w:w="607" w:type="dxa"/>
            <w:tcBorders>
              <w:top w:val="nil"/>
              <w:left w:val="nil"/>
              <w:bottom w:val="single" w:color="000000" w:sz="4" w:space="0"/>
              <w:right w:val="single" w:color="000000" w:sz="4" w:space="0"/>
            </w:tcBorders>
            <w:shd w:val="clear" w:color="auto" w:fill="auto"/>
            <w:vAlign w:val="center"/>
          </w:tcPr>
          <w:p w14:paraId="05E54823">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607" w:type="dxa"/>
            <w:tcBorders>
              <w:top w:val="nil"/>
              <w:left w:val="nil"/>
              <w:bottom w:val="single" w:color="000000" w:sz="4" w:space="0"/>
              <w:right w:val="single" w:color="000000" w:sz="4" w:space="0"/>
            </w:tcBorders>
            <w:shd w:val="clear" w:color="auto" w:fill="auto"/>
            <w:vAlign w:val="center"/>
          </w:tcPr>
          <w:p w14:paraId="1A48ABEC">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w:t>
            </w:r>
          </w:p>
        </w:tc>
        <w:tc>
          <w:tcPr>
            <w:tcW w:w="608" w:type="dxa"/>
            <w:tcBorders>
              <w:top w:val="nil"/>
              <w:left w:val="nil"/>
              <w:bottom w:val="single" w:color="000000" w:sz="4" w:space="0"/>
              <w:right w:val="single" w:color="000000" w:sz="4" w:space="0"/>
            </w:tcBorders>
            <w:shd w:val="clear" w:color="auto" w:fill="auto"/>
            <w:vAlign w:val="center"/>
          </w:tcPr>
          <w:p w14:paraId="1CB50856">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万人</w:t>
            </w:r>
          </w:p>
        </w:tc>
        <w:tc>
          <w:tcPr>
            <w:tcW w:w="965" w:type="dxa"/>
            <w:tcBorders>
              <w:top w:val="nil"/>
              <w:left w:val="nil"/>
              <w:bottom w:val="single" w:color="000000" w:sz="4" w:space="0"/>
              <w:right w:val="single" w:color="000000" w:sz="4" w:space="0"/>
            </w:tcBorders>
            <w:shd w:val="clear" w:color="auto" w:fill="auto"/>
            <w:vAlign w:val="center"/>
          </w:tcPr>
          <w:p w14:paraId="70318F8F">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c>
          <w:tcPr>
            <w:tcW w:w="861" w:type="dxa"/>
            <w:tcBorders>
              <w:top w:val="nil"/>
              <w:left w:val="nil"/>
              <w:bottom w:val="single" w:color="000000" w:sz="4" w:space="0"/>
              <w:right w:val="single" w:color="000000" w:sz="4" w:space="0"/>
            </w:tcBorders>
            <w:shd w:val="clear" w:color="auto" w:fill="auto"/>
            <w:vAlign w:val="center"/>
          </w:tcPr>
          <w:p w14:paraId="75CEBEAE">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61" w:type="dxa"/>
            <w:tcBorders>
              <w:top w:val="nil"/>
              <w:left w:val="nil"/>
              <w:bottom w:val="single" w:color="000000" w:sz="4" w:space="0"/>
              <w:right w:val="single" w:color="000000" w:sz="4" w:space="0"/>
            </w:tcBorders>
            <w:shd w:val="clear" w:color="auto" w:fill="auto"/>
            <w:vAlign w:val="center"/>
          </w:tcPr>
          <w:p w14:paraId="6E94EB91">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58" w:type="dxa"/>
            <w:tcBorders>
              <w:top w:val="nil"/>
              <w:left w:val="nil"/>
              <w:bottom w:val="single" w:color="000000" w:sz="4" w:space="0"/>
              <w:right w:val="single" w:color="000000" w:sz="4" w:space="0"/>
            </w:tcBorders>
            <w:shd w:val="clear" w:color="auto" w:fill="auto"/>
            <w:vAlign w:val="center"/>
          </w:tcPr>
          <w:p w14:paraId="1BC0641A">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r>
      <w:tr w14:paraId="517677FD">
        <w:tblPrEx>
          <w:tblCellMar>
            <w:top w:w="0" w:type="dxa"/>
            <w:left w:w="108" w:type="dxa"/>
            <w:bottom w:w="0" w:type="dxa"/>
            <w:right w:w="108" w:type="dxa"/>
          </w:tblCellMar>
        </w:tblPrEx>
        <w:trPr>
          <w:trHeight w:val="485" w:hRule="atLeast"/>
        </w:trPr>
        <w:tc>
          <w:tcPr>
            <w:tcW w:w="775" w:type="dxa"/>
            <w:vMerge w:val="continue"/>
            <w:tcBorders>
              <w:top w:val="nil"/>
              <w:left w:val="single" w:color="000000" w:sz="4" w:space="0"/>
              <w:bottom w:val="single" w:color="000000" w:sz="4" w:space="0"/>
              <w:right w:val="single" w:color="000000" w:sz="4" w:space="0"/>
            </w:tcBorders>
            <w:vAlign w:val="center"/>
          </w:tcPr>
          <w:p w14:paraId="729F803E">
            <w:pPr>
              <w:widowControl/>
              <w:jc w:val="left"/>
              <w:rPr>
                <w:rFonts w:ascii="等线" w:hAnsi="等线" w:eastAsia="等线" w:cs="宋体"/>
                <w:color w:val="000000"/>
                <w:kern w:val="0"/>
                <w:sz w:val="18"/>
                <w:szCs w:val="18"/>
              </w:rPr>
            </w:pPr>
          </w:p>
        </w:tc>
        <w:tc>
          <w:tcPr>
            <w:tcW w:w="774" w:type="dxa"/>
            <w:vMerge w:val="continue"/>
            <w:tcBorders>
              <w:top w:val="nil"/>
              <w:left w:val="single" w:color="000000" w:sz="4" w:space="0"/>
              <w:bottom w:val="single" w:color="000000" w:sz="4" w:space="0"/>
              <w:right w:val="single" w:color="000000" w:sz="4" w:space="0"/>
            </w:tcBorders>
            <w:vAlign w:val="center"/>
          </w:tcPr>
          <w:p w14:paraId="0C31B304">
            <w:pPr>
              <w:widowControl/>
              <w:jc w:val="left"/>
              <w:rPr>
                <w:rFonts w:ascii="等线" w:hAnsi="等线" w:eastAsia="等线" w:cs="宋体"/>
                <w:color w:val="000000"/>
                <w:kern w:val="0"/>
                <w:sz w:val="18"/>
                <w:szCs w:val="18"/>
              </w:rPr>
            </w:pPr>
          </w:p>
        </w:tc>
        <w:tc>
          <w:tcPr>
            <w:tcW w:w="1072" w:type="dxa"/>
            <w:tcBorders>
              <w:top w:val="nil"/>
              <w:left w:val="nil"/>
              <w:bottom w:val="single" w:color="000000" w:sz="4" w:space="0"/>
              <w:right w:val="single" w:color="000000" w:sz="4" w:space="0"/>
            </w:tcBorders>
            <w:shd w:val="clear" w:color="auto" w:fill="auto"/>
            <w:vAlign w:val="center"/>
          </w:tcPr>
          <w:p w14:paraId="63BA25C8">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可持续影响指标</w:t>
            </w:r>
          </w:p>
        </w:tc>
        <w:tc>
          <w:tcPr>
            <w:tcW w:w="1072" w:type="dxa"/>
            <w:tcBorders>
              <w:top w:val="nil"/>
              <w:left w:val="nil"/>
              <w:bottom w:val="single" w:color="000000" w:sz="4" w:space="0"/>
              <w:right w:val="single" w:color="000000" w:sz="4" w:space="0"/>
            </w:tcBorders>
            <w:shd w:val="clear" w:color="auto" w:fill="auto"/>
            <w:vAlign w:val="center"/>
          </w:tcPr>
          <w:p w14:paraId="6EA49575">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系统正常使用年限</w:t>
            </w:r>
          </w:p>
        </w:tc>
        <w:tc>
          <w:tcPr>
            <w:tcW w:w="607" w:type="dxa"/>
            <w:tcBorders>
              <w:top w:val="nil"/>
              <w:left w:val="nil"/>
              <w:bottom w:val="single" w:color="000000" w:sz="4" w:space="0"/>
              <w:right w:val="single" w:color="000000" w:sz="4" w:space="0"/>
            </w:tcBorders>
            <w:shd w:val="clear" w:color="auto" w:fill="auto"/>
            <w:vAlign w:val="center"/>
          </w:tcPr>
          <w:p w14:paraId="12B22592">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607" w:type="dxa"/>
            <w:tcBorders>
              <w:top w:val="nil"/>
              <w:left w:val="nil"/>
              <w:bottom w:val="single" w:color="000000" w:sz="4" w:space="0"/>
              <w:right w:val="single" w:color="000000" w:sz="4" w:space="0"/>
            </w:tcBorders>
            <w:shd w:val="clear" w:color="auto" w:fill="auto"/>
            <w:vAlign w:val="center"/>
          </w:tcPr>
          <w:p w14:paraId="36303C38">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5</w:t>
            </w:r>
          </w:p>
        </w:tc>
        <w:tc>
          <w:tcPr>
            <w:tcW w:w="608" w:type="dxa"/>
            <w:tcBorders>
              <w:top w:val="nil"/>
              <w:left w:val="nil"/>
              <w:bottom w:val="single" w:color="000000" w:sz="4" w:space="0"/>
              <w:right w:val="single" w:color="000000" w:sz="4" w:space="0"/>
            </w:tcBorders>
            <w:shd w:val="clear" w:color="auto" w:fill="auto"/>
            <w:vAlign w:val="center"/>
          </w:tcPr>
          <w:p w14:paraId="3C64AD53">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年</w:t>
            </w:r>
          </w:p>
        </w:tc>
        <w:tc>
          <w:tcPr>
            <w:tcW w:w="965" w:type="dxa"/>
            <w:tcBorders>
              <w:top w:val="nil"/>
              <w:left w:val="nil"/>
              <w:bottom w:val="single" w:color="000000" w:sz="4" w:space="0"/>
              <w:right w:val="single" w:color="000000" w:sz="4" w:space="0"/>
            </w:tcBorders>
            <w:shd w:val="clear" w:color="auto" w:fill="auto"/>
            <w:vAlign w:val="center"/>
          </w:tcPr>
          <w:p w14:paraId="0963D345">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c>
          <w:tcPr>
            <w:tcW w:w="861" w:type="dxa"/>
            <w:tcBorders>
              <w:top w:val="nil"/>
              <w:left w:val="nil"/>
              <w:bottom w:val="single" w:color="000000" w:sz="4" w:space="0"/>
              <w:right w:val="single" w:color="000000" w:sz="4" w:space="0"/>
            </w:tcBorders>
            <w:shd w:val="clear" w:color="auto" w:fill="auto"/>
            <w:vAlign w:val="center"/>
          </w:tcPr>
          <w:p w14:paraId="0884F0C1">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61" w:type="dxa"/>
            <w:tcBorders>
              <w:top w:val="nil"/>
              <w:left w:val="nil"/>
              <w:bottom w:val="single" w:color="000000" w:sz="4" w:space="0"/>
              <w:right w:val="single" w:color="000000" w:sz="4" w:space="0"/>
            </w:tcBorders>
            <w:shd w:val="clear" w:color="auto" w:fill="auto"/>
            <w:vAlign w:val="center"/>
          </w:tcPr>
          <w:p w14:paraId="5CDECE71">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58" w:type="dxa"/>
            <w:tcBorders>
              <w:top w:val="nil"/>
              <w:left w:val="nil"/>
              <w:bottom w:val="single" w:color="000000" w:sz="4" w:space="0"/>
              <w:right w:val="single" w:color="000000" w:sz="4" w:space="0"/>
            </w:tcBorders>
            <w:shd w:val="clear" w:color="auto" w:fill="auto"/>
            <w:vAlign w:val="center"/>
          </w:tcPr>
          <w:p w14:paraId="6DEC5F4B">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r>
      <w:tr w14:paraId="5F39CABC">
        <w:tblPrEx>
          <w:tblCellMar>
            <w:top w:w="0" w:type="dxa"/>
            <w:left w:w="108" w:type="dxa"/>
            <w:bottom w:w="0" w:type="dxa"/>
            <w:right w:w="108" w:type="dxa"/>
          </w:tblCellMar>
        </w:tblPrEx>
        <w:trPr>
          <w:trHeight w:val="485" w:hRule="atLeast"/>
        </w:trPr>
        <w:tc>
          <w:tcPr>
            <w:tcW w:w="775" w:type="dxa"/>
            <w:vMerge w:val="continue"/>
            <w:tcBorders>
              <w:top w:val="nil"/>
              <w:left w:val="single" w:color="000000" w:sz="4" w:space="0"/>
              <w:bottom w:val="single" w:color="000000" w:sz="4" w:space="0"/>
              <w:right w:val="single" w:color="000000" w:sz="4" w:space="0"/>
            </w:tcBorders>
            <w:vAlign w:val="center"/>
          </w:tcPr>
          <w:p w14:paraId="4CE9F7FA">
            <w:pPr>
              <w:widowControl/>
              <w:jc w:val="left"/>
              <w:rPr>
                <w:rFonts w:ascii="等线" w:hAnsi="等线" w:eastAsia="等线" w:cs="宋体"/>
                <w:color w:val="000000"/>
                <w:kern w:val="0"/>
                <w:sz w:val="18"/>
                <w:szCs w:val="18"/>
              </w:rPr>
            </w:pPr>
          </w:p>
        </w:tc>
        <w:tc>
          <w:tcPr>
            <w:tcW w:w="774" w:type="dxa"/>
            <w:tcBorders>
              <w:top w:val="nil"/>
              <w:left w:val="nil"/>
              <w:bottom w:val="single" w:color="000000" w:sz="4" w:space="0"/>
              <w:right w:val="single" w:color="000000" w:sz="4" w:space="0"/>
            </w:tcBorders>
            <w:shd w:val="clear" w:color="auto" w:fill="auto"/>
            <w:vAlign w:val="center"/>
          </w:tcPr>
          <w:p w14:paraId="3F5D988D">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满意度指标</w:t>
            </w:r>
          </w:p>
        </w:tc>
        <w:tc>
          <w:tcPr>
            <w:tcW w:w="1072" w:type="dxa"/>
            <w:tcBorders>
              <w:top w:val="nil"/>
              <w:left w:val="nil"/>
              <w:bottom w:val="single" w:color="000000" w:sz="4" w:space="0"/>
              <w:right w:val="single" w:color="000000" w:sz="4" w:space="0"/>
            </w:tcBorders>
            <w:shd w:val="clear" w:color="auto" w:fill="auto"/>
            <w:vAlign w:val="center"/>
          </w:tcPr>
          <w:p w14:paraId="74A67945">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服务对象满意度指标</w:t>
            </w:r>
          </w:p>
        </w:tc>
        <w:tc>
          <w:tcPr>
            <w:tcW w:w="1072" w:type="dxa"/>
            <w:tcBorders>
              <w:top w:val="nil"/>
              <w:left w:val="nil"/>
              <w:bottom w:val="single" w:color="000000" w:sz="4" w:space="0"/>
              <w:right w:val="single" w:color="000000" w:sz="4" w:space="0"/>
            </w:tcBorders>
            <w:shd w:val="clear" w:color="auto" w:fill="auto"/>
            <w:vAlign w:val="center"/>
          </w:tcPr>
          <w:p w14:paraId="55F79764">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使用人员满意度</w:t>
            </w:r>
          </w:p>
        </w:tc>
        <w:tc>
          <w:tcPr>
            <w:tcW w:w="607" w:type="dxa"/>
            <w:tcBorders>
              <w:top w:val="nil"/>
              <w:left w:val="nil"/>
              <w:bottom w:val="single" w:color="000000" w:sz="4" w:space="0"/>
              <w:right w:val="single" w:color="000000" w:sz="4" w:space="0"/>
            </w:tcBorders>
            <w:shd w:val="clear" w:color="auto" w:fill="auto"/>
            <w:vAlign w:val="center"/>
          </w:tcPr>
          <w:p w14:paraId="26C14D0E">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607" w:type="dxa"/>
            <w:tcBorders>
              <w:top w:val="nil"/>
              <w:left w:val="nil"/>
              <w:bottom w:val="single" w:color="000000" w:sz="4" w:space="0"/>
              <w:right w:val="single" w:color="000000" w:sz="4" w:space="0"/>
            </w:tcBorders>
            <w:shd w:val="clear" w:color="auto" w:fill="auto"/>
            <w:vAlign w:val="center"/>
          </w:tcPr>
          <w:p w14:paraId="25794DED">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90</w:t>
            </w:r>
          </w:p>
        </w:tc>
        <w:tc>
          <w:tcPr>
            <w:tcW w:w="608" w:type="dxa"/>
            <w:tcBorders>
              <w:top w:val="nil"/>
              <w:left w:val="nil"/>
              <w:bottom w:val="single" w:color="000000" w:sz="4" w:space="0"/>
              <w:right w:val="single" w:color="000000" w:sz="4" w:space="0"/>
            </w:tcBorders>
            <w:shd w:val="clear" w:color="auto" w:fill="auto"/>
            <w:vAlign w:val="center"/>
          </w:tcPr>
          <w:p w14:paraId="7703718D">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w:t>
            </w:r>
          </w:p>
        </w:tc>
        <w:tc>
          <w:tcPr>
            <w:tcW w:w="965" w:type="dxa"/>
            <w:tcBorders>
              <w:top w:val="nil"/>
              <w:left w:val="nil"/>
              <w:bottom w:val="single" w:color="000000" w:sz="4" w:space="0"/>
              <w:right w:val="single" w:color="000000" w:sz="4" w:space="0"/>
            </w:tcBorders>
            <w:shd w:val="clear" w:color="auto" w:fill="auto"/>
            <w:vAlign w:val="center"/>
          </w:tcPr>
          <w:p w14:paraId="6D570DD0">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c>
          <w:tcPr>
            <w:tcW w:w="861" w:type="dxa"/>
            <w:tcBorders>
              <w:top w:val="nil"/>
              <w:left w:val="nil"/>
              <w:bottom w:val="single" w:color="000000" w:sz="4" w:space="0"/>
              <w:right w:val="single" w:color="000000" w:sz="4" w:space="0"/>
            </w:tcBorders>
            <w:shd w:val="clear" w:color="auto" w:fill="auto"/>
            <w:vAlign w:val="center"/>
          </w:tcPr>
          <w:p w14:paraId="28878910">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61" w:type="dxa"/>
            <w:tcBorders>
              <w:top w:val="nil"/>
              <w:left w:val="nil"/>
              <w:bottom w:val="single" w:color="000000" w:sz="4" w:space="0"/>
              <w:right w:val="single" w:color="000000" w:sz="4" w:space="0"/>
            </w:tcBorders>
            <w:shd w:val="clear" w:color="auto" w:fill="auto"/>
            <w:vAlign w:val="center"/>
          </w:tcPr>
          <w:p w14:paraId="79F7246F">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w:t>
            </w:r>
          </w:p>
        </w:tc>
        <w:tc>
          <w:tcPr>
            <w:tcW w:w="858" w:type="dxa"/>
            <w:tcBorders>
              <w:top w:val="nil"/>
              <w:left w:val="nil"/>
              <w:bottom w:val="single" w:color="000000" w:sz="4" w:space="0"/>
              <w:right w:val="single" w:color="000000" w:sz="4" w:space="0"/>
            </w:tcBorders>
            <w:shd w:val="clear" w:color="auto" w:fill="auto"/>
            <w:vAlign w:val="center"/>
          </w:tcPr>
          <w:p w14:paraId="01FAF9CE">
            <w:pPr>
              <w:widowControl/>
              <w:jc w:val="center"/>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　</w:t>
            </w:r>
          </w:p>
        </w:tc>
      </w:tr>
      <w:tr w14:paraId="3E28DF9B">
        <w:tblPrEx>
          <w:tblCellMar>
            <w:top w:w="0" w:type="dxa"/>
            <w:left w:w="108" w:type="dxa"/>
            <w:bottom w:w="0" w:type="dxa"/>
            <w:right w:w="108" w:type="dxa"/>
          </w:tblCellMar>
        </w:tblPrEx>
        <w:trPr>
          <w:trHeight w:val="455" w:hRule="atLeast"/>
        </w:trPr>
        <w:tc>
          <w:tcPr>
            <w:tcW w:w="648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4DECA16">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合计</w:t>
            </w:r>
          </w:p>
        </w:tc>
        <w:tc>
          <w:tcPr>
            <w:tcW w:w="861" w:type="dxa"/>
            <w:tcBorders>
              <w:top w:val="nil"/>
              <w:left w:val="nil"/>
              <w:bottom w:val="single" w:color="000000" w:sz="4" w:space="0"/>
              <w:right w:val="single" w:color="000000" w:sz="4" w:space="0"/>
            </w:tcBorders>
            <w:shd w:val="clear" w:color="auto" w:fill="auto"/>
            <w:vAlign w:val="center"/>
          </w:tcPr>
          <w:p w14:paraId="4BA0E6FA">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100</w:t>
            </w:r>
          </w:p>
        </w:tc>
        <w:tc>
          <w:tcPr>
            <w:tcW w:w="861" w:type="dxa"/>
            <w:tcBorders>
              <w:top w:val="nil"/>
              <w:left w:val="nil"/>
              <w:bottom w:val="single" w:color="000000" w:sz="4" w:space="0"/>
              <w:right w:val="single" w:color="000000" w:sz="4" w:space="0"/>
            </w:tcBorders>
            <w:shd w:val="clear" w:color="auto" w:fill="auto"/>
            <w:vAlign w:val="center"/>
          </w:tcPr>
          <w:p w14:paraId="0E663D09">
            <w:pPr>
              <w:widowControl/>
              <w:jc w:val="right"/>
              <w:rPr>
                <w:rFonts w:ascii="等线" w:hAnsi="等线" w:eastAsia="等线" w:cs="宋体"/>
                <w:color w:val="000000"/>
                <w:kern w:val="0"/>
                <w:sz w:val="18"/>
                <w:szCs w:val="18"/>
              </w:rPr>
            </w:pPr>
            <w:r>
              <w:rPr>
                <w:rFonts w:hint="eastAsia" w:ascii="等线" w:hAnsi="等线" w:eastAsia="等线" w:cs="宋体"/>
                <w:color w:val="000000"/>
                <w:kern w:val="0"/>
                <w:sz w:val="18"/>
                <w:szCs w:val="18"/>
              </w:rPr>
              <w:t>100</w:t>
            </w:r>
          </w:p>
        </w:tc>
        <w:tc>
          <w:tcPr>
            <w:tcW w:w="858" w:type="dxa"/>
            <w:tcBorders>
              <w:top w:val="nil"/>
              <w:left w:val="nil"/>
              <w:bottom w:val="single" w:color="000000" w:sz="4" w:space="0"/>
              <w:right w:val="single" w:color="000000" w:sz="4" w:space="0"/>
            </w:tcBorders>
            <w:shd w:val="clear" w:color="auto" w:fill="auto"/>
            <w:vAlign w:val="center"/>
          </w:tcPr>
          <w:p w14:paraId="5F1205FE">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　</w:t>
            </w:r>
          </w:p>
        </w:tc>
      </w:tr>
      <w:tr w14:paraId="322E0F60">
        <w:tblPrEx>
          <w:tblCellMar>
            <w:top w:w="0" w:type="dxa"/>
            <w:left w:w="108" w:type="dxa"/>
            <w:bottom w:w="0" w:type="dxa"/>
            <w:right w:w="108" w:type="dxa"/>
          </w:tblCellMar>
        </w:tblPrEx>
        <w:trPr>
          <w:trHeight w:val="910" w:hRule="atLeast"/>
        </w:trPr>
        <w:tc>
          <w:tcPr>
            <w:tcW w:w="775" w:type="dxa"/>
            <w:tcBorders>
              <w:top w:val="nil"/>
              <w:left w:val="single" w:color="000000" w:sz="4" w:space="0"/>
              <w:bottom w:val="single" w:color="000000" w:sz="4" w:space="0"/>
              <w:right w:val="single" w:color="000000" w:sz="4" w:space="0"/>
            </w:tcBorders>
            <w:shd w:val="clear" w:color="auto" w:fill="auto"/>
            <w:vAlign w:val="center"/>
          </w:tcPr>
          <w:p w14:paraId="5A8D918F">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评价结论</w:t>
            </w:r>
          </w:p>
        </w:tc>
        <w:tc>
          <w:tcPr>
            <w:tcW w:w="8288" w:type="dxa"/>
            <w:gridSpan w:val="10"/>
            <w:tcBorders>
              <w:top w:val="single" w:color="000000" w:sz="4" w:space="0"/>
              <w:left w:val="nil"/>
              <w:bottom w:val="single" w:color="000000" w:sz="4" w:space="0"/>
              <w:right w:val="single" w:color="000000" w:sz="4" w:space="0"/>
            </w:tcBorders>
            <w:shd w:val="clear" w:color="auto" w:fill="auto"/>
            <w:vAlign w:val="center"/>
          </w:tcPr>
          <w:p w14:paraId="27CA236F">
            <w:pPr>
              <w:widowControl/>
              <w:jc w:val="left"/>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项目自评总分100分，所设绩效目标均已实现，保障了机关网络安全运维服务 ，包括：7×24小时安全设备运行监控、5×8小时机房值守、故障处理、运行状况统计分析、性能优化、风险评估、方案建议、应急保障等服务，确保局机关网络通信和安全正常运行 。</w:t>
            </w:r>
          </w:p>
        </w:tc>
      </w:tr>
      <w:tr w14:paraId="772071E6">
        <w:tblPrEx>
          <w:tblCellMar>
            <w:top w:w="0" w:type="dxa"/>
            <w:left w:w="108" w:type="dxa"/>
            <w:bottom w:w="0" w:type="dxa"/>
            <w:right w:w="108" w:type="dxa"/>
          </w:tblCellMar>
        </w:tblPrEx>
        <w:trPr>
          <w:trHeight w:val="455" w:hRule="atLeast"/>
        </w:trPr>
        <w:tc>
          <w:tcPr>
            <w:tcW w:w="775" w:type="dxa"/>
            <w:tcBorders>
              <w:top w:val="nil"/>
              <w:left w:val="single" w:color="000000" w:sz="4" w:space="0"/>
              <w:bottom w:val="single" w:color="000000" w:sz="4" w:space="0"/>
              <w:right w:val="single" w:color="000000" w:sz="4" w:space="0"/>
            </w:tcBorders>
            <w:shd w:val="clear" w:color="auto" w:fill="auto"/>
            <w:vAlign w:val="center"/>
          </w:tcPr>
          <w:p w14:paraId="496AEC45">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存在问题</w:t>
            </w:r>
          </w:p>
        </w:tc>
        <w:tc>
          <w:tcPr>
            <w:tcW w:w="8288" w:type="dxa"/>
            <w:gridSpan w:val="10"/>
            <w:tcBorders>
              <w:top w:val="single" w:color="000000" w:sz="4" w:space="0"/>
              <w:left w:val="nil"/>
              <w:bottom w:val="single" w:color="000000" w:sz="4" w:space="0"/>
              <w:right w:val="single" w:color="000000" w:sz="4" w:space="0"/>
            </w:tcBorders>
            <w:shd w:val="clear" w:color="auto" w:fill="auto"/>
            <w:vAlign w:val="center"/>
          </w:tcPr>
          <w:p w14:paraId="0324819F">
            <w:pPr>
              <w:widowControl/>
              <w:jc w:val="left"/>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无</w:t>
            </w:r>
          </w:p>
        </w:tc>
      </w:tr>
      <w:tr w14:paraId="26D0A36D">
        <w:tblPrEx>
          <w:tblCellMar>
            <w:top w:w="0" w:type="dxa"/>
            <w:left w:w="108" w:type="dxa"/>
            <w:bottom w:w="0" w:type="dxa"/>
            <w:right w:w="108" w:type="dxa"/>
          </w:tblCellMar>
        </w:tblPrEx>
        <w:trPr>
          <w:trHeight w:val="455" w:hRule="atLeast"/>
        </w:trPr>
        <w:tc>
          <w:tcPr>
            <w:tcW w:w="775" w:type="dxa"/>
            <w:tcBorders>
              <w:top w:val="nil"/>
              <w:left w:val="single" w:color="000000" w:sz="4" w:space="0"/>
              <w:bottom w:val="single" w:color="000000" w:sz="4" w:space="0"/>
              <w:right w:val="single" w:color="000000" w:sz="4" w:space="0"/>
            </w:tcBorders>
            <w:shd w:val="clear" w:color="auto" w:fill="auto"/>
            <w:vAlign w:val="center"/>
          </w:tcPr>
          <w:p w14:paraId="584533D7">
            <w:pPr>
              <w:widowControl/>
              <w:jc w:val="center"/>
              <w:rPr>
                <w:rFonts w:ascii="等线" w:hAnsi="等线" w:eastAsia="等线" w:cs="宋体"/>
                <w:color w:val="000000"/>
                <w:kern w:val="0"/>
                <w:sz w:val="18"/>
                <w:szCs w:val="18"/>
              </w:rPr>
            </w:pPr>
            <w:r>
              <w:rPr>
                <w:rFonts w:hint="eastAsia" w:ascii="等线" w:hAnsi="等线" w:eastAsia="等线" w:cs="宋体"/>
                <w:color w:val="000000"/>
                <w:kern w:val="0"/>
                <w:sz w:val="18"/>
                <w:szCs w:val="18"/>
              </w:rPr>
              <w:t>改进措施</w:t>
            </w:r>
          </w:p>
        </w:tc>
        <w:tc>
          <w:tcPr>
            <w:tcW w:w="8288" w:type="dxa"/>
            <w:gridSpan w:val="10"/>
            <w:tcBorders>
              <w:top w:val="single" w:color="000000" w:sz="4" w:space="0"/>
              <w:left w:val="nil"/>
              <w:bottom w:val="single" w:color="000000" w:sz="4" w:space="0"/>
              <w:right w:val="single" w:color="000000" w:sz="4" w:space="0"/>
            </w:tcBorders>
            <w:shd w:val="clear" w:color="auto" w:fill="auto"/>
            <w:vAlign w:val="center"/>
          </w:tcPr>
          <w:p w14:paraId="4AC6C21F">
            <w:pPr>
              <w:widowControl/>
              <w:jc w:val="left"/>
              <w:rPr>
                <w:rFonts w:ascii="等线" w:hAnsi="等线" w:eastAsia="等线" w:cs="宋体"/>
                <w:i/>
                <w:iCs/>
                <w:color w:val="000000"/>
                <w:kern w:val="0"/>
                <w:sz w:val="16"/>
                <w:szCs w:val="16"/>
              </w:rPr>
            </w:pPr>
            <w:r>
              <w:rPr>
                <w:rFonts w:hint="eastAsia" w:ascii="等线" w:hAnsi="等线" w:eastAsia="等线" w:cs="宋体"/>
                <w:i/>
                <w:iCs/>
                <w:color w:val="000000"/>
                <w:kern w:val="0"/>
                <w:sz w:val="16"/>
                <w:szCs w:val="16"/>
              </w:rPr>
              <w:t>无</w:t>
            </w:r>
          </w:p>
        </w:tc>
      </w:tr>
      <w:tr w14:paraId="6C1B49D9">
        <w:tblPrEx>
          <w:tblCellMar>
            <w:top w:w="0" w:type="dxa"/>
            <w:left w:w="108" w:type="dxa"/>
            <w:bottom w:w="0" w:type="dxa"/>
            <w:right w:w="108" w:type="dxa"/>
          </w:tblCellMar>
        </w:tblPrEx>
        <w:trPr>
          <w:trHeight w:val="455" w:hRule="atLeast"/>
        </w:trPr>
        <w:tc>
          <w:tcPr>
            <w:tcW w:w="43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600866">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项目负责人：毛佳龙</w:t>
            </w:r>
          </w:p>
        </w:tc>
        <w:tc>
          <w:tcPr>
            <w:tcW w:w="4761" w:type="dxa"/>
            <w:gridSpan w:val="6"/>
            <w:tcBorders>
              <w:top w:val="single" w:color="000000" w:sz="4" w:space="0"/>
              <w:left w:val="nil"/>
              <w:bottom w:val="single" w:color="000000" w:sz="4" w:space="0"/>
              <w:right w:val="single" w:color="000000" w:sz="4" w:space="0"/>
            </w:tcBorders>
            <w:shd w:val="clear" w:color="auto" w:fill="auto"/>
            <w:vAlign w:val="center"/>
          </w:tcPr>
          <w:p w14:paraId="078353C8">
            <w:pPr>
              <w:widowControl/>
              <w:jc w:val="left"/>
              <w:rPr>
                <w:rFonts w:ascii="等线" w:hAnsi="等线" w:eastAsia="等线" w:cs="宋体"/>
                <w:color w:val="000000"/>
                <w:kern w:val="0"/>
                <w:sz w:val="18"/>
                <w:szCs w:val="18"/>
              </w:rPr>
            </w:pPr>
            <w:r>
              <w:rPr>
                <w:rFonts w:hint="eastAsia" w:ascii="等线" w:hAnsi="等线" w:eastAsia="等线" w:cs="宋体"/>
                <w:color w:val="000000"/>
                <w:kern w:val="0"/>
                <w:sz w:val="18"/>
                <w:szCs w:val="18"/>
              </w:rPr>
              <w:t>财务负责人：漆明强</w:t>
            </w:r>
          </w:p>
        </w:tc>
      </w:tr>
    </w:tbl>
    <w:p w14:paraId="61CA4A43">
      <w:pPr>
        <w:spacing w:line="600" w:lineRule="exact"/>
        <w:jc w:val="left"/>
        <w:outlineLvl w:val="0"/>
        <w:rPr>
          <w:rFonts w:ascii="仿宋_GB2312" w:hAnsi="Calibri" w:eastAsia="仿宋_GB2312" w:cs="仿宋"/>
          <w:kern w:val="0"/>
          <w:sz w:val="32"/>
          <w:szCs w:val="32"/>
          <w:highlight w:val="yellow"/>
        </w:rPr>
      </w:pPr>
    </w:p>
    <w:p w14:paraId="7E869446">
      <w:pPr>
        <w:pStyle w:val="2"/>
        <w:spacing w:before="93"/>
        <w:rPr>
          <w:rFonts w:ascii="Cambria" w:hAnsi="Cambria" w:cs="仿宋"/>
          <w:b/>
          <w:bCs/>
          <w:sz w:val="32"/>
          <w:szCs w:val="32"/>
        </w:rPr>
      </w:pPr>
      <w:r>
        <w:rPr>
          <w:rFonts w:hint="eastAsia" w:hAnsi="Calibri" w:cs="仿宋"/>
          <w:b/>
          <w:bCs/>
          <w:sz w:val="32"/>
          <w:szCs w:val="32"/>
        </w:rPr>
        <w:t>附件</w:t>
      </w:r>
      <w:r>
        <w:rPr>
          <w:rFonts w:ascii="Cambria" w:hAnsi="Cambria" w:cs="仿宋"/>
          <w:b/>
          <w:bCs/>
          <w:sz w:val="32"/>
          <w:szCs w:val="32"/>
        </w:rPr>
        <w:t>3-2</w:t>
      </w:r>
    </w:p>
    <w:tbl>
      <w:tblPr>
        <w:tblStyle w:val="14"/>
        <w:tblW w:w="9339" w:type="dxa"/>
        <w:tblInd w:w="113" w:type="dxa"/>
        <w:tblLayout w:type="autofit"/>
        <w:tblCellMar>
          <w:top w:w="0" w:type="dxa"/>
          <w:left w:w="108" w:type="dxa"/>
          <w:bottom w:w="0" w:type="dxa"/>
          <w:right w:w="108" w:type="dxa"/>
        </w:tblCellMar>
      </w:tblPr>
      <w:tblGrid>
        <w:gridCol w:w="795"/>
        <w:gridCol w:w="796"/>
        <w:gridCol w:w="1098"/>
        <w:gridCol w:w="1098"/>
        <w:gridCol w:w="627"/>
        <w:gridCol w:w="624"/>
        <w:gridCol w:w="624"/>
        <w:gridCol w:w="1029"/>
        <w:gridCol w:w="884"/>
        <w:gridCol w:w="884"/>
        <w:gridCol w:w="880"/>
      </w:tblGrid>
      <w:tr w14:paraId="4AE4839A">
        <w:tblPrEx>
          <w:tblCellMar>
            <w:top w:w="0" w:type="dxa"/>
            <w:left w:w="108" w:type="dxa"/>
            <w:bottom w:w="0" w:type="dxa"/>
            <w:right w:w="108" w:type="dxa"/>
          </w:tblCellMar>
        </w:tblPrEx>
        <w:trPr>
          <w:trHeight w:val="644" w:hRule="atLeast"/>
        </w:trPr>
        <w:tc>
          <w:tcPr>
            <w:tcW w:w="933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D790EC2">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w:t>
            </w:r>
            <w:r>
              <w:rPr>
                <w:rFonts w:hint="eastAsia" w:ascii="微软雅黑" w:hAnsi="微软雅黑" w:eastAsia="微软雅黑" w:cs="微软雅黑"/>
                <w:b/>
                <w:bCs/>
                <w:color w:val="000000"/>
                <w:kern w:val="0"/>
                <w:sz w:val="30"/>
                <w:szCs w:val="30"/>
              </w:rPr>
              <w:t>门</w:t>
            </w:r>
            <w:r>
              <w:rPr>
                <w:rFonts w:hint="eastAsia" w:ascii="___WRD_EMBED_SUB_17" w:hAnsi="___WRD_EMBED_SUB_17" w:eastAsia="___WRD_EMBED_SUB_17" w:cs="___WRD_EMBED_SUB_17"/>
                <w:b/>
                <w:bCs/>
                <w:color w:val="000000"/>
                <w:kern w:val="0"/>
                <w:sz w:val="30"/>
                <w:szCs w:val="30"/>
              </w:rPr>
              <w:t>预算项目支出</w:t>
            </w:r>
            <w:r>
              <w:rPr>
                <w:rFonts w:hint="eastAsia" w:ascii="微软雅黑" w:hAnsi="微软雅黑" w:eastAsia="微软雅黑" w:cs="微软雅黑"/>
                <w:b/>
                <w:bCs/>
                <w:color w:val="000000"/>
                <w:kern w:val="0"/>
                <w:sz w:val="30"/>
                <w:szCs w:val="30"/>
              </w:rPr>
              <w:t>绩效自评</w:t>
            </w:r>
            <w:r>
              <w:rPr>
                <w:rFonts w:hint="eastAsia" w:ascii="___WRD_EMBED_SUB_17" w:hAnsi="___WRD_EMBED_SUB_17" w:eastAsia="___WRD_EMBED_SUB_17" w:cs="___WRD_EMBED_SUB_17"/>
                <w:b/>
                <w:bCs/>
                <w:color w:val="000000"/>
                <w:kern w:val="0"/>
                <w:sz w:val="30"/>
                <w:szCs w:val="30"/>
              </w:rPr>
              <w:t>表</w:t>
            </w:r>
            <w:r>
              <w:rPr>
                <w:rFonts w:hint="eastAsia" w:ascii="微软雅黑" w:hAnsi="微软雅黑" w:eastAsia="微软雅黑" w:cs="微软雅黑"/>
                <w:b/>
                <w:bCs/>
                <w:color w:val="000000"/>
                <w:kern w:val="0"/>
                <w:sz w:val="30"/>
                <w:szCs w:val="30"/>
              </w:rPr>
              <w:t>（</w:t>
            </w:r>
            <w:r>
              <w:rPr>
                <w:rFonts w:hint="eastAsia" w:ascii="黑体" w:hAnsi="黑体" w:eastAsia="黑体" w:cs="宋体"/>
                <w:b/>
                <w:bCs/>
                <w:color w:val="000000"/>
                <w:kern w:val="0"/>
                <w:sz w:val="30"/>
                <w:szCs w:val="30"/>
              </w:rPr>
              <w:t>2022年度</w:t>
            </w:r>
            <w:r>
              <w:rPr>
                <w:rFonts w:hint="eastAsia" w:ascii="微软雅黑" w:hAnsi="微软雅黑" w:eastAsia="微软雅黑" w:cs="微软雅黑"/>
                <w:b/>
                <w:bCs/>
                <w:color w:val="000000"/>
                <w:kern w:val="0"/>
                <w:sz w:val="30"/>
                <w:szCs w:val="30"/>
              </w:rPr>
              <w:t>）</w:t>
            </w:r>
          </w:p>
        </w:tc>
      </w:tr>
      <w:tr w14:paraId="78AA51D8">
        <w:tblPrEx>
          <w:tblCellMar>
            <w:top w:w="0" w:type="dxa"/>
            <w:left w:w="108" w:type="dxa"/>
            <w:bottom w:w="0" w:type="dxa"/>
            <w:right w:w="108" w:type="dxa"/>
          </w:tblCellMar>
        </w:tblPrEx>
        <w:trPr>
          <w:trHeight w:val="644" w:hRule="atLeast"/>
        </w:trPr>
        <w:tc>
          <w:tcPr>
            <w:tcW w:w="1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60D1D9">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7747" w:type="dxa"/>
            <w:gridSpan w:val="9"/>
            <w:tcBorders>
              <w:top w:val="single" w:color="000000" w:sz="4" w:space="0"/>
              <w:left w:val="nil"/>
              <w:bottom w:val="single" w:color="000000" w:sz="4" w:space="0"/>
              <w:right w:val="single" w:color="000000" w:sz="4" w:space="0"/>
            </w:tcBorders>
            <w:shd w:val="clear" w:color="auto" w:fill="auto"/>
            <w:vAlign w:val="center"/>
          </w:tcPr>
          <w:p w14:paraId="2DB2A8AF">
            <w:pPr>
              <w:widowControl/>
              <w:jc w:val="left"/>
              <w:rPr>
                <w:rFonts w:ascii="宋体" w:hAnsi="宋体" w:cs="宋体"/>
                <w:color w:val="000000"/>
                <w:kern w:val="0"/>
                <w:sz w:val="18"/>
                <w:szCs w:val="18"/>
              </w:rPr>
            </w:pPr>
            <w:r>
              <w:rPr>
                <w:rFonts w:hint="eastAsia" w:ascii="宋体" w:hAnsi="宋体" w:cs="宋体"/>
                <w:color w:val="000000"/>
                <w:kern w:val="0"/>
                <w:sz w:val="18"/>
                <w:szCs w:val="18"/>
              </w:rPr>
              <w:t>51118122T000000399162-防灾减灾工作经费</w:t>
            </w:r>
          </w:p>
        </w:tc>
      </w:tr>
      <w:tr w14:paraId="36D1B17E">
        <w:tblPrEx>
          <w:tblCellMar>
            <w:top w:w="0" w:type="dxa"/>
            <w:left w:w="108" w:type="dxa"/>
            <w:bottom w:w="0" w:type="dxa"/>
            <w:right w:w="108" w:type="dxa"/>
          </w:tblCellMar>
        </w:tblPrEx>
        <w:trPr>
          <w:trHeight w:val="644" w:hRule="atLeast"/>
        </w:trPr>
        <w:tc>
          <w:tcPr>
            <w:tcW w:w="1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74FC86">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4071" w:type="dxa"/>
            <w:gridSpan w:val="5"/>
            <w:tcBorders>
              <w:top w:val="single" w:color="000000" w:sz="4" w:space="0"/>
              <w:left w:val="nil"/>
              <w:bottom w:val="single" w:color="000000" w:sz="4" w:space="0"/>
              <w:right w:val="single" w:color="000000" w:sz="4" w:space="0"/>
            </w:tcBorders>
            <w:shd w:val="clear" w:color="auto" w:fill="auto"/>
            <w:vAlign w:val="center"/>
          </w:tcPr>
          <w:p w14:paraId="20382D32">
            <w:pPr>
              <w:widowControl/>
              <w:jc w:val="left"/>
              <w:rPr>
                <w:rFonts w:ascii="宋体" w:hAnsi="宋体" w:cs="宋体"/>
                <w:color w:val="000000"/>
                <w:kern w:val="0"/>
                <w:sz w:val="18"/>
                <w:szCs w:val="18"/>
              </w:rPr>
            </w:pPr>
            <w:r>
              <w:rPr>
                <w:rFonts w:hint="eastAsia" w:ascii="宋体" w:hAnsi="宋体" w:cs="宋体"/>
                <w:color w:val="000000"/>
                <w:kern w:val="0"/>
                <w:sz w:val="18"/>
                <w:szCs w:val="18"/>
              </w:rPr>
              <w:t>应急管理局</w:t>
            </w:r>
          </w:p>
        </w:tc>
        <w:tc>
          <w:tcPr>
            <w:tcW w:w="1028" w:type="dxa"/>
            <w:tcBorders>
              <w:top w:val="nil"/>
              <w:left w:val="nil"/>
              <w:bottom w:val="nil"/>
              <w:right w:val="nil"/>
            </w:tcBorders>
            <w:shd w:val="clear" w:color="auto" w:fill="auto"/>
            <w:vAlign w:val="center"/>
          </w:tcPr>
          <w:p w14:paraId="1AFD536B">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实施</w:t>
            </w:r>
            <w:r>
              <w:rPr>
                <w:rFonts w:hint="eastAsia" w:ascii="___WRD_EMBED_SUB_17" w:hAnsi="___WRD_EMBED_SUB_17" w:eastAsia="___WRD_EMBED_SUB_17" w:cs="___WRD_EMBED_SUB_17"/>
                <w:color w:val="000000"/>
                <w:kern w:val="0"/>
                <w:sz w:val="18"/>
                <w:szCs w:val="18"/>
              </w:rPr>
              <w:t>单位</w:t>
            </w:r>
            <w:r>
              <w:rPr>
                <w:rFonts w:hint="eastAsia" w:ascii="黑体" w:hAnsi="黑体" w:eastAsia="黑体" w:cs="宋体"/>
                <w:color w:val="000000"/>
                <w:kern w:val="0"/>
                <w:sz w:val="18"/>
                <w:szCs w:val="18"/>
              </w:rPr>
              <w:t xml:space="preserve"> </w:t>
            </w:r>
            <w:r>
              <w:rPr>
                <w:rFonts w:hint="eastAsia" w:ascii="微软雅黑" w:hAnsi="微软雅黑" w:eastAsia="微软雅黑" w:cs="微软雅黑"/>
                <w:color w:val="000000"/>
                <w:kern w:val="0"/>
                <w:sz w:val="18"/>
                <w:szCs w:val="18"/>
              </w:rPr>
              <w:t>（盖章）</w:t>
            </w:r>
          </w:p>
        </w:tc>
        <w:tc>
          <w:tcPr>
            <w:tcW w:w="26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87050E">
            <w:pPr>
              <w:widowControl/>
              <w:jc w:val="center"/>
              <w:rPr>
                <w:rFonts w:ascii="宋体" w:hAnsi="宋体" w:cs="宋体"/>
                <w:color w:val="000000"/>
                <w:kern w:val="0"/>
                <w:sz w:val="18"/>
                <w:szCs w:val="18"/>
              </w:rPr>
            </w:pPr>
            <w:r>
              <w:rPr>
                <w:rFonts w:hint="eastAsia" w:ascii="宋体" w:hAnsi="宋体" w:cs="宋体"/>
                <w:color w:val="000000"/>
                <w:kern w:val="0"/>
                <w:sz w:val="18"/>
                <w:szCs w:val="18"/>
              </w:rPr>
              <w:t>峨眉山市应急管理局</w:t>
            </w:r>
          </w:p>
        </w:tc>
      </w:tr>
      <w:tr w14:paraId="612FE89A">
        <w:tblPrEx>
          <w:tblCellMar>
            <w:top w:w="0" w:type="dxa"/>
            <w:left w:w="108" w:type="dxa"/>
            <w:bottom w:w="0" w:type="dxa"/>
            <w:right w:w="108" w:type="dxa"/>
          </w:tblCellMar>
        </w:tblPrEx>
        <w:trPr>
          <w:trHeight w:val="644" w:hRule="atLeast"/>
        </w:trPr>
        <w:tc>
          <w:tcPr>
            <w:tcW w:w="795" w:type="dxa"/>
            <w:vMerge w:val="restart"/>
            <w:tcBorders>
              <w:top w:val="nil"/>
              <w:left w:val="single" w:color="000000" w:sz="4" w:space="0"/>
              <w:bottom w:val="single" w:color="000000" w:sz="4" w:space="0"/>
              <w:right w:val="single" w:color="000000" w:sz="4" w:space="0"/>
            </w:tcBorders>
            <w:shd w:val="clear" w:color="auto" w:fill="auto"/>
            <w:vAlign w:val="center"/>
          </w:tcPr>
          <w:p w14:paraId="29D34E89">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796" w:type="dxa"/>
            <w:vMerge w:val="restart"/>
            <w:tcBorders>
              <w:top w:val="nil"/>
              <w:left w:val="single" w:color="000000" w:sz="4" w:space="0"/>
              <w:bottom w:val="single" w:color="000000" w:sz="4" w:space="0"/>
              <w:right w:val="single" w:color="000000" w:sz="4" w:space="0"/>
            </w:tcBorders>
            <w:shd w:val="clear" w:color="auto" w:fill="auto"/>
            <w:vAlign w:val="center"/>
          </w:tcPr>
          <w:p w14:paraId="4CC884B9">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4071" w:type="dxa"/>
            <w:gridSpan w:val="5"/>
            <w:tcBorders>
              <w:top w:val="single" w:color="000000" w:sz="4" w:space="0"/>
              <w:left w:val="nil"/>
              <w:bottom w:val="single" w:color="000000" w:sz="4" w:space="0"/>
              <w:right w:val="single" w:color="000000" w:sz="4" w:space="0"/>
            </w:tcBorders>
            <w:shd w:val="clear" w:color="auto" w:fill="auto"/>
            <w:vAlign w:val="center"/>
          </w:tcPr>
          <w:p w14:paraId="076311B4">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3676" w:type="dxa"/>
            <w:gridSpan w:val="4"/>
            <w:tcBorders>
              <w:top w:val="single" w:color="000000" w:sz="4" w:space="0"/>
              <w:left w:val="nil"/>
              <w:bottom w:val="single" w:color="000000" w:sz="4" w:space="0"/>
              <w:right w:val="single" w:color="000000" w:sz="4" w:space="0"/>
            </w:tcBorders>
            <w:shd w:val="clear" w:color="auto" w:fill="auto"/>
            <w:vAlign w:val="center"/>
          </w:tcPr>
          <w:p w14:paraId="747FE6E9">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年度目</w:t>
            </w:r>
            <w:r>
              <w:rPr>
                <w:rFonts w:hint="eastAsia" w:ascii="微软雅黑" w:hAnsi="微软雅黑" w:eastAsia="微软雅黑" w:cs="微软雅黑"/>
                <w:color w:val="000000"/>
                <w:kern w:val="0"/>
                <w:sz w:val="18"/>
                <w:szCs w:val="18"/>
              </w:rPr>
              <w:t>标完成</w:t>
            </w:r>
            <w:r>
              <w:rPr>
                <w:rFonts w:hint="eastAsia" w:ascii="___WRD_EMBED_SUB_17" w:hAnsi="___WRD_EMBED_SUB_17" w:eastAsia="___WRD_EMBED_SUB_17" w:cs="___WRD_EMBED_SUB_17"/>
                <w:color w:val="000000"/>
                <w:kern w:val="0"/>
                <w:sz w:val="18"/>
                <w:szCs w:val="18"/>
              </w:rPr>
              <w:t>情况</w:t>
            </w:r>
          </w:p>
        </w:tc>
      </w:tr>
      <w:tr w14:paraId="6049A8D1">
        <w:tblPrEx>
          <w:tblCellMar>
            <w:top w:w="0" w:type="dxa"/>
            <w:left w:w="108" w:type="dxa"/>
            <w:bottom w:w="0" w:type="dxa"/>
            <w:right w:w="108" w:type="dxa"/>
          </w:tblCellMar>
        </w:tblPrEx>
        <w:trPr>
          <w:trHeight w:val="644" w:hRule="atLeast"/>
        </w:trPr>
        <w:tc>
          <w:tcPr>
            <w:tcW w:w="795" w:type="dxa"/>
            <w:vMerge w:val="continue"/>
            <w:tcBorders>
              <w:top w:val="nil"/>
              <w:left w:val="single" w:color="000000" w:sz="4" w:space="0"/>
              <w:bottom w:val="single" w:color="000000" w:sz="4" w:space="0"/>
              <w:right w:val="single" w:color="000000" w:sz="4" w:space="0"/>
            </w:tcBorders>
            <w:vAlign w:val="center"/>
          </w:tcPr>
          <w:p w14:paraId="48A2BC2F">
            <w:pPr>
              <w:widowControl/>
              <w:jc w:val="left"/>
              <w:rPr>
                <w:rFonts w:ascii="宋体" w:hAnsi="宋体" w:cs="宋体"/>
                <w:color w:val="000000"/>
                <w:kern w:val="0"/>
                <w:sz w:val="18"/>
                <w:szCs w:val="18"/>
              </w:rPr>
            </w:pPr>
          </w:p>
        </w:tc>
        <w:tc>
          <w:tcPr>
            <w:tcW w:w="796" w:type="dxa"/>
            <w:vMerge w:val="continue"/>
            <w:tcBorders>
              <w:top w:val="nil"/>
              <w:left w:val="single" w:color="000000" w:sz="4" w:space="0"/>
              <w:bottom w:val="single" w:color="000000" w:sz="4" w:space="0"/>
              <w:right w:val="single" w:color="000000" w:sz="4" w:space="0"/>
            </w:tcBorders>
            <w:vAlign w:val="center"/>
          </w:tcPr>
          <w:p w14:paraId="37BC701E">
            <w:pPr>
              <w:widowControl/>
              <w:jc w:val="left"/>
              <w:rPr>
                <w:rFonts w:ascii="宋体" w:hAnsi="宋体" w:cs="宋体"/>
                <w:color w:val="000000"/>
                <w:kern w:val="0"/>
                <w:sz w:val="18"/>
                <w:szCs w:val="18"/>
              </w:rPr>
            </w:pPr>
          </w:p>
        </w:tc>
        <w:tc>
          <w:tcPr>
            <w:tcW w:w="4071" w:type="dxa"/>
            <w:gridSpan w:val="5"/>
            <w:tcBorders>
              <w:top w:val="single" w:color="000000" w:sz="4" w:space="0"/>
              <w:left w:val="nil"/>
              <w:bottom w:val="single" w:color="000000" w:sz="4" w:space="0"/>
              <w:right w:val="single" w:color="000000" w:sz="4" w:space="0"/>
            </w:tcBorders>
            <w:shd w:val="clear" w:color="auto" w:fill="auto"/>
            <w:vAlign w:val="center"/>
          </w:tcPr>
          <w:p w14:paraId="7898F0BA">
            <w:pPr>
              <w:widowControl/>
              <w:jc w:val="left"/>
              <w:rPr>
                <w:rFonts w:ascii="宋体" w:hAnsi="宋体" w:cs="宋体"/>
                <w:color w:val="000000"/>
                <w:kern w:val="0"/>
                <w:sz w:val="18"/>
                <w:szCs w:val="18"/>
              </w:rPr>
            </w:pPr>
            <w:r>
              <w:rPr>
                <w:rFonts w:hint="eastAsia" w:ascii="宋体" w:hAnsi="宋体" w:cs="宋体"/>
                <w:color w:val="000000"/>
                <w:kern w:val="0"/>
                <w:sz w:val="18"/>
                <w:szCs w:val="18"/>
              </w:rPr>
              <w:t>防灾减灾救灾宣传支出</w:t>
            </w:r>
          </w:p>
        </w:tc>
        <w:tc>
          <w:tcPr>
            <w:tcW w:w="3676" w:type="dxa"/>
            <w:gridSpan w:val="4"/>
            <w:tcBorders>
              <w:top w:val="single" w:color="000000" w:sz="4" w:space="0"/>
              <w:left w:val="nil"/>
              <w:bottom w:val="single" w:color="000000" w:sz="4" w:space="0"/>
              <w:right w:val="single" w:color="000000" w:sz="4" w:space="0"/>
            </w:tcBorders>
            <w:shd w:val="clear" w:color="auto" w:fill="auto"/>
            <w:vAlign w:val="center"/>
          </w:tcPr>
          <w:p w14:paraId="46DF2568">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完成防灾减灾救灾宣传</w:t>
            </w:r>
            <w:r>
              <w:rPr>
                <w:rFonts w:hint="eastAsia" w:ascii="___WRD_EMBED_SUB_17" w:hAnsi="___WRD_EMBED_SUB_17" w:eastAsia="___WRD_EMBED_SUB_17" w:cs="___WRD_EMBED_SUB_17"/>
                <w:color w:val="000000"/>
                <w:kern w:val="0"/>
                <w:sz w:val="18"/>
                <w:szCs w:val="18"/>
              </w:rPr>
              <w:t>支出</w:t>
            </w:r>
          </w:p>
        </w:tc>
      </w:tr>
      <w:tr w14:paraId="0FB1BBD6">
        <w:tblPrEx>
          <w:tblCellMar>
            <w:top w:w="0" w:type="dxa"/>
            <w:left w:w="108" w:type="dxa"/>
            <w:bottom w:w="0" w:type="dxa"/>
            <w:right w:w="108" w:type="dxa"/>
          </w:tblCellMar>
        </w:tblPrEx>
        <w:trPr>
          <w:trHeight w:val="966" w:hRule="atLeast"/>
        </w:trPr>
        <w:tc>
          <w:tcPr>
            <w:tcW w:w="795" w:type="dxa"/>
            <w:vMerge w:val="continue"/>
            <w:tcBorders>
              <w:top w:val="nil"/>
              <w:left w:val="single" w:color="000000" w:sz="4" w:space="0"/>
              <w:bottom w:val="single" w:color="000000" w:sz="4" w:space="0"/>
              <w:right w:val="single" w:color="000000" w:sz="4" w:space="0"/>
            </w:tcBorders>
            <w:vAlign w:val="center"/>
          </w:tcPr>
          <w:p w14:paraId="27627E17">
            <w:pPr>
              <w:widowControl/>
              <w:jc w:val="left"/>
              <w:rPr>
                <w:rFonts w:ascii="宋体" w:hAnsi="宋体" w:cs="宋体"/>
                <w:color w:val="000000"/>
                <w:kern w:val="0"/>
                <w:sz w:val="18"/>
                <w:szCs w:val="18"/>
              </w:rPr>
            </w:pPr>
          </w:p>
        </w:tc>
        <w:tc>
          <w:tcPr>
            <w:tcW w:w="796" w:type="dxa"/>
            <w:tcBorders>
              <w:top w:val="nil"/>
              <w:left w:val="nil"/>
              <w:bottom w:val="single" w:color="000000" w:sz="4" w:space="0"/>
              <w:right w:val="single" w:color="000000" w:sz="4" w:space="0"/>
            </w:tcBorders>
            <w:shd w:val="clear" w:color="auto" w:fill="auto"/>
            <w:vAlign w:val="center"/>
          </w:tcPr>
          <w:p w14:paraId="560EB861">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747" w:type="dxa"/>
            <w:gridSpan w:val="9"/>
            <w:tcBorders>
              <w:top w:val="single" w:color="000000" w:sz="4" w:space="0"/>
              <w:left w:val="nil"/>
              <w:bottom w:val="single" w:color="000000" w:sz="4" w:space="0"/>
              <w:right w:val="single" w:color="000000" w:sz="4" w:space="0"/>
            </w:tcBorders>
            <w:shd w:val="clear" w:color="auto" w:fill="auto"/>
            <w:vAlign w:val="center"/>
          </w:tcPr>
          <w:p w14:paraId="29B258C9">
            <w:pPr>
              <w:widowControl/>
              <w:jc w:val="left"/>
              <w:rPr>
                <w:rFonts w:ascii="宋体" w:hAnsi="宋体" w:cs="宋体"/>
                <w:color w:val="000000"/>
                <w:kern w:val="0"/>
                <w:sz w:val="18"/>
                <w:szCs w:val="18"/>
              </w:rPr>
            </w:pPr>
            <w:r>
              <w:rPr>
                <w:rFonts w:hint="eastAsia" w:ascii="宋体" w:hAnsi="宋体" w:cs="宋体"/>
                <w:color w:val="000000"/>
                <w:kern w:val="0"/>
                <w:sz w:val="18"/>
                <w:szCs w:val="18"/>
              </w:rPr>
              <w:t>防灾减灾救灾宣传支出</w:t>
            </w:r>
          </w:p>
        </w:tc>
      </w:tr>
      <w:tr w14:paraId="3FE42C3B">
        <w:tblPrEx>
          <w:tblCellMar>
            <w:top w:w="0" w:type="dxa"/>
            <w:left w:w="108" w:type="dxa"/>
            <w:bottom w:w="0" w:type="dxa"/>
            <w:right w:w="108" w:type="dxa"/>
          </w:tblCellMar>
        </w:tblPrEx>
        <w:trPr>
          <w:trHeight w:val="459" w:hRule="atLeast"/>
        </w:trPr>
        <w:tc>
          <w:tcPr>
            <w:tcW w:w="795" w:type="dxa"/>
            <w:vMerge w:val="restart"/>
            <w:tcBorders>
              <w:top w:val="nil"/>
              <w:left w:val="single" w:color="000000" w:sz="4" w:space="0"/>
              <w:bottom w:val="single" w:color="000000" w:sz="4" w:space="0"/>
              <w:right w:val="single" w:color="000000" w:sz="4" w:space="0"/>
            </w:tcBorders>
            <w:shd w:val="clear" w:color="auto" w:fill="auto"/>
            <w:vAlign w:val="center"/>
          </w:tcPr>
          <w:p w14:paraId="383B81AA">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796" w:type="dxa"/>
            <w:tcBorders>
              <w:top w:val="nil"/>
              <w:left w:val="nil"/>
              <w:bottom w:val="single" w:color="000000" w:sz="4" w:space="0"/>
              <w:right w:val="single" w:color="000000" w:sz="4" w:space="0"/>
            </w:tcBorders>
            <w:shd w:val="clear" w:color="auto" w:fill="auto"/>
            <w:vAlign w:val="center"/>
          </w:tcPr>
          <w:p w14:paraId="6E339697">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098" w:type="dxa"/>
            <w:tcBorders>
              <w:top w:val="nil"/>
              <w:left w:val="nil"/>
              <w:bottom w:val="single" w:color="000000" w:sz="4" w:space="0"/>
              <w:right w:val="single" w:color="000000" w:sz="4" w:space="0"/>
            </w:tcBorders>
            <w:shd w:val="clear" w:color="auto" w:fill="auto"/>
            <w:vAlign w:val="center"/>
          </w:tcPr>
          <w:p w14:paraId="11F23F13">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1098" w:type="dxa"/>
            <w:tcBorders>
              <w:top w:val="nil"/>
              <w:left w:val="nil"/>
              <w:bottom w:val="single" w:color="000000" w:sz="4" w:space="0"/>
              <w:right w:val="single" w:color="000000" w:sz="4" w:space="0"/>
            </w:tcBorders>
            <w:shd w:val="clear" w:color="auto" w:fill="auto"/>
            <w:vAlign w:val="center"/>
          </w:tcPr>
          <w:p w14:paraId="2AFE7104">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1874" w:type="dxa"/>
            <w:gridSpan w:val="3"/>
            <w:tcBorders>
              <w:top w:val="single" w:color="000000" w:sz="4" w:space="0"/>
              <w:left w:val="nil"/>
              <w:bottom w:val="single" w:color="000000" w:sz="4" w:space="0"/>
              <w:right w:val="single" w:color="000000" w:sz="4" w:space="0"/>
            </w:tcBorders>
            <w:shd w:val="clear" w:color="auto" w:fill="auto"/>
            <w:vAlign w:val="center"/>
          </w:tcPr>
          <w:p w14:paraId="2E215F58">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028" w:type="dxa"/>
            <w:tcBorders>
              <w:top w:val="nil"/>
              <w:left w:val="nil"/>
              <w:bottom w:val="single" w:color="000000" w:sz="4" w:space="0"/>
              <w:right w:val="single" w:color="000000" w:sz="4" w:space="0"/>
            </w:tcBorders>
            <w:shd w:val="clear" w:color="auto" w:fill="auto"/>
            <w:vAlign w:val="center"/>
          </w:tcPr>
          <w:p w14:paraId="31997F07">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884" w:type="dxa"/>
            <w:tcBorders>
              <w:top w:val="nil"/>
              <w:left w:val="nil"/>
              <w:bottom w:val="single" w:color="000000" w:sz="4" w:space="0"/>
              <w:right w:val="single" w:color="000000" w:sz="4" w:space="0"/>
            </w:tcBorders>
            <w:shd w:val="clear" w:color="auto" w:fill="auto"/>
            <w:vAlign w:val="center"/>
          </w:tcPr>
          <w:p w14:paraId="53F77194">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84" w:type="dxa"/>
            <w:tcBorders>
              <w:top w:val="nil"/>
              <w:left w:val="nil"/>
              <w:bottom w:val="single" w:color="000000" w:sz="4" w:space="0"/>
              <w:right w:val="single" w:color="000000" w:sz="4" w:space="0"/>
            </w:tcBorders>
            <w:shd w:val="clear" w:color="auto" w:fill="auto"/>
            <w:vAlign w:val="center"/>
          </w:tcPr>
          <w:p w14:paraId="33A1783A">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79" w:type="dxa"/>
            <w:tcBorders>
              <w:top w:val="nil"/>
              <w:left w:val="nil"/>
              <w:bottom w:val="single" w:color="000000" w:sz="4" w:space="0"/>
              <w:right w:val="single" w:color="000000" w:sz="4" w:space="0"/>
            </w:tcBorders>
            <w:shd w:val="clear" w:color="auto" w:fill="auto"/>
            <w:vAlign w:val="center"/>
          </w:tcPr>
          <w:p w14:paraId="4D987A3C">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14:paraId="70E90AAE">
        <w:tblPrEx>
          <w:tblCellMar>
            <w:top w:w="0" w:type="dxa"/>
            <w:left w:w="108" w:type="dxa"/>
            <w:bottom w:w="0" w:type="dxa"/>
            <w:right w:w="108" w:type="dxa"/>
          </w:tblCellMar>
        </w:tblPrEx>
        <w:trPr>
          <w:trHeight w:val="275" w:hRule="atLeast"/>
        </w:trPr>
        <w:tc>
          <w:tcPr>
            <w:tcW w:w="795" w:type="dxa"/>
            <w:vMerge w:val="continue"/>
            <w:tcBorders>
              <w:top w:val="nil"/>
              <w:left w:val="single" w:color="000000" w:sz="4" w:space="0"/>
              <w:bottom w:val="single" w:color="000000" w:sz="4" w:space="0"/>
              <w:right w:val="single" w:color="000000" w:sz="4" w:space="0"/>
            </w:tcBorders>
            <w:vAlign w:val="center"/>
          </w:tcPr>
          <w:p w14:paraId="49717C37">
            <w:pPr>
              <w:widowControl/>
              <w:jc w:val="left"/>
              <w:rPr>
                <w:rFonts w:ascii="宋体" w:hAnsi="宋体" w:cs="宋体"/>
                <w:color w:val="000000"/>
                <w:kern w:val="0"/>
                <w:sz w:val="18"/>
                <w:szCs w:val="18"/>
              </w:rPr>
            </w:pPr>
          </w:p>
        </w:tc>
        <w:tc>
          <w:tcPr>
            <w:tcW w:w="796" w:type="dxa"/>
            <w:tcBorders>
              <w:top w:val="nil"/>
              <w:left w:val="nil"/>
              <w:bottom w:val="single" w:color="000000" w:sz="4" w:space="0"/>
              <w:right w:val="single" w:color="000000" w:sz="4" w:space="0"/>
            </w:tcBorders>
            <w:shd w:val="clear" w:color="auto" w:fill="auto"/>
            <w:vAlign w:val="center"/>
          </w:tcPr>
          <w:p w14:paraId="5FE23160">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098" w:type="dxa"/>
            <w:tcBorders>
              <w:top w:val="nil"/>
              <w:left w:val="nil"/>
              <w:bottom w:val="single" w:color="000000" w:sz="4" w:space="0"/>
              <w:right w:val="single" w:color="000000" w:sz="4" w:space="0"/>
            </w:tcBorders>
            <w:shd w:val="clear" w:color="auto" w:fill="auto"/>
            <w:vAlign w:val="center"/>
          </w:tcPr>
          <w:p w14:paraId="1AD268F5">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98" w:type="dxa"/>
            <w:tcBorders>
              <w:top w:val="nil"/>
              <w:left w:val="nil"/>
              <w:bottom w:val="single" w:color="000000" w:sz="4" w:space="0"/>
              <w:right w:val="single" w:color="000000" w:sz="4" w:space="0"/>
            </w:tcBorders>
            <w:shd w:val="clear" w:color="auto" w:fill="auto"/>
            <w:vAlign w:val="center"/>
          </w:tcPr>
          <w:p w14:paraId="4DEFC672">
            <w:pPr>
              <w:widowControl/>
              <w:jc w:val="center"/>
              <w:rPr>
                <w:rFonts w:ascii="宋体" w:hAnsi="宋体" w:cs="宋体"/>
                <w:color w:val="000000"/>
                <w:kern w:val="0"/>
                <w:sz w:val="18"/>
                <w:szCs w:val="18"/>
              </w:rPr>
            </w:pPr>
            <w:r>
              <w:rPr>
                <w:rFonts w:hint="eastAsia" w:ascii="宋体" w:hAnsi="宋体" w:cs="宋体"/>
                <w:color w:val="000000"/>
                <w:kern w:val="0"/>
                <w:sz w:val="18"/>
                <w:szCs w:val="18"/>
              </w:rPr>
              <w:t>1.14</w:t>
            </w:r>
          </w:p>
        </w:tc>
        <w:tc>
          <w:tcPr>
            <w:tcW w:w="1874" w:type="dxa"/>
            <w:gridSpan w:val="3"/>
            <w:tcBorders>
              <w:top w:val="single" w:color="000000" w:sz="4" w:space="0"/>
              <w:left w:val="nil"/>
              <w:bottom w:val="single" w:color="000000" w:sz="4" w:space="0"/>
              <w:right w:val="single" w:color="000000" w:sz="4" w:space="0"/>
            </w:tcBorders>
            <w:shd w:val="clear" w:color="auto" w:fill="auto"/>
            <w:vAlign w:val="center"/>
          </w:tcPr>
          <w:p w14:paraId="0075EB7C">
            <w:pPr>
              <w:widowControl/>
              <w:jc w:val="center"/>
              <w:rPr>
                <w:rFonts w:ascii="宋体" w:hAnsi="宋体" w:cs="宋体"/>
                <w:color w:val="000000"/>
                <w:kern w:val="0"/>
                <w:sz w:val="18"/>
                <w:szCs w:val="18"/>
              </w:rPr>
            </w:pPr>
            <w:r>
              <w:rPr>
                <w:rFonts w:hint="eastAsia" w:ascii="宋体" w:hAnsi="宋体" w:cs="宋体"/>
                <w:color w:val="000000"/>
                <w:kern w:val="0"/>
                <w:sz w:val="18"/>
                <w:szCs w:val="18"/>
              </w:rPr>
              <w:t>1.14</w:t>
            </w:r>
          </w:p>
        </w:tc>
        <w:tc>
          <w:tcPr>
            <w:tcW w:w="1028" w:type="dxa"/>
            <w:tcBorders>
              <w:top w:val="nil"/>
              <w:left w:val="nil"/>
              <w:bottom w:val="single" w:color="000000" w:sz="4" w:space="0"/>
              <w:right w:val="single" w:color="000000" w:sz="4" w:space="0"/>
            </w:tcBorders>
            <w:shd w:val="clear" w:color="auto" w:fill="auto"/>
            <w:vAlign w:val="center"/>
          </w:tcPr>
          <w:p w14:paraId="1DAE0CFC">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84" w:type="dxa"/>
            <w:tcBorders>
              <w:top w:val="nil"/>
              <w:left w:val="nil"/>
              <w:bottom w:val="single" w:color="000000" w:sz="4" w:space="0"/>
              <w:right w:val="single" w:color="000000" w:sz="4" w:space="0"/>
            </w:tcBorders>
            <w:shd w:val="clear" w:color="auto" w:fill="auto"/>
            <w:vAlign w:val="center"/>
          </w:tcPr>
          <w:p w14:paraId="64E6EE3B">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84" w:type="dxa"/>
            <w:tcBorders>
              <w:top w:val="nil"/>
              <w:left w:val="nil"/>
              <w:bottom w:val="single" w:color="000000" w:sz="4" w:space="0"/>
              <w:right w:val="single" w:color="000000" w:sz="4" w:space="0"/>
            </w:tcBorders>
            <w:shd w:val="clear" w:color="auto" w:fill="auto"/>
            <w:vAlign w:val="center"/>
          </w:tcPr>
          <w:p w14:paraId="2DDB17AA">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79" w:type="dxa"/>
            <w:vMerge w:val="restart"/>
            <w:tcBorders>
              <w:top w:val="nil"/>
              <w:left w:val="single" w:color="000000" w:sz="4" w:space="0"/>
              <w:bottom w:val="single" w:color="000000" w:sz="4" w:space="0"/>
              <w:right w:val="single" w:color="000000" w:sz="4" w:space="0"/>
            </w:tcBorders>
            <w:shd w:val="clear" w:color="auto" w:fill="auto"/>
            <w:vAlign w:val="center"/>
          </w:tcPr>
          <w:p w14:paraId="67F8755B">
            <w:pPr>
              <w:widowControl/>
              <w:jc w:val="left"/>
              <w:rPr>
                <w:rFonts w:ascii="黑体" w:hAnsi="黑体" w:eastAsia="黑体" w:cs="宋体"/>
                <w:i/>
                <w:iCs/>
                <w:color w:val="000000"/>
                <w:kern w:val="0"/>
                <w:sz w:val="18"/>
                <w:szCs w:val="18"/>
              </w:rPr>
            </w:pPr>
            <w:r>
              <w:rPr>
                <w:rFonts w:hint="eastAsia" w:ascii="微软雅黑" w:hAnsi="微软雅黑" w:eastAsia="微软雅黑" w:cs="微软雅黑"/>
                <w:i/>
                <w:iCs/>
                <w:color w:val="000000"/>
                <w:kern w:val="0"/>
                <w:sz w:val="18"/>
                <w:szCs w:val="18"/>
              </w:rPr>
              <w:t>　</w:t>
            </w:r>
          </w:p>
        </w:tc>
      </w:tr>
      <w:tr w14:paraId="268AC3C9">
        <w:tblPrEx>
          <w:tblCellMar>
            <w:top w:w="0" w:type="dxa"/>
            <w:left w:w="108" w:type="dxa"/>
            <w:bottom w:w="0" w:type="dxa"/>
            <w:right w:w="108" w:type="dxa"/>
          </w:tblCellMar>
        </w:tblPrEx>
        <w:trPr>
          <w:trHeight w:val="982" w:hRule="atLeast"/>
        </w:trPr>
        <w:tc>
          <w:tcPr>
            <w:tcW w:w="795" w:type="dxa"/>
            <w:vMerge w:val="continue"/>
            <w:tcBorders>
              <w:top w:val="nil"/>
              <w:left w:val="single" w:color="000000" w:sz="4" w:space="0"/>
              <w:bottom w:val="single" w:color="000000" w:sz="4" w:space="0"/>
              <w:right w:val="single" w:color="000000" w:sz="4" w:space="0"/>
            </w:tcBorders>
            <w:vAlign w:val="center"/>
          </w:tcPr>
          <w:p w14:paraId="7072C0DB">
            <w:pPr>
              <w:widowControl/>
              <w:jc w:val="left"/>
              <w:rPr>
                <w:rFonts w:ascii="宋体" w:hAnsi="宋体" w:cs="宋体"/>
                <w:color w:val="000000"/>
                <w:kern w:val="0"/>
                <w:sz w:val="18"/>
                <w:szCs w:val="18"/>
              </w:rPr>
            </w:pPr>
          </w:p>
        </w:tc>
        <w:tc>
          <w:tcPr>
            <w:tcW w:w="796" w:type="dxa"/>
            <w:tcBorders>
              <w:top w:val="nil"/>
              <w:left w:val="nil"/>
              <w:bottom w:val="single" w:color="000000" w:sz="4" w:space="0"/>
              <w:right w:val="single" w:color="000000" w:sz="4" w:space="0"/>
            </w:tcBorders>
            <w:shd w:val="clear" w:color="auto" w:fill="auto"/>
            <w:vAlign w:val="center"/>
          </w:tcPr>
          <w:p w14:paraId="308F4189">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098" w:type="dxa"/>
            <w:tcBorders>
              <w:top w:val="nil"/>
              <w:left w:val="nil"/>
              <w:bottom w:val="single" w:color="000000" w:sz="4" w:space="0"/>
              <w:right w:val="single" w:color="000000" w:sz="4" w:space="0"/>
            </w:tcBorders>
            <w:shd w:val="clear" w:color="auto" w:fill="auto"/>
            <w:vAlign w:val="center"/>
          </w:tcPr>
          <w:p w14:paraId="039906C9">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98" w:type="dxa"/>
            <w:tcBorders>
              <w:top w:val="nil"/>
              <w:left w:val="nil"/>
              <w:bottom w:val="single" w:color="000000" w:sz="4" w:space="0"/>
              <w:right w:val="single" w:color="000000" w:sz="4" w:space="0"/>
            </w:tcBorders>
            <w:shd w:val="clear" w:color="auto" w:fill="auto"/>
            <w:vAlign w:val="center"/>
          </w:tcPr>
          <w:p w14:paraId="50ED7E09">
            <w:pPr>
              <w:widowControl/>
              <w:jc w:val="center"/>
              <w:rPr>
                <w:rFonts w:ascii="宋体" w:hAnsi="宋体" w:cs="宋体"/>
                <w:color w:val="000000"/>
                <w:kern w:val="0"/>
                <w:sz w:val="18"/>
                <w:szCs w:val="18"/>
              </w:rPr>
            </w:pPr>
            <w:r>
              <w:rPr>
                <w:rFonts w:hint="eastAsia" w:ascii="宋体" w:hAnsi="宋体" w:cs="宋体"/>
                <w:color w:val="000000"/>
                <w:kern w:val="0"/>
                <w:sz w:val="18"/>
                <w:szCs w:val="18"/>
              </w:rPr>
              <w:t>1.14</w:t>
            </w:r>
          </w:p>
        </w:tc>
        <w:tc>
          <w:tcPr>
            <w:tcW w:w="1874" w:type="dxa"/>
            <w:gridSpan w:val="3"/>
            <w:tcBorders>
              <w:top w:val="single" w:color="000000" w:sz="4" w:space="0"/>
              <w:left w:val="nil"/>
              <w:bottom w:val="single" w:color="000000" w:sz="4" w:space="0"/>
              <w:right w:val="single" w:color="000000" w:sz="4" w:space="0"/>
            </w:tcBorders>
            <w:shd w:val="clear" w:color="auto" w:fill="auto"/>
            <w:vAlign w:val="center"/>
          </w:tcPr>
          <w:p w14:paraId="6CBE5557">
            <w:pPr>
              <w:widowControl/>
              <w:jc w:val="center"/>
              <w:rPr>
                <w:rFonts w:ascii="宋体" w:hAnsi="宋体" w:cs="宋体"/>
                <w:color w:val="000000"/>
                <w:kern w:val="0"/>
                <w:sz w:val="18"/>
                <w:szCs w:val="18"/>
              </w:rPr>
            </w:pPr>
            <w:r>
              <w:rPr>
                <w:rFonts w:hint="eastAsia" w:ascii="宋体" w:hAnsi="宋体" w:cs="宋体"/>
                <w:color w:val="000000"/>
                <w:kern w:val="0"/>
                <w:sz w:val="18"/>
                <w:szCs w:val="18"/>
              </w:rPr>
              <w:t>1.14</w:t>
            </w:r>
          </w:p>
        </w:tc>
        <w:tc>
          <w:tcPr>
            <w:tcW w:w="1028" w:type="dxa"/>
            <w:tcBorders>
              <w:top w:val="nil"/>
              <w:left w:val="nil"/>
              <w:bottom w:val="single" w:color="000000" w:sz="4" w:space="0"/>
              <w:right w:val="single" w:color="000000" w:sz="4" w:space="0"/>
            </w:tcBorders>
            <w:shd w:val="clear" w:color="auto" w:fill="auto"/>
            <w:vAlign w:val="center"/>
          </w:tcPr>
          <w:p w14:paraId="6D1676E8">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84" w:type="dxa"/>
            <w:tcBorders>
              <w:top w:val="nil"/>
              <w:left w:val="nil"/>
              <w:bottom w:val="single" w:color="000000" w:sz="4" w:space="0"/>
              <w:right w:val="single" w:color="000000" w:sz="4" w:space="0"/>
            </w:tcBorders>
            <w:shd w:val="clear" w:color="auto" w:fill="auto"/>
            <w:vAlign w:val="center"/>
          </w:tcPr>
          <w:p w14:paraId="4EA2D61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4" w:type="dxa"/>
            <w:tcBorders>
              <w:top w:val="nil"/>
              <w:left w:val="nil"/>
              <w:bottom w:val="single" w:color="000000" w:sz="4" w:space="0"/>
              <w:right w:val="single" w:color="000000" w:sz="4" w:space="0"/>
            </w:tcBorders>
            <w:shd w:val="clear" w:color="auto" w:fill="auto"/>
            <w:vAlign w:val="center"/>
          </w:tcPr>
          <w:p w14:paraId="3336E2C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79" w:type="dxa"/>
            <w:vMerge w:val="continue"/>
            <w:tcBorders>
              <w:top w:val="nil"/>
              <w:left w:val="single" w:color="000000" w:sz="4" w:space="0"/>
              <w:bottom w:val="single" w:color="000000" w:sz="4" w:space="0"/>
              <w:right w:val="single" w:color="000000" w:sz="4" w:space="0"/>
            </w:tcBorders>
            <w:vAlign w:val="center"/>
          </w:tcPr>
          <w:p w14:paraId="00BD032F">
            <w:pPr>
              <w:widowControl/>
              <w:jc w:val="left"/>
              <w:rPr>
                <w:rFonts w:ascii="黑体" w:hAnsi="黑体" w:eastAsia="黑体" w:cs="宋体"/>
                <w:i/>
                <w:iCs/>
                <w:color w:val="000000"/>
                <w:kern w:val="0"/>
                <w:sz w:val="18"/>
                <w:szCs w:val="18"/>
              </w:rPr>
            </w:pPr>
          </w:p>
        </w:tc>
      </w:tr>
      <w:tr w14:paraId="17AE24E7">
        <w:tblPrEx>
          <w:tblCellMar>
            <w:top w:w="0" w:type="dxa"/>
            <w:left w:w="108" w:type="dxa"/>
            <w:bottom w:w="0" w:type="dxa"/>
            <w:right w:w="108" w:type="dxa"/>
          </w:tblCellMar>
        </w:tblPrEx>
        <w:trPr>
          <w:trHeight w:val="766" w:hRule="atLeast"/>
        </w:trPr>
        <w:tc>
          <w:tcPr>
            <w:tcW w:w="795" w:type="dxa"/>
            <w:vMerge w:val="continue"/>
            <w:tcBorders>
              <w:top w:val="nil"/>
              <w:left w:val="single" w:color="000000" w:sz="4" w:space="0"/>
              <w:bottom w:val="single" w:color="000000" w:sz="4" w:space="0"/>
              <w:right w:val="single" w:color="000000" w:sz="4" w:space="0"/>
            </w:tcBorders>
            <w:vAlign w:val="center"/>
          </w:tcPr>
          <w:p w14:paraId="41B57FCC">
            <w:pPr>
              <w:widowControl/>
              <w:jc w:val="left"/>
              <w:rPr>
                <w:rFonts w:ascii="宋体" w:hAnsi="宋体" w:cs="宋体"/>
                <w:color w:val="000000"/>
                <w:kern w:val="0"/>
                <w:sz w:val="18"/>
                <w:szCs w:val="18"/>
              </w:rPr>
            </w:pPr>
          </w:p>
        </w:tc>
        <w:tc>
          <w:tcPr>
            <w:tcW w:w="796" w:type="dxa"/>
            <w:tcBorders>
              <w:top w:val="nil"/>
              <w:left w:val="nil"/>
              <w:bottom w:val="single" w:color="000000" w:sz="4" w:space="0"/>
              <w:right w:val="single" w:color="000000" w:sz="4" w:space="0"/>
            </w:tcBorders>
            <w:shd w:val="clear" w:color="auto" w:fill="auto"/>
            <w:vAlign w:val="center"/>
          </w:tcPr>
          <w:p w14:paraId="4AC880F8">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098" w:type="dxa"/>
            <w:tcBorders>
              <w:top w:val="nil"/>
              <w:left w:val="nil"/>
              <w:bottom w:val="single" w:color="000000" w:sz="4" w:space="0"/>
              <w:right w:val="single" w:color="000000" w:sz="4" w:space="0"/>
            </w:tcBorders>
            <w:shd w:val="clear" w:color="auto" w:fill="auto"/>
            <w:vAlign w:val="center"/>
          </w:tcPr>
          <w:p w14:paraId="0740BDCC">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98" w:type="dxa"/>
            <w:tcBorders>
              <w:top w:val="nil"/>
              <w:left w:val="nil"/>
              <w:bottom w:val="single" w:color="000000" w:sz="4" w:space="0"/>
              <w:right w:val="single" w:color="000000" w:sz="4" w:space="0"/>
            </w:tcBorders>
            <w:shd w:val="clear" w:color="auto" w:fill="auto"/>
            <w:vAlign w:val="center"/>
          </w:tcPr>
          <w:p w14:paraId="0C6E4B3A">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874" w:type="dxa"/>
            <w:gridSpan w:val="3"/>
            <w:tcBorders>
              <w:top w:val="single" w:color="000000" w:sz="4" w:space="0"/>
              <w:left w:val="nil"/>
              <w:bottom w:val="single" w:color="000000" w:sz="4" w:space="0"/>
              <w:right w:val="single" w:color="000000" w:sz="4" w:space="0"/>
            </w:tcBorders>
            <w:shd w:val="clear" w:color="auto" w:fill="auto"/>
            <w:vAlign w:val="center"/>
          </w:tcPr>
          <w:p w14:paraId="693CA8F8">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28" w:type="dxa"/>
            <w:tcBorders>
              <w:top w:val="nil"/>
              <w:left w:val="nil"/>
              <w:bottom w:val="single" w:color="000000" w:sz="4" w:space="0"/>
              <w:right w:val="single" w:color="000000" w:sz="4" w:space="0"/>
            </w:tcBorders>
            <w:shd w:val="clear" w:color="auto" w:fill="auto"/>
            <w:vAlign w:val="center"/>
          </w:tcPr>
          <w:p w14:paraId="4B8DB291">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84" w:type="dxa"/>
            <w:tcBorders>
              <w:top w:val="nil"/>
              <w:left w:val="nil"/>
              <w:bottom w:val="single" w:color="000000" w:sz="4" w:space="0"/>
              <w:right w:val="single" w:color="000000" w:sz="4" w:space="0"/>
            </w:tcBorders>
            <w:shd w:val="clear" w:color="auto" w:fill="auto"/>
            <w:vAlign w:val="center"/>
          </w:tcPr>
          <w:p w14:paraId="59D3444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4" w:type="dxa"/>
            <w:tcBorders>
              <w:top w:val="nil"/>
              <w:left w:val="nil"/>
              <w:bottom w:val="single" w:color="000000" w:sz="4" w:space="0"/>
              <w:right w:val="single" w:color="000000" w:sz="4" w:space="0"/>
            </w:tcBorders>
            <w:shd w:val="clear" w:color="auto" w:fill="auto"/>
            <w:vAlign w:val="center"/>
          </w:tcPr>
          <w:p w14:paraId="384D555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79" w:type="dxa"/>
            <w:vMerge w:val="continue"/>
            <w:tcBorders>
              <w:top w:val="nil"/>
              <w:left w:val="single" w:color="000000" w:sz="4" w:space="0"/>
              <w:bottom w:val="single" w:color="000000" w:sz="4" w:space="0"/>
              <w:right w:val="single" w:color="000000" w:sz="4" w:space="0"/>
            </w:tcBorders>
            <w:vAlign w:val="center"/>
          </w:tcPr>
          <w:p w14:paraId="2915E562">
            <w:pPr>
              <w:widowControl/>
              <w:jc w:val="left"/>
              <w:rPr>
                <w:rFonts w:ascii="黑体" w:hAnsi="黑体" w:eastAsia="黑体" w:cs="宋体"/>
                <w:i/>
                <w:iCs/>
                <w:color w:val="000000"/>
                <w:kern w:val="0"/>
                <w:sz w:val="18"/>
                <w:szCs w:val="18"/>
              </w:rPr>
            </w:pPr>
          </w:p>
        </w:tc>
      </w:tr>
      <w:tr w14:paraId="1DF15690">
        <w:tblPrEx>
          <w:tblCellMar>
            <w:top w:w="0" w:type="dxa"/>
            <w:left w:w="108" w:type="dxa"/>
            <w:bottom w:w="0" w:type="dxa"/>
            <w:right w:w="108" w:type="dxa"/>
          </w:tblCellMar>
        </w:tblPrEx>
        <w:trPr>
          <w:trHeight w:val="491" w:hRule="atLeast"/>
        </w:trPr>
        <w:tc>
          <w:tcPr>
            <w:tcW w:w="795" w:type="dxa"/>
            <w:vMerge w:val="continue"/>
            <w:tcBorders>
              <w:top w:val="nil"/>
              <w:left w:val="single" w:color="000000" w:sz="4" w:space="0"/>
              <w:bottom w:val="single" w:color="000000" w:sz="4" w:space="0"/>
              <w:right w:val="single" w:color="000000" w:sz="4" w:space="0"/>
            </w:tcBorders>
            <w:vAlign w:val="center"/>
          </w:tcPr>
          <w:p w14:paraId="79B22F46">
            <w:pPr>
              <w:widowControl/>
              <w:jc w:val="left"/>
              <w:rPr>
                <w:rFonts w:ascii="宋体" w:hAnsi="宋体" w:cs="宋体"/>
                <w:color w:val="000000"/>
                <w:kern w:val="0"/>
                <w:sz w:val="18"/>
                <w:szCs w:val="18"/>
              </w:rPr>
            </w:pPr>
          </w:p>
        </w:tc>
        <w:tc>
          <w:tcPr>
            <w:tcW w:w="796" w:type="dxa"/>
            <w:tcBorders>
              <w:top w:val="nil"/>
              <w:left w:val="nil"/>
              <w:bottom w:val="single" w:color="000000" w:sz="4" w:space="0"/>
              <w:right w:val="single" w:color="000000" w:sz="4" w:space="0"/>
            </w:tcBorders>
            <w:shd w:val="clear" w:color="auto" w:fill="auto"/>
            <w:vAlign w:val="center"/>
          </w:tcPr>
          <w:p w14:paraId="6C2EC748">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098" w:type="dxa"/>
            <w:tcBorders>
              <w:top w:val="nil"/>
              <w:left w:val="nil"/>
              <w:bottom w:val="single" w:color="000000" w:sz="4" w:space="0"/>
              <w:right w:val="single" w:color="000000" w:sz="4" w:space="0"/>
            </w:tcBorders>
            <w:shd w:val="clear" w:color="auto" w:fill="auto"/>
            <w:vAlign w:val="center"/>
          </w:tcPr>
          <w:p w14:paraId="3C3D6A7D">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98" w:type="dxa"/>
            <w:tcBorders>
              <w:top w:val="nil"/>
              <w:left w:val="nil"/>
              <w:bottom w:val="single" w:color="000000" w:sz="4" w:space="0"/>
              <w:right w:val="single" w:color="000000" w:sz="4" w:space="0"/>
            </w:tcBorders>
            <w:shd w:val="clear" w:color="auto" w:fill="auto"/>
            <w:vAlign w:val="center"/>
          </w:tcPr>
          <w:p w14:paraId="38788E9C">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874" w:type="dxa"/>
            <w:gridSpan w:val="3"/>
            <w:tcBorders>
              <w:top w:val="single" w:color="000000" w:sz="4" w:space="0"/>
              <w:left w:val="nil"/>
              <w:bottom w:val="single" w:color="000000" w:sz="4" w:space="0"/>
              <w:right w:val="single" w:color="000000" w:sz="4" w:space="0"/>
            </w:tcBorders>
            <w:shd w:val="clear" w:color="auto" w:fill="auto"/>
            <w:vAlign w:val="center"/>
          </w:tcPr>
          <w:p w14:paraId="6FDAAF69">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28" w:type="dxa"/>
            <w:tcBorders>
              <w:top w:val="nil"/>
              <w:left w:val="nil"/>
              <w:bottom w:val="single" w:color="000000" w:sz="4" w:space="0"/>
              <w:right w:val="single" w:color="000000" w:sz="4" w:space="0"/>
            </w:tcBorders>
            <w:shd w:val="clear" w:color="auto" w:fill="auto"/>
            <w:vAlign w:val="center"/>
          </w:tcPr>
          <w:p w14:paraId="559A6196">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84" w:type="dxa"/>
            <w:tcBorders>
              <w:top w:val="nil"/>
              <w:left w:val="nil"/>
              <w:bottom w:val="single" w:color="000000" w:sz="4" w:space="0"/>
              <w:right w:val="single" w:color="000000" w:sz="4" w:space="0"/>
            </w:tcBorders>
            <w:shd w:val="clear" w:color="auto" w:fill="auto"/>
            <w:vAlign w:val="center"/>
          </w:tcPr>
          <w:p w14:paraId="76DB667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4" w:type="dxa"/>
            <w:tcBorders>
              <w:top w:val="nil"/>
              <w:left w:val="nil"/>
              <w:bottom w:val="single" w:color="000000" w:sz="4" w:space="0"/>
              <w:right w:val="single" w:color="000000" w:sz="4" w:space="0"/>
            </w:tcBorders>
            <w:shd w:val="clear" w:color="auto" w:fill="auto"/>
            <w:vAlign w:val="center"/>
          </w:tcPr>
          <w:p w14:paraId="4900A00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79" w:type="dxa"/>
            <w:vMerge w:val="continue"/>
            <w:tcBorders>
              <w:top w:val="nil"/>
              <w:left w:val="single" w:color="000000" w:sz="4" w:space="0"/>
              <w:bottom w:val="single" w:color="000000" w:sz="4" w:space="0"/>
              <w:right w:val="single" w:color="000000" w:sz="4" w:space="0"/>
            </w:tcBorders>
            <w:vAlign w:val="center"/>
          </w:tcPr>
          <w:p w14:paraId="53CC80B8">
            <w:pPr>
              <w:widowControl/>
              <w:jc w:val="left"/>
              <w:rPr>
                <w:rFonts w:ascii="黑体" w:hAnsi="黑体" w:eastAsia="黑体" w:cs="宋体"/>
                <w:i/>
                <w:iCs/>
                <w:color w:val="000000"/>
                <w:kern w:val="0"/>
                <w:sz w:val="18"/>
                <w:szCs w:val="18"/>
              </w:rPr>
            </w:pPr>
          </w:p>
        </w:tc>
      </w:tr>
      <w:tr w14:paraId="7056A121">
        <w:tblPrEx>
          <w:tblCellMar>
            <w:top w:w="0" w:type="dxa"/>
            <w:left w:w="108" w:type="dxa"/>
            <w:bottom w:w="0" w:type="dxa"/>
            <w:right w:w="108" w:type="dxa"/>
          </w:tblCellMar>
        </w:tblPrEx>
        <w:trPr>
          <w:trHeight w:val="491" w:hRule="atLeast"/>
        </w:trPr>
        <w:tc>
          <w:tcPr>
            <w:tcW w:w="795" w:type="dxa"/>
            <w:vMerge w:val="continue"/>
            <w:tcBorders>
              <w:top w:val="nil"/>
              <w:left w:val="single" w:color="000000" w:sz="4" w:space="0"/>
              <w:bottom w:val="single" w:color="000000" w:sz="4" w:space="0"/>
              <w:right w:val="single" w:color="000000" w:sz="4" w:space="0"/>
            </w:tcBorders>
            <w:vAlign w:val="center"/>
          </w:tcPr>
          <w:p w14:paraId="20970625">
            <w:pPr>
              <w:widowControl/>
              <w:jc w:val="left"/>
              <w:rPr>
                <w:rFonts w:ascii="宋体" w:hAnsi="宋体" w:cs="宋体"/>
                <w:color w:val="000000"/>
                <w:kern w:val="0"/>
                <w:sz w:val="18"/>
                <w:szCs w:val="18"/>
              </w:rPr>
            </w:pPr>
          </w:p>
        </w:tc>
        <w:tc>
          <w:tcPr>
            <w:tcW w:w="796" w:type="dxa"/>
            <w:tcBorders>
              <w:top w:val="nil"/>
              <w:left w:val="nil"/>
              <w:bottom w:val="single" w:color="000000" w:sz="4" w:space="0"/>
              <w:right w:val="single" w:color="000000" w:sz="4" w:space="0"/>
            </w:tcBorders>
            <w:shd w:val="clear" w:color="auto" w:fill="auto"/>
            <w:vAlign w:val="center"/>
          </w:tcPr>
          <w:p w14:paraId="02B95229">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098" w:type="dxa"/>
            <w:tcBorders>
              <w:top w:val="nil"/>
              <w:left w:val="nil"/>
              <w:bottom w:val="single" w:color="000000" w:sz="4" w:space="0"/>
              <w:right w:val="single" w:color="000000" w:sz="4" w:space="0"/>
            </w:tcBorders>
            <w:shd w:val="clear" w:color="auto" w:fill="auto"/>
            <w:vAlign w:val="center"/>
          </w:tcPr>
          <w:p w14:paraId="3CB2C958">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98" w:type="dxa"/>
            <w:tcBorders>
              <w:top w:val="nil"/>
              <w:left w:val="nil"/>
              <w:bottom w:val="single" w:color="000000" w:sz="4" w:space="0"/>
              <w:right w:val="single" w:color="000000" w:sz="4" w:space="0"/>
            </w:tcBorders>
            <w:shd w:val="clear" w:color="auto" w:fill="auto"/>
            <w:vAlign w:val="center"/>
          </w:tcPr>
          <w:p w14:paraId="60E0AA67">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874" w:type="dxa"/>
            <w:gridSpan w:val="3"/>
            <w:tcBorders>
              <w:top w:val="single" w:color="000000" w:sz="4" w:space="0"/>
              <w:left w:val="nil"/>
              <w:bottom w:val="single" w:color="000000" w:sz="4" w:space="0"/>
              <w:right w:val="single" w:color="000000" w:sz="4" w:space="0"/>
            </w:tcBorders>
            <w:shd w:val="clear" w:color="auto" w:fill="auto"/>
            <w:vAlign w:val="center"/>
          </w:tcPr>
          <w:p w14:paraId="63E8B51C">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28" w:type="dxa"/>
            <w:tcBorders>
              <w:top w:val="nil"/>
              <w:left w:val="nil"/>
              <w:bottom w:val="single" w:color="000000" w:sz="4" w:space="0"/>
              <w:right w:val="single" w:color="000000" w:sz="4" w:space="0"/>
            </w:tcBorders>
            <w:shd w:val="clear" w:color="auto" w:fill="auto"/>
            <w:vAlign w:val="center"/>
          </w:tcPr>
          <w:p w14:paraId="6B57FD0E">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84" w:type="dxa"/>
            <w:tcBorders>
              <w:top w:val="nil"/>
              <w:left w:val="nil"/>
              <w:bottom w:val="single" w:color="000000" w:sz="4" w:space="0"/>
              <w:right w:val="single" w:color="000000" w:sz="4" w:space="0"/>
            </w:tcBorders>
            <w:shd w:val="clear" w:color="auto" w:fill="auto"/>
            <w:vAlign w:val="center"/>
          </w:tcPr>
          <w:p w14:paraId="71A2316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4" w:type="dxa"/>
            <w:tcBorders>
              <w:top w:val="nil"/>
              <w:left w:val="nil"/>
              <w:bottom w:val="single" w:color="000000" w:sz="4" w:space="0"/>
              <w:right w:val="single" w:color="000000" w:sz="4" w:space="0"/>
            </w:tcBorders>
            <w:shd w:val="clear" w:color="auto" w:fill="auto"/>
            <w:vAlign w:val="center"/>
          </w:tcPr>
          <w:p w14:paraId="53B7E02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79" w:type="dxa"/>
            <w:vMerge w:val="continue"/>
            <w:tcBorders>
              <w:top w:val="nil"/>
              <w:left w:val="single" w:color="000000" w:sz="4" w:space="0"/>
              <w:bottom w:val="single" w:color="000000" w:sz="4" w:space="0"/>
              <w:right w:val="single" w:color="000000" w:sz="4" w:space="0"/>
            </w:tcBorders>
            <w:vAlign w:val="center"/>
          </w:tcPr>
          <w:p w14:paraId="58BB0EB3">
            <w:pPr>
              <w:widowControl/>
              <w:jc w:val="left"/>
              <w:rPr>
                <w:rFonts w:ascii="黑体" w:hAnsi="黑体" w:eastAsia="黑体" w:cs="宋体"/>
                <w:i/>
                <w:iCs/>
                <w:color w:val="000000"/>
                <w:kern w:val="0"/>
                <w:sz w:val="18"/>
                <w:szCs w:val="18"/>
              </w:rPr>
            </w:pPr>
          </w:p>
        </w:tc>
      </w:tr>
      <w:tr w14:paraId="5F0E835A">
        <w:tblPrEx>
          <w:tblCellMar>
            <w:top w:w="0" w:type="dxa"/>
            <w:left w:w="108" w:type="dxa"/>
            <w:bottom w:w="0" w:type="dxa"/>
            <w:right w:w="108" w:type="dxa"/>
          </w:tblCellMar>
        </w:tblPrEx>
        <w:trPr>
          <w:trHeight w:val="459" w:hRule="atLeast"/>
        </w:trPr>
        <w:tc>
          <w:tcPr>
            <w:tcW w:w="795" w:type="dxa"/>
            <w:vMerge w:val="restart"/>
            <w:tcBorders>
              <w:top w:val="nil"/>
              <w:left w:val="single" w:color="000000" w:sz="4" w:space="0"/>
              <w:bottom w:val="single" w:color="000000" w:sz="4" w:space="0"/>
              <w:right w:val="single" w:color="000000" w:sz="4" w:space="0"/>
            </w:tcBorders>
            <w:shd w:val="clear" w:color="auto" w:fill="auto"/>
            <w:vAlign w:val="center"/>
          </w:tcPr>
          <w:p w14:paraId="52612890">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796" w:type="dxa"/>
            <w:tcBorders>
              <w:top w:val="nil"/>
              <w:left w:val="nil"/>
              <w:bottom w:val="single" w:color="000000" w:sz="4" w:space="0"/>
              <w:right w:val="single" w:color="000000" w:sz="4" w:space="0"/>
            </w:tcBorders>
            <w:shd w:val="clear" w:color="auto" w:fill="auto"/>
            <w:vAlign w:val="center"/>
          </w:tcPr>
          <w:p w14:paraId="078938F0">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098" w:type="dxa"/>
            <w:tcBorders>
              <w:top w:val="nil"/>
              <w:left w:val="nil"/>
              <w:bottom w:val="single" w:color="000000" w:sz="4" w:space="0"/>
              <w:right w:val="single" w:color="000000" w:sz="4" w:space="0"/>
            </w:tcBorders>
            <w:shd w:val="clear" w:color="auto" w:fill="auto"/>
            <w:vAlign w:val="center"/>
          </w:tcPr>
          <w:p w14:paraId="5ACE1DF8">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1098" w:type="dxa"/>
            <w:tcBorders>
              <w:top w:val="nil"/>
              <w:left w:val="nil"/>
              <w:bottom w:val="single" w:color="000000" w:sz="4" w:space="0"/>
              <w:right w:val="single" w:color="000000" w:sz="4" w:space="0"/>
            </w:tcBorders>
            <w:shd w:val="clear" w:color="auto" w:fill="auto"/>
            <w:vAlign w:val="center"/>
          </w:tcPr>
          <w:p w14:paraId="025EC2EC">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26" w:type="dxa"/>
            <w:tcBorders>
              <w:top w:val="nil"/>
              <w:left w:val="nil"/>
              <w:bottom w:val="single" w:color="000000" w:sz="4" w:space="0"/>
              <w:right w:val="single" w:color="000000" w:sz="4" w:space="0"/>
            </w:tcBorders>
            <w:shd w:val="clear" w:color="auto" w:fill="auto"/>
            <w:vAlign w:val="center"/>
          </w:tcPr>
          <w:p w14:paraId="007BDF3A">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624" w:type="dxa"/>
            <w:tcBorders>
              <w:top w:val="nil"/>
              <w:left w:val="nil"/>
              <w:bottom w:val="single" w:color="000000" w:sz="4" w:space="0"/>
              <w:right w:val="single" w:color="000000" w:sz="4" w:space="0"/>
            </w:tcBorders>
            <w:shd w:val="clear" w:color="auto" w:fill="auto"/>
            <w:vAlign w:val="center"/>
          </w:tcPr>
          <w:p w14:paraId="465143B8">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624" w:type="dxa"/>
            <w:tcBorders>
              <w:top w:val="nil"/>
              <w:left w:val="nil"/>
              <w:bottom w:val="single" w:color="000000" w:sz="4" w:space="0"/>
              <w:right w:val="single" w:color="000000" w:sz="4" w:space="0"/>
            </w:tcBorders>
            <w:shd w:val="clear" w:color="auto" w:fill="auto"/>
            <w:vAlign w:val="center"/>
          </w:tcPr>
          <w:p w14:paraId="78BD417E">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028" w:type="dxa"/>
            <w:tcBorders>
              <w:top w:val="nil"/>
              <w:left w:val="nil"/>
              <w:bottom w:val="single" w:color="000000" w:sz="4" w:space="0"/>
              <w:right w:val="single" w:color="000000" w:sz="4" w:space="0"/>
            </w:tcBorders>
            <w:shd w:val="clear" w:color="auto" w:fill="auto"/>
            <w:vAlign w:val="center"/>
          </w:tcPr>
          <w:p w14:paraId="1478BA4A">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884" w:type="dxa"/>
            <w:tcBorders>
              <w:top w:val="nil"/>
              <w:left w:val="nil"/>
              <w:bottom w:val="single" w:color="000000" w:sz="4" w:space="0"/>
              <w:right w:val="single" w:color="000000" w:sz="4" w:space="0"/>
            </w:tcBorders>
            <w:shd w:val="clear" w:color="auto" w:fill="auto"/>
            <w:vAlign w:val="center"/>
          </w:tcPr>
          <w:p w14:paraId="286DFE3F">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84" w:type="dxa"/>
            <w:tcBorders>
              <w:top w:val="nil"/>
              <w:left w:val="nil"/>
              <w:bottom w:val="single" w:color="000000" w:sz="4" w:space="0"/>
              <w:right w:val="single" w:color="000000" w:sz="4" w:space="0"/>
            </w:tcBorders>
            <w:shd w:val="clear" w:color="auto" w:fill="auto"/>
            <w:vAlign w:val="center"/>
          </w:tcPr>
          <w:p w14:paraId="21E44F0D">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79" w:type="dxa"/>
            <w:tcBorders>
              <w:top w:val="nil"/>
              <w:left w:val="nil"/>
              <w:bottom w:val="single" w:color="000000" w:sz="4" w:space="0"/>
              <w:right w:val="single" w:color="000000" w:sz="4" w:space="0"/>
            </w:tcBorders>
            <w:shd w:val="clear" w:color="auto" w:fill="auto"/>
            <w:vAlign w:val="center"/>
          </w:tcPr>
          <w:p w14:paraId="6AF24B94">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14:paraId="0BF0B05A">
        <w:tblPrEx>
          <w:tblCellMar>
            <w:top w:w="0" w:type="dxa"/>
            <w:left w:w="108" w:type="dxa"/>
            <w:bottom w:w="0" w:type="dxa"/>
            <w:right w:w="108" w:type="dxa"/>
          </w:tblCellMar>
        </w:tblPrEx>
        <w:trPr>
          <w:trHeight w:val="275" w:hRule="atLeast"/>
        </w:trPr>
        <w:tc>
          <w:tcPr>
            <w:tcW w:w="795" w:type="dxa"/>
            <w:vMerge w:val="continue"/>
            <w:tcBorders>
              <w:top w:val="nil"/>
              <w:left w:val="single" w:color="000000" w:sz="4" w:space="0"/>
              <w:bottom w:val="single" w:color="000000" w:sz="4" w:space="0"/>
              <w:right w:val="single" w:color="000000" w:sz="4" w:space="0"/>
            </w:tcBorders>
            <w:vAlign w:val="center"/>
          </w:tcPr>
          <w:p w14:paraId="575E8B99">
            <w:pPr>
              <w:widowControl/>
              <w:jc w:val="left"/>
              <w:rPr>
                <w:rFonts w:ascii="宋体" w:hAnsi="宋体" w:cs="宋体"/>
                <w:color w:val="000000"/>
                <w:kern w:val="0"/>
                <w:sz w:val="18"/>
                <w:szCs w:val="18"/>
              </w:rPr>
            </w:pPr>
          </w:p>
        </w:tc>
        <w:tc>
          <w:tcPr>
            <w:tcW w:w="796" w:type="dxa"/>
            <w:tcBorders>
              <w:top w:val="nil"/>
              <w:left w:val="nil"/>
              <w:bottom w:val="single" w:color="000000" w:sz="4" w:space="0"/>
              <w:right w:val="single" w:color="000000" w:sz="4" w:space="0"/>
            </w:tcBorders>
            <w:shd w:val="clear" w:color="auto" w:fill="auto"/>
            <w:vAlign w:val="center"/>
          </w:tcPr>
          <w:p w14:paraId="553A332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098" w:type="dxa"/>
            <w:tcBorders>
              <w:top w:val="nil"/>
              <w:left w:val="nil"/>
              <w:bottom w:val="single" w:color="000000" w:sz="4" w:space="0"/>
              <w:right w:val="single" w:color="000000" w:sz="4" w:space="0"/>
            </w:tcBorders>
            <w:shd w:val="clear" w:color="auto" w:fill="auto"/>
            <w:vAlign w:val="center"/>
          </w:tcPr>
          <w:p w14:paraId="0F87D42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098" w:type="dxa"/>
            <w:tcBorders>
              <w:top w:val="nil"/>
              <w:left w:val="nil"/>
              <w:bottom w:val="single" w:color="000000" w:sz="4" w:space="0"/>
              <w:right w:val="single" w:color="000000" w:sz="4" w:space="0"/>
            </w:tcBorders>
            <w:shd w:val="clear" w:color="auto" w:fill="auto"/>
            <w:vAlign w:val="center"/>
          </w:tcPr>
          <w:p w14:paraId="2AC01F9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26" w:type="dxa"/>
            <w:tcBorders>
              <w:top w:val="nil"/>
              <w:left w:val="nil"/>
              <w:bottom w:val="single" w:color="000000" w:sz="4" w:space="0"/>
              <w:right w:val="single" w:color="000000" w:sz="4" w:space="0"/>
            </w:tcBorders>
            <w:shd w:val="clear" w:color="auto" w:fill="auto"/>
            <w:vAlign w:val="center"/>
          </w:tcPr>
          <w:p w14:paraId="5327FDF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24" w:type="dxa"/>
            <w:tcBorders>
              <w:top w:val="nil"/>
              <w:left w:val="nil"/>
              <w:bottom w:val="single" w:color="000000" w:sz="4" w:space="0"/>
              <w:right w:val="single" w:color="000000" w:sz="4" w:space="0"/>
            </w:tcBorders>
            <w:shd w:val="clear" w:color="auto" w:fill="auto"/>
            <w:vAlign w:val="center"/>
          </w:tcPr>
          <w:p w14:paraId="68E96FE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24" w:type="dxa"/>
            <w:tcBorders>
              <w:top w:val="nil"/>
              <w:left w:val="nil"/>
              <w:bottom w:val="single" w:color="000000" w:sz="4" w:space="0"/>
              <w:right w:val="single" w:color="000000" w:sz="4" w:space="0"/>
            </w:tcBorders>
            <w:shd w:val="clear" w:color="auto" w:fill="auto"/>
            <w:vAlign w:val="center"/>
          </w:tcPr>
          <w:p w14:paraId="522979E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028" w:type="dxa"/>
            <w:tcBorders>
              <w:top w:val="nil"/>
              <w:left w:val="nil"/>
              <w:bottom w:val="single" w:color="000000" w:sz="4" w:space="0"/>
              <w:right w:val="single" w:color="000000" w:sz="4" w:space="0"/>
            </w:tcBorders>
            <w:shd w:val="clear" w:color="auto" w:fill="auto"/>
            <w:vAlign w:val="center"/>
          </w:tcPr>
          <w:p w14:paraId="418FA814">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84" w:type="dxa"/>
            <w:tcBorders>
              <w:top w:val="nil"/>
              <w:left w:val="nil"/>
              <w:bottom w:val="single" w:color="000000" w:sz="4" w:space="0"/>
              <w:right w:val="single" w:color="000000" w:sz="4" w:space="0"/>
            </w:tcBorders>
            <w:shd w:val="clear" w:color="auto" w:fill="auto"/>
            <w:vAlign w:val="center"/>
          </w:tcPr>
          <w:p w14:paraId="0B3665B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84" w:type="dxa"/>
            <w:tcBorders>
              <w:top w:val="nil"/>
              <w:left w:val="nil"/>
              <w:bottom w:val="single" w:color="000000" w:sz="4" w:space="0"/>
              <w:right w:val="single" w:color="000000" w:sz="4" w:space="0"/>
            </w:tcBorders>
            <w:shd w:val="clear" w:color="auto" w:fill="auto"/>
            <w:vAlign w:val="center"/>
          </w:tcPr>
          <w:p w14:paraId="41D82EE1">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79" w:type="dxa"/>
            <w:tcBorders>
              <w:top w:val="nil"/>
              <w:left w:val="nil"/>
              <w:bottom w:val="single" w:color="000000" w:sz="4" w:space="0"/>
              <w:right w:val="single" w:color="000000" w:sz="4" w:space="0"/>
            </w:tcBorders>
            <w:shd w:val="clear" w:color="auto" w:fill="auto"/>
            <w:vAlign w:val="center"/>
          </w:tcPr>
          <w:p w14:paraId="71B63AAF">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5112C623">
        <w:tblPrEx>
          <w:tblCellMar>
            <w:top w:w="0" w:type="dxa"/>
            <w:left w:w="108" w:type="dxa"/>
            <w:bottom w:w="0" w:type="dxa"/>
            <w:right w:w="108" w:type="dxa"/>
          </w:tblCellMar>
        </w:tblPrEx>
        <w:trPr>
          <w:trHeight w:val="491" w:hRule="atLeast"/>
        </w:trPr>
        <w:tc>
          <w:tcPr>
            <w:tcW w:w="669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9B34F6C">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884" w:type="dxa"/>
            <w:tcBorders>
              <w:top w:val="nil"/>
              <w:left w:val="nil"/>
              <w:bottom w:val="single" w:color="000000" w:sz="4" w:space="0"/>
              <w:right w:val="single" w:color="000000" w:sz="4" w:space="0"/>
            </w:tcBorders>
            <w:shd w:val="clear" w:color="auto" w:fill="auto"/>
            <w:vAlign w:val="center"/>
          </w:tcPr>
          <w:p w14:paraId="724E6510">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84" w:type="dxa"/>
            <w:tcBorders>
              <w:top w:val="nil"/>
              <w:left w:val="nil"/>
              <w:bottom w:val="single" w:color="000000" w:sz="4" w:space="0"/>
              <w:right w:val="single" w:color="000000" w:sz="4" w:space="0"/>
            </w:tcBorders>
            <w:shd w:val="clear" w:color="auto" w:fill="auto"/>
            <w:vAlign w:val="center"/>
          </w:tcPr>
          <w:p w14:paraId="02E74A65">
            <w:pPr>
              <w:widowControl/>
              <w:jc w:val="right"/>
              <w:rPr>
                <w:rFonts w:ascii="宋体" w:hAnsi="宋体" w:cs="宋体"/>
                <w:color w:val="000000"/>
                <w:kern w:val="0"/>
                <w:sz w:val="18"/>
                <w:szCs w:val="18"/>
              </w:rPr>
            </w:pPr>
            <w:r>
              <w:rPr>
                <w:rFonts w:hint="eastAsia" w:ascii="宋体" w:hAnsi="宋体" w:cs="宋体"/>
                <w:color w:val="000000"/>
                <w:kern w:val="0"/>
                <w:sz w:val="18"/>
                <w:szCs w:val="18"/>
              </w:rPr>
              <w:t>100</w:t>
            </w:r>
          </w:p>
        </w:tc>
        <w:tc>
          <w:tcPr>
            <w:tcW w:w="879" w:type="dxa"/>
            <w:tcBorders>
              <w:top w:val="nil"/>
              <w:left w:val="nil"/>
              <w:bottom w:val="single" w:color="000000" w:sz="4" w:space="0"/>
              <w:right w:val="single" w:color="000000" w:sz="4" w:space="0"/>
            </w:tcBorders>
            <w:shd w:val="clear" w:color="auto" w:fill="auto"/>
            <w:vAlign w:val="center"/>
          </w:tcPr>
          <w:p w14:paraId="2515E910">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14:paraId="3387C6FF">
        <w:tblPrEx>
          <w:tblCellMar>
            <w:top w:w="0" w:type="dxa"/>
            <w:left w:w="108" w:type="dxa"/>
            <w:bottom w:w="0" w:type="dxa"/>
            <w:right w:w="108" w:type="dxa"/>
          </w:tblCellMar>
        </w:tblPrEx>
        <w:trPr>
          <w:trHeight w:val="491" w:hRule="atLeast"/>
        </w:trPr>
        <w:tc>
          <w:tcPr>
            <w:tcW w:w="795" w:type="dxa"/>
            <w:tcBorders>
              <w:top w:val="nil"/>
              <w:left w:val="single" w:color="000000" w:sz="4" w:space="0"/>
              <w:bottom w:val="single" w:color="000000" w:sz="4" w:space="0"/>
              <w:right w:val="single" w:color="000000" w:sz="4" w:space="0"/>
            </w:tcBorders>
            <w:shd w:val="clear" w:color="auto" w:fill="auto"/>
            <w:vAlign w:val="center"/>
          </w:tcPr>
          <w:p w14:paraId="3A145C9F">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8544" w:type="dxa"/>
            <w:gridSpan w:val="10"/>
            <w:tcBorders>
              <w:top w:val="single" w:color="000000" w:sz="4" w:space="0"/>
              <w:left w:val="nil"/>
              <w:bottom w:val="single" w:color="000000" w:sz="4" w:space="0"/>
              <w:right w:val="single" w:color="000000" w:sz="4" w:space="0"/>
            </w:tcBorders>
            <w:shd w:val="clear" w:color="auto" w:fill="auto"/>
            <w:vAlign w:val="center"/>
          </w:tcPr>
          <w:p w14:paraId="5F22427A">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项目自评总分100分，严格按照有关项目管理和经费管理规定执行。各项预算支出顺利进行，并按计划圆满完成。</w:t>
            </w:r>
          </w:p>
        </w:tc>
      </w:tr>
      <w:tr w14:paraId="683D2C35">
        <w:tblPrEx>
          <w:tblCellMar>
            <w:top w:w="0" w:type="dxa"/>
            <w:left w:w="108" w:type="dxa"/>
            <w:bottom w:w="0" w:type="dxa"/>
            <w:right w:w="108" w:type="dxa"/>
          </w:tblCellMar>
        </w:tblPrEx>
        <w:trPr>
          <w:trHeight w:val="491" w:hRule="atLeast"/>
        </w:trPr>
        <w:tc>
          <w:tcPr>
            <w:tcW w:w="795" w:type="dxa"/>
            <w:tcBorders>
              <w:top w:val="nil"/>
              <w:left w:val="single" w:color="000000" w:sz="4" w:space="0"/>
              <w:bottom w:val="single" w:color="000000" w:sz="4" w:space="0"/>
              <w:right w:val="single" w:color="000000" w:sz="4" w:space="0"/>
            </w:tcBorders>
            <w:shd w:val="clear" w:color="auto" w:fill="auto"/>
            <w:vAlign w:val="center"/>
          </w:tcPr>
          <w:p w14:paraId="55923330">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8544" w:type="dxa"/>
            <w:gridSpan w:val="10"/>
            <w:tcBorders>
              <w:top w:val="single" w:color="000000" w:sz="4" w:space="0"/>
              <w:left w:val="nil"/>
              <w:bottom w:val="single" w:color="000000" w:sz="4" w:space="0"/>
              <w:right w:val="single" w:color="000000" w:sz="4" w:space="0"/>
            </w:tcBorders>
            <w:shd w:val="clear" w:color="auto" w:fill="auto"/>
            <w:vAlign w:val="center"/>
          </w:tcPr>
          <w:p w14:paraId="6896AD74">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7C4F965D">
        <w:tblPrEx>
          <w:tblCellMar>
            <w:top w:w="0" w:type="dxa"/>
            <w:left w:w="108" w:type="dxa"/>
            <w:bottom w:w="0" w:type="dxa"/>
            <w:right w:w="108" w:type="dxa"/>
          </w:tblCellMar>
        </w:tblPrEx>
        <w:trPr>
          <w:trHeight w:val="491" w:hRule="atLeast"/>
        </w:trPr>
        <w:tc>
          <w:tcPr>
            <w:tcW w:w="795" w:type="dxa"/>
            <w:tcBorders>
              <w:top w:val="nil"/>
              <w:left w:val="single" w:color="000000" w:sz="4" w:space="0"/>
              <w:bottom w:val="single" w:color="000000" w:sz="4" w:space="0"/>
              <w:right w:val="single" w:color="000000" w:sz="4" w:space="0"/>
            </w:tcBorders>
            <w:shd w:val="clear" w:color="auto" w:fill="auto"/>
            <w:vAlign w:val="center"/>
          </w:tcPr>
          <w:p w14:paraId="399C2CC7">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8544" w:type="dxa"/>
            <w:gridSpan w:val="10"/>
            <w:tcBorders>
              <w:top w:val="single" w:color="000000" w:sz="4" w:space="0"/>
              <w:left w:val="nil"/>
              <w:bottom w:val="single" w:color="000000" w:sz="4" w:space="0"/>
              <w:right w:val="single" w:color="000000" w:sz="4" w:space="0"/>
            </w:tcBorders>
            <w:shd w:val="clear" w:color="auto" w:fill="auto"/>
            <w:vAlign w:val="center"/>
          </w:tcPr>
          <w:p w14:paraId="0FB4A4BF">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73AA43C9">
        <w:tblPrEx>
          <w:tblCellMar>
            <w:top w:w="0" w:type="dxa"/>
            <w:left w:w="108" w:type="dxa"/>
            <w:bottom w:w="0" w:type="dxa"/>
            <w:right w:w="108" w:type="dxa"/>
          </w:tblCellMar>
        </w:tblPrEx>
        <w:trPr>
          <w:trHeight w:val="491" w:hRule="atLeast"/>
        </w:trPr>
        <w:tc>
          <w:tcPr>
            <w:tcW w:w="441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D5F4A0">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项目</w:t>
            </w:r>
            <w:r>
              <w:rPr>
                <w:rFonts w:hint="eastAsia" w:ascii="微软雅黑" w:hAnsi="微软雅黑" w:eastAsia="微软雅黑" w:cs="微软雅黑"/>
                <w:color w:val="000000"/>
                <w:kern w:val="0"/>
                <w:sz w:val="18"/>
                <w:szCs w:val="18"/>
              </w:rPr>
              <w:t>负</w:t>
            </w:r>
            <w:r>
              <w:rPr>
                <w:rFonts w:hint="eastAsia" w:ascii="___WRD_EMBED_SUB_17" w:hAnsi="___WRD_EMBED_SUB_17" w:eastAsia="___WRD_EMBED_SUB_17" w:cs="___WRD_EMBED_SUB_17"/>
                <w:color w:val="000000"/>
                <w:kern w:val="0"/>
                <w:sz w:val="18"/>
                <w:szCs w:val="18"/>
              </w:rPr>
              <w:t>责</w:t>
            </w:r>
            <w:r>
              <w:rPr>
                <w:rFonts w:hint="eastAsia" w:ascii="微软雅黑" w:hAnsi="微软雅黑" w:eastAsia="微软雅黑" w:cs="微软雅黑"/>
                <w:color w:val="000000"/>
                <w:kern w:val="0"/>
                <w:sz w:val="18"/>
                <w:szCs w:val="18"/>
              </w:rPr>
              <w:t>人：毛佳龙</w:t>
            </w:r>
          </w:p>
        </w:tc>
        <w:tc>
          <w:tcPr>
            <w:tcW w:w="4924" w:type="dxa"/>
            <w:gridSpan w:val="6"/>
            <w:tcBorders>
              <w:top w:val="single" w:color="000000" w:sz="4" w:space="0"/>
              <w:left w:val="nil"/>
              <w:bottom w:val="single" w:color="000000" w:sz="4" w:space="0"/>
              <w:right w:val="single" w:color="000000" w:sz="4" w:space="0"/>
            </w:tcBorders>
            <w:shd w:val="clear" w:color="auto" w:fill="auto"/>
            <w:vAlign w:val="center"/>
          </w:tcPr>
          <w:p w14:paraId="42601C5A">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财</w:t>
            </w:r>
            <w:r>
              <w:rPr>
                <w:rFonts w:hint="eastAsia" w:ascii="微软雅黑" w:hAnsi="微软雅黑" w:eastAsia="微软雅黑" w:cs="微软雅黑"/>
                <w:color w:val="000000"/>
                <w:kern w:val="0"/>
                <w:sz w:val="18"/>
                <w:szCs w:val="18"/>
              </w:rPr>
              <w:t>务负</w:t>
            </w:r>
            <w:r>
              <w:rPr>
                <w:rFonts w:hint="eastAsia" w:ascii="___WRD_EMBED_SUB_17" w:hAnsi="___WRD_EMBED_SUB_17" w:eastAsia="___WRD_EMBED_SUB_17" w:cs="___WRD_EMBED_SUB_17"/>
                <w:color w:val="000000"/>
                <w:kern w:val="0"/>
                <w:sz w:val="18"/>
                <w:szCs w:val="18"/>
              </w:rPr>
              <w:t>责</w:t>
            </w:r>
            <w:r>
              <w:rPr>
                <w:rFonts w:hint="eastAsia" w:ascii="微软雅黑" w:hAnsi="微软雅黑" w:eastAsia="微软雅黑" w:cs="微软雅黑"/>
                <w:color w:val="000000"/>
                <w:kern w:val="0"/>
                <w:sz w:val="18"/>
                <w:szCs w:val="18"/>
              </w:rPr>
              <w:t>人：漆明强</w:t>
            </w:r>
          </w:p>
        </w:tc>
      </w:tr>
    </w:tbl>
    <w:p w14:paraId="03A5EF75">
      <w:pPr>
        <w:pStyle w:val="2"/>
        <w:spacing w:before="93"/>
        <w:rPr>
          <w:rFonts w:hAnsi="Calibri" w:cs="仿宋"/>
          <w:sz w:val="32"/>
          <w:szCs w:val="32"/>
        </w:rPr>
      </w:pPr>
    </w:p>
    <w:p w14:paraId="711E6D7F">
      <w:pPr>
        <w:pStyle w:val="2"/>
        <w:spacing w:before="93"/>
        <w:rPr>
          <w:rFonts w:ascii="宋体" w:hAnsi="宋体" w:eastAsia="宋体" w:cs="宋体"/>
          <w:b/>
          <w:bCs/>
          <w:sz w:val="32"/>
          <w:szCs w:val="32"/>
        </w:rPr>
      </w:pPr>
      <w:r>
        <w:rPr>
          <w:rFonts w:hint="eastAsia" w:hAnsi="Calibri" w:cs="仿宋"/>
          <w:b/>
          <w:bCs/>
          <w:sz w:val="32"/>
          <w:szCs w:val="32"/>
        </w:rPr>
        <w:t>附</w:t>
      </w:r>
      <w:r>
        <w:rPr>
          <w:rFonts w:hint="eastAsia" w:ascii="宋体" w:hAnsi="宋体" w:eastAsia="宋体" w:cs="宋体"/>
          <w:b/>
          <w:bCs/>
          <w:sz w:val="32"/>
          <w:szCs w:val="32"/>
        </w:rPr>
        <w:t>件</w:t>
      </w:r>
      <w:r>
        <w:rPr>
          <w:rFonts w:ascii="宋体" w:hAnsi="宋体" w:eastAsia="宋体" w:cs="宋体"/>
          <w:b/>
          <w:bCs/>
          <w:sz w:val="32"/>
          <w:szCs w:val="32"/>
        </w:rPr>
        <w:t>3-3</w:t>
      </w:r>
    </w:p>
    <w:tbl>
      <w:tblPr>
        <w:tblStyle w:val="14"/>
        <w:tblW w:w="9339" w:type="dxa"/>
        <w:tblInd w:w="113" w:type="dxa"/>
        <w:tblLayout w:type="autofit"/>
        <w:tblCellMar>
          <w:top w:w="0" w:type="dxa"/>
          <w:left w:w="108" w:type="dxa"/>
          <w:bottom w:w="0" w:type="dxa"/>
          <w:right w:w="108" w:type="dxa"/>
        </w:tblCellMar>
      </w:tblPr>
      <w:tblGrid>
        <w:gridCol w:w="778"/>
        <w:gridCol w:w="779"/>
        <w:gridCol w:w="1058"/>
        <w:gridCol w:w="1058"/>
        <w:gridCol w:w="605"/>
        <w:gridCol w:w="620"/>
        <w:gridCol w:w="918"/>
        <w:gridCol w:w="1028"/>
        <w:gridCol w:w="841"/>
        <w:gridCol w:w="821"/>
        <w:gridCol w:w="821"/>
        <w:gridCol w:w="12"/>
      </w:tblGrid>
      <w:tr w14:paraId="72ECF75F">
        <w:tblPrEx>
          <w:tblCellMar>
            <w:top w:w="0" w:type="dxa"/>
            <w:left w:w="108" w:type="dxa"/>
            <w:bottom w:w="0" w:type="dxa"/>
            <w:right w:w="108" w:type="dxa"/>
          </w:tblCellMar>
        </w:tblPrEx>
        <w:trPr>
          <w:trHeight w:val="659" w:hRule="atLeast"/>
        </w:trPr>
        <w:tc>
          <w:tcPr>
            <w:tcW w:w="9339"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149265C">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w:t>
            </w:r>
            <w:r>
              <w:rPr>
                <w:rFonts w:hint="eastAsia" w:ascii="微软雅黑" w:hAnsi="微软雅黑" w:eastAsia="微软雅黑" w:cs="微软雅黑"/>
                <w:b/>
                <w:bCs/>
                <w:color w:val="000000"/>
                <w:kern w:val="0"/>
                <w:sz w:val="30"/>
                <w:szCs w:val="30"/>
              </w:rPr>
              <w:t>门</w:t>
            </w:r>
            <w:r>
              <w:rPr>
                <w:rFonts w:hint="eastAsia" w:ascii="___WRD_EMBED_SUB_17" w:hAnsi="___WRD_EMBED_SUB_17" w:eastAsia="___WRD_EMBED_SUB_17" w:cs="___WRD_EMBED_SUB_17"/>
                <w:b/>
                <w:bCs/>
                <w:color w:val="000000"/>
                <w:kern w:val="0"/>
                <w:sz w:val="30"/>
                <w:szCs w:val="30"/>
              </w:rPr>
              <w:t>预算项目支出</w:t>
            </w:r>
            <w:r>
              <w:rPr>
                <w:rFonts w:hint="eastAsia" w:ascii="微软雅黑" w:hAnsi="微软雅黑" w:eastAsia="微软雅黑" w:cs="微软雅黑"/>
                <w:b/>
                <w:bCs/>
                <w:color w:val="000000"/>
                <w:kern w:val="0"/>
                <w:sz w:val="30"/>
                <w:szCs w:val="30"/>
              </w:rPr>
              <w:t>绩效自评</w:t>
            </w:r>
            <w:r>
              <w:rPr>
                <w:rFonts w:hint="eastAsia" w:ascii="___WRD_EMBED_SUB_17" w:hAnsi="___WRD_EMBED_SUB_17" w:eastAsia="___WRD_EMBED_SUB_17" w:cs="___WRD_EMBED_SUB_17"/>
                <w:b/>
                <w:bCs/>
                <w:color w:val="000000"/>
                <w:kern w:val="0"/>
                <w:sz w:val="30"/>
                <w:szCs w:val="30"/>
              </w:rPr>
              <w:t>表</w:t>
            </w:r>
            <w:r>
              <w:rPr>
                <w:rFonts w:hint="eastAsia" w:ascii="微软雅黑" w:hAnsi="微软雅黑" w:eastAsia="微软雅黑" w:cs="微软雅黑"/>
                <w:b/>
                <w:bCs/>
                <w:color w:val="000000"/>
                <w:kern w:val="0"/>
                <w:sz w:val="30"/>
                <w:szCs w:val="30"/>
              </w:rPr>
              <w:t>（</w:t>
            </w:r>
            <w:r>
              <w:rPr>
                <w:rFonts w:hint="eastAsia" w:ascii="黑体" w:hAnsi="黑体" w:eastAsia="黑体" w:cs="宋体"/>
                <w:b/>
                <w:bCs/>
                <w:color w:val="000000"/>
                <w:kern w:val="0"/>
                <w:sz w:val="30"/>
                <w:szCs w:val="30"/>
              </w:rPr>
              <w:t>2022年度</w:t>
            </w:r>
            <w:r>
              <w:rPr>
                <w:rFonts w:hint="eastAsia" w:ascii="微软雅黑" w:hAnsi="微软雅黑" w:eastAsia="微软雅黑" w:cs="微软雅黑"/>
                <w:b/>
                <w:bCs/>
                <w:color w:val="000000"/>
                <w:kern w:val="0"/>
                <w:sz w:val="30"/>
                <w:szCs w:val="30"/>
              </w:rPr>
              <w:t>）</w:t>
            </w:r>
          </w:p>
        </w:tc>
      </w:tr>
      <w:tr w14:paraId="1D848447">
        <w:tblPrEx>
          <w:tblCellMar>
            <w:top w:w="0" w:type="dxa"/>
            <w:left w:w="108" w:type="dxa"/>
            <w:bottom w:w="0" w:type="dxa"/>
            <w:right w:w="108" w:type="dxa"/>
          </w:tblCellMar>
        </w:tblPrEx>
        <w:trPr>
          <w:trHeight w:val="449" w:hRule="atLeast"/>
        </w:trPr>
        <w:tc>
          <w:tcPr>
            <w:tcW w:w="15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9EAA85">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7782" w:type="dxa"/>
            <w:gridSpan w:val="10"/>
            <w:tcBorders>
              <w:top w:val="single" w:color="000000" w:sz="4" w:space="0"/>
              <w:left w:val="nil"/>
              <w:bottom w:val="single" w:color="000000" w:sz="4" w:space="0"/>
              <w:right w:val="single" w:color="000000" w:sz="4" w:space="0"/>
            </w:tcBorders>
            <w:shd w:val="clear" w:color="auto" w:fill="auto"/>
            <w:vAlign w:val="center"/>
          </w:tcPr>
          <w:p w14:paraId="354C5052">
            <w:pPr>
              <w:widowControl/>
              <w:jc w:val="left"/>
              <w:rPr>
                <w:rFonts w:ascii="宋体" w:hAnsi="宋体" w:cs="宋体"/>
                <w:color w:val="000000"/>
                <w:kern w:val="0"/>
                <w:sz w:val="18"/>
                <w:szCs w:val="18"/>
              </w:rPr>
            </w:pPr>
            <w:r>
              <w:rPr>
                <w:rFonts w:hint="eastAsia" w:ascii="宋体" w:hAnsi="宋体" w:cs="宋体"/>
                <w:color w:val="000000"/>
                <w:kern w:val="0"/>
                <w:sz w:val="18"/>
                <w:szCs w:val="18"/>
              </w:rPr>
              <w:t>51118122T000000402062-自行式炊事餐车购置</w:t>
            </w:r>
          </w:p>
        </w:tc>
      </w:tr>
      <w:tr w14:paraId="1247141F">
        <w:tblPrEx>
          <w:tblCellMar>
            <w:top w:w="0" w:type="dxa"/>
            <w:left w:w="108" w:type="dxa"/>
            <w:bottom w:w="0" w:type="dxa"/>
            <w:right w:w="108" w:type="dxa"/>
          </w:tblCellMar>
        </w:tblPrEx>
        <w:trPr>
          <w:trHeight w:val="584" w:hRule="atLeast"/>
        </w:trPr>
        <w:tc>
          <w:tcPr>
            <w:tcW w:w="15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14B57F">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4261" w:type="dxa"/>
            <w:gridSpan w:val="5"/>
            <w:tcBorders>
              <w:top w:val="single" w:color="000000" w:sz="4" w:space="0"/>
              <w:left w:val="nil"/>
              <w:bottom w:val="single" w:color="000000" w:sz="4" w:space="0"/>
              <w:right w:val="single" w:color="000000" w:sz="4" w:space="0"/>
            </w:tcBorders>
            <w:shd w:val="clear" w:color="auto" w:fill="auto"/>
            <w:vAlign w:val="center"/>
          </w:tcPr>
          <w:p w14:paraId="037AFBA2">
            <w:pPr>
              <w:widowControl/>
              <w:jc w:val="left"/>
              <w:rPr>
                <w:rFonts w:ascii="宋体" w:hAnsi="宋体" w:cs="宋体"/>
                <w:color w:val="000000"/>
                <w:kern w:val="0"/>
                <w:sz w:val="18"/>
                <w:szCs w:val="18"/>
              </w:rPr>
            </w:pPr>
            <w:r>
              <w:rPr>
                <w:rFonts w:hint="eastAsia" w:ascii="宋体" w:hAnsi="宋体" w:cs="宋体"/>
                <w:color w:val="000000"/>
                <w:kern w:val="0"/>
                <w:sz w:val="18"/>
                <w:szCs w:val="18"/>
              </w:rPr>
              <w:t>应急管理局</w:t>
            </w:r>
          </w:p>
        </w:tc>
        <w:tc>
          <w:tcPr>
            <w:tcW w:w="1026" w:type="dxa"/>
            <w:tcBorders>
              <w:top w:val="nil"/>
              <w:left w:val="nil"/>
              <w:bottom w:val="nil"/>
              <w:right w:val="nil"/>
            </w:tcBorders>
            <w:shd w:val="clear" w:color="auto" w:fill="auto"/>
            <w:vAlign w:val="center"/>
          </w:tcPr>
          <w:p w14:paraId="7383220F">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实施</w:t>
            </w:r>
            <w:r>
              <w:rPr>
                <w:rFonts w:hint="eastAsia" w:ascii="___WRD_EMBED_SUB_17" w:hAnsi="___WRD_EMBED_SUB_17" w:eastAsia="___WRD_EMBED_SUB_17" w:cs="___WRD_EMBED_SUB_17"/>
                <w:color w:val="000000"/>
                <w:kern w:val="0"/>
                <w:sz w:val="18"/>
                <w:szCs w:val="18"/>
              </w:rPr>
              <w:t>单位</w:t>
            </w:r>
            <w:r>
              <w:rPr>
                <w:rFonts w:hint="eastAsia" w:ascii="黑体" w:hAnsi="黑体" w:eastAsia="黑体" w:cs="宋体"/>
                <w:color w:val="000000"/>
                <w:kern w:val="0"/>
                <w:sz w:val="18"/>
                <w:szCs w:val="18"/>
              </w:rPr>
              <w:t xml:space="preserve"> </w:t>
            </w:r>
            <w:r>
              <w:rPr>
                <w:rFonts w:hint="eastAsia" w:ascii="微软雅黑" w:hAnsi="微软雅黑" w:eastAsia="微软雅黑" w:cs="微软雅黑"/>
                <w:color w:val="000000"/>
                <w:kern w:val="0"/>
                <w:sz w:val="18"/>
                <w:szCs w:val="18"/>
              </w:rPr>
              <w:t>（盖章）</w:t>
            </w:r>
          </w:p>
        </w:tc>
        <w:tc>
          <w:tcPr>
            <w:tcW w:w="24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79BAC0">
            <w:pPr>
              <w:widowControl/>
              <w:jc w:val="center"/>
              <w:rPr>
                <w:rFonts w:ascii="宋体" w:hAnsi="宋体" w:cs="宋体"/>
                <w:color w:val="000000"/>
                <w:kern w:val="0"/>
                <w:sz w:val="18"/>
                <w:szCs w:val="18"/>
              </w:rPr>
            </w:pPr>
            <w:r>
              <w:rPr>
                <w:rFonts w:hint="eastAsia" w:ascii="宋体" w:hAnsi="宋体" w:cs="宋体"/>
                <w:color w:val="000000"/>
                <w:kern w:val="0"/>
                <w:sz w:val="18"/>
                <w:szCs w:val="18"/>
              </w:rPr>
              <w:t>峨眉山市应急管理局</w:t>
            </w:r>
          </w:p>
        </w:tc>
      </w:tr>
      <w:tr w14:paraId="1EB66A70">
        <w:tblPrEx>
          <w:tblCellMar>
            <w:top w:w="0" w:type="dxa"/>
            <w:left w:w="108" w:type="dxa"/>
            <w:bottom w:w="0" w:type="dxa"/>
            <w:right w:w="108" w:type="dxa"/>
          </w:tblCellMar>
        </w:tblPrEx>
        <w:trPr>
          <w:trHeight w:val="509" w:hRule="atLeast"/>
        </w:trPr>
        <w:tc>
          <w:tcPr>
            <w:tcW w:w="778" w:type="dxa"/>
            <w:vMerge w:val="restart"/>
            <w:tcBorders>
              <w:top w:val="nil"/>
              <w:left w:val="single" w:color="000000" w:sz="4" w:space="0"/>
              <w:bottom w:val="single" w:color="000000" w:sz="4" w:space="0"/>
              <w:right w:val="single" w:color="000000" w:sz="4" w:space="0"/>
            </w:tcBorders>
            <w:shd w:val="clear" w:color="auto" w:fill="auto"/>
            <w:vAlign w:val="center"/>
          </w:tcPr>
          <w:p w14:paraId="10385AE6">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779" w:type="dxa"/>
            <w:vMerge w:val="restart"/>
            <w:tcBorders>
              <w:top w:val="nil"/>
              <w:left w:val="single" w:color="000000" w:sz="4" w:space="0"/>
              <w:bottom w:val="single" w:color="000000" w:sz="4" w:space="0"/>
              <w:right w:val="single" w:color="000000" w:sz="4" w:space="0"/>
            </w:tcBorders>
            <w:shd w:val="clear" w:color="auto" w:fill="auto"/>
            <w:vAlign w:val="center"/>
          </w:tcPr>
          <w:p w14:paraId="18763B91">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4261" w:type="dxa"/>
            <w:gridSpan w:val="5"/>
            <w:tcBorders>
              <w:top w:val="single" w:color="000000" w:sz="4" w:space="0"/>
              <w:left w:val="nil"/>
              <w:bottom w:val="single" w:color="000000" w:sz="4" w:space="0"/>
              <w:right w:val="single" w:color="000000" w:sz="4" w:space="0"/>
            </w:tcBorders>
            <w:shd w:val="clear" w:color="auto" w:fill="auto"/>
            <w:vAlign w:val="center"/>
          </w:tcPr>
          <w:p w14:paraId="5CED577D">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3521" w:type="dxa"/>
            <w:gridSpan w:val="5"/>
            <w:tcBorders>
              <w:top w:val="single" w:color="000000" w:sz="4" w:space="0"/>
              <w:left w:val="nil"/>
              <w:bottom w:val="single" w:color="000000" w:sz="4" w:space="0"/>
              <w:right w:val="single" w:color="000000" w:sz="4" w:space="0"/>
            </w:tcBorders>
            <w:shd w:val="clear" w:color="auto" w:fill="auto"/>
            <w:vAlign w:val="center"/>
          </w:tcPr>
          <w:p w14:paraId="6FC70D79">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年度目</w:t>
            </w:r>
            <w:r>
              <w:rPr>
                <w:rFonts w:hint="eastAsia" w:ascii="微软雅黑" w:hAnsi="微软雅黑" w:eastAsia="微软雅黑" w:cs="微软雅黑"/>
                <w:color w:val="000000"/>
                <w:kern w:val="0"/>
                <w:sz w:val="18"/>
                <w:szCs w:val="18"/>
              </w:rPr>
              <w:t>标完成</w:t>
            </w:r>
            <w:r>
              <w:rPr>
                <w:rFonts w:hint="eastAsia" w:ascii="___WRD_EMBED_SUB_17" w:hAnsi="___WRD_EMBED_SUB_17" w:eastAsia="___WRD_EMBED_SUB_17" w:cs="___WRD_EMBED_SUB_17"/>
                <w:color w:val="000000"/>
                <w:kern w:val="0"/>
                <w:sz w:val="18"/>
                <w:szCs w:val="18"/>
              </w:rPr>
              <w:t>情况</w:t>
            </w:r>
          </w:p>
        </w:tc>
      </w:tr>
      <w:tr w14:paraId="446EFB1E">
        <w:tblPrEx>
          <w:tblCellMar>
            <w:top w:w="0" w:type="dxa"/>
            <w:left w:w="108" w:type="dxa"/>
            <w:bottom w:w="0" w:type="dxa"/>
            <w:right w:w="108" w:type="dxa"/>
          </w:tblCellMar>
        </w:tblPrEx>
        <w:trPr>
          <w:trHeight w:val="509" w:hRule="atLeast"/>
        </w:trPr>
        <w:tc>
          <w:tcPr>
            <w:tcW w:w="778" w:type="dxa"/>
            <w:vMerge w:val="continue"/>
            <w:tcBorders>
              <w:top w:val="nil"/>
              <w:left w:val="single" w:color="000000" w:sz="4" w:space="0"/>
              <w:bottom w:val="single" w:color="000000" w:sz="4" w:space="0"/>
              <w:right w:val="single" w:color="000000" w:sz="4" w:space="0"/>
            </w:tcBorders>
            <w:vAlign w:val="center"/>
          </w:tcPr>
          <w:p w14:paraId="6BCAA7A8">
            <w:pPr>
              <w:widowControl/>
              <w:jc w:val="left"/>
              <w:rPr>
                <w:rFonts w:ascii="宋体" w:hAnsi="宋体" w:cs="宋体"/>
                <w:color w:val="000000"/>
                <w:kern w:val="0"/>
                <w:sz w:val="18"/>
                <w:szCs w:val="18"/>
              </w:rPr>
            </w:pPr>
          </w:p>
        </w:tc>
        <w:tc>
          <w:tcPr>
            <w:tcW w:w="779" w:type="dxa"/>
            <w:vMerge w:val="continue"/>
            <w:tcBorders>
              <w:top w:val="nil"/>
              <w:left w:val="single" w:color="000000" w:sz="4" w:space="0"/>
              <w:bottom w:val="single" w:color="000000" w:sz="4" w:space="0"/>
              <w:right w:val="single" w:color="000000" w:sz="4" w:space="0"/>
            </w:tcBorders>
            <w:vAlign w:val="center"/>
          </w:tcPr>
          <w:p w14:paraId="570C5385">
            <w:pPr>
              <w:widowControl/>
              <w:jc w:val="left"/>
              <w:rPr>
                <w:rFonts w:ascii="宋体" w:hAnsi="宋体" w:cs="宋体"/>
                <w:color w:val="000000"/>
                <w:kern w:val="0"/>
                <w:sz w:val="18"/>
                <w:szCs w:val="18"/>
              </w:rPr>
            </w:pPr>
          </w:p>
        </w:tc>
        <w:tc>
          <w:tcPr>
            <w:tcW w:w="4261" w:type="dxa"/>
            <w:gridSpan w:val="5"/>
            <w:tcBorders>
              <w:top w:val="single" w:color="000000" w:sz="4" w:space="0"/>
              <w:left w:val="nil"/>
              <w:bottom w:val="single" w:color="000000" w:sz="4" w:space="0"/>
              <w:right w:val="single" w:color="000000" w:sz="4" w:space="0"/>
            </w:tcBorders>
            <w:shd w:val="clear" w:color="auto" w:fill="auto"/>
            <w:vAlign w:val="center"/>
          </w:tcPr>
          <w:p w14:paraId="08B67B7A">
            <w:pPr>
              <w:widowControl/>
              <w:jc w:val="left"/>
              <w:rPr>
                <w:rFonts w:ascii="宋体" w:hAnsi="宋体" w:cs="宋体"/>
                <w:color w:val="000000"/>
                <w:kern w:val="0"/>
                <w:sz w:val="18"/>
                <w:szCs w:val="18"/>
              </w:rPr>
            </w:pPr>
            <w:r>
              <w:rPr>
                <w:rFonts w:hint="eastAsia" w:ascii="宋体" w:hAnsi="宋体" w:cs="宋体"/>
                <w:color w:val="000000"/>
                <w:kern w:val="0"/>
                <w:sz w:val="18"/>
                <w:szCs w:val="18"/>
              </w:rPr>
              <w:t>采购自行式炊事餐车购置，炊事餐车已全部完成验收 ，交付队伍使用。</w:t>
            </w:r>
          </w:p>
        </w:tc>
        <w:tc>
          <w:tcPr>
            <w:tcW w:w="3521" w:type="dxa"/>
            <w:gridSpan w:val="5"/>
            <w:tcBorders>
              <w:top w:val="single" w:color="000000" w:sz="4" w:space="0"/>
              <w:left w:val="nil"/>
              <w:bottom w:val="single" w:color="000000" w:sz="4" w:space="0"/>
              <w:right w:val="single" w:color="000000" w:sz="4" w:space="0"/>
            </w:tcBorders>
            <w:shd w:val="clear" w:color="auto" w:fill="auto"/>
            <w:vAlign w:val="center"/>
          </w:tcPr>
          <w:p w14:paraId="7D1A4FC4">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切实提升了应急救援能力，补齐了应急救援短板</w:t>
            </w:r>
          </w:p>
        </w:tc>
      </w:tr>
      <w:tr w14:paraId="298D60FA">
        <w:tblPrEx>
          <w:tblCellMar>
            <w:top w:w="0" w:type="dxa"/>
            <w:left w:w="108" w:type="dxa"/>
            <w:bottom w:w="0" w:type="dxa"/>
            <w:right w:w="108" w:type="dxa"/>
          </w:tblCellMar>
        </w:tblPrEx>
        <w:trPr>
          <w:trHeight w:val="1139" w:hRule="atLeast"/>
        </w:trPr>
        <w:tc>
          <w:tcPr>
            <w:tcW w:w="778" w:type="dxa"/>
            <w:vMerge w:val="continue"/>
            <w:tcBorders>
              <w:top w:val="nil"/>
              <w:left w:val="single" w:color="000000" w:sz="4" w:space="0"/>
              <w:bottom w:val="single" w:color="000000" w:sz="4" w:space="0"/>
              <w:right w:val="single" w:color="000000" w:sz="4" w:space="0"/>
            </w:tcBorders>
            <w:vAlign w:val="center"/>
          </w:tcPr>
          <w:p w14:paraId="68113875">
            <w:pPr>
              <w:widowControl/>
              <w:jc w:val="left"/>
              <w:rPr>
                <w:rFonts w:ascii="宋体" w:hAnsi="宋体" w:cs="宋体"/>
                <w:color w:val="000000"/>
                <w:kern w:val="0"/>
                <w:sz w:val="18"/>
                <w:szCs w:val="18"/>
              </w:rPr>
            </w:pPr>
          </w:p>
        </w:tc>
        <w:tc>
          <w:tcPr>
            <w:tcW w:w="779" w:type="dxa"/>
            <w:tcBorders>
              <w:top w:val="nil"/>
              <w:left w:val="nil"/>
              <w:bottom w:val="single" w:color="000000" w:sz="4" w:space="0"/>
              <w:right w:val="single" w:color="000000" w:sz="4" w:space="0"/>
            </w:tcBorders>
            <w:shd w:val="clear" w:color="auto" w:fill="auto"/>
            <w:vAlign w:val="center"/>
          </w:tcPr>
          <w:p w14:paraId="7A07D01C">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782" w:type="dxa"/>
            <w:gridSpan w:val="10"/>
            <w:tcBorders>
              <w:top w:val="single" w:color="000000" w:sz="4" w:space="0"/>
              <w:left w:val="nil"/>
              <w:bottom w:val="single" w:color="000000" w:sz="4" w:space="0"/>
              <w:right w:val="single" w:color="000000" w:sz="4" w:space="0"/>
            </w:tcBorders>
            <w:shd w:val="clear" w:color="auto" w:fill="auto"/>
            <w:vAlign w:val="center"/>
          </w:tcPr>
          <w:p w14:paraId="0C47D63C">
            <w:pPr>
              <w:widowControl/>
              <w:jc w:val="left"/>
              <w:rPr>
                <w:rFonts w:ascii="宋体" w:hAnsi="宋体" w:cs="宋体"/>
                <w:color w:val="000000"/>
                <w:kern w:val="0"/>
                <w:sz w:val="18"/>
                <w:szCs w:val="18"/>
              </w:rPr>
            </w:pPr>
            <w:r>
              <w:rPr>
                <w:rFonts w:hint="eastAsia" w:ascii="宋体" w:hAnsi="宋体" w:cs="宋体"/>
                <w:color w:val="000000"/>
                <w:kern w:val="0"/>
                <w:sz w:val="18"/>
                <w:szCs w:val="18"/>
              </w:rPr>
              <w:t>实现按国家标准达标配备应急救援设施设备，基本补齐应急救援短板。</w:t>
            </w:r>
          </w:p>
        </w:tc>
      </w:tr>
      <w:tr w14:paraId="45068767">
        <w:tblPrEx>
          <w:tblCellMar>
            <w:top w:w="0" w:type="dxa"/>
            <w:left w:w="108" w:type="dxa"/>
            <w:bottom w:w="0" w:type="dxa"/>
            <w:right w:w="108" w:type="dxa"/>
          </w:tblCellMar>
        </w:tblPrEx>
        <w:trPr>
          <w:gridAfter w:val="1"/>
          <w:wAfter w:w="11" w:type="dxa"/>
          <w:trHeight w:val="644" w:hRule="atLeast"/>
        </w:trPr>
        <w:tc>
          <w:tcPr>
            <w:tcW w:w="778" w:type="dxa"/>
            <w:vMerge w:val="restart"/>
            <w:tcBorders>
              <w:top w:val="nil"/>
              <w:left w:val="single" w:color="000000" w:sz="4" w:space="0"/>
              <w:bottom w:val="single" w:color="000000" w:sz="4" w:space="0"/>
              <w:right w:val="single" w:color="000000" w:sz="4" w:space="0"/>
            </w:tcBorders>
            <w:shd w:val="clear" w:color="auto" w:fill="auto"/>
            <w:vAlign w:val="center"/>
          </w:tcPr>
          <w:p w14:paraId="5E03DC3D">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779" w:type="dxa"/>
            <w:tcBorders>
              <w:top w:val="nil"/>
              <w:left w:val="nil"/>
              <w:bottom w:val="single" w:color="000000" w:sz="4" w:space="0"/>
              <w:right w:val="single" w:color="000000" w:sz="4" w:space="0"/>
            </w:tcBorders>
            <w:shd w:val="clear" w:color="auto" w:fill="auto"/>
            <w:vAlign w:val="center"/>
          </w:tcPr>
          <w:p w14:paraId="6CF4DB02">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059" w:type="dxa"/>
            <w:tcBorders>
              <w:top w:val="nil"/>
              <w:left w:val="nil"/>
              <w:bottom w:val="single" w:color="000000" w:sz="4" w:space="0"/>
              <w:right w:val="single" w:color="000000" w:sz="4" w:space="0"/>
            </w:tcBorders>
            <w:shd w:val="clear" w:color="auto" w:fill="auto"/>
            <w:vAlign w:val="center"/>
          </w:tcPr>
          <w:p w14:paraId="3C2B1E39">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1059" w:type="dxa"/>
            <w:tcBorders>
              <w:top w:val="nil"/>
              <w:left w:val="nil"/>
              <w:bottom w:val="single" w:color="000000" w:sz="4" w:space="0"/>
              <w:right w:val="single" w:color="000000" w:sz="4" w:space="0"/>
            </w:tcBorders>
            <w:shd w:val="clear" w:color="auto" w:fill="auto"/>
            <w:vAlign w:val="center"/>
          </w:tcPr>
          <w:p w14:paraId="00E6EB2A">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2141" w:type="dxa"/>
            <w:gridSpan w:val="3"/>
            <w:tcBorders>
              <w:top w:val="single" w:color="000000" w:sz="4" w:space="0"/>
              <w:left w:val="nil"/>
              <w:bottom w:val="single" w:color="000000" w:sz="4" w:space="0"/>
              <w:right w:val="single" w:color="000000" w:sz="4" w:space="0"/>
            </w:tcBorders>
            <w:shd w:val="clear" w:color="auto" w:fill="auto"/>
            <w:vAlign w:val="center"/>
          </w:tcPr>
          <w:p w14:paraId="18A59766">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026" w:type="dxa"/>
            <w:tcBorders>
              <w:top w:val="nil"/>
              <w:left w:val="nil"/>
              <w:bottom w:val="single" w:color="000000" w:sz="4" w:space="0"/>
              <w:right w:val="single" w:color="000000" w:sz="4" w:space="0"/>
            </w:tcBorders>
            <w:shd w:val="clear" w:color="auto" w:fill="auto"/>
            <w:vAlign w:val="center"/>
          </w:tcPr>
          <w:p w14:paraId="654B9A1B">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842" w:type="dxa"/>
            <w:tcBorders>
              <w:top w:val="nil"/>
              <w:left w:val="nil"/>
              <w:bottom w:val="single" w:color="000000" w:sz="4" w:space="0"/>
              <w:right w:val="single" w:color="000000" w:sz="4" w:space="0"/>
            </w:tcBorders>
            <w:shd w:val="clear" w:color="auto" w:fill="auto"/>
            <w:vAlign w:val="center"/>
          </w:tcPr>
          <w:p w14:paraId="4D12F99C">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22" w:type="dxa"/>
            <w:tcBorders>
              <w:top w:val="nil"/>
              <w:left w:val="nil"/>
              <w:bottom w:val="single" w:color="000000" w:sz="4" w:space="0"/>
              <w:right w:val="single" w:color="000000" w:sz="4" w:space="0"/>
            </w:tcBorders>
            <w:shd w:val="clear" w:color="auto" w:fill="auto"/>
            <w:vAlign w:val="center"/>
          </w:tcPr>
          <w:p w14:paraId="77AFEED6">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22" w:type="dxa"/>
            <w:tcBorders>
              <w:top w:val="nil"/>
              <w:left w:val="nil"/>
              <w:bottom w:val="single" w:color="000000" w:sz="4" w:space="0"/>
              <w:right w:val="single" w:color="000000" w:sz="4" w:space="0"/>
            </w:tcBorders>
            <w:shd w:val="clear" w:color="auto" w:fill="auto"/>
            <w:vAlign w:val="center"/>
          </w:tcPr>
          <w:p w14:paraId="3D35ED3F">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14:paraId="66BB8EE4">
        <w:tblPrEx>
          <w:tblCellMar>
            <w:top w:w="0" w:type="dxa"/>
            <w:left w:w="108" w:type="dxa"/>
            <w:bottom w:w="0" w:type="dxa"/>
            <w:right w:w="108" w:type="dxa"/>
          </w:tblCellMar>
        </w:tblPrEx>
        <w:trPr>
          <w:gridAfter w:val="1"/>
          <w:wAfter w:w="11" w:type="dxa"/>
          <w:trHeight w:val="269" w:hRule="atLeast"/>
        </w:trPr>
        <w:tc>
          <w:tcPr>
            <w:tcW w:w="778" w:type="dxa"/>
            <w:vMerge w:val="continue"/>
            <w:tcBorders>
              <w:top w:val="nil"/>
              <w:left w:val="single" w:color="000000" w:sz="4" w:space="0"/>
              <w:bottom w:val="single" w:color="000000" w:sz="4" w:space="0"/>
              <w:right w:val="single" w:color="000000" w:sz="4" w:space="0"/>
            </w:tcBorders>
            <w:vAlign w:val="center"/>
          </w:tcPr>
          <w:p w14:paraId="736B9496">
            <w:pPr>
              <w:widowControl/>
              <w:jc w:val="left"/>
              <w:rPr>
                <w:rFonts w:ascii="宋体" w:hAnsi="宋体" w:cs="宋体"/>
                <w:color w:val="000000"/>
                <w:kern w:val="0"/>
                <w:sz w:val="18"/>
                <w:szCs w:val="18"/>
              </w:rPr>
            </w:pPr>
          </w:p>
        </w:tc>
        <w:tc>
          <w:tcPr>
            <w:tcW w:w="779" w:type="dxa"/>
            <w:tcBorders>
              <w:top w:val="nil"/>
              <w:left w:val="nil"/>
              <w:bottom w:val="single" w:color="000000" w:sz="4" w:space="0"/>
              <w:right w:val="single" w:color="000000" w:sz="4" w:space="0"/>
            </w:tcBorders>
            <w:shd w:val="clear" w:color="auto" w:fill="auto"/>
            <w:vAlign w:val="center"/>
          </w:tcPr>
          <w:p w14:paraId="3B643DE8">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059" w:type="dxa"/>
            <w:tcBorders>
              <w:top w:val="nil"/>
              <w:left w:val="nil"/>
              <w:bottom w:val="single" w:color="000000" w:sz="4" w:space="0"/>
              <w:right w:val="single" w:color="000000" w:sz="4" w:space="0"/>
            </w:tcBorders>
            <w:shd w:val="clear" w:color="auto" w:fill="auto"/>
            <w:vAlign w:val="center"/>
          </w:tcPr>
          <w:p w14:paraId="67FC758B">
            <w:pPr>
              <w:widowControl/>
              <w:jc w:val="center"/>
              <w:rPr>
                <w:rFonts w:ascii="宋体" w:hAnsi="宋体" w:cs="宋体"/>
                <w:color w:val="000000"/>
                <w:kern w:val="0"/>
                <w:sz w:val="18"/>
                <w:szCs w:val="18"/>
              </w:rPr>
            </w:pPr>
            <w:r>
              <w:rPr>
                <w:rFonts w:hint="eastAsia" w:ascii="宋体" w:hAnsi="宋体" w:cs="宋体"/>
                <w:color w:val="000000"/>
                <w:kern w:val="0"/>
                <w:sz w:val="18"/>
                <w:szCs w:val="18"/>
              </w:rPr>
              <w:t>84.00</w:t>
            </w:r>
          </w:p>
        </w:tc>
        <w:tc>
          <w:tcPr>
            <w:tcW w:w="1059" w:type="dxa"/>
            <w:tcBorders>
              <w:top w:val="nil"/>
              <w:left w:val="nil"/>
              <w:bottom w:val="single" w:color="000000" w:sz="4" w:space="0"/>
              <w:right w:val="single" w:color="000000" w:sz="4" w:space="0"/>
            </w:tcBorders>
            <w:shd w:val="clear" w:color="auto" w:fill="auto"/>
            <w:vAlign w:val="center"/>
          </w:tcPr>
          <w:p w14:paraId="118587F0">
            <w:pPr>
              <w:widowControl/>
              <w:jc w:val="center"/>
              <w:rPr>
                <w:rFonts w:ascii="宋体" w:hAnsi="宋体" w:cs="宋体"/>
                <w:color w:val="000000"/>
                <w:kern w:val="0"/>
                <w:sz w:val="18"/>
                <w:szCs w:val="18"/>
              </w:rPr>
            </w:pPr>
            <w:r>
              <w:rPr>
                <w:rFonts w:hint="eastAsia" w:ascii="宋体" w:hAnsi="宋体" w:cs="宋体"/>
                <w:color w:val="000000"/>
                <w:kern w:val="0"/>
                <w:sz w:val="18"/>
                <w:szCs w:val="18"/>
              </w:rPr>
              <w:t>75.05</w:t>
            </w:r>
          </w:p>
        </w:tc>
        <w:tc>
          <w:tcPr>
            <w:tcW w:w="2141" w:type="dxa"/>
            <w:gridSpan w:val="3"/>
            <w:tcBorders>
              <w:top w:val="single" w:color="000000" w:sz="4" w:space="0"/>
              <w:left w:val="nil"/>
              <w:bottom w:val="single" w:color="000000" w:sz="4" w:space="0"/>
              <w:right w:val="single" w:color="000000" w:sz="4" w:space="0"/>
            </w:tcBorders>
            <w:shd w:val="clear" w:color="auto" w:fill="auto"/>
            <w:vAlign w:val="center"/>
          </w:tcPr>
          <w:p w14:paraId="49567127">
            <w:pPr>
              <w:widowControl/>
              <w:jc w:val="center"/>
              <w:rPr>
                <w:rFonts w:ascii="宋体" w:hAnsi="宋体" w:cs="宋体"/>
                <w:color w:val="000000"/>
                <w:kern w:val="0"/>
                <w:sz w:val="18"/>
                <w:szCs w:val="18"/>
              </w:rPr>
            </w:pPr>
            <w:r>
              <w:rPr>
                <w:rFonts w:hint="eastAsia" w:ascii="宋体" w:hAnsi="宋体" w:cs="宋体"/>
                <w:color w:val="000000"/>
                <w:kern w:val="0"/>
                <w:sz w:val="18"/>
                <w:szCs w:val="18"/>
              </w:rPr>
              <w:t>75.05</w:t>
            </w:r>
          </w:p>
        </w:tc>
        <w:tc>
          <w:tcPr>
            <w:tcW w:w="1026" w:type="dxa"/>
            <w:tcBorders>
              <w:top w:val="nil"/>
              <w:left w:val="nil"/>
              <w:bottom w:val="single" w:color="000000" w:sz="4" w:space="0"/>
              <w:right w:val="single" w:color="000000" w:sz="4" w:space="0"/>
            </w:tcBorders>
            <w:shd w:val="clear" w:color="auto" w:fill="auto"/>
            <w:vAlign w:val="center"/>
          </w:tcPr>
          <w:p w14:paraId="05EB2542">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42" w:type="dxa"/>
            <w:tcBorders>
              <w:top w:val="nil"/>
              <w:left w:val="nil"/>
              <w:bottom w:val="single" w:color="000000" w:sz="4" w:space="0"/>
              <w:right w:val="single" w:color="000000" w:sz="4" w:space="0"/>
            </w:tcBorders>
            <w:shd w:val="clear" w:color="auto" w:fill="auto"/>
            <w:vAlign w:val="center"/>
          </w:tcPr>
          <w:p w14:paraId="11915751">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14:paraId="6A41D358">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822" w:type="dxa"/>
            <w:vMerge w:val="restart"/>
            <w:tcBorders>
              <w:top w:val="nil"/>
              <w:left w:val="single" w:color="000000" w:sz="4" w:space="0"/>
              <w:bottom w:val="single" w:color="000000" w:sz="4" w:space="0"/>
              <w:right w:val="single" w:color="000000" w:sz="4" w:space="0"/>
            </w:tcBorders>
            <w:shd w:val="clear" w:color="auto" w:fill="auto"/>
            <w:vAlign w:val="center"/>
          </w:tcPr>
          <w:p w14:paraId="5DAE8F6F">
            <w:pPr>
              <w:widowControl/>
              <w:jc w:val="left"/>
              <w:rPr>
                <w:rFonts w:ascii="黑体" w:hAnsi="黑体" w:eastAsia="黑体" w:cs="宋体"/>
                <w:i/>
                <w:iCs/>
                <w:color w:val="000000"/>
                <w:kern w:val="0"/>
                <w:sz w:val="18"/>
                <w:szCs w:val="18"/>
              </w:rPr>
            </w:pPr>
            <w:r>
              <w:rPr>
                <w:rFonts w:hint="eastAsia" w:ascii="微软雅黑" w:hAnsi="微软雅黑" w:eastAsia="微软雅黑" w:cs="微软雅黑"/>
                <w:i/>
                <w:iCs/>
                <w:color w:val="000000"/>
                <w:kern w:val="0"/>
                <w:sz w:val="18"/>
                <w:szCs w:val="18"/>
              </w:rPr>
              <w:t>　</w:t>
            </w:r>
          </w:p>
        </w:tc>
      </w:tr>
      <w:tr w14:paraId="329DE939">
        <w:tblPrEx>
          <w:tblCellMar>
            <w:top w:w="0" w:type="dxa"/>
            <w:left w:w="108" w:type="dxa"/>
            <w:bottom w:w="0" w:type="dxa"/>
            <w:right w:w="108" w:type="dxa"/>
          </w:tblCellMar>
        </w:tblPrEx>
        <w:trPr>
          <w:gridAfter w:val="1"/>
          <w:wAfter w:w="11"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14:paraId="3A2337E5">
            <w:pPr>
              <w:widowControl/>
              <w:jc w:val="left"/>
              <w:rPr>
                <w:rFonts w:ascii="宋体" w:hAnsi="宋体" w:cs="宋体"/>
                <w:color w:val="000000"/>
                <w:kern w:val="0"/>
                <w:sz w:val="18"/>
                <w:szCs w:val="18"/>
              </w:rPr>
            </w:pPr>
          </w:p>
        </w:tc>
        <w:tc>
          <w:tcPr>
            <w:tcW w:w="779" w:type="dxa"/>
            <w:tcBorders>
              <w:top w:val="nil"/>
              <w:left w:val="nil"/>
              <w:bottom w:val="single" w:color="000000" w:sz="4" w:space="0"/>
              <w:right w:val="single" w:color="000000" w:sz="4" w:space="0"/>
            </w:tcBorders>
            <w:shd w:val="clear" w:color="auto" w:fill="auto"/>
            <w:vAlign w:val="center"/>
          </w:tcPr>
          <w:p w14:paraId="586CC25F">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059" w:type="dxa"/>
            <w:tcBorders>
              <w:top w:val="nil"/>
              <w:left w:val="nil"/>
              <w:bottom w:val="single" w:color="000000" w:sz="4" w:space="0"/>
              <w:right w:val="single" w:color="000000" w:sz="4" w:space="0"/>
            </w:tcBorders>
            <w:shd w:val="clear" w:color="auto" w:fill="auto"/>
            <w:vAlign w:val="center"/>
          </w:tcPr>
          <w:p w14:paraId="2A63479D">
            <w:pPr>
              <w:widowControl/>
              <w:jc w:val="center"/>
              <w:rPr>
                <w:rFonts w:ascii="宋体" w:hAnsi="宋体" w:cs="宋体"/>
                <w:color w:val="000000"/>
                <w:kern w:val="0"/>
                <w:sz w:val="18"/>
                <w:szCs w:val="18"/>
              </w:rPr>
            </w:pPr>
            <w:r>
              <w:rPr>
                <w:rFonts w:hint="eastAsia" w:ascii="宋体" w:hAnsi="宋体" w:cs="宋体"/>
                <w:color w:val="000000"/>
                <w:kern w:val="0"/>
                <w:sz w:val="18"/>
                <w:szCs w:val="18"/>
              </w:rPr>
              <w:t>84.00</w:t>
            </w:r>
          </w:p>
        </w:tc>
        <w:tc>
          <w:tcPr>
            <w:tcW w:w="1059" w:type="dxa"/>
            <w:tcBorders>
              <w:top w:val="nil"/>
              <w:left w:val="nil"/>
              <w:bottom w:val="single" w:color="000000" w:sz="4" w:space="0"/>
              <w:right w:val="single" w:color="000000" w:sz="4" w:space="0"/>
            </w:tcBorders>
            <w:shd w:val="clear" w:color="auto" w:fill="auto"/>
            <w:vAlign w:val="center"/>
          </w:tcPr>
          <w:p w14:paraId="3C4F11AD">
            <w:pPr>
              <w:widowControl/>
              <w:jc w:val="center"/>
              <w:rPr>
                <w:rFonts w:ascii="宋体" w:hAnsi="宋体" w:cs="宋体"/>
                <w:color w:val="000000"/>
                <w:kern w:val="0"/>
                <w:sz w:val="18"/>
                <w:szCs w:val="18"/>
              </w:rPr>
            </w:pPr>
            <w:r>
              <w:rPr>
                <w:rFonts w:hint="eastAsia" w:ascii="宋体" w:hAnsi="宋体" w:cs="宋体"/>
                <w:color w:val="000000"/>
                <w:kern w:val="0"/>
                <w:sz w:val="18"/>
                <w:szCs w:val="18"/>
              </w:rPr>
              <w:t>75.05</w:t>
            </w:r>
          </w:p>
        </w:tc>
        <w:tc>
          <w:tcPr>
            <w:tcW w:w="2141" w:type="dxa"/>
            <w:gridSpan w:val="3"/>
            <w:tcBorders>
              <w:top w:val="single" w:color="000000" w:sz="4" w:space="0"/>
              <w:left w:val="nil"/>
              <w:bottom w:val="single" w:color="000000" w:sz="4" w:space="0"/>
              <w:right w:val="single" w:color="000000" w:sz="4" w:space="0"/>
            </w:tcBorders>
            <w:shd w:val="clear" w:color="auto" w:fill="auto"/>
            <w:vAlign w:val="center"/>
          </w:tcPr>
          <w:p w14:paraId="00F77154">
            <w:pPr>
              <w:widowControl/>
              <w:jc w:val="center"/>
              <w:rPr>
                <w:rFonts w:ascii="宋体" w:hAnsi="宋体" w:cs="宋体"/>
                <w:color w:val="000000"/>
                <w:kern w:val="0"/>
                <w:sz w:val="18"/>
                <w:szCs w:val="18"/>
              </w:rPr>
            </w:pPr>
            <w:r>
              <w:rPr>
                <w:rFonts w:hint="eastAsia" w:ascii="宋体" w:hAnsi="宋体" w:cs="宋体"/>
                <w:color w:val="000000"/>
                <w:kern w:val="0"/>
                <w:sz w:val="18"/>
                <w:szCs w:val="18"/>
              </w:rPr>
              <w:t>75.05</w:t>
            </w:r>
          </w:p>
        </w:tc>
        <w:tc>
          <w:tcPr>
            <w:tcW w:w="1026" w:type="dxa"/>
            <w:tcBorders>
              <w:top w:val="nil"/>
              <w:left w:val="nil"/>
              <w:bottom w:val="single" w:color="000000" w:sz="4" w:space="0"/>
              <w:right w:val="single" w:color="000000" w:sz="4" w:space="0"/>
            </w:tcBorders>
            <w:shd w:val="clear" w:color="auto" w:fill="auto"/>
            <w:vAlign w:val="center"/>
          </w:tcPr>
          <w:p w14:paraId="15599FBE">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42" w:type="dxa"/>
            <w:tcBorders>
              <w:top w:val="nil"/>
              <w:left w:val="nil"/>
              <w:bottom w:val="single" w:color="000000" w:sz="4" w:space="0"/>
              <w:right w:val="single" w:color="000000" w:sz="4" w:space="0"/>
            </w:tcBorders>
            <w:shd w:val="clear" w:color="auto" w:fill="auto"/>
            <w:vAlign w:val="center"/>
          </w:tcPr>
          <w:p w14:paraId="5E6DDADC">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22" w:type="dxa"/>
            <w:tcBorders>
              <w:top w:val="nil"/>
              <w:left w:val="nil"/>
              <w:bottom w:val="single" w:color="000000" w:sz="4" w:space="0"/>
              <w:right w:val="single" w:color="000000" w:sz="4" w:space="0"/>
            </w:tcBorders>
            <w:shd w:val="clear" w:color="auto" w:fill="auto"/>
            <w:vAlign w:val="center"/>
          </w:tcPr>
          <w:p w14:paraId="6DCA6C3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22" w:type="dxa"/>
            <w:vMerge w:val="continue"/>
            <w:tcBorders>
              <w:top w:val="nil"/>
              <w:left w:val="single" w:color="000000" w:sz="4" w:space="0"/>
              <w:bottom w:val="single" w:color="000000" w:sz="4" w:space="0"/>
              <w:right w:val="single" w:color="000000" w:sz="4" w:space="0"/>
            </w:tcBorders>
            <w:vAlign w:val="center"/>
          </w:tcPr>
          <w:p w14:paraId="40845B5D">
            <w:pPr>
              <w:widowControl/>
              <w:jc w:val="left"/>
              <w:rPr>
                <w:rFonts w:ascii="黑体" w:hAnsi="黑体" w:eastAsia="黑体" w:cs="宋体"/>
                <w:i/>
                <w:iCs/>
                <w:color w:val="000000"/>
                <w:kern w:val="0"/>
                <w:sz w:val="18"/>
                <w:szCs w:val="18"/>
              </w:rPr>
            </w:pPr>
          </w:p>
        </w:tc>
      </w:tr>
      <w:tr w14:paraId="0D0EBB8C">
        <w:tblPrEx>
          <w:tblCellMar>
            <w:top w:w="0" w:type="dxa"/>
            <w:left w:w="108" w:type="dxa"/>
            <w:bottom w:w="0" w:type="dxa"/>
            <w:right w:w="108" w:type="dxa"/>
          </w:tblCellMar>
        </w:tblPrEx>
        <w:trPr>
          <w:gridAfter w:val="1"/>
          <w:wAfter w:w="11"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14:paraId="7567EFEE">
            <w:pPr>
              <w:widowControl/>
              <w:jc w:val="left"/>
              <w:rPr>
                <w:rFonts w:ascii="宋体" w:hAnsi="宋体" w:cs="宋体"/>
                <w:color w:val="000000"/>
                <w:kern w:val="0"/>
                <w:sz w:val="18"/>
                <w:szCs w:val="18"/>
              </w:rPr>
            </w:pPr>
          </w:p>
        </w:tc>
        <w:tc>
          <w:tcPr>
            <w:tcW w:w="779" w:type="dxa"/>
            <w:tcBorders>
              <w:top w:val="nil"/>
              <w:left w:val="nil"/>
              <w:bottom w:val="single" w:color="000000" w:sz="4" w:space="0"/>
              <w:right w:val="single" w:color="000000" w:sz="4" w:space="0"/>
            </w:tcBorders>
            <w:shd w:val="clear" w:color="auto" w:fill="auto"/>
            <w:vAlign w:val="center"/>
          </w:tcPr>
          <w:p w14:paraId="64DF436E">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059" w:type="dxa"/>
            <w:tcBorders>
              <w:top w:val="nil"/>
              <w:left w:val="nil"/>
              <w:bottom w:val="single" w:color="000000" w:sz="4" w:space="0"/>
              <w:right w:val="single" w:color="000000" w:sz="4" w:space="0"/>
            </w:tcBorders>
            <w:shd w:val="clear" w:color="auto" w:fill="auto"/>
            <w:vAlign w:val="center"/>
          </w:tcPr>
          <w:p w14:paraId="2610792F">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59" w:type="dxa"/>
            <w:tcBorders>
              <w:top w:val="nil"/>
              <w:left w:val="nil"/>
              <w:bottom w:val="single" w:color="000000" w:sz="4" w:space="0"/>
              <w:right w:val="single" w:color="000000" w:sz="4" w:space="0"/>
            </w:tcBorders>
            <w:shd w:val="clear" w:color="auto" w:fill="auto"/>
            <w:vAlign w:val="center"/>
          </w:tcPr>
          <w:p w14:paraId="08E7EE9D">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141" w:type="dxa"/>
            <w:gridSpan w:val="3"/>
            <w:tcBorders>
              <w:top w:val="single" w:color="000000" w:sz="4" w:space="0"/>
              <w:left w:val="nil"/>
              <w:bottom w:val="single" w:color="000000" w:sz="4" w:space="0"/>
              <w:right w:val="single" w:color="000000" w:sz="4" w:space="0"/>
            </w:tcBorders>
            <w:shd w:val="clear" w:color="auto" w:fill="auto"/>
            <w:vAlign w:val="center"/>
          </w:tcPr>
          <w:p w14:paraId="73C06BB9">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26" w:type="dxa"/>
            <w:tcBorders>
              <w:top w:val="nil"/>
              <w:left w:val="nil"/>
              <w:bottom w:val="single" w:color="000000" w:sz="4" w:space="0"/>
              <w:right w:val="single" w:color="000000" w:sz="4" w:space="0"/>
            </w:tcBorders>
            <w:shd w:val="clear" w:color="auto" w:fill="auto"/>
            <w:vAlign w:val="center"/>
          </w:tcPr>
          <w:p w14:paraId="78E71D57">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42" w:type="dxa"/>
            <w:tcBorders>
              <w:top w:val="nil"/>
              <w:left w:val="nil"/>
              <w:bottom w:val="single" w:color="000000" w:sz="4" w:space="0"/>
              <w:right w:val="single" w:color="000000" w:sz="4" w:space="0"/>
            </w:tcBorders>
            <w:shd w:val="clear" w:color="auto" w:fill="auto"/>
            <w:vAlign w:val="center"/>
          </w:tcPr>
          <w:p w14:paraId="129DBD2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22" w:type="dxa"/>
            <w:tcBorders>
              <w:top w:val="nil"/>
              <w:left w:val="nil"/>
              <w:bottom w:val="single" w:color="000000" w:sz="4" w:space="0"/>
              <w:right w:val="single" w:color="000000" w:sz="4" w:space="0"/>
            </w:tcBorders>
            <w:shd w:val="clear" w:color="auto" w:fill="auto"/>
            <w:vAlign w:val="center"/>
          </w:tcPr>
          <w:p w14:paraId="2CAD8DF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22" w:type="dxa"/>
            <w:vMerge w:val="continue"/>
            <w:tcBorders>
              <w:top w:val="nil"/>
              <w:left w:val="single" w:color="000000" w:sz="4" w:space="0"/>
              <w:bottom w:val="single" w:color="000000" w:sz="4" w:space="0"/>
              <w:right w:val="single" w:color="000000" w:sz="4" w:space="0"/>
            </w:tcBorders>
            <w:vAlign w:val="center"/>
          </w:tcPr>
          <w:p w14:paraId="229D3186">
            <w:pPr>
              <w:widowControl/>
              <w:jc w:val="left"/>
              <w:rPr>
                <w:rFonts w:ascii="黑体" w:hAnsi="黑体" w:eastAsia="黑体" w:cs="宋体"/>
                <w:i/>
                <w:iCs/>
                <w:color w:val="000000"/>
                <w:kern w:val="0"/>
                <w:sz w:val="18"/>
                <w:szCs w:val="18"/>
              </w:rPr>
            </w:pPr>
          </w:p>
        </w:tc>
      </w:tr>
      <w:tr w14:paraId="4641AC5A">
        <w:tblPrEx>
          <w:tblCellMar>
            <w:top w:w="0" w:type="dxa"/>
            <w:left w:w="108" w:type="dxa"/>
            <w:bottom w:w="0" w:type="dxa"/>
            <w:right w:w="108" w:type="dxa"/>
          </w:tblCellMar>
        </w:tblPrEx>
        <w:trPr>
          <w:gridAfter w:val="1"/>
          <w:wAfter w:w="11" w:type="dxa"/>
          <w:trHeight w:val="464" w:hRule="atLeast"/>
        </w:trPr>
        <w:tc>
          <w:tcPr>
            <w:tcW w:w="778" w:type="dxa"/>
            <w:vMerge w:val="continue"/>
            <w:tcBorders>
              <w:top w:val="nil"/>
              <w:left w:val="single" w:color="000000" w:sz="4" w:space="0"/>
              <w:bottom w:val="single" w:color="000000" w:sz="4" w:space="0"/>
              <w:right w:val="single" w:color="000000" w:sz="4" w:space="0"/>
            </w:tcBorders>
            <w:vAlign w:val="center"/>
          </w:tcPr>
          <w:p w14:paraId="6987D3D3">
            <w:pPr>
              <w:widowControl/>
              <w:jc w:val="left"/>
              <w:rPr>
                <w:rFonts w:ascii="宋体" w:hAnsi="宋体" w:cs="宋体"/>
                <w:color w:val="000000"/>
                <w:kern w:val="0"/>
                <w:sz w:val="18"/>
                <w:szCs w:val="18"/>
              </w:rPr>
            </w:pPr>
          </w:p>
        </w:tc>
        <w:tc>
          <w:tcPr>
            <w:tcW w:w="779" w:type="dxa"/>
            <w:tcBorders>
              <w:top w:val="nil"/>
              <w:left w:val="nil"/>
              <w:bottom w:val="single" w:color="000000" w:sz="4" w:space="0"/>
              <w:right w:val="single" w:color="000000" w:sz="4" w:space="0"/>
            </w:tcBorders>
            <w:shd w:val="clear" w:color="auto" w:fill="auto"/>
            <w:vAlign w:val="center"/>
          </w:tcPr>
          <w:p w14:paraId="63A9C892">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059" w:type="dxa"/>
            <w:tcBorders>
              <w:top w:val="nil"/>
              <w:left w:val="nil"/>
              <w:bottom w:val="single" w:color="000000" w:sz="4" w:space="0"/>
              <w:right w:val="single" w:color="000000" w:sz="4" w:space="0"/>
            </w:tcBorders>
            <w:shd w:val="clear" w:color="auto" w:fill="auto"/>
            <w:vAlign w:val="center"/>
          </w:tcPr>
          <w:p w14:paraId="6E07E336">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59" w:type="dxa"/>
            <w:tcBorders>
              <w:top w:val="nil"/>
              <w:left w:val="nil"/>
              <w:bottom w:val="single" w:color="000000" w:sz="4" w:space="0"/>
              <w:right w:val="single" w:color="000000" w:sz="4" w:space="0"/>
            </w:tcBorders>
            <w:shd w:val="clear" w:color="auto" w:fill="auto"/>
            <w:vAlign w:val="center"/>
          </w:tcPr>
          <w:p w14:paraId="76F6C376">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141" w:type="dxa"/>
            <w:gridSpan w:val="3"/>
            <w:tcBorders>
              <w:top w:val="single" w:color="000000" w:sz="4" w:space="0"/>
              <w:left w:val="nil"/>
              <w:bottom w:val="single" w:color="000000" w:sz="4" w:space="0"/>
              <w:right w:val="single" w:color="000000" w:sz="4" w:space="0"/>
            </w:tcBorders>
            <w:shd w:val="clear" w:color="auto" w:fill="auto"/>
            <w:vAlign w:val="center"/>
          </w:tcPr>
          <w:p w14:paraId="4B6A3249">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26" w:type="dxa"/>
            <w:tcBorders>
              <w:top w:val="nil"/>
              <w:left w:val="nil"/>
              <w:bottom w:val="single" w:color="000000" w:sz="4" w:space="0"/>
              <w:right w:val="single" w:color="000000" w:sz="4" w:space="0"/>
            </w:tcBorders>
            <w:shd w:val="clear" w:color="auto" w:fill="auto"/>
            <w:vAlign w:val="center"/>
          </w:tcPr>
          <w:p w14:paraId="6453FA68">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42" w:type="dxa"/>
            <w:tcBorders>
              <w:top w:val="nil"/>
              <w:left w:val="nil"/>
              <w:bottom w:val="single" w:color="000000" w:sz="4" w:space="0"/>
              <w:right w:val="single" w:color="000000" w:sz="4" w:space="0"/>
            </w:tcBorders>
            <w:shd w:val="clear" w:color="auto" w:fill="auto"/>
            <w:vAlign w:val="center"/>
          </w:tcPr>
          <w:p w14:paraId="1E5C5427">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22" w:type="dxa"/>
            <w:tcBorders>
              <w:top w:val="nil"/>
              <w:left w:val="nil"/>
              <w:bottom w:val="single" w:color="000000" w:sz="4" w:space="0"/>
              <w:right w:val="single" w:color="000000" w:sz="4" w:space="0"/>
            </w:tcBorders>
            <w:shd w:val="clear" w:color="auto" w:fill="auto"/>
            <w:vAlign w:val="center"/>
          </w:tcPr>
          <w:p w14:paraId="2E5C7BF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22" w:type="dxa"/>
            <w:vMerge w:val="continue"/>
            <w:tcBorders>
              <w:top w:val="nil"/>
              <w:left w:val="single" w:color="000000" w:sz="4" w:space="0"/>
              <w:bottom w:val="single" w:color="000000" w:sz="4" w:space="0"/>
              <w:right w:val="single" w:color="000000" w:sz="4" w:space="0"/>
            </w:tcBorders>
            <w:vAlign w:val="center"/>
          </w:tcPr>
          <w:p w14:paraId="21C30B21">
            <w:pPr>
              <w:widowControl/>
              <w:jc w:val="left"/>
              <w:rPr>
                <w:rFonts w:ascii="黑体" w:hAnsi="黑体" w:eastAsia="黑体" w:cs="宋体"/>
                <w:i/>
                <w:iCs/>
                <w:color w:val="000000"/>
                <w:kern w:val="0"/>
                <w:sz w:val="18"/>
                <w:szCs w:val="18"/>
              </w:rPr>
            </w:pPr>
          </w:p>
        </w:tc>
      </w:tr>
      <w:tr w14:paraId="79AC4029">
        <w:tblPrEx>
          <w:tblCellMar>
            <w:top w:w="0" w:type="dxa"/>
            <w:left w:w="108" w:type="dxa"/>
            <w:bottom w:w="0" w:type="dxa"/>
            <w:right w:w="108" w:type="dxa"/>
          </w:tblCellMar>
        </w:tblPrEx>
        <w:trPr>
          <w:gridAfter w:val="1"/>
          <w:wAfter w:w="11" w:type="dxa"/>
          <w:trHeight w:val="464" w:hRule="atLeast"/>
        </w:trPr>
        <w:tc>
          <w:tcPr>
            <w:tcW w:w="778" w:type="dxa"/>
            <w:vMerge w:val="continue"/>
            <w:tcBorders>
              <w:top w:val="nil"/>
              <w:left w:val="single" w:color="000000" w:sz="4" w:space="0"/>
              <w:bottom w:val="single" w:color="000000" w:sz="4" w:space="0"/>
              <w:right w:val="single" w:color="000000" w:sz="4" w:space="0"/>
            </w:tcBorders>
            <w:vAlign w:val="center"/>
          </w:tcPr>
          <w:p w14:paraId="03C87B5B">
            <w:pPr>
              <w:widowControl/>
              <w:jc w:val="left"/>
              <w:rPr>
                <w:rFonts w:ascii="宋体" w:hAnsi="宋体" w:cs="宋体"/>
                <w:color w:val="000000"/>
                <w:kern w:val="0"/>
                <w:sz w:val="18"/>
                <w:szCs w:val="18"/>
              </w:rPr>
            </w:pPr>
          </w:p>
        </w:tc>
        <w:tc>
          <w:tcPr>
            <w:tcW w:w="779" w:type="dxa"/>
            <w:tcBorders>
              <w:top w:val="nil"/>
              <w:left w:val="nil"/>
              <w:bottom w:val="single" w:color="000000" w:sz="4" w:space="0"/>
              <w:right w:val="single" w:color="000000" w:sz="4" w:space="0"/>
            </w:tcBorders>
            <w:shd w:val="clear" w:color="auto" w:fill="auto"/>
            <w:vAlign w:val="center"/>
          </w:tcPr>
          <w:p w14:paraId="4B55A901">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059" w:type="dxa"/>
            <w:tcBorders>
              <w:top w:val="nil"/>
              <w:left w:val="nil"/>
              <w:bottom w:val="single" w:color="000000" w:sz="4" w:space="0"/>
              <w:right w:val="single" w:color="000000" w:sz="4" w:space="0"/>
            </w:tcBorders>
            <w:shd w:val="clear" w:color="auto" w:fill="auto"/>
            <w:vAlign w:val="center"/>
          </w:tcPr>
          <w:p w14:paraId="1A8D4672">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59" w:type="dxa"/>
            <w:tcBorders>
              <w:top w:val="nil"/>
              <w:left w:val="nil"/>
              <w:bottom w:val="single" w:color="000000" w:sz="4" w:space="0"/>
              <w:right w:val="single" w:color="000000" w:sz="4" w:space="0"/>
            </w:tcBorders>
            <w:shd w:val="clear" w:color="auto" w:fill="auto"/>
            <w:vAlign w:val="center"/>
          </w:tcPr>
          <w:p w14:paraId="1A19CCA7">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141" w:type="dxa"/>
            <w:gridSpan w:val="3"/>
            <w:tcBorders>
              <w:top w:val="single" w:color="000000" w:sz="4" w:space="0"/>
              <w:left w:val="nil"/>
              <w:bottom w:val="single" w:color="000000" w:sz="4" w:space="0"/>
              <w:right w:val="single" w:color="000000" w:sz="4" w:space="0"/>
            </w:tcBorders>
            <w:shd w:val="clear" w:color="auto" w:fill="auto"/>
            <w:vAlign w:val="center"/>
          </w:tcPr>
          <w:p w14:paraId="546F1F97">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26" w:type="dxa"/>
            <w:tcBorders>
              <w:top w:val="nil"/>
              <w:left w:val="nil"/>
              <w:bottom w:val="single" w:color="000000" w:sz="4" w:space="0"/>
              <w:right w:val="single" w:color="000000" w:sz="4" w:space="0"/>
            </w:tcBorders>
            <w:shd w:val="clear" w:color="auto" w:fill="auto"/>
            <w:vAlign w:val="center"/>
          </w:tcPr>
          <w:p w14:paraId="5BE84AAD">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42" w:type="dxa"/>
            <w:tcBorders>
              <w:top w:val="nil"/>
              <w:left w:val="nil"/>
              <w:bottom w:val="single" w:color="000000" w:sz="4" w:space="0"/>
              <w:right w:val="single" w:color="000000" w:sz="4" w:space="0"/>
            </w:tcBorders>
            <w:shd w:val="clear" w:color="auto" w:fill="auto"/>
            <w:vAlign w:val="center"/>
          </w:tcPr>
          <w:p w14:paraId="266ED05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22" w:type="dxa"/>
            <w:tcBorders>
              <w:top w:val="nil"/>
              <w:left w:val="nil"/>
              <w:bottom w:val="single" w:color="000000" w:sz="4" w:space="0"/>
              <w:right w:val="single" w:color="000000" w:sz="4" w:space="0"/>
            </w:tcBorders>
            <w:shd w:val="clear" w:color="auto" w:fill="auto"/>
            <w:vAlign w:val="center"/>
          </w:tcPr>
          <w:p w14:paraId="39EB697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22" w:type="dxa"/>
            <w:vMerge w:val="continue"/>
            <w:tcBorders>
              <w:top w:val="nil"/>
              <w:left w:val="single" w:color="000000" w:sz="4" w:space="0"/>
              <w:bottom w:val="single" w:color="000000" w:sz="4" w:space="0"/>
              <w:right w:val="single" w:color="000000" w:sz="4" w:space="0"/>
            </w:tcBorders>
            <w:vAlign w:val="center"/>
          </w:tcPr>
          <w:p w14:paraId="02A605FB">
            <w:pPr>
              <w:widowControl/>
              <w:jc w:val="left"/>
              <w:rPr>
                <w:rFonts w:ascii="黑体" w:hAnsi="黑体" w:eastAsia="黑体" w:cs="宋体"/>
                <w:i/>
                <w:iCs/>
                <w:color w:val="000000"/>
                <w:kern w:val="0"/>
                <w:sz w:val="18"/>
                <w:szCs w:val="18"/>
              </w:rPr>
            </w:pPr>
          </w:p>
        </w:tc>
      </w:tr>
      <w:tr w14:paraId="534C1478">
        <w:tblPrEx>
          <w:tblCellMar>
            <w:top w:w="0" w:type="dxa"/>
            <w:left w:w="108" w:type="dxa"/>
            <w:bottom w:w="0" w:type="dxa"/>
            <w:right w:w="108" w:type="dxa"/>
          </w:tblCellMar>
        </w:tblPrEx>
        <w:trPr>
          <w:gridAfter w:val="1"/>
          <w:wAfter w:w="12" w:type="dxa"/>
          <w:trHeight w:val="449" w:hRule="atLeast"/>
        </w:trPr>
        <w:tc>
          <w:tcPr>
            <w:tcW w:w="778" w:type="dxa"/>
            <w:vMerge w:val="restart"/>
            <w:tcBorders>
              <w:top w:val="nil"/>
              <w:left w:val="single" w:color="000000" w:sz="4" w:space="0"/>
              <w:bottom w:val="single" w:color="000000" w:sz="4" w:space="0"/>
              <w:right w:val="single" w:color="000000" w:sz="4" w:space="0"/>
            </w:tcBorders>
            <w:shd w:val="clear" w:color="auto" w:fill="auto"/>
            <w:vAlign w:val="center"/>
          </w:tcPr>
          <w:p w14:paraId="124B5266">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779" w:type="dxa"/>
            <w:tcBorders>
              <w:top w:val="nil"/>
              <w:left w:val="nil"/>
              <w:bottom w:val="single" w:color="000000" w:sz="4" w:space="0"/>
              <w:right w:val="single" w:color="000000" w:sz="4" w:space="0"/>
            </w:tcBorders>
            <w:shd w:val="clear" w:color="auto" w:fill="auto"/>
            <w:vAlign w:val="center"/>
          </w:tcPr>
          <w:p w14:paraId="372D8AC8">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059" w:type="dxa"/>
            <w:tcBorders>
              <w:top w:val="nil"/>
              <w:left w:val="nil"/>
              <w:bottom w:val="single" w:color="000000" w:sz="4" w:space="0"/>
              <w:right w:val="single" w:color="000000" w:sz="4" w:space="0"/>
            </w:tcBorders>
            <w:shd w:val="clear" w:color="auto" w:fill="auto"/>
            <w:vAlign w:val="center"/>
          </w:tcPr>
          <w:p w14:paraId="098DCF04">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1059" w:type="dxa"/>
            <w:tcBorders>
              <w:top w:val="nil"/>
              <w:left w:val="nil"/>
              <w:bottom w:val="single" w:color="000000" w:sz="4" w:space="0"/>
              <w:right w:val="single" w:color="000000" w:sz="4" w:space="0"/>
            </w:tcBorders>
            <w:shd w:val="clear" w:color="auto" w:fill="auto"/>
            <w:vAlign w:val="center"/>
          </w:tcPr>
          <w:p w14:paraId="0EF03639">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03" w:type="dxa"/>
            <w:tcBorders>
              <w:top w:val="nil"/>
              <w:left w:val="nil"/>
              <w:bottom w:val="single" w:color="000000" w:sz="4" w:space="0"/>
              <w:right w:val="single" w:color="000000" w:sz="4" w:space="0"/>
            </w:tcBorders>
            <w:shd w:val="clear" w:color="auto" w:fill="auto"/>
            <w:vAlign w:val="center"/>
          </w:tcPr>
          <w:p w14:paraId="57F35B52">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620" w:type="dxa"/>
            <w:tcBorders>
              <w:top w:val="nil"/>
              <w:left w:val="nil"/>
              <w:bottom w:val="single" w:color="000000" w:sz="4" w:space="0"/>
              <w:right w:val="single" w:color="000000" w:sz="4" w:space="0"/>
            </w:tcBorders>
            <w:shd w:val="clear" w:color="auto" w:fill="auto"/>
            <w:vAlign w:val="center"/>
          </w:tcPr>
          <w:p w14:paraId="75535275">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917" w:type="dxa"/>
            <w:tcBorders>
              <w:top w:val="nil"/>
              <w:left w:val="nil"/>
              <w:bottom w:val="single" w:color="000000" w:sz="4" w:space="0"/>
              <w:right w:val="single" w:color="000000" w:sz="4" w:space="0"/>
            </w:tcBorders>
            <w:shd w:val="clear" w:color="auto" w:fill="auto"/>
            <w:vAlign w:val="center"/>
          </w:tcPr>
          <w:p w14:paraId="76A3B1E5">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026" w:type="dxa"/>
            <w:tcBorders>
              <w:top w:val="nil"/>
              <w:left w:val="nil"/>
              <w:bottom w:val="single" w:color="000000" w:sz="4" w:space="0"/>
              <w:right w:val="single" w:color="000000" w:sz="4" w:space="0"/>
            </w:tcBorders>
            <w:shd w:val="clear" w:color="auto" w:fill="auto"/>
            <w:vAlign w:val="center"/>
          </w:tcPr>
          <w:p w14:paraId="3E03C0E8">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842" w:type="dxa"/>
            <w:tcBorders>
              <w:top w:val="nil"/>
              <w:left w:val="nil"/>
              <w:bottom w:val="single" w:color="000000" w:sz="4" w:space="0"/>
              <w:right w:val="single" w:color="000000" w:sz="4" w:space="0"/>
            </w:tcBorders>
            <w:shd w:val="clear" w:color="auto" w:fill="auto"/>
            <w:vAlign w:val="center"/>
          </w:tcPr>
          <w:p w14:paraId="35583A80">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22" w:type="dxa"/>
            <w:tcBorders>
              <w:top w:val="nil"/>
              <w:left w:val="nil"/>
              <w:bottom w:val="single" w:color="000000" w:sz="4" w:space="0"/>
              <w:right w:val="single" w:color="000000" w:sz="4" w:space="0"/>
            </w:tcBorders>
            <w:shd w:val="clear" w:color="auto" w:fill="auto"/>
            <w:vAlign w:val="center"/>
          </w:tcPr>
          <w:p w14:paraId="3CF7B95D">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22" w:type="dxa"/>
            <w:tcBorders>
              <w:top w:val="nil"/>
              <w:left w:val="nil"/>
              <w:bottom w:val="single" w:color="000000" w:sz="4" w:space="0"/>
              <w:right w:val="single" w:color="000000" w:sz="4" w:space="0"/>
            </w:tcBorders>
            <w:shd w:val="clear" w:color="auto" w:fill="auto"/>
            <w:vAlign w:val="center"/>
          </w:tcPr>
          <w:p w14:paraId="3003D7C4">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14:paraId="1E737CA1">
        <w:tblPrEx>
          <w:tblCellMar>
            <w:top w:w="0" w:type="dxa"/>
            <w:left w:w="108" w:type="dxa"/>
            <w:bottom w:w="0" w:type="dxa"/>
            <w:right w:w="108" w:type="dxa"/>
          </w:tblCellMar>
        </w:tblPrEx>
        <w:trPr>
          <w:gridAfter w:val="1"/>
          <w:wAfter w:w="12"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14:paraId="4ED49821">
            <w:pPr>
              <w:widowControl/>
              <w:jc w:val="left"/>
              <w:rPr>
                <w:rFonts w:ascii="宋体" w:hAnsi="宋体" w:cs="宋体"/>
                <w:color w:val="000000"/>
                <w:kern w:val="0"/>
                <w:sz w:val="18"/>
                <w:szCs w:val="18"/>
              </w:rPr>
            </w:pPr>
          </w:p>
        </w:tc>
        <w:tc>
          <w:tcPr>
            <w:tcW w:w="779" w:type="dxa"/>
            <w:vMerge w:val="restart"/>
            <w:tcBorders>
              <w:top w:val="nil"/>
              <w:left w:val="single" w:color="000000" w:sz="4" w:space="0"/>
              <w:bottom w:val="single" w:color="000000" w:sz="4" w:space="0"/>
              <w:right w:val="single" w:color="000000" w:sz="4" w:space="0"/>
            </w:tcBorders>
            <w:shd w:val="clear" w:color="auto" w:fill="auto"/>
            <w:vAlign w:val="center"/>
          </w:tcPr>
          <w:p w14:paraId="657FE705">
            <w:pPr>
              <w:widowControl/>
              <w:jc w:val="center"/>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1059" w:type="dxa"/>
            <w:vMerge w:val="restart"/>
            <w:tcBorders>
              <w:top w:val="nil"/>
              <w:left w:val="single" w:color="000000" w:sz="4" w:space="0"/>
              <w:bottom w:val="single" w:color="000000" w:sz="4" w:space="0"/>
              <w:right w:val="single" w:color="000000" w:sz="4" w:space="0"/>
            </w:tcBorders>
            <w:shd w:val="clear" w:color="auto" w:fill="auto"/>
            <w:vAlign w:val="center"/>
          </w:tcPr>
          <w:p w14:paraId="1F275B88">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1059" w:type="dxa"/>
            <w:tcBorders>
              <w:top w:val="nil"/>
              <w:left w:val="nil"/>
              <w:bottom w:val="single" w:color="000000" w:sz="4" w:space="0"/>
              <w:right w:val="single" w:color="000000" w:sz="4" w:space="0"/>
            </w:tcBorders>
            <w:shd w:val="clear" w:color="auto" w:fill="auto"/>
            <w:vAlign w:val="center"/>
          </w:tcPr>
          <w:p w14:paraId="3959C3FC">
            <w:pPr>
              <w:widowControl/>
              <w:jc w:val="center"/>
              <w:rPr>
                <w:rFonts w:ascii="宋体" w:hAnsi="宋体" w:cs="宋体"/>
                <w:color w:val="000000"/>
                <w:kern w:val="0"/>
                <w:sz w:val="18"/>
                <w:szCs w:val="18"/>
              </w:rPr>
            </w:pPr>
            <w:r>
              <w:rPr>
                <w:rFonts w:hint="eastAsia" w:ascii="宋体" w:hAnsi="宋体" w:cs="宋体"/>
                <w:color w:val="000000"/>
                <w:kern w:val="0"/>
                <w:sz w:val="18"/>
                <w:szCs w:val="18"/>
              </w:rPr>
              <w:t>购置设备数量</w:t>
            </w:r>
          </w:p>
        </w:tc>
        <w:tc>
          <w:tcPr>
            <w:tcW w:w="603" w:type="dxa"/>
            <w:tcBorders>
              <w:top w:val="nil"/>
              <w:left w:val="nil"/>
              <w:bottom w:val="single" w:color="000000" w:sz="4" w:space="0"/>
              <w:right w:val="single" w:color="000000" w:sz="4" w:space="0"/>
            </w:tcBorders>
            <w:shd w:val="clear" w:color="auto" w:fill="auto"/>
            <w:vAlign w:val="center"/>
          </w:tcPr>
          <w:p w14:paraId="49926BA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0" w:type="dxa"/>
            <w:tcBorders>
              <w:top w:val="nil"/>
              <w:left w:val="nil"/>
              <w:bottom w:val="single" w:color="000000" w:sz="4" w:space="0"/>
              <w:right w:val="single" w:color="000000" w:sz="4" w:space="0"/>
            </w:tcBorders>
            <w:shd w:val="clear" w:color="auto" w:fill="auto"/>
            <w:vAlign w:val="center"/>
          </w:tcPr>
          <w:p w14:paraId="12DA46C4">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17" w:type="dxa"/>
            <w:tcBorders>
              <w:top w:val="nil"/>
              <w:left w:val="nil"/>
              <w:bottom w:val="single" w:color="000000" w:sz="4" w:space="0"/>
              <w:right w:val="single" w:color="000000" w:sz="4" w:space="0"/>
            </w:tcBorders>
            <w:shd w:val="clear" w:color="auto" w:fill="auto"/>
            <w:vAlign w:val="center"/>
          </w:tcPr>
          <w:p w14:paraId="4B58366E">
            <w:pPr>
              <w:widowControl/>
              <w:jc w:val="center"/>
              <w:rPr>
                <w:rFonts w:ascii="宋体" w:hAnsi="宋体" w:cs="宋体"/>
                <w:color w:val="000000"/>
                <w:kern w:val="0"/>
                <w:sz w:val="18"/>
                <w:szCs w:val="18"/>
              </w:rPr>
            </w:pPr>
            <w:r>
              <w:rPr>
                <w:rFonts w:hint="eastAsia" w:ascii="宋体" w:hAnsi="宋体" w:cs="宋体"/>
                <w:color w:val="000000"/>
                <w:kern w:val="0"/>
                <w:sz w:val="18"/>
                <w:szCs w:val="18"/>
              </w:rPr>
              <w:t>台（套）</w:t>
            </w:r>
          </w:p>
        </w:tc>
        <w:tc>
          <w:tcPr>
            <w:tcW w:w="1026" w:type="dxa"/>
            <w:tcBorders>
              <w:top w:val="nil"/>
              <w:left w:val="nil"/>
              <w:bottom w:val="single" w:color="000000" w:sz="4" w:space="0"/>
              <w:right w:val="single" w:color="000000" w:sz="4" w:space="0"/>
            </w:tcBorders>
            <w:shd w:val="clear" w:color="auto" w:fill="auto"/>
            <w:vAlign w:val="center"/>
          </w:tcPr>
          <w:p w14:paraId="6635DE0A">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w:t>
            </w:r>
          </w:p>
        </w:tc>
        <w:tc>
          <w:tcPr>
            <w:tcW w:w="842" w:type="dxa"/>
            <w:tcBorders>
              <w:top w:val="nil"/>
              <w:left w:val="nil"/>
              <w:bottom w:val="single" w:color="000000" w:sz="4" w:space="0"/>
              <w:right w:val="single" w:color="000000" w:sz="4" w:space="0"/>
            </w:tcBorders>
            <w:shd w:val="clear" w:color="auto" w:fill="auto"/>
            <w:vAlign w:val="center"/>
          </w:tcPr>
          <w:p w14:paraId="772E4F23">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14:paraId="2EA472ED">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14:paraId="0CB4A17B">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15DA0B6A">
        <w:tblPrEx>
          <w:tblCellMar>
            <w:top w:w="0" w:type="dxa"/>
            <w:left w:w="108" w:type="dxa"/>
            <w:bottom w:w="0" w:type="dxa"/>
            <w:right w:w="108" w:type="dxa"/>
          </w:tblCellMar>
        </w:tblPrEx>
        <w:trPr>
          <w:gridAfter w:val="1"/>
          <w:wAfter w:w="12"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14:paraId="10D73095">
            <w:pPr>
              <w:widowControl/>
              <w:jc w:val="left"/>
              <w:rPr>
                <w:rFonts w:ascii="宋体" w:hAnsi="宋体" w:cs="宋体"/>
                <w:color w:val="000000"/>
                <w:kern w:val="0"/>
                <w:sz w:val="18"/>
                <w:szCs w:val="18"/>
              </w:rPr>
            </w:pPr>
          </w:p>
        </w:tc>
        <w:tc>
          <w:tcPr>
            <w:tcW w:w="779" w:type="dxa"/>
            <w:vMerge w:val="continue"/>
            <w:tcBorders>
              <w:top w:val="nil"/>
              <w:left w:val="single" w:color="000000" w:sz="4" w:space="0"/>
              <w:bottom w:val="single" w:color="000000" w:sz="4" w:space="0"/>
              <w:right w:val="single" w:color="000000" w:sz="4" w:space="0"/>
            </w:tcBorders>
            <w:vAlign w:val="center"/>
          </w:tcPr>
          <w:p w14:paraId="174D8D27">
            <w:pPr>
              <w:widowControl/>
              <w:jc w:val="left"/>
              <w:rPr>
                <w:rFonts w:ascii="宋体" w:hAnsi="宋体" w:cs="宋体"/>
                <w:color w:val="000000"/>
                <w:kern w:val="0"/>
                <w:sz w:val="18"/>
                <w:szCs w:val="18"/>
              </w:rPr>
            </w:pPr>
          </w:p>
        </w:tc>
        <w:tc>
          <w:tcPr>
            <w:tcW w:w="1059" w:type="dxa"/>
            <w:vMerge w:val="continue"/>
            <w:tcBorders>
              <w:top w:val="nil"/>
              <w:left w:val="single" w:color="000000" w:sz="4" w:space="0"/>
              <w:bottom w:val="single" w:color="000000" w:sz="4" w:space="0"/>
              <w:right w:val="single" w:color="000000" w:sz="4" w:space="0"/>
            </w:tcBorders>
            <w:vAlign w:val="center"/>
          </w:tcPr>
          <w:p w14:paraId="2456091E">
            <w:pPr>
              <w:widowControl/>
              <w:jc w:val="left"/>
              <w:rPr>
                <w:rFonts w:ascii="宋体" w:hAnsi="宋体" w:cs="宋体"/>
                <w:color w:val="000000"/>
                <w:kern w:val="0"/>
                <w:sz w:val="18"/>
                <w:szCs w:val="18"/>
              </w:rPr>
            </w:pPr>
          </w:p>
        </w:tc>
        <w:tc>
          <w:tcPr>
            <w:tcW w:w="1059" w:type="dxa"/>
            <w:tcBorders>
              <w:top w:val="nil"/>
              <w:left w:val="nil"/>
              <w:bottom w:val="single" w:color="000000" w:sz="4" w:space="0"/>
              <w:right w:val="single" w:color="000000" w:sz="4" w:space="0"/>
            </w:tcBorders>
            <w:shd w:val="clear" w:color="auto" w:fill="auto"/>
            <w:vAlign w:val="center"/>
          </w:tcPr>
          <w:p w14:paraId="32D95D5C">
            <w:pPr>
              <w:widowControl/>
              <w:jc w:val="center"/>
              <w:rPr>
                <w:rFonts w:ascii="宋体" w:hAnsi="宋体" w:cs="宋体"/>
                <w:color w:val="000000"/>
                <w:kern w:val="0"/>
                <w:sz w:val="18"/>
                <w:szCs w:val="18"/>
              </w:rPr>
            </w:pPr>
            <w:r>
              <w:rPr>
                <w:rFonts w:hint="eastAsia" w:ascii="宋体" w:hAnsi="宋体" w:cs="宋体"/>
                <w:color w:val="000000"/>
                <w:kern w:val="0"/>
                <w:sz w:val="18"/>
                <w:szCs w:val="18"/>
              </w:rPr>
              <w:t>政府采购率</w:t>
            </w:r>
          </w:p>
        </w:tc>
        <w:tc>
          <w:tcPr>
            <w:tcW w:w="603" w:type="dxa"/>
            <w:tcBorders>
              <w:top w:val="nil"/>
              <w:left w:val="nil"/>
              <w:bottom w:val="single" w:color="000000" w:sz="4" w:space="0"/>
              <w:right w:val="single" w:color="000000" w:sz="4" w:space="0"/>
            </w:tcBorders>
            <w:shd w:val="clear" w:color="auto" w:fill="auto"/>
            <w:vAlign w:val="center"/>
          </w:tcPr>
          <w:p w14:paraId="79A2751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0" w:type="dxa"/>
            <w:tcBorders>
              <w:top w:val="nil"/>
              <w:left w:val="nil"/>
              <w:bottom w:val="single" w:color="000000" w:sz="4" w:space="0"/>
              <w:right w:val="single" w:color="000000" w:sz="4" w:space="0"/>
            </w:tcBorders>
            <w:shd w:val="clear" w:color="auto" w:fill="auto"/>
            <w:vAlign w:val="center"/>
          </w:tcPr>
          <w:p w14:paraId="6013DF50">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917" w:type="dxa"/>
            <w:tcBorders>
              <w:top w:val="nil"/>
              <w:left w:val="nil"/>
              <w:bottom w:val="single" w:color="000000" w:sz="4" w:space="0"/>
              <w:right w:val="single" w:color="000000" w:sz="4" w:space="0"/>
            </w:tcBorders>
            <w:shd w:val="clear" w:color="auto" w:fill="auto"/>
            <w:vAlign w:val="center"/>
          </w:tcPr>
          <w:p w14:paraId="162EB2B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26" w:type="dxa"/>
            <w:tcBorders>
              <w:top w:val="nil"/>
              <w:left w:val="nil"/>
              <w:bottom w:val="single" w:color="000000" w:sz="4" w:space="0"/>
              <w:right w:val="single" w:color="000000" w:sz="4" w:space="0"/>
            </w:tcBorders>
            <w:shd w:val="clear" w:color="auto" w:fill="auto"/>
            <w:vAlign w:val="center"/>
          </w:tcPr>
          <w:p w14:paraId="19E789E9">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842" w:type="dxa"/>
            <w:tcBorders>
              <w:top w:val="nil"/>
              <w:left w:val="nil"/>
              <w:bottom w:val="single" w:color="000000" w:sz="4" w:space="0"/>
              <w:right w:val="single" w:color="000000" w:sz="4" w:space="0"/>
            </w:tcBorders>
            <w:shd w:val="clear" w:color="auto" w:fill="auto"/>
            <w:vAlign w:val="center"/>
          </w:tcPr>
          <w:p w14:paraId="1E2C9C8C">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14:paraId="2EF4EEC4">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14:paraId="7782997B">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4DB61DDE">
        <w:tblPrEx>
          <w:tblCellMar>
            <w:top w:w="0" w:type="dxa"/>
            <w:left w:w="108" w:type="dxa"/>
            <w:bottom w:w="0" w:type="dxa"/>
            <w:right w:w="108" w:type="dxa"/>
          </w:tblCellMar>
        </w:tblPrEx>
        <w:trPr>
          <w:gridAfter w:val="1"/>
          <w:wAfter w:w="12"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14:paraId="74428E70">
            <w:pPr>
              <w:widowControl/>
              <w:jc w:val="left"/>
              <w:rPr>
                <w:rFonts w:ascii="宋体" w:hAnsi="宋体" w:cs="宋体"/>
                <w:color w:val="000000"/>
                <w:kern w:val="0"/>
                <w:sz w:val="18"/>
                <w:szCs w:val="18"/>
              </w:rPr>
            </w:pPr>
          </w:p>
        </w:tc>
        <w:tc>
          <w:tcPr>
            <w:tcW w:w="779" w:type="dxa"/>
            <w:vMerge w:val="continue"/>
            <w:tcBorders>
              <w:top w:val="nil"/>
              <w:left w:val="single" w:color="000000" w:sz="4" w:space="0"/>
              <w:bottom w:val="single" w:color="000000" w:sz="4" w:space="0"/>
              <w:right w:val="single" w:color="000000" w:sz="4" w:space="0"/>
            </w:tcBorders>
            <w:vAlign w:val="center"/>
          </w:tcPr>
          <w:p w14:paraId="41743BAB">
            <w:pPr>
              <w:widowControl/>
              <w:jc w:val="left"/>
              <w:rPr>
                <w:rFonts w:ascii="宋体" w:hAnsi="宋体" w:cs="宋体"/>
                <w:color w:val="000000"/>
                <w:kern w:val="0"/>
                <w:sz w:val="18"/>
                <w:szCs w:val="18"/>
              </w:rPr>
            </w:pPr>
          </w:p>
        </w:tc>
        <w:tc>
          <w:tcPr>
            <w:tcW w:w="1059" w:type="dxa"/>
            <w:vMerge w:val="restart"/>
            <w:tcBorders>
              <w:top w:val="nil"/>
              <w:left w:val="single" w:color="000000" w:sz="4" w:space="0"/>
              <w:bottom w:val="single" w:color="000000" w:sz="4" w:space="0"/>
              <w:right w:val="single" w:color="000000" w:sz="4" w:space="0"/>
            </w:tcBorders>
            <w:shd w:val="clear" w:color="auto" w:fill="auto"/>
            <w:vAlign w:val="center"/>
          </w:tcPr>
          <w:p w14:paraId="06B32926">
            <w:pPr>
              <w:widowControl/>
              <w:jc w:val="center"/>
              <w:rPr>
                <w:rFonts w:ascii="宋体" w:hAnsi="宋体" w:cs="宋体"/>
                <w:color w:val="000000"/>
                <w:kern w:val="0"/>
                <w:sz w:val="18"/>
                <w:szCs w:val="18"/>
              </w:rPr>
            </w:pPr>
            <w:r>
              <w:rPr>
                <w:rFonts w:hint="eastAsia" w:ascii="宋体" w:hAnsi="宋体" w:cs="宋体"/>
                <w:color w:val="000000"/>
                <w:kern w:val="0"/>
                <w:sz w:val="18"/>
                <w:szCs w:val="18"/>
              </w:rPr>
              <w:t>质量指标</w:t>
            </w:r>
          </w:p>
        </w:tc>
        <w:tc>
          <w:tcPr>
            <w:tcW w:w="1059" w:type="dxa"/>
            <w:tcBorders>
              <w:top w:val="nil"/>
              <w:left w:val="nil"/>
              <w:bottom w:val="single" w:color="000000" w:sz="4" w:space="0"/>
              <w:right w:val="single" w:color="000000" w:sz="4" w:space="0"/>
            </w:tcBorders>
            <w:shd w:val="clear" w:color="auto" w:fill="auto"/>
            <w:vAlign w:val="center"/>
          </w:tcPr>
          <w:p w14:paraId="0E29B517">
            <w:pPr>
              <w:widowControl/>
              <w:jc w:val="center"/>
              <w:rPr>
                <w:rFonts w:ascii="宋体" w:hAnsi="宋体" w:cs="宋体"/>
                <w:color w:val="000000"/>
                <w:kern w:val="0"/>
                <w:sz w:val="18"/>
                <w:szCs w:val="18"/>
              </w:rPr>
            </w:pPr>
            <w:r>
              <w:rPr>
                <w:rFonts w:hint="eastAsia" w:ascii="宋体" w:hAnsi="宋体" w:cs="宋体"/>
                <w:color w:val="000000"/>
                <w:kern w:val="0"/>
                <w:sz w:val="18"/>
                <w:szCs w:val="18"/>
              </w:rPr>
              <w:t>设备故障率</w:t>
            </w:r>
          </w:p>
        </w:tc>
        <w:tc>
          <w:tcPr>
            <w:tcW w:w="603" w:type="dxa"/>
            <w:tcBorders>
              <w:top w:val="nil"/>
              <w:left w:val="nil"/>
              <w:bottom w:val="single" w:color="000000" w:sz="4" w:space="0"/>
              <w:right w:val="single" w:color="000000" w:sz="4" w:space="0"/>
            </w:tcBorders>
            <w:shd w:val="clear" w:color="auto" w:fill="auto"/>
            <w:vAlign w:val="center"/>
          </w:tcPr>
          <w:p w14:paraId="2D031A7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0" w:type="dxa"/>
            <w:tcBorders>
              <w:top w:val="nil"/>
              <w:left w:val="nil"/>
              <w:bottom w:val="single" w:color="000000" w:sz="4" w:space="0"/>
              <w:right w:val="single" w:color="000000" w:sz="4" w:space="0"/>
            </w:tcBorders>
            <w:shd w:val="clear" w:color="auto" w:fill="auto"/>
            <w:vAlign w:val="center"/>
          </w:tcPr>
          <w:p w14:paraId="798B452D">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917" w:type="dxa"/>
            <w:tcBorders>
              <w:top w:val="nil"/>
              <w:left w:val="nil"/>
              <w:bottom w:val="single" w:color="000000" w:sz="4" w:space="0"/>
              <w:right w:val="single" w:color="000000" w:sz="4" w:space="0"/>
            </w:tcBorders>
            <w:shd w:val="clear" w:color="auto" w:fill="auto"/>
            <w:vAlign w:val="center"/>
          </w:tcPr>
          <w:p w14:paraId="616E819C">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26" w:type="dxa"/>
            <w:tcBorders>
              <w:top w:val="nil"/>
              <w:left w:val="nil"/>
              <w:bottom w:val="single" w:color="000000" w:sz="4" w:space="0"/>
              <w:right w:val="single" w:color="000000" w:sz="4" w:space="0"/>
            </w:tcBorders>
            <w:shd w:val="clear" w:color="auto" w:fill="auto"/>
            <w:vAlign w:val="center"/>
          </w:tcPr>
          <w:p w14:paraId="4F996C2F">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842" w:type="dxa"/>
            <w:tcBorders>
              <w:top w:val="nil"/>
              <w:left w:val="nil"/>
              <w:bottom w:val="single" w:color="000000" w:sz="4" w:space="0"/>
              <w:right w:val="single" w:color="000000" w:sz="4" w:space="0"/>
            </w:tcBorders>
            <w:shd w:val="clear" w:color="auto" w:fill="auto"/>
            <w:vAlign w:val="center"/>
          </w:tcPr>
          <w:p w14:paraId="7887BC59">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14:paraId="700CCA3A">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14:paraId="12572F43">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1C56ECDB">
        <w:tblPrEx>
          <w:tblCellMar>
            <w:top w:w="0" w:type="dxa"/>
            <w:left w:w="108" w:type="dxa"/>
            <w:bottom w:w="0" w:type="dxa"/>
            <w:right w:w="108" w:type="dxa"/>
          </w:tblCellMar>
        </w:tblPrEx>
        <w:trPr>
          <w:gridAfter w:val="1"/>
          <w:wAfter w:w="12"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14:paraId="3262E4DD">
            <w:pPr>
              <w:widowControl/>
              <w:jc w:val="left"/>
              <w:rPr>
                <w:rFonts w:ascii="宋体" w:hAnsi="宋体" w:cs="宋体"/>
                <w:color w:val="000000"/>
                <w:kern w:val="0"/>
                <w:sz w:val="18"/>
                <w:szCs w:val="18"/>
              </w:rPr>
            </w:pPr>
          </w:p>
        </w:tc>
        <w:tc>
          <w:tcPr>
            <w:tcW w:w="779" w:type="dxa"/>
            <w:vMerge w:val="continue"/>
            <w:tcBorders>
              <w:top w:val="nil"/>
              <w:left w:val="single" w:color="000000" w:sz="4" w:space="0"/>
              <w:bottom w:val="single" w:color="000000" w:sz="4" w:space="0"/>
              <w:right w:val="single" w:color="000000" w:sz="4" w:space="0"/>
            </w:tcBorders>
            <w:vAlign w:val="center"/>
          </w:tcPr>
          <w:p w14:paraId="3A19AEB2">
            <w:pPr>
              <w:widowControl/>
              <w:jc w:val="left"/>
              <w:rPr>
                <w:rFonts w:ascii="宋体" w:hAnsi="宋体" w:cs="宋体"/>
                <w:color w:val="000000"/>
                <w:kern w:val="0"/>
                <w:sz w:val="18"/>
                <w:szCs w:val="18"/>
              </w:rPr>
            </w:pPr>
          </w:p>
        </w:tc>
        <w:tc>
          <w:tcPr>
            <w:tcW w:w="1059" w:type="dxa"/>
            <w:vMerge w:val="continue"/>
            <w:tcBorders>
              <w:top w:val="nil"/>
              <w:left w:val="single" w:color="000000" w:sz="4" w:space="0"/>
              <w:bottom w:val="single" w:color="000000" w:sz="4" w:space="0"/>
              <w:right w:val="single" w:color="000000" w:sz="4" w:space="0"/>
            </w:tcBorders>
            <w:vAlign w:val="center"/>
          </w:tcPr>
          <w:p w14:paraId="2EECDAD2">
            <w:pPr>
              <w:widowControl/>
              <w:jc w:val="left"/>
              <w:rPr>
                <w:rFonts w:ascii="宋体" w:hAnsi="宋体" w:cs="宋体"/>
                <w:color w:val="000000"/>
                <w:kern w:val="0"/>
                <w:sz w:val="18"/>
                <w:szCs w:val="18"/>
              </w:rPr>
            </w:pPr>
          </w:p>
        </w:tc>
        <w:tc>
          <w:tcPr>
            <w:tcW w:w="1059" w:type="dxa"/>
            <w:tcBorders>
              <w:top w:val="nil"/>
              <w:left w:val="nil"/>
              <w:bottom w:val="single" w:color="000000" w:sz="4" w:space="0"/>
              <w:right w:val="single" w:color="000000" w:sz="4" w:space="0"/>
            </w:tcBorders>
            <w:shd w:val="clear" w:color="auto" w:fill="auto"/>
            <w:vAlign w:val="center"/>
          </w:tcPr>
          <w:p w14:paraId="1EDD67E8">
            <w:pPr>
              <w:widowControl/>
              <w:jc w:val="center"/>
              <w:rPr>
                <w:rFonts w:ascii="宋体" w:hAnsi="宋体" w:cs="宋体"/>
                <w:color w:val="000000"/>
                <w:kern w:val="0"/>
                <w:sz w:val="18"/>
                <w:szCs w:val="18"/>
              </w:rPr>
            </w:pPr>
            <w:r>
              <w:rPr>
                <w:rFonts w:hint="eastAsia" w:ascii="宋体" w:hAnsi="宋体" w:cs="宋体"/>
                <w:color w:val="000000"/>
                <w:kern w:val="0"/>
                <w:sz w:val="18"/>
                <w:szCs w:val="18"/>
              </w:rPr>
              <w:t>设备质量合格率</w:t>
            </w:r>
          </w:p>
        </w:tc>
        <w:tc>
          <w:tcPr>
            <w:tcW w:w="603" w:type="dxa"/>
            <w:tcBorders>
              <w:top w:val="nil"/>
              <w:left w:val="nil"/>
              <w:bottom w:val="single" w:color="000000" w:sz="4" w:space="0"/>
              <w:right w:val="single" w:color="000000" w:sz="4" w:space="0"/>
            </w:tcBorders>
            <w:shd w:val="clear" w:color="auto" w:fill="auto"/>
            <w:vAlign w:val="center"/>
          </w:tcPr>
          <w:p w14:paraId="138178DB">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0" w:type="dxa"/>
            <w:tcBorders>
              <w:top w:val="nil"/>
              <w:left w:val="nil"/>
              <w:bottom w:val="single" w:color="000000" w:sz="4" w:space="0"/>
              <w:right w:val="single" w:color="000000" w:sz="4" w:space="0"/>
            </w:tcBorders>
            <w:shd w:val="clear" w:color="auto" w:fill="auto"/>
            <w:vAlign w:val="center"/>
          </w:tcPr>
          <w:p w14:paraId="3D3EC5BF">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917" w:type="dxa"/>
            <w:tcBorders>
              <w:top w:val="nil"/>
              <w:left w:val="nil"/>
              <w:bottom w:val="single" w:color="000000" w:sz="4" w:space="0"/>
              <w:right w:val="single" w:color="000000" w:sz="4" w:space="0"/>
            </w:tcBorders>
            <w:shd w:val="clear" w:color="auto" w:fill="auto"/>
            <w:vAlign w:val="center"/>
          </w:tcPr>
          <w:p w14:paraId="161F2EB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26" w:type="dxa"/>
            <w:tcBorders>
              <w:top w:val="nil"/>
              <w:left w:val="nil"/>
              <w:bottom w:val="single" w:color="000000" w:sz="4" w:space="0"/>
              <w:right w:val="single" w:color="000000" w:sz="4" w:space="0"/>
            </w:tcBorders>
            <w:shd w:val="clear" w:color="auto" w:fill="auto"/>
            <w:vAlign w:val="center"/>
          </w:tcPr>
          <w:p w14:paraId="50C89635">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842" w:type="dxa"/>
            <w:tcBorders>
              <w:top w:val="nil"/>
              <w:left w:val="nil"/>
              <w:bottom w:val="single" w:color="000000" w:sz="4" w:space="0"/>
              <w:right w:val="single" w:color="000000" w:sz="4" w:space="0"/>
            </w:tcBorders>
            <w:shd w:val="clear" w:color="auto" w:fill="auto"/>
            <w:vAlign w:val="center"/>
          </w:tcPr>
          <w:p w14:paraId="0300A7BD">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822" w:type="dxa"/>
            <w:tcBorders>
              <w:top w:val="nil"/>
              <w:left w:val="nil"/>
              <w:bottom w:val="single" w:color="000000" w:sz="4" w:space="0"/>
              <w:right w:val="single" w:color="000000" w:sz="4" w:space="0"/>
            </w:tcBorders>
            <w:shd w:val="clear" w:color="auto" w:fill="auto"/>
            <w:vAlign w:val="center"/>
          </w:tcPr>
          <w:p w14:paraId="3E623B8D">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822" w:type="dxa"/>
            <w:tcBorders>
              <w:top w:val="nil"/>
              <w:left w:val="nil"/>
              <w:bottom w:val="single" w:color="000000" w:sz="4" w:space="0"/>
              <w:right w:val="single" w:color="000000" w:sz="4" w:space="0"/>
            </w:tcBorders>
            <w:shd w:val="clear" w:color="auto" w:fill="auto"/>
            <w:vAlign w:val="center"/>
          </w:tcPr>
          <w:p w14:paraId="28C82918">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7AEAD053">
        <w:tblPrEx>
          <w:tblCellMar>
            <w:top w:w="0" w:type="dxa"/>
            <w:left w:w="108" w:type="dxa"/>
            <w:bottom w:w="0" w:type="dxa"/>
            <w:right w:w="108" w:type="dxa"/>
          </w:tblCellMar>
        </w:tblPrEx>
        <w:trPr>
          <w:gridAfter w:val="1"/>
          <w:wAfter w:w="12"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14:paraId="120784A8">
            <w:pPr>
              <w:widowControl/>
              <w:jc w:val="left"/>
              <w:rPr>
                <w:rFonts w:ascii="宋体" w:hAnsi="宋体" w:cs="宋体"/>
                <w:color w:val="000000"/>
                <w:kern w:val="0"/>
                <w:sz w:val="18"/>
                <w:szCs w:val="18"/>
              </w:rPr>
            </w:pPr>
          </w:p>
        </w:tc>
        <w:tc>
          <w:tcPr>
            <w:tcW w:w="779" w:type="dxa"/>
            <w:vMerge w:val="restart"/>
            <w:tcBorders>
              <w:top w:val="nil"/>
              <w:left w:val="single" w:color="000000" w:sz="4" w:space="0"/>
              <w:bottom w:val="single" w:color="000000" w:sz="4" w:space="0"/>
              <w:right w:val="single" w:color="000000" w:sz="4" w:space="0"/>
            </w:tcBorders>
            <w:shd w:val="clear" w:color="auto" w:fill="auto"/>
            <w:vAlign w:val="center"/>
          </w:tcPr>
          <w:p w14:paraId="35524025">
            <w:pPr>
              <w:widowControl/>
              <w:jc w:val="center"/>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1059" w:type="dxa"/>
            <w:tcBorders>
              <w:top w:val="nil"/>
              <w:left w:val="nil"/>
              <w:bottom w:val="single" w:color="000000" w:sz="4" w:space="0"/>
              <w:right w:val="single" w:color="000000" w:sz="4" w:space="0"/>
            </w:tcBorders>
            <w:shd w:val="clear" w:color="auto" w:fill="auto"/>
            <w:vAlign w:val="center"/>
          </w:tcPr>
          <w:p w14:paraId="7D9FBEB5">
            <w:pPr>
              <w:widowControl/>
              <w:jc w:val="center"/>
              <w:rPr>
                <w:rFonts w:ascii="宋体" w:hAnsi="宋体" w:cs="宋体"/>
                <w:color w:val="000000"/>
                <w:kern w:val="0"/>
                <w:sz w:val="18"/>
                <w:szCs w:val="18"/>
              </w:rPr>
            </w:pPr>
            <w:r>
              <w:rPr>
                <w:rFonts w:hint="eastAsia" w:ascii="宋体" w:hAnsi="宋体" w:cs="宋体"/>
                <w:color w:val="000000"/>
                <w:kern w:val="0"/>
                <w:sz w:val="18"/>
                <w:szCs w:val="18"/>
              </w:rPr>
              <w:t>社会效益指标</w:t>
            </w:r>
          </w:p>
        </w:tc>
        <w:tc>
          <w:tcPr>
            <w:tcW w:w="1059" w:type="dxa"/>
            <w:tcBorders>
              <w:top w:val="nil"/>
              <w:left w:val="nil"/>
              <w:bottom w:val="single" w:color="000000" w:sz="4" w:space="0"/>
              <w:right w:val="single" w:color="000000" w:sz="4" w:space="0"/>
            </w:tcBorders>
            <w:shd w:val="clear" w:color="auto" w:fill="auto"/>
            <w:vAlign w:val="center"/>
          </w:tcPr>
          <w:p w14:paraId="6B3945F5">
            <w:pPr>
              <w:widowControl/>
              <w:jc w:val="center"/>
              <w:rPr>
                <w:rFonts w:ascii="宋体" w:hAnsi="宋体" w:cs="宋体"/>
                <w:color w:val="000000"/>
                <w:kern w:val="0"/>
                <w:sz w:val="18"/>
                <w:szCs w:val="18"/>
              </w:rPr>
            </w:pPr>
            <w:r>
              <w:rPr>
                <w:rFonts w:hint="eastAsia" w:ascii="宋体" w:hAnsi="宋体" w:cs="宋体"/>
                <w:color w:val="000000"/>
                <w:kern w:val="0"/>
                <w:sz w:val="18"/>
                <w:szCs w:val="18"/>
              </w:rPr>
              <w:t>设备利用率</w:t>
            </w:r>
          </w:p>
        </w:tc>
        <w:tc>
          <w:tcPr>
            <w:tcW w:w="603" w:type="dxa"/>
            <w:tcBorders>
              <w:top w:val="nil"/>
              <w:left w:val="nil"/>
              <w:bottom w:val="single" w:color="000000" w:sz="4" w:space="0"/>
              <w:right w:val="single" w:color="000000" w:sz="4" w:space="0"/>
            </w:tcBorders>
            <w:shd w:val="clear" w:color="auto" w:fill="auto"/>
            <w:vAlign w:val="center"/>
          </w:tcPr>
          <w:p w14:paraId="21AFE566">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0" w:type="dxa"/>
            <w:tcBorders>
              <w:top w:val="nil"/>
              <w:left w:val="nil"/>
              <w:bottom w:val="single" w:color="000000" w:sz="4" w:space="0"/>
              <w:right w:val="single" w:color="000000" w:sz="4" w:space="0"/>
            </w:tcBorders>
            <w:shd w:val="clear" w:color="auto" w:fill="auto"/>
            <w:vAlign w:val="center"/>
          </w:tcPr>
          <w:p w14:paraId="066D02FA">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917" w:type="dxa"/>
            <w:tcBorders>
              <w:top w:val="nil"/>
              <w:left w:val="nil"/>
              <w:bottom w:val="single" w:color="000000" w:sz="4" w:space="0"/>
              <w:right w:val="single" w:color="000000" w:sz="4" w:space="0"/>
            </w:tcBorders>
            <w:shd w:val="clear" w:color="auto" w:fill="auto"/>
            <w:vAlign w:val="center"/>
          </w:tcPr>
          <w:p w14:paraId="5299236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26" w:type="dxa"/>
            <w:tcBorders>
              <w:top w:val="nil"/>
              <w:left w:val="nil"/>
              <w:bottom w:val="single" w:color="000000" w:sz="4" w:space="0"/>
              <w:right w:val="single" w:color="000000" w:sz="4" w:space="0"/>
            </w:tcBorders>
            <w:shd w:val="clear" w:color="auto" w:fill="auto"/>
            <w:vAlign w:val="center"/>
          </w:tcPr>
          <w:p w14:paraId="32E15E51">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842" w:type="dxa"/>
            <w:tcBorders>
              <w:top w:val="nil"/>
              <w:left w:val="nil"/>
              <w:bottom w:val="single" w:color="000000" w:sz="4" w:space="0"/>
              <w:right w:val="single" w:color="000000" w:sz="4" w:space="0"/>
            </w:tcBorders>
            <w:shd w:val="clear" w:color="auto" w:fill="auto"/>
            <w:vAlign w:val="center"/>
          </w:tcPr>
          <w:p w14:paraId="0463CA0E">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14:paraId="176898A4">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14:paraId="077084F0">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1CB6352A">
        <w:tblPrEx>
          <w:tblCellMar>
            <w:top w:w="0" w:type="dxa"/>
            <w:left w:w="108" w:type="dxa"/>
            <w:bottom w:w="0" w:type="dxa"/>
            <w:right w:w="108" w:type="dxa"/>
          </w:tblCellMar>
        </w:tblPrEx>
        <w:trPr>
          <w:gridAfter w:val="1"/>
          <w:wAfter w:w="12"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14:paraId="51F926FE">
            <w:pPr>
              <w:widowControl/>
              <w:jc w:val="left"/>
              <w:rPr>
                <w:rFonts w:ascii="宋体" w:hAnsi="宋体" w:cs="宋体"/>
                <w:color w:val="000000"/>
                <w:kern w:val="0"/>
                <w:sz w:val="18"/>
                <w:szCs w:val="18"/>
              </w:rPr>
            </w:pPr>
          </w:p>
        </w:tc>
        <w:tc>
          <w:tcPr>
            <w:tcW w:w="779" w:type="dxa"/>
            <w:vMerge w:val="continue"/>
            <w:tcBorders>
              <w:top w:val="nil"/>
              <w:left w:val="single" w:color="000000" w:sz="4" w:space="0"/>
              <w:bottom w:val="single" w:color="000000" w:sz="4" w:space="0"/>
              <w:right w:val="single" w:color="000000" w:sz="4" w:space="0"/>
            </w:tcBorders>
            <w:vAlign w:val="center"/>
          </w:tcPr>
          <w:p w14:paraId="1FACA37E">
            <w:pPr>
              <w:widowControl/>
              <w:jc w:val="left"/>
              <w:rPr>
                <w:rFonts w:ascii="宋体" w:hAnsi="宋体" w:cs="宋体"/>
                <w:color w:val="000000"/>
                <w:kern w:val="0"/>
                <w:sz w:val="18"/>
                <w:szCs w:val="18"/>
              </w:rPr>
            </w:pPr>
          </w:p>
        </w:tc>
        <w:tc>
          <w:tcPr>
            <w:tcW w:w="1059" w:type="dxa"/>
            <w:tcBorders>
              <w:top w:val="nil"/>
              <w:left w:val="nil"/>
              <w:bottom w:val="single" w:color="000000" w:sz="4" w:space="0"/>
              <w:right w:val="single" w:color="000000" w:sz="4" w:space="0"/>
            </w:tcBorders>
            <w:shd w:val="clear" w:color="auto" w:fill="auto"/>
            <w:vAlign w:val="center"/>
          </w:tcPr>
          <w:p w14:paraId="020E2734">
            <w:pPr>
              <w:widowControl/>
              <w:jc w:val="center"/>
              <w:rPr>
                <w:rFonts w:ascii="宋体" w:hAnsi="宋体" w:cs="宋体"/>
                <w:color w:val="000000"/>
                <w:kern w:val="0"/>
                <w:sz w:val="18"/>
                <w:szCs w:val="18"/>
              </w:rPr>
            </w:pPr>
            <w:r>
              <w:rPr>
                <w:rFonts w:hint="eastAsia" w:ascii="宋体" w:hAnsi="宋体" w:cs="宋体"/>
                <w:color w:val="000000"/>
                <w:kern w:val="0"/>
                <w:sz w:val="18"/>
                <w:szCs w:val="18"/>
              </w:rPr>
              <w:t>可持续发展指标</w:t>
            </w:r>
          </w:p>
        </w:tc>
        <w:tc>
          <w:tcPr>
            <w:tcW w:w="1059" w:type="dxa"/>
            <w:tcBorders>
              <w:top w:val="nil"/>
              <w:left w:val="nil"/>
              <w:bottom w:val="single" w:color="000000" w:sz="4" w:space="0"/>
              <w:right w:val="single" w:color="000000" w:sz="4" w:space="0"/>
            </w:tcBorders>
            <w:shd w:val="clear" w:color="auto" w:fill="auto"/>
            <w:vAlign w:val="center"/>
          </w:tcPr>
          <w:p w14:paraId="198566A9">
            <w:pPr>
              <w:widowControl/>
              <w:jc w:val="center"/>
              <w:rPr>
                <w:rFonts w:ascii="宋体" w:hAnsi="宋体" w:cs="宋体"/>
                <w:color w:val="000000"/>
                <w:kern w:val="0"/>
                <w:sz w:val="18"/>
                <w:szCs w:val="18"/>
              </w:rPr>
            </w:pPr>
            <w:r>
              <w:rPr>
                <w:rFonts w:hint="eastAsia" w:ascii="宋体" w:hAnsi="宋体" w:cs="宋体"/>
                <w:color w:val="000000"/>
                <w:kern w:val="0"/>
                <w:sz w:val="18"/>
                <w:szCs w:val="18"/>
              </w:rPr>
              <w:t>提升应急救援能力</w:t>
            </w:r>
          </w:p>
        </w:tc>
        <w:tc>
          <w:tcPr>
            <w:tcW w:w="603" w:type="dxa"/>
            <w:tcBorders>
              <w:top w:val="nil"/>
              <w:left w:val="nil"/>
              <w:bottom w:val="single" w:color="000000" w:sz="4" w:space="0"/>
              <w:right w:val="single" w:color="000000" w:sz="4" w:space="0"/>
            </w:tcBorders>
            <w:shd w:val="clear" w:color="auto" w:fill="auto"/>
            <w:vAlign w:val="center"/>
          </w:tcPr>
          <w:p w14:paraId="60E079F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0" w:type="dxa"/>
            <w:tcBorders>
              <w:top w:val="nil"/>
              <w:left w:val="nil"/>
              <w:bottom w:val="single" w:color="000000" w:sz="4" w:space="0"/>
              <w:right w:val="single" w:color="000000" w:sz="4" w:space="0"/>
            </w:tcBorders>
            <w:shd w:val="clear" w:color="auto" w:fill="auto"/>
            <w:vAlign w:val="center"/>
          </w:tcPr>
          <w:p w14:paraId="63F27453">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17" w:type="dxa"/>
            <w:tcBorders>
              <w:top w:val="nil"/>
              <w:left w:val="nil"/>
              <w:bottom w:val="single" w:color="000000" w:sz="4" w:space="0"/>
              <w:right w:val="single" w:color="000000" w:sz="4" w:space="0"/>
            </w:tcBorders>
            <w:shd w:val="clear" w:color="auto" w:fill="auto"/>
            <w:vAlign w:val="center"/>
          </w:tcPr>
          <w:p w14:paraId="419C26E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26" w:type="dxa"/>
            <w:tcBorders>
              <w:top w:val="nil"/>
              <w:left w:val="nil"/>
              <w:bottom w:val="single" w:color="000000" w:sz="4" w:space="0"/>
              <w:right w:val="single" w:color="000000" w:sz="4" w:space="0"/>
            </w:tcBorders>
            <w:shd w:val="clear" w:color="auto" w:fill="auto"/>
            <w:vAlign w:val="center"/>
          </w:tcPr>
          <w:p w14:paraId="1D166774">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w:t>
            </w:r>
          </w:p>
        </w:tc>
        <w:tc>
          <w:tcPr>
            <w:tcW w:w="842" w:type="dxa"/>
            <w:tcBorders>
              <w:top w:val="nil"/>
              <w:left w:val="nil"/>
              <w:bottom w:val="single" w:color="000000" w:sz="4" w:space="0"/>
              <w:right w:val="single" w:color="000000" w:sz="4" w:space="0"/>
            </w:tcBorders>
            <w:shd w:val="clear" w:color="auto" w:fill="auto"/>
            <w:vAlign w:val="center"/>
          </w:tcPr>
          <w:p w14:paraId="358E728A">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14:paraId="4722117C">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14:paraId="239542E4">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5D58C0EB">
        <w:tblPrEx>
          <w:tblCellMar>
            <w:top w:w="0" w:type="dxa"/>
            <w:left w:w="108" w:type="dxa"/>
            <w:bottom w:w="0" w:type="dxa"/>
            <w:right w:w="108" w:type="dxa"/>
          </w:tblCellMar>
        </w:tblPrEx>
        <w:trPr>
          <w:gridAfter w:val="1"/>
          <w:wAfter w:w="12"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14:paraId="067784BC">
            <w:pPr>
              <w:widowControl/>
              <w:jc w:val="left"/>
              <w:rPr>
                <w:rFonts w:ascii="宋体" w:hAnsi="宋体" w:cs="宋体"/>
                <w:color w:val="000000"/>
                <w:kern w:val="0"/>
                <w:sz w:val="18"/>
                <w:szCs w:val="18"/>
              </w:rPr>
            </w:pPr>
          </w:p>
        </w:tc>
        <w:tc>
          <w:tcPr>
            <w:tcW w:w="779" w:type="dxa"/>
            <w:vMerge w:val="continue"/>
            <w:tcBorders>
              <w:top w:val="nil"/>
              <w:left w:val="single" w:color="000000" w:sz="4" w:space="0"/>
              <w:bottom w:val="single" w:color="000000" w:sz="4" w:space="0"/>
              <w:right w:val="single" w:color="000000" w:sz="4" w:space="0"/>
            </w:tcBorders>
            <w:vAlign w:val="center"/>
          </w:tcPr>
          <w:p w14:paraId="6FFC87E7">
            <w:pPr>
              <w:widowControl/>
              <w:jc w:val="left"/>
              <w:rPr>
                <w:rFonts w:ascii="宋体" w:hAnsi="宋体" w:cs="宋体"/>
                <w:color w:val="000000"/>
                <w:kern w:val="0"/>
                <w:sz w:val="18"/>
                <w:szCs w:val="18"/>
              </w:rPr>
            </w:pPr>
          </w:p>
        </w:tc>
        <w:tc>
          <w:tcPr>
            <w:tcW w:w="1059" w:type="dxa"/>
            <w:tcBorders>
              <w:top w:val="nil"/>
              <w:left w:val="nil"/>
              <w:bottom w:val="single" w:color="000000" w:sz="4" w:space="0"/>
              <w:right w:val="single" w:color="000000" w:sz="4" w:space="0"/>
            </w:tcBorders>
            <w:shd w:val="clear" w:color="auto" w:fill="auto"/>
            <w:vAlign w:val="center"/>
          </w:tcPr>
          <w:p w14:paraId="7A45A1FF">
            <w:pPr>
              <w:widowControl/>
              <w:jc w:val="center"/>
              <w:rPr>
                <w:rFonts w:ascii="宋体" w:hAnsi="宋体" w:cs="宋体"/>
                <w:color w:val="000000"/>
                <w:kern w:val="0"/>
                <w:sz w:val="18"/>
                <w:szCs w:val="18"/>
              </w:rPr>
            </w:pPr>
            <w:r>
              <w:rPr>
                <w:rFonts w:hint="eastAsia" w:ascii="宋体" w:hAnsi="宋体" w:cs="宋体"/>
                <w:color w:val="000000"/>
                <w:kern w:val="0"/>
                <w:sz w:val="18"/>
                <w:szCs w:val="18"/>
              </w:rPr>
              <w:t>可持续影响指标</w:t>
            </w:r>
          </w:p>
        </w:tc>
        <w:tc>
          <w:tcPr>
            <w:tcW w:w="1059" w:type="dxa"/>
            <w:tcBorders>
              <w:top w:val="nil"/>
              <w:left w:val="nil"/>
              <w:bottom w:val="single" w:color="000000" w:sz="4" w:space="0"/>
              <w:right w:val="single" w:color="000000" w:sz="4" w:space="0"/>
            </w:tcBorders>
            <w:shd w:val="clear" w:color="auto" w:fill="auto"/>
            <w:vAlign w:val="center"/>
          </w:tcPr>
          <w:p w14:paraId="7F255CA6">
            <w:pPr>
              <w:widowControl/>
              <w:jc w:val="center"/>
              <w:rPr>
                <w:rFonts w:ascii="宋体" w:hAnsi="宋体" w:cs="宋体"/>
                <w:color w:val="000000"/>
                <w:kern w:val="0"/>
                <w:sz w:val="18"/>
                <w:szCs w:val="18"/>
              </w:rPr>
            </w:pPr>
            <w:r>
              <w:rPr>
                <w:rFonts w:hint="eastAsia" w:ascii="宋体" w:hAnsi="宋体" w:cs="宋体"/>
                <w:color w:val="000000"/>
                <w:kern w:val="0"/>
                <w:sz w:val="18"/>
                <w:szCs w:val="18"/>
              </w:rPr>
              <w:t>设备使用年限</w:t>
            </w:r>
          </w:p>
        </w:tc>
        <w:tc>
          <w:tcPr>
            <w:tcW w:w="603" w:type="dxa"/>
            <w:tcBorders>
              <w:top w:val="nil"/>
              <w:left w:val="nil"/>
              <w:bottom w:val="single" w:color="000000" w:sz="4" w:space="0"/>
              <w:right w:val="single" w:color="000000" w:sz="4" w:space="0"/>
            </w:tcBorders>
            <w:shd w:val="clear" w:color="auto" w:fill="auto"/>
            <w:vAlign w:val="center"/>
          </w:tcPr>
          <w:p w14:paraId="1AF9381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0" w:type="dxa"/>
            <w:tcBorders>
              <w:top w:val="nil"/>
              <w:left w:val="nil"/>
              <w:bottom w:val="single" w:color="000000" w:sz="4" w:space="0"/>
              <w:right w:val="single" w:color="000000" w:sz="4" w:space="0"/>
            </w:tcBorders>
            <w:shd w:val="clear" w:color="auto" w:fill="auto"/>
            <w:vAlign w:val="center"/>
          </w:tcPr>
          <w:p w14:paraId="7B252B28">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917" w:type="dxa"/>
            <w:tcBorders>
              <w:top w:val="nil"/>
              <w:left w:val="nil"/>
              <w:bottom w:val="single" w:color="000000" w:sz="4" w:space="0"/>
              <w:right w:val="single" w:color="000000" w:sz="4" w:space="0"/>
            </w:tcBorders>
            <w:shd w:val="clear" w:color="auto" w:fill="auto"/>
            <w:vAlign w:val="center"/>
          </w:tcPr>
          <w:p w14:paraId="3DA1E075">
            <w:pPr>
              <w:widowControl/>
              <w:jc w:val="center"/>
              <w:rPr>
                <w:rFonts w:ascii="宋体" w:hAnsi="宋体" w:cs="宋体"/>
                <w:color w:val="000000"/>
                <w:kern w:val="0"/>
                <w:sz w:val="18"/>
                <w:szCs w:val="18"/>
              </w:rPr>
            </w:pPr>
            <w:r>
              <w:rPr>
                <w:rFonts w:hint="eastAsia" w:ascii="宋体" w:hAnsi="宋体" w:cs="宋体"/>
                <w:color w:val="000000"/>
                <w:kern w:val="0"/>
                <w:sz w:val="18"/>
                <w:szCs w:val="18"/>
              </w:rPr>
              <w:t>年</w:t>
            </w:r>
          </w:p>
        </w:tc>
        <w:tc>
          <w:tcPr>
            <w:tcW w:w="1026" w:type="dxa"/>
            <w:tcBorders>
              <w:top w:val="nil"/>
              <w:left w:val="nil"/>
              <w:bottom w:val="single" w:color="000000" w:sz="4" w:space="0"/>
              <w:right w:val="single" w:color="000000" w:sz="4" w:space="0"/>
            </w:tcBorders>
            <w:shd w:val="clear" w:color="auto" w:fill="auto"/>
            <w:vAlign w:val="center"/>
          </w:tcPr>
          <w:p w14:paraId="23360ABB">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5</w:t>
            </w:r>
          </w:p>
        </w:tc>
        <w:tc>
          <w:tcPr>
            <w:tcW w:w="842" w:type="dxa"/>
            <w:tcBorders>
              <w:top w:val="nil"/>
              <w:left w:val="nil"/>
              <w:bottom w:val="single" w:color="000000" w:sz="4" w:space="0"/>
              <w:right w:val="single" w:color="000000" w:sz="4" w:space="0"/>
            </w:tcBorders>
            <w:shd w:val="clear" w:color="auto" w:fill="auto"/>
            <w:vAlign w:val="center"/>
          </w:tcPr>
          <w:p w14:paraId="14A17386">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14:paraId="0FF6E688">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14:paraId="02C01881">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37D28EF5">
        <w:tblPrEx>
          <w:tblCellMar>
            <w:top w:w="0" w:type="dxa"/>
            <w:left w:w="108" w:type="dxa"/>
            <w:bottom w:w="0" w:type="dxa"/>
            <w:right w:w="108" w:type="dxa"/>
          </w:tblCellMar>
        </w:tblPrEx>
        <w:trPr>
          <w:gridAfter w:val="1"/>
          <w:wAfter w:w="12" w:type="dxa"/>
          <w:trHeight w:val="449" w:hRule="atLeast"/>
        </w:trPr>
        <w:tc>
          <w:tcPr>
            <w:tcW w:w="778" w:type="dxa"/>
            <w:vMerge w:val="continue"/>
            <w:tcBorders>
              <w:top w:val="nil"/>
              <w:left w:val="single" w:color="000000" w:sz="4" w:space="0"/>
              <w:bottom w:val="single" w:color="000000" w:sz="4" w:space="0"/>
              <w:right w:val="single" w:color="000000" w:sz="4" w:space="0"/>
            </w:tcBorders>
            <w:vAlign w:val="center"/>
          </w:tcPr>
          <w:p w14:paraId="143FF0FA">
            <w:pPr>
              <w:widowControl/>
              <w:jc w:val="left"/>
              <w:rPr>
                <w:rFonts w:ascii="宋体" w:hAnsi="宋体" w:cs="宋体"/>
                <w:color w:val="000000"/>
                <w:kern w:val="0"/>
                <w:sz w:val="18"/>
                <w:szCs w:val="18"/>
              </w:rPr>
            </w:pPr>
          </w:p>
        </w:tc>
        <w:tc>
          <w:tcPr>
            <w:tcW w:w="779" w:type="dxa"/>
            <w:tcBorders>
              <w:top w:val="nil"/>
              <w:left w:val="nil"/>
              <w:bottom w:val="single" w:color="000000" w:sz="4" w:space="0"/>
              <w:right w:val="single" w:color="000000" w:sz="4" w:space="0"/>
            </w:tcBorders>
            <w:shd w:val="clear" w:color="auto" w:fill="auto"/>
            <w:vAlign w:val="center"/>
          </w:tcPr>
          <w:p w14:paraId="2A500240">
            <w:pPr>
              <w:widowControl/>
              <w:jc w:val="center"/>
              <w:rPr>
                <w:rFonts w:ascii="宋体" w:hAnsi="宋体" w:cs="宋体"/>
                <w:color w:val="000000"/>
                <w:kern w:val="0"/>
                <w:sz w:val="18"/>
                <w:szCs w:val="18"/>
              </w:rPr>
            </w:pPr>
            <w:r>
              <w:rPr>
                <w:rFonts w:hint="eastAsia" w:ascii="宋体" w:hAnsi="宋体" w:cs="宋体"/>
                <w:color w:val="000000"/>
                <w:kern w:val="0"/>
                <w:sz w:val="18"/>
                <w:szCs w:val="18"/>
              </w:rPr>
              <w:t>满意度指标</w:t>
            </w:r>
          </w:p>
        </w:tc>
        <w:tc>
          <w:tcPr>
            <w:tcW w:w="1059" w:type="dxa"/>
            <w:tcBorders>
              <w:top w:val="nil"/>
              <w:left w:val="nil"/>
              <w:bottom w:val="single" w:color="000000" w:sz="4" w:space="0"/>
              <w:right w:val="single" w:color="000000" w:sz="4" w:space="0"/>
            </w:tcBorders>
            <w:shd w:val="clear" w:color="auto" w:fill="auto"/>
            <w:vAlign w:val="center"/>
          </w:tcPr>
          <w:p w14:paraId="6752B4EE">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服务对象满意度指标</w:t>
            </w:r>
          </w:p>
        </w:tc>
        <w:tc>
          <w:tcPr>
            <w:tcW w:w="1059" w:type="dxa"/>
            <w:tcBorders>
              <w:top w:val="nil"/>
              <w:left w:val="nil"/>
              <w:bottom w:val="single" w:color="000000" w:sz="4" w:space="0"/>
              <w:right w:val="single" w:color="000000" w:sz="4" w:space="0"/>
            </w:tcBorders>
            <w:shd w:val="clear" w:color="auto" w:fill="auto"/>
            <w:vAlign w:val="center"/>
          </w:tcPr>
          <w:p w14:paraId="542906DB">
            <w:pPr>
              <w:widowControl/>
              <w:jc w:val="center"/>
              <w:rPr>
                <w:rFonts w:ascii="宋体" w:hAnsi="宋体" w:cs="宋体"/>
                <w:color w:val="000000"/>
                <w:kern w:val="0"/>
                <w:sz w:val="18"/>
                <w:szCs w:val="18"/>
              </w:rPr>
            </w:pPr>
            <w:r>
              <w:rPr>
                <w:rFonts w:hint="eastAsia" w:ascii="宋体" w:hAnsi="宋体" w:cs="宋体"/>
                <w:color w:val="000000"/>
                <w:kern w:val="0"/>
                <w:sz w:val="18"/>
                <w:szCs w:val="18"/>
              </w:rPr>
              <w:t>使用人员满意度</w:t>
            </w:r>
          </w:p>
        </w:tc>
        <w:tc>
          <w:tcPr>
            <w:tcW w:w="603" w:type="dxa"/>
            <w:tcBorders>
              <w:top w:val="nil"/>
              <w:left w:val="nil"/>
              <w:bottom w:val="single" w:color="000000" w:sz="4" w:space="0"/>
              <w:right w:val="single" w:color="000000" w:sz="4" w:space="0"/>
            </w:tcBorders>
            <w:shd w:val="clear" w:color="auto" w:fill="auto"/>
            <w:vAlign w:val="center"/>
          </w:tcPr>
          <w:p w14:paraId="1986172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0" w:type="dxa"/>
            <w:tcBorders>
              <w:top w:val="nil"/>
              <w:left w:val="nil"/>
              <w:bottom w:val="single" w:color="000000" w:sz="4" w:space="0"/>
              <w:right w:val="single" w:color="000000" w:sz="4" w:space="0"/>
            </w:tcBorders>
            <w:shd w:val="clear" w:color="auto" w:fill="auto"/>
            <w:vAlign w:val="center"/>
          </w:tcPr>
          <w:p w14:paraId="5A1181F1">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917" w:type="dxa"/>
            <w:tcBorders>
              <w:top w:val="nil"/>
              <w:left w:val="nil"/>
              <w:bottom w:val="single" w:color="000000" w:sz="4" w:space="0"/>
              <w:right w:val="single" w:color="000000" w:sz="4" w:space="0"/>
            </w:tcBorders>
            <w:shd w:val="clear" w:color="auto" w:fill="auto"/>
            <w:vAlign w:val="center"/>
          </w:tcPr>
          <w:p w14:paraId="3737491C">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26" w:type="dxa"/>
            <w:tcBorders>
              <w:top w:val="nil"/>
              <w:left w:val="nil"/>
              <w:bottom w:val="single" w:color="000000" w:sz="4" w:space="0"/>
              <w:right w:val="single" w:color="000000" w:sz="4" w:space="0"/>
            </w:tcBorders>
            <w:shd w:val="clear" w:color="auto" w:fill="auto"/>
            <w:vAlign w:val="center"/>
          </w:tcPr>
          <w:p w14:paraId="13A2AB62">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842" w:type="dxa"/>
            <w:tcBorders>
              <w:top w:val="nil"/>
              <w:left w:val="nil"/>
              <w:bottom w:val="single" w:color="000000" w:sz="4" w:space="0"/>
              <w:right w:val="single" w:color="000000" w:sz="4" w:space="0"/>
            </w:tcBorders>
            <w:shd w:val="clear" w:color="auto" w:fill="auto"/>
            <w:vAlign w:val="center"/>
          </w:tcPr>
          <w:p w14:paraId="4DEFE637">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14:paraId="229F2F29">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2" w:type="dxa"/>
            <w:tcBorders>
              <w:top w:val="nil"/>
              <w:left w:val="nil"/>
              <w:bottom w:val="single" w:color="000000" w:sz="4" w:space="0"/>
              <w:right w:val="single" w:color="000000" w:sz="4" w:space="0"/>
            </w:tcBorders>
            <w:shd w:val="clear" w:color="auto" w:fill="auto"/>
            <w:vAlign w:val="center"/>
          </w:tcPr>
          <w:p w14:paraId="72F00954">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05B8936A">
        <w:tblPrEx>
          <w:tblCellMar>
            <w:top w:w="0" w:type="dxa"/>
            <w:left w:w="108" w:type="dxa"/>
            <w:bottom w:w="0" w:type="dxa"/>
            <w:right w:w="108" w:type="dxa"/>
          </w:tblCellMar>
        </w:tblPrEx>
        <w:trPr>
          <w:trHeight w:val="418" w:hRule="atLeast"/>
        </w:trPr>
        <w:tc>
          <w:tcPr>
            <w:tcW w:w="68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81A0653">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842" w:type="dxa"/>
            <w:tcBorders>
              <w:top w:val="nil"/>
              <w:left w:val="nil"/>
              <w:bottom w:val="single" w:color="000000" w:sz="4" w:space="0"/>
              <w:right w:val="single" w:color="000000" w:sz="4" w:space="0"/>
            </w:tcBorders>
            <w:shd w:val="clear" w:color="auto" w:fill="auto"/>
            <w:vAlign w:val="center"/>
          </w:tcPr>
          <w:p w14:paraId="6E7E915A">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2" w:type="dxa"/>
            <w:tcBorders>
              <w:top w:val="nil"/>
              <w:left w:val="nil"/>
              <w:bottom w:val="single" w:color="000000" w:sz="4" w:space="0"/>
              <w:right w:val="single" w:color="000000" w:sz="4" w:space="0"/>
            </w:tcBorders>
            <w:shd w:val="clear" w:color="auto" w:fill="auto"/>
            <w:vAlign w:val="center"/>
          </w:tcPr>
          <w:p w14:paraId="04B789B9">
            <w:pPr>
              <w:widowControl/>
              <w:jc w:val="right"/>
              <w:rPr>
                <w:rFonts w:ascii="宋体" w:hAnsi="宋体" w:cs="宋体"/>
                <w:color w:val="000000"/>
                <w:kern w:val="0"/>
                <w:sz w:val="18"/>
                <w:szCs w:val="18"/>
              </w:rPr>
            </w:pPr>
            <w:r>
              <w:rPr>
                <w:rFonts w:hint="eastAsia" w:ascii="宋体" w:hAnsi="宋体" w:cs="宋体"/>
                <w:color w:val="000000"/>
                <w:kern w:val="0"/>
                <w:sz w:val="18"/>
                <w:szCs w:val="18"/>
              </w:rPr>
              <w:t>98</w:t>
            </w:r>
          </w:p>
        </w:tc>
        <w:tc>
          <w:tcPr>
            <w:tcW w:w="829" w:type="dxa"/>
            <w:gridSpan w:val="2"/>
            <w:tcBorders>
              <w:top w:val="nil"/>
              <w:left w:val="nil"/>
              <w:bottom w:val="single" w:color="000000" w:sz="4" w:space="0"/>
              <w:right w:val="single" w:color="000000" w:sz="4" w:space="0"/>
            </w:tcBorders>
            <w:shd w:val="clear" w:color="auto" w:fill="auto"/>
            <w:vAlign w:val="center"/>
          </w:tcPr>
          <w:p w14:paraId="68B9CFF7">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14:paraId="1369C0FC">
        <w:tblPrEx>
          <w:tblCellMar>
            <w:top w:w="0" w:type="dxa"/>
            <w:left w:w="108" w:type="dxa"/>
            <w:bottom w:w="0" w:type="dxa"/>
            <w:right w:w="108" w:type="dxa"/>
          </w:tblCellMar>
        </w:tblPrEx>
        <w:trPr>
          <w:trHeight w:val="554" w:hRule="atLeast"/>
        </w:trPr>
        <w:tc>
          <w:tcPr>
            <w:tcW w:w="778" w:type="dxa"/>
            <w:tcBorders>
              <w:top w:val="nil"/>
              <w:left w:val="single" w:color="000000" w:sz="4" w:space="0"/>
              <w:bottom w:val="single" w:color="000000" w:sz="4" w:space="0"/>
              <w:right w:val="single" w:color="000000" w:sz="4" w:space="0"/>
            </w:tcBorders>
            <w:shd w:val="clear" w:color="auto" w:fill="auto"/>
            <w:vAlign w:val="center"/>
          </w:tcPr>
          <w:p w14:paraId="6A932103">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8561" w:type="dxa"/>
            <w:gridSpan w:val="11"/>
            <w:tcBorders>
              <w:top w:val="single" w:color="000000" w:sz="4" w:space="0"/>
              <w:left w:val="nil"/>
              <w:bottom w:val="single" w:color="000000" w:sz="4" w:space="0"/>
              <w:right w:val="single" w:color="000000" w:sz="4" w:space="0"/>
            </w:tcBorders>
            <w:shd w:val="clear" w:color="auto" w:fill="auto"/>
            <w:vAlign w:val="center"/>
          </w:tcPr>
          <w:p w14:paraId="4EF941DD">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项目自评总分98分，严格按照有关项目管理和经费管理规定执行。各项预算支出顺利进行，并按计划圆满完成。</w:t>
            </w:r>
          </w:p>
        </w:tc>
      </w:tr>
      <w:tr w14:paraId="17A8857E">
        <w:tblPrEx>
          <w:tblCellMar>
            <w:top w:w="0" w:type="dxa"/>
            <w:left w:w="108" w:type="dxa"/>
            <w:bottom w:w="0" w:type="dxa"/>
            <w:right w:w="108" w:type="dxa"/>
          </w:tblCellMar>
        </w:tblPrEx>
        <w:trPr>
          <w:trHeight w:val="418" w:hRule="atLeast"/>
        </w:trPr>
        <w:tc>
          <w:tcPr>
            <w:tcW w:w="778" w:type="dxa"/>
            <w:tcBorders>
              <w:top w:val="nil"/>
              <w:left w:val="single" w:color="000000" w:sz="4" w:space="0"/>
              <w:bottom w:val="single" w:color="000000" w:sz="4" w:space="0"/>
              <w:right w:val="single" w:color="000000" w:sz="4" w:space="0"/>
            </w:tcBorders>
            <w:shd w:val="clear" w:color="auto" w:fill="auto"/>
            <w:vAlign w:val="center"/>
          </w:tcPr>
          <w:p w14:paraId="1EB46836">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8561" w:type="dxa"/>
            <w:gridSpan w:val="11"/>
            <w:tcBorders>
              <w:top w:val="single" w:color="000000" w:sz="4" w:space="0"/>
              <w:left w:val="nil"/>
              <w:bottom w:val="single" w:color="000000" w:sz="4" w:space="0"/>
              <w:right w:val="single" w:color="000000" w:sz="4" w:space="0"/>
            </w:tcBorders>
            <w:shd w:val="clear" w:color="auto" w:fill="auto"/>
            <w:vAlign w:val="center"/>
          </w:tcPr>
          <w:p w14:paraId="3207FF53">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0000E215">
        <w:tblPrEx>
          <w:tblCellMar>
            <w:top w:w="0" w:type="dxa"/>
            <w:left w:w="108" w:type="dxa"/>
            <w:bottom w:w="0" w:type="dxa"/>
            <w:right w:w="108" w:type="dxa"/>
          </w:tblCellMar>
        </w:tblPrEx>
        <w:trPr>
          <w:trHeight w:val="418" w:hRule="atLeast"/>
        </w:trPr>
        <w:tc>
          <w:tcPr>
            <w:tcW w:w="778" w:type="dxa"/>
            <w:tcBorders>
              <w:top w:val="nil"/>
              <w:left w:val="single" w:color="000000" w:sz="4" w:space="0"/>
              <w:bottom w:val="single" w:color="000000" w:sz="4" w:space="0"/>
              <w:right w:val="single" w:color="000000" w:sz="4" w:space="0"/>
            </w:tcBorders>
            <w:shd w:val="clear" w:color="auto" w:fill="auto"/>
            <w:vAlign w:val="center"/>
          </w:tcPr>
          <w:p w14:paraId="6157D3AF">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8561" w:type="dxa"/>
            <w:gridSpan w:val="11"/>
            <w:tcBorders>
              <w:top w:val="single" w:color="000000" w:sz="4" w:space="0"/>
              <w:left w:val="nil"/>
              <w:bottom w:val="single" w:color="000000" w:sz="4" w:space="0"/>
              <w:right w:val="single" w:color="000000" w:sz="4" w:space="0"/>
            </w:tcBorders>
            <w:shd w:val="clear" w:color="auto" w:fill="auto"/>
            <w:vAlign w:val="center"/>
          </w:tcPr>
          <w:p w14:paraId="13775F2A">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1D28DF31">
        <w:tblPrEx>
          <w:tblCellMar>
            <w:top w:w="0" w:type="dxa"/>
            <w:left w:w="108" w:type="dxa"/>
            <w:bottom w:w="0" w:type="dxa"/>
            <w:right w:w="108" w:type="dxa"/>
          </w:tblCellMar>
        </w:tblPrEx>
        <w:trPr>
          <w:trHeight w:val="418" w:hRule="atLeast"/>
        </w:trPr>
        <w:tc>
          <w:tcPr>
            <w:tcW w:w="42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A3089B">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项目</w:t>
            </w:r>
            <w:r>
              <w:rPr>
                <w:rFonts w:hint="eastAsia" w:ascii="微软雅黑" w:hAnsi="微软雅黑" w:eastAsia="微软雅黑" w:cs="微软雅黑"/>
                <w:color w:val="000000"/>
                <w:kern w:val="0"/>
                <w:sz w:val="18"/>
                <w:szCs w:val="18"/>
              </w:rPr>
              <w:t>负</w:t>
            </w:r>
            <w:r>
              <w:rPr>
                <w:rFonts w:hint="eastAsia" w:ascii="___WRD_EMBED_SUB_17" w:hAnsi="___WRD_EMBED_SUB_17" w:eastAsia="___WRD_EMBED_SUB_17" w:cs="___WRD_EMBED_SUB_17"/>
                <w:color w:val="000000"/>
                <w:kern w:val="0"/>
                <w:sz w:val="18"/>
                <w:szCs w:val="18"/>
              </w:rPr>
              <w:t>责</w:t>
            </w:r>
            <w:r>
              <w:rPr>
                <w:rFonts w:hint="eastAsia" w:ascii="微软雅黑" w:hAnsi="微软雅黑" w:eastAsia="微软雅黑" w:cs="微软雅黑"/>
                <w:color w:val="000000"/>
                <w:kern w:val="0"/>
                <w:sz w:val="18"/>
                <w:szCs w:val="18"/>
              </w:rPr>
              <w:t>人：毛佳龙</w:t>
            </w:r>
          </w:p>
        </w:tc>
        <w:tc>
          <w:tcPr>
            <w:tcW w:w="5059" w:type="dxa"/>
            <w:gridSpan w:val="7"/>
            <w:tcBorders>
              <w:top w:val="single" w:color="000000" w:sz="4" w:space="0"/>
              <w:left w:val="nil"/>
              <w:bottom w:val="single" w:color="000000" w:sz="4" w:space="0"/>
              <w:right w:val="single" w:color="000000" w:sz="4" w:space="0"/>
            </w:tcBorders>
            <w:shd w:val="clear" w:color="auto" w:fill="auto"/>
            <w:vAlign w:val="center"/>
          </w:tcPr>
          <w:p w14:paraId="25042C59">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财</w:t>
            </w:r>
            <w:r>
              <w:rPr>
                <w:rFonts w:hint="eastAsia" w:ascii="微软雅黑" w:hAnsi="微软雅黑" w:eastAsia="微软雅黑" w:cs="微软雅黑"/>
                <w:color w:val="000000"/>
                <w:kern w:val="0"/>
                <w:sz w:val="18"/>
                <w:szCs w:val="18"/>
              </w:rPr>
              <w:t>务负</w:t>
            </w:r>
            <w:r>
              <w:rPr>
                <w:rFonts w:hint="eastAsia" w:ascii="___WRD_EMBED_SUB_17" w:hAnsi="___WRD_EMBED_SUB_17" w:eastAsia="___WRD_EMBED_SUB_17" w:cs="___WRD_EMBED_SUB_17"/>
                <w:color w:val="000000"/>
                <w:kern w:val="0"/>
                <w:sz w:val="18"/>
                <w:szCs w:val="18"/>
              </w:rPr>
              <w:t>责</w:t>
            </w:r>
            <w:r>
              <w:rPr>
                <w:rFonts w:hint="eastAsia" w:ascii="微软雅黑" w:hAnsi="微软雅黑" w:eastAsia="微软雅黑" w:cs="微软雅黑"/>
                <w:color w:val="000000"/>
                <w:kern w:val="0"/>
                <w:sz w:val="18"/>
                <w:szCs w:val="18"/>
              </w:rPr>
              <w:t>人：漆明强</w:t>
            </w:r>
          </w:p>
        </w:tc>
      </w:tr>
    </w:tbl>
    <w:p w14:paraId="6CFBB8B1">
      <w:pPr>
        <w:pStyle w:val="2"/>
        <w:spacing w:before="93"/>
        <w:rPr>
          <w:rFonts w:hAnsi="Calibri" w:cs="仿宋"/>
          <w:sz w:val="32"/>
          <w:szCs w:val="32"/>
        </w:rPr>
      </w:pPr>
    </w:p>
    <w:p w14:paraId="6DFF5A31">
      <w:pPr>
        <w:pStyle w:val="2"/>
        <w:spacing w:before="93"/>
        <w:rPr>
          <w:rFonts w:ascii="Cambria" w:hAnsi="Cambria" w:cs="仿宋"/>
          <w:b/>
          <w:bCs/>
          <w:sz w:val="32"/>
          <w:szCs w:val="32"/>
        </w:rPr>
      </w:pPr>
      <w:r>
        <w:rPr>
          <w:rFonts w:hint="eastAsia" w:hAnsi="Calibri" w:cs="仿宋"/>
          <w:b/>
          <w:bCs/>
          <w:sz w:val="32"/>
          <w:szCs w:val="32"/>
        </w:rPr>
        <w:t>附件</w:t>
      </w:r>
      <w:r>
        <w:rPr>
          <w:rFonts w:ascii="Cambria" w:hAnsi="Cambria" w:cs="仿宋"/>
          <w:b/>
          <w:bCs/>
          <w:sz w:val="32"/>
          <w:szCs w:val="32"/>
        </w:rPr>
        <w:t>3-4</w:t>
      </w:r>
    </w:p>
    <w:tbl>
      <w:tblPr>
        <w:tblStyle w:val="14"/>
        <w:tblW w:w="9438" w:type="dxa"/>
        <w:tblInd w:w="113" w:type="dxa"/>
        <w:tblLayout w:type="autofit"/>
        <w:tblCellMar>
          <w:top w:w="0" w:type="dxa"/>
          <w:left w:w="108" w:type="dxa"/>
          <w:bottom w:w="0" w:type="dxa"/>
          <w:right w:w="108" w:type="dxa"/>
        </w:tblCellMar>
      </w:tblPr>
      <w:tblGrid>
        <w:gridCol w:w="785"/>
        <w:gridCol w:w="786"/>
        <w:gridCol w:w="1072"/>
        <w:gridCol w:w="1072"/>
        <w:gridCol w:w="611"/>
        <w:gridCol w:w="626"/>
        <w:gridCol w:w="928"/>
        <w:gridCol w:w="1039"/>
        <w:gridCol w:w="851"/>
        <w:gridCol w:w="833"/>
        <w:gridCol w:w="835"/>
      </w:tblGrid>
      <w:tr w14:paraId="12317885">
        <w:tblPrEx>
          <w:tblCellMar>
            <w:top w:w="0" w:type="dxa"/>
            <w:left w:w="108" w:type="dxa"/>
            <w:bottom w:w="0" w:type="dxa"/>
            <w:right w:w="108" w:type="dxa"/>
          </w:tblCellMar>
        </w:tblPrEx>
        <w:trPr>
          <w:trHeight w:val="365" w:hRule="atLeast"/>
        </w:trPr>
        <w:tc>
          <w:tcPr>
            <w:tcW w:w="9438"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ECD2913">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w:t>
            </w:r>
            <w:r>
              <w:rPr>
                <w:rFonts w:hint="eastAsia" w:ascii="微软雅黑" w:hAnsi="微软雅黑" w:eastAsia="微软雅黑" w:cs="微软雅黑"/>
                <w:b/>
                <w:bCs/>
                <w:color w:val="000000"/>
                <w:kern w:val="0"/>
                <w:sz w:val="30"/>
                <w:szCs w:val="30"/>
              </w:rPr>
              <w:t>门</w:t>
            </w:r>
            <w:r>
              <w:rPr>
                <w:rFonts w:hint="eastAsia" w:ascii="___WRD_EMBED_SUB_17" w:hAnsi="___WRD_EMBED_SUB_17" w:eastAsia="___WRD_EMBED_SUB_17" w:cs="___WRD_EMBED_SUB_17"/>
                <w:b/>
                <w:bCs/>
                <w:color w:val="000000"/>
                <w:kern w:val="0"/>
                <w:sz w:val="30"/>
                <w:szCs w:val="30"/>
              </w:rPr>
              <w:t>预算项目支出</w:t>
            </w:r>
            <w:r>
              <w:rPr>
                <w:rFonts w:hint="eastAsia" w:ascii="微软雅黑" w:hAnsi="微软雅黑" w:eastAsia="微软雅黑" w:cs="微软雅黑"/>
                <w:b/>
                <w:bCs/>
                <w:color w:val="000000"/>
                <w:kern w:val="0"/>
                <w:sz w:val="30"/>
                <w:szCs w:val="30"/>
              </w:rPr>
              <w:t>绩效自评</w:t>
            </w:r>
            <w:r>
              <w:rPr>
                <w:rFonts w:hint="eastAsia" w:ascii="___WRD_EMBED_SUB_17" w:hAnsi="___WRD_EMBED_SUB_17" w:eastAsia="___WRD_EMBED_SUB_17" w:cs="___WRD_EMBED_SUB_17"/>
                <w:b/>
                <w:bCs/>
                <w:color w:val="000000"/>
                <w:kern w:val="0"/>
                <w:sz w:val="30"/>
                <w:szCs w:val="30"/>
              </w:rPr>
              <w:t>表</w:t>
            </w:r>
            <w:r>
              <w:rPr>
                <w:rFonts w:hint="eastAsia" w:ascii="微软雅黑" w:hAnsi="微软雅黑" w:eastAsia="微软雅黑" w:cs="微软雅黑"/>
                <w:b/>
                <w:bCs/>
                <w:color w:val="000000"/>
                <w:kern w:val="0"/>
                <w:sz w:val="30"/>
                <w:szCs w:val="30"/>
              </w:rPr>
              <w:t>（</w:t>
            </w:r>
            <w:r>
              <w:rPr>
                <w:rFonts w:hint="eastAsia" w:ascii="黑体" w:hAnsi="黑体" w:eastAsia="黑体" w:cs="宋体"/>
                <w:b/>
                <w:bCs/>
                <w:color w:val="000000"/>
                <w:kern w:val="0"/>
                <w:sz w:val="30"/>
                <w:szCs w:val="30"/>
              </w:rPr>
              <w:t>2022年度</w:t>
            </w:r>
            <w:r>
              <w:rPr>
                <w:rFonts w:hint="eastAsia" w:ascii="微软雅黑" w:hAnsi="微软雅黑" w:eastAsia="微软雅黑" w:cs="微软雅黑"/>
                <w:b/>
                <w:bCs/>
                <w:color w:val="000000"/>
                <w:kern w:val="0"/>
                <w:sz w:val="30"/>
                <w:szCs w:val="30"/>
              </w:rPr>
              <w:t>）</w:t>
            </w:r>
          </w:p>
        </w:tc>
      </w:tr>
      <w:tr w14:paraId="3883B7EF">
        <w:tblPrEx>
          <w:tblCellMar>
            <w:top w:w="0" w:type="dxa"/>
            <w:left w:w="108" w:type="dxa"/>
            <w:bottom w:w="0" w:type="dxa"/>
            <w:right w:w="108" w:type="dxa"/>
          </w:tblCellMar>
        </w:tblPrEx>
        <w:trPr>
          <w:trHeight w:val="653" w:hRule="atLeast"/>
        </w:trPr>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A24CA0">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7865" w:type="dxa"/>
            <w:gridSpan w:val="9"/>
            <w:tcBorders>
              <w:top w:val="single" w:color="000000" w:sz="4" w:space="0"/>
              <w:left w:val="nil"/>
              <w:bottom w:val="single" w:color="000000" w:sz="4" w:space="0"/>
              <w:right w:val="single" w:color="000000" w:sz="4" w:space="0"/>
            </w:tcBorders>
            <w:shd w:val="clear" w:color="auto" w:fill="auto"/>
            <w:vAlign w:val="center"/>
          </w:tcPr>
          <w:p w14:paraId="73610899">
            <w:pPr>
              <w:widowControl/>
              <w:jc w:val="left"/>
              <w:rPr>
                <w:rFonts w:ascii="宋体" w:hAnsi="宋体" w:cs="宋体"/>
                <w:color w:val="000000"/>
                <w:kern w:val="0"/>
                <w:sz w:val="18"/>
                <w:szCs w:val="18"/>
              </w:rPr>
            </w:pPr>
            <w:r>
              <w:rPr>
                <w:rFonts w:hint="eastAsia" w:ascii="宋体" w:hAnsi="宋体" w:cs="宋体"/>
                <w:color w:val="000000"/>
                <w:kern w:val="0"/>
                <w:sz w:val="18"/>
                <w:szCs w:val="18"/>
              </w:rPr>
              <w:t>51118122T000000402071-应急救援装备购置</w:t>
            </w:r>
          </w:p>
        </w:tc>
      </w:tr>
      <w:tr w14:paraId="3523797B">
        <w:tblPrEx>
          <w:tblCellMar>
            <w:top w:w="0" w:type="dxa"/>
            <w:left w:w="108" w:type="dxa"/>
            <w:bottom w:w="0" w:type="dxa"/>
            <w:right w:w="108" w:type="dxa"/>
          </w:tblCellMar>
        </w:tblPrEx>
        <w:trPr>
          <w:trHeight w:val="456" w:hRule="atLeast"/>
        </w:trPr>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C7C5F2">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4309" w:type="dxa"/>
            <w:gridSpan w:val="5"/>
            <w:tcBorders>
              <w:top w:val="single" w:color="000000" w:sz="4" w:space="0"/>
              <w:left w:val="nil"/>
              <w:bottom w:val="single" w:color="000000" w:sz="4" w:space="0"/>
              <w:right w:val="single" w:color="000000" w:sz="4" w:space="0"/>
            </w:tcBorders>
            <w:shd w:val="clear" w:color="auto" w:fill="auto"/>
            <w:vAlign w:val="center"/>
          </w:tcPr>
          <w:p w14:paraId="4F8BA365">
            <w:pPr>
              <w:widowControl/>
              <w:jc w:val="left"/>
              <w:rPr>
                <w:rFonts w:ascii="宋体" w:hAnsi="宋体" w:cs="宋体"/>
                <w:color w:val="000000"/>
                <w:kern w:val="0"/>
                <w:sz w:val="18"/>
                <w:szCs w:val="18"/>
              </w:rPr>
            </w:pPr>
            <w:r>
              <w:rPr>
                <w:rFonts w:hint="eastAsia" w:ascii="宋体" w:hAnsi="宋体" w:cs="宋体"/>
                <w:color w:val="000000"/>
                <w:kern w:val="0"/>
                <w:sz w:val="18"/>
                <w:szCs w:val="18"/>
              </w:rPr>
              <w:t>应急管理局</w:t>
            </w:r>
          </w:p>
        </w:tc>
        <w:tc>
          <w:tcPr>
            <w:tcW w:w="1037" w:type="dxa"/>
            <w:tcBorders>
              <w:top w:val="nil"/>
              <w:left w:val="nil"/>
              <w:bottom w:val="nil"/>
              <w:right w:val="nil"/>
            </w:tcBorders>
            <w:shd w:val="clear" w:color="auto" w:fill="auto"/>
            <w:vAlign w:val="center"/>
          </w:tcPr>
          <w:p w14:paraId="2823C726">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实施</w:t>
            </w:r>
            <w:r>
              <w:rPr>
                <w:rFonts w:hint="eastAsia" w:ascii="___WRD_EMBED_SUB_17" w:hAnsi="___WRD_EMBED_SUB_17" w:eastAsia="___WRD_EMBED_SUB_17" w:cs="___WRD_EMBED_SUB_17"/>
                <w:color w:val="000000"/>
                <w:kern w:val="0"/>
                <w:sz w:val="18"/>
                <w:szCs w:val="18"/>
              </w:rPr>
              <w:t>单位</w:t>
            </w:r>
            <w:r>
              <w:rPr>
                <w:rFonts w:hint="eastAsia" w:ascii="黑体" w:hAnsi="黑体" w:eastAsia="黑体" w:cs="宋体"/>
                <w:color w:val="000000"/>
                <w:kern w:val="0"/>
                <w:sz w:val="18"/>
                <w:szCs w:val="18"/>
              </w:rPr>
              <w:t xml:space="preserve"> </w:t>
            </w:r>
            <w:r>
              <w:rPr>
                <w:rFonts w:hint="eastAsia" w:ascii="微软雅黑" w:hAnsi="微软雅黑" w:eastAsia="微软雅黑" w:cs="微软雅黑"/>
                <w:color w:val="000000"/>
                <w:kern w:val="0"/>
                <w:sz w:val="18"/>
                <w:szCs w:val="18"/>
              </w:rPr>
              <w:t>（盖章）</w:t>
            </w:r>
          </w:p>
        </w:tc>
        <w:tc>
          <w:tcPr>
            <w:tcW w:w="25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E6D47B">
            <w:pPr>
              <w:widowControl/>
              <w:jc w:val="center"/>
              <w:rPr>
                <w:rFonts w:ascii="宋体" w:hAnsi="宋体" w:cs="宋体"/>
                <w:color w:val="000000"/>
                <w:kern w:val="0"/>
                <w:sz w:val="18"/>
                <w:szCs w:val="18"/>
              </w:rPr>
            </w:pPr>
            <w:r>
              <w:rPr>
                <w:rFonts w:hint="eastAsia" w:ascii="宋体" w:hAnsi="宋体" w:cs="宋体"/>
                <w:color w:val="000000"/>
                <w:kern w:val="0"/>
                <w:sz w:val="18"/>
                <w:szCs w:val="18"/>
              </w:rPr>
              <w:t>峨眉山市应急管理局</w:t>
            </w:r>
          </w:p>
        </w:tc>
      </w:tr>
      <w:tr w14:paraId="05F4C78A">
        <w:tblPrEx>
          <w:tblCellMar>
            <w:top w:w="0" w:type="dxa"/>
            <w:left w:w="108" w:type="dxa"/>
            <w:bottom w:w="0" w:type="dxa"/>
            <w:right w:w="108" w:type="dxa"/>
          </w:tblCellMar>
        </w:tblPrEx>
        <w:trPr>
          <w:trHeight w:val="501" w:hRule="atLeast"/>
        </w:trPr>
        <w:tc>
          <w:tcPr>
            <w:tcW w:w="786" w:type="dxa"/>
            <w:vMerge w:val="restart"/>
            <w:tcBorders>
              <w:top w:val="nil"/>
              <w:left w:val="single" w:color="000000" w:sz="4" w:space="0"/>
              <w:bottom w:val="single" w:color="000000" w:sz="4" w:space="0"/>
              <w:right w:val="single" w:color="000000" w:sz="4" w:space="0"/>
            </w:tcBorders>
            <w:shd w:val="clear" w:color="auto" w:fill="auto"/>
            <w:vAlign w:val="center"/>
          </w:tcPr>
          <w:p w14:paraId="3329D7C9">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786" w:type="dxa"/>
            <w:vMerge w:val="restart"/>
            <w:tcBorders>
              <w:top w:val="nil"/>
              <w:left w:val="single" w:color="000000" w:sz="4" w:space="0"/>
              <w:bottom w:val="single" w:color="000000" w:sz="4" w:space="0"/>
              <w:right w:val="single" w:color="000000" w:sz="4" w:space="0"/>
            </w:tcBorders>
            <w:shd w:val="clear" w:color="auto" w:fill="auto"/>
            <w:vAlign w:val="center"/>
          </w:tcPr>
          <w:p w14:paraId="5E73695C">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4309" w:type="dxa"/>
            <w:gridSpan w:val="5"/>
            <w:tcBorders>
              <w:top w:val="single" w:color="000000" w:sz="4" w:space="0"/>
              <w:left w:val="nil"/>
              <w:bottom w:val="single" w:color="000000" w:sz="4" w:space="0"/>
              <w:right w:val="single" w:color="000000" w:sz="4" w:space="0"/>
            </w:tcBorders>
            <w:shd w:val="clear" w:color="auto" w:fill="auto"/>
            <w:vAlign w:val="center"/>
          </w:tcPr>
          <w:p w14:paraId="097CEC8F">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3556" w:type="dxa"/>
            <w:gridSpan w:val="4"/>
            <w:tcBorders>
              <w:top w:val="single" w:color="000000" w:sz="4" w:space="0"/>
              <w:left w:val="nil"/>
              <w:bottom w:val="single" w:color="000000" w:sz="4" w:space="0"/>
              <w:right w:val="single" w:color="000000" w:sz="4" w:space="0"/>
            </w:tcBorders>
            <w:shd w:val="clear" w:color="auto" w:fill="auto"/>
            <w:vAlign w:val="center"/>
          </w:tcPr>
          <w:p w14:paraId="651B746A">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年度目</w:t>
            </w:r>
            <w:r>
              <w:rPr>
                <w:rFonts w:hint="eastAsia" w:ascii="微软雅黑" w:hAnsi="微软雅黑" w:eastAsia="微软雅黑" w:cs="微软雅黑"/>
                <w:color w:val="000000"/>
                <w:kern w:val="0"/>
                <w:sz w:val="18"/>
                <w:szCs w:val="18"/>
              </w:rPr>
              <w:t>标完成</w:t>
            </w:r>
            <w:r>
              <w:rPr>
                <w:rFonts w:hint="eastAsia" w:ascii="___WRD_EMBED_SUB_17" w:hAnsi="___WRD_EMBED_SUB_17" w:eastAsia="___WRD_EMBED_SUB_17" w:cs="___WRD_EMBED_SUB_17"/>
                <w:color w:val="000000"/>
                <w:kern w:val="0"/>
                <w:sz w:val="18"/>
                <w:szCs w:val="18"/>
              </w:rPr>
              <w:t>情况</w:t>
            </w:r>
          </w:p>
        </w:tc>
      </w:tr>
      <w:tr w14:paraId="375C458A">
        <w:tblPrEx>
          <w:tblCellMar>
            <w:top w:w="0" w:type="dxa"/>
            <w:left w:w="108" w:type="dxa"/>
            <w:bottom w:w="0" w:type="dxa"/>
            <w:right w:w="108" w:type="dxa"/>
          </w:tblCellMar>
        </w:tblPrEx>
        <w:trPr>
          <w:trHeight w:val="501" w:hRule="atLeast"/>
        </w:trPr>
        <w:tc>
          <w:tcPr>
            <w:tcW w:w="786" w:type="dxa"/>
            <w:vMerge w:val="continue"/>
            <w:tcBorders>
              <w:top w:val="nil"/>
              <w:left w:val="single" w:color="000000" w:sz="4" w:space="0"/>
              <w:bottom w:val="single" w:color="000000" w:sz="4" w:space="0"/>
              <w:right w:val="single" w:color="000000" w:sz="4" w:space="0"/>
            </w:tcBorders>
            <w:vAlign w:val="center"/>
          </w:tcPr>
          <w:p w14:paraId="2CA2A027">
            <w:pPr>
              <w:widowControl/>
              <w:jc w:val="left"/>
              <w:rPr>
                <w:rFonts w:ascii="宋体" w:hAnsi="宋体" w:cs="宋体"/>
                <w:color w:val="000000"/>
                <w:kern w:val="0"/>
                <w:sz w:val="18"/>
                <w:szCs w:val="18"/>
              </w:rPr>
            </w:pPr>
          </w:p>
        </w:tc>
        <w:tc>
          <w:tcPr>
            <w:tcW w:w="786" w:type="dxa"/>
            <w:vMerge w:val="continue"/>
            <w:tcBorders>
              <w:top w:val="nil"/>
              <w:left w:val="single" w:color="000000" w:sz="4" w:space="0"/>
              <w:bottom w:val="single" w:color="000000" w:sz="4" w:space="0"/>
              <w:right w:val="single" w:color="000000" w:sz="4" w:space="0"/>
            </w:tcBorders>
            <w:vAlign w:val="center"/>
          </w:tcPr>
          <w:p w14:paraId="77FA0EC8">
            <w:pPr>
              <w:widowControl/>
              <w:jc w:val="left"/>
              <w:rPr>
                <w:rFonts w:ascii="宋体" w:hAnsi="宋体" w:cs="宋体"/>
                <w:color w:val="000000"/>
                <w:kern w:val="0"/>
                <w:sz w:val="18"/>
                <w:szCs w:val="18"/>
              </w:rPr>
            </w:pPr>
          </w:p>
        </w:tc>
        <w:tc>
          <w:tcPr>
            <w:tcW w:w="4309" w:type="dxa"/>
            <w:gridSpan w:val="5"/>
            <w:tcBorders>
              <w:top w:val="single" w:color="000000" w:sz="4" w:space="0"/>
              <w:left w:val="nil"/>
              <w:bottom w:val="single" w:color="000000" w:sz="4" w:space="0"/>
              <w:right w:val="single" w:color="000000" w:sz="4" w:space="0"/>
            </w:tcBorders>
            <w:shd w:val="clear" w:color="auto" w:fill="auto"/>
            <w:vAlign w:val="center"/>
          </w:tcPr>
          <w:p w14:paraId="0A94E517">
            <w:pPr>
              <w:widowControl/>
              <w:jc w:val="left"/>
              <w:rPr>
                <w:rFonts w:ascii="宋体" w:hAnsi="宋体" w:cs="宋体"/>
                <w:color w:val="000000"/>
                <w:kern w:val="0"/>
                <w:sz w:val="18"/>
                <w:szCs w:val="18"/>
              </w:rPr>
            </w:pPr>
            <w:r>
              <w:rPr>
                <w:rFonts w:hint="eastAsia" w:ascii="宋体" w:hAnsi="宋体" w:cs="宋体"/>
                <w:color w:val="000000"/>
                <w:kern w:val="0"/>
                <w:sz w:val="18"/>
                <w:szCs w:val="18"/>
              </w:rPr>
              <w:t xml:space="preserve"> 武警中队配备应急救援装备一批</w:t>
            </w:r>
          </w:p>
        </w:tc>
        <w:tc>
          <w:tcPr>
            <w:tcW w:w="3556" w:type="dxa"/>
            <w:gridSpan w:val="4"/>
            <w:tcBorders>
              <w:top w:val="single" w:color="000000" w:sz="4" w:space="0"/>
              <w:left w:val="nil"/>
              <w:bottom w:val="single" w:color="000000" w:sz="4" w:space="0"/>
              <w:right w:val="single" w:color="000000" w:sz="4" w:space="0"/>
            </w:tcBorders>
            <w:shd w:val="clear" w:color="auto" w:fill="auto"/>
            <w:vAlign w:val="center"/>
          </w:tcPr>
          <w:p w14:paraId="091D7BE6">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完成应急救援装备</w:t>
            </w:r>
            <w:r>
              <w:rPr>
                <w:rFonts w:hint="eastAsia" w:ascii="___WRD_EMBED_SUB_17" w:hAnsi="___WRD_EMBED_SUB_17" w:eastAsia="___WRD_EMBED_SUB_17" w:cs="___WRD_EMBED_SUB_17"/>
                <w:color w:val="000000"/>
                <w:kern w:val="0"/>
                <w:sz w:val="18"/>
                <w:szCs w:val="18"/>
              </w:rPr>
              <w:t>的</w:t>
            </w:r>
            <w:r>
              <w:rPr>
                <w:rFonts w:hint="eastAsia" w:ascii="微软雅黑" w:hAnsi="微软雅黑" w:eastAsia="微软雅黑" w:cs="微软雅黑"/>
                <w:color w:val="000000"/>
                <w:kern w:val="0"/>
                <w:sz w:val="18"/>
                <w:szCs w:val="18"/>
              </w:rPr>
              <w:t>采购验</w:t>
            </w:r>
            <w:r>
              <w:rPr>
                <w:rFonts w:hint="eastAsia" w:ascii="___WRD_EMBED_SUB_17" w:hAnsi="___WRD_EMBED_SUB_17" w:eastAsia="___WRD_EMBED_SUB_17" w:cs="___WRD_EMBED_SUB_17"/>
                <w:color w:val="000000"/>
                <w:kern w:val="0"/>
                <w:sz w:val="18"/>
                <w:szCs w:val="18"/>
              </w:rPr>
              <w:t>收</w:t>
            </w:r>
            <w:r>
              <w:rPr>
                <w:rFonts w:hint="eastAsia" w:ascii="微软雅黑" w:hAnsi="微软雅黑" w:eastAsia="微软雅黑" w:cs="微软雅黑"/>
                <w:color w:val="000000"/>
                <w:kern w:val="0"/>
                <w:sz w:val="18"/>
                <w:szCs w:val="18"/>
              </w:rPr>
              <w:t>工作</w:t>
            </w:r>
            <w:r>
              <w:rPr>
                <w:rFonts w:hint="eastAsia" w:ascii="黑体" w:hAnsi="黑体" w:eastAsia="黑体" w:cs="宋体"/>
                <w:color w:val="000000"/>
                <w:kern w:val="0"/>
                <w:sz w:val="18"/>
                <w:szCs w:val="18"/>
              </w:rPr>
              <w:t xml:space="preserve"> </w:t>
            </w:r>
          </w:p>
        </w:tc>
      </w:tr>
      <w:tr w14:paraId="7B2EE9B8">
        <w:tblPrEx>
          <w:tblCellMar>
            <w:top w:w="0" w:type="dxa"/>
            <w:left w:w="108" w:type="dxa"/>
            <w:bottom w:w="0" w:type="dxa"/>
            <w:right w:w="108" w:type="dxa"/>
          </w:tblCellMar>
        </w:tblPrEx>
        <w:trPr>
          <w:trHeight w:val="958" w:hRule="atLeast"/>
        </w:trPr>
        <w:tc>
          <w:tcPr>
            <w:tcW w:w="786" w:type="dxa"/>
            <w:vMerge w:val="continue"/>
            <w:tcBorders>
              <w:top w:val="nil"/>
              <w:left w:val="single" w:color="000000" w:sz="4" w:space="0"/>
              <w:bottom w:val="single" w:color="000000" w:sz="4" w:space="0"/>
              <w:right w:val="single" w:color="000000" w:sz="4" w:space="0"/>
            </w:tcBorders>
            <w:vAlign w:val="center"/>
          </w:tcPr>
          <w:p w14:paraId="50AAC6A2">
            <w:pPr>
              <w:widowControl/>
              <w:jc w:val="left"/>
              <w:rPr>
                <w:rFonts w:ascii="宋体" w:hAnsi="宋体" w:cs="宋体"/>
                <w:color w:val="000000"/>
                <w:kern w:val="0"/>
                <w:sz w:val="18"/>
                <w:szCs w:val="18"/>
              </w:rPr>
            </w:pPr>
          </w:p>
        </w:tc>
        <w:tc>
          <w:tcPr>
            <w:tcW w:w="786" w:type="dxa"/>
            <w:tcBorders>
              <w:top w:val="nil"/>
              <w:left w:val="nil"/>
              <w:bottom w:val="single" w:color="000000" w:sz="4" w:space="0"/>
              <w:right w:val="single" w:color="000000" w:sz="4" w:space="0"/>
            </w:tcBorders>
            <w:shd w:val="clear" w:color="auto" w:fill="auto"/>
            <w:vAlign w:val="center"/>
          </w:tcPr>
          <w:p w14:paraId="07DEF7A1">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865" w:type="dxa"/>
            <w:gridSpan w:val="9"/>
            <w:tcBorders>
              <w:top w:val="single" w:color="000000" w:sz="4" w:space="0"/>
              <w:left w:val="nil"/>
              <w:bottom w:val="single" w:color="000000" w:sz="4" w:space="0"/>
              <w:right w:val="single" w:color="000000" w:sz="4" w:space="0"/>
            </w:tcBorders>
            <w:shd w:val="clear" w:color="auto" w:fill="auto"/>
            <w:vAlign w:val="center"/>
          </w:tcPr>
          <w:p w14:paraId="3BAEFCC2">
            <w:pPr>
              <w:widowControl/>
              <w:jc w:val="left"/>
              <w:rPr>
                <w:rFonts w:ascii="宋体" w:hAnsi="宋体" w:cs="宋体"/>
                <w:color w:val="000000"/>
                <w:kern w:val="0"/>
                <w:sz w:val="18"/>
                <w:szCs w:val="18"/>
              </w:rPr>
            </w:pPr>
            <w:r>
              <w:rPr>
                <w:rFonts w:hint="eastAsia" w:ascii="宋体" w:hAnsi="宋体" w:cs="宋体"/>
                <w:color w:val="000000"/>
                <w:kern w:val="0"/>
                <w:sz w:val="18"/>
                <w:szCs w:val="18"/>
              </w:rPr>
              <w:t xml:space="preserve">完成应急救援装备的采购验收工作 </w:t>
            </w:r>
          </w:p>
        </w:tc>
      </w:tr>
      <w:tr w14:paraId="1EED6183">
        <w:tblPrEx>
          <w:tblCellMar>
            <w:top w:w="0" w:type="dxa"/>
            <w:left w:w="108" w:type="dxa"/>
            <w:bottom w:w="0" w:type="dxa"/>
            <w:right w:w="108" w:type="dxa"/>
          </w:tblCellMar>
        </w:tblPrEx>
        <w:trPr>
          <w:trHeight w:val="958" w:hRule="atLeast"/>
        </w:trPr>
        <w:tc>
          <w:tcPr>
            <w:tcW w:w="786" w:type="dxa"/>
            <w:vMerge w:val="restart"/>
            <w:tcBorders>
              <w:top w:val="nil"/>
              <w:left w:val="single" w:color="000000" w:sz="4" w:space="0"/>
              <w:bottom w:val="single" w:color="000000" w:sz="4" w:space="0"/>
              <w:right w:val="single" w:color="000000" w:sz="4" w:space="0"/>
            </w:tcBorders>
            <w:shd w:val="clear" w:color="auto" w:fill="auto"/>
            <w:vAlign w:val="center"/>
          </w:tcPr>
          <w:p w14:paraId="277FBEEB">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786" w:type="dxa"/>
            <w:tcBorders>
              <w:top w:val="nil"/>
              <w:left w:val="nil"/>
              <w:bottom w:val="single" w:color="000000" w:sz="4" w:space="0"/>
              <w:right w:val="single" w:color="000000" w:sz="4" w:space="0"/>
            </w:tcBorders>
            <w:shd w:val="clear" w:color="auto" w:fill="auto"/>
            <w:vAlign w:val="center"/>
          </w:tcPr>
          <w:p w14:paraId="1ADC7AB5">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072" w:type="dxa"/>
            <w:tcBorders>
              <w:top w:val="nil"/>
              <w:left w:val="nil"/>
              <w:bottom w:val="single" w:color="000000" w:sz="4" w:space="0"/>
              <w:right w:val="single" w:color="000000" w:sz="4" w:space="0"/>
            </w:tcBorders>
            <w:shd w:val="clear" w:color="auto" w:fill="auto"/>
            <w:vAlign w:val="center"/>
          </w:tcPr>
          <w:p w14:paraId="3FD44E11">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1072" w:type="dxa"/>
            <w:tcBorders>
              <w:top w:val="nil"/>
              <w:left w:val="nil"/>
              <w:bottom w:val="single" w:color="000000" w:sz="4" w:space="0"/>
              <w:right w:val="single" w:color="000000" w:sz="4" w:space="0"/>
            </w:tcBorders>
            <w:shd w:val="clear" w:color="auto" w:fill="auto"/>
            <w:vAlign w:val="center"/>
          </w:tcPr>
          <w:p w14:paraId="13B41409">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2165" w:type="dxa"/>
            <w:gridSpan w:val="3"/>
            <w:tcBorders>
              <w:top w:val="single" w:color="000000" w:sz="4" w:space="0"/>
              <w:left w:val="nil"/>
              <w:bottom w:val="single" w:color="000000" w:sz="4" w:space="0"/>
              <w:right w:val="single" w:color="000000" w:sz="4" w:space="0"/>
            </w:tcBorders>
            <w:shd w:val="clear" w:color="auto" w:fill="auto"/>
            <w:vAlign w:val="center"/>
          </w:tcPr>
          <w:p w14:paraId="59CB003A">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037" w:type="dxa"/>
            <w:tcBorders>
              <w:top w:val="nil"/>
              <w:left w:val="nil"/>
              <w:bottom w:val="single" w:color="000000" w:sz="4" w:space="0"/>
              <w:right w:val="single" w:color="000000" w:sz="4" w:space="0"/>
            </w:tcBorders>
            <w:shd w:val="clear" w:color="auto" w:fill="auto"/>
            <w:vAlign w:val="center"/>
          </w:tcPr>
          <w:p w14:paraId="6292CBA6">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851" w:type="dxa"/>
            <w:tcBorders>
              <w:top w:val="nil"/>
              <w:left w:val="nil"/>
              <w:bottom w:val="single" w:color="000000" w:sz="4" w:space="0"/>
              <w:right w:val="single" w:color="000000" w:sz="4" w:space="0"/>
            </w:tcBorders>
            <w:shd w:val="clear" w:color="auto" w:fill="auto"/>
            <w:vAlign w:val="center"/>
          </w:tcPr>
          <w:p w14:paraId="620B2D38">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33" w:type="dxa"/>
            <w:tcBorders>
              <w:top w:val="nil"/>
              <w:left w:val="nil"/>
              <w:bottom w:val="single" w:color="000000" w:sz="4" w:space="0"/>
              <w:right w:val="single" w:color="000000" w:sz="4" w:space="0"/>
            </w:tcBorders>
            <w:shd w:val="clear" w:color="auto" w:fill="auto"/>
            <w:vAlign w:val="center"/>
          </w:tcPr>
          <w:p w14:paraId="065DD1F9">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34" w:type="dxa"/>
            <w:tcBorders>
              <w:top w:val="nil"/>
              <w:left w:val="nil"/>
              <w:bottom w:val="single" w:color="000000" w:sz="4" w:space="0"/>
              <w:right w:val="single" w:color="000000" w:sz="4" w:space="0"/>
            </w:tcBorders>
            <w:shd w:val="clear" w:color="auto" w:fill="auto"/>
            <w:vAlign w:val="center"/>
          </w:tcPr>
          <w:p w14:paraId="403C2D4B">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14:paraId="774077C5">
        <w:tblPrEx>
          <w:tblCellMar>
            <w:top w:w="0" w:type="dxa"/>
            <w:left w:w="108" w:type="dxa"/>
            <w:bottom w:w="0" w:type="dxa"/>
            <w:right w:w="108" w:type="dxa"/>
          </w:tblCellMar>
        </w:tblPrEx>
        <w:trPr>
          <w:trHeight w:val="547" w:hRule="atLeast"/>
        </w:trPr>
        <w:tc>
          <w:tcPr>
            <w:tcW w:w="786" w:type="dxa"/>
            <w:vMerge w:val="continue"/>
            <w:tcBorders>
              <w:top w:val="nil"/>
              <w:left w:val="single" w:color="000000" w:sz="4" w:space="0"/>
              <w:bottom w:val="single" w:color="000000" w:sz="4" w:space="0"/>
              <w:right w:val="single" w:color="000000" w:sz="4" w:space="0"/>
            </w:tcBorders>
            <w:vAlign w:val="center"/>
          </w:tcPr>
          <w:p w14:paraId="4A2AF088">
            <w:pPr>
              <w:widowControl/>
              <w:jc w:val="left"/>
              <w:rPr>
                <w:rFonts w:ascii="宋体" w:hAnsi="宋体" w:cs="宋体"/>
                <w:color w:val="000000"/>
                <w:kern w:val="0"/>
                <w:sz w:val="18"/>
                <w:szCs w:val="18"/>
              </w:rPr>
            </w:pPr>
          </w:p>
        </w:tc>
        <w:tc>
          <w:tcPr>
            <w:tcW w:w="786" w:type="dxa"/>
            <w:tcBorders>
              <w:top w:val="nil"/>
              <w:left w:val="nil"/>
              <w:bottom w:val="single" w:color="000000" w:sz="4" w:space="0"/>
              <w:right w:val="single" w:color="000000" w:sz="4" w:space="0"/>
            </w:tcBorders>
            <w:shd w:val="clear" w:color="auto" w:fill="auto"/>
            <w:vAlign w:val="center"/>
          </w:tcPr>
          <w:p w14:paraId="76EFB7C3">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072" w:type="dxa"/>
            <w:tcBorders>
              <w:top w:val="nil"/>
              <w:left w:val="nil"/>
              <w:bottom w:val="single" w:color="000000" w:sz="4" w:space="0"/>
              <w:right w:val="single" w:color="000000" w:sz="4" w:space="0"/>
            </w:tcBorders>
            <w:shd w:val="clear" w:color="auto" w:fill="auto"/>
            <w:vAlign w:val="center"/>
          </w:tcPr>
          <w:p w14:paraId="05D0E0FB">
            <w:pPr>
              <w:widowControl/>
              <w:jc w:val="center"/>
              <w:rPr>
                <w:rFonts w:ascii="宋体" w:hAnsi="宋体" w:cs="宋体"/>
                <w:color w:val="000000"/>
                <w:kern w:val="0"/>
                <w:sz w:val="18"/>
                <w:szCs w:val="18"/>
              </w:rPr>
            </w:pPr>
            <w:r>
              <w:rPr>
                <w:rFonts w:hint="eastAsia" w:ascii="宋体" w:hAnsi="宋体" w:cs="宋体"/>
                <w:color w:val="000000"/>
                <w:kern w:val="0"/>
                <w:sz w:val="18"/>
                <w:szCs w:val="18"/>
              </w:rPr>
              <w:t>16.48</w:t>
            </w:r>
          </w:p>
        </w:tc>
        <w:tc>
          <w:tcPr>
            <w:tcW w:w="1072" w:type="dxa"/>
            <w:tcBorders>
              <w:top w:val="nil"/>
              <w:left w:val="nil"/>
              <w:bottom w:val="single" w:color="000000" w:sz="4" w:space="0"/>
              <w:right w:val="single" w:color="000000" w:sz="4" w:space="0"/>
            </w:tcBorders>
            <w:shd w:val="clear" w:color="auto" w:fill="auto"/>
            <w:vAlign w:val="center"/>
          </w:tcPr>
          <w:p w14:paraId="5B9BA901">
            <w:pPr>
              <w:widowControl/>
              <w:jc w:val="center"/>
              <w:rPr>
                <w:rFonts w:ascii="宋体" w:hAnsi="宋体" w:cs="宋体"/>
                <w:color w:val="000000"/>
                <w:kern w:val="0"/>
                <w:sz w:val="18"/>
                <w:szCs w:val="18"/>
              </w:rPr>
            </w:pPr>
            <w:r>
              <w:rPr>
                <w:rFonts w:hint="eastAsia" w:ascii="宋体" w:hAnsi="宋体" w:cs="宋体"/>
                <w:color w:val="000000"/>
                <w:kern w:val="0"/>
                <w:sz w:val="18"/>
                <w:szCs w:val="18"/>
              </w:rPr>
              <w:t>62.42</w:t>
            </w:r>
          </w:p>
        </w:tc>
        <w:tc>
          <w:tcPr>
            <w:tcW w:w="2165" w:type="dxa"/>
            <w:gridSpan w:val="3"/>
            <w:tcBorders>
              <w:top w:val="single" w:color="000000" w:sz="4" w:space="0"/>
              <w:left w:val="nil"/>
              <w:bottom w:val="single" w:color="000000" w:sz="4" w:space="0"/>
              <w:right w:val="single" w:color="000000" w:sz="4" w:space="0"/>
            </w:tcBorders>
            <w:shd w:val="clear" w:color="auto" w:fill="auto"/>
            <w:vAlign w:val="center"/>
          </w:tcPr>
          <w:p w14:paraId="6B8ABDF0">
            <w:pPr>
              <w:widowControl/>
              <w:jc w:val="center"/>
              <w:rPr>
                <w:rFonts w:ascii="宋体" w:hAnsi="宋体" w:cs="宋体"/>
                <w:color w:val="000000"/>
                <w:kern w:val="0"/>
                <w:sz w:val="18"/>
                <w:szCs w:val="18"/>
              </w:rPr>
            </w:pPr>
            <w:r>
              <w:rPr>
                <w:rFonts w:hint="eastAsia" w:ascii="宋体" w:hAnsi="宋体" w:cs="宋体"/>
                <w:color w:val="000000"/>
                <w:kern w:val="0"/>
                <w:sz w:val="18"/>
                <w:szCs w:val="18"/>
              </w:rPr>
              <w:t>62.42</w:t>
            </w:r>
          </w:p>
        </w:tc>
        <w:tc>
          <w:tcPr>
            <w:tcW w:w="1037" w:type="dxa"/>
            <w:tcBorders>
              <w:top w:val="nil"/>
              <w:left w:val="nil"/>
              <w:bottom w:val="single" w:color="000000" w:sz="4" w:space="0"/>
              <w:right w:val="single" w:color="000000" w:sz="4" w:space="0"/>
            </w:tcBorders>
            <w:shd w:val="clear" w:color="auto" w:fill="auto"/>
            <w:vAlign w:val="center"/>
          </w:tcPr>
          <w:p w14:paraId="2AB492F2">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51" w:type="dxa"/>
            <w:tcBorders>
              <w:top w:val="nil"/>
              <w:left w:val="nil"/>
              <w:bottom w:val="single" w:color="000000" w:sz="4" w:space="0"/>
              <w:right w:val="single" w:color="000000" w:sz="4" w:space="0"/>
            </w:tcBorders>
            <w:shd w:val="clear" w:color="auto" w:fill="auto"/>
            <w:vAlign w:val="center"/>
          </w:tcPr>
          <w:p w14:paraId="10D39B50">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3" w:type="dxa"/>
            <w:tcBorders>
              <w:top w:val="nil"/>
              <w:left w:val="nil"/>
              <w:bottom w:val="single" w:color="000000" w:sz="4" w:space="0"/>
              <w:right w:val="single" w:color="000000" w:sz="4" w:space="0"/>
            </w:tcBorders>
            <w:shd w:val="clear" w:color="auto" w:fill="auto"/>
            <w:vAlign w:val="center"/>
          </w:tcPr>
          <w:p w14:paraId="0BECAA01">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834" w:type="dxa"/>
            <w:vMerge w:val="restart"/>
            <w:tcBorders>
              <w:top w:val="nil"/>
              <w:left w:val="single" w:color="000000" w:sz="4" w:space="0"/>
              <w:bottom w:val="single" w:color="000000" w:sz="4" w:space="0"/>
              <w:right w:val="single" w:color="000000" w:sz="4" w:space="0"/>
            </w:tcBorders>
            <w:shd w:val="clear" w:color="auto" w:fill="auto"/>
            <w:vAlign w:val="center"/>
          </w:tcPr>
          <w:p w14:paraId="6389D657">
            <w:pPr>
              <w:widowControl/>
              <w:jc w:val="left"/>
              <w:rPr>
                <w:rFonts w:ascii="黑体" w:hAnsi="黑体" w:eastAsia="黑体" w:cs="宋体"/>
                <w:i/>
                <w:iCs/>
                <w:color w:val="000000"/>
                <w:kern w:val="0"/>
                <w:sz w:val="18"/>
                <w:szCs w:val="18"/>
              </w:rPr>
            </w:pPr>
            <w:r>
              <w:rPr>
                <w:rFonts w:hint="eastAsia" w:ascii="微软雅黑" w:hAnsi="微软雅黑" w:eastAsia="微软雅黑" w:cs="微软雅黑"/>
                <w:i/>
                <w:iCs/>
                <w:color w:val="000000"/>
                <w:kern w:val="0"/>
                <w:sz w:val="18"/>
                <w:szCs w:val="18"/>
              </w:rPr>
              <w:t>　</w:t>
            </w:r>
          </w:p>
        </w:tc>
      </w:tr>
      <w:tr w14:paraId="47253257">
        <w:tblPrEx>
          <w:tblCellMar>
            <w:top w:w="0" w:type="dxa"/>
            <w:left w:w="108" w:type="dxa"/>
            <w:bottom w:w="0" w:type="dxa"/>
            <w:right w:w="108" w:type="dxa"/>
          </w:tblCellMar>
        </w:tblPrEx>
        <w:trPr>
          <w:trHeight w:val="547" w:hRule="atLeast"/>
        </w:trPr>
        <w:tc>
          <w:tcPr>
            <w:tcW w:w="786" w:type="dxa"/>
            <w:vMerge w:val="continue"/>
            <w:tcBorders>
              <w:top w:val="nil"/>
              <w:left w:val="single" w:color="000000" w:sz="4" w:space="0"/>
              <w:bottom w:val="single" w:color="000000" w:sz="4" w:space="0"/>
              <w:right w:val="single" w:color="000000" w:sz="4" w:space="0"/>
            </w:tcBorders>
            <w:vAlign w:val="center"/>
          </w:tcPr>
          <w:p w14:paraId="2C065C1D">
            <w:pPr>
              <w:widowControl/>
              <w:jc w:val="left"/>
              <w:rPr>
                <w:rFonts w:ascii="宋体" w:hAnsi="宋体" w:cs="宋体"/>
                <w:color w:val="000000"/>
                <w:kern w:val="0"/>
                <w:sz w:val="18"/>
                <w:szCs w:val="18"/>
              </w:rPr>
            </w:pPr>
          </w:p>
        </w:tc>
        <w:tc>
          <w:tcPr>
            <w:tcW w:w="786" w:type="dxa"/>
            <w:tcBorders>
              <w:top w:val="nil"/>
              <w:left w:val="nil"/>
              <w:bottom w:val="single" w:color="000000" w:sz="4" w:space="0"/>
              <w:right w:val="single" w:color="000000" w:sz="4" w:space="0"/>
            </w:tcBorders>
            <w:shd w:val="clear" w:color="auto" w:fill="auto"/>
            <w:vAlign w:val="center"/>
          </w:tcPr>
          <w:p w14:paraId="1CB55431">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072" w:type="dxa"/>
            <w:tcBorders>
              <w:top w:val="nil"/>
              <w:left w:val="nil"/>
              <w:bottom w:val="single" w:color="000000" w:sz="4" w:space="0"/>
              <w:right w:val="single" w:color="000000" w:sz="4" w:space="0"/>
            </w:tcBorders>
            <w:shd w:val="clear" w:color="auto" w:fill="auto"/>
            <w:vAlign w:val="center"/>
          </w:tcPr>
          <w:p w14:paraId="584C8B62">
            <w:pPr>
              <w:widowControl/>
              <w:jc w:val="center"/>
              <w:rPr>
                <w:rFonts w:ascii="宋体" w:hAnsi="宋体" w:cs="宋体"/>
                <w:color w:val="000000"/>
                <w:kern w:val="0"/>
                <w:sz w:val="18"/>
                <w:szCs w:val="18"/>
              </w:rPr>
            </w:pPr>
            <w:r>
              <w:rPr>
                <w:rFonts w:hint="eastAsia" w:ascii="宋体" w:hAnsi="宋体" w:cs="宋体"/>
                <w:color w:val="000000"/>
                <w:kern w:val="0"/>
                <w:sz w:val="18"/>
                <w:szCs w:val="18"/>
              </w:rPr>
              <w:t>16.48</w:t>
            </w:r>
          </w:p>
        </w:tc>
        <w:tc>
          <w:tcPr>
            <w:tcW w:w="1072" w:type="dxa"/>
            <w:tcBorders>
              <w:top w:val="nil"/>
              <w:left w:val="nil"/>
              <w:bottom w:val="single" w:color="000000" w:sz="4" w:space="0"/>
              <w:right w:val="single" w:color="000000" w:sz="4" w:space="0"/>
            </w:tcBorders>
            <w:shd w:val="clear" w:color="auto" w:fill="auto"/>
            <w:vAlign w:val="center"/>
          </w:tcPr>
          <w:p w14:paraId="1A362944">
            <w:pPr>
              <w:widowControl/>
              <w:jc w:val="center"/>
              <w:rPr>
                <w:rFonts w:ascii="宋体" w:hAnsi="宋体" w:cs="宋体"/>
                <w:color w:val="000000"/>
                <w:kern w:val="0"/>
                <w:sz w:val="18"/>
                <w:szCs w:val="18"/>
              </w:rPr>
            </w:pPr>
            <w:r>
              <w:rPr>
                <w:rFonts w:hint="eastAsia" w:ascii="宋体" w:hAnsi="宋体" w:cs="宋体"/>
                <w:color w:val="000000"/>
                <w:kern w:val="0"/>
                <w:sz w:val="18"/>
                <w:szCs w:val="18"/>
              </w:rPr>
              <w:t>62.42</w:t>
            </w:r>
          </w:p>
        </w:tc>
        <w:tc>
          <w:tcPr>
            <w:tcW w:w="2165" w:type="dxa"/>
            <w:gridSpan w:val="3"/>
            <w:tcBorders>
              <w:top w:val="single" w:color="000000" w:sz="4" w:space="0"/>
              <w:left w:val="nil"/>
              <w:bottom w:val="single" w:color="000000" w:sz="4" w:space="0"/>
              <w:right w:val="single" w:color="000000" w:sz="4" w:space="0"/>
            </w:tcBorders>
            <w:shd w:val="clear" w:color="auto" w:fill="auto"/>
            <w:vAlign w:val="center"/>
          </w:tcPr>
          <w:p w14:paraId="1D23EAA8">
            <w:pPr>
              <w:widowControl/>
              <w:jc w:val="center"/>
              <w:rPr>
                <w:rFonts w:ascii="宋体" w:hAnsi="宋体" w:cs="宋体"/>
                <w:color w:val="000000"/>
                <w:kern w:val="0"/>
                <w:sz w:val="18"/>
                <w:szCs w:val="18"/>
              </w:rPr>
            </w:pPr>
            <w:r>
              <w:rPr>
                <w:rFonts w:hint="eastAsia" w:ascii="宋体" w:hAnsi="宋体" w:cs="宋体"/>
                <w:color w:val="000000"/>
                <w:kern w:val="0"/>
                <w:sz w:val="18"/>
                <w:szCs w:val="18"/>
              </w:rPr>
              <w:t>62.42</w:t>
            </w:r>
          </w:p>
        </w:tc>
        <w:tc>
          <w:tcPr>
            <w:tcW w:w="1037" w:type="dxa"/>
            <w:tcBorders>
              <w:top w:val="nil"/>
              <w:left w:val="nil"/>
              <w:bottom w:val="single" w:color="000000" w:sz="4" w:space="0"/>
              <w:right w:val="single" w:color="000000" w:sz="4" w:space="0"/>
            </w:tcBorders>
            <w:shd w:val="clear" w:color="auto" w:fill="auto"/>
            <w:vAlign w:val="center"/>
          </w:tcPr>
          <w:p w14:paraId="056CFC65">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51" w:type="dxa"/>
            <w:tcBorders>
              <w:top w:val="nil"/>
              <w:left w:val="nil"/>
              <w:bottom w:val="single" w:color="000000" w:sz="4" w:space="0"/>
              <w:right w:val="single" w:color="000000" w:sz="4" w:space="0"/>
            </w:tcBorders>
            <w:shd w:val="clear" w:color="auto" w:fill="auto"/>
            <w:vAlign w:val="center"/>
          </w:tcPr>
          <w:p w14:paraId="6D89A1C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33" w:type="dxa"/>
            <w:tcBorders>
              <w:top w:val="nil"/>
              <w:left w:val="nil"/>
              <w:bottom w:val="single" w:color="000000" w:sz="4" w:space="0"/>
              <w:right w:val="single" w:color="000000" w:sz="4" w:space="0"/>
            </w:tcBorders>
            <w:shd w:val="clear" w:color="auto" w:fill="auto"/>
            <w:vAlign w:val="center"/>
          </w:tcPr>
          <w:p w14:paraId="73DB443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34" w:type="dxa"/>
            <w:vMerge w:val="continue"/>
            <w:tcBorders>
              <w:top w:val="nil"/>
              <w:left w:val="single" w:color="000000" w:sz="4" w:space="0"/>
              <w:bottom w:val="single" w:color="000000" w:sz="4" w:space="0"/>
              <w:right w:val="single" w:color="000000" w:sz="4" w:space="0"/>
            </w:tcBorders>
            <w:vAlign w:val="center"/>
          </w:tcPr>
          <w:p w14:paraId="62437298">
            <w:pPr>
              <w:widowControl/>
              <w:jc w:val="left"/>
              <w:rPr>
                <w:rFonts w:ascii="黑体" w:hAnsi="黑体" w:eastAsia="黑体" w:cs="宋体"/>
                <w:i/>
                <w:iCs/>
                <w:color w:val="000000"/>
                <w:kern w:val="0"/>
                <w:sz w:val="18"/>
                <w:szCs w:val="18"/>
              </w:rPr>
            </w:pPr>
          </w:p>
        </w:tc>
      </w:tr>
      <w:tr w14:paraId="14203DC5">
        <w:tblPrEx>
          <w:tblCellMar>
            <w:top w:w="0" w:type="dxa"/>
            <w:left w:w="108" w:type="dxa"/>
            <w:bottom w:w="0" w:type="dxa"/>
            <w:right w:w="108" w:type="dxa"/>
          </w:tblCellMar>
        </w:tblPrEx>
        <w:trPr>
          <w:trHeight w:val="547" w:hRule="atLeast"/>
        </w:trPr>
        <w:tc>
          <w:tcPr>
            <w:tcW w:w="786" w:type="dxa"/>
            <w:vMerge w:val="continue"/>
            <w:tcBorders>
              <w:top w:val="nil"/>
              <w:left w:val="single" w:color="000000" w:sz="4" w:space="0"/>
              <w:bottom w:val="single" w:color="000000" w:sz="4" w:space="0"/>
              <w:right w:val="single" w:color="000000" w:sz="4" w:space="0"/>
            </w:tcBorders>
            <w:vAlign w:val="center"/>
          </w:tcPr>
          <w:p w14:paraId="443F187C">
            <w:pPr>
              <w:widowControl/>
              <w:jc w:val="left"/>
              <w:rPr>
                <w:rFonts w:ascii="宋体" w:hAnsi="宋体" w:cs="宋体"/>
                <w:color w:val="000000"/>
                <w:kern w:val="0"/>
                <w:sz w:val="18"/>
                <w:szCs w:val="18"/>
              </w:rPr>
            </w:pPr>
          </w:p>
        </w:tc>
        <w:tc>
          <w:tcPr>
            <w:tcW w:w="786" w:type="dxa"/>
            <w:tcBorders>
              <w:top w:val="nil"/>
              <w:left w:val="nil"/>
              <w:bottom w:val="single" w:color="000000" w:sz="4" w:space="0"/>
              <w:right w:val="single" w:color="000000" w:sz="4" w:space="0"/>
            </w:tcBorders>
            <w:shd w:val="clear" w:color="auto" w:fill="auto"/>
            <w:vAlign w:val="center"/>
          </w:tcPr>
          <w:p w14:paraId="62407675">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072" w:type="dxa"/>
            <w:tcBorders>
              <w:top w:val="nil"/>
              <w:left w:val="nil"/>
              <w:bottom w:val="single" w:color="000000" w:sz="4" w:space="0"/>
              <w:right w:val="single" w:color="000000" w:sz="4" w:space="0"/>
            </w:tcBorders>
            <w:shd w:val="clear" w:color="auto" w:fill="auto"/>
            <w:vAlign w:val="center"/>
          </w:tcPr>
          <w:p w14:paraId="2110B0A6">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72" w:type="dxa"/>
            <w:tcBorders>
              <w:top w:val="nil"/>
              <w:left w:val="nil"/>
              <w:bottom w:val="single" w:color="000000" w:sz="4" w:space="0"/>
              <w:right w:val="single" w:color="000000" w:sz="4" w:space="0"/>
            </w:tcBorders>
            <w:shd w:val="clear" w:color="auto" w:fill="auto"/>
            <w:vAlign w:val="center"/>
          </w:tcPr>
          <w:p w14:paraId="567D35D4">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165" w:type="dxa"/>
            <w:gridSpan w:val="3"/>
            <w:tcBorders>
              <w:top w:val="single" w:color="000000" w:sz="4" w:space="0"/>
              <w:left w:val="nil"/>
              <w:bottom w:val="single" w:color="000000" w:sz="4" w:space="0"/>
              <w:right w:val="single" w:color="000000" w:sz="4" w:space="0"/>
            </w:tcBorders>
            <w:shd w:val="clear" w:color="auto" w:fill="auto"/>
            <w:vAlign w:val="center"/>
          </w:tcPr>
          <w:p w14:paraId="106DC60E">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37" w:type="dxa"/>
            <w:tcBorders>
              <w:top w:val="nil"/>
              <w:left w:val="nil"/>
              <w:bottom w:val="single" w:color="000000" w:sz="4" w:space="0"/>
              <w:right w:val="single" w:color="000000" w:sz="4" w:space="0"/>
            </w:tcBorders>
            <w:shd w:val="clear" w:color="auto" w:fill="auto"/>
            <w:vAlign w:val="center"/>
          </w:tcPr>
          <w:p w14:paraId="5CD95D33">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51" w:type="dxa"/>
            <w:tcBorders>
              <w:top w:val="nil"/>
              <w:left w:val="nil"/>
              <w:bottom w:val="single" w:color="000000" w:sz="4" w:space="0"/>
              <w:right w:val="single" w:color="000000" w:sz="4" w:space="0"/>
            </w:tcBorders>
            <w:shd w:val="clear" w:color="auto" w:fill="auto"/>
            <w:vAlign w:val="center"/>
          </w:tcPr>
          <w:p w14:paraId="7675D98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33" w:type="dxa"/>
            <w:tcBorders>
              <w:top w:val="nil"/>
              <w:left w:val="nil"/>
              <w:bottom w:val="single" w:color="000000" w:sz="4" w:space="0"/>
              <w:right w:val="single" w:color="000000" w:sz="4" w:space="0"/>
            </w:tcBorders>
            <w:shd w:val="clear" w:color="auto" w:fill="auto"/>
            <w:vAlign w:val="center"/>
          </w:tcPr>
          <w:p w14:paraId="35E3A9D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34" w:type="dxa"/>
            <w:vMerge w:val="continue"/>
            <w:tcBorders>
              <w:top w:val="nil"/>
              <w:left w:val="single" w:color="000000" w:sz="4" w:space="0"/>
              <w:bottom w:val="single" w:color="000000" w:sz="4" w:space="0"/>
              <w:right w:val="single" w:color="000000" w:sz="4" w:space="0"/>
            </w:tcBorders>
            <w:vAlign w:val="center"/>
          </w:tcPr>
          <w:p w14:paraId="12E72663">
            <w:pPr>
              <w:widowControl/>
              <w:jc w:val="left"/>
              <w:rPr>
                <w:rFonts w:ascii="黑体" w:hAnsi="黑体" w:eastAsia="黑体" w:cs="宋体"/>
                <w:i/>
                <w:iCs/>
                <w:color w:val="000000"/>
                <w:kern w:val="0"/>
                <w:sz w:val="18"/>
                <w:szCs w:val="18"/>
              </w:rPr>
            </w:pPr>
          </w:p>
        </w:tc>
      </w:tr>
      <w:tr w14:paraId="6A8FF3B4">
        <w:tblPrEx>
          <w:tblCellMar>
            <w:top w:w="0" w:type="dxa"/>
            <w:left w:w="108" w:type="dxa"/>
            <w:bottom w:w="0" w:type="dxa"/>
            <w:right w:w="108" w:type="dxa"/>
          </w:tblCellMar>
        </w:tblPrEx>
        <w:trPr>
          <w:trHeight w:val="547" w:hRule="atLeast"/>
        </w:trPr>
        <w:tc>
          <w:tcPr>
            <w:tcW w:w="786" w:type="dxa"/>
            <w:vMerge w:val="continue"/>
            <w:tcBorders>
              <w:top w:val="nil"/>
              <w:left w:val="single" w:color="000000" w:sz="4" w:space="0"/>
              <w:bottom w:val="single" w:color="000000" w:sz="4" w:space="0"/>
              <w:right w:val="single" w:color="000000" w:sz="4" w:space="0"/>
            </w:tcBorders>
            <w:vAlign w:val="center"/>
          </w:tcPr>
          <w:p w14:paraId="2C6E4AC5">
            <w:pPr>
              <w:widowControl/>
              <w:jc w:val="left"/>
              <w:rPr>
                <w:rFonts w:ascii="宋体" w:hAnsi="宋体" w:cs="宋体"/>
                <w:color w:val="000000"/>
                <w:kern w:val="0"/>
                <w:sz w:val="18"/>
                <w:szCs w:val="18"/>
              </w:rPr>
            </w:pPr>
          </w:p>
        </w:tc>
        <w:tc>
          <w:tcPr>
            <w:tcW w:w="786" w:type="dxa"/>
            <w:tcBorders>
              <w:top w:val="nil"/>
              <w:left w:val="nil"/>
              <w:bottom w:val="single" w:color="000000" w:sz="4" w:space="0"/>
              <w:right w:val="single" w:color="000000" w:sz="4" w:space="0"/>
            </w:tcBorders>
            <w:shd w:val="clear" w:color="auto" w:fill="auto"/>
            <w:vAlign w:val="center"/>
          </w:tcPr>
          <w:p w14:paraId="21A12CBF">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072" w:type="dxa"/>
            <w:tcBorders>
              <w:top w:val="nil"/>
              <w:left w:val="nil"/>
              <w:bottom w:val="single" w:color="000000" w:sz="4" w:space="0"/>
              <w:right w:val="single" w:color="000000" w:sz="4" w:space="0"/>
            </w:tcBorders>
            <w:shd w:val="clear" w:color="auto" w:fill="auto"/>
            <w:vAlign w:val="center"/>
          </w:tcPr>
          <w:p w14:paraId="3C967B9F">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72" w:type="dxa"/>
            <w:tcBorders>
              <w:top w:val="nil"/>
              <w:left w:val="nil"/>
              <w:bottom w:val="single" w:color="000000" w:sz="4" w:space="0"/>
              <w:right w:val="single" w:color="000000" w:sz="4" w:space="0"/>
            </w:tcBorders>
            <w:shd w:val="clear" w:color="auto" w:fill="auto"/>
            <w:vAlign w:val="center"/>
          </w:tcPr>
          <w:p w14:paraId="3D0D6F10">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165" w:type="dxa"/>
            <w:gridSpan w:val="3"/>
            <w:tcBorders>
              <w:top w:val="single" w:color="000000" w:sz="4" w:space="0"/>
              <w:left w:val="nil"/>
              <w:bottom w:val="single" w:color="000000" w:sz="4" w:space="0"/>
              <w:right w:val="single" w:color="000000" w:sz="4" w:space="0"/>
            </w:tcBorders>
            <w:shd w:val="clear" w:color="auto" w:fill="auto"/>
            <w:vAlign w:val="center"/>
          </w:tcPr>
          <w:p w14:paraId="70A84380">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37" w:type="dxa"/>
            <w:tcBorders>
              <w:top w:val="nil"/>
              <w:left w:val="nil"/>
              <w:bottom w:val="single" w:color="000000" w:sz="4" w:space="0"/>
              <w:right w:val="single" w:color="000000" w:sz="4" w:space="0"/>
            </w:tcBorders>
            <w:shd w:val="clear" w:color="auto" w:fill="auto"/>
            <w:vAlign w:val="center"/>
          </w:tcPr>
          <w:p w14:paraId="30F821DD">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51" w:type="dxa"/>
            <w:tcBorders>
              <w:top w:val="nil"/>
              <w:left w:val="nil"/>
              <w:bottom w:val="single" w:color="000000" w:sz="4" w:space="0"/>
              <w:right w:val="single" w:color="000000" w:sz="4" w:space="0"/>
            </w:tcBorders>
            <w:shd w:val="clear" w:color="auto" w:fill="auto"/>
            <w:vAlign w:val="center"/>
          </w:tcPr>
          <w:p w14:paraId="7D28D147">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33" w:type="dxa"/>
            <w:tcBorders>
              <w:top w:val="nil"/>
              <w:left w:val="nil"/>
              <w:bottom w:val="single" w:color="000000" w:sz="4" w:space="0"/>
              <w:right w:val="single" w:color="000000" w:sz="4" w:space="0"/>
            </w:tcBorders>
            <w:shd w:val="clear" w:color="auto" w:fill="auto"/>
            <w:vAlign w:val="center"/>
          </w:tcPr>
          <w:p w14:paraId="6CBB002E">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34" w:type="dxa"/>
            <w:vMerge w:val="continue"/>
            <w:tcBorders>
              <w:top w:val="nil"/>
              <w:left w:val="single" w:color="000000" w:sz="4" w:space="0"/>
              <w:bottom w:val="single" w:color="000000" w:sz="4" w:space="0"/>
              <w:right w:val="single" w:color="000000" w:sz="4" w:space="0"/>
            </w:tcBorders>
            <w:vAlign w:val="center"/>
          </w:tcPr>
          <w:p w14:paraId="3276BD4C">
            <w:pPr>
              <w:widowControl/>
              <w:jc w:val="left"/>
              <w:rPr>
                <w:rFonts w:ascii="黑体" w:hAnsi="黑体" w:eastAsia="黑体" w:cs="宋体"/>
                <w:i/>
                <w:iCs/>
                <w:color w:val="000000"/>
                <w:kern w:val="0"/>
                <w:sz w:val="18"/>
                <w:szCs w:val="18"/>
              </w:rPr>
            </w:pPr>
          </w:p>
        </w:tc>
      </w:tr>
      <w:tr w14:paraId="0E58F71D">
        <w:tblPrEx>
          <w:tblCellMar>
            <w:top w:w="0" w:type="dxa"/>
            <w:left w:w="108" w:type="dxa"/>
            <w:bottom w:w="0" w:type="dxa"/>
            <w:right w:w="108" w:type="dxa"/>
          </w:tblCellMar>
        </w:tblPrEx>
        <w:trPr>
          <w:trHeight w:val="547" w:hRule="atLeast"/>
        </w:trPr>
        <w:tc>
          <w:tcPr>
            <w:tcW w:w="786" w:type="dxa"/>
            <w:vMerge w:val="continue"/>
            <w:tcBorders>
              <w:top w:val="nil"/>
              <w:left w:val="single" w:color="000000" w:sz="4" w:space="0"/>
              <w:bottom w:val="single" w:color="000000" w:sz="4" w:space="0"/>
              <w:right w:val="single" w:color="000000" w:sz="4" w:space="0"/>
            </w:tcBorders>
            <w:vAlign w:val="center"/>
          </w:tcPr>
          <w:p w14:paraId="7F201E3C">
            <w:pPr>
              <w:widowControl/>
              <w:jc w:val="left"/>
              <w:rPr>
                <w:rFonts w:ascii="宋体" w:hAnsi="宋体" w:cs="宋体"/>
                <w:color w:val="000000"/>
                <w:kern w:val="0"/>
                <w:sz w:val="18"/>
                <w:szCs w:val="18"/>
              </w:rPr>
            </w:pPr>
          </w:p>
        </w:tc>
        <w:tc>
          <w:tcPr>
            <w:tcW w:w="786" w:type="dxa"/>
            <w:tcBorders>
              <w:top w:val="nil"/>
              <w:left w:val="nil"/>
              <w:bottom w:val="single" w:color="000000" w:sz="4" w:space="0"/>
              <w:right w:val="single" w:color="000000" w:sz="4" w:space="0"/>
            </w:tcBorders>
            <w:shd w:val="clear" w:color="auto" w:fill="auto"/>
            <w:vAlign w:val="center"/>
          </w:tcPr>
          <w:p w14:paraId="274CDDC5">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072" w:type="dxa"/>
            <w:tcBorders>
              <w:top w:val="nil"/>
              <w:left w:val="nil"/>
              <w:bottom w:val="single" w:color="000000" w:sz="4" w:space="0"/>
              <w:right w:val="single" w:color="000000" w:sz="4" w:space="0"/>
            </w:tcBorders>
            <w:shd w:val="clear" w:color="auto" w:fill="auto"/>
            <w:vAlign w:val="center"/>
          </w:tcPr>
          <w:p w14:paraId="09BB18A3">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72" w:type="dxa"/>
            <w:tcBorders>
              <w:top w:val="nil"/>
              <w:left w:val="nil"/>
              <w:bottom w:val="single" w:color="000000" w:sz="4" w:space="0"/>
              <w:right w:val="single" w:color="000000" w:sz="4" w:space="0"/>
            </w:tcBorders>
            <w:shd w:val="clear" w:color="auto" w:fill="auto"/>
            <w:vAlign w:val="center"/>
          </w:tcPr>
          <w:p w14:paraId="554758C5">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165" w:type="dxa"/>
            <w:gridSpan w:val="3"/>
            <w:tcBorders>
              <w:top w:val="single" w:color="000000" w:sz="4" w:space="0"/>
              <w:left w:val="nil"/>
              <w:bottom w:val="single" w:color="000000" w:sz="4" w:space="0"/>
              <w:right w:val="single" w:color="000000" w:sz="4" w:space="0"/>
            </w:tcBorders>
            <w:shd w:val="clear" w:color="auto" w:fill="auto"/>
            <w:vAlign w:val="center"/>
          </w:tcPr>
          <w:p w14:paraId="77D47318">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37" w:type="dxa"/>
            <w:tcBorders>
              <w:top w:val="nil"/>
              <w:left w:val="nil"/>
              <w:bottom w:val="single" w:color="000000" w:sz="4" w:space="0"/>
              <w:right w:val="single" w:color="000000" w:sz="4" w:space="0"/>
            </w:tcBorders>
            <w:shd w:val="clear" w:color="auto" w:fill="auto"/>
            <w:vAlign w:val="center"/>
          </w:tcPr>
          <w:p w14:paraId="6C9D645F">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51" w:type="dxa"/>
            <w:tcBorders>
              <w:top w:val="nil"/>
              <w:left w:val="nil"/>
              <w:bottom w:val="single" w:color="000000" w:sz="4" w:space="0"/>
              <w:right w:val="single" w:color="000000" w:sz="4" w:space="0"/>
            </w:tcBorders>
            <w:shd w:val="clear" w:color="auto" w:fill="auto"/>
            <w:vAlign w:val="center"/>
          </w:tcPr>
          <w:p w14:paraId="5743828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33" w:type="dxa"/>
            <w:tcBorders>
              <w:top w:val="nil"/>
              <w:left w:val="nil"/>
              <w:bottom w:val="single" w:color="000000" w:sz="4" w:space="0"/>
              <w:right w:val="single" w:color="000000" w:sz="4" w:space="0"/>
            </w:tcBorders>
            <w:shd w:val="clear" w:color="auto" w:fill="auto"/>
            <w:vAlign w:val="center"/>
          </w:tcPr>
          <w:p w14:paraId="0BC5139E">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34" w:type="dxa"/>
            <w:vMerge w:val="continue"/>
            <w:tcBorders>
              <w:top w:val="nil"/>
              <w:left w:val="single" w:color="000000" w:sz="4" w:space="0"/>
              <w:bottom w:val="single" w:color="000000" w:sz="4" w:space="0"/>
              <w:right w:val="single" w:color="000000" w:sz="4" w:space="0"/>
            </w:tcBorders>
            <w:vAlign w:val="center"/>
          </w:tcPr>
          <w:p w14:paraId="6A714966">
            <w:pPr>
              <w:widowControl/>
              <w:jc w:val="left"/>
              <w:rPr>
                <w:rFonts w:ascii="黑体" w:hAnsi="黑体" w:eastAsia="黑体" w:cs="宋体"/>
                <w:i/>
                <w:iCs/>
                <w:color w:val="000000"/>
                <w:kern w:val="0"/>
                <w:sz w:val="18"/>
                <w:szCs w:val="18"/>
              </w:rPr>
            </w:pPr>
          </w:p>
        </w:tc>
      </w:tr>
      <w:tr w14:paraId="10F64040">
        <w:tblPrEx>
          <w:tblCellMar>
            <w:top w:w="0" w:type="dxa"/>
            <w:left w:w="108" w:type="dxa"/>
            <w:bottom w:w="0" w:type="dxa"/>
            <w:right w:w="108" w:type="dxa"/>
          </w:tblCellMar>
        </w:tblPrEx>
        <w:trPr>
          <w:trHeight w:val="456" w:hRule="atLeast"/>
        </w:trPr>
        <w:tc>
          <w:tcPr>
            <w:tcW w:w="786" w:type="dxa"/>
            <w:vMerge w:val="restart"/>
            <w:tcBorders>
              <w:top w:val="nil"/>
              <w:left w:val="single" w:color="000000" w:sz="4" w:space="0"/>
              <w:bottom w:val="single" w:color="000000" w:sz="4" w:space="0"/>
              <w:right w:val="single" w:color="000000" w:sz="4" w:space="0"/>
            </w:tcBorders>
            <w:shd w:val="clear" w:color="auto" w:fill="auto"/>
            <w:vAlign w:val="center"/>
          </w:tcPr>
          <w:p w14:paraId="73F29E28">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786" w:type="dxa"/>
            <w:tcBorders>
              <w:top w:val="nil"/>
              <w:left w:val="nil"/>
              <w:bottom w:val="single" w:color="000000" w:sz="4" w:space="0"/>
              <w:right w:val="single" w:color="000000" w:sz="4" w:space="0"/>
            </w:tcBorders>
            <w:shd w:val="clear" w:color="auto" w:fill="auto"/>
            <w:vAlign w:val="center"/>
          </w:tcPr>
          <w:p w14:paraId="09FD921F">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072" w:type="dxa"/>
            <w:tcBorders>
              <w:top w:val="nil"/>
              <w:left w:val="nil"/>
              <w:bottom w:val="single" w:color="000000" w:sz="4" w:space="0"/>
              <w:right w:val="single" w:color="000000" w:sz="4" w:space="0"/>
            </w:tcBorders>
            <w:shd w:val="clear" w:color="auto" w:fill="auto"/>
            <w:vAlign w:val="center"/>
          </w:tcPr>
          <w:p w14:paraId="6A4CCC4D">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1072" w:type="dxa"/>
            <w:tcBorders>
              <w:top w:val="nil"/>
              <w:left w:val="nil"/>
              <w:bottom w:val="single" w:color="000000" w:sz="4" w:space="0"/>
              <w:right w:val="single" w:color="000000" w:sz="4" w:space="0"/>
            </w:tcBorders>
            <w:shd w:val="clear" w:color="auto" w:fill="auto"/>
            <w:vAlign w:val="center"/>
          </w:tcPr>
          <w:p w14:paraId="17E71842">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10" w:type="dxa"/>
            <w:tcBorders>
              <w:top w:val="nil"/>
              <w:left w:val="nil"/>
              <w:bottom w:val="single" w:color="000000" w:sz="4" w:space="0"/>
              <w:right w:val="single" w:color="000000" w:sz="4" w:space="0"/>
            </w:tcBorders>
            <w:shd w:val="clear" w:color="auto" w:fill="auto"/>
            <w:vAlign w:val="center"/>
          </w:tcPr>
          <w:p w14:paraId="2E8BFC44">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626" w:type="dxa"/>
            <w:tcBorders>
              <w:top w:val="nil"/>
              <w:left w:val="nil"/>
              <w:bottom w:val="single" w:color="000000" w:sz="4" w:space="0"/>
              <w:right w:val="single" w:color="000000" w:sz="4" w:space="0"/>
            </w:tcBorders>
            <w:shd w:val="clear" w:color="auto" w:fill="auto"/>
            <w:vAlign w:val="center"/>
          </w:tcPr>
          <w:p w14:paraId="2EFE26A1">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927" w:type="dxa"/>
            <w:tcBorders>
              <w:top w:val="nil"/>
              <w:left w:val="nil"/>
              <w:bottom w:val="single" w:color="000000" w:sz="4" w:space="0"/>
              <w:right w:val="single" w:color="000000" w:sz="4" w:space="0"/>
            </w:tcBorders>
            <w:shd w:val="clear" w:color="auto" w:fill="auto"/>
            <w:vAlign w:val="center"/>
          </w:tcPr>
          <w:p w14:paraId="4CEDB544">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037" w:type="dxa"/>
            <w:tcBorders>
              <w:top w:val="nil"/>
              <w:left w:val="nil"/>
              <w:bottom w:val="single" w:color="000000" w:sz="4" w:space="0"/>
              <w:right w:val="single" w:color="000000" w:sz="4" w:space="0"/>
            </w:tcBorders>
            <w:shd w:val="clear" w:color="auto" w:fill="auto"/>
            <w:vAlign w:val="center"/>
          </w:tcPr>
          <w:p w14:paraId="45CF73A0">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851" w:type="dxa"/>
            <w:tcBorders>
              <w:top w:val="nil"/>
              <w:left w:val="nil"/>
              <w:bottom w:val="single" w:color="000000" w:sz="4" w:space="0"/>
              <w:right w:val="single" w:color="000000" w:sz="4" w:space="0"/>
            </w:tcBorders>
            <w:shd w:val="clear" w:color="auto" w:fill="auto"/>
            <w:vAlign w:val="center"/>
          </w:tcPr>
          <w:p w14:paraId="5D75374B">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33" w:type="dxa"/>
            <w:tcBorders>
              <w:top w:val="nil"/>
              <w:left w:val="nil"/>
              <w:bottom w:val="single" w:color="000000" w:sz="4" w:space="0"/>
              <w:right w:val="single" w:color="000000" w:sz="4" w:space="0"/>
            </w:tcBorders>
            <w:shd w:val="clear" w:color="auto" w:fill="auto"/>
            <w:vAlign w:val="center"/>
          </w:tcPr>
          <w:p w14:paraId="37C5B7F7">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34" w:type="dxa"/>
            <w:tcBorders>
              <w:top w:val="nil"/>
              <w:left w:val="nil"/>
              <w:bottom w:val="single" w:color="000000" w:sz="4" w:space="0"/>
              <w:right w:val="single" w:color="000000" w:sz="4" w:space="0"/>
            </w:tcBorders>
            <w:shd w:val="clear" w:color="auto" w:fill="auto"/>
            <w:vAlign w:val="center"/>
          </w:tcPr>
          <w:p w14:paraId="5CD22810">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14:paraId="46B72530">
        <w:tblPrEx>
          <w:tblCellMar>
            <w:top w:w="0" w:type="dxa"/>
            <w:left w:w="108" w:type="dxa"/>
            <w:bottom w:w="0" w:type="dxa"/>
            <w:right w:w="108" w:type="dxa"/>
          </w:tblCellMar>
        </w:tblPrEx>
        <w:trPr>
          <w:trHeight w:val="456" w:hRule="atLeast"/>
        </w:trPr>
        <w:tc>
          <w:tcPr>
            <w:tcW w:w="786" w:type="dxa"/>
            <w:vMerge w:val="continue"/>
            <w:tcBorders>
              <w:top w:val="nil"/>
              <w:left w:val="single" w:color="000000" w:sz="4" w:space="0"/>
              <w:bottom w:val="single" w:color="000000" w:sz="4" w:space="0"/>
              <w:right w:val="single" w:color="000000" w:sz="4" w:space="0"/>
            </w:tcBorders>
            <w:vAlign w:val="center"/>
          </w:tcPr>
          <w:p w14:paraId="5683BCBD">
            <w:pPr>
              <w:widowControl/>
              <w:jc w:val="left"/>
              <w:rPr>
                <w:rFonts w:ascii="宋体" w:hAnsi="宋体" w:cs="宋体"/>
                <w:color w:val="000000"/>
                <w:kern w:val="0"/>
                <w:sz w:val="18"/>
                <w:szCs w:val="18"/>
              </w:rPr>
            </w:pPr>
          </w:p>
        </w:tc>
        <w:tc>
          <w:tcPr>
            <w:tcW w:w="786" w:type="dxa"/>
            <w:vMerge w:val="restart"/>
            <w:tcBorders>
              <w:top w:val="nil"/>
              <w:left w:val="single" w:color="000000" w:sz="4" w:space="0"/>
              <w:bottom w:val="single" w:color="000000" w:sz="4" w:space="0"/>
              <w:right w:val="single" w:color="000000" w:sz="4" w:space="0"/>
            </w:tcBorders>
            <w:shd w:val="clear" w:color="auto" w:fill="auto"/>
            <w:vAlign w:val="center"/>
          </w:tcPr>
          <w:p w14:paraId="5EFD4CD5">
            <w:pPr>
              <w:widowControl/>
              <w:jc w:val="center"/>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1072" w:type="dxa"/>
            <w:vMerge w:val="restart"/>
            <w:tcBorders>
              <w:top w:val="nil"/>
              <w:left w:val="single" w:color="000000" w:sz="4" w:space="0"/>
              <w:bottom w:val="single" w:color="000000" w:sz="4" w:space="0"/>
              <w:right w:val="single" w:color="000000" w:sz="4" w:space="0"/>
            </w:tcBorders>
            <w:shd w:val="clear" w:color="auto" w:fill="auto"/>
            <w:vAlign w:val="center"/>
          </w:tcPr>
          <w:p w14:paraId="77386837">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1072" w:type="dxa"/>
            <w:tcBorders>
              <w:top w:val="nil"/>
              <w:left w:val="nil"/>
              <w:bottom w:val="single" w:color="000000" w:sz="4" w:space="0"/>
              <w:right w:val="single" w:color="000000" w:sz="4" w:space="0"/>
            </w:tcBorders>
            <w:shd w:val="clear" w:color="auto" w:fill="auto"/>
            <w:vAlign w:val="center"/>
          </w:tcPr>
          <w:p w14:paraId="54BA7D88">
            <w:pPr>
              <w:widowControl/>
              <w:jc w:val="center"/>
              <w:rPr>
                <w:rFonts w:ascii="宋体" w:hAnsi="宋体" w:cs="宋体"/>
                <w:color w:val="000000"/>
                <w:kern w:val="0"/>
                <w:sz w:val="18"/>
                <w:szCs w:val="18"/>
              </w:rPr>
            </w:pPr>
            <w:r>
              <w:rPr>
                <w:rFonts w:hint="eastAsia" w:ascii="宋体" w:hAnsi="宋体" w:cs="宋体"/>
                <w:color w:val="000000"/>
                <w:kern w:val="0"/>
                <w:sz w:val="18"/>
                <w:szCs w:val="18"/>
              </w:rPr>
              <w:t>购置设备数量</w:t>
            </w:r>
          </w:p>
        </w:tc>
        <w:tc>
          <w:tcPr>
            <w:tcW w:w="610" w:type="dxa"/>
            <w:tcBorders>
              <w:top w:val="nil"/>
              <w:left w:val="nil"/>
              <w:bottom w:val="single" w:color="000000" w:sz="4" w:space="0"/>
              <w:right w:val="single" w:color="000000" w:sz="4" w:space="0"/>
            </w:tcBorders>
            <w:shd w:val="clear" w:color="auto" w:fill="auto"/>
            <w:vAlign w:val="center"/>
          </w:tcPr>
          <w:p w14:paraId="1DC0078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6" w:type="dxa"/>
            <w:tcBorders>
              <w:top w:val="nil"/>
              <w:left w:val="nil"/>
              <w:bottom w:val="single" w:color="000000" w:sz="4" w:space="0"/>
              <w:right w:val="single" w:color="000000" w:sz="4" w:space="0"/>
            </w:tcBorders>
            <w:shd w:val="clear" w:color="auto" w:fill="auto"/>
            <w:vAlign w:val="center"/>
          </w:tcPr>
          <w:p w14:paraId="734B3E69">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927" w:type="dxa"/>
            <w:tcBorders>
              <w:top w:val="nil"/>
              <w:left w:val="nil"/>
              <w:bottom w:val="single" w:color="000000" w:sz="4" w:space="0"/>
              <w:right w:val="single" w:color="000000" w:sz="4" w:space="0"/>
            </w:tcBorders>
            <w:shd w:val="clear" w:color="auto" w:fill="auto"/>
            <w:vAlign w:val="center"/>
          </w:tcPr>
          <w:p w14:paraId="66DEEF32">
            <w:pPr>
              <w:widowControl/>
              <w:jc w:val="center"/>
              <w:rPr>
                <w:rFonts w:ascii="宋体" w:hAnsi="宋体" w:cs="宋体"/>
                <w:color w:val="000000"/>
                <w:kern w:val="0"/>
                <w:sz w:val="18"/>
                <w:szCs w:val="18"/>
              </w:rPr>
            </w:pPr>
            <w:r>
              <w:rPr>
                <w:rFonts w:hint="eastAsia" w:ascii="宋体" w:hAnsi="宋体" w:cs="宋体"/>
                <w:color w:val="000000"/>
                <w:kern w:val="0"/>
                <w:sz w:val="18"/>
                <w:szCs w:val="18"/>
              </w:rPr>
              <w:t>台（套）</w:t>
            </w:r>
          </w:p>
        </w:tc>
        <w:tc>
          <w:tcPr>
            <w:tcW w:w="1037" w:type="dxa"/>
            <w:tcBorders>
              <w:top w:val="nil"/>
              <w:left w:val="nil"/>
              <w:bottom w:val="single" w:color="000000" w:sz="4" w:space="0"/>
              <w:right w:val="single" w:color="000000" w:sz="4" w:space="0"/>
            </w:tcBorders>
            <w:shd w:val="clear" w:color="auto" w:fill="auto"/>
            <w:vAlign w:val="center"/>
          </w:tcPr>
          <w:p w14:paraId="300C806B">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20</w:t>
            </w:r>
          </w:p>
        </w:tc>
        <w:tc>
          <w:tcPr>
            <w:tcW w:w="851" w:type="dxa"/>
            <w:tcBorders>
              <w:top w:val="nil"/>
              <w:left w:val="nil"/>
              <w:bottom w:val="single" w:color="000000" w:sz="4" w:space="0"/>
              <w:right w:val="single" w:color="000000" w:sz="4" w:space="0"/>
            </w:tcBorders>
            <w:shd w:val="clear" w:color="auto" w:fill="auto"/>
            <w:vAlign w:val="center"/>
          </w:tcPr>
          <w:p w14:paraId="4AEAAA34">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3" w:type="dxa"/>
            <w:tcBorders>
              <w:top w:val="nil"/>
              <w:left w:val="nil"/>
              <w:bottom w:val="single" w:color="000000" w:sz="4" w:space="0"/>
              <w:right w:val="single" w:color="000000" w:sz="4" w:space="0"/>
            </w:tcBorders>
            <w:shd w:val="clear" w:color="auto" w:fill="auto"/>
            <w:vAlign w:val="center"/>
          </w:tcPr>
          <w:p w14:paraId="60926B89">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dxa"/>
            <w:tcBorders>
              <w:top w:val="nil"/>
              <w:left w:val="nil"/>
              <w:bottom w:val="single" w:color="000000" w:sz="4" w:space="0"/>
              <w:right w:val="single" w:color="000000" w:sz="4" w:space="0"/>
            </w:tcBorders>
            <w:shd w:val="clear" w:color="auto" w:fill="auto"/>
            <w:vAlign w:val="center"/>
          </w:tcPr>
          <w:p w14:paraId="62A7957A">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37C4BBCD">
        <w:tblPrEx>
          <w:tblCellMar>
            <w:top w:w="0" w:type="dxa"/>
            <w:left w:w="108" w:type="dxa"/>
            <w:bottom w:w="0" w:type="dxa"/>
            <w:right w:w="108" w:type="dxa"/>
          </w:tblCellMar>
        </w:tblPrEx>
        <w:trPr>
          <w:trHeight w:val="471" w:hRule="atLeast"/>
        </w:trPr>
        <w:tc>
          <w:tcPr>
            <w:tcW w:w="786" w:type="dxa"/>
            <w:vMerge w:val="continue"/>
            <w:tcBorders>
              <w:top w:val="nil"/>
              <w:left w:val="single" w:color="000000" w:sz="4" w:space="0"/>
              <w:bottom w:val="single" w:color="000000" w:sz="4" w:space="0"/>
              <w:right w:val="single" w:color="000000" w:sz="4" w:space="0"/>
            </w:tcBorders>
            <w:vAlign w:val="center"/>
          </w:tcPr>
          <w:p w14:paraId="77619F1E">
            <w:pPr>
              <w:widowControl/>
              <w:jc w:val="left"/>
              <w:rPr>
                <w:rFonts w:ascii="宋体" w:hAnsi="宋体" w:cs="宋体"/>
                <w:color w:val="000000"/>
                <w:kern w:val="0"/>
                <w:sz w:val="18"/>
                <w:szCs w:val="18"/>
              </w:rPr>
            </w:pPr>
          </w:p>
        </w:tc>
        <w:tc>
          <w:tcPr>
            <w:tcW w:w="786" w:type="dxa"/>
            <w:vMerge w:val="continue"/>
            <w:tcBorders>
              <w:top w:val="nil"/>
              <w:left w:val="single" w:color="000000" w:sz="4" w:space="0"/>
              <w:bottom w:val="single" w:color="000000" w:sz="4" w:space="0"/>
              <w:right w:val="single" w:color="000000" w:sz="4" w:space="0"/>
            </w:tcBorders>
            <w:vAlign w:val="center"/>
          </w:tcPr>
          <w:p w14:paraId="2721B8A6">
            <w:pPr>
              <w:widowControl/>
              <w:jc w:val="left"/>
              <w:rPr>
                <w:rFonts w:ascii="宋体" w:hAnsi="宋体" w:cs="宋体"/>
                <w:color w:val="000000"/>
                <w:kern w:val="0"/>
                <w:sz w:val="18"/>
                <w:szCs w:val="18"/>
              </w:rPr>
            </w:pPr>
          </w:p>
        </w:tc>
        <w:tc>
          <w:tcPr>
            <w:tcW w:w="1072" w:type="dxa"/>
            <w:vMerge w:val="continue"/>
            <w:tcBorders>
              <w:top w:val="nil"/>
              <w:left w:val="single" w:color="000000" w:sz="4" w:space="0"/>
              <w:bottom w:val="single" w:color="000000" w:sz="4" w:space="0"/>
              <w:right w:val="single" w:color="000000" w:sz="4" w:space="0"/>
            </w:tcBorders>
            <w:vAlign w:val="center"/>
          </w:tcPr>
          <w:p w14:paraId="1347A711">
            <w:pPr>
              <w:widowControl/>
              <w:jc w:val="left"/>
              <w:rPr>
                <w:rFonts w:ascii="宋体" w:hAnsi="宋体" w:cs="宋体"/>
                <w:color w:val="000000"/>
                <w:kern w:val="0"/>
                <w:sz w:val="18"/>
                <w:szCs w:val="18"/>
              </w:rPr>
            </w:pPr>
          </w:p>
        </w:tc>
        <w:tc>
          <w:tcPr>
            <w:tcW w:w="1072" w:type="dxa"/>
            <w:tcBorders>
              <w:top w:val="nil"/>
              <w:left w:val="nil"/>
              <w:bottom w:val="single" w:color="000000" w:sz="4" w:space="0"/>
              <w:right w:val="single" w:color="000000" w:sz="4" w:space="0"/>
            </w:tcBorders>
            <w:shd w:val="clear" w:color="auto" w:fill="auto"/>
            <w:vAlign w:val="center"/>
          </w:tcPr>
          <w:p w14:paraId="591EE67D">
            <w:pPr>
              <w:widowControl/>
              <w:jc w:val="center"/>
              <w:rPr>
                <w:rFonts w:ascii="宋体" w:hAnsi="宋体" w:cs="宋体"/>
                <w:color w:val="000000"/>
                <w:kern w:val="0"/>
                <w:sz w:val="18"/>
                <w:szCs w:val="18"/>
              </w:rPr>
            </w:pPr>
            <w:r>
              <w:rPr>
                <w:rFonts w:hint="eastAsia" w:ascii="宋体" w:hAnsi="宋体" w:cs="宋体"/>
                <w:color w:val="000000"/>
                <w:kern w:val="0"/>
                <w:sz w:val="18"/>
                <w:szCs w:val="18"/>
              </w:rPr>
              <w:t>政府采购率</w:t>
            </w:r>
          </w:p>
        </w:tc>
        <w:tc>
          <w:tcPr>
            <w:tcW w:w="610" w:type="dxa"/>
            <w:tcBorders>
              <w:top w:val="nil"/>
              <w:left w:val="nil"/>
              <w:bottom w:val="single" w:color="000000" w:sz="4" w:space="0"/>
              <w:right w:val="single" w:color="000000" w:sz="4" w:space="0"/>
            </w:tcBorders>
            <w:shd w:val="clear" w:color="auto" w:fill="auto"/>
            <w:vAlign w:val="center"/>
          </w:tcPr>
          <w:p w14:paraId="28E9A38A">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6" w:type="dxa"/>
            <w:tcBorders>
              <w:top w:val="nil"/>
              <w:left w:val="nil"/>
              <w:bottom w:val="single" w:color="000000" w:sz="4" w:space="0"/>
              <w:right w:val="single" w:color="000000" w:sz="4" w:space="0"/>
            </w:tcBorders>
            <w:shd w:val="clear" w:color="auto" w:fill="auto"/>
            <w:vAlign w:val="center"/>
          </w:tcPr>
          <w:p w14:paraId="7BBDD395">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927" w:type="dxa"/>
            <w:tcBorders>
              <w:top w:val="nil"/>
              <w:left w:val="nil"/>
              <w:bottom w:val="single" w:color="000000" w:sz="4" w:space="0"/>
              <w:right w:val="single" w:color="000000" w:sz="4" w:space="0"/>
            </w:tcBorders>
            <w:shd w:val="clear" w:color="auto" w:fill="auto"/>
            <w:vAlign w:val="center"/>
          </w:tcPr>
          <w:p w14:paraId="7250DACA">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37" w:type="dxa"/>
            <w:tcBorders>
              <w:top w:val="nil"/>
              <w:left w:val="nil"/>
              <w:bottom w:val="single" w:color="000000" w:sz="4" w:space="0"/>
              <w:right w:val="single" w:color="000000" w:sz="4" w:space="0"/>
            </w:tcBorders>
            <w:shd w:val="clear" w:color="auto" w:fill="auto"/>
            <w:vAlign w:val="center"/>
          </w:tcPr>
          <w:p w14:paraId="50142CA1">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851" w:type="dxa"/>
            <w:tcBorders>
              <w:top w:val="nil"/>
              <w:left w:val="nil"/>
              <w:bottom w:val="single" w:color="000000" w:sz="4" w:space="0"/>
              <w:right w:val="single" w:color="000000" w:sz="4" w:space="0"/>
            </w:tcBorders>
            <w:shd w:val="clear" w:color="auto" w:fill="auto"/>
            <w:vAlign w:val="center"/>
          </w:tcPr>
          <w:p w14:paraId="44CF41D2">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833" w:type="dxa"/>
            <w:tcBorders>
              <w:top w:val="nil"/>
              <w:left w:val="nil"/>
              <w:bottom w:val="single" w:color="000000" w:sz="4" w:space="0"/>
              <w:right w:val="single" w:color="000000" w:sz="4" w:space="0"/>
            </w:tcBorders>
            <w:shd w:val="clear" w:color="auto" w:fill="auto"/>
            <w:vAlign w:val="center"/>
          </w:tcPr>
          <w:p w14:paraId="2EB7508C">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834" w:type="dxa"/>
            <w:tcBorders>
              <w:top w:val="nil"/>
              <w:left w:val="nil"/>
              <w:bottom w:val="single" w:color="000000" w:sz="4" w:space="0"/>
              <w:right w:val="single" w:color="000000" w:sz="4" w:space="0"/>
            </w:tcBorders>
            <w:shd w:val="clear" w:color="auto" w:fill="auto"/>
            <w:vAlign w:val="center"/>
          </w:tcPr>
          <w:p w14:paraId="13289112">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1AF77EEC">
        <w:tblPrEx>
          <w:tblCellMar>
            <w:top w:w="0" w:type="dxa"/>
            <w:left w:w="108" w:type="dxa"/>
            <w:bottom w:w="0" w:type="dxa"/>
            <w:right w:w="108" w:type="dxa"/>
          </w:tblCellMar>
        </w:tblPrEx>
        <w:trPr>
          <w:trHeight w:val="456" w:hRule="atLeast"/>
        </w:trPr>
        <w:tc>
          <w:tcPr>
            <w:tcW w:w="786" w:type="dxa"/>
            <w:vMerge w:val="continue"/>
            <w:tcBorders>
              <w:top w:val="nil"/>
              <w:left w:val="single" w:color="000000" w:sz="4" w:space="0"/>
              <w:bottom w:val="single" w:color="000000" w:sz="4" w:space="0"/>
              <w:right w:val="single" w:color="000000" w:sz="4" w:space="0"/>
            </w:tcBorders>
            <w:vAlign w:val="center"/>
          </w:tcPr>
          <w:p w14:paraId="47A4461F">
            <w:pPr>
              <w:widowControl/>
              <w:jc w:val="left"/>
              <w:rPr>
                <w:rFonts w:ascii="宋体" w:hAnsi="宋体" w:cs="宋体"/>
                <w:color w:val="000000"/>
                <w:kern w:val="0"/>
                <w:sz w:val="18"/>
                <w:szCs w:val="18"/>
              </w:rPr>
            </w:pPr>
          </w:p>
        </w:tc>
        <w:tc>
          <w:tcPr>
            <w:tcW w:w="786" w:type="dxa"/>
            <w:vMerge w:val="continue"/>
            <w:tcBorders>
              <w:top w:val="nil"/>
              <w:left w:val="single" w:color="000000" w:sz="4" w:space="0"/>
              <w:bottom w:val="single" w:color="000000" w:sz="4" w:space="0"/>
              <w:right w:val="single" w:color="000000" w:sz="4" w:space="0"/>
            </w:tcBorders>
            <w:vAlign w:val="center"/>
          </w:tcPr>
          <w:p w14:paraId="1D6B22F7">
            <w:pPr>
              <w:widowControl/>
              <w:jc w:val="left"/>
              <w:rPr>
                <w:rFonts w:ascii="宋体" w:hAnsi="宋体" w:cs="宋体"/>
                <w:color w:val="000000"/>
                <w:kern w:val="0"/>
                <w:sz w:val="18"/>
                <w:szCs w:val="18"/>
              </w:rPr>
            </w:pPr>
          </w:p>
        </w:tc>
        <w:tc>
          <w:tcPr>
            <w:tcW w:w="1072" w:type="dxa"/>
            <w:vMerge w:val="restart"/>
            <w:tcBorders>
              <w:top w:val="nil"/>
              <w:left w:val="single" w:color="000000" w:sz="4" w:space="0"/>
              <w:bottom w:val="single" w:color="000000" w:sz="4" w:space="0"/>
              <w:right w:val="single" w:color="000000" w:sz="4" w:space="0"/>
            </w:tcBorders>
            <w:shd w:val="clear" w:color="auto" w:fill="auto"/>
            <w:vAlign w:val="center"/>
          </w:tcPr>
          <w:p w14:paraId="6B179325">
            <w:pPr>
              <w:widowControl/>
              <w:jc w:val="center"/>
              <w:rPr>
                <w:rFonts w:ascii="宋体" w:hAnsi="宋体" w:cs="宋体"/>
                <w:color w:val="000000"/>
                <w:kern w:val="0"/>
                <w:sz w:val="18"/>
                <w:szCs w:val="18"/>
              </w:rPr>
            </w:pPr>
            <w:r>
              <w:rPr>
                <w:rFonts w:hint="eastAsia" w:ascii="宋体" w:hAnsi="宋体" w:cs="宋体"/>
                <w:color w:val="000000"/>
                <w:kern w:val="0"/>
                <w:sz w:val="18"/>
                <w:szCs w:val="18"/>
              </w:rPr>
              <w:t>质量指标</w:t>
            </w:r>
          </w:p>
        </w:tc>
        <w:tc>
          <w:tcPr>
            <w:tcW w:w="1072" w:type="dxa"/>
            <w:tcBorders>
              <w:top w:val="nil"/>
              <w:left w:val="nil"/>
              <w:bottom w:val="single" w:color="000000" w:sz="4" w:space="0"/>
              <w:right w:val="single" w:color="000000" w:sz="4" w:space="0"/>
            </w:tcBorders>
            <w:shd w:val="clear" w:color="auto" w:fill="auto"/>
            <w:vAlign w:val="center"/>
          </w:tcPr>
          <w:p w14:paraId="1840321D">
            <w:pPr>
              <w:widowControl/>
              <w:jc w:val="center"/>
              <w:rPr>
                <w:rFonts w:ascii="宋体" w:hAnsi="宋体" w:cs="宋体"/>
                <w:color w:val="000000"/>
                <w:kern w:val="0"/>
                <w:sz w:val="18"/>
                <w:szCs w:val="18"/>
              </w:rPr>
            </w:pPr>
            <w:r>
              <w:rPr>
                <w:rFonts w:hint="eastAsia" w:ascii="宋体" w:hAnsi="宋体" w:cs="宋体"/>
                <w:color w:val="000000"/>
                <w:kern w:val="0"/>
                <w:sz w:val="18"/>
                <w:szCs w:val="18"/>
              </w:rPr>
              <w:t>设备质量合格率</w:t>
            </w:r>
          </w:p>
        </w:tc>
        <w:tc>
          <w:tcPr>
            <w:tcW w:w="610" w:type="dxa"/>
            <w:tcBorders>
              <w:top w:val="nil"/>
              <w:left w:val="nil"/>
              <w:bottom w:val="single" w:color="000000" w:sz="4" w:space="0"/>
              <w:right w:val="single" w:color="000000" w:sz="4" w:space="0"/>
            </w:tcBorders>
            <w:shd w:val="clear" w:color="auto" w:fill="auto"/>
            <w:vAlign w:val="center"/>
          </w:tcPr>
          <w:p w14:paraId="28A2B0CC">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6" w:type="dxa"/>
            <w:tcBorders>
              <w:top w:val="nil"/>
              <w:left w:val="nil"/>
              <w:bottom w:val="single" w:color="000000" w:sz="4" w:space="0"/>
              <w:right w:val="single" w:color="000000" w:sz="4" w:space="0"/>
            </w:tcBorders>
            <w:shd w:val="clear" w:color="auto" w:fill="auto"/>
            <w:vAlign w:val="center"/>
          </w:tcPr>
          <w:p w14:paraId="72596F17">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927" w:type="dxa"/>
            <w:tcBorders>
              <w:top w:val="nil"/>
              <w:left w:val="nil"/>
              <w:bottom w:val="single" w:color="000000" w:sz="4" w:space="0"/>
              <w:right w:val="single" w:color="000000" w:sz="4" w:space="0"/>
            </w:tcBorders>
            <w:shd w:val="clear" w:color="auto" w:fill="auto"/>
            <w:vAlign w:val="center"/>
          </w:tcPr>
          <w:p w14:paraId="630BE12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37" w:type="dxa"/>
            <w:tcBorders>
              <w:top w:val="nil"/>
              <w:left w:val="nil"/>
              <w:bottom w:val="single" w:color="000000" w:sz="4" w:space="0"/>
              <w:right w:val="single" w:color="000000" w:sz="4" w:space="0"/>
            </w:tcBorders>
            <w:shd w:val="clear" w:color="auto" w:fill="auto"/>
            <w:vAlign w:val="center"/>
          </w:tcPr>
          <w:p w14:paraId="5E779894">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851" w:type="dxa"/>
            <w:tcBorders>
              <w:top w:val="nil"/>
              <w:left w:val="nil"/>
              <w:bottom w:val="single" w:color="000000" w:sz="4" w:space="0"/>
              <w:right w:val="single" w:color="000000" w:sz="4" w:space="0"/>
            </w:tcBorders>
            <w:shd w:val="clear" w:color="auto" w:fill="auto"/>
            <w:vAlign w:val="center"/>
          </w:tcPr>
          <w:p w14:paraId="23AB694C">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3" w:type="dxa"/>
            <w:tcBorders>
              <w:top w:val="nil"/>
              <w:left w:val="nil"/>
              <w:bottom w:val="single" w:color="000000" w:sz="4" w:space="0"/>
              <w:right w:val="single" w:color="000000" w:sz="4" w:space="0"/>
            </w:tcBorders>
            <w:shd w:val="clear" w:color="auto" w:fill="auto"/>
            <w:vAlign w:val="center"/>
          </w:tcPr>
          <w:p w14:paraId="118F12FF">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dxa"/>
            <w:tcBorders>
              <w:top w:val="nil"/>
              <w:left w:val="nil"/>
              <w:bottom w:val="single" w:color="000000" w:sz="4" w:space="0"/>
              <w:right w:val="single" w:color="000000" w:sz="4" w:space="0"/>
            </w:tcBorders>
            <w:shd w:val="clear" w:color="auto" w:fill="auto"/>
            <w:vAlign w:val="center"/>
          </w:tcPr>
          <w:p w14:paraId="2762D1F9">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61D21E40">
        <w:tblPrEx>
          <w:tblCellMar>
            <w:top w:w="0" w:type="dxa"/>
            <w:left w:w="108" w:type="dxa"/>
            <w:bottom w:w="0" w:type="dxa"/>
            <w:right w:w="108" w:type="dxa"/>
          </w:tblCellMar>
        </w:tblPrEx>
        <w:trPr>
          <w:trHeight w:val="486" w:hRule="atLeast"/>
        </w:trPr>
        <w:tc>
          <w:tcPr>
            <w:tcW w:w="786" w:type="dxa"/>
            <w:vMerge w:val="continue"/>
            <w:tcBorders>
              <w:top w:val="nil"/>
              <w:left w:val="single" w:color="000000" w:sz="4" w:space="0"/>
              <w:bottom w:val="single" w:color="000000" w:sz="4" w:space="0"/>
              <w:right w:val="single" w:color="000000" w:sz="4" w:space="0"/>
            </w:tcBorders>
            <w:vAlign w:val="center"/>
          </w:tcPr>
          <w:p w14:paraId="5F17CC09">
            <w:pPr>
              <w:widowControl/>
              <w:jc w:val="left"/>
              <w:rPr>
                <w:rFonts w:ascii="宋体" w:hAnsi="宋体" w:cs="宋体"/>
                <w:color w:val="000000"/>
                <w:kern w:val="0"/>
                <w:sz w:val="18"/>
                <w:szCs w:val="18"/>
              </w:rPr>
            </w:pPr>
          </w:p>
        </w:tc>
        <w:tc>
          <w:tcPr>
            <w:tcW w:w="786" w:type="dxa"/>
            <w:vMerge w:val="continue"/>
            <w:tcBorders>
              <w:top w:val="nil"/>
              <w:left w:val="single" w:color="000000" w:sz="4" w:space="0"/>
              <w:bottom w:val="single" w:color="000000" w:sz="4" w:space="0"/>
              <w:right w:val="single" w:color="000000" w:sz="4" w:space="0"/>
            </w:tcBorders>
            <w:vAlign w:val="center"/>
          </w:tcPr>
          <w:p w14:paraId="41677005">
            <w:pPr>
              <w:widowControl/>
              <w:jc w:val="left"/>
              <w:rPr>
                <w:rFonts w:ascii="宋体" w:hAnsi="宋体" w:cs="宋体"/>
                <w:color w:val="000000"/>
                <w:kern w:val="0"/>
                <w:sz w:val="18"/>
                <w:szCs w:val="18"/>
              </w:rPr>
            </w:pPr>
          </w:p>
        </w:tc>
        <w:tc>
          <w:tcPr>
            <w:tcW w:w="1072" w:type="dxa"/>
            <w:vMerge w:val="continue"/>
            <w:tcBorders>
              <w:top w:val="nil"/>
              <w:left w:val="single" w:color="000000" w:sz="4" w:space="0"/>
              <w:bottom w:val="single" w:color="000000" w:sz="4" w:space="0"/>
              <w:right w:val="single" w:color="000000" w:sz="4" w:space="0"/>
            </w:tcBorders>
            <w:vAlign w:val="center"/>
          </w:tcPr>
          <w:p w14:paraId="363F442F">
            <w:pPr>
              <w:widowControl/>
              <w:jc w:val="left"/>
              <w:rPr>
                <w:rFonts w:ascii="宋体" w:hAnsi="宋体" w:cs="宋体"/>
                <w:color w:val="000000"/>
                <w:kern w:val="0"/>
                <w:sz w:val="18"/>
                <w:szCs w:val="18"/>
              </w:rPr>
            </w:pPr>
          </w:p>
        </w:tc>
        <w:tc>
          <w:tcPr>
            <w:tcW w:w="1072" w:type="dxa"/>
            <w:tcBorders>
              <w:top w:val="nil"/>
              <w:left w:val="nil"/>
              <w:bottom w:val="single" w:color="000000" w:sz="4" w:space="0"/>
              <w:right w:val="single" w:color="000000" w:sz="4" w:space="0"/>
            </w:tcBorders>
            <w:shd w:val="clear" w:color="auto" w:fill="auto"/>
            <w:vAlign w:val="center"/>
          </w:tcPr>
          <w:p w14:paraId="3D8999CD">
            <w:pPr>
              <w:widowControl/>
              <w:jc w:val="center"/>
              <w:rPr>
                <w:rFonts w:ascii="宋体" w:hAnsi="宋体" w:cs="宋体"/>
                <w:color w:val="000000"/>
                <w:kern w:val="0"/>
                <w:sz w:val="18"/>
                <w:szCs w:val="18"/>
              </w:rPr>
            </w:pPr>
            <w:r>
              <w:rPr>
                <w:rFonts w:hint="eastAsia" w:ascii="宋体" w:hAnsi="宋体" w:cs="宋体"/>
                <w:color w:val="000000"/>
                <w:kern w:val="0"/>
                <w:sz w:val="18"/>
                <w:szCs w:val="18"/>
              </w:rPr>
              <w:t>设备故障率</w:t>
            </w:r>
          </w:p>
        </w:tc>
        <w:tc>
          <w:tcPr>
            <w:tcW w:w="610" w:type="dxa"/>
            <w:tcBorders>
              <w:top w:val="nil"/>
              <w:left w:val="nil"/>
              <w:bottom w:val="single" w:color="000000" w:sz="4" w:space="0"/>
              <w:right w:val="single" w:color="000000" w:sz="4" w:space="0"/>
            </w:tcBorders>
            <w:shd w:val="clear" w:color="auto" w:fill="auto"/>
            <w:vAlign w:val="center"/>
          </w:tcPr>
          <w:p w14:paraId="37F6C3C6">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6" w:type="dxa"/>
            <w:tcBorders>
              <w:top w:val="nil"/>
              <w:left w:val="nil"/>
              <w:bottom w:val="single" w:color="000000" w:sz="4" w:space="0"/>
              <w:right w:val="single" w:color="000000" w:sz="4" w:space="0"/>
            </w:tcBorders>
            <w:shd w:val="clear" w:color="auto" w:fill="auto"/>
            <w:vAlign w:val="center"/>
          </w:tcPr>
          <w:p w14:paraId="56DCAE1A">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927" w:type="dxa"/>
            <w:tcBorders>
              <w:top w:val="nil"/>
              <w:left w:val="nil"/>
              <w:bottom w:val="single" w:color="000000" w:sz="4" w:space="0"/>
              <w:right w:val="single" w:color="000000" w:sz="4" w:space="0"/>
            </w:tcBorders>
            <w:shd w:val="clear" w:color="auto" w:fill="auto"/>
            <w:vAlign w:val="center"/>
          </w:tcPr>
          <w:p w14:paraId="2692612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37" w:type="dxa"/>
            <w:tcBorders>
              <w:top w:val="nil"/>
              <w:left w:val="nil"/>
              <w:bottom w:val="single" w:color="000000" w:sz="4" w:space="0"/>
              <w:right w:val="single" w:color="000000" w:sz="4" w:space="0"/>
            </w:tcBorders>
            <w:shd w:val="clear" w:color="auto" w:fill="auto"/>
            <w:vAlign w:val="center"/>
          </w:tcPr>
          <w:p w14:paraId="186D78FC">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851" w:type="dxa"/>
            <w:tcBorders>
              <w:top w:val="nil"/>
              <w:left w:val="nil"/>
              <w:bottom w:val="single" w:color="000000" w:sz="4" w:space="0"/>
              <w:right w:val="single" w:color="000000" w:sz="4" w:space="0"/>
            </w:tcBorders>
            <w:shd w:val="clear" w:color="auto" w:fill="auto"/>
            <w:vAlign w:val="center"/>
          </w:tcPr>
          <w:p w14:paraId="618C088A">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3" w:type="dxa"/>
            <w:tcBorders>
              <w:top w:val="nil"/>
              <w:left w:val="nil"/>
              <w:bottom w:val="single" w:color="000000" w:sz="4" w:space="0"/>
              <w:right w:val="single" w:color="000000" w:sz="4" w:space="0"/>
            </w:tcBorders>
            <w:shd w:val="clear" w:color="auto" w:fill="auto"/>
            <w:vAlign w:val="center"/>
          </w:tcPr>
          <w:p w14:paraId="197E7160">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dxa"/>
            <w:tcBorders>
              <w:top w:val="nil"/>
              <w:left w:val="nil"/>
              <w:bottom w:val="single" w:color="000000" w:sz="4" w:space="0"/>
              <w:right w:val="single" w:color="000000" w:sz="4" w:space="0"/>
            </w:tcBorders>
            <w:shd w:val="clear" w:color="auto" w:fill="auto"/>
            <w:vAlign w:val="center"/>
          </w:tcPr>
          <w:p w14:paraId="7EC07C75">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27ECD652">
        <w:tblPrEx>
          <w:tblCellMar>
            <w:top w:w="0" w:type="dxa"/>
            <w:left w:w="108" w:type="dxa"/>
            <w:bottom w:w="0" w:type="dxa"/>
            <w:right w:w="108" w:type="dxa"/>
          </w:tblCellMar>
        </w:tblPrEx>
        <w:trPr>
          <w:trHeight w:val="410" w:hRule="atLeast"/>
        </w:trPr>
        <w:tc>
          <w:tcPr>
            <w:tcW w:w="786" w:type="dxa"/>
            <w:vMerge w:val="continue"/>
            <w:tcBorders>
              <w:top w:val="nil"/>
              <w:left w:val="single" w:color="000000" w:sz="4" w:space="0"/>
              <w:bottom w:val="single" w:color="000000" w:sz="4" w:space="0"/>
              <w:right w:val="single" w:color="000000" w:sz="4" w:space="0"/>
            </w:tcBorders>
            <w:vAlign w:val="center"/>
          </w:tcPr>
          <w:p w14:paraId="75A8ECEE">
            <w:pPr>
              <w:widowControl/>
              <w:jc w:val="left"/>
              <w:rPr>
                <w:rFonts w:ascii="宋体" w:hAnsi="宋体" w:cs="宋体"/>
                <w:color w:val="000000"/>
                <w:kern w:val="0"/>
                <w:sz w:val="18"/>
                <w:szCs w:val="18"/>
              </w:rPr>
            </w:pPr>
          </w:p>
        </w:tc>
        <w:tc>
          <w:tcPr>
            <w:tcW w:w="786" w:type="dxa"/>
            <w:vMerge w:val="restart"/>
            <w:tcBorders>
              <w:top w:val="nil"/>
              <w:left w:val="single" w:color="000000" w:sz="4" w:space="0"/>
              <w:bottom w:val="single" w:color="000000" w:sz="4" w:space="0"/>
              <w:right w:val="single" w:color="000000" w:sz="4" w:space="0"/>
            </w:tcBorders>
            <w:shd w:val="clear" w:color="auto" w:fill="auto"/>
            <w:vAlign w:val="center"/>
          </w:tcPr>
          <w:p w14:paraId="6C7E5F5E">
            <w:pPr>
              <w:widowControl/>
              <w:jc w:val="center"/>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1072" w:type="dxa"/>
            <w:vMerge w:val="restart"/>
            <w:tcBorders>
              <w:top w:val="nil"/>
              <w:left w:val="single" w:color="000000" w:sz="4" w:space="0"/>
              <w:bottom w:val="single" w:color="000000" w:sz="4" w:space="0"/>
              <w:right w:val="single" w:color="000000" w:sz="4" w:space="0"/>
            </w:tcBorders>
            <w:shd w:val="clear" w:color="auto" w:fill="auto"/>
            <w:vAlign w:val="center"/>
          </w:tcPr>
          <w:p w14:paraId="0E67C9D5">
            <w:pPr>
              <w:widowControl/>
              <w:jc w:val="center"/>
              <w:rPr>
                <w:rFonts w:ascii="宋体" w:hAnsi="宋体" w:cs="宋体"/>
                <w:color w:val="000000"/>
                <w:kern w:val="0"/>
                <w:sz w:val="18"/>
                <w:szCs w:val="18"/>
              </w:rPr>
            </w:pPr>
            <w:r>
              <w:rPr>
                <w:rFonts w:hint="eastAsia" w:ascii="宋体" w:hAnsi="宋体" w:cs="宋体"/>
                <w:color w:val="000000"/>
                <w:kern w:val="0"/>
                <w:sz w:val="18"/>
                <w:szCs w:val="18"/>
              </w:rPr>
              <w:t>社会效益指标</w:t>
            </w:r>
          </w:p>
        </w:tc>
        <w:tc>
          <w:tcPr>
            <w:tcW w:w="1072" w:type="dxa"/>
            <w:tcBorders>
              <w:top w:val="nil"/>
              <w:left w:val="nil"/>
              <w:bottom w:val="single" w:color="000000" w:sz="4" w:space="0"/>
              <w:right w:val="single" w:color="000000" w:sz="4" w:space="0"/>
            </w:tcBorders>
            <w:shd w:val="clear" w:color="auto" w:fill="auto"/>
            <w:vAlign w:val="center"/>
          </w:tcPr>
          <w:p w14:paraId="7D9BB001">
            <w:pPr>
              <w:widowControl/>
              <w:jc w:val="center"/>
              <w:rPr>
                <w:rFonts w:ascii="宋体" w:hAnsi="宋体" w:cs="宋体"/>
                <w:color w:val="000000"/>
                <w:kern w:val="0"/>
                <w:sz w:val="18"/>
                <w:szCs w:val="18"/>
              </w:rPr>
            </w:pPr>
            <w:r>
              <w:rPr>
                <w:rFonts w:hint="eastAsia" w:ascii="宋体" w:hAnsi="宋体" w:cs="宋体"/>
                <w:color w:val="000000"/>
                <w:kern w:val="0"/>
                <w:sz w:val="18"/>
                <w:szCs w:val="18"/>
              </w:rPr>
              <w:t>设备利用率</w:t>
            </w:r>
          </w:p>
        </w:tc>
        <w:tc>
          <w:tcPr>
            <w:tcW w:w="610" w:type="dxa"/>
            <w:tcBorders>
              <w:top w:val="nil"/>
              <w:left w:val="nil"/>
              <w:bottom w:val="single" w:color="000000" w:sz="4" w:space="0"/>
              <w:right w:val="single" w:color="000000" w:sz="4" w:space="0"/>
            </w:tcBorders>
            <w:shd w:val="clear" w:color="auto" w:fill="auto"/>
            <w:vAlign w:val="center"/>
          </w:tcPr>
          <w:p w14:paraId="3FF08B7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6" w:type="dxa"/>
            <w:tcBorders>
              <w:top w:val="nil"/>
              <w:left w:val="nil"/>
              <w:bottom w:val="single" w:color="000000" w:sz="4" w:space="0"/>
              <w:right w:val="single" w:color="000000" w:sz="4" w:space="0"/>
            </w:tcBorders>
            <w:shd w:val="clear" w:color="auto" w:fill="auto"/>
            <w:vAlign w:val="center"/>
          </w:tcPr>
          <w:p w14:paraId="64A2BD8A">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927" w:type="dxa"/>
            <w:tcBorders>
              <w:top w:val="nil"/>
              <w:left w:val="nil"/>
              <w:bottom w:val="single" w:color="000000" w:sz="4" w:space="0"/>
              <w:right w:val="single" w:color="000000" w:sz="4" w:space="0"/>
            </w:tcBorders>
            <w:shd w:val="clear" w:color="auto" w:fill="auto"/>
            <w:vAlign w:val="center"/>
          </w:tcPr>
          <w:p w14:paraId="7B5E00F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37" w:type="dxa"/>
            <w:tcBorders>
              <w:top w:val="nil"/>
              <w:left w:val="nil"/>
              <w:bottom w:val="single" w:color="000000" w:sz="4" w:space="0"/>
              <w:right w:val="single" w:color="000000" w:sz="4" w:space="0"/>
            </w:tcBorders>
            <w:shd w:val="clear" w:color="auto" w:fill="auto"/>
            <w:vAlign w:val="center"/>
          </w:tcPr>
          <w:p w14:paraId="76A2614A">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851" w:type="dxa"/>
            <w:tcBorders>
              <w:top w:val="nil"/>
              <w:left w:val="nil"/>
              <w:bottom w:val="single" w:color="000000" w:sz="4" w:space="0"/>
              <w:right w:val="single" w:color="000000" w:sz="4" w:space="0"/>
            </w:tcBorders>
            <w:shd w:val="clear" w:color="auto" w:fill="auto"/>
            <w:vAlign w:val="center"/>
          </w:tcPr>
          <w:p w14:paraId="271FF4B3">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3" w:type="dxa"/>
            <w:tcBorders>
              <w:top w:val="nil"/>
              <w:left w:val="nil"/>
              <w:bottom w:val="single" w:color="000000" w:sz="4" w:space="0"/>
              <w:right w:val="single" w:color="000000" w:sz="4" w:space="0"/>
            </w:tcBorders>
            <w:shd w:val="clear" w:color="auto" w:fill="auto"/>
            <w:vAlign w:val="center"/>
          </w:tcPr>
          <w:p w14:paraId="472B89D1">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dxa"/>
            <w:tcBorders>
              <w:top w:val="nil"/>
              <w:left w:val="nil"/>
              <w:bottom w:val="single" w:color="000000" w:sz="4" w:space="0"/>
              <w:right w:val="single" w:color="000000" w:sz="4" w:space="0"/>
            </w:tcBorders>
            <w:shd w:val="clear" w:color="auto" w:fill="auto"/>
            <w:vAlign w:val="center"/>
          </w:tcPr>
          <w:p w14:paraId="7B77F53B">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70D7DFBD">
        <w:tblPrEx>
          <w:tblCellMar>
            <w:top w:w="0" w:type="dxa"/>
            <w:left w:w="108" w:type="dxa"/>
            <w:bottom w:w="0" w:type="dxa"/>
            <w:right w:w="108" w:type="dxa"/>
          </w:tblCellMar>
        </w:tblPrEx>
        <w:trPr>
          <w:trHeight w:val="456" w:hRule="atLeast"/>
        </w:trPr>
        <w:tc>
          <w:tcPr>
            <w:tcW w:w="786" w:type="dxa"/>
            <w:vMerge w:val="continue"/>
            <w:tcBorders>
              <w:top w:val="nil"/>
              <w:left w:val="single" w:color="000000" w:sz="4" w:space="0"/>
              <w:bottom w:val="single" w:color="000000" w:sz="4" w:space="0"/>
              <w:right w:val="single" w:color="000000" w:sz="4" w:space="0"/>
            </w:tcBorders>
            <w:vAlign w:val="center"/>
          </w:tcPr>
          <w:p w14:paraId="52FE27E0">
            <w:pPr>
              <w:widowControl/>
              <w:jc w:val="left"/>
              <w:rPr>
                <w:rFonts w:ascii="宋体" w:hAnsi="宋体" w:cs="宋体"/>
                <w:color w:val="000000"/>
                <w:kern w:val="0"/>
                <w:sz w:val="18"/>
                <w:szCs w:val="18"/>
              </w:rPr>
            </w:pPr>
          </w:p>
        </w:tc>
        <w:tc>
          <w:tcPr>
            <w:tcW w:w="786" w:type="dxa"/>
            <w:vMerge w:val="continue"/>
            <w:tcBorders>
              <w:top w:val="nil"/>
              <w:left w:val="single" w:color="000000" w:sz="4" w:space="0"/>
              <w:bottom w:val="single" w:color="000000" w:sz="4" w:space="0"/>
              <w:right w:val="single" w:color="000000" w:sz="4" w:space="0"/>
            </w:tcBorders>
            <w:vAlign w:val="center"/>
          </w:tcPr>
          <w:p w14:paraId="2A2C3067">
            <w:pPr>
              <w:widowControl/>
              <w:jc w:val="left"/>
              <w:rPr>
                <w:rFonts w:ascii="宋体" w:hAnsi="宋体" w:cs="宋体"/>
                <w:color w:val="000000"/>
                <w:kern w:val="0"/>
                <w:sz w:val="18"/>
                <w:szCs w:val="18"/>
              </w:rPr>
            </w:pPr>
          </w:p>
        </w:tc>
        <w:tc>
          <w:tcPr>
            <w:tcW w:w="1072" w:type="dxa"/>
            <w:vMerge w:val="continue"/>
            <w:tcBorders>
              <w:top w:val="nil"/>
              <w:left w:val="single" w:color="000000" w:sz="4" w:space="0"/>
              <w:bottom w:val="single" w:color="000000" w:sz="4" w:space="0"/>
              <w:right w:val="single" w:color="000000" w:sz="4" w:space="0"/>
            </w:tcBorders>
            <w:vAlign w:val="center"/>
          </w:tcPr>
          <w:p w14:paraId="235E3A4D">
            <w:pPr>
              <w:widowControl/>
              <w:jc w:val="left"/>
              <w:rPr>
                <w:rFonts w:ascii="宋体" w:hAnsi="宋体" w:cs="宋体"/>
                <w:color w:val="000000"/>
                <w:kern w:val="0"/>
                <w:sz w:val="18"/>
                <w:szCs w:val="18"/>
              </w:rPr>
            </w:pPr>
          </w:p>
        </w:tc>
        <w:tc>
          <w:tcPr>
            <w:tcW w:w="1072" w:type="dxa"/>
            <w:tcBorders>
              <w:top w:val="nil"/>
              <w:left w:val="nil"/>
              <w:bottom w:val="single" w:color="000000" w:sz="4" w:space="0"/>
              <w:right w:val="single" w:color="000000" w:sz="4" w:space="0"/>
            </w:tcBorders>
            <w:shd w:val="clear" w:color="auto" w:fill="auto"/>
            <w:vAlign w:val="center"/>
          </w:tcPr>
          <w:p w14:paraId="17DF423F">
            <w:pPr>
              <w:widowControl/>
              <w:jc w:val="center"/>
              <w:rPr>
                <w:rFonts w:ascii="宋体" w:hAnsi="宋体" w:cs="宋体"/>
                <w:color w:val="000000"/>
                <w:kern w:val="0"/>
                <w:sz w:val="18"/>
                <w:szCs w:val="18"/>
              </w:rPr>
            </w:pPr>
            <w:r>
              <w:rPr>
                <w:rFonts w:hint="eastAsia" w:ascii="宋体" w:hAnsi="宋体" w:cs="宋体"/>
                <w:color w:val="000000"/>
                <w:kern w:val="0"/>
                <w:sz w:val="18"/>
                <w:szCs w:val="18"/>
              </w:rPr>
              <w:t>提升应急救援能力</w:t>
            </w:r>
          </w:p>
        </w:tc>
        <w:tc>
          <w:tcPr>
            <w:tcW w:w="610" w:type="dxa"/>
            <w:tcBorders>
              <w:top w:val="nil"/>
              <w:left w:val="nil"/>
              <w:bottom w:val="single" w:color="000000" w:sz="4" w:space="0"/>
              <w:right w:val="single" w:color="000000" w:sz="4" w:space="0"/>
            </w:tcBorders>
            <w:shd w:val="clear" w:color="auto" w:fill="auto"/>
            <w:vAlign w:val="center"/>
          </w:tcPr>
          <w:p w14:paraId="4420E81A">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6" w:type="dxa"/>
            <w:tcBorders>
              <w:top w:val="nil"/>
              <w:left w:val="nil"/>
              <w:bottom w:val="single" w:color="000000" w:sz="4" w:space="0"/>
              <w:right w:val="single" w:color="000000" w:sz="4" w:space="0"/>
            </w:tcBorders>
            <w:shd w:val="clear" w:color="auto" w:fill="auto"/>
            <w:vAlign w:val="center"/>
          </w:tcPr>
          <w:p w14:paraId="6F79D18F">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27" w:type="dxa"/>
            <w:tcBorders>
              <w:top w:val="nil"/>
              <w:left w:val="nil"/>
              <w:bottom w:val="single" w:color="000000" w:sz="4" w:space="0"/>
              <w:right w:val="single" w:color="000000" w:sz="4" w:space="0"/>
            </w:tcBorders>
            <w:shd w:val="clear" w:color="auto" w:fill="auto"/>
            <w:vAlign w:val="center"/>
          </w:tcPr>
          <w:p w14:paraId="49DD3737">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37" w:type="dxa"/>
            <w:tcBorders>
              <w:top w:val="nil"/>
              <w:left w:val="nil"/>
              <w:bottom w:val="single" w:color="000000" w:sz="4" w:space="0"/>
              <w:right w:val="single" w:color="000000" w:sz="4" w:space="0"/>
            </w:tcBorders>
            <w:shd w:val="clear" w:color="auto" w:fill="auto"/>
            <w:vAlign w:val="center"/>
          </w:tcPr>
          <w:p w14:paraId="4E5FD0B8">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w:t>
            </w:r>
          </w:p>
        </w:tc>
        <w:tc>
          <w:tcPr>
            <w:tcW w:w="851" w:type="dxa"/>
            <w:tcBorders>
              <w:top w:val="nil"/>
              <w:left w:val="nil"/>
              <w:bottom w:val="single" w:color="000000" w:sz="4" w:space="0"/>
              <w:right w:val="single" w:color="000000" w:sz="4" w:space="0"/>
            </w:tcBorders>
            <w:shd w:val="clear" w:color="auto" w:fill="auto"/>
            <w:vAlign w:val="center"/>
          </w:tcPr>
          <w:p w14:paraId="318DBE4B">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3" w:type="dxa"/>
            <w:tcBorders>
              <w:top w:val="nil"/>
              <w:left w:val="nil"/>
              <w:bottom w:val="single" w:color="000000" w:sz="4" w:space="0"/>
              <w:right w:val="single" w:color="000000" w:sz="4" w:space="0"/>
            </w:tcBorders>
            <w:shd w:val="clear" w:color="auto" w:fill="auto"/>
            <w:vAlign w:val="center"/>
          </w:tcPr>
          <w:p w14:paraId="01951BFB">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dxa"/>
            <w:tcBorders>
              <w:top w:val="nil"/>
              <w:left w:val="nil"/>
              <w:bottom w:val="single" w:color="000000" w:sz="4" w:space="0"/>
              <w:right w:val="single" w:color="000000" w:sz="4" w:space="0"/>
            </w:tcBorders>
            <w:shd w:val="clear" w:color="auto" w:fill="auto"/>
            <w:vAlign w:val="center"/>
          </w:tcPr>
          <w:p w14:paraId="1289A007">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32D7B610">
        <w:tblPrEx>
          <w:tblCellMar>
            <w:top w:w="0" w:type="dxa"/>
            <w:left w:w="108" w:type="dxa"/>
            <w:bottom w:w="0" w:type="dxa"/>
            <w:right w:w="108" w:type="dxa"/>
          </w:tblCellMar>
        </w:tblPrEx>
        <w:trPr>
          <w:trHeight w:val="456" w:hRule="atLeast"/>
        </w:trPr>
        <w:tc>
          <w:tcPr>
            <w:tcW w:w="786" w:type="dxa"/>
            <w:vMerge w:val="continue"/>
            <w:tcBorders>
              <w:top w:val="nil"/>
              <w:left w:val="single" w:color="000000" w:sz="4" w:space="0"/>
              <w:bottom w:val="single" w:color="000000" w:sz="4" w:space="0"/>
              <w:right w:val="single" w:color="000000" w:sz="4" w:space="0"/>
            </w:tcBorders>
            <w:vAlign w:val="center"/>
          </w:tcPr>
          <w:p w14:paraId="6D939EDF">
            <w:pPr>
              <w:widowControl/>
              <w:jc w:val="left"/>
              <w:rPr>
                <w:rFonts w:ascii="宋体" w:hAnsi="宋体" w:cs="宋体"/>
                <w:color w:val="000000"/>
                <w:kern w:val="0"/>
                <w:sz w:val="18"/>
                <w:szCs w:val="18"/>
              </w:rPr>
            </w:pPr>
          </w:p>
        </w:tc>
        <w:tc>
          <w:tcPr>
            <w:tcW w:w="786" w:type="dxa"/>
            <w:vMerge w:val="continue"/>
            <w:tcBorders>
              <w:top w:val="nil"/>
              <w:left w:val="single" w:color="000000" w:sz="4" w:space="0"/>
              <w:bottom w:val="single" w:color="000000" w:sz="4" w:space="0"/>
              <w:right w:val="single" w:color="000000" w:sz="4" w:space="0"/>
            </w:tcBorders>
            <w:vAlign w:val="center"/>
          </w:tcPr>
          <w:p w14:paraId="6FC75A7D">
            <w:pPr>
              <w:widowControl/>
              <w:jc w:val="left"/>
              <w:rPr>
                <w:rFonts w:ascii="宋体" w:hAnsi="宋体" w:cs="宋体"/>
                <w:color w:val="000000"/>
                <w:kern w:val="0"/>
                <w:sz w:val="18"/>
                <w:szCs w:val="18"/>
              </w:rPr>
            </w:pPr>
          </w:p>
        </w:tc>
        <w:tc>
          <w:tcPr>
            <w:tcW w:w="1072" w:type="dxa"/>
            <w:tcBorders>
              <w:top w:val="nil"/>
              <w:left w:val="nil"/>
              <w:bottom w:val="single" w:color="000000" w:sz="4" w:space="0"/>
              <w:right w:val="single" w:color="000000" w:sz="4" w:space="0"/>
            </w:tcBorders>
            <w:shd w:val="clear" w:color="auto" w:fill="auto"/>
            <w:vAlign w:val="center"/>
          </w:tcPr>
          <w:p w14:paraId="6D34C5BA">
            <w:pPr>
              <w:widowControl/>
              <w:jc w:val="center"/>
              <w:rPr>
                <w:rFonts w:ascii="宋体" w:hAnsi="宋体" w:cs="宋体"/>
                <w:color w:val="000000"/>
                <w:kern w:val="0"/>
                <w:sz w:val="18"/>
                <w:szCs w:val="18"/>
              </w:rPr>
            </w:pPr>
            <w:r>
              <w:rPr>
                <w:rFonts w:hint="eastAsia" w:ascii="宋体" w:hAnsi="宋体" w:cs="宋体"/>
                <w:color w:val="000000"/>
                <w:kern w:val="0"/>
                <w:sz w:val="18"/>
                <w:szCs w:val="18"/>
              </w:rPr>
              <w:t>可持续影响指标</w:t>
            </w:r>
          </w:p>
        </w:tc>
        <w:tc>
          <w:tcPr>
            <w:tcW w:w="1072" w:type="dxa"/>
            <w:tcBorders>
              <w:top w:val="nil"/>
              <w:left w:val="nil"/>
              <w:bottom w:val="single" w:color="000000" w:sz="4" w:space="0"/>
              <w:right w:val="single" w:color="000000" w:sz="4" w:space="0"/>
            </w:tcBorders>
            <w:shd w:val="clear" w:color="auto" w:fill="auto"/>
            <w:vAlign w:val="center"/>
          </w:tcPr>
          <w:p w14:paraId="72A7668A">
            <w:pPr>
              <w:widowControl/>
              <w:jc w:val="center"/>
              <w:rPr>
                <w:rFonts w:ascii="宋体" w:hAnsi="宋体" w:cs="宋体"/>
                <w:color w:val="000000"/>
                <w:kern w:val="0"/>
                <w:sz w:val="18"/>
                <w:szCs w:val="18"/>
              </w:rPr>
            </w:pPr>
            <w:r>
              <w:rPr>
                <w:rFonts w:hint="eastAsia" w:ascii="宋体" w:hAnsi="宋体" w:cs="宋体"/>
                <w:color w:val="000000"/>
                <w:kern w:val="0"/>
                <w:sz w:val="18"/>
                <w:szCs w:val="18"/>
              </w:rPr>
              <w:t>设备使用年限</w:t>
            </w:r>
          </w:p>
        </w:tc>
        <w:tc>
          <w:tcPr>
            <w:tcW w:w="610" w:type="dxa"/>
            <w:tcBorders>
              <w:top w:val="nil"/>
              <w:left w:val="nil"/>
              <w:bottom w:val="single" w:color="000000" w:sz="4" w:space="0"/>
              <w:right w:val="single" w:color="000000" w:sz="4" w:space="0"/>
            </w:tcBorders>
            <w:shd w:val="clear" w:color="auto" w:fill="auto"/>
            <w:vAlign w:val="center"/>
          </w:tcPr>
          <w:p w14:paraId="57811D8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6" w:type="dxa"/>
            <w:tcBorders>
              <w:top w:val="nil"/>
              <w:left w:val="nil"/>
              <w:bottom w:val="single" w:color="000000" w:sz="4" w:space="0"/>
              <w:right w:val="single" w:color="000000" w:sz="4" w:space="0"/>
            </w:tcBorders>
            <w:shd w:val="clear" w:color="auto" w:fill="auto"/>
            <w:vAlign w:val="center"/>
          </w:tcPr>
          <w:p w14:paraId="7D731B92">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927" w:type="dxa"/>
            <w:tcBorders>
              <w:top w:val="nil"/>
              <w:left w:val="nil"/>
              <w:bottom w:val="single" w:color="000000" w:sz="4" w:space="0"/>
              <w:right w:val="single" w:color="000000" w:sz="4" w:space="0"/>
            </w:tcBorders>
            <w:shd w:val="clear" w:color="auto" w:fill="auto"/>
            <w:vAlign w:val="center"/>
          </w:tcPr>
          <w:p w14:paraId="22BB67B1">
            <w:pPr>
              <w:widowControl/>
              <w:jc w:val="center"/>
              <w:rPr>
                <w:rFonts w:ascii="宋体" w:hAnsi="宋体" w:cs="宋体"/>
                <w:color w:val="000000"/>
                <w:kern w:val="0"/>
                <w:sz w:val="18"/>
                <w:szCs w:val="18"/>
              </w:rPr>
            </w:pPr>
            <w:r>
              <w:rPr>
                <w:rFonts w:hint="eastAsia" w:ascii="宋体" w:hAnsi="宋体" w:cs="宋体"/>
                <w:color w:val="000000"/>
                <w:kern w:val="0"/>
                <w:sz w:val="18"/>
                <w:szCs w:val="18"/>
              </w:rPr>
              <w:t>年</w:t>
            </w:r>
          </w:p>
        </w:tc>
        <w:tc>
          <w:tcPr>
            <w:tcW w:w="1037" w:type="dxa"/>
            <w:tcBorders>
              <w:top w:val="nil"/>
              <w:left w:val="nil"/>
              <w:bottom w:val="single" w:color="000000" w:sz="4" w:space="0"/>
              <w:right w:val="single" w:color="000000" w:sz="4" w:space="0"/>
            </w:tcBorders>
            <w:shd w:val="clear" w:color="auto" w:fill="auto"/>
            <w:vAlign w:val="center"/>
          </w:tcPr>
          <w:p w14:paraId="2F648A80">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5</w:t>
            </w:r>
          </w:p>
        </w:tc>
        <w:tc>
          <w:tcPr>
            <w:tcW w:w="851" w:type="dxa"/>
            <w:tcBorders>
              <w:top w:val="nil"/>
              <w:left w:val="nil"/>
              <w:bottom w:val="single" w:color="000000" w:sz="4" w:space="0"/>
              <w:right w:val="single" w:color="000000" w:sz="4" w:space="0"/>
            </w:tcBorders>
            <w:shd w:val="clear" w:color="auto" w:fill="auto"/>
            <w:vAlign w:val="center"/>
          </w:tcPr>
          <w:p w14:paraId="215F199C">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3" w:type="dxa"/>
            <w:tcBorders>
              <w:top w:val="nil"/>
              <w:left w:val="nil"/>
              <w:bottom w:val="single" w:color="000000" w:sz="4" w:space="0"/>
              <w:right w:val="single" w:color="000000" w:sz="4" w:space="0"/>
            </w:tcBorders>
            <w:shd w:val="clear" w:color="auto" w:fill="auto"/>
            <w:vAlign w:val="center"/>
          </w:tcPr>
          <w:p w14:paraId="7D79EFCC">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dxa"/>
            <w:tcBorders>
              <w:top w:val="nil"/>
              <w:left w:val="nil"/>
              <w:bottom w:val="single" w:color="000000" w:sz="4" w:space="0"/>
              <w:right w:val="single" w:color="000000" w:sz="4" w:space="0"/>
            </w:tcBorders>
            <w:shd w:val="clear" w:color="auto" w:fill="auto"/>
            <w:vAlign w:val="center"/>
          </w:tcPr>
          <w:p w14:paraId="0DFD3962">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46A6BA37">
        <w:tblPrEx>
          <w:tblCellMar>
            <w:top w:w="0" w:type="dxa"/>
            <w:left w:w="108" w:type="dxa"/>
            <w:bottom w:w="0" w:type="dxa"/>
            <w:right w:w="108" w:type="dxa"/>
          </w:tblCellMar>
        </w:tblPrEx>
        <w:trPr>
          <w:trHeight w:val="456" w:hRule="atLeast"/>
        </w:trPr>
        <w:tc>
          <w:tcPr>
            <w:tcW w:w="786" w:type="dxa"/>
            <w:vMerge w:val="continue"/>
            <w:tcBorders>
              <w:top w:val="nil"/>
              <w:left w:val="single" w:color="000000" w:sz="4" w:space="0"/>
              <w:bottom w:val="single" w:color="000000" w:sz="4" w:space="0"/>
              <w:right w:val="single" w:color="000000" w:sz="4" w:space="0"/>
            </w:tcBorders>
            <w:vAlign w:val="center"/>
          </w:tcPr>
          <w:p w14:paraId="1BD4E6B1">
            <w:pPr>
              <w:widowControl/>
              <w:jc w:val="left"/>
              <w:rPr>
                <w:rFonts w:ascii="宋体" w:hAnsi="宋体" w:cs="宋体"/>
                <w:color w:val="000000"/>
                <w:kern w:val="0"/>
                <w:sz w:val="18"/>
                <w:szCs w:val="18"/>
              </w:rPr>
            </w:pPr>
          </w:p>
        </w:tc>
        <w:tc>
          <w:tcPr>
            <w:tcW w:w="786" w:type="dxa"/>
            <w:tcBorders>
              <w:top w:val="nil"/>
              <w:left w:val="nil"/>
              <w:bottom w:val="single" w:color="000000" w:sz="4" w:space="0"/>
              <w:right w:val="single" w:color="000000" w:sz="4" w:space="0"/>
            </w:tcBorders>
            <w:shd w:val="clear" w:color="auto" w:fill="auto"/>
            <w:vAlign w:val="center"/>
          </w:tcPr>
          <w:p w14:paraId="13534F05">
            <w:pPr>
              <w:widowControl/>
              <w:jc w:val="center"/>
              <w:rPr>
                <w:rFonts w:ascii="宋体" w:hAnsi="宋体" w:cs="宋体"/>
                <w:color w:val="000000"/>
                <w:kern w:val="0"/>
                <w:sz w:val="18"/>
                <w:szCs w:val="18"/>
              </w:rPr>
            </w:pPr>
            <w:r>
              <w:rPr>
                <w:rFonts w:hint="eastAsia" w:ascii="宋体" w:hAnsi="宋体" w:cs="宋体"/>
                <w:color w:val="000000"/>
                <w:kern w:val="0"/>
                <w:sz w:val="18"/>
                <w:szCs w:val="18"/>
              </w:rPr>
              <w:t>满意度指标</w:t>
            </w:r>
          </w:p>
        </w:tc>
        <w:tc>
          <w:tcPr>
            <w:tcW w:w="1072" w:type="dxa"/>
            <w:tcBorders>
              <w:top w:val="nil"/>
              <w:left w:val="nil"/>
              <w:bottom w:val="single" w:color="000000" w:sz="4" w:space="0"/>
              <w:right w:val="single" w:color="000000" w:sz="4" w:space="0"/>
            </w:tcBorders>
            <w:shd w:val="clear" w:color="auto" w:fill="auto"/>
            <w:vAlign w:val="center"/>
          </w:tcPr>
          <w:p w14:paraId="75741AC0">
            <w:pPr>
              <w:widowControl/>
              <w:jc w:val="center"/>
              <w:rPr>
                <w:rFonts w:ascii="宋体" w:hAnsi="宋体" w:cs="宋体"/>
                <w:color w:val="000000"/>
                <w:kern w:val="0"/>
                <w:sz w:val="18"/>
                <w:szCs w:val="18"/>
              </w:rPr>
            </w:pPr>
            <w:r>
              <w:rPr>
                <w:rFonts w:hint="eastAsia" w:ascii="宋体" w:hAnsi="宋体" w:cs="宋体"/>
                <w:color w:val="000000"/>
                <w:kern w:val="0"/>
                <w:sz w:val="18"/>
                <w:szCs w:val="18"/>
              </w:rPr>
              <w:t>服务对象满意度指标</w:t>
            </w:r>
          </w:p>
        </w:tc>
        <w:tc>
          <w:tcPr>
            <w:tcW w:w="1072" w:type="dxa"/>
            <w:tcBorders>
              <w:top w:val="nil"/>
              <w:left w:val="nil"/>
              <w:bottom w:val="single" w:color="000000" w:sz="4" w:space="0"/>
              <w:right w:val="single" w:color="000000" w:sz="4" w:space="0"/>
            </w:tcBorders>
            <w:shd w:val="clear" w:color="auto" w:fill="auto"/>
            <w:vAlign w:val="center"/>
          </w:tcPr>
          <w:p w14:paraId="3277B02C">
            <w:pPr>
              <w:widowControl/>
              <w:jc w:val="center"/>
              <w:rPr>
                <w:rFonts w:ascii="宋体" w:hAnsi="宋体" w:cs="宋体"/>
                <w:color w:val="000000"/>
                <w:kern w:val="0"/>
                <w:sz w:val="18"/>
                <w:szCs w:val="18"/>
              </w:rPr>
            </w:pPr>
            <w:r>
              <w:rPr>
                <w:rFonts w:hint="eastAsia" w:ascii="宋体" w:hAnsi="宋体" w:cs="宋体"/>
                <w:color w:val="000000"/>
                <w:kern w:val="0"/>
                <w:sz w:val="18"/>
                <w:szCs w:val="18"/>
              </w:rPr>
              <w:t>使用人员满意度</w:t>
            </w:r>
          </w:p>
        </w:tc>
        <w:tc>
          <w:tcPr>
            <w:tcW w:w="610" w:type="dxa"/>
            <w:tcBorders>
              <w:top w:val="nil"/>
              <w:left w:val="nil"/>
              <w:bottom w:val="single" w:color="000000" w:sz="4" w:space="0"/>
              <w:right w:val="single" w:color="000000" w:sz="4" w:space="0"/>
            </w:tcBorders>
            <w:shd w:val="clear" w:color="auto" w:fill="auto"/>
            <w:vAlign w:val="center"/>
          </w:tcPr>
          <w:p w14:paraId="693C90C7">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26" w:type="dxa"/>
            <w:tcBorders>
              <w:top w:val="nil"/>
              <w:left w:val="nil"/>
              <w:bottom w:val="single" w:color="000000" w:sz="4" w:space="0"/>
              <w:right w:val="single" w:color="000000" w:sz="4" w:space="0"/>
            </w:tcBorders>
            <w:shd w:val="clear" w:color="auto" w:fill="auto"/>
            <w:vAlign w:val="center"/>
          </w:tcPr>
          <w:p w14:paraId="28060281">
            <w:pPr>
              <w:widowControl/>
              <w:jc w:val="center"/>
              <w:rPr>
                <w:rFonts w:ascii="宋体" w:hAnsi="宋体" w:cs="宋体"/>
                <w:color w:val="000000"/>
                <w:kern w:val="0"/>
                <w:sz w:val="18"/>
                <w:szCs w:val="18"/>
              </w:rPr>
            </w:pPr>
            <w:r>
              <w:rPr>
                <w:rFonts w:hint="eastAsia" w:ascii="宋体" w:hAnsi="宋体" w:cs="宋体"/>
                <w:color w:val="000000"/>
                <w:kern w:val="0"/>
                <w:sz w:val="18"/>
                <w:szCs w:val="18"/>
              </w:rPr>
              <w:t>95</w:t>
            </w:r>
          </w:p>
        </w:tc>
        <w:tc>
          <w:tcPr>
            <w:tcW w:w="927" w:type="dxa"/>
            <w:tcBorders>
              <w:top w:val="nil"/>
              <w:left w:val="nil"/>
              <w:bottom w:val="single" w:color="000000" w:sz="4" w:space="0"/>
              <w:right w:val="single" w:color="000000" w:sz="4" w:space="0"/>
            </w:tcBorders>
            <w:shd w:val="clear" w:color="auto" w:fill="auto"/>
            <w:vAlign w:val="center"/>
          </w:tcPr>
          <w:p w14:paraId="3A048D7C">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37" w:type="dxa"/>
            <w:tcBorders>
              <w:top w:val="nil"/>
              <w:left w:val="nil"/>
              <w:bottom w:val="single" w:color="000000" w:sz="4" w:space="0"/>
              <w:right w:val="single" w:color="000000" w:sz="4" w:space="0"/>
            </w:tcBorders>
            <w:shd w:val="clear" w:color="auto" w:fill="auto"/>
            <w:vAlign w:val="center"/>
          </w:tcPr>
          <w:p w14:paraId="7EA32CD3">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95</w:t>
            </w:r>
          </w:p>
        </w:tc>
        <w:tc>
          <w:tcPr>
            <w:tcW w:w="851" w:type="dxa"/>
            <w:tcBorders>
              <w:top w:val="nil"/>
              <w:left w:val="nil"/>
              <w:bottom w:val="single" w:color="000000" w:sz="4" w:space="0"/>
              <w:right w:val="single" w:color="000000" w:sz="4" w:space="0"/>
            </w:tcBorders>
            <w:shd w:val="clear" w:color="auto" w:fill="auto"/>
            <w:vAlign w:val="center"/>
          </w:tcPr>
          <w:p w14:paraId="465298A6">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3" w:type="dxa"/>
            <w:tcBorders>
              <w:top w:val="nil"/>
              <w:left w:val="nil"/>
              <w:bottom w:val="single" w:color="000000" w:sz="4" w:space="0"/>
              <w:right w:val="single" w:color="000000" w:sz="4" w:space="0"/>
            </w:tcBorders>
            <w:shd w:val="clear" w:color="auto" w:fill="auto"/>
            <w:vAlign w:val="center"/>
          </w:tcPr>
          <w:p w14:paraId="79987E28">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dxa"/>
            <w:tcBorders>
              <w:top w:val="nil"/>
              <w:left w:val="nil"/>
              <w:bottom w:val="single" w:color="000000" w:sz="4" w:space="0"/>
              <w:right w:val="single" w:color="000000" w:sz="4" w:space="0"/>
            </w:tcBorders>
            <w:shd w:val="clear" w:color="auto" w:fill="auto"/>
            <w:vAlign w:val="center"/>
          </w:tcPr>
          <w:p w14:paraId="359A4B30">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653CADC4">
        <w:tblPrEx>
          <w:tblCellMar>
            <w:top w:w="0" w:type="dxa"/>
            <w:left w:w="108" w:type="dxa"/>
            <w:bottom w:w="0" w:type="dxa"/>
            <w:right w:w="108" w:type="dxa"/>
          </w:tblCellMar>
        </w:tblPrEx>
        <w:trPr>
          <w:trHeight w:val="441" w:hRule="atLeast"/>
        </w:trPr>
        <w:tc>
          <w:tcPr>
            <w:tcW w:w="691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22B583A">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851" w:type="dxa"/>
            <w:tcBorders>
              <w:top w:val="nil"/>
              <w:left w:val="nil"/>
              <w:bottom w:val="single" w:color="000000" w:sz="4" w:space="0"/>
              <w:right w:val="single" w:color="000000" w:sz="4" w:space="0"/>
            </w:tcBorders>
            <w:shd w:val="clear" w:color="auto" w:fill="auto"/>
            <w:vAlign w:val="center"/>
          </w:tcPr>
          <w:p w14:paraId="144D23F7">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33" w:type="dxa"/>
            <w:tcBorders>
              <w:top w:val="nil"/>
              <w:left w:val="nil"/>
              <w:bottom w:val="single" w:color="000000" w:sz="4" w:space="0"/>
              <w:right w:val="single" w:color="000000" w:sz="4" w:space="0"/>
            </w:tcBorders>
            <w:shd w:val="clear" w:color="auto" w:fill="auto"/>
            <w:vAlign w:val="center"/>
          </w:tcPr>
          <w:p w14:paraId="5C17F346">
            <w:pPr>
              <w:widowControl/>
              <w:jc w:val="right"/>
              <w:rPr>
                <w:rFonts w:ascii="宋体" w:hAnsi="宋体" w:cs="宋体"/>
                <w:color w:val="000000"/>
                <w:kern w:val="0"/>
                <w:sz w:val="18"/>
                <w:szCs w:val="18"/>
              </w:rPr>
            </w:pPr>
            <w:r>
              <w:rPr>
                <w:rFonts w:hint="eastAsia" w:ascii="宋体" w:hAnsi="宋体" w:cs="宋体"/>
                <w:color w:val="000000"/>
                <w:kern w:val="0"/>
                <w:sz w:val="18"/>
                <w:szCs w:val="18"/>
              </w:rPr>
              <w:t>98</w:t>
            </w:r>
          </w:p>
        </w:tc>
        <w:tc>
          <w:tcPr>
            <w:tcW w:w="834" w:type="dxa"/>
            <w:tcBorders>
              <w:top w:val="nil"/>
              <w:left w:val="nil"/>
              <w:bottom w:val="single" w:color="000000" w:sz="4" w:space="0"/>
              <w:right w:val="single" w:color="000000" w:sz="4" w:space="0"/>
            </w:tcBorders>
            <w:shd w:val="clear" w:color="auto" w:fill="auto"/>
            <w:vAlign w:val="center"/>
          </w:tcPr>
          <w:p w14:paraId="70221A23">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14:paraId="76DC10CC">
        <w:tblPrEx>
          <w:tblCellMar>
            <w:top w:w="0" w:type="dxa"/>
            <w:left w:w="108" w:type="dxa"/>
            <w:bottom w:w="0" w:type="dxa"/>
            <w:right w:w="108" w:type="dxa"/>
          </w:tblCellMar>
        </w:tblPrEx>
        <w:trPr>
          <w:trHeight w:val="441" w:hRule="atLeast"/>
        </w:trPr>
        <w:tc>
          <w:tcPr>
            <w:tcW w:w="786" w:type="dxa"/>
            <w:tcBorders>
              <w:top w:val="nil"/>
              <w:left w:val="single" w:color="000000" w:sz="4" w:space="0"/>
              <w:bottom w:val="single" w:color="000000" w:sz="4" w:space="0"/>
              <w:right w:val="single" w:color="000000" w:sz="4" w:space="0"/>
            </w:tcBorders>
            <w:shd w:val="clear" w:color="auto" w:fill="auto"/>
            <w:vAlign w:val="center"/>
          </w:tcPr>
          <w:p w14:paraId="0AC87C63">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8652" w:type="dxa"/>
            <w:gridSpan w:val="10"/>
            <w:tcBorders>
              <w:top w:val="single" w:color="000000" w:sz="4" w:space="0"/>
              <w:left w:val="nil"/>
              <w:bottom w:val="single" w:color="000000" w:sz="4" w:space="0"/>
              <w:right w:val="single" w:color="000000" w:sz="4" w:space="0"/>
            </w:tcBorders>
            <w:shd w:val="clear" w:color="auto" w:fill="auto"/>
            <w:vAlign w:val="center"/>
          </w:tcPr>
          <w:p w14:paraId="069C27C2">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项目自评总分98分，项目按计划完成了招标采购 ，产品已交付验收并投入使用。</w:t>
            </w:r>
          </w:p>
        </w:tc>
      </w:tr>
      <w:tr w14:paraId="693FF66A">
        <w:tblPrEx>
          <w:tblCellMar>
            <w:top w:w="0" w:type="dxa"/>
            <w:left w:w="108" w:type="dxa"/>
            <w:bottom w:w="0" w:type="dxa"/>
            <w:right w:w="108" w:type="dxa"/>
          </w:tblCellMar>
        </w:tblPrEx>
        <w:trPr>
          <w:trHeight w:val="441" w:hRule="atLeast"/>
        </w:trPr>
        <w:tc>
          <w:tcPr>
            <w:tcW w:w="786" w:type="dxa"/>
            <w:tcBorders>
              <w:top w:val="nil"/>
              <w:left w:val="single" w:color="000000" w:sz="4" w:space="0"/>
              <w:bottom w:val="single" w:color="000000" w:sz="4" w:space="0"/>
              <w:right w:val="single" w:color="000000" w:sz="4" w:space="0"/>
            </w:tcBorders>
            <w:shd w:val="clear" w:color="auto" w:fill="auto"/>
            <w:vAlign w:val="center"/>
          </w:tcPr>
          <w:p w14:paraId="260352BF">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8652" w:type="dxa"/>
            <w:gridSpan w:val="10"/>
            <w:tcBorders>
              <w:top w:val="single" w:color="000000" w:sz="4" w:space="0"/>
              <w:left w:val="nil"/>
              <w:bottom w:val="single" w:color="000000" w:sz="4" w:space="0"/>
              <w:right w:val="single" w:color="000000" w:sz="4" w:space="0"/>
            </w:tcBorders>
            <w:shd w:val="clear" w:color="auto" w:fill="auto"/>
            <w:vAlign w:val="center"/>
          </w:tcPr>
          <w:p w14:paraId="26B6A37F">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7DDA0E16">
        <w:tblPrEx>
          <w:tblCellMar>
            <w:top w:w="0" w:type="dxa"/>
            <w:left w:w="108" w:type="dxa"/>
            <w:bottom w:w="0" w:type="dxa"/>
            <w:right w:w="108" w:type="dxa"/>
          </w:tblCellMar>
        </w:tblPrEx>
        <w:trPr>
          <w:trHeight w:val="441" w:hRule="atLeast"/>
        </w:trPr>
        <w:tc>
          <w:tcPr>
            <w:tcW w:w="786" w:type="dxa"/>
            <w:tcBorders>
              <w:top w:val="nil"/>
              <w:left w:val="single" w:color="000000" w:sz="4" w:space="0"/>
              <w:bottom w:val="single" w:color="000000" w:sz="4" w:space="0"/>
              <w:right w:val="single" w:color="000000" w:sz="4" w:space="0"/>
            </w:tcBorders>
            <w:shd w:val="clear" w:color="auto" w:fill="auto"/>
            <w:vAlign w:val="center"/>
          </w:tcPr>
          <w:p w14:paraId="4C74FEFE">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8652" w:type="dxa"/>
            <w:gridSpan w:val="10"/>
            <w:tcBorders>
              <w:top w:val="single" w:color="000000" w:sz="4" w:space="0"/>
              <w:left w:val="nil"/>
              <w:bottom w:val="single" w:color="000000" w:sz="4" w:space="0"/>
              <w:right w:val="single" w:color="000000" w:sz="4" w:space="0"/>
            </w:tcBorders>
            <w:shd w:val="clear" w:color="auto" w:fill="auto"/>
            <w:vAlign w:val="center"/>
          </w:tcPr>
          <w:p w14:paraId="31CE0596">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52B6D39D">
        <w:tblPrEx>
          <w:tblCellMar>
            <w:top w:w="0" w:type="dxa"/>
            <w:left w:w="108" w:type="dxa"/>
            <w:bottom w:w="0" w:type="dxa"/>
            <w:right w:w="108" w:type="dxa"/>
          </w:tblCellMar>
        </w:tblPrEx>
        <w:trPr>
          <w:trHeight w:val="441" w:hRule="atLeast"/>
        </w:trPr>
        <w:tc>
          <w:tcPr>
            <w:tcW w:w="432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8350D1">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项目</w:t>
            </w:r>
            <w:r>
              <w:rPr>
                <w:rFonts w:hint="eastAsia" w:ascii="微软雅黑" w:hAnsi="微软雅黑" w:eastAsia="微软雅黑" w:cs="微软雅黑"/>
                <w:color w:val="000000"/>
                <w:kern w:val="0"/>
                <w:sz w:val="18"/>
                <w:szCs w:val="18"/>
              </w:rPr>
              <w:t>负</w:t>
            </w:r>
            <w:r>
              <w:rPr>
                <w:rFonts w:hint="eastAsia" w:ascii="___WRD_EMBED_SUB_17" w:hAnsi="___WRD_EMBED_SUB_17" w:eastAsia="___WRD_EMBED_SUB_17" w:cs="___WRD_EMBED_SUB_17"/>
                <w:color w:val="000000"/>
                <w:kern w:val="0"/>
                <w:sz w:val="18"/>
                <w:szCs w:val="18"/>
              </w:rPr>
              <w:t>责</w:t>
            </w:r>
            <w:r>
              <w:rPr>
                <w:rFonts w:hint="eastAsia" w:ascii="微软雅黑" w:hAnsi="微软雅黑" w:eastAsia="微软雅黑" w:cs="微软雅黑"/>
                <w:color w:val="000000"/>
                <w:kern w:val="0"/>
                <w:sz w:val="18"/>
                <w:szCs w:val="18"/>
              </w:rPr>
              <w:t>人：毛佳龙</w:t>
            </w:r>
          </w:p>
        </w:tc>
        <w:tc>
          <w:tcPr>
            <w:tcW w:w="5111" w:type="dxa"/>
            <w:gridSpan w:val="6"/>
            <w:tcBorders>
              <w:top w:val="single" w:color="000000" w:sz="4" w:space="0"/>
              <w:left w:val="nil"/>
              <w:bottom w:val="single" w:color="000000" w:sz="4" w:space="0"/>
              <w:right w:val="single" w:color="000000" w:sz="4" w:space="0"/>
            </w:tcBorders>
            <w:shd w:val="clear" w:color="auto" w:fill="auto"/>
            <w:vAlign w:val="center"/>
          </w:tcPr>
          <w:p w14:paraId="12D55321">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财</w:t>
            </w:r>
            <w:r>
              <w:rPr>
                <w:rFonts w:hint="eastAsia" w:ascii="微软雅黑" w:hAnsi="微软雅黑" w:eastAsia="微软雅黑" w:cs="微软雅黑"/>
                <w:color w:val="000000"/>
                <w:kern w:val="0"/>
                <w:sz w:val="18"/>
                <w:szCs w:val="18"/>
              </w:rPr>
              <w:t>务负</w:t>
            </w:r>
            <w:r>
              <w:rPr>
                <w:rFonts w:hint="eastAsia" w:ascii="黑体" w:hAnsi="黑体" w:eastAsia="黑体" w:cs="宋体"/>
                <w:color w:val="000000"/>
                <w:kern w:val="0"/>
                <w:sz w:val="18"/>
                <w:szCs w:val="18"/>
              </w:rPr>
              <w:t>责</w:t>
            </w:r>
            <w:r>
              <w:rPr>
                <w:rFonts w:hint="eastAsia" w:ascii="微软雅黑" w:hAnsi="微软雅黑" w:eastAsia="微软雅黑" w:cs="微软雅黑"/>
                <w:color w:val="000000"/>
                <w:kern w:val="0"/>
                <w:sz w:val="18"/>
                <w:szCs w:val="18"/>
              </w:rPr>
              <w:t>人：漆明强</w:t>
            </w:r>
          </w:p>
        </w:tc>
      </w:tr>
    </w:tbl>
    <w:p w14:paraId="78584FA8">
      <w:pPr>
        <w:pStyle w:val="2"/>
        <w:spacing w:before="93"/>
        <w:rPr>
          <w:rFonts w:hAnsi="Calibri" w:cs="仿宋"/>
          <w:sz w:val="32"/>
          <w:szCs w:val="32"/>
        </w:rPr>
      </w:pPr>
    </w:p>
    <w:p w14:paraId="2F8E41BC">
      <w:pPr>
        <w:pStyle w:val="2"/>
        <w:spacing w:before="93"/>
        <w:rPr>
          <w:rFonts w:hAnsi="Calibri" w:cs="仿宋"/>
          <w:sz w:val="32"/>
          <w:szCs w:val="32"/>
        </w:rPr>
      </w:pPr>
    </w:p>
    <w:p w14:paraId="50301CD5">
      <w:pPr>
        <w:pStyle w:val="2"/>
        <w:spacing w:before="93"/>
        <w:rPr>
          <w:rFonts w:ascii="Cambria" w:hAnsi="Cambria" w:cs="仿宋"/>
          <w:b/>
          <w:bCs/>
          <w:sz w:val="32"/>
          <w:szCs w:val="32"/>
        </w:rPr>
      </w:pPr>
      <w:r>
        <w:rPr>
          <w:rFonts w:hint="eastAsia" w:hAnsi="Calibri" w:cs="仿宋"/>
          <w:b/>
          <w:bCs/>
          <w:sz w:val="32"/>
          <w:szCs w:val="32"/>
        </w:rPr>
        <w:t>附件</w:t>
      </w:r>
      <w:r>
        <w:rPr>
          <w:rFonts w:ascii="Cambria" w:hAnsi="Cambria" w:cs="仿宋"/>
          <w:b/>
          <w:bCs/>
          <w:sz w:val="32"/>
          <w:szCs w:val="32"/>
        </w:rPr>
        <w:t>3-5</w:t>
      </w:r>
    </w:p>
    <w:tbl>
      <w:tblPr>
        <w:tblStyle w:val="14"/>
        <w:tblW w:w="9440" w:type="dxa"/>
        <w:tblInd w:w="113" w:type="dxa"/>
        <w:tblLayout w:type="autofit"/>
        <w:tblCellMar>
          <w:top w:w="0" w:type="dxa"/>
          <w:left w:w="108" w:type="dxa"/>
          <w:bottom w:w="0" w:type="dxa"/>
          <w:right w:w="108" w:type="dxa"/>
        </w:tblCellMar>
      </w:tblPr>
      <w:tblGrid>
        <w:gridCol w:w="802"/>
        <w:gridCol w:w="804"/>
        <w:gridCol w:w="1107"/>
        <w:gridCol w:w="1112"/>
        <w:gridCol w:w="634"/>
        <w:gridCol w:w="630"/>
        <w:gridCol w:w="631"/>
        <w:gridCol w:w="1038"/>
        <w:gridCol w:w="892"/>
        <w:gridCol w:w="892"/>
        <w:gridCol w:w="886"/>
        <w:gridCol w:w="12"/>
      </w:tblGrid>
      <w:tr w14:paraId="3C5B0903">
        <w:tblPrEx>
          <w:tblCellMar>
            <w:top w:w="0" w:type="dxa"/>
            <w:left w:w="108" w:type="dxa"/>
            <w:bottom w:w="0" w:type="dxa"/>
            <w:right w:w="108" w:type="dxa"/>
          </w:tblCellMar>
        </w:tblPrEx>
        <w:trPr>
          <w:trHeight w:val="565" w:hRule="atLeast"/>
        </w:trPr>
        <w:tc>
          <w:tcPr>
            <w:tcW w:w="944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C33FF8E">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w:t>
            </w:r>
            <w:r>
              <w:rPr>
                <w:rFonts w:hint="eastAsia" w:ascii="微软雅黑" w:hAnsi="微软雅黑" w:eastAsia="微软雅黑" w:cs="微软雅黑"/>
                <w:b/>
                <w:bCs/>
                <w:color w:val="000000"/>
                <w:kern w:val="0"/>
                <w:sz w:val="30"/>
                <w:szCs w:val="30"/>
              </w:rPr>
              <w:t>门</w:t>
            </w:r>
            <w:r>
              <w:rPr>
                <w:rFonts w:hint="eastAsia" w:ascii="___WRD_EMBED_SUB_17" w:hAnsi="___WRD_EMBED_SUB_17" w:eastAsia="___WRD_EMBED_SUB_17" w:cs="___WRD_EMBED_SUB_17"/>
                <w:b/>
                <w:bCs/>
                <w:color w:val="000000"/>
                <w:kern w:val="0"/>
                <w:sz w:val="30"/>
                <w:szCs w:val="30"/>
              </w:rPr>
              <w:t>预算项目支出</w:t>
            </w:r>
            <w:r>
              <w:rPr>
                <w:rFonts w:hint="eastAsia" w:ascii="微软雅黑" w:hAnsi="微软雅黑" w:eastAsia="微软雅黑" w:cs="微软雅黑"/>
                <w:b/>
                <w:bCs/>
                <w:color w:val="000000"/>
                <w:kern w:val="0"/>
                <w:sz w:val="30"/>
                <w:szCs w:val="30"/>
              </w:rPr>
              <w:t>绩效自评</w:t>
            </w:r>
            <w:r>
              <w:rPr>
                <w:rFonts w:hint="eastAsia" w:ascii="___WRD_EMBED_SUB_17" w:hAnsi="___WRD_EMBED_SUB_17" w:eastAsia="___WRD_EMBED_SUB_17" w:cs="___WRD_EMBED_SUB_17"/>
                <w:b/>
                <w:bCs/>
                <w:color w:val="000000"/>
                <w:kern w:val="0"/>
                <w:sz w:val="30"/>
                <w:szCs w:val="30"/>
              </w:rPr>
              <w:t>表</w:t>
            </w:r>
            <w:r>
              <w:rPr>
                <w:rFonts w:hint="eastAsia" w:ascii="微软雅黑" w:hAnsi="微软雅黑" w:eastAsia="微软雅黑" w:cs="微软雅黑"/>
                <w:b/>
                <w:bCs/>
                <w:color w:val="000000"/>
                <w:kern w:val="0"/>
                <w:sz w:val="30"/>
                <w:szCs w:val="30"/>
              </w:rPr>
              <w:t>（</w:t>
            </w:r>
            <w:r>
              <w:rPr>
                <w:rFonts w:hint="eastAsia" w:ascii="黑体" w:hAnsi="黑体" w:eastAsia="黑体" w:cs="宋体"/>
                <w:b/>
                <w:bCs/>
                <w:color w:val="000000"/>
                <w:kern w:val="0"/>
                <w:sz w:val="30"/>
                <w:szCs w:val="30"/>
              </w:rPr>
              <w:t>2022年度</w:t>
            </w:r>
            <w:r>
              <w:rPr>
                <w:rFonts w:hint="eastAsia" w:ascii="微软雅黑" w:hAnsi="微软雅黑" w:eastAsia="微软雅黑" w:cs="微软雅黑"/>
                <w:b/>
                <w:bCs/>
                <w:color w:val="000000"/>
                <w:kern w:val="0"/>
                <w:sz w:val="30"/>
                <w:szCs w:val="30"/>
              </w:rPr>
              <w:t>）</w:t>
            </w:r>
          </w:p>
        </w:tc>
      </w:tr>
      <w:tr w14:paraId="624CD648">
        <w:tblPrEx>
          <w:tblCellMar>
            <w:top w:w="0" w:type="dxa"/>
            <w:left w:w="108" w:type="dxa"/>
            <w:bottom w:w="0" w:type="dxa"/>
            <w:right w:w="108" w:type="dxa"/>
          </w:tblCellMar>
        </w:tblPrEx>
        <w:trPr>
          <w:trHeight w:val="491" w:hRule="atLeast"/>
        </w:trPr>
        <w:tc>
          <w:tcPr>
            <w:tcW w:w="16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2F140E">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7831" w:type="dxa"/>
            <w:gridSpan w:val="10"/>
            <w:tcBorders>
              <w:top w:val="single" w:color="000000" w:sz="4" w:space="0"/>
              <w:left w:val="nil"/>
              <w:bottom w:val="single" w:color="000000" w:sz="4" w:space="0"/>
              <w:right w:val="single" w:color="000000" w:sz="4" w:space="0"/>
            </w:tcBorders>
            <w:shd w:val="clear" w:color="auto" w:fill="auto"/>
            <w:vAlign w:val="center"/>
          </w:tcPr>
          <w:p w14:paraId="1A9EFC23">
            <w:pPr>
              <w:widowControl/>
              <w:jc w:val="left"/>
              <w:rPr>
                <w:rFonts w:ascii="宋体" w:hAnsi="宋体" w:cs="宋体"/>
                <w:color w:val="000000"/>
                <w:kern w:val="0"/>
                <w:sz w:val="18"/>
                <w:szCs w:val="18"/>
              </w:rPr>
            </w:pPr>
            <w:r>
              <w:rPr>
                <w:rFonts w:hint="eastAsia" w:ascii="宋体" w:hAnsi="宋体" w:cs="宋体"/>
                <w:color w:val="000000"/>
                <w:kern w:val="0"/>
                <w:sz w:val="18"/>
                <w:szCs w:val="18"/>
              </w:rPr>
              <w:t>51118122T000005316525-排危除险应急资金</w:t>
            </w:r>
          </w:p>
        </w:tc>
      </w:tr>
      <w:tr w14:paraId="59074D1C">
        <w:tblPrEx>
          <w:tblCellMar>
            <w:top w:w="0" w:type="dxa"/>
            <w:left w:w="108" w:type="dxa"/>
            <w:bottom w:w="0" w:type="dxa"/>
            <w:right w:w="108" w:type="dxa"/>
          </w:tblCellMar>
        </w:tblPrEx>
        <w:trPr>
          <w:trHeight w:val="446" w:hRule="atLeast"/>
        </w:trPr>
        <w:tc>
          <w:tcPr>
            <w:tcW w:w="16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3F7543">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4115" w:type="dxa"/>
            <w:gridSpan w:val="5"/>
            <w:tcBorders>
              <w:top w:val="single" w:color="000000" w:sz="4" w:space="0"/>
              <w:left w:val="nil"/>
              <w:bottom w:val="single" w:color="000000" w:sz="4" w:space="0"/>
              <w:right w:val="single" w:color="000000" w:sz="4" w:space="0"/>
            </w:tcBorders>
            <w:shd w:val="clear" w:color="auto" w:fill="auto"/>
            <w:vAlign w:val="center"/>
          </w:tcPr>
          <w:p w14:paraId="4E6E571A">
            <w:pPr>
              <w:widowControl/>
              <w:jc w:val="left"/>
              <w:rPr>
                <w:rFonts w:ascii="宋体" w:hAnsi="宋体" w:cs="宋体"/>
                <w:color w:val="000000"/>
                <w:kern w:val="0"/>
                <w:sz w:val="18"/>
                <w:szCs w:val="18"/>
              </w:rPr>
            </w:pPr>
            <w:r>
              <w:rPr>
                <w:rFonts w:hint="eastAsia" w:ascii="宋体" w:hAnsi="宋体" w:cs="宋体"/>
                <w:color w:val="000000"/>
                <w:kern w:val="0"/>
                <w:sz w:val="18"/>
                <w:szCs w:val="18"/>
              </w:rPr>
              <w:t>应急管理局</w:t>
            </w:r>
          </w:p>
        </w:tc>
        <w:tc>
          <w:tcPr>
            <w:tcW w:w="1037" w:type="dxa"/>
            <w:tcBorders>
              <w:top w:val="nil"/>
              <w:left w:val="nil"/>
              <w:bottom w:val="nil"/>
              <w:right w:val="nil"/>
            </w:tcBorders>
            <w:shd w:val="clear" w:color="auto" w:fill="auto"/>
            <w:vAlign w:val="center"/>
          </w:tcPr>
          <w:p w14:paraId="2B6B88BA">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实施</w:t>
            </w:r>
            <w:r>
              <w:rPr>
                <w:rFonts w:hint="eastAsia" w:ascii="___WRD_EMBED_SUB_17" w:hAnsi="___WRD_EMBED_SUB_17" w:eastAsia="___WRD_EMBED_SUB_17" w:cs="___WRD_EMBED_SUB_17"/>
                <w:color w:val="000000"/>
                <w:kern w:val="0"/>
                <w:sz w:val="18"/>
                <w:szCs w:val="18"/>
              </w:rPr>
              <w:t>单位</w:t>
            </w:r>
            <w:r>
              <w:rPr>
                <w:rFonts w:hint="eastAsia" w:ascii="黑体" w:hAnsi="黑体" w:eastAsia="黑体" w:cs="宋体"/>
                <w:color w:val="000000"/>
                <w:kern w:val="0"/>
                <w:sz w:val="18"/>
                <w:szCs w:val="18"/>
              </w:rPr>
              <w:t xml:space="preserve"> </w:t>
            </w:r>
            <w:r>
              <w:rPr>
                <w:rFonts w:hint="eastAsia" w:ascii="微软雅黑" w:hAnsi="微软雅黑" w:eastAsia="微软雅黑" w:cs="微软雅黑"/>
                <w:color w:val="000000"/>
                <w:kern w:val="0"/>
                <w:sz w:val="18"/>
                <w:szCs w:val="18"/>
              </w:rPr>
              <w:t>（盖章）</w:t>
            </w:r>
          </w:p>
        </w:tc>
        <w:tc>
          <w:tcPr>
            <w:tcW w:w="267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4F2FC12">
            <w:pPr>
              <w:widowControl/>
              <w:jc w:val="center"/>
              <w:rPr>
                <w:rFonts w:ascii="宋体" w:hAnsi="宋体" w:cs="宋体"/>
                <w:color w:val="000000"/>
                <w:kern w:val="0"/>
                <w:sz w:val="18"/>
                <w:szCs w:val="18"/>
              </w:rPr>
            </w:pPr>
            <w:r>
              <w:rPr>
                <w:rFonts w:hint="eastAsia" w:ascii="宋体" w:hAnsi="宋体" w:cs="宋体"/>
                <w:color w:val="000000"/>
                <w:kern w:val="0"/>
                <w:sz w:val="18"/>
                <w:szCs w:val="18"/>
              </w:rPr>
              <w:t>峨眉山市应急管理局</w:t>
            </w:r>
          </w:p>
        </w:tc>
      </w:tr>
      <w:tr w14:paraId="486C51EC">
        <w:tblPrEx>
          <w:tblCellMar>
            <w:top w:w="0" w:type="dxa"/>
            <w:left w:w="108" w:type="dxa"/>
            <w:bottom w:w="0" w:type="dxa"/>
            <w:right w:w="108" w:type="dxa"/>
          </w:tblCellMar>
        </w:tblPrEx>
        <w:trPr>
          <w:trHeight w:val="656" w:hRule="atLeast"/>
        </w:trPr>
        <w:tc>
          <w:tcPr>
            <w:tcW w:w="803" w:type="dxa"/>
            <w:vMerge w:val="restart"/>
            <w:tcBorders>
              <w:top w:val="nil"/>
              <w:left w:val="single" w:color="000000" w:sz="4" w:space="0"/>
              <w:bottom w:val="single" w:color="000000" w:sz="4" w:space="0"/>
              <w:right w:val="single" w:color="000000" w:sz="4" w:space="0"/>
            </w:tcBorders>
            <w:shd w:val="clear" w:color="auto" w:fill="auto"/>
            <w:vAlign w:val="center"/>
          </w:tcPr>
          <w:p w14:paraId="65263799">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804" w:type="dxa"/>
            <w:vMerge w:val="restart"/>
            <w:tcBorders>
              <w:top w:val="nil"/>
              <w:left w:val="single" w:color="000000" w:sz="4" w:space="0"/>
              <w:bottom w:val="single" w:color="000000" w:sz="4" w:space="0"/>
              <w:right w:val="single" w:color="000000" w:sz="4" w:space="0"/>
            </w:tcBorders>
            <w:shd w:val="clear" w:color="auto" w:fill="auto"/>
            <w:vAlign w:val="center"/>
          </w:tcPr>
          <w:p w14:paraId="761D6C66">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4115" w:type="dxa"/>
            <w:gridSpan w:val="5"/>
            <w:tcBorders>
              <w:top w:val="single" w:color="000000" w:sz="4" w:space="0"/>
              <w:left w:val="nil"/>
              <w:bottom w:val="single" w:color="000000" w:sz="4" w:space="0"/>
              <w:right w:val="single" w:color="000000" w:sz="4" w:space="0"/>
            </w:tcBorders>
            <w:shd w:val="clear" w:color="auto" w:fill="auto"/>
            <w:vAlign w:val="center"/>
          </w:tcPr>
          <w:p w14:paraId="572B95E1">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3716" w:type="dxa"/>
            <w:gridSpan w:val="5"/>
            <w:tcBorders>
              <w:top w:val="single" w:color="000000" w:sz="4" w:space="0"/>
              <w:left w:val="nil"/>
              <w:bottom w:val="single" w:color="000000" w:sz="4" w:space="0"/>
              <w:right w:val="single" w:color="000000" w:sz="4" w:space="0"/>
            </w:tcBorders>
            <w:shd w:val="clear" w:color="auto" w:fill="auto"/>
            <w:vAlign w:val="center"/>
          </w:tcPr>
          <w:p w14:paraId="6C4885B6">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年度目</w:t>
            </w:r>
            <w:r>
              <w:rPr>
                <w:rFonts w:hint="eastAsia" w:ascii="微软雅黑" w:hAnsi="微软雅黑" w:eastAsia="微软雅黑" w:cs="微软雅黑"/>
                <w:color w:val="000000"/>
                <w:kern w:val="0"/>
                <w:sz w:val="18"/>
                <w:szCs w:val="18"/>
              </w:rPr>
              <w:t>标完成</w:t>
            </w:r>
            <w:r>
              <w:rPr>
                <w:rFonts w:hint="eastAsia" w:ascii="___WRD_EMBED_SUB_17" w:hAnsi="___WRD_EMBED_SUB_17" w:eastAsia="___WRD_EMBED_SUB_17" w:cs="___WRD_EMBED_SUB_17"/>
                <w:color w:val="000000"/>
                <w:kern w:val="0"/>
                <w:sz w:val="18"/>
                <w:szCs w:val="18"/>
              </w:rPr>
              <w:t>情况</w:t>
            </w:r>
          </w:p>
        </w:tc>
      </w:tr>
      <w:tr w14:paraId="165DAF99">
        <w:tblPrEx>
          <w:tblCellMar>
            <w:top w:w="0" w:type="dxa"/>
            <w:left w:w="108" w:type="dxa"/>
            <w:bottom w:w="0" w:type="dxa"/>
            <w:right w:w="108" w:type="dxa"/>
          </w:tblCellMar>
        </w:tblPrEx>
        <w:trPr>
          <w:trHeight w:val="1282" w:hRule="atLeast"/>
        </w:trPr>
        <w:tc>
          <w:tcPr>
            <w:tcW w:w="803" w:type="dxa"/>
            <w:vMerge w:val="continue"/>
            <w:tcBorders>
              <w:top w:val="nil"/>
              <w:left w:val="single" w:color="000000" w:sz="4" w:space="0"/>
              <w:bottom w:val="single" w:color="000000" w:sz="4" w:space="0"/>
              <w:right w:val="single" w:color="000000" w:sz="4" w:space="0"/>
            </w:tcBorders>
            <w:vAlign w:val="center"/>
          </w:tcPr>
          <w:p w14:paraId="2A9F276B">
            <w:pPr>
              <w:widowControl/>
              <w:jc w:val="left"/>
              <w:rPr>
                <w:rFonts w:ascii="宋体" w:hAnsi="宋体" w:cs="宋体"/>
                <w:color w:val="000000"/>
                <w:kern w:val="0"/>
                <w:sz w:val="18"/>
                <w:szCs w:val="18"/>
              </w:rPr>
            </w:pPr>
          </w:p>
        </w:tc>
        <w:tc>
          <w:tcPr>
            <w:tcW w:w="804" w:type="dxa"/>
            <w:vMerge w:val="continue"/>
            <w:tcBorders>
              <w:top w:val="nil"/>
              <w:left w:val="single" w:color="000000" w:sz="4" w:space="0"/>
              <w:bottom w:val="single" w:color="000000" w:sz="4" w:space="0"/>
              <w:right w:val="single" w:color="000000" w:sz="4" w:space="0"/>
            </w:tcBorders>
            <w:vAlign w:val="center"/>
          </w:tcPr>
          <w:p w14:paraId="62FC473D">
            <w:pPr>
              <w:widowControl/>
              <w:jc w:val="left"/>
              <w:rPr>
                <w:rFonts w:ascii="宋体" w:hAnsi="宋体" w:cs="宋体"/>
                <w:color w:val="000000"/>
                <w:kern w:val="0"/>
                <w:sz w:val="18"/>
                <w:szCs w:val="18"/>
              </w:rPr>
            </w:pPr>
          </w:p>
        </w:tc>
        <w:tc>
          <w:tcPr>
            <w:tcW w:w="4115" w:type="dxa"/>
            <w:gridSpan w:val="5"/>
            <w:tcBorders>
              <w:top w:val="single" w:color="000000" w:sz="4" w:space="0"/>
              <w:left w:val="nil"/>
              <w:bottom w:val="single" w:color="000000" w:sz="4" w:space="0"/>
              <w:right w:val="single" w:color="000000" w:sz="4" w:space="0"/>
            </w:tcBorders>
            <w:shd w:val="clear" w:color="auto" w:fill="auto"/>
            <w:vAlign w:val="center"/>
          </w:tcPr>
          <w:p w14:paraId="34D7A0B8">
            <w:pPr>
              <w:widowControl/>
              <w:jc w:val="left"/>
              <w:rPr>
                <w:rFonts w:ascii="宋体" w:hAnsi="宋体" w:cs="宋体"/>
                <w:color w:val="000000"/>
                <w:kern w:val="0"/>
                <w:sz w:val="18"/>
                <w:szCs w:val="18"/>
              </w:rPr>
            </w:pPr>
            <w:r>
              <w:rPr>
                <w:rFonts w:hint="eastAsia" w:ascii="宋体" w:hAnsi="宋体" w:cs="宋体"/>
                <w:color w:val="000000"/>
                <w:kern w:val="0"/>
                <w:sz w:val="18"/>
                <w:szCs w:val="18"/>
              </w:rPr>
              <w:t>防灾减灾救灾示范点建设费用；自然灾害应急救援、受灾群众紧急救助、灾情紧急调查分析评估；购买水旱、地灾、地震等自然灾害应急处置技术支持、协助救援救灾服务工作开展</w:t>
            </w:r>
          </w:p>
        </w:tc>
        <w:tc>
          <w:tcPr>
            <w:tcW w:w="3716" w:type="dxa"/>
            <w:gridSpan w:val="5"/>
            <w:tcBorders>
              <w:top w:val="single" w:color="000000" w:sz="4" w:space="0"/>
              <w:left w:val="nil"/>
              <w:bottom w:val="single" w:color="000000" w:sz="4" w:space="0"/>
              <w:right w:val="single" w:color="000000" w:sz="4" w:space="0"/>
            </w:tcBorders>
            <w:shd w:val="clear" w:color="auto" w:fill="auto"/>
            <w:vAlign w:val="center"/>
          </w:tcPr>
          <w:p w14:paraId="426EB235">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完成防灾减灾救灾示范点建</w:t>
            </w:r>
            <w:r>
              <w:rPr>
                <w:rFonts w:hint="eastAsia" w:ascii="___WRD_EMBED_SUB_17" w:hAnsi="___WRD_EMBED_SUB_17" w:eastAsia="___WRD_EMBED_SUB_17" w:cs="___WRD_EMBED_SUB_17"/>
                <w:color w:val="000000"/>
                <w:kern w:val="0"/>
                <w:sz w:val="18"/>
                <w:szCs w:val="18"/>
              </w:rPr>
              <w:t>设费</w:t>
            </w:r>
            <w:r>
              <w:rPr>
                <w:rFonts w:hint="eastAsia" w:ascii="微软雅黑" w:hAnsi="微软雅黑" w:eastAsia="微软雅黑" w:cs="微软雅黑"/>
                <w:color w:val="000000"/>
                <w:kern w:val="0"/>
                <w:sz w:val="18"/>
                <w:szCs w:val="18"/>
              </w:rPr>
              <w:t>用；自然灾害应急救援</w:t>
            </w:r>
            <w:r>
              <w:rPr>
                <w:rFonts w:hint="eastAsia" w:ascii="___WRD_EMBED_SUB_17" w:hAnsi="___WRD_EMBED_SUB_17" w:eastAsia="___WRD_EMBED_SUB_17" w:cs="___WRD_EMBED_SUB_17"/>
                <w:color w:val="000000"/>
                <w:kern w:val="0"/>
                <w:sz w:val="18"/>
                <w:szCs w:val="18"/>
              </w:rPr>
              <w:t>、</w:t>
            </w:r>
            <w:r>
              <w:rPr>
                <w:rFonts w:hint="eastAsia" w:ascii="微软雅黑" w:hAnsi="微软雅黑" w:eastAsia="微软雅黑" w:cs="微软雅黑"/>
                <w:color w:val="000000"/>
                <w:kern w:val="0"/>
                <w:sz w:val="18"/>
                <w:szCs w:val="18"/>
              </w:rPr>
              <w:t>受灾群众紧急救助</w:t>
            </w:r>
            <w:r>
              <w:rPr>
                <w:rFonts w:hint="eastAsia" w:ascii="___WRD_EMBED_SUB_17" w:hAnsi="___WRD_EMBED_SUB_17" w:eastAsia="___WRD_EMBED_SUB_17" w:cs="___WRD_EMBED_SUB_17"/>
                <w:color w:val="000000"/>
                <w:kern w:val="0"/>
                <w:sz w:val="18"/>
                <w:szCs w:val="18"/>
              </w:rPr>
              <w:t>、</w:t>
            </w:r>
            <w:r>
              <w:rPr>
                <w:rFonts w:hint="eastAsia" w:ascii="微软雅黑" w:hAnsi="微软雅黑" w:eastAsia="微软雅黑" w:cs="微软雅黑"/>
                <w:color w:val="000000"/>
                <w:kern w:val="0"/>
                <w:sz w:val="18"/>
                <w:szCs w:val="18"/>
              </w:rPr>
              <w:t>灾</w:t>
            </w:r>
            <w:r>
              <w:rPr>
                <w:rFonts w:hint="eastAsia" w:ascii="___WRD_EMBED_SUB_17" w:hAnsi="___WRD_EMBED_SUB_17" w:eastAsia="___WRD_EMBED_SUB_17" w:cs="___WRD_EMBED_SUB_17"/>
                <w:color w:val="000000"/>
                <w:kern w:val="0"/>
                <w:sz w:val="18"/>
                <w:szCs w:val="18"/>
              </w:rPr>
              <w:t>情</w:t>
            </w:r>
            <w:r>
              <w:rPr>
                <w:rFonts w:hint="eastAsia" w:ascii="微软雅黑" w:hAnsi="微软雅黑" w:eastAsia="微软雅黑" w:cs="微软雅黑"/>
                <w:color w:val="000000"/>
                <w:kern w:val="0"/>
                <w:sz w:val="18"/>
                <w:szCs w:val="18"/>
              </w:rPr>
              <w:t>紧急调查</w:t>
            </w:r>
            <w:r>
              <w:rPr>
                <w:rFonts w:hint="eastAsia" w:ascii="___WRD_EMBED_SUB_17" w:hAnsi="___WRD_EMBED_SUB_17" w:eastAsia="___WRD_EMBED_SUB_17" w:cs="___WRD_EMBED_SUB_17"/>
                <w:color w:val="000000"/>
                <w:kern w:val="0"/>
                <w:sz w:val="18"/>
                <w:szCs w:val="18"/>
              </w:rPr>
              <w:t>分</w:t>
            </w:r>
            <w:r>
              <w:rPr>
                <w:rFonts w:hint="eastAsia" w:ascii="微软雅黑" w:hAnsi="微软雅黑" w:eastAsia="微软雅黑" w:cs="微软雅黑"/>
                <w:color w:val="000000"/>
                <w:kern w:val="0"/>
                <w:sz w:val="18"/>
                <w:szCs w:val="18"/>
              </w:rPr>
              <w:t>析评估；购买水旱</w:t>
            </w:r>
            <w:r>
              <w:rPr>
                <w:rFonts w:hint="eastAsia" w:ascii="___WRD_EMBED_SUB_17" w:hAnsi="___WRD_EMBED_SUB_17" w:eastAsia="___WRD_EMBED_SUB_17" w:cs="___WRD_EMBED_SUB_17"/>
                <w:color w:val="000000"/>
                <w:kern w:val="0"/>
                <w:sz w:val="18"/>
                <w:szCs w:val="18"/>
              </w:rPr>
              <w:t>、</w:t>
            </w:r>
            <w:r>
              <w:rPr>
                <w:rFonts w:hint="eastAsia" w:ascii="微软雅黑" w:hAnsi="微软雅黑" w:eastAsia="微软雅黑" w:cs="微软雅黑"/>
                <w:color w:val="000000"/>
                <w:kern w:val="0"/>
                <w:sz w:val="18"/>
                <w:szCs w:val="18"/>
              </w:rPr>
              <w:t>地灾</w:t>
            </w:r>
            <w:r>
              <w:rPr>
                <w:rFonts w:hint="eastAsia" w:ascii="___WRD_EMBED_SUB_17" w:hAnsi="___WRD_EMBED_SUB_17" w:eastAsia="___WRD_EMBED_SUB_17" w:cs="___WRD_EMBED_SUB_17"/>
                <w:color w:val="000000"/>
                <w:kern w:val="0"/>
                <w:sz w:val="18"/>
                <w:szCs w:val="18"/>
              </w:rPr>
              <w:t>、</w:t>
            </w:r>
            <w:r>
              <w:rPr>
                <w:rFonts w:hint="eastAsia" w:ascii="微软雅黑" w:hAnsi="微软雅黑" w:eastAsia="微软雅黑" w:cs="微软雅黑"/>
                <w:color w:val="000000"/>
                <w:kern w:val="0"/>
                <w:sz w:val="18"/>
                <w:szCs w:val="18"/>
              </w:rPr>
              <w:t>地震等自然灾害应急处</w:t>
            </w:r>
            <w:r>
              <w:rPr>
                <w:rFonts w:hint="eastAsia" w:ascii="___WRD_EMBED_SUB_17" w:hAnsi="___WRD_EMBED_SUB_17" w:eastAsia="___WRD_EMBED_SUB_17" w:cs="___WRD_EMBED_SUB_17"/>
                <w:color w:val="000000"/>
                <w:kern w:val="0"/>
                <w:sz w:val="18"/>
                <w:szCs w:val="18"/>
              </w:rPr>
              <w:t>置</w:t>
            </w:r>
            <w:r>
              <w:rPr>
                <w:rFonts w:hint="eastAsia" w:ascii="微软雅黑" w:hAnsi="微软雅黑" w:eastAsia="微软雅黑" w:cs="微软雅黑"/>
                <w:color w:val="000000"/>
                <w:kern w:val="0"/>
                <w:sz w:val="18"/>
                <w:szCs w:val="18"/>
              </w:rPr>
              <w:t>技术</w:t>
            </w:r>
            <w:r>
              <w:rPr>
                <w:rFonts w:hint="eastAsia" w:ascii="___WRD_EMBED_SUB_17" w:hAnsi="___WRD_EMBED_SUB_17" w:eastAsia="___WRD_EMBED_SUB_17" w:cs="___WRD_EMBED_SUB_17"/>
                <w:color w:val="000000"/>
                <w:kern w:val="0"/>
                <w:sz w:val="18"/>
                <w:szCs w:val="18"/>
              </w:rPr>
              <w:t>支</w:t>
            </w:r>
            <w:r>
              <w:rPr>
                <w:rFonts w:hint="eastAsia" w:ascii="微软雅黑" w:hAnsi="微软雅黑" w:eastAsia="微软雅黑" w:cs="微软雅黑"/>
                <w:color w:val="000000"/>
                <w:kern w:val="0"/>
                <w:sz w:val="18"/>
                <w:szCs w:val="18"/>
              </w:rPr>
              <w:t>持</w:t>
            </w:r>
            <w:r>
              <w:rPr>
                <w:rFonts w:hint="eastAsia" w:ascii="___WRD_EMBED_SUB_17" w:hAnsi="___WRD_EMBED_SUB_17" w:eastAsia="___WRD_EMBED_SUB_17" w:cs="___WRD_EMBED_SUB_17"/>
                <w:color w:val="000000"/>
                <w:kern w:val="0"/>
                <w:sz w:val="18"/>
                <w:szCs w:val="18"/>
              </w:rPr>
              <w:t>、</w:t>
            </w:r>
            <w:r>
              <w:rPr>
                <w:rFonts w:hint="eastAsia" w:ascii="微软雅黑" w:hAnsi="微软雅黑" w:eastAsia="微软雅黑" w:cs="微软雅黑"/>
                <w:color w:val="000000"/>
                <w:kern w:val="0"/>
                <w:sz w:val="18"/>
                <w:szCs w:val="18"/>
              </w:rPr>
              <w:t>协助救援救灾服务工作开展</w:t>
            </w:r>
          </w:p>
        </w:tc>
      </w:tr>
      <w:tr w14:paraId="7A16BCFB">
        <w:tblPrEx>
          <w:tblCellMar>
            <w:top w:w="0" w:type="dxa"/>
            <w:left w:w="108" w:type="dxa"/>
            <w:bottom w:w="0" w:type="dxa"/>
            <w:right w:w="108" w:type="dxa"/>
          </w:tblCellMar>
        </w:tblPrEx>
        <w:trPr>
          <w:trHeight w:val="939" w:hRule="atLeast"/>
        </w:trPr>
        <w:tc>
          <w:tcPr>
            <w:tcW w:w="803" w:type="dxa"/>
            <w:vMerge w:val="continue"/>
            <w:tcBorders>
              <w:top w:val="nil"/>
              <w:left w:val="single" w:color="000000" w:sz="4" w:space="0"/>
              <w:bottom w:val="single" w:color="000000" w:sz="4" w:space="0"/>
              <w:right w:val="single" w:color="000000" w:sz="4" w:space="0"/>
            </w:tcBorders>
            <w:vAlign w:val="center"/>
          </w:tcPr>
          <w:p w14:paraId="222F6AD4">
            <w:pPr>
              <w:widowControl/>
              <w:jc w:val="left"/>
              <w:rPr>
                <w:rFonts w:ascii="宋体" w:hAnsi="宋体" w:cs="宋体"/>
                <w:color w:val="000000"/>
                <w:kern w:val="0"/>
                <w:sz w:val="18"/>
                <w:szCs w:val="18"/>
              </w:rPr>
            </w:pPr>
          </w:p>
        </w:tc>
        <w:tc>
          <w:tcPr>
            <w:tcW w:w="804" w:type="dxa"/>
            <w:tcBorders>
              <w:top w:val="nil"/>
              <w:left w:val="nil"/>
              <w:bottom w:val="single" w:color="000000" w:sz="4" w:space="0"/>
              <w:right w:val="single" w:color="000000" w:sz="4" w:space="0"/>
            </w:tcBorders>
            <w:shd w:val="clear" w:color="auto" w:fill="auto"/>
            <w:vAlign w:val="center"/>
          </w:tcPr>
          <w:p w14:paraId="0E16DF75">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831" w:type="dxa"/>
            <w:gridSpan w:val="10"/>
            <w:tcBorders>
              <w:top w:val="single" w:color="000000" w:sz="4" w:space="0"/>
              <w:left w:val="nil"/>
              <w:bottom w:val="single" w:color="000000" w:sz="4" w:space="0"/>
              <w:right w:val="single" w:color="000000" w:sz="4" w:space="0"/>
            </w:tcBorders>
            <w:shd w:val="clear" w:color="auto" w:fill="auto"/>
            <w:vAlign w:val="center"/>
          </w:tcPr>
          <w:p w14:paraId="476F30B5">
            <w:pPr>
              <w:widowControl/>
              <w:jc w:val="left"/>
              <w:rPr>
                <w:rFonts w:ascii="宋体" w:hAnsi="宋体" w:cs="宋体"/>
                <w:color w:val="000000"/>
                <w:kern w:val="0"/>
                <w:sz w:val="18"/>
                <w:szCs w:val="18"/>
              </w:rPr>
            </w:pPr>
            <w:r>
              <w:rPr>
                <w:rFonts w:hint="eastAsia" w:ascii="宋体" w:hAnsi="宋体" w:cs="宋体"/>
                <w:color w:val="000000"/>
                <w:kern w:val="0"/>
                <w:sz w:val="18"/>
                <w:szCs w:val="18"/>
              </w:rPr>
              <w:t>防灾减灾救灾示范点建设费用；自然灾害应急救援、受灾群众紧急救助、灾情紧急调查分析评估；购买水旱、地灾、地震等自然灾害应急处置技术支持、协助救援救灾服务工作开展</w:t>
            </w:r>
          </w:p>
        </w:tc>
      </w:tr>
      <w:tr w14:paraId="116D6697">
        <w:tblPrEx>
          <w:tblCellMar>
            <w:top w:w="0" w:type="dxa"/>
            <w:left w:w="108" w:type="dxa"/>
            <w:bottom w:w="0" w:type="dxa"/>
            <w:right w:w="108" w:type="dxa"/>
          </w:tblCellMar>
        </w:tblPrEx>
        <w:trPr>
          <w:gridAfter w:val="1"/>
          <w:wAfter w:w="11" w:type="dxa"/>
          <w:trHeight w:val="506" w:hRule="atLeast"/>
        </w:trPr>
        <w:tc>
          <w:tcPr>
            <w:tcW w:w="803" w:type="dxa"/>
            <w:vMerge w:val="restart"/>
            <w:tcBorders>
              <w:top w:val="nil"/>
              <w:left w:val="single" w:color="000000" w:sz="4" w:space="0"/>
              <w:bottom w:val="single" w:color="000000" w:sz="4" w:space="0"/>
              <w:right w:val="single" w:color="000000" w:sz="4" w:space="0"/>
            </w:tcBorders>
            <w:shd w:val="clear" w:color="auto" w:fill="auto"/>
            <w:vAlign w:val="center"/>
          </w:tcPr>
          <w:p w14:paraId="68109C8A">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804" w:type="dxa"/>
            <w:tcBorders>
              <w:top w:val="nil"/>
              <w:left w:val="nil"/>
              <w:bottom w:val="single" w:color="000000" w:sz="4" w:space="0"/>
              <w:right w:val="single" w:color="000000" w:sz="4" w:space="0"/>
            </w:tcBorders>
            <w:shd w:val="clear" w:color="auto" w:fill="auto"/>
            <w:vAlign w:val="center"/>
          </w:tcPr>
          <w:p w14:paraId="71D8F987">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108" w:type="dxa"/>
            <w:tcBorders>
              <w:top w:val="nil"/>
              <w:left w:val="nil"/>
              <w:bottom w:val="single" w:color="000000" w:sz="4" w:space="0"/>
              <w:right w:val="single" w:color="000000" w:sz="4" w:space="0"/>
            </w:tcBorders>
            <w:shd w:val="clear" w:color="auto" w:fill="auto"/>
            <w:vAlign w:val="center"/>
          </w:tcPr>
          <w:p w14:paraId="7266C3AD">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1112" w:type="dxa"/>
            <w:tcBorders>
              <w:top w:val="nil"/>
              <w:left w:val="nil"/>
              <w:bottom w:val="single" w:color="000000" w:sz="4" w:space="0"/>
              <w:right w:val="single" w:color="000000" w:sz="4" w:space="0"/>
            </w:tcBorders>
            <w:shd w:val="clear" w:color="auto" w:fill="auto"/>
            <w:vAlign w:val="center"/>
          </w:tcPr>
          <w:p w14:paraId="7E26AF5C">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1894" w:type="dxa"/>
            <w:gridSpan w:val="3"/>
            <w:tcBorders>
              <w:top w:val="single" w:color="000000" w:sz="4" w:space="0"/>
              <w:left w:val="nil"/>
              <w:bottom w:val="single" w:color="000000" w:sz="4" w:space="0"/>
              <w:right w:val="single" w:color="000000" w:sz="4" w:space="0"/>
            </w:tcBorders>
            <w:shd w:val="clear" w:color="auto" w:fill="auto"/>
            <w:vAlign w:val="center"/>
          </w:tcPr>
          <w:p w14:paraId="230BFC1E">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037" w:type="dxa"/>
            <w:tcBorders>
              <w:top w:val="nil"/>
              <w:left w:val="nil"/>
              <w:bottom w:val="single" w:color="000000" w:sz="4" w:space="0"/>
              <w:right w:val="single" w:color="000000" w:sz="4" w:space="0"/>
            </w:tcBorders>
            <w:shd w:val="clear" w:color="auto" w:fill="auto"/>
            <w:vAlign w:val="center"/>
          </w:tcPr>
          <w:p w14:paraId="4F43DCB1">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892" w:type="dxa"/>
            <w:tcBorders>
              <w:top w:val="nil"/>
              <w:left w:val="nil"/>
              <w:bottom w:val="single" w:color="000000" w:sz="4" w:space="0"/>
              <w:right w:val="single" w:color="000000" w:sz="4" w:space="0"/>
            </w:tcBorders>
            <w:shd w:val="clear" w:color="auto" w:fill="auto"/>
            <w:vAlign w:val="center"/>
          </w:tcPr>
          <w:p w14:paraId="154015D4">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92" w:type="dxa"/>
            <w:tcBorders>
              <w:top w:val="nil"/>
              <w:left w:val="nil"/>
              <w:bottom w:val="single" w:color="000000" w:sz="4" w:space="0"/>
              <w:right w:val="single" w:color="000000" w:sz="4" w:space="0"/>
            </w:tcBorders>
            <w:shd w:val="clear" w:color="auto" w:fill="auto"/>
            <w:vAlign w:val="center"/>
          </w:tcPr>
          <w:p w14:paraId="5BDC7341">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87" w:type="dxa"/>
            <w:tcBorders>
              <w:top w:val="nil"/>
              <w:left w:val="nil"/>
              <w:bottom w:val="single" w:color="000000" w:sz="4" w:space="0"/>
              <w:right w:val="single" w:color="000000" w:sz="4" w:space="0"/>
            </w:tcBorders>
            <w:shd w:val="clear" w:color="auto" w:fill="auto"/>
            <w:vAlign w:val="center"/>
          </w:tcPr>
          <w:p w14:paraId="774AACC8">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14:paraId="52F20BD3">
        <w:tblPrEx>
          <w:tblCellMar>
            <w:top w:w="0" w:type="dxa"/>
            <w:left w:w="108" w:type="dxa"/>
            <w:bottom w:w="0" w:type="dxa"/>
            <w:right w:w="108" w:type="dxa"/>
          </w:tblCellMar>
        </w:tblPrEx>
        <w:trPr>
          <w:gridAfter w:val="1"/>
          <w:wAfter w:w="11" w:type="dxa"/>
          <w:trHeight w:val="506" w:hRule="atLeast"/>
        </w:trPr>
        <w:tc>
          <w:tcPr>
            <w:tcW w:w="803" w:type="dxa"/>
            <w:vMerge w:val="continue"/>
            <w:tcBorders>
              <w:top w:val="nil"/>
              <w:left w:val="single" w:color="000000" w:sz="4" w:space="0"/>
              <w:bottom w:val="single" w:color="000000" w:sz="4" w:space="0"/>
              <w:right w:val="single" w:color="000000" w:sz="4" w:space="0"/>
            </w:tcBorders>
            <w:vAlign w:val="center"/>
          </w:tcPr>
          <w:p w14:paraId="2626AF3E">
            <w:pPr>
              <w:widowControl/>
              <w:jc w:val="left"/>
              <w:rPr>
                <w:rFonts w:ascii="宋体" w:hAnsi="宋体" w:cs="宋体"/>
                <w:color w:val="000000"/>
                <w:kern w:val="0"/>
                <w:sz w:val="18"/>
                <w:szCs w:val="18"/>
              </w:rPr>
            </w:pPr>
          </w:p>
        </w:tc>
        <w:tc>
          <w:tcPr>
            <w:tcW w:w="804" w:type="dxa"/>
            <w:tcBorders>
              <w:top w:val="nil"/>
              <w:left w:val="nil"/>
              <w:bottom w:val="single" w:color="000000" w:sz="4" w:space="0"/>
              <w:right w:val="single" w:color="000000" w:sz="4" w:space="0"/>
            </w:tcBorders>
            <w:shd w:val="clear" w:color="auto" w:fill="auto"/>
            <w:vAlign w:val="center"/>
          </w:tcPr>
          <w:p w14:paraId="7A8E9638">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108" w:type="dxa"/>
            <w:tcBorders>
              <w:top w:val="nil"/>
              <w:left w:val="nil"/>
              <w:bottom w:val="single" w:color="000000" w:sz="4" w:space="0"/>
              <w:right w:val="single" w:color="000000" w:sz="4" w:space="0"/>
            </w:tcBorders>
            <w:shd w:val="clear" w:color="auto" w:fill="auto"/>
            <w:vAlign w:val="center"/>
          </w:tcPr>
          <w:p w14:paraId="0FBBC14D">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2" w:type="dxa"/>
            <w:tcBorders>
              <w:top w:val="nil"/>
              <w:left w:val="nil"/>
              <w:bottom w:val="single" w:color="000000" w:sz="4" w:space="0"/>
              <w:right w:val="single" w:color="000000" w:sz="4" w:space="0"/>
            </w:tcBorders>
            <w:shd w:val="clear" w:color="auto" w:fill="auto"/>
            <w:vAlign w:val="center"/>
          </w:tcPr>
          <w:p w14:paraId="4ABD80A8">
            <w:pPr>
              <w:widowControl/>
              <w:jc w:val="center"/>
              <w:rPr>
                <w:rFonts w:ascii="宋体" w:hAnsi="宋体" w:cs="宋体"/>
                <w:color w:val="000000"/>
                <w:kern w:val="0"/>
                <w:sz w:val="18"/>
                <w:szCs w:val="18"/>
              </w:rPr>
            </w:pPr>
            <w:r>
              <w:rPr>
                <w:rFonts w:hint="eastAsia" w:ascii="宋体" w:hAnsi="宋体" w:cs="宋体"/>
                <w:color w:val="000000"/>
                <w:kern w:val="0"/>
                <w:sz w:val="18"/>
                <w:szCs w:val="18"/>
              </w:rPr>
              <w:t>66.90</w:t>
            </w:r>
          </w:p>
        </w:tc>
        <w:tc>
          <w:tcPr>
            <w:tcW w:w="1894" w:type="dxa"/>
            <w:gridSpan w:val="3"/>
            <w:tcBorders>
              <w:top w:val="single" w:color="000000" w:sz="4" w:space="0"/>
              <w:left w:val="nil"/>
              <w:bottom w:val="single" w:color="000000" w:sz="4" w:space="0"/>
              <w:right w:val="single" w:color="000000" w:sz="4" w:space="0"/>
            </w:tcBorders>
            <w:shd w:val="clear" w:color="auto" w:fill="auto"/>
            <w:vAlign w:val="center"/>
          </w:tcPr>
          <w:p w14:paraId="49B643B6">
            <w:pPr>
              <w:widowControl/>
              <w:jc w:val="center"/>
              <w:rPr>
                <w:rFonts w:ascii="宋体" w:hAnsi="宋体" w:cs="宋体"/>
                <w:color w:val="000000"/>
                <w:kern w:val="0"/>
                <w:sz w:val="18"/>
                <w:szCs w:val="18"/>
              </w:rPr>
            </w:pPr>
            <w:r>
              <w:rPr>
                <w:rFonts w:hint="eastAsia" w:ascii="宋体" w:hAnsi="宋体" w:cs="宋体"/>
                <w:color w:val="000000"/>
                <w:kern w:val="0"/>
                <w:sz w:val="18"/>
                <w:szCs w:val="18"/>
              </w:rPr>
              <w:t>66.90</w:t>
            </w:r>
          </w:p>
        </w:tc>
        <w:tc>
          <w:tcPr>
            <w:tcW w:w="1037" w:type="dxa"/>
            <w:tcBorders>
              <w:top w:val="nil"/>
              <w:left w:val="nil"/>
              <w:bottom w:val="single" w:color="000000" w:sz="4" w:space="0"/>
              <w:right w:val="single" w:color="000000" w:sz="4" w:space="0"/>
            </w:tcBorders>
            <w:shd w:val="clear" w:color="auto" w:fill="auto"/>
            <w:vAlign w:val="center"/>
          </w:tcPr>
          <w:p w14:paraId="459C3E6D">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92" w:type="dxa"/>
            <w:tcBorders>
              <w:top w:val="nil"/>
              <w:left w:val="nil"/>
              <w:bottom w:val="single" w:color="000000" w:sz="4" w:space="0"/>
              <w:right w:val="single" w:color="000000" w:sz="4" w:space="0"/>
            </w:tcBorders>
            <w:shd w:val="clear" w:color="auto" w:fill="auto"/>
            <w:vAlign w:val="center"/>
          </w:tcPr>
          <w:p w14:paraId="0B5093FD">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92" w:type="dxa"/>
            <w:tcBorders>
              <w:top w:val="nil"/>
              <w:left w:val="nil"/>
              <w:bottom w:val="single" w:color="000000" w:sz="4" w:space="0"/>
              <w:right w:val="single" w:color="000000" w:sz="4" w:space="0"/>
            </w:tcBorders>
            <w:shd w:val="clear" w:color="auto" w:fill="auto"/>
            <w:vAlign w:val="center"/>
          </w:tcPr>
          <w:p w14:paraId="281A4FFB">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87" w:type="dxa"/>
            <w:vMerge w:val="restart"/>
            <w:tcBorders>
              <w:top w:val="nil"/>
              <w:left w:val="single" w:color="000000" w:sz="4" w:space="0"/>
              <w:bottom w:val="single" w:color="000000" w:sz="4" w:space="0"/>
              <w:right w:val="single" w:color="000000" w:sz="4" w:space="0"/>
            </w:tcBorders>
            <w:shd w:val="clear" w:color="auto" w:fill="auto"/>
            <w:vAlign w:val="center"/>
          </w:tcPr>
          <w:p w14:paraId="452C8F19">
            <w:pPr>
              <w:widowControl/>
              <w:jc w:val="left"/>
              <w:rPr>
                <w:rFonts w:ascii="黑体" w:hAnsi="黑体" w:eastAsia="黑体" w:cs="宋体"/>
                <w:i/>
                <w:iCs/>
                <w:color w:val="000000"/>
                <w:kern w:val="0"/>
                <w:sz w:val="18"/>
                <w:szCs w:val="18"/>
              </w:rPr>
            </w:pPr>
            <w:r>
              <w:rPr>
                <w:rFonts w:hint="eastAsia" w:ascii="微软雅黑" w:hAnsi="微软雅黑" w:eastAsia="微软雅黑" w:cs="微软雅黑"/>
                <w:i/>
                <w:iCs/>
                <w:color w:val="000000"/>
                <w:kern w:val="0"/>
                <w:sz w:val="18"/>
                <w:szCs w:val="18"/>
              </w:rPr>
              <w:t>　</w:t>
            </w:r>
          </w:p>
        </w:tc>
      </w:tr>
      <w:tr w14:paraId="655B6B3E">
        <w:tblPrEx>
          <w:tblCellMar>
            <w:top w:w="0" w:type="dxa"/>
            <w:left w:w="108" w:type="dxa"/>
            <w:bottom w:w="0" w:type="dxa"/>
            <w:right w:w="108" w:type="dxa"/>
          </w:tblCellMar>
        </w:tblPrEx>
        <w:trPr>
          <w:gridAfter w:val="1"/>
          <w:wAfter w:w="11" w:type="dxa"/>
          <w:trHeight w:val="506" w:hRule="atLeast"/>
        </w:trPr>
        <w:tc>
          <w:tcPr>
            <w:tcW w:w="803" w:type="dxa"/>
            <w:vMerge w:val="continue"/>
            <w:tcBorders>
              <w:top w:val="nil"/>
              <w:left w:val="single" w:color="000000" w:sz="4" w:space="0"/>
              <w:bottom w:val="single" w:color="000000" w:sz="4" w:space="0"/>
              <w:right w:val="single" w:color="000000" w:sz="4" w:space="0"/>
            </w:tcBorders>
            <w:vAlign w:val="center"/>
          </w:tcPr>
          <w:p w14:paraId="2BE35520">
            <w:pPr>
              <w:widowControl/>
              <w:jc w:val="left"/>
              <w:rPr>
                <w:rFonts w:ascii="宋体" w:hAnsi="宋体" w:cs="宋体"/>
                <w:color w:val="000000"/>
                <w:kern w:val="0"/>
                <w:sz w:val="18"/>
                <w:szCs w:val="18"/>
              </w:rPr>
            </w:pPr>
          </w:p>
        </w:tc>
        <w:tc>
          <w:tcPr>
            <w:tcW w:w="804" w:type="dxa"/>
            <w:tcBorders>
              <w:top w:val="nil"/>
              <w:left w:val="nil"/>
              <w:bottom w:val="single" w:color="000000" w:sz="4" w:space="0"/>
              <w:right w:val="single" w:color="000000" w:sz="4" w:space="0"/>
            </w:tcBorders>
            <w:shd w:val="clear" w:color="auto" w:fill="auto"/>
            <w:vAlign w:val="center"/>
          </w:tcPr>
          <w:p w14:paraId="740816F1">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108" w:type="dxa"/>
            <w:tcBorders>
              <w:top w:val="nil"/>
              <w:left w:val="nil"/>
              <w:bottom w:val="single" w:color="000000" w:sz="4" w:space="0"/>
              <w:right w:val="single" w:color="000000" w:sz="4" w:space="0"/>
            </w:tcBorders>
            <w:shd w:val="clear" w:color="auto" w:fill="auto"/>
            <w:vAlign w:val="center"/>
          </w:tcPr>
          <w:p w14:paraId="7A826819">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2" w:type="dxa"/>
            <w:tcBorders>
              <w:top w:val="nil"/>
              <w:left w:val="nil"/>
              <w:bottom w:val="single" w:color="000000" w:sz="4" w:space="0"/>
              <w:right w:val="single" w:color="000000" w:sz="4" w:space="0"/>
            </w:tcBorders>
            <w:shd w:val="clear" w:color="auto" w:fill="auto"/>
            <w:vAlign w:val="center"/>
          </w:tcPr>
          <w:p w14:paraId="34FC6BF6">
            <w:pPr>
              <w:widowControl/>
              <w:jc w:val="center"/>
              <w:rPr>
                <w:rFonts w:ascii="宋体" w:hAnsi="宋体" w:cs="宋体"/>
                <w:color w:val="000000"/>
                <w:kern w:val="0"/>
                <w:sz w:val="18"/>
                <w:szCs w:val="18"/>
              </w:rPr>
            </w:pPr>
            <w:r>
              <w:rPr>
                <w:rFonts w:hint="eastAsia" w:ascii="宋体" w:hAnsi="宋体" w:cs="宋体"/>
                <w:color w:val="000000"/>
                <w:kern w:val="0"/>
                <w:sz w:val="18"/>
                <w:szCs w:val="18"/>
              </w:rPr>
              <w:t>66.90</w:t>
            </w:r>
          </w:p>
        </w:tc>
        <w:tc>
          <w:tcPr>
            <w:tcW w:w="1894" w:type="dxa"/>
            <w:gridSpan w:val="3"/>
            <w:tcBorders>
              <w:top w:val="single" w:color="000000" w:sz="4" w:space="0"/>
              <w:left w:val="nil"/>
              <w:bottom w:val="single" w:color="000000" w:sz="4" w:space="0"/>
              <w:right w:val="single" w:color="000000" w:sz="4" w:space="0"/>
            </w:tcBorders>
            <w:shd w:val="clear" w:color="auto" w:fill="auto"/>
            <w:vAlign w:val="center"/>
          </w:tcPr>
          <w:p w14:paraId="4279518D">
            <w:pPr>
              <w:widowControl/>
              <w:jc w:val="center"/>
              <w:rPr>
                <w:rFonts w:ascii="宋体" w:hAnsi="宋体" w:cs="宋体"/>
                <w:color w:val="000000"/>
                <w:kern w:val="0"/>
                <w:sz w:val="18"/>
                <w:szCs w:val="18"/>
              </w:rPr>
            </w:pPr>
            <w:r>
              <w:rPr>
                <w:rFonts w:hint="eastAsia" w:ascii="宋体" w:hAnsi="宋体" w:cs="宋体"/>
                <w:color w:val="000000"/>
                <w:kern w:val="0"/>
                <w:sz w:val="18"/>
                <w:szCs w:val="18"/>
              </w:rPr>
              <w:t>66.90</w:t>
            </w:r>
          </w:p>
        </w:tc>
        <w:tc>
          <w:tcPr>
            <w:tcW w:w="1037" w:type="dxa"/>
            <w:tcBorders>
              <w:top w:val="nil"/>
              <w:left w:val="nil"/>
              <w:bottom w:val="single" w:color="000000" w:sz="4" w:space="0"/>
              <w:right w:val="single" w:color="000000" w:sz="4" w:space="0"/>
            </w:tcBorders>
            <w:shd w:val="clear" w:color="auto" w:fill="auto"/>
            <w:vAlign w:val="center"/>
          </w:tcPr>
          <w:p w14:paraId="63A49598">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92" w:type="dxa"/>
            <w:tcBorders>
              <w:top w:val="nil"/>
              <w:left w:val="nil"/>
              <w:bottom w:val="single" w:color="000000" w:sz="4" w:space="0"/>
              <w:right w:val="single" w:color="000000" w:sz="4" w:space="0"/>
            </w:tcBorders>
            <w:shd w:val="clear" w:color="auto" w:fill="auto"/>
            <w:vAlign w:val="center"/>
          </w:tcPr>
          <w:p w14:paraId="05B6D0D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2" w:type="dxa"/>
            <w:tcBorders>
              <w:top w:val="nil"/>
              <w:left w:val="nil"/>
              <w:bottom w:val="single" w:color="000000" w:sz="4" w:space="0"/>
              <w:right w:val="single" w:color="000000" w:sz="4" w:space="0"/>
            </w:tcBorders>
            <w:shd w:val="clear" w:color="auto" w:fill="auto"/>
            <w:vAlign w:val="center"/>
          </w:tcPr>
          <w:p w14:paraId="09C3AFF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7" w:type="dxa"/>
            <w:vMerge w:val="continue"/>
            <w:tcBorders>
              <w:top w:val="nil"/>
              <w:left w:val="single" w:color="000000" w:sz="4" w:space="0"/>
              <w:bottom w:val="single" w:color="000000" w:sz="4" w:space="0"/>
              <w:right w:val="single" w:color="000000" w:sz="4" w:space="0"/>
            </w:tcBorders>
            <w:vAlign w:val="center"/>
          </w:tcPr>
          <w:p w14:paraId="66D26D64">
            <w:pPr>
              <w:widowControl/>
              <w:jc w:val="left"/>
              <w:rPr>
                <w:rFonts w:ascii="黑体" w:hAnsi="黑体" w:eastAsia="黑体" w:cs="宋体"/>
                <w:i/>
                <w:iCs/>
                <w:color w:val="000000"/>
                <w:kern w:val="0"/>
                <w:sz w:val="18"/>
                <w:szCs w:val="18"/>
              </w:rPr>
            </w:pPr>
          </w:p>
        </w:tc>
      </w:tr>
      <w:tr w14:paraId="4D322080">
        <w:tblPrEx>
          <w:tblCellMar>
            <w:top w:w="0" w:type="dxa"/>
            <w:left w:w="108" w:type="dxa"/>
            <w:bottom w:w="0" w:type="dxa"/>
            <w:right w:w="108" w:type="dxa"/>
          </w:tblCellMar>
        </w:tblPrEx>
        <w:trPr>
          <w:gridAfter w:val="1"/>
          <w:wAfter w:w="11" w:type="dxa"/>
          <w:trHeight w:val="506" w:hRule="atLeast"/>
        </w:trPr>
        <w:tc>
          <w:tcPr>
            <w:tcW w:w="803" w:type="dxa"/>
            <w:vMerge w:val="continue"/>
            <w:tcBorders>
              <w:top w:val="nil"/>
              <w:left w:val="single" w:color="000000" w:sz="4" w:space="0"/>
              <w:bottom w:val="single" w:color="000000" w:sz="4" w:space="0"/>
              <w:right w:val="single" w:color="000000" w:sz="4" w:space="0"/>
            </w:tcBorders>
            <w:vAlign w:val="center"/>
          </w:tcPr>
          <w:p w14:paraId="0459BB87">
            <w:pPr>
              <w:widowControl/>
              <w:jc w:val="left"/>
              <w:rPr>
                <w:rFonts w:ascii="宋体" w:hAnsi="宋体" w:cs="宋体"/>
                <w:color w:val="000000"/>
                <w:kern w:val="0"/>
                <w:sz w:val="18"/>
                <w:szCs w:val="18"/>
              </w:rPr>
            </w:pPr>
          </w:p>
        </w:tc>
        <w:tc>
          <w:tcPr>
            <w:tcW w:w="804" w:type="dxa"/>
            <w:tcBorders>
              <w:top w:val="nil"/>
              <w:left w:val="nil"/>
              <w:bottom w:val="single" w:color="000000" w:sz="4" w:space="0"/>
              <w:right w:val="single" w:color="000000" w:sz="4" w:space="0"/>
            </w:tcBorders>
            <w:shd w:val="clear" w:color="auto" w:fill="auto"/>
            <w:vAlign w:val="center"/>
          </w:tcPr>
          <w:p w14:paraId="2B376458">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108" w:type="dxa"/>
            <w:tcBorders>
              <w:top w:val="nil"/>
              <w:left w:val="nil"/>
              <w:bottom w:val="single" w:color="000000" w:sz="4" w:space="0"/>
              <w:right w:val="single" w:color="000000" w:sz="4" w:space="0"/>
            </w:tcBorders>
            <w:shd w:val="clear" w:color="auto" w:fill="auto"/>
            <w:vAlign w:val="center"/>
          </w:tcPr>
          <w:p w14:paraId="122010F9">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2" w:type="dxa"/>
            <w:tcBorders>
              <w:top w:val="nil"/>
              <w:left w:val="nil"/>
              <w:bottom w:val="single" w:color="000000" w:sz="4" w:space="0"/>
              <w:right w:val="single" w:color="000000" w:sz="4" w:space="0"/>
            </w:tcBorders>
            <w:shd w:val="clear" w:color="auto" w:fill="auto"/>
            <w:vAlign w:val="center"/>
          </w:tcPr>
          <w:p w14:paraId="5E2FE3C3">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894" w:type="dxa"/>
            <w:gridSpan w:val="3"/>
            <w:tcBorders>
              <w:top w:val="single" w:color="000000" w:sz="4" w:space="0"/>
              <w:left w:val="nil"/>
              <w:bottom w:val="single" w:color="000000" w:sz="4" w:space="0"/>
              <w:right w:val="single" w:color="000000" w:sz="4" w:space="0"/>
            </w:tcBorders>
            <w:shd w:val="clear" w:color="auto" w:fill="auto"/>
            <w:vAlign w:val="center"/>
          </w:tcPr>
          <w:p w14:paraId="34110D7B">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37" w:type="dxa"/>
            <w:tcBorders>
              <w:top w:val="nil"/>
              <w:left w:val="nil"/>
              <w:bottom w:val="single" w:color="000000" w:sz="4" w:space="0"/>
              <w:right w:val="single" w:color="000000" w:sz="4" w:space="0"/>
            </w:tcBorders>
            <w:shd w:val="clear" w:color="auto" w:fill="auto"/>
            <w:vAlign w:val="center"/>
          </w:tcPr>
          <w:p w14:paraId="6F23228D">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92" w:type="dxa"/>
            <w:tcBorders>
              <w:top w:val="nil"/>
              <w:left w:val="nil"/>
              <w:bottom w:val="single" w:color="000000" w:sz="4" w:space="0"/>
              <w:right w:val="single" w:color="000000" w:sz="4" w:space="0"/>
            </w:tcBorders>
            <w:shd w:val="clear" w:color="auto" w:fill="auto"/>
            <w:vAlign w:val="center"/>
          </w:tcPr>
          <w:p w14:paraId="3E4D927A">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2" w:type="dxa"/>
            <w:tcBorders>
              <w:top w:val="nil"/>
              <w:left w:val="nil"/>
              <w:bottom w:val="single" w:color="000000" w:sz="4" w:space="0"/>
              <w:right w:val="single" w:color="000000" w:sz="4" w:space="0"/>
            </w:tcBorders>
            <w:shd w:val="clear" w:color="auto" w:fill="auto"/>
            <w:vAlign w:val="center"/>
          </w:tcPr>
          <w:p w14:paraId="36C778A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7" w:type="dxa"/>
            <w:vMerge w:val="continue"/>
            <w:tcBorders>
              <w:top w:val="nil"/>
              <w:left w:val="single" w:color="000000" w:sz="4" w:space="0"/>
              <w:bottom w:val="single" w:color="000000" w:sz="4" w:space="0"/>
              <w:right w:val="single" w:color="000000" w:sz="4" w:space="0"/>
            </w:tcBorders>
            <w:vAlign w:val="center"/>
          </w:tcPr>
          <w:p w14:paraId="28B68ECD">
            <w:pPr>
              <w:widowControl/>
              <w:jc w:val="left"/>
              <w:rPr>
                <w:rFonts w:ascii="黑体" w:hAnsi="黑体" w:eastAsia="黑体" w:cs="宋体"/>
                <w:i/>
                <w:iCs/>
                <w:color w:val="000000"/>
                <w:kern w:val="0"/>
                <w:sz w:val="18"/>
                <w:szCs w:val="18"/>
              </w:rPr>
            </w:pPr>
          </w:p>
        </w:tc>
      </w:tr>
      <w:tr w14:paraId="467939ED">
        <w:tblPrEx>
          <w:tblCellMar>
            <w:top w:w="0" w:type="dxa"/>
            <w:left w:w="108" w:type="dxa"/>
            <w:bottom w:w="0" w:type="dxa"/>
            <w:right w:w="108" w:type="dxa"/>
          </w:tblCellMar>
        </w:tblPrEx>
        <w:trPr>
          <w:gridAfter w:val="1"/>
          <w:wAfter w:w="11" w:type="dxa"/>
          <w:trHeight w:val="506" w:hRule="atLeast"/>
        </w:trPr>
        <w:tc>
          <w:tcPr>
            <w:tcW w:w="803" w:type="dxa"/>
            <w:vMerge w:val="continue"/>
            <w:tcBorders>
              <w:top w:val="nil"/>
              <w:left w:val="single" w:color="000000" w:sz="4" w:space="0"/>
              <w:bottom w:val="single" w:color="000000" w:sz="4" w:space="0"/>
              <w:right w:val="single" w:color="000000" w:sz="4" w:space="0"/>
            </w:tcBorders>
            <w:vAlign w:val="center"/>
          </w:tcPr>
          <w:p w14:paraId="0613FC2C">
            <w:pPr>
              <w:widowControl/>
              <w:jc w:val="left"/>
              <w:rPr>
                <w:rFonts w:ascii="宋体" w:hAnsi="宋体" w:cs="宋体"/>
                <w:color w:val="000000"/>
                <w:kern w:val="0"/>
                <w:sz w:val="18"/>
                <w:szCs w:val="18"/>
              </w:rPr>
            </w:pPr>
          </w:p>
        </w:tc>
        <w:tc>
          <w:tcPr>
            <w:tcW w:w="804" w:type="dxa"/>
            <w:tcBorders>
              <w:top w:val="nil"/>
              <w:left w:val="nil"/>
              <w:bottom w:val="single" w:color="000000" w:sz="4" w:space="0"/>
              <w:right w:val="single" w:color="000000" w:sz="4" w:space="0"/>
            </w:tcBorders>
            <w:shd w:val="clear" w:color="auto" w:fill="auto"/>
            <w:vAlign w:val="center"/>
          </w:tcPr>
          <w:p w14:paraId="7CE531AD">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108" w:type="dxa"/>
            <w:tcBorders>
              <w:top w:val="nil"/>
              <w:left w:val="nil"/>
              <w:bottom w:val="single" w:color="000000" w:sz="4" w:space="0"/>
              <w:right w:val="single" w:color="000000" w:sz="4" w:space="0"/>
            </w:tcBorders>
            <w:shd w:val="clear" w:color="auto" w:fill="auto"/>
            <w:vAlign w:val="center"/>
          </w:tcPr>
          <w:p w14:paraId="285153FC">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2" w:type="dxa"/>
            <w:tcBorders>
              <w:top w:val="nil"/>
              <w:left w:val="nil"/>
              <w:bottom w:val="single" w:color="000000" w:sz="4" w:space="0"/>
              <w:right w:val="single" w:color="000000" w:sz="4" w:space="0"/>
            </w:tcBorders>
            <w:shd w:val="clear" w:color="auto" w:fill="auto"/>
            <w:vAlign w:val="center"/>
          </w:tcPr>
          <w:p w14:paraId="5D78CDE8">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894" w:type="dxa"/>
            <w:gridSpan w:val="3"/>
            <w:tcBorders>
              <w:top w:val="single" w:color="000000" w:sz="4" w:space="0"/>
              <w:left w:val="nil"/>
              <w:bottom w:val="single" w:color="000000" w:sz="4" w:space="0"/>
              <w:right w:val="single" w:color="000000" w:sz="4" w:space="0"/>
            </w:tcBorders>
            <w:shd w:val="clear" w:color="auto" w:fill="auto"/>
            <w:vAlign w:val="center"/>
          </w:tcPr>
          <w:p w14:paraId="229AC7E0">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37" w:type="dxa"/>
            <w:tcBorders>
              <w:top w:val="nil"/>
              <w:left w:val="nil"/>
              <w:bottom w:val="single" w:color="000000" w:sz="4" w:space="0"/>
              <w:right w:val="single" w:color="000000" w:sz="4" w:space="0"/>
            </w:tcBorders>
            <w:shd w:val="clear" w:color="auto" w:fill="auto"/>
            <w:vAlign w:val="center"/>
          </w:tcPr>
          <w:p w14:paraId="4CC40CB5">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92" w:type="dxa"/>
            <w:tcBorders>
              <w:top w:val="nil"/>
              <w:left w:val="nil"/>
              <w:bottom w:val="single" w:color="000000" w:sz="4" w:space="0"/>
              <w:right w:val="single" w:color="000000" w:sz="4" w:space="0"/>
            </w:tcBorders>
            <w:shd w:val="clear" w:color="auto" w:fill="auto"/>
            <w:vAlign w:val="center"/>
          </w:tcPr>
          <w:p w14:paraId="4DA0FC5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2" w:type="dxa"/>
            <w:tcBorders>
              <w:top w:val="nil"/>
              <w:left w:val="nil"/>
              <w:bottom w:val="single" w:color="000000" w:sz="4" w:space="0"/>
              <w:right w:val="single" w:color="000000" w:sz="4" w:space="0"/>
            </w:tcBorders>
            <w:shd w:val="clear" w:color="auto" w:fill="auto"/>
            <w:vAlign w:val="center"/>
          </w:tcPr>
          <w:p w14:paraId="71EAEF26">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7" w:type="dxa"/>
            <w:vMerge w:val="continue"/>
            <w:tcBorders>
              <w:top w:val="nil"/>
              <w:left w:val="single" w:color="000000" w:sz="4" w:space="0"/>
              <w:bottom w:val="single" w:color="000000" w:sz="4" w:space="0"/>
              <w:right w:val="single" w:color="000000" w:sz="4" w:space="0"/>
            </w:tcBorders>
            <w:vAlign w:val="center"/>
          </w:tcPr>
          <w:p w14:paraId="3F4D87A8">
            <w:pPr>
              <w:widowControl/>
              <w:jc w:val="left"/>
              <w:rPr>
                <w:rFonts w:ascii="黑体" w:hAnsi="黑体" w:eastAsia="黑体" w:cs="宋体"/>
                <w:i/>
                <w:iCs/>
                <w:color w:val="000000"/>
                <w:kern w:val="0"/>
                <w:sz w:val="18"/>
                <w:szCs w:val="18"/>
              </w:rPr>
            </w:pPr>
          </w:p>
        </w:tc>
      </w:tr>
      <w:tr w14:paraId="457194C4">
        <w:tblPrEx>
          <w:tblCellMar>
            <w:top w:w="0" w:type="dxa"/>
            <w:left w:w="108" w:type="dxa"/>
            <w:bottom w:w="0" w:type="dxa"/>
            <w:right w:w="108" w:type="dxa"/>
          </w:tblCellMar>
        </w:tblPrEx>
        <w:trPr>
          <w:gridAfter w:val="1"/>
          <w:wAfter w:w="11" w:type="dxa"/>
          <w:trHeight w:val="506" w:hRule="atLeast"/>
        </w:trPr>
        <w:tc>
          <w:tcPr>
            <w:tcW w:w="803" w:type="dxa"/>
            <w:vMerge w:val="continue"/>
            <w:tcBorders>
              <w:top w:val="nil"/>
              <w:left w:val="single" w:color="000000" w:sz="4" w:space="0"/>
              <w:bottom w:val="single" w:color="000000" w:sz="4" w:space="0"/>
              <w:right w:val="single" w:color="000000" w:sz="4" w:space="0"/>
            </w:tcBorders>
            <w:vAlign w:val="center"/>
          </w:tcPr>
          <w:p w14:paraId="1133F447">
            <w:pPr>
              <w:widowControl/>
              <w:jc w:val="left"/>
              <w:rPr>
                <w:rFonts w:ascii="宋体" w:hAnsi="宋体" w:cs="宋体"/>
                <w:color w:val="000000"/>
                <w:kern w:val="0"/>
                <w:sz w:val="18"/>
                <w:szCs w:val="18"/>
              </w:rPr>
            </w:pPr>
          </w:p>
        </w:tc>
        <w:tc>
          <w:tcPr>
            <w:tcW w:w="804" w:type="dxa"/>
            <w:tcBorders>
              <w:top w:val="nil"/>
              <w:left w:val="nil"/>
              <w:bottom w:val="single" w:color="000000" w:sz="4" w:space="0"/>
              <w:right w:val="single" w:color="000000" w:sz="4" w:space="0"/>
            </w:tcBorders>
            <w:shd w:val="clear" w:color="auto" w:fill="auto"/>
            <w:vAlign w:val="center"/>
          </w:tcPr>
          <w:p w14:paraId="1FDC54F5">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108" w:type="dxa"/>
            <w:tcBorders>
              <w:top w:val="nil"/>
              <w:left w:val="nil"/>
              <w:bottom w:val="single" w:color="000000" w:sz="4" w:space="0"/>
              <w:right w:val="single" w:color="000000" w:sz="4" w:space="0"/>
            </w:tcBorders>
            <w:shd w:val="clear" w:color="auto" w:fill="auto"/>
            <w:vAlign w:val="center"/>
          </w:tcPr>
          <w:p w14:paraId="052A7EB7">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12" w:type="dxa"/>
            <w:tcBorders>
              <w:top w:val="nil"/>
              <w:left w:val="nil"/>
              <w:bottom w:val="single" w:color="000000" w:sz="4" w:space="0"/>
              <w:right w:val="single" w:color="000000" w:sz="4" w:space="0"/>
            </w:tcBorders>
            <w:shd w:val="clear" w:color="auto" w:fill="auto"/>
            <w:vAlign w:val="center"/>
          </w:tcPr>
          <w:p w14:paraId="4C132726">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894" w:type="dxa"/>
            <w:gridSpan w:val="3"/>
            <w:tcBorders>
              <w:top w:val="single" w:color="000000" w:sz="4" w:space="0"/>
              <w:left w:val="nil"/>
              <w:bottom w:val="single" w:color="000000" w:sz="4" w:space="0"/>
              <w:right w:val="single" w:color="000000" w:sz="4" w:space="0"/>
            </w:tcBorders>
            <w:shd w:val="clear" w:color="auto" w:fill="auto"/>
            <w:vAlign w:val="center"/>
          </w:tcPr>
          <w:p w14:paraId="383B0813">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37" w:type="dxa"/>
            <w:tcBorders>
              <w:top w:val="nil"/>
              <w:left w:val="nil"/>
              <w:bottom w:val="single" w:color="000000" w:sz="4" w:space="0"/>
              <w:right w:val="single" w:color="000000" w:sz="4" w:space="0"/>
            </w:tcBorders>
            <w:shd w:val="clear" w:color="auto" w:fill="auto"/>
            <w:vAlign w:val="center"/>
          </w:tcPr>
          <w:p w14:paraId="7DF3B990">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92" w:type="dxa"/>
            <w:tcBorders>
              <w:top w:val="nil"/>
              <w:left w:val="nil"/>
              <w:bottom w:val="single" w:color="000000" w:sz="4" w:space="0"/>
              <w:right w:val="single" w:color="000000" w:sz="4" w:space="0"/>
            </w:tcBorders>
            <w:shd w:val="clear" w:color="auto" w:fill="auto"/>
            <w:vAlign w:val="center"/>
          </w:tcPr>
          <w:p w14:paraId="3A8CFC37">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2" w:type="dxa"/>
            <w:tcBorders>
              <w:top w:val="nil"/>
              <w:left w:val="nil"/>
              <w:bottom w:val="single" w:color="000000" w:sz="4" w:space="0"/>
              <w:right w:val="single" w:color="000000" w:sz="4" w:space="0"/>
            </w:tcBorders>
            <w:shd w:val="clear" w:color="auto" w:fill="auto"/>
            <w:vAlign w:val="center"/>
          </w:tcPr>
          <w:p w14:paraId="0144F451">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7" w:type="dxa"/>
            <w:vMerge w:val="continue"/>
            <w:tcBorders>
              <w:top w:val="nil"/>
              <w:left w:val="single" w:color="000000" w:sz="4" w:space="0"/>
              <w:bottom w:val="single" w:color="000000" w:sz="4" w:space="0"/>
              <w:right w:val="single" w:color="000000" w:sz="4" w:space="0"/>
            </w:tcBorders>
            <w:vAlign w:val="center"/>
          </w:tcPr>
          <w:p w14:paraId="75D54576">
            <w:pPr>
              <w:widowControl/>
              <w:jc w:val="left"/>
              <w:rPr>
                <w:rFonts w:ascii="黑体" w:hAnsi="黑体" w:eastAsia="黑体" w:cs="宋体"/>
                <w:i/>
                <w:iCs/>
                <w:color w:val="000000"/>
                <w:kern w:val="0"/>
                <w:sz w:val="18"/>
                <w:szCs w:val="18"/>
              </w:rPr>
            </w:pPr>
          </w:p>
        </w:tc>
      </w:tr>
      <w:tr w14:paraId="5DABE041">
        <w:tblPrEx>
          <w:tblCellMar>
            <w:top w:w="0" w:type="dxa"/>
            <w:left w:w="108" w:type="dxa"/>
            <w:bottom w:w="0" w:type="dxa"/>
            <w:right w:w="108" w:type="dxa"/>
          </w:tblCellMar>
        </w:tblPrEx>
        <w:trPr>
          <w:gridAfter w:val="1"/>
          <w:wAfter w:w="12" w:type="dxa"/>
          <w:trHeight w:val="745" w:hRule="atLeast"/>
        </w:trPr>
        <w:tc>
          <w:tcPr>
            <w:tcW w:w="803" w:type="dxa"/>
            <w:vMerge w:val="restart"/>
            <w:tcBorders>
              <w:top w:val="nil"/>
              <w:left w:val="single" w:color="000000" w:sz="4" w:space="0"/>
              <w:bottom w:val="single" w:color="000000" w:sz="4" w:space="0"/>
              <w:right w:val="single" w:color="000000" w:sz="4" w:space="0"/>
            </w:tcBorders>
            <w:shd w:val="clear" w:color="auto" w:fill="auto"/>
            <w:vAlign w:val="center"/>
          </w:tcPr>
          <w:p w14:paraId="6F356A16">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804" w:type="dxa"/>
            <w:tcBorders>
              <w:top w:val="nil"/>
              <w:left w:val="nil"/>
              <w:bottom w:val="single" w:color="000000" w:sz="4" w:space="0"/>
              <w:right w:val="single" w:color="000000" w:sz="4" w:space="0"/>
            </w:tcBorders>
            <w:shd w:val="clear" w:color="auto" w:fill="auto"/>
            <w:vAlign w:val="center"/>
          </w:tcPr>
          <w:p w14:paraId="7E5691C2">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108" w:type="dxa"/>
            <w:tcBorders>
              <w:top w:val="nil"/>
              <w:left w:val="nil"/>
              <w:bottom w:val="single" w:color="000000" w:sz="4" w:space="0"/>
              <w:right w:val="single" w:color="000000" w:sz="4" w:space="0"/>
            </w:tcBorders>
            <w:shd w:val="clear" w:color="auto" w:fill="auto"/>
            <w:vAlign w:val="center"/>
          </w:tcPr>
          <w:p w14:paraId="3CB95967">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1112" w:type="dxa"/>
            <w:tcBorders>
              <w:top w:val="nil"/>
              <w:left w:val="nil"/>
              <w:bottom w:val="single" w:color="000000" w:sz="4" w:space="0"/>
              <w:right w:val="single" w:color="000000" w:sz="4" w:space="0"/>
            </w:tcBorders>
            <w:shd w:val="clear" w:color="auto" w:fill="auto"/>
            <w:vAlign w:val="center"/>
          </w:tcPr>
          <w:p w14:paraId="5E1ADFE8">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32" w:type="dxa"/>
            <w:tcBorders>
              <w:top w:val="nil"/>
              <w:left w:val="nil"/>
              <w:bottom w:val="single" w:color="000000" w:sz="4" w:space="0"/>
              <w:right w:val="single" w:color="000000" w:sz="4" w:space="0"/>
            </w:tcBorders>
            <w:shd w:val="clear" w:color="auto" w:fill="auto"/>
            <w:vAlign w:val="center"/>
          </w:tcPr>
          <w:p w14:paraId="1BB2CDE6">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630" w:type="dxa"/>
            <w:tcBorders>
              <w:top w:val="nil"/>
              <w:left w:val="nil"/>
              <w:bottom w:val="single" w:color="000000" w:sz="4" w:space="0"/>
              <w:right w:val="single" w:color="000000" w:sz="4" w:space="0"/>
            </w:tcBorders>
            <w:shd w:val="clear" w:color="auto" w:fill="auto"/>
            <w:vAlign w:val="center"/>
          </w:tcPr>
          <w:p w14:paraId="6B86FFEE">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631" w:type="dxa"/>
            <w:tcBorders>
              <w:top w:val="nil"/>
              <w:left w:val="nil"/>
              <w:bottom w:val="single" w:color="000000" w:sz="4" w:space="0"/>
              <w:right w:val="single" w:color="000000" w:sz="4" w:space="0"/>
            </w:tcBorders>
            <w:shd w:val="clear" w:color="auto" w:fill="auto"/>
            <w:vAlign w:val="center"/>
          </w:tcPr>
          <w:p w14:paraId="4DAB2216">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037" w:type="dxa"/>
            <w:tcBorders>
              <w:top w:val="nil"/>
              <w:left w:val="nil"/>
              <w:bottom w:val="single" w:color="000000" w:sz="4" w:space="0"/>
              <w:right w:val="single" w:color="000000" w:sz="4" w:space="0"/>
            </w:tcBorders>
            <w:shd w:val="clear" w:color="auto" w:fill="auto"/>
            <w:vAlign w:val="center"/>
          </w:tcPr>
          <w:p w14:paraId="11DEAB14">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892" w:type="dxa"/>
            <w:tcBorders>
              <w:top w:val="nil"/>
              <w:left w:val="nil"/>
              <w:bottom w:val="single" w:color="000000" w:sz="4" w:space="0"/>
              <w:right w:val="single" w:color="000000" w:sz="4" w:space="0"/>
            </w:tcBorders>
            <w:shd w:val="clear" w:color="auto" w:fill="auto"/>
            <w:vAlign w:val="center"/>
          </w:tcPr>
          <w:p w14:paraId="0E137B27">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92" w:type="dxa"/>
            <w:tcBorders>
              <w:top w:val="nil"/>
              <w:left w:val="nil"/>
              <w:bottom w:val="single" w:color="000000" w:sz="4" w:space="0"/>
              <w:right w:val="single" w:color="000000" w:sz="4" w:space="0"/>
            </w:tcBorders>
            <w:shd w:val="clear" w:color="auto" w:fill="auto"/>
            <w:vAlign w:val="center"/>
          </w:tcPr>
          <w:p w14:paraId="24C89E8E">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87" w:type="dxa"/>
            <w:tcBorders>
              <w:top w:val="nil"/>
              <w:left w:val="nil"/>
              <w:bottom w:val="single" w:color="000000" w:sz="4" w:space="0"/>
              <w:right w:val="single" w:color="000000" w:sz="4" w:space="0"/>
            </w:tcBorders>
            <w:shd w:val="clear" w:color="auto" w:fill="auto"/>
            <w:vAlign w:val="center"/>
          </w:tcPr>
          <w:p w14:paraId="5752F7EE">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14:paraId="14B9EC23">
        <w:tblPrEx>
          <w:tblCellMar>
            <w:top w:w="0" w:type="dxa"/>
            <w:left w:w="108" w:type="dxa"/>
            <w:bottom w:w="0" w:type="dxa"/>
            <w:right w:w="108" w:type="dxa"/>
          </w:tblCellMar>
        </w:tblPrEx>
        <w:trPr>
          <w:gridAfter w:val="1"/>
          <w:wAfter w:w="12" w:type="dxa"/>
          <w:trHeight w:val="387" w:hRule="atLeast"/>
        </w:trPr>
        <w:tc>
          <w:tcPr>
            <w:tcW w:w="803" w:type="dxa"/>
            <w:vMerge w:val="continue"/>
            <w:tcBorders>
              <w:top w:val="nil"/>
              <w:left w:val="single" w:color="000000" w:sz="4" w:space="0"/>
              <w:bottom w:val="single" w:color="000000" w:sz="4" w:space="0"/>
              <w:right w:val="single" w:color="000000" w:sz="4" w:space="0"/>
            </w:tcBorders>
            <w:vAlign w:val="center"/>
          </w:tcPr>
          <w:p w14:paraId="0E182587">
            <w:pPr>
              <w:widowControl/>
              <w:jc w:val="left"/>
              <w:rPr>
                <w:rFonts w:ascii="宋体" w:hAnsi="宋体" w:cs="宋体"/>
                <w:color w:val="000000"/>
                <w:kern w:val="0"/>
                <w:sz w:val="18"/>
                <w:szCs w:val="18"/>
              </w:rPr>
            </w:pPr>
          </w:p>
        </w:tc>
        <w:tc>
          <w:tcPr>
            <w:tcW w:w="804" w:type="dxa"/>
            <w:tcBorders>
              <w:top w:val="nil"/>
              <w:left w:val="nil"/>
              <w:bottom w:val="single" w:color="000000" w:sz="4" w:space="0"/>
              <w:right w:val="single" w:color="000000" w:sz="4" w:space="0"/>
            </w:tcBorders>
            <w:shd w:val="clear" w:color="auto" w:fill="auto"/>
            <w:vAlign w:val="center"/>
          </w:tcPr>
          <w:p w14:paraId="34B55628">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08" w:type="dxa"/>
            <w:tcBorders>
              <w:top w:val="nil"/>
              <w:left w:val="nil"/>
              <w:bottom w:val="single" w:color="000000" w:sz="4" w:space="0"/>
              <w:right w:val="single" w:color="000000" w:sz="4" w:space="0"/>
            </w:tcBorders>
            <w:shd w:val="clear" w:color="auto" w:fill="auto"/>
            <w:vAlign w:val="center"/>
          </w:tcPr>
          <w:p w14:paraId="2180F99B">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12" w:type="dxa"/>
            <w:tcBorders>
              <w:top w:val="nil"/>
              <w:left w:val="nil"/>
              <w:bottom w:val="single" w:color="000000" w:sz="4" w:space="0"/>
              <w:right w:val="single" w:color="000000" w:sz="4" w:space="0"/>
            </w:tcBorders>
            <w:shd w:val="clear" w:color="auto" w:fill="auto"/>
            <w:vAlign w:val="center"/>
          </w:tcPr>
          <w:p w14:paraId="5148185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32" w:type="dxa"/>
            <w:tcBorders>
              <w:top w:val="nil"/>
              <w:left w:val="nil"/>
              <w:bottom w:val="single" w:color="000000" w:sz="4" w:space="0"/>
              <w:right w:val="single" w:color="000000" w:sz="4" w:space="0"/>
            </w:tcBorders>
            <w:shd w:val="clear" w:color="auto" w:fill="auto"/>
            <w:vAlign w:val="center"/>
          </w:tcPr>
          <w:p w14:paraId="6536914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30" w:type="dxa"/>
            <w:tcBorders>
              <w:top w:val="nil"/>
              <w:left w:val="nil"/>
              <w:bottom w:val="single" w:color="000000" w:sz="4" w:space="0"/>
              <w:right w:val="single" w:color="000000" w:sz="4" w:space="0"/>
            </w:tcBorders>
            <w:shd w:val="clear" w:color="auto" w:fill="auto"/>
            <w:vAlign w:val="center"/>
          </w:tcPr>
          <w:p w14:paraId="55DFC8B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31" w:type="dxa"/>
            <w:tcBorders>
              <w:top w:val="nil"/>
              <w:left w:val="nil"/>
              <w:bottom w:val="single" w:color="000000" w:sz="4" w:space="0"/>
              <w:right w:val="single" w:color="000000" w:sz="4" w:space="0"/>
            </w:tcBorders>
            <w:shd w:val="clear" w:color="auto" w:fill="auto"/>
            <w:vAlign w:val="center"/>
          </w:tcPr>
          <w:p w14:paraId="29B29C3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037" w:type="dxa"/>
            <w:tcBorders>
              <w:top w:val="nil"/>
              <w:left w:val="nil"/>
              <w:bottom w:val="single" w:color="000000" w:sz="4" w:space="0"/>
              <w:right w:val="single" w:color="000000" w:sz="4" w:space="0"/>
            </w:tcBorders>
            <w:shd w:val="clear" w:color="auto" w:fill="auto"/>
            <w:vAlign w:val="center"/>
          </w:tcPr>
          <w:p w14:paraId="419716D4">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92" w:type="dxa"/>
            <w:tcBorders>
              <w:top w:val="nil"/>
              <w:left w:val="nil"/>
              <w:bottom w:val="single" w:color="000000" w:sz="4" w:space="0"/>
              <w:right w:val="single" w:color="000000" w:sz="4" w:space="0"/>
            </w:tcBorders>
            <w:shd w:val="clear" w:color="auto" w:fill="auto"/>
            <w:vAlign w:val="center"/>
          </w:tcPr>
          <w:p w14:paraId="7CAF6A5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92" w:type="dxa"/>
            <w:tcBorders>
              <w:top w:val="nil"/>
              <w:left w:val="nil"/>
              <w:bottom w:val="single" w:color="000000" w:sz="4" w:space="0"/>
              <w:right w:val="single" w:color="000000" w:sz="4" w:space="0"/>
            </w:tcBorders>
            <w:shd w:val="clear" w:color="auto" w:fill="auto"/>
            <w:vAlign w:val="center"/>
          </w:tcPr>
          <w:p w14:paraId="0C3B876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87" w:type="dxa"/>
            <w:tcBorders>
              <w:top w:val="nil"/>
              <w:left w:val="nil"/>
              <w:bottom w:val="single" w:color="000000" w:sz="4" w:space="0"/>
              <w:right w:val="single" w:color="000000" w:sz="4" w:space="0"/>
            </w:tcBorders>
            <w:shd w:val="clear" w:color="auto" w:fill="auto"/>
            <w:vAlign w:val="center"/>
          </w:tcPr>
          <w:p w14:paraId="5C29B4E4">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1FB32340">
        <w:tblPrEx>
          <w:tblCellMar>
            <w:top w:w="0" w:type="dxa"/>
            <w:left w:w="108" w:type="dxa"/>
            <w:bottom w:w="0" w:type="dxa"/>
            <w:right w:w="108" w:type="dxa"/>
          </w:tblCellMar>
        </w:tblPrEx>
        <w:trPr>
          <w:trHeight w:val="387" w:hRule="atLeast"/>
        </w:trPr>
        <w:tc>
          <w:tcPr>
            <w:tcW w:w="676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C6EF1F7">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892" w:type="dxa"/>
            <w:tcBorders>
              <w:top w:val="nil"/>
              <w:left w:val="nil"/>
              <w:bottom w:val="single" w:color="000000" w:sz="4" w:space="0"/>
              <w:right w:val="single" w:color="000000" w:sz="4" w:space="0"/>
            </w:tcBorders>
            <w:shd w:val="clear" w:color="auto" w:fill="auto"/>
            <w:vAlign w:val="center"/>
          </w:tcPr>
          <w:p w14:paraId="54EF249A">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92" w:type="dxa"/>
            <w:tcBorders>
              <w:top w:val="nil"/>
              <w:left w:val="nil"/>
              <w:bottom w:val="single" w:color="000000" w:sz="4" w:space="0"/>
              <w:right w:val="single" w:color="000000" w:sz="4" w:space="0"/>
            </w:tcBorders>
            <w:shd w:val="clear" w:color="auto" w:fill="auto"/>
            <w:vAlign w:val="center"/>
          </w:tcPr>
          <w:p w14:paraId="709C0EB5">
            <w:pPr>
              <w:widowControl/>
              <w:jc w:val="right"/>
              <w:rPr>
                <w:rFonts w:ascii="宋体" w:hAnsi="宋体" w:cs="宋体"/>
                <w:color w:val="000000"/>
                <w:kern w:val="0"/>
                <w:sz w:val="18"/>
                <w:szCs w:val="18"/>
              </w:rPr>
            </w:pPr>
            <w:r>
              <w:rPr>
                <w:rFonts w:hint="eastAsia" w:ascii="宋体" w:hAnsi="宋体" w:cs="宋体"/>
                <w:color w:val="000000"/>
                <w:kern w:val="0"/>
                <w:sz w:val="18"/>
                <w:szCs w:val="18"/>
              </w:rPr>
              <w:t>100</w:t>
            </w:r>
          </w:p>
        </w:tc>
        <w:tc>
          <w:tcPr>
            <w:tcW w:w="893" w:type="dxa"/>
            <w:gridSpan w:val="2"/>
            <w:tcBorders>
              <w:top w:val="nil"/>
              <w:left w:val="nil"/>
              <w:bottom w:val="single" w:color="000000" w:sz="4" w:space="0"/>
              <w:right w:val="single" w:color="000000" w:sz="4" w:space="0"/>
            </w:tcBorders>
            <w:shd w:val="clear" w:color="auto" w:fill="auto"/>
            <w:vAlign w:val="center"/>
          </w:tcPr>
          <w:p w14:paraId="63E22314">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14:paraId="29D93FA7">
        <w:tblPrEx>
          <w:tblCellMar>
            <w:top w:w="0" w:type="dxa"/>
            <w:left w:w="108" w:type="dxa"/>
            <w:bottom w:w="0" w:type="dxa"/>
            <w:right w:w="108" w:type="dxa"/>
          </w:tblCellMar>
        </w:tblPrEx>
        <w:trPr>
          <w:trHeight w:val="745" w:hRule="atLeast"/>
        </w:trPr>
        <w:tc>
          <w:tcPr>
            <w:tcW w:w="803" w:type="dxa"/>
            <w:tcBorders>
              <w:top w:val="nil"/>
              <w:left w:val="single" w:color="000000" w:sz="4" w:space="0"/>
              <w:bottom w:val="single" w:color="000000" w:sz="4" w:space="0"/>
              <w:right w:val="single" w:color="000000" w:sz="4" w:space="0"/>
            </w:tcBorders>
            <w:shd w:val="clear" w:color="auto" w:fill="auto"/>
            <w:vAlign w:val="center"/>
          </w:tcPr>
          <w:p w14:paraId="781DC0C7">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8636" w:type="dxa"/>
            <w:gridSpan w:val="11"/>
            <w:tcBorders>
              <w:top w:val="single" w:color="000000" w:sz="4" w:space="0"/>
              <w:left w:val="nil"/>
              <w:bottom w:val="single" w:color="000000" w:sz="4" w:space="0"/>
              <w:right w:val="single" w:color="000000" w:sz="4" w:space="0"/>
            </w:tcBorders>
            <w:shd w:val="clear" w:color="auto" w:fill="auto"/>
            <w:vAlign w:val="center"/>
          </w:tcPr>
          <w:p w14:paraId="396EC307">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项目自评总分100分，严格按照有关项目管理和经费管理规定执行。各项预算支出顺利进行，并按计划圆满完成。</w:t>
            </w:r>
          </w:p>
        </w:tc>
      </w:tr>
      <w:tr w14:paraId="26FDCB86">
        <w:tblPrEx>
          <w:tblCellMar>
            <w:top w:w="0" w:type="dxa"/>
            <w:left w:w="108" w:type="dxa"/>
            <w:bottom w:w="0" w:type="dxa"/>
            <w:right w:w="108" w:type="dxa"/>
          </w:tblCellMar>
        </w:tblPrEx>
        <w:trPr>
          <w:trHeight w:val="387" w:hRule="atLeast"/>
        </w:trPr>
        <w:tc>
          <w:tcPr>
            <w:tcW w:w="803" w:type="dxa"/>
            <w:tcBorders>
              <w:top w:val="nil"/>
              <w:left w:val="single" w:color="000000" w:sz="4" w:space="0"/>
              <w:bottom w:val="single" w:color="000000" w:sz="4" w:space="0"/>
              <w:right w:val="single" w:color="000000" w:sz="4" w:space="0"/>
            </w:tcBorders>
            <w:shd w:val="clear" w:color="auto" w:fill="auto"/>
            <w:vAlign w:val="center"/>
          </w:tcPr>
          <w:p w14:paraId="1A756876">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8636" w:type="dxa"/>
            <w:gridSpan w:val="11"/>
            <w:tcBorders>
              <w:top w:val="single" w:color="000000" w:sz="4" w:space="0"/>
              <w:left w:val="nil"/>
              <w:bottom w:val="single" w:color="000000" w:sz="4" w:space="0"/>
              <w:right w:val="single" w:color="000000" w:sz="4" w:space="0"/>
            </w:tcBorders>
            <w:shd w:val="clear" w:color="auto" w:fill="auto"/>
            <w:vAlign w:val="center"/>
          </w:tcPr>
          <w:p w14:paraId="6F8D16C4">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64B423AD">
        <w:tblPrEx>
          <w:tblCellMar>
            <w:top w:w="0" w:type="dxa"/>
            <w:left w:w="108" w:type="dxa"/>
            <w:bottom w:w="0" w:type="dxa"/>
            <w:right w:w="108" w:type="dxa"/>
          </w:tblCellMar>
        </w:tblPrEx>
        <w:trPr>
          <w:trHeight w:val="387" w:hRule="atLeast"/>
        </w:trPr>
        <w:tc>
          <w:tcPr>
            <w:tcW w:w="803" w:type="dxa"/>
            <w:tcBorders>
              <w:top w:val="nil"/>
              <w:left w:val="single" w:color="000000" w:sz="4" w:space="0"/>
              <w:bottom w:val="single" w:color="000000" w:sz="4" w:space="0"/>
              <w:right w:val="single" w:color="000000" w:sz="4" w:space="0"/>
            </w:tcBorders>
            <w:shd w:val="clear" w:color="auto" w:fill="auto"/>
            <w:vAlign w:val="center"/>
          </w:tcPr>
          <w:p w14:paraId="56D5A7F8">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8636" w:type="dxa"/>
            <w:gridSpan w:val="11"/>
            <w:tcBorders>
              <w:top w:val="single" w:color="000000" w:sz="4" w:space="0"/>
              <w:left w:val="nil"/>
              <w:bottom w:val="single" w:color="000000" w:sz="4" w:space="0"/>
              <w:right w:val="single" w:color="000000" w:sz="4" w:space="0"/>
            </w:tcBorders>
            <w:shd w:val="clear" w:color="auto" w:fill="auto"/>
            <w:vAlign w:val="center"/>
          </w:tcPr>
          <w:p w14:paraId="7C01EAF8">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0E25B0D3">
        <w:tblPrEx>
          <w:tblCellMar>
            <w:top w:w="0" w:type="dxa"/>
            <w:left w:w="108" w:type="dxa"/>
            <w:bottom w:w="0" w:type="dxa"/>
            <w:right w:w="108" w:type="dxa"/>
          </w:tblCellMar>
        </w:tblPrEx>
        <w:trPr>
          <w:trHeight w:val="387" w:hRule="atLeast"/>
        </w:trPr>
        <w:tc>
          <w:tcPr>
            <w:tcW w:w="446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8B552B">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项目</w:t>
            </w:r>
            <w:r>
              <w:rPr>
                <w:rFonts w:hint="eastAsia" w:ascii="微软雅黑" w:hAnsi="微软雅黑" w:eastAsia="微软雅黑" w:cs="微软雅黑"/>
                <w:color w:val="000000"/>
                <w:kern w:val="0"/>
                <w:sz w:val="18"/>
                <w:szCs w:val="18"/>
              </w:rPr>
              <w:t>负</w:t>
            </w:r>
            <w:r>
              <w:rPr>
                <w:rFonts w:hint="eastAsia" w:ascii="___WRD_EMBED_SUB_17" w:hAnsi="___WRD_EMBED_SUB_17" w:eastAsia="___WRD_EMBED_SUB_17" w:cs="___WRD_EMBED_SUB_17"/>
                <w:color w:val="000000"/>
                <w:kern w:val="0"/>
                <w:sz w:val="18"/>
                <w:szCs w:val="18"/>
              </w:rPr>
              <w:t>责</w:t>
            </w:r>
            <w:r>
              <w:rPr>
                <w:rFonts w:hint="eastAsia" w:ascii="微软雅黑" w:hAnsi="微软雅黑" w:eastAsia="微软雅黑" w:cs="微软雅黑"/>
                <w:color w:val="000000"/>
                <w:kern w:val="0"/>
                <w:sz w:val="18"/>
                <w:szCs w:val="18"/>
              </w:rPr>
              <w:t>人：毛佳龙</w:t>
            </w:r>
          </w:p>
        </w:tc>
        <w:tc>
          <w:tcPr>
            <w:tcW w:w="4977" w:type="dxa"/>
            <w:gridSpan w:val="7"/>
            <w:tcBorders>
              <w:top w:val="single" w:color="000000" w:sz="4" w:space="0"/>
              <w:left w:val="nil"/>
              <w:bottom w:val="single" w:color="000000" w:sz="4" w:space="0"/>
              <w:right w:val="single" w:color="000000" w:sz="4" w:space="0"/>
            </w:tcBorders>
            <w:shd w:val="clear" w:color="auto" w:fill="auto"/>
            <w:vAlign w:val="center"/>
          </w:tcPr>
          <w:p w14:paraId="3EB3951E">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财</w:t>
            </w:r>
            <w:r>
              <w:rPr>
                <w:rFonts w:hint="eastAsia" w:ascii="微软雅黑" w:hAnsi="微软雅黑" w:eastAsia="微软雅黑" w:cs="微软雅黑"/>
                <w:color w:val="000000"/>
                <w:kern w:val="0"/>
                <w:sz w:val="18"/>
                <w:szCs w:val="18"/>
              </w:rPr>
              <w:t>务负</w:t>
            </w:r>
            <w:r>
              <w:rPr>
                <w:rFonts w:hint="eastAsia" w:ascii="___WRD_EMBED_SUB_17" w:hAnsi="___WRD_EMBED_SUB_17" w:eastAsia="___WRD_EMBED_SUB_17" w:cs="___WRD_EMBED_SUB_17"/>
                <w:color w:val="000000"/>
                <w:kern w:val="0"/>
                <w:sz w:val="18"/>
                <w:szCs w:val="18"/>
              </w:rPr>
              <w:t>责</w:t>
            </w:r>
            <w:r>
              <w:rPr>
                <w:rFonts w:hint="eastAsia" w:ascii="微软雅黑" w:hAnsi="微软雅黑" w:eastAsia="微软雅黑" w:cs="微软雅黑"/>
                <w:color w:val="000000"/>
                <w:kern w:val="0"/>
                <w:sz w:val="18"/>
                <w:szCs w:val="18"/>
              </w:rPr>
              <w:t>人：漆明强</w:t>
            </w:r>
          </w:p>
        </w:tc>
      </w:tr>
    </w:tbl>
    <w:p w14:paraId="16627E1F">
      <w:pPr>
        <w:pStyle w:val="2"/>
        <w:spacing w:before="93"/>
        <w:rPr>
          <w:rFonts w:ascii="Cambria" w:hAnsi="Cambria" w:cs="仿宋"/>
          <w:b/>
          <w:bCs/>
          <w:sz w:val="32"/>
          <w:szCs w:val="32"/>
        </w:rPr>
      </w:pPr>
      <w:r>
        <w:rPr>
          <w:rFonts w:hint="eastAsia" w:hAnsi="Calibri" w:cs="仿宋"/>
          <w:b/>
          <w:bCs/>
          <w:sz w:val="32"/>
          <w:szCs w:val="32"/>
        </w:rPr>
        <w:t>附件</w:t>
      </w:r>
      <w:r>
        <w:rPr>
          <w:rFonts w:ascii="Cambria" w:hAnsi="Cambria" w:cs="仿宋"/>
          <w:b/>
          <w:bCs/>
          <w:sz w:val="32"/>
          <w:szCs w:val="32"/>
        </w:rPr>
        <w:t>3-6</w:t>
      </w:r>
    </w:p>
    <w:tbl>
      <w:tblPr>
        <w:tblStyle w:val="14"/>
        <w:tblW w:w="9440" w:type="dxa"/>
        <w:tblInd w:w="113" w:type="dxa"/>
        <w:tblLayout w:type="autofit"/>
        <w:tblCellMar>
          <w:top w:w="0" w:type="dxa"/>
          <w:left w:w="108" w:type="dxa"/>
          <w:bottom w:w="0" w:type="dxa"/>
          <w:right w:w="108" w:type="dxa"/>
        </w:tblCellMar>
      </w:tblPr>
      <w:tblGrid>
        <w:gridCol w:w="806"/>
        <w:gridCol w:w="807"/>
        <w:gridCol w:w="1124"/>
        <w:gridCol w:w="1126"/>
        <w:gridCol w:w="641"/>
        <w:gridCol w:w="636"/>
        <w:gridCol w:w="638"/>
        <w:gridCol w:w="934"/>
        <w:gridCol w:w="906"/>
        <w:gridCol w:w="904"/>
        <w:gridCol w:w="906"/>
        <w:gridCol w:w="12"/>
      </w:tblGrid>
      <w:tr w14:paraId="66BAAD0B">
        <w:tblPrEx>
          <w:tblCellMar>
            <w:top w:w="0" w:type="dxa"/>
            <w:left w:w="108" w:type="dxa"/>
            <w:bottom w:w="0" w:type="dxa"/>
            <w:right w:w="108" w:type="dxa"/>
          </w:tblCellMar>
        </w:tblPrEx>
        <w:trPr>
          <w:trHeight w:val="625" w:hRule="atLeast"/>
        </w:trPr>
        <w:tc>
          <w:tcPr>
            <w:tcW w:w="944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DA0C12B">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w:t>
            </w:r>
            <w:r>
              <w:rPr>
                <w:rFonts w:hint="eastAsia" w:ascii="微软雅黑" w:hAnsi="微软雅黑" w:eastAsia="微软雅黑" w:cs="微软雅黑"/>
                <w:b/>
                <w:bCs/>
                <w:color w:val="000000"/>
                <w:kern w:val="0"/>
                <w:sz w:val="30"/>
                <w:szCs w:val="30"/>
              </w:rPr>
              <w:t>门</w:t>
            </w:r>
            <w:r>
              <w:rPr>
                <w:rFonts w:hint="eastAsia" w:ascii="___WRD_EMBED_SUB_17" w:hAnsi="___WRD_EMBED_SUB_17" w:eastAsia="___WRD_EMBED_SUB_17" w:cs="___WRD_EMBED_SUB_17"/>
                <w:b/>
                <w:bCs/>
                <w:color w:val="000000"/>
                <w:kern w:val="0"/>
                <w:sz w:val="30"/>
                <w:szCs w:val="30"/>
              </w:rPr>
              <w:t>预算项目支出</w:t>
            </w:r>
            <w:r>
              <w:rPr>
                <w:rFonts w:hint="eastAsia" w:ascii="微软雅黑" w:hAnsi="微软雅黑" w:eastAsia="微软雅黑" w:cs="微软雅黑"/>
                <w:b/>
                <w:bCs/>
                <w:color w:val="000000"/>
                <w:kern w:val="0"/>
                <w:sz w:val="30"/>
                <w:szCs w:val="30"/>
              </w:rPr>
              <w:t>绩效自评</w:t>
            </w:r>
            <w:r>
              <w:rPr>
                <w:rFonts w:hint="eastAsia" w:ascii="___WRD_EMBED_SUB_17" w:hAnsi="___WRD_EMBED_SUB_17" w:eastAsia="___WRD_EMBED_SUB_17" w:cs="___WRD_EMBED_SUB_17"/>
                <w:b/>
                <w:bCs/>
                <w:color w:val="000000"/>
                <w:kern w:val="0"/>
                <w:sz w:val="30"/>
                <w:szCs w:val="30"/>
              </w:rPr>
              <w:t>表</w:t>
            </w:r>
            <w:r>
              <w:rPr>
                <w:rFonts w:hint="eastAsia" w:ascii="微软雅黑" w:hAnsi="微软雅黑" w:eastAsia="微软雅黑" w:cs="微软雅黑"/>
                <w:b/>
                <w:bCs/>
                <w:color w:val="000000"/>
                <w:kern w:val="0"/>
                <w:sz w:val="30"/>
                <w:szCs w:val="30"/>
              </w:rPr>
              <w:t>（</w:t>
            </w:r>
            <w:r>
              <w:rPr>
                <w:rFonts w:hint="eastAsia" w:ascii="黑体" w:hAnsi="黑体" w:eastAsia="黑体" w:cs="宋体"/>
                <w:b/>
                <w:bCs/>
                <w:color w:val="000000"/>
                <w:kern w:val="0"/>
                <w:sz w:val="30"/>
                <w:szCs w:val="30"/>
              </w:rPr>
              <w:t>2022年度</w:t>
            </w:r>
            <w:r>
              <w:rPr>
                <w:rFonts w:hint="eastAsia" w:ascii="微软雅黑" w:hAnsi="微软雅黑" w:eastAsia="微软雅黑" w:cs="微软雅黑"/>
                <w:b/>
                <w:bCs/>
                <w:color w:val="000000"/>
                <w:kern w:val="0"/>
                <w:sz w:val="30"/>
                <w:szCs w:val="30"/>
              </w:rPr>
              <w:t>）</w:t>
            </w:r>
          </w:p>
        </w:tc>
      </w:tr>
      <w:tr w14:paraId="6D73BC86">
        <w:tblPrEx>
          <w:tblCellMar>
            <w:top w:w="0" w:type="dxa"/>
            <w:left w:w="108" w:type="dxa"/>
            <w:bottom w:w="0" w:type="dxa"/>
            <w:right w:w="108" w:type="dxa"/>
          </w:tblCellMar>
        </w:tblPrEx>
        <w:trPr>
          <w:trHeight w:val="273" w:hRule="atLeast"/>
        </w:trPr>
        <w:tc>
          <w:tcPr>
            <w:tcW w:w="16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CD8DFE">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7827" w:type="dxa"/>
            <w:gridSpan w:val="10"/>
            <w:tcBorders>
              <w:top w:val="single" w:color="000000" w:sz="4" w:space="0"/>
              <w:left w:val="nil"/>
              <w:bottom w:val="single" w:color="000000" w:sz="4" w:space="0"/>
              <w:right w:val="single" w:color="000000" w:sz="4" w:space="0"/>
            </w:tcBorders>
            <w:shd w:val="clear" w:color="auto" w:fill="auto"/>
            <w:vAlign w:val="center"/>
          </w:tcPr>
          <w:p w14:paraId="11F0AAFB">
            <w:pPr>
              <w:widowControl/>
              <w:jc w:val="left"/>
              <w:rPr>
                <w:rFonts w:ascii="宋体" w:hAnsi="宋体" w:cs="宋体"/>
                <w:color w:val="000000"/>
                <w:kern w:val="0"/>
                <w:sz w:val="18"/>
                <w:szCs w:val="18"/>
              </w:rPr>
            </w:pPr>
            <w:r>
              <w:rPr>
                <w:rFonts w:hint="eastAsia" w:ascii="宋体" w:hAnsi="宋体" w:cs="宋体"/>
                <w:color w:val="000000"/>
                <w:kern w:val="0"/>
                <w:sz w:val="18"/>
                <w:szCs w:val="18"/>
              </w:rPr>
              <w:t>51118122T000005413932-自然灾害救助</w:t>
            </w:r>
          </w:p>
        </w:tc>
      </w:tr>
      <w:tr w14:paraId="3D45B65A">
        <w:tblPrEx>
          <w:tblCellMar>
            <w:top w:w="0" w:type="dxa"/>
            <w:left w:w="108" w:type="dxa"/>
            <w:bottom w:w="0" w:type="dxa"/>
            <w:right w:w="108" w:type="dxa"/>
          </w:tblCellMar>
        </w:tblPrEx>
        <w:trPr>
          <w:trHeight w:val="456" w:hRule="atLeast"/>
        </w:trPr>
        <w:tc>
          <w:tcPr>
            <w:tcW w:w="16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9BE898">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4165" w:type="dxa"/>
            <w:gridSpan w:val="5"/>
            <w:tcBorders>
              <w:top w:val="single" w:color="000000" w:sz="4" w:space="0"/>
              <w:left w:val="nil"/>
              <w:bottom w:val="single" w:color="000000" w:sz="4" w:space="0"/>
              <w:right w:val="single" w:color="000000" w:sz="4" w:space="0"/>
            </w:tcBorders>
            <w:shd w:val="clear" w:color="auto" w:fill="auto"/>
            <w:vAlign w:val="center"/>
          </w:tcPr>
          <w:p w14:paraId="01A9D302">
            <w:pPr>
              <w:widowControl/>
              <w:jc w:val="left"/>
              <w:rPr>
                <w:rFonts w:ascii="宋体" w:hAnsi="宋体" w:cs="宋体"/>
                <w:color w:val="000000"/>
                <w:kern w:val="0"/>
                <w:sz w:val="18"/>
                <w:szCs w:val="18"/>
              </w:rPr>
            </w:pPr>
            <w:r>
              <w:rPr>
                <w:rFonts w:hint="eastAsia" w:ascii="宋体" w:hAnsi="宋体" w:cs="宋体"/>
                <w:color w:val="000000"/>
                <w:kern w:val="0"/>
                <w:sz w:val="18"/>
                <w:szCs w:val="18"/>
              </w:rPr>
              <w:t>应急管理局</w:t>
            </w:r>
          </w:p>
        </w:tc>
        <w:tc>
          <w:tcPr>
            <w:tcW w:w="934" w:type="dxa"/>
            <w:tcBorders>
              <w:top w:val="nil"/>
              <w:left w:val="nil"/>
              <w:bottom w:val="nil"/>
              <w:right w:val="nil"/>
            </w:tcBorders>
            <w:shd w:val="clear" w:color="auto" w:fill="auto"/>
            <w:vAlign w:val="center"/>
          </w:tcPr>
          <w:p w14:paraId="0DF4DFC9">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实施</w:t>
            </w:r>
            <w:r>
              <w:rPr>
                <w:rFonts w:hint="eastAsia" w:ascii="___WRD_EMBED_SUB_17" w:hAnsi="___WRD_EMBED_SUB_17" w:eastAsia="___WRD_EMBED_SUB_17" w:cs="___WRD_EMBED_SUB_17"/>
                <w:color w:val="000000"/>
                <w:kern w:val="0"/>
                <w:sz w:val="18"/>
                <w:szCs w:val="18"/>
              </w:rPr>
              <w:t>单位</w:t>
            </w:r>
            <w:r>
              <w:rPr>
                <w:rFonts w:hint="eastAsia" w:ascii="黑体" w:hAnsi="黑体" w:eastAsia="黑体" w:cs="宋体"/>
                <w:color w:val="000000"/>
                <w:kern w:val="0"/>
                <w:sz w:val="18"/>
                <w:szCs w:val="18"/>
              </w:rPr>
              <w:t xml:space="preserve"> </w:t>
            </w:r>
            <w:r>
              <w:rPr>
                <w:rFonts w:hint="eastAsia" w:ascii="微软雅黑" w:hAnsi="微软雅黑" w:eastAsia="微软雅黑" w:cs="微软雅黑"/>
                <w:color w:val="000000"/>
                <w:kern w:val="0"/>
                <w:sz w:val="18"/>
                <w:szCs w:val="18"/>
              </w:rPr>
              <w:t>（盖章）</w:t>
            </w:r>
          </w:p>
        </w:tc>
        <w:tc>
          <w:tcPr>
            <w:tcW w:w="272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1120FE6">
            <w:pPr>
              <w:widowControl/>
              <w:jc w:val="center"/>
              <w:rPr>
                <w:rFonts w:ascii="宋体" w:hAnsi="宋体" w:cs="宋体"/>
                <w:color w:val="000000"/>
                <w:kern w:val="0"/>
                <w:sz w:val="18"/>
                <w:szCs w:val="18"/>
              </w:rPr>
            </w:pPr>
            <w:r>
              <w:rPr>
                <w:rFonts w:hint="eastAsia" w:ascii="宋体" w:hAnsi="宋体" w:cs="宋体"/>
                <w:color w:val="000000"/>
                <w:kern w:val="0"/>
                <w:sz w:val="18"/>
                <w:szCs w:val="18"/>
              </w:rPr>
              <w:t>峨眉山市应急管理局</w:t>
            </w:r>
          </w:p>
        </w:tc>
      </w:tr>
      <w:tr w14:paraId="72C66F07">
        <w:tblPrEx>
          <w:tblCellMar>
            <w:top w:w="0" w:type="dxa"/>
            <w:left w:w="108" w:type="dxa"/>
            <w:bottom w:w="0" w:type="dxa"/>
            <w:right w:w="108" w:type="dxa"/>
          </w:tblCellMar>
        </w:tblPrEx>
        <w:trPr>
          <w:trHeight w:val="502" w:hRule="atLeast"/>
        </w:trPr>
        <w:tc>
          <w:tcPr>
            <w:tcW w:w="806" w:type="dxa"/>
            <w:vMerge w:val="restart"/>
            <w:tcBorders>
              <w:top w:val="nil"/>
              <w:left w:val="single" w:color="000000" w:sz="4" w:space="0"/>
              <w:bottom w:val="single" w:color="000000" w:sz="4" w:space="0"/>
              <w:right w:val="single" w:color="000000" w:sz="4" w:space="0"/>
            </w:tcBorders>
            <w:shd w:val="clear" w:color="auto" w:fill="auto"/>
            <w:vAlign w:val="center"/>
          </w:tcPr>
          <w:p w14:paraId="5897D5E3">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807" w:type="dxa"/>
            <w:vMerge w:val="restart"/>
            <w:tcBorders>
              <w:top w:val="nil"/>
              <w:left w:val="single" w:color="000000" w:sz="4" w:space="0"/>
              <w:bottom w:val="single" w:color="000000" w:sz="4" w:space="0"/>
              <w:right w:val="single" w:color="000000" w:sz="4" w:space="0"/>
            </w:tcBorders>
            <w:shd w:val="clear" w:color="auto" w:fill="auto"/>
            <w:vAlign w:val="center"/>
          </w:tcPr>
          <w:p w14:paraId="3B0159B4">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4165" w:type="dxa"/>
            <w:gridSpan w:val="5"/>
            <w:tcBorders>
              <w:top w:val="single" w:color="000000" w:sz="4" w:space="0"/>
              <w:left w:val="nil"/>
              <w:bottom w:val="single" w:color="000000" w:sz="4" w:space="0"/>
              <w:right w:val="single" w:color="000000" w:sz="4" w:space="0"/>
            </w:tcBorders>
            <w:shd w:val="clear" w:color="auto" w:fill="auto"/>
            <w:vAlign w:val="center"/>
          </w:tcPr>
          <w:p w14:paraId="3553B3D3">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3662" w:type="dxa"/>
            <w:gridSpan w:val="5"/>
            <w:tcBorders>
              <w:top w:val="single" w:color="000000" w:sz="4" w:space="0"/>
              <w:left w:val="nil"/>
              <w:bottom w:val="single" w:color="000000" w:sz="4" w:space="0"/>
              <w:right w:val="single" w:color="000000" w:sz="4" w:space="0"/>
            </w:tcBorders>
            <w:shd w:val="clear" w:color="auto" w:fill="auto"/>
            <w:vAlign w:val="center"/>
          </w:tcPr>
          <w:p w14:paraId="73E966D9">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年度目</w:t>
            </w:r>
            <w:r>
              <w:rPr>
                <w:rFonts w:hint="eastAsia" w:ascii="微软雅黑" w:hAnsi="微软雅黑" w:eastAsia="微软雅黑" w:cs="微软雅黑"/>
                <w:color w:val="000000"/>
                <w:kern w:val="0"/>
                <w:sz w:val="18"/>
                <w:szCs w:val="18"/>
              </w:rPr>
              <w:t>标完成</w:t>
            </w:r>
            <w:r>
              <w:rPr>
                <w:rFonts w:hint="eastAsia" w:ascii="___WRD_EMBED_SUB_17" w:hAnsi="___WRD_EMBED_SUB_17" w:eastAsia="___WRD_EMBED_SUB_17" w:cs="___WRD_EMBED_SUB_17"/>
                <w:color w:val="000000"/>
                <w:kern w:val="0"/>
                <w:sz w:val="18"/>
                <w:szCs w:val="18"/>
              </w:rPr>
              <w:t>情况</w:t>
            </w:r>
          </w:p>
        </w:tc>
      </w:tr>
      <w:tr w14:paraId="3BC95835">
        <w:tblPrEx>
          <w:tblCellMar>
            <w:top w:w="0" w:type="dxa"/>
            <w:left w:w="108" w:type="dxa"/>
            <w:bottom w:w="0" w:type="dxa"/>
            <w:right w:w="108" w:type="dxa"/>
          </w:tblCellMar>
        </w:tblPrEx>
        <w:trPr>
          <w:trHeight w:val="1450" w:hRule="atLeast"/>
        </w:trPr>
        <w:tc>
          <w:tcPr>
            <w:tcW w:w="806" w:type="dxa"/>
            <w:vMerge w:val="continue"/>
            <w:tcBorders>
              <w:top w:val="nil"/>
              <w:left w:val="single" w:color="000000" w:sz="4" w:space="0"/>
              <w:bottom w:val="single" w:color="000000" w:sz="4" w:space="0"/>
              <w:right w:val="single" w:color="000000" w:sz="4" w:space="0"/>
            </w:tcBorders>
            <w:vAlign w:val="center"/>
          </w:tcPr>
          <w:p w14:paraId="47682075">
            <w:pPr>
              <w:widowControl/>
              <w:jc w:val="left"/>
              <w:rPr>
                <w:rFonts w:ascii="宋体" w:hAnsi="宋体" w:cs="宋体"/>
                <w:color w:val="000000"/>
                <w:kern w:val="0"/>
                <w:sz w:val="18"/>
                <w:szCs w:val="18"/>
              </w:rPr>
            </w:pPr>
          </w:p>
        </w:tc>
        <w:tc>
          <w:tcPr>
            <w:tcW w:w="807" w:type="dxa"/>
            <w:vMerge w:val="continue"/>
            <w:tcBorders>
              <w:top w:val="nil"/>
              <w:left w:val="single" w:color="000000" w:sz="4" w:space="0"/>
              <w:bottom w:val="single" w:color="000000" w:sz="4" w:space="0"/>
              <w:right w:val="single" w:color="000000" w:sz="4" w:space="0"/>
            </w:tcBorders>
            <w:vAlign w:val="center"/>
          </w:tcPr>
          <w:p w14:paraId="5F4C4408">
            <w:pPr>
              <w:widowControl/>
              <w:jc w:val="left"/>
              <w:rPr>
                <w:rFonts w:ascii="宋体" w:hAnsi="宋体" w:cs="宋体"/>
                <w:color w:val="000000"/>
                <w:kern w:val="0"/>
                <w:sz w:val="18"/>
                <w:szCs w:val="18"/>
              </w:rPr>
            </w:pPr>
          </w:p>
        </w:tc>
        <w:tc>
          <w:tcPr>
            <w:tcW w:w="4165" w:type="dxa"/>
            <w:gridSpan w:val="5"/>
            <w:tcBorders>
              <w:top w:val="single" w:color="000000" w:sz="4" w:space="0"/>
              <w:left w:val="nil"/>
              <w:bottom w:val="single" w:color="000000" w:sz="4" w:space="0"/>
              <w:right w:val="single" w:color="000000" w:sz="4" w:space="0"/>
            </w:tcBorders>
            <w:shd w:val="clear" w:color="auto" w:fill="auto"/>
            <w:vAlign w:val="center"/>
          </w:tcPr>
          <w:p w14:paraId="4082A2B1">
            <w:pPr>
              <w:widowControl/>
              <w:jc w:val="left"/>
              <w:rPr>
                <w:rFonts w:ascii="宋体" w:hAnsi="宋体" w:cs="宋体"/>
                <w:color w:val="000000"/>
                <w:kern w:val="0"/>
                <w:sz w:val="18"/>
                <w:szCs w:val="18"/>
              </w:rPr>
            </w:pPr>
            <w:r>
              <w:rPr>
                <w:rFonts w:hint="eastAsia" w:ascii="宋体" w:hAnsi="宋体" w:cs="宋体"/>
                <w:color w:val="000000"/>
                <w:kern w:val="0"/>
                <w:sz w:val="18"/>
                <w:szCs w:val="18"/>
              </w:rPr>
              <w:t>开展防灾减灾知识宣传，完善了相关避难场所，推动了全国防灾减灾示范社区创建，开展灾情核查，采购了有关救援设备，完成了“十四五”应急体系规划的编制工作，开展了受灾</w:t>
            </w:r>
            <w:r>
              <w:rPr>
                <w:rFonts w:hint="eastAsia" w:ascii="宋体" w:hAnsi="宋体" w:cs="宋体"/>
                <w:color w:val="000000"/>
                <w:kern w:val="0"/>
                <w:sz w:val="18"/>
                <w:szCs w:val="18"/>
                <w:lang w:eastAsia="zh-CN"/>
              </w:rPr>
              <w:t>救助</w:t>
            </w:r>
            <w:r>
              <w:rPr>
                <w:rFonts w:hint="eastAsia" w:ascii="宋体" w:hAnsi="宋体" w:cs="宋体"/>
                <w:color w:val="000000"/>
                <w:kern w:val="0"/>
                <w:sz w:val="18"/>
                <w:szCs w:val="18"/>
              </w:rPr>
              <w:t>工作。</w:t>
            </w:r>
          </w:p>
        </w:tc>
        <w:tc>
          <w:tcPr>
            <w:tcW w:w="3662" w:type="dxa"/>
            <w:gridSpan w:val="5"/>
            <w:tcBorders>
              <w:top w:val="single" w:color="000000" w:sz="4" w:space="0"/>
              <w:left w:val="nil"/>
              <w:bottom w:val="single" w:color="000000" w:sz="4" w:space="0"/>
              <w:right w:val="single" w:color="000000" w:sz="4" w:space="0"/>
            </w:tcBorders>
            <w:shd w:val="clear" w:color="auto" w:fill="auto"/>
            <w:vAlign w:val="center"/>
          </w:tcPr>
          <w:p w14:paraId="5C6A13AC">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切实开展防灾减灾知识宣传，完善了相关避难场所，推动了全</w:t>
            </w:r>
            <w:r>
              <w:rPr>
                <w:rFonts w:hint="eastAsia" w:ascii="___WRD_EMBED_SUB_17" w:hAnsi="___WRD_EMBED_SUB_17" w:eastAsia="___WRD_EMBED_SUB_17" w:cs="___WRD_EMBED_SUB_17"/>
                <w:color w:val="000000"/>
                <w:kern w:val="0"/>
                <w:sz w:val="18"/>
                <w:szCs w:val="18"/>
              </w:rPr>
              <w:t>国</w:t>
            </w:r>
            <w:r>
              <w:rPr>
                <w:rFonts w:hint="eastAsia" w:ascii="微软雅黑" w:hAnsi="微软雅黑" w:eastAsia="微软雅黑" w:cs="微软雅黑"/>
                <w:color w:val="000000"/>
                <w:kern w:val="0"/>
                <w:sz w:val="18"/>
                <w:szCs w:val="18"/>
              </w:rPr>
              <w:t>防灾减灾示范社区创建，开展灾</w:t>
            </w:r>
            <w:r>
              <w:rPr>
                <w:rFonts w:hint="eastAsia" w:ascii="___WRD_EMBED_SUB_17" w:hAnsi="___WRD_EMBED_SUB_17" w:eastAsia="___WRD_EMBED_SUB_17" w:cs="___WRD_EMBED_SUB_17"/>
                <w:color w:val="000000"/>
                <w:kern w:val="0"/>
                <w:sz w:val="18"/>
                <w:szCs w:val="18"/>
              </w:rPr>
              <w:t>情</w:t>
            </w:r>
            <w:r>
              <w:rPr>
                <w:rFonts w:hint="eastAsia" w:ascii="微软雅黑" w:hAnsi="微软雅黑" w:eastAsia="微软雅黑" w:cs="微软雅黑"/>
                <w:color w:val="000000"/>
                <w:kern w:val="0"/>
                <w:sz w:val="18"/>
                <w:szCs w:val="18"/>
              </w:rPr>
              <w:t>核查，采购了</w:t>
            </w:r>
            <w:r>
              <w:rPr>
                <w:rFonts w:hint="eastAsia" w:ascii="___WRD_EMBED_SUB_17" w:hAnsi="___WRD_EMBED_SUB_17" w:eastAsia="___WRD_EMBED_SUB_17" w:cs="___WRD_EMBED_SUB_17"/>
                <w:color w:val="000000"/>
                <w:kern w:val="0"/>
                <w:sz w:val="18"/>
                <w:szCs w:val="18"/>
              </w:rPr>
              <w:t>有</w:t>
            </w:r>
            <w:r>
              <w:rPr>
                <w:rFonts w:hint="eastAsia" w:ascii="微软雅黑" w:hAnsi="微软雅黑" w:eastAsia="微软雅黑" w:cs="微软雅黑"/>
                <w:color w:val="000000"/>
                <w:kern w:val="0"/>
                <w:sz w:val="18"/>
                <w:szCs w:val="18"/>
              </w:rPr>
              <w:t>关救援</w:t>
            </w:r>
            <w:r>
              <w:rPr>
                <w:rFonts w:hint="eastAsia" w:ascii="___WRD_EMBED_SUB_17" w:hAnsi="___WRD_EMBED_SUB_17" w:eastAsia="___WRD_EMBED_SUB_17" w:cs="___WRD_EMBED_SUB_17"/>
                <w:color w:val="000000"/>
                <w:kern w:val="0"/>
                <w:sz w:val="18"/>
                <w:szCs w:val="18"/>
              </w:rPr>
              <w:t>设</w:t>
            </w:r>
            <w:r>
              <w:rPr>
                <w:rFonts w:hint="eastAsia" w:ascii="微软雅黑" w:hAnsi="微软雅黑" w:eastAsia="微软雅黑" w:cs="微软雅黑"/>
                <w:color w:val="000000"/>
                <w:kern w:val="0"/>
                <w:sz w:val="18"/>
                <w:szCs w:val="18"/>
              </w:rPr>
              <w:t>备，完成了“十</w:t>
            </w:r>
            <w:r>
              <w:rPr>
                <w:rFonts w:hint="eastAsia" w:ascii="___WRD_EMBED_SUB_17" w:hAnsi="___WRD_EMBED_SUB_17" w:eastAsia="___WRD_EMBED_SUB_17" w:cs="___WRD_EMBED_SUB_17"/>
                <w:color w:val="000000"/>
                <w:kern w:val="0"/>
                <w:sz w:val="18"/>
                <w:szCs w:val="18"/>
              </w:rPr>
              <w:t>四五”</w:t>
            </w:r>
            <w:r>
              <w:rPr>
                <w:rFonts w:hint="eastAsia" w:ascii="微软雅黑" w:hAnsi="微软雅黑" w:eastAsia="微软雅黑" w:cs="微软雅黑"/>
                <w:color w:val="000000"/>
                <w:kern w:val="0"/>
                <w:sz w:val="18"/>
                <w:szCs w:val="18"/>
              </w:rPr>
              <w:t>应急</w:t>
            </w:r>
            <w:r>
              <w:rPr>
                <w:rFonts w:hint="eastAsia" w:ascii="___WRD_EMBED_SUB_17" w:hAnsi="___WRD_EMBED_SUB_17" w:eastAsia="___WRD_EMBED_SUB_17" w:cs="___WRD_EMBED_SUB_17"/>
                <w:color w:val="000000"/>
                <w:kern w:val="0"/>
                <w:sz w:val="18"/>
                <w:szCs w:val="18"/>
              </w:rPr>
              <w:t>体</w:t>
            </w:r>
            <w:r>
              <w:rPr>
                <w:rFonts w:hint="eastAsia" w:ascii="微软雅黑" w:hAnsi="微软雅黑" w:eastAsia="微软雅黑" w:cs="微软雅黑"/>
                <w:color w:val="000000"/>
                <w:kern w:val="0"/>
                <w:sz w:val="18"/>
                <w:szCs w:val="18"/>
              </w:rPr>
              <w:t>系规划</w:t>
            </w:r>
            <w:r>
              <w:rPr>
                <w:rFonts w:hint="eastAsia" w:ascii="___WRD_EMBED_SUB_17" w:hAnsi="___WRD_EMBED_SUB_17" w:eastAsia="___WRD_EMBED_SUB_17" w:cs="___WRD_EMBED_SUB_17"/>
                <w:color w:val="000000"/>
                <w:kern w:val="0"/>
                <w:sz w:val="18"/>
                <w:szCs w:val="18"/>
              </w:rPr>
              <w:t>的</w:t>
            </w:r>
            <w:r>
              <w:rPr>
                <w:rFonts w:hint="eastAsia" w:ascii="微软雅黑" w:hAnsi="微软雅黑" w:eastAsia="微软雅黑" w:cs="微软雅黑"/>
                <w:color w:val="000000"/>
                <w:kern w:val="0"/>
                <w:sz w:val="18"/>
                <w:szCs w:val="18"/>
              </w:rPr>
              <w:t>编制工作，开展了受灾</w:t>
            </w:r>
            <w:r>
              <w:rPr>
                <w:rFonts w:hint="eastAsia" w:ascii="微软雅黑" w:hAnsi="微软雅黑" w:eastAsia="微软雅黑" w:cs="微软雅黑"/>
                <w:color w:val="000000"/>
                <w:kern w:val="0"/>
                <w:sz w:val="18"/>
                <w:szCs w:val="18"/>
                <w:lang w:eastAsia="zh-CN"/>
              </w:rPr>
              <w:t>救助</w:t>
            </w:r>
            <w:r>
              <w:rPr>
                <w:rFonts w:hint="eastAsia" w:ascii="微软雅黑" w:hAnsi="微软雅黑" w:eastAsia="微软雅黑" w:cs="微软雅黑"/>
                <w:color w:val="000000"/>
                <w:kern w:val="0"/>
                <w:sz w:val="18"/>
                <w:szCs w:val="18"/>
              </w:rPr>
              <w:t>工作。</w:t>
            </w:r>
          </w:p>
        </w:tc>
      </w:tr>
      <w:tr w14:paraId="4C7BFF7F">
        <w:tblPrEx>
          <w:tblCellMar>
            <w:top w:w="0" w:type="dxa"/>
            <w:left w:w="108" w:type="dxa"/>
            <w:bottom w:w="0" w:type="dxa"/>
            <w:right w:w="108" w:type="dxa"/>
          </w:tblCellMar>
        </w:tblPrEx>
        <w:trPr>
          <w:trHeight w:val="885" w:hRule="atLeast"/>
        </w:trPr>
        <w:tc>
          <w:tcPr>
            <w:tcW w:w="806" w:type="dxa"/>
            <w:vMerge w:val="continue"/>
            <w:tcBorders>
              <w:top w:val="nil"/>
              <w:left w:val="single" w:color="000000" w:sz="4" w:space="0"/>
              <w:bottom w:val="single" w:color="000000" w:sz="4" w:space="0"/>
              <w:right w:val="single" w:color="000000" w:sz="4" w:space="0"/>
            </w:tcBorders>
            <w:vAlign w:val="center"/>
          </w:tcPr>
          <w:p w14:paraId="65614255">
            <w:pPr>
              <w:widowControl/>
              <w:jc w:val="left"/>
              <w:rPr>
                <w:rFonts w:ascii="宋体" w:hAnsi="宋体" w:cs="宋体"/>
                <w:color w:val="000000"/>
                <w:kern w:val="0"/>
                <w:sz w:val="18"/>
                <w:szCs w:val="18"/>
              </w:rPr>
            </w:pPr>
          </w:p>
        </w:tc>
        <w:tc>
          <w:tcPr>
            <w:tcW w:w="807" w:type="dxa"/>
            <w:tcBorders>
              <w:top w:val="nil"/>
              <w:left w:val="nil"/>
              <w:bottom w:val="single" w:color="000000" w:sz="4" w:space="0"/>
              <w:right w:val="single" w:color="000000" w:sz="4" w:space="0"/>
            </w:tcBorders>
            <w:shd w:val="clear" w:color="auto" w:fill="auto"/>
            <w:vAlign w:val="center"/>
          </w:tcPr>
          <w:p w14:paraId="5AC68A83">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827" w:type="dxa"/>
            <w:gridSpan w:val="10"/>
            <w:tcBorders>
              <w:top w:val="single" w:color="000000" w:sz="4" w:space="0"/>
              <w:left w:val="nil"/>
              <w:bottom w:val="single" w:color="000000" w:sz="4" w:space="0"/>
              <w:right w:val="single" w:color="000000" w:sz="4" w:space="0"/>
            </w:tcBorders>
            <w:shd w:val="clear" w:color="auto" w:fill="auto"/>
            <w:vAlign w:val="center"/>
          </w:tcPr>
          <w:p w14:paraId="5396FA44">
            <w:pPr>
              <w:widowControl/>
              <w:jc w:val="left"/>
              <w:rPr>
                <w:rFonts w:ascii="宋体" w:hAnsi="宋体" w:cs="宋体"/>
                <w:color w:val="000000"/>
                <w:kern w:val="0"/>
                <w:sz w:val="18"/>
                <w:szCs w:val="18"/>
              </w:rPr>
            </w:pPr>
            <w:r>
              <w:rPr>
                <w:rFonts w:hint="eastAsia" w:ascii="宋体" w:hAnsi="宋体" w:cs="宋体"/>
                <w:color w:val="000000"/>
                <w:kern w:val="0"/>
                <w:sz w:val="18"/>
                <w:szCs w:val="18"/>
              </w:rPr>
              <w:t>开展防灾减灾知识宣传，完善了相关避难场所，推动了全国防灾减灾示范社区创建，开展灾情核查，采购了有关救援设备，完成了“十四五”应急体系规划的编制工作，开展了受灾</w:t>
            </w:r>
            <w:r>
              <w:rPr>
                <w:rFonts w:hint="eastAsia" w:ascii="宋体" w:hAnsi="宋体" w:cs="宋体"/>
                <w:color w:val="000000"/>
                <w:kern w:val="0"/>
                <w:sz w:val="18"/>
                <w:szCs w:val="18"/>
                <w:lang w:eastAsia="zh-CN"/>
              </w:rPr>
              <w:t>救助</w:t>
            </w:r>
            <w:r>
              <w:rPr>
                <w:rFonts w:hint="eastAsia" w:ascii="宋体" w:hAnsi="宋体" w:cs="宋体"/>
                <w:color w:val="000000"/>
                <w:kern w:val="0"/>
                <w:sz w:val="18"/>
                <w:szCs w:val="18"/>
              </w:rPr>
              <w:t>工作。助救援救灾服务工作开展。</w:t>
            </w:r>
          </w:p>
        </w:tc>
      </w:tr>
      <w:tr w14:paraId="75240018">
        <w:tblPrEx>
          <w:tblCellMar>
            <w:top w:w="0" w:type="dxa"/>
            <w:left w:w="108" w:type="dxa"/>
            <w:bottom w:w="0" w:type="dxa"/>
            <w:right w:w="108" w:type="dxa"/>
          </w:tblCellMar>
        </w:tblPrEx>
        <w:trPr>
          <w:gridAfter w:val="1"/>
          <w:wAfter w:w="12" w:type="dxa"/>
          <w:trHeight w:val="579" w:hRule="atLeast"/>
        </w:trPr>
        <w:tc>
          <w:tcPr>
            <w:tcW w:w="806" w:type="dxa"/>
            <w:vMerge w:val="restart"/>
            <w:tcBorders>
              <w:top w:val="nil"/>
              <w:left w:val="single" w:color="000000" w:sz="4" w:space="0"/>
              <w:bottom w:val="single" w:color="000000" w:sz="4" w:space="0"/>
              <w:right w:val="single" w:color="000000" w:sz="4" w:space="0"/>
            </w:tcBorders>
            <w:shd w:val="clear" w:color="auto" w:fill="auto"/>
            <w:vAlign w:val="center"/>
          </w:tcPr>
          <w:p w14:paraId="58773F78">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807" w:type="dxa"/>
            <w:tcBorders>
              <w:top w:val="nil"/>
              <w:left w:val="nil"/>
              <w:bottom w:val="single" w:color="000000" w:sz="4" w:space="0"/>
              <w:right w:val="single" w:color="000000" w:sz="4" w:space="0"/>
            </w:tcBorders>
            <w:shd w:val="clear" w:color="auto" w:fill="auto"/>
            <w:vAlign w:val="center"/>
          </w:tcPr>
          <w:p w14:paraId="57DF92F1">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124" w:type="dxa"/>
            <w:tcBorders>
              <w:top w:val="nil"/>
              <w:left w:val="nil"/>
              <w:bottom w:val="single" w:color="000000" w:sz="4" w:space="0"/>
              <w:right w:val="single" w:color="000000" w:sz="4" w:space="0"/>
            </w:tcBorders>
            <w:shd w:val="clear" w:color="auto" w:fill="auto"/>
            <w:vAlign w:val="center"/>
          </w:tcPr>
          <w:p w14:paraId="166F5466">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1126" w:type="dxa"/>
            <w:tcBorders>
              <w:top w:val="nil"/>
              <w:left w:val="nil"/>
              <w:bottom w:val="single" w:color="000000" w:sz="4" w:space="0"/>
              <w:right w:val="single" w:color="000000" w:sz="4" w:space="0"/>
            </w:tcBorders>
            <w:shd w:val="clear" w:color="auto" w:fill="auto"/>
            <w:vAlign w:val="center"/>
          </w:tcPr>
          <w:p w14:paraId="4F868DEF">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1915" w:type="dxa"/>
            <w:gridSpan w:val="3"/>
            <w:tcBorders>
              <w:top w:val="single" w:color="000000" w:sz="4" w:space="0"/>
              <w:left w:val="nil"/>
              <w:bottom w:val="single" w:color="000000" w:sz="4" w:space="0"/>
              <w:right w:val="single" w:color="000000" w:sz="4" w:space="0"/>
            </w:tcBorders>
            <w:shd w:val="clear" w:color="auto" w:fill="auto"/>
            <w:vAlign w:val="center"/>
          </w:tcPr>
          <w:p w14:paraId="202DA461">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934" w:type="dxa"/>
            <w:tcBorders>
              <w:top w:val="nil"/>
              <w:left w:val="nil"/>
              <w:bottom w:val="single" w:color="000000" w:sz="4" w:space="0"/>
              <w:right w:val="single" w:color="000000" w:sz="4" w:space="0"/>
            </w:tcBorders>
            <w:shd w:val="clear" w:color="auto" w:fill="auto"/>
            <w:vAlign w:val="center"/>
          </w:tcPr>
          <w:p w14:paraId="30C115BA">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906" w:type="dxa"/>
            <w:tcBorders>
              <w:top w:val="nil"/>
              <w:left w:val="nil"/>
              <w:bottom w:val="single" w:color="000000" w:sz="4" w:space="0"/>
              <w:right w:val="single" w:color="000000" w:sz="4" w:space="0"/>
            </w:tcBorders>
            <w:shd w:val="clear" w:color="auto" w:fill="auto"/>
            <w:vAlign w:val="center"/>
          </w:tcPr>
          <w:p w14:paraId="5CDFBC7C">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904" w:type="dxa"/>
            <w:tcBorders>
              <w:top w:val="nil"/>
              <w:left w:val="nil"/>
              <w:bottom w:val="single" w:color="000000" w:sz="4" w:space="0"/>
              <w:right w:val="single" w:color="000000" w:sz="4" w:space="0"/>
            </w:tcBorders>
            <w:shd w:val="clear" w:color="auto" w:fill="auto"/>
            <w:vAlign w:val="center"/>
          </w:tcPr>
          <w:p w14:paraId="387DC5EF">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906" w:type="dxa"/>
            <w:tcBorders>
              <w:top w:val="nil"/>
              <w:left w:val="nil"/>
              <w:bottom w:val="single" w:color="000000" w:sz="4" w:space="0"/>
              <w:right w:val="single" w:color="000000" w:sz="4" w:space="0"/>
            </w:tcBorders>
            <w:shd w:val="clear" w:color="auto" w:fill="auto"/>
            <w:vAlign w:val="center"/>
          </w:tcPr>
          <w:p w14:paraId="185B8B28">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14:paraId="751931E7">
        <w:tblPrEx>
          <w:tblCellMar>
            <w:top w:w="0" w:type="dxa"/>
            <w:left w:w="108" w:type="dxa"/>
            <w:bottom w:w="0" w:type="dxa"/>
            <w:right w:w="108" w:type="dxa"/>
          </w:tblCellMar>
        </w:tblPrEx>
        <w:trPr>
          <w:gridAfter w:val="1"/>
          <w:wAfter w:w="12" w:type="dxa"/>
          <w:trHeight w:val="579" w:hRule="atLeast"/>
        </w:trPr>
        <w:tc>
          <w:tcPr>
            <w:tcW w:w="806" w:type="dxa"/>
            <w:vMerge w:val="continue"/>
            <w:tcBorders>
              <w:top w:val="nil"/>
              <w:left w:val="single" w:color="000000" w:sz="4" w:space="0"/>
              <w:bottom w:val="single" w:color="000000" w:sz="4" w:space="0"/>
              <w:right w:val="single" w:color="000000" w:sz="4" w:space="0"/>
            </w:tcBorders>
            <w:vAlign w:val="center"/>
          </w:tcPr>
          <w:p w14:paraId="2072E451">
            <w:pPr>
              <w:widowControl/>
              <w:jc w:val="left"/>
              <w:rPr>
                <w:rFonts w:ascii="宋体" w:hAnsi="宋体" w:cs="宋体"/>
                <w:color w:val="000000"/>
                <w:kern w:val="0"/>
                <w:sz w:val="18"/>
                <w:szCs w:val="18"/>
              </w:rPr>
            </w:pPr>
          </w:p>
        </w:tc>
        <w:tc>
          <w:tcPr>
            <w:tcW w:w="807" w:type="dxa"/>
            <w:tcBorders>
              <w:top w:val="nil"/>
              <w:left w:val="nil"/>
              <w:bottom w:val="single" w:color="000000" w:sz="4" w:space="0"/>
              <w:right w:val="single" w:color="000000" w:sz="4" w:space="0"/>
            </w:tcBorders>
            <w:shd w:val="clear" w:color="auto" w:fill="auto"/>
            <w:vAlign w:val="center"/>
          </w:tcPr>
          <w:p w14:paraId="3AD457CF">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124" w:type="dxa"/>
            <w:tcBorders>
              <w:top w:val="nil"/>
              <w:left w:val="nil"/>
              <w:bottom w:val="single" w:color="000000" w:sz="4" w:space="0"/>
              <w:right w:val="single" w:color="000000" w:sz="4" w:space="0"/>
            </w:tcBorders>
            <w:shd w:val="clear" w:color="auto" w:fill="auto"/>
            <w:vAlign w:val="center"/>
          </w:tcPr>
          <w:p w14:paraId="37D2F671">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26" w:type="dxa"/>
            <w:tcBorders>
              <w:top w:val="nil"/>
              <w:left w:val="nil"/>
              <w:bottom w:val="single" w:color="000000" w:sz="4" w:space="0"/>
              <w:right w:val="single" w:color="000000" w:sz="4" w:space="0"/>
            </w:tcBorders>
            <w:shd w:val="clear" w:color="auto" w:fill="auto"/>
            <w:vAlign w:val="center"/>
          </w:tcPr>
          <w:p w14:paraId="2508993A">
            <w:pPr>
              <w:widowControl/>
              <w:jc w:val="center"/>
              <w:rPr>
                <w:rFonts w:ascii="宋体" w:hAnsi="宋体" w:cs="宋体"/>
                <w:color w:val="000000"/>
                <w:kern w:val="0"/>
                <w:sz w:val="18"/>
                <w:szCs w:val="18"/>
              </w:rPr>
            </w:pPr>
            <w:r>
              <w:rPr>
                <w:rFonts w:hint="eastAsia" w:ascii="宋体" w:hAnsi="宋体" w:cs="宋体"/>
                <w:color w:val="000000"/>
                <w:kern w:val="0"/>
                <w:sz w:val="18"/>
                <w:szCs w:val="18"/>
              </w:rPr>
              <w:t>188.00</w:t>
            </w:r>
          </w:p>
        </w:tc>
        <w:tc>
          <w:tcPr>
            <w:tcW w:w="1915" w:type="dxa"/>
            <w:gridSpan w:val="3"/>
            <w:tcBorders>
              <w:top w:val="single" w:color="000000" w:sz="4" w:space="0"/>
              <w:left w:val="nil"/>
              <w:bottom w:val="single" w:color="000000" w:sz="4" w:space="0"/>
              <w:right w:val="single" w:color="000000" w:sz="4" w:space="0"/>
            </w:tcBorders>
            <w:shd w:val="clear" w:color="auto" w:fill="auto"/>
            <w:vAlign w:val="center"/>
          </w:tcPr>
          <w:p w14:paraId="01CE0C4F">
            <w:pPr>
              <w:widowControl/>
              <w:jc w:val="center"/>
              <w:rPr>
                <w:rFonts w:ascii="宋体" w:hAnsi="宋体" w:cs="宋体"/>
                <w:color w:val="000000"/>
                <w:kern w:val="0"/>
                <w:sz w:val="18"/>
                <w:szCs w:val="18"/>
              </w:rPr>
            </w:pPr>
            <w:r>
              <w:rPr>
                <w:rFonts w:hint="eastAsia" w:ascii="宋体" w:hAnsi="宋体" w:cs="宋体"/>
                <w:color w:val="000000"/>
                <w:kern w:val="0"/>
                <w:sz w:val="18"/>
                <w:szCs w:val="18"/>
              </w:rPr>
              <w:t>115.02</w:t>
            </w:r>
          </w:p>
        </w:tc>
        <w:tc>
          <w:tcPr>
            <w:tcW w:w="934" w:type="dxa"/>
            <w:tcBorders>
              <w:top w:val="nil"/>
              <w:left w:val="nil"/>
              <w:bottom w:val="single" w:color="000000" w:sz="4" w:space="0"/>
              <w:right w:val="single" w:color="000000" w:sz="4" w:space="0"/>
            </w:tcBorders>
            <w:shd w:val="clear" w:color="auto" w:fill="auto"/>
            <w:vAlign w:val="center"/>
          </w:tcPr>
          <w:p w14:paraId="4330BD69">
            <w:pPr>
              <w:widowControl/>
              <w:jc w:val="center"/>
              <w:rPr>
                <w:rFonts w:ascii="宋体" w:hAnsi="宋体" w:cs="宋体"/>
                <w:color w:val="000000"/>
                <w:kern w:val="0"/>
                <w:sz w:val="18"/>
                <w:szCs w:val="18"/>
              </w:rPr>
            </w:pPr>
            <w:r>
              <w:rPr>
                <w:rFonts w:hint="eastAsia" w:ascii="宋体" w:hAnsi="宋体" w:cs="宋体"/>
                <w:color w:val="000000"/>
                <w:kern w:val="0"/>
                <w:sz w:val="18"/>
                <w:szCs w:val="18"/>
              </w:rPr>
              <w:t>61.18%</w:t>
            </w:r>
          </w:p>
        </w:tc>
        <w:tc>
          <w:tcPr>
            <w:tcW w:w="906" w:type="dxa"/>
            <w:tcBorders>
              <w:top w:val="nil"/>
              <w:left w:val="nil"/>
              <w:bottom w:val="single" w:color="000000" w:sz="4" w:space="0"/>
              <w:right w:val="single" w:color="000000" w:sz="4" w:space="0"/>
            </w:tcBorders>
            <w:shd w:val="clear" w:color="auto" w:fill="auto"/>
            <w:vAlign w:val="center"/>
          </w:tcPr>
          <w:p w14:paraId="2E724832">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04" w:type="dxa"/>
            <w:tcBorders>
              <w:top w:val="nil"/>
              <w:left w:val="nil"/>
              <w:bottom w:val="single" w:color="000000" w:sz="4" w:space="0"/>
              <w:right w:val="single" w:color="000000" w:sz="4" w:space="0"/>
            </w:tcBorders>
            <w:shd w:val="clear" w:color="auto" w:fill="auto"/>
            <w:vAlign w:val="center"/>
          </w:tcPr>
          <w:p w14:paraId="423C6104">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906" w:type="dxa"/>
            <w:vMerge w:val="restart"/>
            <w:tcBorders>
              <w:top w:val="nil"/>
              <w:left w:val="single" w:color="000000" w:sz="4" w:space="0"/>
              <w:bottom w:val="single" w:color="000000" w:sz="4" w:space="0"/>
              <w:right w:val="single" w:color="000000" w:sz="4" w:space="0"/>
            </w:tcBorders>
            <w:shd w:val="clear" w:color="auto" w:fill="auto"/>
            <w:vAlign w:val="center"/>
          </w:tcPr>
          <w:p w14:paraId="43A61977">
            <w:pPr>
              <w:widowControl/>
              <w:jc w:val="left"/>
              <w:rPr>
                <w:rFonts w:ascii="黑体" w:hAnsi="黑体" w:eastAsia="黑体" w:cs="宋体"/>
                <w:i/>
                <w:iCs/>
                <w:color w:val="000000"/>
                <w:kern w:val="0"/>
                <w:sz w:val="18"/>
                <w:szCs w:val="18"/>
              </w:rPr>
            </w:pPr>
            <w:r>
              <w:rPr>
                <w:rFonts w:hint="eastAsia" w:ascii="微软雅黑" w:hAnsi="微软雅黑" w:eastAsia="微软雅黑" w:cs="微软雅黑"/>
                <w:i/>
                <w:iCs/>
                <w:color w:val="000000"/>
                <w:kern w:val="0"/>
                <w:sz w:val="18"/>
                <w:szCs w:val="18"/>
              </w:rPr>
              <w:t>2022年12月底新增预算，已于次月完成发放。</w:t>
            </w:r>
          </w:p>
        </w:tc>
      </w:tr>
      <w:tr w14:paraId="17398324">
        <w:tblPrEx>
          <w:tblCellMar>
            <w:top w:w="0" w:type="dxa"/>
            <w:left w:w="108" w:type="dxa"/>
            <w:bottom w:w="0" w:type="dxa"/>
            <w:right w:w="108" w:type="dxa"/>
          </w:tblCellMar>
        </w:tblPrEx>
        <w:trPr>
          <w:gridAfter w:val="1"/>
          <w:wAfter w:w="12" w:type="dxa"/>
          <w:trHeight w:val="579" w:hRule="atLeast"/>
        </w:trPr>
        <w:tc>
          <w:tcPr>
            <w:tcW w:w="806" w:type="dxa"/>
            <w:vMerge w:val="continue"/>
            <w:tcBorders>
              <w:top w:val="nil"/>
              <w:left w:val="single" w:color="000000" w:sz="4" w:space="0"/>
              <w:bottom w:val="single" w:color="000000" w:sz="4" w:space="0"/>
              <w:right w:val="single" w:color="000000" w:sz="4" w:space="0"/>
            </w:tcBorders>
            <w:vAlign w:val="center"/>
          </w:tcPr>
          <w:p w14:paraId="39185EC4">
            <w:pPr>
              <w:widowControl/>
              <w:jc w:val="left"/>
              <w:rPr>
                <w:rFonts w:ascii="宋体" w:hAnsi="宋体" w:cs="宋体"/>
                <w:color w:val="000000"/>
                <w:kern w:val="0"/>
                <w:sz w:val="18"/>
                <w:szCs w:val="18"/>
              </w:rPr>
            </w:pPr>
          </w:p>
        </w:tc>
        <w:tc>
          <w:tcPr>
            <w:tcW w:w="807" w:type="dxa"/>
            <w:tcBorders>
              <w:top w:val="nil"/>
              <w:left w:val="nil"/>
              <w:bottom w:val="single" w:color="000000" w:sz="4" w:space="0"/>
              <w:right w:val="single" w:color="000000" w:sz="4" w:space="0"/>
            </w:tcBorders>
            <w:shd w:val="clear" w:color="auto" w:fill="auto"/>
            <w:vAlign w:val="center"/>
          </w:tcPr>
          <w:p w14:paraId="37E5A266">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124" w:type="dxa"/>
            <w:tcBorders>
              <w:top w:val="nil"/>
              <w:left w:val="nil"/>
              <w:bottom w:val="single" w:color="000000" w:sz="4" w:space="0"/>
              <w:right w:val="single" w:color="000000" w:sz="4" w:space="0"/>
            </w:tcBorders>
            <w:shd w:val="clear" w:color="auto" w:fill="auto"/>
            <w:vAlign w:val="center"/>
          </w:tcPr>
          <w:p w14:paraId="39C0E196">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26" w:type="dxa"/>
            <w:tcBorders>
              <w:top w:val="nil"/>
              <w:left w:val="nil"/>
              <w:bottom w:val="single" w:color="000000" w:sz="4" w:space="0"/>
              <w:right w:val="single" w:color="000000" w:sz="4" w:space="0"/>
            </w:tcBorders>
            <w:shd w:val="clear" w:color="auto" w:fill="auto"/>
            <w:vAlign w:val="center"/>
          </w:tcPr>
          <w:p w14:paraId="3D3AC3B1">
            <w:pPr>
              <w:widowControl/>
              <w:jc w:val="center"/>
              <w:rPr>
                <w:rFonts w:ascii="宋体" w:hAnsi="宋体" w:cs="宋体"/>
                <w:color w:val="000000"/>
                <w:kern w:val="0"/>
                <w:sz w:val="18"/>
                <w:szCs w:val="18"/>
              </w:rPr>
            </w:pPr>
            <w:r>
              <w:rPr>
                <w:rFonts w:hint="eastAsia" w:ascii="宋体" w:hAnsi="宋体" w:cs="宋体"/>
                <w:color w:val="000000"/>
                <w:kern w:val="0"/>
                <w:sz w:val="18"/>
                <w:szCs w:val="18"/>
              </w:rPr>
              <w:t>188.00</w:t>
            </w:r>
          </w:p>
        </w:tc>
        <w:tc>
          <w:tcPr>
            <w:tcW w:w="1915" w:type="dxa"/>
            <w:gridSpan w:val="3"/>
            <w:tcBorders>
              <w:top w:val="single" w:color="000000" w:sz="4" w:space="0"/>
              <w:left w:val="nil"/>
              <w:bottom w:val="single" w:color="000000" w:sz="4" w:space="0"/>
              <w:right w:val="single" w:color="000000" w:sz="4" w:space="0"/>
            </w:tcBorders>
            <w:shd w:val="clear" w:color="auto" w:fill="auto"/>
            <w:vAlign w:val="center"/>
          </w:tcPr>
          <w:p w14:paraId="11F1B83E">
            <w:pPr>
              <w:widowControl/>
              <w:jc w:val="center"/>
              <w:rPr>
                <w:rFonts w:ascii="宋体" w:hAnsi="宋体" w:cs="宋体"/>
                <w:color w:val="000000"/>
                <w:kern w:val="0"/>
                <w:sz w:val="18"/>
                <w:szCs w:val="18"/>
              </w:rPr>
            </w:pPr>
            <w:r>
              <w:rPr>
                <w:rFonts w:hint="eastAsia" w:ascii="宋体" w:hAnsi="宋体" w:cs="宋体"/>
                <w:color w:val="000000"/>
                <w:kern w:val="0"/>
                <w:sz w:val="18"/>
                <w:szCs w:val="18"/>
              </w:rPr>
              <w:t>115.02</w:t>
            </w:r>
          </w:p>
        </w:tc>
        <w:tc>
          <w:tcPr>
            <w:tcW w:w="934" w:type="dxa"/>
            <w:tcBorders>
              <w:top w:val="nil"/>
              <w:left w:val="nil"/>
              <w:bottom w:val="single" w:color="000000" w:sz="4" w:space="0"/>
              <w:right w:val="single" w:color="000000" w:sz="4" w:space="0"/>
            </w:tcBorders>
            <w:shd w:val="clear" w:color="auto" w:fill="auto"/>
            <w:vAlign w:val="center"/>
          </w:tcPr>
          <w:p w14:paraId="1C8C502E">
            <w:pPr>
              <w:widowControl/>
              <w:jc w:val="center"/>
              <w:rPr>
                <w:rFonts w:ascii="宋体" w:hAnsi="宋体" w:cs="宋体"/>
                <w:color w:val="000000"/>
                <w:kern w:val="0"/>
                <w:sz w:val="18"/>
                <w:szCs w:val="18"/>
              </w:rPr>
            </w:pPr>
            <w:r>
              <w:rPr>
                <w:rFonts w:hint="eastAsia" w:ascii="宋体" w:hAnsi="宋体" w:cs="宋体"/>
                <w:color w:val="000000"/>
                <w:kern w:val="0"/>
                <w:sz w:val="18"/>
                <w:szCs w:val="18"/>
              </w:rPr>
              <w:t>61.18%</w:t>
            </w:r>
          </w:p>
        </w:tc>
        <w:tc>
          <w:tcPr>
            <w:tcW w:w="906" w:type="dxa"/>
            <w:tcBorders>
              <w:top w:val="nil"/>
              <w:left w:val="nil"/>
              <w:bottom w:val="single" w:color="000000" w:sz="4" w:space="0"/>
              <w:right w:val="single" w:color="000000" w:sz="4" w:space="0"/>
            </w:tcBorders>
            <w:shd w:val="clear" w:color="auto" w:fill="auto"/>
            <w:vAlign w:val="center"/>
          </w:tcPr>
          <w:p w14:paraId="793940D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4" w:type="dxa"/>
            <w:tcBorders>
              <w:top w:val="nil"/>
              <w:left w:val="nil"/>
              <w:bottom w:val="single" w:color="000000" w:sz="4" w:space="0"/>
              <w:right w:val="single" w:color="000000" w:sz="4" w:space="0"/>
            </w:tcBorders>
            <w:shd w:val="clear" w:color="auto" w:fill="auto"/>
            <w:vAlign w:val="center"/>
          </w:tcPr>
          <w:p w14:paraId="1808D046">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6" w:type="dxa"/>
            <w:vMerge w:val="continue"/>
            <w:tcBorders>
              <w:top w:val="nil"/>
              <w:left w:val="single" w:color="000000" w:sz="4" w:space="0"/>
              <w:bottom w:val="single" w:color="000000" w:sz="4" w:space="0"/>
              <w:right w:val="single" w:color="000000" w:sz="4" w:space="0"/>
            </w:tcBorders>
            <w:vAlign w:val="center"/>
          </w:tcPr>
          <w:p w14:paraId="5A3D0043">
            <w:pPr>
              <w:widowControl/>
              <w:jc w:val="left"/>
              <w:rPr>
                <w:rFonts w:ascii="黑体" w:hAnsi="黑体" w:eastAsia="黑体" w:cs="宋体"/>
                <w:i/>
                <w:iCs/>
                <w:color w:val="000000"/>
                <w:kern w:val="0"/>
                <w:sz w:val="18"/>
                <w:szCs w:val="18"/>
              </w:rPr>
            </w:pPr>
          </w:p>
        </w:tc>
      </w:tr>
      <w:tr w14:paraId="35A2A597">
        <w:tblPrEx>
          <w:tblCellMar>
            <w:top w:w="0" w:type="dxa"/>
            <w:left w:w="108" w:type="dxa"/>
            <w:bottom w:w="0" w:type="dxa"/>
            <w:right w:w="108" w:type="dxa"/>
          </w:tblCellMar>
        </w:tblPrEx>
        <w:trPr>
          <w:gridAfter w:val="1"/>
          <w:wAfter w:w="12" w:type="dxa"/>
          <w:trHeight w:val="579" w:hRule="atLeast"/>
        </w:trPr>
        <w:tc>
          <w:tcPr>
            <w:tcW w:w="806" w:type="dxa"/>
            <w:vMerge w:val="continue"/>
            <w:tcBorders>
              <w:top w:val="nil"/>
              <w:left w:val="single" w:color="000000" w:sz="4" w:space="0"/>
              <w:bottom w:val="single" w:color="000000" w:sz="4" w:space="0"/>
              <w:right w:val="single" w:color="000000" w:sz="4" w:space="0"/>
            </w:tcBorders>
            <w:vAlign w:val="center"/>
          </w:tcPr>
          <w:p w14:paraId="0AC8828B">
            <w:pPr>
              <w:widowControl/>
              <w:jc w:val="left"/>
              <w:rPr>
                <w:rFonts w:ascii="宋体" w:hAnsi="宋体" w:cs="宋体"/>
                <w:color w:val="000000"/>
                <w:kern w:val="0"/>
                <w:sz w:val="18"/>
                <w:szCs w:val="18"/>
              </w:rPr>
            </w:pPr>
          </w:p>
        </w:tc>
        <w:tc>
          <w:tcPr>
            <w:tcW w:w="807" w:type="dxa"/>
            <w:tcBorders>
              <w:top w:val="nil"/>
              <w:left w:val="nil"/>
              <w:bottom w:val="single" w:color="000000" w:sz="4" w:space="0"/>
              <w:right w:val="single" w:color="000000" w:sz="4" w:space="0"/>
            </w:tcBorders>
            <w:shd w:val="clear" w:color="auto" w:fill="auto"/>
            <w:vAlign w:val="center"/>
          </w:tcPr>
          <w:p w14:paraId="164B76BD">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124" w:type="dxa"/>
            <w:tcBorders>
              <w:top w:val="nil"/>
              <w:left w:val="nil"/>
              <w:bottom w:val="single" w:color="000000" w:sz="4" w:space="0"/>
              <w:right w:val="single" w:color="000000" w:sz="4" w:space="0"/>
            </w:tcBorders>
            <w:shd w:val="clear" w:color="auto" w:fill="auto"/>
            <w:vAlign w:val="center"/>
          </w:tcPr>
          <w:p w14:paraId="7A5A1609">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26" w:type="dxa"/>
            <w:tcBorders>
              <w:top w:val="nil"/>
              <w:left w:val="nil"/>
              <w:bottom w:val="single" w:color="000000" w:sz="4" w:space="0"/>
              <w:right w:val="single" w:color="000000" w:sz="4" w:space="0"/>
            </w:tcBorders>
            <w:shd w:val="clear" w:color="auto" w:fill="auto"/>
            <w:vAlign w:val="center"/>
          </w:tcPr>
          <w:p w14:paraId="40266811">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915" w:type="dxa"/>
            <w:gridSpan w:val="3"/>
            <w:tcBorders>
              <w:top w:val="single" w:color="000000" w:sz="4" w:space="0"/>
              <w:left w:val="nil"/>
              <w:bottom w:val="single" w:color="000000" w:sz="4" w:space="0"/>
              <w:right w:val="single" w:color="000000" w:sz="4" w:space="0"/>
            </w:tcBorders>
            <w:shd w:val="clear" w:color="auto" w:fill="auto"/>
            <w:vAlign w:val="center"/>
          </w:tcPr>
          <w:p w14:paraId="7F1D302A">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934" w:type="dxa"/>
            <w:tcBorders>
              <w:top w:val="nil"/>
              <w:left w:val="nil"/>
              <w:bottom w:val="single" w:color="000000" w:sz="4" w:space="0"/>
              <w:right w:val="single" w:color="000000" w:sz="4" w:space="0"/>
            </w:tcBorders>
            <w:shd w:val="clear" w:color="auto" w:fill="auto"/>
            <w:vAlign w:val="center"/>
          </w:tcPr>
          <w:p w14:paraId="7C3496A9">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906" w:type="dxa"/>
            <w:tcBorders>
              <w:top w:val="nil"/>
              <w:left w:val="nil"/>
              <w:bottom w:val="single" w:color="000000" w:sz="4" w:space="0"/>
              <w:right w:val="single" w:color="000000" w:sz="4" w:space="0"/>
            </w:tcBorders>
            <w:shd w:val="clear" w:color="auto" w:fill="auto"/>
            <w:vAlign w:val="center"/>
          </w:tcPr>
          <w:p w14:paraId="11724CE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4" w:type="dxa"/>
            <w:tcBorders>
              <w:top w:val="nil"/>
              <w:left w:val="nil"/>
              <w:bottom w:val="single" w:color="000000" w:sz="4" w:space="0"/>
              <w:right w:val="single" w:color="000000" w:sz="4" w:space="0"/>
            </w:tcBorders>
            <w:shd w:val="clear" w:color="auto" w:fill="auto"/>
            <w:vAlign w:val="center"/>
          </w:tcPr>
          <w:p w14:paraId="4BEE70F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6" w:type="dxa"/>
            <w:vMerge w:val="continue"/>
            <w:tcBorders>
              <w:top w:val="nil"/>
              <w:left w:val="single" w:color="000000" w:sz="4" w:space="0"/>
              <w:bottom w:val="single" w:color="000000" w:sz="4" w:space="0"/>
              <w:right w:val="single" w:color="000000" w:sz="4" w:space="0"/>
            </w:tcBorders>
            <w:vAlign w:val="center"/>
          </w:tcPr>
          <w:p w14:paraId="026909AB">
            <w:pPr>
              <w:widowControl/>
              <w:jc w:val="left"/>
              <w:rPr>
                <w:rFonts w:ascii="黑体" w:hAnsi="黑体" w:eastAsia="黑体" w:cs="宋体"/>
                <w:i/>
                <w:iCs/>
                <w:color w:val="000000"/>
                <w:kern w:val="0"/>
                <w:sz w:val="18"/>
                <w:szCs w:val="18"/>
              </w:rPr>
            </w:pPr>
          </w:p>
        </w:tc>
      </w:tr>
      <w:tr w14:paraId="43CB9615">
        <w:tblPrEx>
          <w:tblCellMar>
            <w:top w:w="0" w:type="dxa"/>
            <w:left w:w="108" w:type="dxa"/>
            <w:bottom w:w="0" w:type="dxa"/>
            <w:right w:w="108" w:type="dxa"/>
          </w:tblCellMar>
        </w:tblPrEx>
        <w:trPr>
          <w:gridAfter w:val="1"/>
          <w:wAfter w:w="12" w:type="dxa"/>
          <w:trHeight w:val="579" w:hRule="atLeast"/>
        </w:trPr>
        <w:tc>
          <w:tcPr>
            <w:tcW w:w="806" w:type="dxa"/>
            <w:vMerge w:val="continue"/>
            <w:tcBorders>
              <w:top w:val="nil"/>
              <w:left w:val="single" w:color="000000" w:sz="4" w:space="0"/>
              <w:bottom w:val="single" w:color="000000" w:sz="4" w:space="0"/>
              <w:right w:val="single" w:color="000000" w:sz="4" w:space="0"/>
            </w:tcBorders>
            <w:vAlign w:val="center"/>
          </w:tcPr>
          <w:p w14:paraId="0451F06A">
            <w:pPr>
              <w:widowControl/>
              <w:jc w:val="left"/>
              <w:rPr>
                <w:rFonts w:ascii="宋体" w:hAnsi="宋体" w:cs="宋体"/>
                <w:color w:val="000000"/>
                <w:kern w:val="0"/>
                <w:sz w:val="18"/>
                <w:szCs w:val="18"/>
              </w:rPr>
            </w:pPr>
          </w:p>
        </w:tc>
        <w:tc>
          <w:tcPr>
            <w:tcW w:w="807" w:type="dxa"/>
            <w:tcBorders>
              <w:top w:val="nil"/>
              <w:left w:val="nil"/>
              <w:bottom w:val="single" w:color="000000" w:sz="4" w:space="0"/>
              <w:right w:val="single" w:color="000000" w:sz="4" w:space="0"/>
            </w:tcBorders>
            <w:shd w:val="clear" w:color="auto" w:fill="auto"/>
            <w:vAlign w:val="center"/>
          </w:tcPr>
          <w:p w14:paraId="1C28F2D8">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124" w:type="dxa"/>
            <w:tcBorders>
              <w:top w:val="nil"/>
              <w:left w:val="nil"/>
              <w:bottom w:val="single" w:color="000000" w:sz="4" w:space="0"/>
              <w:right w:val="single" w:color="000000" w:sz="4" w:space="0"/>
            </w:tcBorders>
            <w:shd w:val="clear" w:color="auto" w:fill="auto"/>
            <w:vAlign w:val="center"/>
          </w:tcPr>
          <w:p w14:paraId="067425EF">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26" w:type="dxa"/>
            <w:tcBorders>
              <w:top w:val="nil"/>
              <w:left w:val="nil"/>
              <w:bottom w:val="single" w:color="000000" w:sz="4" w:space="0"/>
              <w:right w:val="single" w:color="000000" w:sz="4" w:space="0"/>
            </w:tcBorders>
            <w:shd w:val="clear" w:color="auto" w:fill="auto"/>
            <w:vAlign w:val="center"/>
          </w:tcPr>
          <w:p w14:paraId="4791B7C4">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915" w:type="dxa"/>
            <w:gridSpan w:val="3"/>
            <w:tcBorders>
              <w:top w:val="single" w:color="000000" w:sz="4" w:space="0"/>
              <w:left w:val="nil"/>
              <w:bottom w:val="single" w:color="000000" w:sz="4" w:space="0"/>
              <w:right w:val="single" w:color="000000" w:sz="4" w:space="0"/>
            </w:tcBorders>
            <w:shd w:val="clear" w:color="auto" w:fill="auto"/>
            <w:vAlign w:val="center"/>
          </w:tcPr>
          <w:p w14:paraId="64FAB35E">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934" w:type="dxa"/>
            <w:tcBorders>
              <w:top w:val="nil"/>
              <w:left w:val="nil"/>
              <w:bottom w:val="single" w:color="000000" w:sz="4" w:space="0"/>
              <w:right w:val="single" w:color="000000" w:sz="4" w:space="0"/>
            </w:tcBorders>
            <w:shd w:val="clear" w:color="auto" w:fill="auto"/>
            <w:vAlign w:val="center"/>
          </w:tcPr>
          <w:p w14:paraId="65673788">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906" w:type="dxa"/>
            <w:tcBorders>
              <w:top w:val="nil"/>
              <w:left w:val="nil"/>
              <w:bottom w:val="single" w:color="000000" w:sz="4" w:space="0"/>
              <w:right w:val="single" w:color="000000" w:sz="4" w:space="0"/>
            </w:tcBorders>
            <w:shd w:val="clear" w:color="auto" w:fill="auto"/>
            <w:vAlign w:val="center"/>
          </w:tcPr>
          <w:p w14:paraId="1163A2E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4" w:type="dxa"/>
            <w:tcBorders>
              <w:top w:val="nil"/>
              <w:left w:val="nil"/>
              <w:bottom w:val="single" w:color="000000" w:sz="4" w:space="0"/>
              <w:right w:val="single" w:color="000000" w:sz="4" w:space="0"/>
            </w:tcBorders>
            <w:shd w:val="clear" w:color="auto" w:fill="auto"/>
            <w:vAlign w:val="center"/>
          </w:tcPr>
          <w:p w14:paraId="16F6E49A">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6" w:type="dxa"/>
            <w:vMerge w:val="continue"/>
            <w:tcBorders>
              <w:top w:val="nil"/>
              <w:left w:val="single" w:color="000000" w:sz="4" w:space="0"/>
              <w:bottom w:val="single" w:color="000000" w:sz="4" w:space="0"/>
              <w:right w:val="single" w:color="000000" w:sz="4" w:space="0"/>
            </w:tcBorders>
            <w:vAlign w:val="center"/>
          </w:tcPr>
          <w:p w14:paraId="1151C276">
            <w:pPr>
              <w:widowControl/>
              <w:jc w:val="left"/>
              <w:rPr>
                <w:rFonts w:ascii="黑体" w:hAnsi="黑体" w:eastAsia="黑体" w:cs="宋体"/>
                <w:i/>
                <w:iCs/>
                <w:color w:val="000000"/>
                <w:kern w:val="0"/>
                <w:sz w:val="18"/>
                <w:szCs w:val="18"/>
              </w:rPr>
            </w:pPr>
          </w:p>
        </w:tc>
      </w:tr>
      <w:tr w14:paraId="29298170">
        <w:tblPrEx>
          <w:tblCellMar>
            <w:top w:w="0" w:type="dxa"/>
            <w:left w:w="108" w:type="dxa"/>
            <w:bottom w:w="0" w:type="dxa"/>
            <w:right w:w="108" w:type="dxa"/>
          </w:tblCellMar>
        </w:tblPrEx>
        <w:trPr>
          <w:gridAfter w:val="1"/>
          <w:wAfter w:w="12" w:type="dxa"/>
          <w:trHeight w:val="579" w:hRule="atLeast"/>
        </w:trPr>
        <w:tc>
          <w:tcPr>
            <w:tcW w:w="806" w:type="dxa"/>
            <w:vMerge w:val="continue"/>
            <w:tcBorders>
              <w:top w:val="nil"/>
              <w:left w:val="single" w:color="000000" w:sz="4" w:space="0"/>
              <w:bottom w:val="single" w:color="000000" w:sz="4" w:space="0"/>
              <w:right w:val="single" w:color="000000" w:sz="4" w:space="0"/>
            </w:tcBorders>
            <w:vAlign w:val="center"/>
          </w:tcPr>
          <w:p w14:paraId="013EE588">
            <w:pPr>
              <w:widowControl/>
              <w:jc w:val="left"/>
              <w:rPr>
                <w:rFonts w:ascii="宋体" w:hAnsi="宋体" w:cs="宋体"/>
                <w:color w:val="000000"/>
                <w:kern w:val="0"/>
                <w:sz w:val="18"/>
                <w:szCs w:val="18"/>
              </w:rPr>
            </w:pPr>
          </w:p>
        </w:tc>
        <w:tc>
          <w:tcPr>
            <w:tcW w:w="807" w:type="dxa"/>
            <w:tcBorders>
              <w:top w:val="nil"/>
              <w:left w:val="nil"/>
              <w:bottom w:val="single" w:color="000000" w:sz="4" w:space="0"/>
              <w:right w:val="single" w:color="000000" w:sz="4" w:space="0"/>
            </w:tcBorders>
            <w:shd w:val="clear" w:color="auto" w:fill="auto"/>
            <w:vAlign w:val="center"/>
          </w:tcPr>
          <w:p w14:paraId="4E68B762">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124" w:type="dxa"/>
            <w:tcBorders>
              <w:top w:val="nil"/>
              <w:left w:val="nil"/>
              <w:bottom w:val="single" w:color="000000" w:sz="4" w:space="0"/>
              <w:right w:val="single" w:color="000000" w:sz="4" w:space="0"/>
            </w:tcBorders>
            <w:shd w:val="clear" w:color="auto" w:fill="auto"/>
            <w:vAlign w:val="center"/>
          </w:tcPr>
          <w:p w14:paraId="6D5ED38B">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26" w:type="dxa"/>
            <w:tcBorders>
              <w:top w:val="nil"/>
              <w:left w:val="nil"/>
              <w:bottom w:val="single" w:color="000000" w:sz="4" w:space="0"/>
              <w:right w:val="single" w:color="000000" w:sz="4" w:space="0"/>
            </w:tcBorders>
            <w:shd w:val="clear" w:color="auto" w:fill="auto"/>
            <w:vAlign w:val="center"/>
          </w:tcPr>
          <w:p w14:paraId="0059CE24">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915" w:type="dxa"/>
            <w:gridSpan w:val="3"/>
            <w:tcBorders>
              <w:top w:val="single" w:color="000000" w:sz="4" w:space="0"/>
              <w:left w:val="nil"/>
              <w:bottom w:val="single" w:color="000000" w:sz="4" w:space="0"/>
              <w:right w:val="single" w:color="000000" w:sz="4" w:space="0"/>
            </w:tcBorders>
            <w:shd w:val="clear" w:color="auto" w:fill="auto"/>
            <w:vAlign w:val="center"/>
          </w:tcPr>
          <w:p w14:paraId="74759AC7">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934" w:type="dxa"/>
            <w:tcBorders>
              <w:top w:val="nil"/>
              <w:left w:val="nil"/>
              <w:bottom w:val="single" w:color="000000" w:sz="4" w:space="0"/>
              <w:right w:val="single" w:color="000000" w:sz="4" w:space="0"/>
            </w:tcBorders>
            <w:shd w:val="clear" w:color="auto" w:fill="auto"/>
            <w:vAlign w:val="center"/>
          </w:tcPr>
          <w:p w14:paraId="67947AEC">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906" w:type="dxa"/>
            <w:tcBorders>
              <w:top w:val="nil"/>
              <w:left w:val="nil"/>
              <w:bottom w:val="single" w:color="000000" w:sz="4" w:space="0"/>
              <w:right w:val="single" w:color="000000" w:sz="4" w:space="0"/>
            </w:tcBorders>
            <w:shd w:val="clear" w:color="auto" w:fill="auto"/>
            <w:vAlign w:val="center"/>
          </w:tcPr>
          <w:p w14:paraId="5D6229F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4" w:type="dxa"/>
            <w:tcBorders>
              <w:top w:val="nil"/>
              <w:left w:val="nil"/>
              <w:bottom w:val="single" w:color="000000" w:sz="4" w:space="0"/>
              <w:right w:val="single" w:color="000000" w:sz="4" w:space="0"/>
            </w:tcBorders>
            <w:shd w:val="clear" w:color="auto" w:fill="auto"/>
            <w:vAlign w:val="center"/>
          </w:tcPr>
          <w:p w14:paraId="7F487D3B">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6" w:type="dxa"/>
            <w:vMerge w:val="continue"/>
            <w:tcBorders>
              <w:top w:val="nil"/>
              <w:left w:val="single" w:color="000000" w:sz="4" w:space="0"/>
              <w:bottom w:val="single" w:color="000000" w:sz="4" w:space="0"/>
              <w:right w:val="single" w:color="000000" w:sz="4" w:space="0"/>
            </w:tcBorders>
            <w:vAlign w:val="center"/>
          </w:tcPr>
          <w:p w14:paraId="02869F95">
            <w:pPr>
              <w:widowControl/>
              <w:jc w:val="left"/>
              <w:rPr>
                <w:rFonts w:ascii="黑体" w:hAnsi="黑体" w:eastAsia="黑体" w:cs="宋体"/>
                <w:i/>
                <w:iCs/>
                <w:color w:val="000000"/>
                <w:kern w:val="0"/>
                <w:sz w:val="18"/>
                <w:szCs w:val="18"/>
              </w:rPr>
            </w:pPr>
          </w:p>
        </w:tc>
      </w:tr>
      <w:tr w14:paraId="3246F3FE">
        <w:tblPrEx>
          <w:tblCellMar>
            <w:top w:w="0" w:type="dxa"/>
            <w:left w:w="108" w:type="dxa"/>
            <w:bottom w:w="0" w:type="dxa"/>
            <w:right w:w="108" w:type="dxa"/>
          </w:tblCellMar>
        </w:tblPrEx>
        <w:trPr>
          <w:gridAfter w:val="1"/>
          <w:wAfter w:w="12" w:type="dxa"/>
          <w:trHeight w:val="456" w:hRule="atLeast"/>
        </w:trPr>
        <w:tc>
          <w:tcPr>
            <w:tcW w:w="806" w:type="dxa"/>
            <w:vMerge w:val="restart"/>
            <w:tcBorders>
              <w:top w:val="nil"/>
              <w:left w:val="single" w:color="000000" w:sz="4" w:space="0"/>
              <w:bottom w:val="single" w:color="000000" w:sz="4" w:space="0"/>
              <w:right w:val="single" w:color="000000" w:sz="4" w:space="0"/>
            </w:tcBorders>
            <w:shd w:val="clear" w:color="auto" w:fill="auto"/>
            <w:vAlign w:val="center"/>
          </w:tcPr>
          <w:p w14:paraId="3FB68F9A">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807" w:type="dxa"/>
            <w:tcBorders>
              <w:top w:val="nil"/>
              <w:left w:val="nil"/>
              <w:bottom w:val="single" w:color="000000" w:sz="4" w:space="0"/>
              <w:right w:val="single" w:color="000000" w:sz="4" w:space="0"/>
            </w:tcBorders>
            <w:shd w:val="clear" w:color="auto" w:fill="auto"/>
            <w:vAlign w:val="center"/>
          </w:tcPr>
          <w:p w14:paraId="0A824D8D">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124" w:type="dxa"/>
            <w:tcBorders>
              <w:top w:val="nil"/>
              <w:left w:val="nil"/>
              <w:bottom w:val="single" w:color="000000" w:sz="4" w:space="0"/>
              <w:right w:val="single" w:color="000000" w:sz="4" w:space="0"/>
            </w:tcBorders>
            <w:shd w:val="clear" w:color="auto" w:fill="auto"/>
            <w:vAlign w:val="center"/>
          </w:tcPr>
          <w:p w14:paraId="50BA267F">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1126" w:type="dxa"/>
            <w:tcBorders>
              <w:top w:val="nil"/>
              <w:left w:val="nil"/>
              <w:bottom w:val="single" w:color="000000" w:sz="4" w:space="0"/>
              <w:right w:val="single" w:color="000000" w:sz="4" w:space="0"/>
            </w:tcBorders>
            <w:shd w:val="clear" w:color="auto" w:fill="auto"/>
            <w:vAlign w:val="center"/>
          </w:tcPr>
          <w:p w14:paraId="5D6F3B2C">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41" w:type="dxa"/>
            <w:tcBorders>
              <w:top w:val="nil"/>
              <w:left w:val="nil"/>
              <w:bottom w:val="single" w:color="000000" w:sz="4" w:space="0"/>
              <w:right w:val="single" w:color="000000" w:sz="4" w:space="0"/>
            </w:tcBorders>
            <w:shd w:val="clear" w:color="auto" w:fill="auto"/>
            <w:vAlign w:val="center"/>
          </w:tcPr>
          <w:p w14:paraId="25E31988">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636" w:type="dxa"/>
            <w:tcBorders>
              <w:top w:val="nil"/>
              <w:left w:val="nil"/>
              <w:bottom w:val="single" w:color="000000" w:sz="4" w:space="0"/>
              <w:right w:val="single" w:color="000000" w:sz="4" w:space="0"/>
            </w:tcBorders>
            <w:shd w:val="clear" w:color="auto" w:fill="auto"/>
            <w:vAlign w:val="center"/>
          </w:tcPr>
          <w:p w14:paraId="490DC2A2">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638" w:type="dxa"/>
            <w:tcBorders>
              <w:top w:val="nil"/>
              <w:left w:val="nil"/>
              <w:bottom w:val="single" w:color="000000" w:sz="4" w:space="0"/>
              <w:right w:val="single" w:color="000000" w:sz="4" w:space="0"/>
            </w:tcBorders>
            <w:shd w:val="clear" w:color="auto" w:fill="auto"/>
            <w:vAlign w:val="center"/>
          </w:tcPr>
          <w:p w14:paraId="4DE7E304">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934" w:type="dxa"/>
            <w:tcBorders>
              <w:top w:val="nil"/>
              <w:left w:val="nil"/>
              <w:bottom w:val="single" w:color="000000" w:sz="4" w:space="0"/>
              <w:right w:val="single" w:color="000000" w:sz="4" w:space="0"/>
            </w:tcBorders>
            <w:shd w:val="clear" w:color="auto" w:fill="auto"/>
            <w:vAlign w:val="center"/>
          </w:tcPr>
          <w:p w14:paraId="7EBE89C8">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906" w:type="dxa"/>
            <w:tcBorders>
              <w:top w:val="nil"/>
              <w:left w:val="nil"/>
              <w:bottom w:val="single" w:color="000000" w:sz="4" w:space="0"/>
              <w:right w:val="single" w:color="000000" w:sz="4" w:space="0"/>
            </w:tcBorders>
            <w:shd w:val="clear" w:color="auto" w:fill="auto"/>
            <w:vAlign w:val="center"/>
          </w:tcPr>
          <w:p w14:paraId="1CB87C92">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904" w:type="dxa"/>
            <w:tcBorders>
              <w:top w:val="nil"/>
              <w:left w:val="nil"/>
              <w:bottom w:val="single" w:color="000000" w:sz="4" w:space="0"/>
              <w:right w:val="single" w:color="000000" w:sz="4" w:space="0"/>
            </w:tcBorders>
            <w:shd w:val="clear" w:color="auto" w:fill="auto"/>
            <w:vAlign w:val="center"/>
          </w:tcPr>
          <w:p w14:paraId="6CCC09D9">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906" w:type="dxa"/>
            <w:tcBorders>
              <w:top w:val="nil"/>
              <w:left w:val="nil"/>
              <w:bottom w:val="single" w:color="000000" w:sz="4" w:space="0"/>
              <w:right w:val="single" w:color="000000" w:sz="4" w:space="0"/>
            </w:tcBorders>
            <w:shd w:val="clear" w:color="auto" w:fill="auto"/>
            <w:vAlign w:val="center"/>
          </w:tcPr>
          <w:p w14:paraId="0F005049">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14:paraId="5D4E1155">
        <w:tblPrEx>
          <w:tblCellMar>
            <w:top w:w="0" w:type="dxa"/>
            <w:left w:w="108" w:type="dxa"/>
            <w:bottom w:w="0" w:type="dxa"/>
            <w:right w:w="108" w:type="dxa"/>
          </w:tblCellMar>
        </w:tblPrEx>
        <w:trPr>
          <w:gridAfter w:val="1"/>
          <w:wAfter w:w="12" w:type="dxa"/>
          <w:trHeight w:val="273" w:hRule="atLeast"/>
        </w:trPr>
        <w:tc>
          <w:tcPr>
            <w:tcW w:w="806" w:type="dxa"/>
            <w:vMerge w:val="continue"/>
            <w:tcBorders>
              <w:top w:val="nil"/>
              <w:left w:val="single" w:color="000000" w:sz="4" w:space="0"/>
              <w:bottom w:val="single" w:color="000000" w:sz="4" w:space="0"/>
              <w:right w:val="single" w:color="000000" w:sz="4" w:space="0"/>
            </w:tcBorders>
            <w:vAlign w:val="center"/>
          </w:tcPr>
          <w:p w14:paraId="11350545">
            <w:pPr>
              <w:widowControl/>
              <w:jc w:val="left"/>
              <w:rPr>
                <w:rFonts w:ascii="宋体" w:hAnsi="宋体" w:cs="宋体"/>
                <w:color w:val="000000"/>
                <w:kern w:val="0"/>
                <w:sz w:val="18"/>
                <w:szCs w:val="18"/>
              </w:rPr>
            </w:pPr>
          </w:p>
        </w:tc>
        <w:tc>
          <w:tcPr>
            <w:tcW w:w="807" w:type="dxa"/>
            <w:tcBorders>
              <w:top w:val="nil"/>
              <w:left w:val="nil"/>
              <w:bottom w:val="single" w:color="000000" w:sz="4" w:space="0"/>
              <w:right w:val="single" w:color="000000" w:sz="4" w:space="0"/>
            </w:tcBorders>
            <w:shd w:val="clear" w:color="auto" w:fill="auto"/>
            <w:vAlign w:val="center"/>
          </w:tcPr>
          <w:p w14:paraId="427FB26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24" w:type="dxa"/>
            <w:tcBorders>
              <w:top w:val="nil"/>
              <w:left w:val="nil"/>
              <w:bottom w:val="single" w:color="000000" w:sz="4" w:space="0"/>
              <w:right w:val="single" w:color="000000" w:sz="4" w:space="0"/>
            </w:tcBorders>
            <w:shd w:val="clear" w:color="auto" w:fill="auto"/>
            <w:vAlign w:val="center"/>
          </w:tcPr>
          <w:p w14:paraId="27B7A1F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26" w:type="dxa"/>
            <w:tcBorders>
              <w:top w:val="nil"/>
              <w:left w:val="nil"/>
              <w:bottom w:val="single" w:color="000000" w:sz="4" w:space="0"/>
              <w:right w:val="single" w:color="000000" w:sz="4" w:space="0"/>
            </w:tcBorders>
            <w:shd w:val="clear" w:color="auto" w:fill="auto"/>
            <w:vAlign w:val="center"/>
          </w:tcPr>
          <w:p w14:paraId="7189B67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41" w:type="dxa"/>
            <w:tcBorders>
              <w:top w:val="nil"/>
              <w:left w:val="nil"/>
              <w:bottom w:val="single" w:color="000000" w:sz="4" w:space="0"/>
              <w:right w:val="single" w:color="000000" w:sz="4" w:space="0"/>
            </w:tcBorders>
            <w:shd w:val="clear" w:color="auto" w:fill="auto"/>
            <w:vAlign w:val="center"/>
          </w:tcPr>
          <w:p w14:paraId="5EA05D4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36" w:type="dxa"/>
            <w:tcBorders>
              <w:top w:val="nil"/>
              <w:left w:val="nil"/>
              <w:bottom w:val="single" w:color="000000" w:sz="4" w:space="0"/>
              <w:right w:val="single" w:color="000000" w:sz="4" w:space="0"/>
            </w:tcBorders>
            <w:shd w:val="clear" w:color="auto" w:fill="auto"/>
            <w:vAlign w:val="center"/>
          </w:tcPr>
          <w:p w14:paraId="3F3900D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38" w:type="dxa"/>
            <w:tcBorders>
              <w:top w:val="nil"/>
              <w:left w:val="nil"/>
              <w:bottom w:val="single" w:color="000000" w:sz="4" w:space="0"/>
              <w:right w:val="single" w:color="000000" w:sz="4" w:space="0"/>
            </w:tcBorders>
            <w:shd w:val="clear" w:color="auto" w:fill="auto"/>
            <w:vAlign w:val="center"/>
          </w:tcPr>
          <w:p w14:paraId="0C19773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34" w:type="dxa"/>
            <w:tcBorders>
              <w:top w:val="nil"/>
              <w:left w:val="nil"/>
              <w:bottom w:val="single" w:color="000000" w:sz="4" w:space="0"/>
              <w:right w:val="single" w:color="000000" w:sz="4" w:space="0"/>
            </w:tcBorders>
            <w:shd w:val="clear" w:color="auto" w:fill="auto"/>
            <w:vAlign w:val="center"/>
          </w:tcPr>
          <w:p w14:paraId="7493C689">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906" w:type="dxa"/>
            <w:tcBorders>
              <w:top w:val="nil"/>
              <w:left w:val="nil"/>
              <w:bottom w:val="single" w:color="000000" w:sz="4" w:space="0"/>
              <w:right w:val="single" w:color="000000" w:sz="4" w:space="0"/>
            </w:tcBorders>
            <w:shd w:val="clear" w:color="auto" w:fill="auto"/>
            <w:vAlign w:val="center"/>
          </w:tcPr>
          <w:p w14:paraId="5C9EBAB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04" w:type="dxa"/>
            <w:tcBorders>
              <w:top w:val="nil"/>
              <w:left w:val="nil"/>
              <w:bottom w:val="single" w:color="000000" w:sz="4" w:space="0"/>
              <w:right w:val="single" w:color="000000" w:sz="4" w:space="0"/>
            </w:tcBorders>
            <w:shd w:val="clear" w:color="auto" w:fill="auto"/>
            <w:vAlign w:val="center"/>
          </w:tcPr>
          <w:p w14:paraId="790FC21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06" w:type="dxa"/>
            <w:tcBorders>
              <w:top w:val="nil"/>
              <w:left w:val="nil"/>
              <w:bottom w:val="single" w:color="000000" w:sz="4" w:space="0"/>
              <w:right w:val="single" w:color="000000" w:sz="4" w:space="0"/>
            </w:tcBorders>
            <w:shd w:val="clear" w:color="auto" w:fill="auto"/>
            <w:vAlign w:val="center"/>
          </w:tcPr>
          <w:p w14:paraId="666BCACF">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21A0B1E8">
        <w:tblPrEx>
          <w:tblCellMar>
            <w:top w:w="0" w:type="dxa"/>
            <w:left w:w="108" w:type="dxa"/>
            <w:bottom w:w="0" w:type="dxa"/>
            <w:right w:w="108" w:type="dxa"/>
          </w:tblCellMar>
        </w:tblPrEx>
        <w:trPr>
          <w:trHeight w:val="456" w:hRule="atLeast"/>
        </w:trPr>
        <w:tc>
          <w:tcPr>
            <w:tcW w:w="671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097C342">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906" w:type="dxa"/>
            <w:tcBorders>
              <w:top w:val="nil"/>
              <w:left w:val="nil"/>
              <w:bottom w:val="single" w:color="000000" w:sz="4" w:space="0"/>
              <w:right w:val="single" w:color="000000" w:sz="4" w:space="0"/>
            </w:tcBorders>
            <w:shd w:val="clear" w:color="auto" w:fill="auto"/>
            <w:vAlign w:val="center"/>
          </w:tcPr>
          <w:p w14:paraId="47CD4225">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904" w:type="dxa"/>
            <w:tcBorders>
              <w:top w:val="nil"/>
              <w:left w:val="nil"/>
              <w:bottom w:val="single" w:color="000000" w:sz="4" w:space="0"/>
              <w:right w:val="single" w:color="000000" w:sz="4" w:space="0"/>
            </w:tcBorders>
            <w:shd w:val="clear" w:color="auto" w:fill="auto"/>
            <w:vAlign w:val="center"/>
          </w:tcPr>
          <w:p w14:paraId="6E0F65D8">
            <w:pPr>
              <w:widowControl/>
              <w:jc w:val="right"/>
              <w:rPr>
                <w:rFonts w:ascii="宋体" w:hAnsi="宋体" w:cs="宋体"/>
                <w:color w:val="000000"/>
                <w:kern w:val="0"/>
                <w:sz w:val="18"/>
                <w:szCs w:val="18"/>
              </w:rPr>
            </w:pPr>
            <w:r>
              <w:rPr>
                <w:rFonts w:hint="eastAsia" w:ascii="宋体" w:hAnsi="宋体" w:cs="宋体"/>
                <w:color w:val="000000"/>
                <w:kern w:val="0"/>
                <w:sz w:val="18"/>
                <w:szCs w:val="18"/>
              </w:rPr>
              <w:t>92</w:t>
            </w:r>
          </w:p>
        </w:tc>
        <w:tc>
          <w:tcPr>
            <w:tcW w:w="918" w:type="dxa"/>
            <w:gridSpan w:val="2"/>
            <w:tcBorders>
              <w:top w:val="nil"/>
              <w:left w:val="nil"/>
              <w:bottom w:val="single" w:color="000000" w:sz="4" w:space="0"/>
              <w:right w:val="single" w:color="000000" w:sz="4" w:space="0"/>
            </w:tcBorders>
            <w:shd w:val="clear" w:color="auto" w:fill="auto"/>
            <w:vAlign w:val="center"/>
          </w:tcPr>
          <w:p w14:paraId="5FF67C1A">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14:paraId="685065C5">
        <w:tblPrEx>
          <w:tblCellMar>
            <w:top w:w="0" w:type="dxa"/>
            <w:left w:w="108" w:type="dxa"/>
            <w:bottom w:w="0" w:type="dxa"/>
            <w:right w:w="108" w:type="dxa"/>
          </w:tblCellMar>
        </w:tblPrEx>
        <w:trPr>
          <w:trHeight w:val="456" w:hRule="atLeast"/>
        </w:trPr>
        <w:tc>
          <w:tcPr>
            <w:tcW w:w="806" w:type="dxa"/>
            <w:tcBorders>
              <w:top w:val="nil"/>
              <w:left w:val="single" w:color="000000" w:sz="4" w:space="0"/>
              <w:bottom w:val="single" w:color="000000" w:sz="4" w:space="0"/>
              <w:right w:val="single" w:color="000000" w:sz="4" w:space="0"/>
            </w:tcBorders>
            <w:shd w:val="clear" w:color="auto" w:fill="auto"/>
            <w:vAlign w:val="center"/>
          </w:tcPr>
          <w:p w14:paraId="040FE239">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8634" w:type="dxa"/>
            <w:gridSpan w:val="11"/>
            <w:tcBorders>
              <w:top w:val="single" w:color="000000" w:sz="4" w:space="0"/>
              <w:left w:val="nil"/>
              <w:bottom w:val="single" w:color="000000" w:sz="4" w:space="0"/>
              <w:right w:val="single" w:color="000000" w:sz="4" w:space="0"/>
            </w:tcBorders>
            <w:shd w:val="clear" w:color="auto" w:fill="auto"/>
            <w:vAlign w:val="center"/>
          </w:tcPr>
          <w:p w14:paraId="35F0075F">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项目自评总分92分，严格按照有关项目管理和经费管理规定执行。各项预算支出有序进行。</w:t>
            </w:r>
          </w:p>
        </w:tc>
      </w:tr>
      <w:tr w14:paraId="246FA6D4">
        <w:tblPrEx>
          <w:tblCellMar>
            <w:top w:w="0" w:type="dxa"/>
            <w:left w:w="108" w:type="dxa"/>
            <w:bottom w:w="0" w:type="dxa"/>
            <w:right w:w="108" w:type="dxa"/>
          </w:tblCellMar>
        </w:tblPrEx>
        <w:trPr>
          <w:trHeight w:val="456" w:hRule="atLeast"/>
        </w:trPr>
        <w:tc>
          <w:tcPr>
            <w:tcW w:w="806" w:type="dxa"/>
            <w:tcBorders>
              <w:top w:val="nil"/>
              <w:left w:val="single" w:color="000000" w:sz="4" w:space="0"/>
              <w:bottom w:val="single" w:color="000000" w:sz="4" w:space="0"/>
              <w:right w:val="single" w:color="000000" w:sz="4" w:space="0"/>
            </w:tcBorders>
            <w:shd w:val="clear" w:color="auto" w:fill="auto"/>
            <w:vAlign w:val="center"/>
          </w:tcPr>
          <w:p w14:paraId="494B5C5B">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8634" w:type="dxa"/>
            <w:gridSpan w:val="11"/>
            <w:tcBorders>
              <w:top w:val="single" w:color="000000" w:sz="4" w:space="0"/>
              <w:left w:val="nil"/>
              <w:bottom w:val="single" w:color="000000" w:sz="4" w:space="0"/>
              <w:right w:val="single" w:color="000000" w:sz="4" w:space="0"/>
            </w:tcBorders>
            <w:shd w:val="clear" w:color="auto" w:fill="auto"/>
            <w:vAlign w:val="center"/>
          </w:tcPr>
          <w:p w14:paraId="64EA3E60">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受疫情影响，进度较慢，严</w:t>
            </w:r>
            <w:r>
              <w:rPr>
                <w:rFonts w:hint="eastAsia" w:ascii="微软雅黑" w:hAnsi="微软雅黑" w:eastAsia="微软雅黑" w:cs="宋体"/>
                <w:i/>
                <w:iCs/>
                <w:color w:val="000000"/>
                <w:kern w:val="0"/>
                <w:sz w:val="16"/>
                <w:szCs w:val="16"/>
                <w:lang w:eastAsia="zh-CN"/>
              </w:rPr>
              <w:t>重</w:t>
            </w:r>
            <w:r>
              <w:rPr>
                <w:rFonts w:hint="eastAsia" w:ascii="微软雅黑" w:hAnsi="微软雅黑" w:eastAsia="微软雅黑" w:cs="宋体"/>
                <w:i/>
                <w:iCs/>
                <w:color w:val="000000"/>
                <w:kern w:val="0"/>
                <w:sz w:val="16"/>
                <w:szCs w:val="16"/>
              </w:rPr>
              <w:t>影响了项目实施进度</w:t>
            </w:r>
          </w:p>
        </w:tc>
      </w:tr>
      <w:tr w14:paraId="471ECC6C">
        <w:tblPrEx>
          <w:tblCellMar>
            <w:top w:w="0" w:type="dxa"/>
            <w:left w:w="108" w:type="dxa"/>
            <w:bottom w:w="0" w:type="dxa"/>
            <w:right w:w="108" w:type="dxa"/>
          </w:tblCellMar>
        </w:tblPrEx>
        <w:trPr>
          <w:trHeight w:val="456" w:hRule="atLeast"/>
        </w:trPr>
        <w:tc>
          <w:tcPr>
            <w:tcW w:w="806" w:type="dxa"/>
            <w:tcBorders>
              <w:top w:val="nil"/>
              <w:left w:val="single" w:color="000000" w:sz="4" w:space="0"/>
              <w:bottom w:val="single" w:color="000000" w:sz="4" w:space="0"/>
              <w:right w:val="single" w:color="000000" w:sz="4" w:space="0"/>
            </w:tcBorders>
            <w:shd w:val="clear" w:color="auto" w:fill="auto"/>
            <w:vAlign w:val="center"/>
          </w:tcPr>
          <w:p w14:paraId="3B773E0A">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8634" w:type="dxa"/>
            <w:gridSpan w:val="11"/>
            <w:tcBorders>
              <w:top w:val="single" w:color="000000" w:sz="4" w:space="0"/>
              <w:left w:val="nil"/>
              <w:bottom w:val="single" w:color="000000" w:sz="4" w:space="0"/>
              <w:right w:val="single" w:color="000000" w:sz="4" w:space="0"/>
            </w:tcBorders>
            <w:shd w:val="clear" w:color="auto" w:fill="auto"/>
            <w:vAlign w:val="center"/>
          </w:tcPr>
          <w:p w14:paraId="5ED8F5BB">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完善需求调查机制，更好</w:t>
            </w:r>
            <w:r>
              <w:rPr>
                <w:rFonts w:hint="eastAsia" w:ascii="微软雅黑" w:hAnsi="微软雅黑" w:eastAsia="微软雅黑" w:cs="宋体"/>
                <w:i/>
                <w:iCs/>
                <w:color w:val="000000"/>
                <w:kern w:val="0"/>
                <w:sz w:val="16"/>
                <w:szCs w:val="16"/>
                <w:lang w:eastAsia="zh-CN"/>
              </w:rPr>
              <w:t>地</w:t>
            </w:r>
            <w:r>
              <w:rPr>
                <w:rFonts w:hint="eastAsia" w:ascii="微软雅黑" w:hAnsi="微软雅黑" w:eastAsia="微软雅黑" w:cs="宋体"/>
                <w:i/>
                <w:iCs/>
                <w:color w:val="000000"/>
                <w:kern w:val="0"/>
                <w:sz w:val="16"/>
                <w:szCs w:val="16"/>
              </w:rPr>
              <w:t>将队伍需求与市场供应结合紧密结合起来 ；尽快完成项目余款支付。</w:t>
            </w:r>
          </w:p>
        </w:tc>
      </w:tr>
      <w:tr w14:paraId="0980440F">
        <w:tblPrEx>
          <w:tblCellMar>
            <w:top w:w="0" w:type="dxa"/>
            <w:left w:w="108" w:type="dxa"/>
            <w:bottom w:w="0" w:type="dxa"/>
            <w:right w:w="108" w:type="dxa"/>
          </w:tblCellMar>
        </w:tblPrEx>
        <w:trPr>
          <w:trHeight w:val="456" w:hRule="atLeast"/>
        </w:trPr>
        <w:tc>
          <w:tcPr>
            <w:tcW w:w="450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F7E719">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项目</w:t>
            </w:r>
            <w:r>
              <w:rPr>
                <w:rFonts w:hint="eastAsia" w:ascii="微软雅黑" w:hAnsi="微软雅黑" w:eastAsia="微软雅黑" w:cs="微软雅黑"/>
                <w:color w:val="000000"/>
                <w:kern w:val="0"/>
                <w:sz w:val="18"/>
                <w:szCs w:val="18"/>
              </w:rPr>
              <w:t>负</w:t>
            </w:r>
            <w:r>
              <w:rPr>
                <w:rFonts w:hint="eastAsia" w:ascii="___WRD_EMBED_SUB_17" w:hAnsi="___WRD_EMBED_SUB_17" w:eastAsia="___WRD_EMBED_SUB_17" w:cs="___WRD_EMBED_SUB_17"/>
                <w:color w:val="000000"/>
                <w:kern w:val="0"/>
                <w:sz w:val="18"/>
                <w:szCs w:val="18"/>
              </w:rPr>
              <w:t>责</w:t>
            </w:r>
            <w:r>
              <w:rPr>
                <w:rFonts w:hint="eastAsia" w:ascii="微软雅黑" w:hAnsi="微软雅黑" w:eastAsia="微软雅黑" w:cs="微软雅黑"/>
                <w:color w:val="000000"/>
                <w:kern w:val="0"/>
                <w:sz w:val="18"/>
                <w:szCs w:val="18"/>
              </w:rPr>
              <w:t>人：毛佳龙</w:t>
            </w:r>
          </w:p>
        </w:tc>
        <w:tc>
          <w:tcPr>
            <w:tcW w:w="4936" w:type="dxa"/>
            <w:gridSpan w:val="7"/>
            <w:tcBorders>
              <w:top w:val="single" w:color="000000" w:sz="4" w:space="0"/>
              <w:left w:val="nil"/>
              <w:bottom w:val="single" w:color="000000" w:sz="4" w:space="0"/>
              <w:right w:val="single" w:color="000000" w:sz="4" w:space="0"/>
            </w:tcBorders>
            <w:shd w:val="clear" w:color="auto" w:fill="auto"/>
            <w:vAlign w:val="center"/>
          </w:tcPr>
          <w:p w14:paraId="3F263477">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财</w:t>
            </w:r>
            <w:r>
              <w:rPr>
                <w:rFonts w:hint="eastAsia" w:ascii="微软雅黑" w:hAnsi="微软雅黑" w:eastAsia="微软雅黑" w:cs="微软雅黑"/>
                <w:color w:val="000000"/>
                <w:kern w:val="0"/>
                <w:sz w:val="18"/>
                <w:szCs w:val="18"/>
              </w:rPr>
              <w:t>务负</w:t>
            </w:r>
            <w:r>
              <w:rPr>
                <w:rFonts w:hint="eastAsia" w:ascii="___WRD_EMBED_SUB_17" w:hAnsi="___WRD_EMBED_SUB_17" w:eastAsia="___WRD_EMBED_SUB_17" w:cs="___WRD_EMBED_SUB_17"/>
                <w:color w:val="000000"/>
                <w:kern w:val="0"/>
                <w:sz w:val="18"/>
                <w:szCs w:val="18"/>
              </w:rPr>
              <w:t>责</w:t>
            </w:r>
            <w:r>
              <w:rPr>
                <w:rFonts w:hint="eastAsia" w:ascii="微软雅黑" w:hAnsi="微软雅黑" w:eastAsia="微软雅黑" w:cs="微软雅黑"/>
                <w:color w:val="000000"/>
                <w:kern w:val="0"/>
                <w:sz w:val="18"/>
                <w:szCs w:val="18"/>
              </w:rPr>
              <w:t>人：漆明强</w:t>
            </w:r>
          </w:p>
        </w:tc>
      </w:tr>
    </w:tbl>
    <w:p w14:paraId="114CC925">
      <w:pPr>
        <w:pStyle w:val="2"/>
        <w:spacing w:before="93"/>
        <w:rPr>
          <w:rFonts w:hAnsi="Calibri" w:cs="仿宋"/>
          <w:sz w:val="32"/>
          <w:szCs w:val="32"/>
        </w:rPr>
      </w:pPr>
    </w:p>
    <w:p w14:paraId="2DC6ED1C">
      <w:pPr>
        <w:pStyle w:val="2"/>
        <w:spacing w:before="93"/>
        <w:rPr>
          <w:rFonts w:ascii="Cambria" w:hAnsi="Cambria" w:cs="仿宋"/>
          <w:b/>
          <w:bCs/>
          <w:sz w:val="32"/>
          <w:szCs w:val="32"/>
        </w:rPr>
      </w:pPr>
      <w:r>
        <w:rPr>
          <w:rFonts w:hint="eastAsia" w:hAnsi="Calibri" w:cs="仿宋"/>
          <w:b/>
          <w:bCs/>
          <w:sz w:val="32"/>
          <w:szCs w:val="32"/>
        </w:rPr>
        <w:t>附件</w:t>
      </w:r>
      <w:r>
        <w:rPr>
          <w:rFonts w:ascii="Cambria" w:hAnsi="Cambria" w:cs="仿宋"/>
          <w:b/>
          <w:bCs/>
          <w:sz w:val="32"/>
          <w:szCs w:val="32"/>
        </w:rPr>
        <w:t>3-7</w:t>
      </w:r>
    </w:p>
    <w:tbl>
      <w:tblPr>
        <w:tblStyle w:val="14"/>
        <w:tblW w:w="9415" w:type="dxa"/>
        <w:tblInd w:w="113" w:type="dxa"/>
        <w:tblLayout w:type="autofit"/>
        <w:tblCellMar>
          <w:top w:w="0" w:type="dxa"/>
          <w:left w:w="108" w:type="dxa"/>
          <w:bottom w:w="0" w:type="dxa"/>
          <w:right w:w="108" w:type="dxa"/>
        </w:tblCellMar>
      </w:tblPr>
      <w:tblGrid>
        <w:gridCol w:w="803"/>
        <w:gridCol w:w="802"/>
        <w:gridCol w:w="1104"/>
        <w:gridCol w:w="1115"/>
        <w:gridCol w:w="629"/>
        <w:gridCol w:w="627"/>
        <w:gridCol w:w="629"/>
        <w:gridCol w:w="1037"/>
        <w:gridCol w:w="889"/>
        <w:gridCol w:w="889"/>
        <w:gridCol w:w="884"/>
        <w:gridCol w:w="7"/>
      </w:tblGrid>
      <w:tr w14:paraId="4F36FC61">
        <w:tblPrEx>
          <w:tblCellMar>
            <w:top w:w="0" w:type="dxa"/>
            <w:left w:w="108" w:type="dxa"/>
            <w:bottom w:w="0" w:type="dxa"/>
            <w:right w:w="108" w:type="dxa"/>
          </w:tblCellMar>
        </w:tblPrEx>
        <w:trPr>
          <w:trHeight w:val="605" w:hRule="atLeast"/>
        </w:trPr>
        <w:tc>
          <w:tcPr>
            <w:tcW w:w="9415"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E1FBB91">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w:t>
            </w:r>
            <w:r>
              <w:rPr>
                <w:rFonts w:hint="eastAsia" w:ascii="微软雅黑" w:hAnsi="微软雅黑" w:eastAsia="微软雅黑" w:cs="微软雅黑"/>
                <w:b/>
                <w:bCs/>
                <w:color w:val="000000"/>
                <w:kern w:val="0"/>
                <w:sz w:val="30"/>
                <w:szCs w:val="30"/>
              </w:rPr>
              <w:t>门</w:t>
            </w:r>
            <w:r>
              <w:rPr>
                <w:rFonts w:hint="eastAsia" w:ascii="___WRD_EMBED_SUB_17" w:hAnsi="___WRD_EMBED_SUB_17" w:eastAsia="___WRD_EMBED_SUB_17" w:cs="___WRD_EMBED_SUB_17"/>
                <w:b/>
                <w:bCs/>
                <w:color w:val="000000"/>
                <w:kern w:val="0"/>
                <w:sz w:val="30"/>
                <w:szCs w:val="30"/>
              </w:rPr>
              <w:t>预算项目支出</w:t>
            </w:r>
            <w:r>
              <w:rPr>
                <w:rFonts w:hint="eastAsia" w:ascii="微软雅黑" w:hAnsi="微软雅黑" w:eastAsia="微软雅黑" w:cs="微软雅黑"/>
                <w:b/>
                <w:bCs/>
                <w:color w:val="000000"/>
                <w:kern w:val="0"/>
                <w:sz w:val="30"/>
                <w:szCs w:val="30"/>
              </w:rPr>
              <w:t>绩效自评</w:t>
            </w:r>
            <w:r>
              <w:rPr>
                <w:rFonts w:hint="eastAsia" w:ascii="___WRD_EMBED_SUB_17" w:hAnsi="___WRD_EMBED_SUB_17" w:eastAsia="___WRD_EMBED_SUB_17" w:cs="___WRD_EMBED_SUB_17"/>
                <w:b/>
                <w:bCs/>
                <w:color w:val="000000"/>
                <w:kern w:val="0"/>
                <w:sz w:val="30"/>
                <w:szCs w:val="30"/>
              </w:rPr>
              <w:t>表</w:t>
            </w:r>
            <w:r>
              <w:rPr>
                <w:rFonts w:hint="eastAsia" w:ascii="微软雅黑" w:hAnsi="微软雅黑" w:eastAsia="微软雅黑" w:cs="微软雅黑"/>
                <w:b/>
                <w:bCs/>
                <w:color w:val="000000"/>
                <w:kern w:val="0"/>
                <w:sz w:val="30"/>
                <w:szCs w:val="30"/>
              </w:rPr>
              <w:t>（</w:t>
            </w:r>
            <w:r>
              <w:rPr>
                <w:rFonts w:hint="eastAsia" w:ascii="黑体" w:hAnsi="黑体" w:eastAsia="黑体" w:cs="宋体"/>
                <w:b/>
                <w:bCs/>
                <w:color w:val="000000"/>
                <w:kern w:val="0"/>
                <w:sz w:val="30"/>
                <w:szCs w:val="30"/>
              </w:rPr>
              <w:t>2022年度</w:t>
            </w:r>
            <w:r>
              <w:rPr>
                <w:rFonts w:hint="eastAsia" w:ascii="微软雅黑" w:hAnsi="微软雅黑" w:eastAsia="微软雅黑" w:cs="微软雅黑"/>
                <w:b/>
                <w:bCs/>
                <w:color w:val="000000"/>
                <w:kern w:val="0"/>
                <w:sz w:val="30"/>
                <w:szCs w:val="30"/>
              </w:rPr>
              <w:t>）</w:t>
            </w:r>
          </w:p>
        </w:tc>
      </w:tr>
      <w:tr w14:paraId="53D5CC04">
        <w:tblPrEx>
          <w:tblCellMar>
            <w:top w:w="0" w:type="dxa"/>
            <w:left w:w="108" w:type="dxa"/>
            <w:bottom w:w="0" w:type="dxa"/>
            <w:right w:w="108" w:type="dxa"/>
          </w:tblCellMar>
        </w:tblPrEx>
        <w:trPr>
          <w:trHeight w:val="454" w:hRule="atLeast"/>
        </w:trPr>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C0BBCD">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7809" w:type="dxa"/>
            <w:gridSpan w:val="10"/>
            <w:tcBorders>
              <w:top w:val="single" w:color="000000" w:sz="4" w:space="0"/>
              <w:left w:val="nil"/>
              <w:bottom w:val="single" w:color="000000" w:sz="4" w:space="0"/>
              <w:right w:val="single" w:color="000000" w:sz="4" w:space="0"/>
            </w:tcBorders>
            <w:shd w:val="clear" w:color="auto" w:fill="auto"/>
            <w:vAlign w:val="center"/>
          </w:tcPr>
          <w:p w14:paraId="7F625690">
            <w:pPr>
              <w:widowControl/>
              <w:jc w:val="left"/>
              <w:rPr>
                <w:rFonts w:ascii="宋体" w:hAnsi="宋体" w:cs="宋体"/>
                <w:color w:val="000000"/>
                <w:kern w:val="0"/>
                <w:sz w:val="18"/>
                <w:szCs w:val="18"/>
              </w:rPr>
            </w:pPr>
            <w:r>
              <w:rPr>
                <w:rFonts w:hint="eastAsia" w:ascii="宋体" w:hAnsi="宋体" w:cs="宋体"/>
                <w:color w:val="000000"/>
                <w:kern w:val="0"/>
                <w:sz w:val="18"/>
                <w:szCs w:val="18"/>
              </w:rPr>
              <w:t>51118122T000005413947-煤矿关闭奖补资金</w:t>
            </w:r>
          </w:p>
        </w:tc>
      </w:tr>
      <w:tr w14:paraId="4422CC37">
        <w:tblPrEx>
          <w:tblCellMar>
            <w:top w:w="0" w:type="dxa"/>
            <w:left w:w="108" w:type="dxa"/>
            <w:bottom w:w="0" w:type="dxa"/>
            <w:right w:w="108" w:type="dxa"/>
          </w:tblCellMar>
        </w:tblPrEx>
        <w:trPr>
          <w:trHeight w:val="454" w:hRule="atLeast"/>
        </w:trPr>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4EBE85">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4106" w:type="dxa"/>
            <w:gridSpan w:val="5"/>
            <w:tcBorders>
              <w:top w:val="single" w:color="000000" w:sz="4" w:space="0"/>
              <w:left w:val="nil"/>
              <w:bottom w:val="single" w:color="000000" w:sz="4" w:space="0"/>
              <w:right w:val="single" w:color="000000" w:sz="4" w:space="0"/>
            </w:tcBorders>
            <w:shd w:val="clear" w:color="auto" w:fill="auto"/>
            <w:vAlign w:val="center"/>
          </w:tcPr>
          <w:p w14:paraId="4B954CB1">
            <w:pPr>
              <w:widowControl/>
              <w:jc w:val="left"/>
              <w:rPr>
                <w:rFonts w:ascii="宋体" w:hAnsi="宋体" w:cs="宋体"/>
                <w:color w:val="000000"/>
                <w:kern w:val="0"/>
                <w:sz w:val="18"/>
                <w:szCs w:val="18"/>
              </w:rPr>
            </w:pPr>
            <w:r>
              <w:rPr>
                <w:rFonts w:hint="eastAsia" w:ascii="宋体" w:hAnsi="宋体" w:cs="宋体"/>
                <w:color w:val="000000"/>
                <w:kern w:val="0"/>
                <w:sz w:val="18"/>
                <w:szCs w:val="18"/>
              </w:rPr>
              <w:t>应急管理局</w:t>
            </w:r>
          </w:p>
        </w:tc>
        <w:tc>
          <w:tcPr>
            <w:tcW w:w="1035" w:type="dxa"/>
            <w:tcBorders>
              <w:top w:val="nil"/>
              <w:left w:val="nil"/>
              <w:bottom w:val="nil"/>
              <w:right w:val="nil"/>
            </w:tcBorders>
            <w:shd w:val="clear" w:color="auto" w:fill="auto"/>
            <w:vAlign w:val="center"/>
          </w:tcPr>
          <w:p w14:paraId="7E7DF904">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实施</w:t>
            </w:r>
            <w:r>
              <w:rPr>
                <w:rFonts w:hint="eastAsia" w:ascii="___WRD_EMBED_SUB_17" w:hAnsi="___WRD_EMBED_SUB_17" w:eastAsia="___WRD_EMBED_SUB_17" w:cs="___WRD_EMBED_SUB_17"/>
                <w:color w:val="000000"/>
                <w:kern w:val="0"/>
                <w:sz w:val="18"/>
                <w:szCs w:val="18"/>
              </w:rPr>
              <w:t>单位</w:t>
            </w:r>
            <w:r>
              <w:rPr>
                <w:rFonts w:hint="eastAsia" w:ascii="黑体" w:hAnsi="黑体" w:eastAsia="黑体" w:cs="宋体"/>
                <w:color w:val="000000"/>
                <w:kern w:val="0"/>
                <w:sz w:val="18"/>
                <w:szCs w:val="18"/>
              </w:rPr>
              <w:t xml:space="preserve"> </w:t>
            </w:r>
            <w:r>
              <w:rPr>
                <w:rFonts w:hint="eastAsia" w:ascii="微软雅黑" w:hAnsi="微软雅黑" w:eastAsia="微软雅黑" w:cs="微软雅黑"/>
                <w:color w:val="000000"/>
                <w:kern w:val="0"/>
                <w:sz w:val="18"/>
                <w:szCs w:val="18"/>
              </w:rPr>
              <w:t>（盖章）</w:t>
            </w:r>
          </w:p>
        </w:tc>
        <w:tc>
          <w:tcPr>
            <w:tcW w:w="26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49B53A9">
            <w:pPr>
              <w:widowControl/>
              <w:jc w:val="center"/>
              <w:rPr>
                <w:rFonts w:ascii="宋体" w:hAnsi="宋体" w:cs="宋体"/>
                <w:color w:val="000000"/>
                <w:kern w:val="0"/>
                <w:sz w:val="18"/>
                <w:szCs w:val="18"/>
              </w:rPr>
            </w:pPr>
            <w:r>
              <w:rPr>
                <w:rFonts w:hint="eastAsia" w:ascii="宋体" w:hAnsi="宋体" w:cs="宋体"/>
                <w:color w:val="000000"/>
                <w:kern w:val="0"/>
                <w:sz w:val="18"/>
                <w:szCs w:val="18"/>
              </w:rPr>
              <w:t>峨眉山市应急管理局</w:t>
            </w:r>
          </w:p>
        </w:tc>
      </w:tr>
      <w:tr w14:paraId="62AD9909">
        <w:tblPrEx>
          <w:tblCellMar>
            <w:top w:w="0" w:type="dxa"/>
            <w:left w:w="108" w:type="dxa"/>
            <w:bottom w:w="0" w:type="dxa"/>
            <w:right w:w="108" w:type="dxa"/>
          </w:tblCellMar>
        </w:tblPrEx>
        <w:trPr>
          <w:trHeight w:val="529" w:hRule="atLeast"/>
        </w:trPr>
        <w:tc>
          <w:tcPr>
            <w:tcW w:w="803" w:type="dxa"/>
            <w:vMerge w:val="restart"/>
            <w:tcBorders>
              <w:top w:val="nil"/>
              <w:left w:val="single" w:color="000000" w:sz="4" w:space="0"/>
              <w:bottom w:val="single" w:color="000000" w:sz="4" w:space="0"/>
              <w:right w:val="single" w:color="000000" w:sz="4" w:space="0"/>
            </w:tcBorders>
            <w:shd w:val="clear" w:color="auto" w:fill="auto"/>
            <w:vAlign w:val="center"/>
          </w:tcPr>
          <w:p w14:paraId="40797937">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802" w:type="dxa"/>
            <w:vMerge w:val="restart"/>
            <w:tcBorders>
              <w:top w:val="nil"/>
              <w:left w:val="single" w:color="000000" w:sz="4" w:space="0"/>
              <w:bottom w:val="single" w:color="000000" w:sz="4" w:space="0"/>
              <w:right w:val="single" w:color="000000" w:sz="4" w:space="0"/>
            </w:tcBorders>
            <w:shd w:val="clear" w:color="auto" w:fill="auto"/>
            <w:vAlign w:val="center"/>
          </w:tcPr>
          <w:p w14:paraId="37998CAF">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4106" w:type="dxa"/>
            <w:gridSpan w:val="5"/>
            <w:tcBorders>
              <w:top w:val="single" w:color="000000" w:sz="4" w:space="0"/>
              <w:left w:val="nil"/>
              <w:bottom w:val="single" w:color="000000" w:sz="4" w:space="0"/>
              <w:right w:val="single" w:color="000000" w:sz="4" w:space="0"/>
            </w:tcBorders>
            <w:shd w:val="clear" w:color="auto" w:fill="auto"/>
            <w:vAlign w:val="center"/>
          </w:tcPr>
          <w:p w14:paraId="76E5EF0C">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3703" w:type="dxa"/>
            <w:gridSpan w:val="5"/>
            <w:tcBorders>
              <w:top w:val="single" w:color="000000" w:sz="4" w:space="0"/>
              <w:left w:val="nil"/>
              <w:bottom w:val="single" w:color="000000" w:sz="4" w:space="0"/>
              <w:right w:val="single" w:color="000000" w:sz="4" w:space="0"/>
            </w:tcBorders>
            <w:shd w:val="clear" w:color="auto" w:fill="auto"/>
            <w:vAlign w:val="center"/>
          </w:tcPr>
          <w:p w14:paraId="7CE94025">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年度目</w:t>
            </w:r>
            <w:r>
              <w:rPr>
                <w:rFonts w:hint="eastAsia" w:ascii="微软雅黑" w:hAnsi="微软雅黑" w:eastAsia="微软雅黑" w:cs="微软雅黑"/>
                <w:color w:val="000000"/>
                <w:kern w:val="0"/>
                <w:sz w:val="18"/>
                <w:szCs w:val="18"/>
              </w:rPr>
              <w:t>标完成</w:t>
            </w:r>
            <w:r>
              <w:rPr>
                <w:rFonts w:hint="eastAsia" w:ascii="___WRD_EMBED_SUB_17" w:hAnsi="___WRD_EMBED_SUB_17" w:eastAsia="___WRD_EMBED_SUB_17" w:cs="___WRD_EMBED_SUB_17"/>
                <w:color w:val="000000"/>
                <w:kern w:val="0"/>
                <w:sz w:val="18"/>
                <w:szCs w:val="18"/>
              </w:rPr>
              <w:t>情况</w:t>
            </w:r>
          </w:p>
        </w:tc>
      </w:tr>
      <w:tr w14:paraId="07274F59">
        <w:tblPrEx>
          <w:tblCellMar>
            <w:top w:w="0" w:type="dxa"/>
            <w:left w:w="108" w:type="dxa"/>
            <w:bottom w:w="0" w:type="dxa"/>
            <w:right w:w="108" w:type="dxa"/>
          </w:tblCellMar>
        </w:tblPrEx>
        <w:trPr>
          <w:trHeight w:val="893" w:hRule="atLeast"/>
        </w:trPr>
        <w:tc>
          <w:tcPr>
            <w:tcW w:w="803" w:type="dxa"/>
            <w:vMerge w:val="continue"/>
            <w:tcBorders>
              <w:top w:val="nil"/>
              <w:left w:val="single" w:color="000000" w:sz="4" w:space="0"/>
              <w:bottom w:val="single" w:color="000000" w:sz="4" w:space="0"/>
              <w:right w:val="single" w:color="000000" w:sz="4" w:space="0"/>
            </w:tcBorders>
            <w:vAlign w:val="center"/>
          </w:tcPr>
          <w:p w14:paraId="2B4BE88E">
            <w:pPr>
              <w:widowControl/>
              <w:jc w:val="left"/>
              <w:rPr>
                <w:rFonts w:ascii="宋体" w:hAnsi="宋体" w:cs="宋体"/>
                <w:color w:val="000000"/>
                <w:kern w:val="0"/>
                <w:sz w:val="18"/>
                <w:szCs w:val="18"/>
              </w:rPr>
            </w:pPr>
          </w:p>
        </w:tc>
        <w:tc>
          <w:tcPr>
            <w:tcW w:w="802" w:type="dxa"/>
            <w:vMerge w:val="continue"/>
            <w:tcBorders>
              <w:top w:val="nil"/>
              <w:left w:val="single" w:color="000000" w:sz="4" w:space="0"/>
              <w:bottom w:val="single" w:color="000000" w:sz="4" w:space="0"/>
              <w:right w:val="single" w:color="000000" w:sz="4" w:space="0"/>
            </w:tcBorders>
            <w:vAlign w:val="center"/>
          </w:tcPr>
          <w:p w14:paraId="3F608615">
            <w:pPr>
              <w:widowControl/>
              <w:jc w:val="left"/>
              <w:rPr>
                <w:rFonts w:ascii="宋体" w:hAnsi="宋体" w:cs="宋体"/>
                <w:color w:val="000000"/>
                <w:kern w:val="0"/>
                <w:sz w:val="18"/>
                <w:szCs w:val="18"/>
              </w:rPr>
            </w:pPr>
          </w:p>
        </w:tc>
        <w:tc>
          <w:tcPr>
            <w:tcW w:w="4106" w:type="dxa"/>
            <w:gridSpan w:val="5"/>
            <w:tcBorders>
              <w:top w:val="single" w:color="000000" w:sz="4" w:space="0"/>
              <w:left w:val="nil"/>
              <w:bottom w:val="single" w:color="000000" w:sz="4" w:space="0"/>
              <w:right w:val="single" w:color="000000" w:sz="4" w:space="0"/>
            </w:tcBorders>
            <w:shd w:val="clear" w:color="auto" w:fill="auto"/>
            <w:vAlign w:val="center"/>
          </w:tcPr>
          <w:p w14:paraId="27994DF5">
            <w:pPr>
              <w:widowControl/>
              <w:jc w:val="left"/>
              <w:rPr>
                <w:rFonts w:ascii="宋体" w:hAnsi="宋体" w:cs="宋体"/>
                <w:color w:val="000000"/>
                <w:kern w:val="0"/>
                <w:sz w:val="18"/>
                <w:szCs w:val="18"/>
              </w:rPr>
            </w:pPr>
            <w:r>
              <w:rPr>
                <w:rFonts w:hint="eastAsia" w:ascii="宋体" w:hAnsi="宋体" w:cs="宋体"/>
                <w:color w:val="000000"/>
                <w:kern w:val="0"/>
                <w:sz w:val="18"/>
                <w:szCs w:val="18"/>
              </w:rPr>
              <w:t>完成上级下达的煤矿关闭任务，按煤矿关闭以奖代补协议支付相关经费，妥善解决职工善后问题。</w:t>
            </w:r>
          </w:p>
        </w:tc>
        <w:tc>
          <w:tcPr>
            <w:tcW w:w="3703" w:type="dxa"/>
            <w:gridSpan w:val="5"/>
            <w:tcBorders>
              <w:top w:val="single" w:color="000000" w:sz="4" w:space="0"/>
              <w:left w:val="nil"/>
              <w:bottom w:val="single" w:color="000000" w:sz="4" w:space="0"/>
              <w:right w:val="single" w:color="000000" w:sz="4" w:space="0"/>
            </w:tcBorders>
            <w:shd w:val="clear" w:color="auto" w:fill="auto"/>
            <w:vAlign w:val="center"/>
          </w:tcPr>
          <w:p w14:paraId="339169B1">
            <w:pPr>
              <w:widowControl/>
              <w:jc w:val="left"/>
              <w:rPr>
                <w:rFonts w:ascii="宋体" w:hAnsi="宋体" w:cs="宋体"/>
                <w:color w:val="000000"/>
                <w:kern w:val="0"/>
                <w:sz w:val="18"/>
                <w:szCs w:val="18"/>
              </w:rPr>
            </w:pPr>
            <w:r>
              <w:rPr>
                <w:rFonts w:hint="eastAsia" w:ascii="宋体" w:hAnsi="宋体" w:cs="宋体"/>
                <w:color w:val="000000"/>
                <w:kern w:val="0"/>
                <w:sz w:val="18"/>
                <w:szCs w:val="18"/>
              </w:rPr>
              <w:t>按时完成上级下达的煤矿关闭任务，按煤矿关闭以奖代补协议支付相关经费，妥善解决职工善后问题。</w:t>
            </w:r>
          </w:p>
        </w:tc>
      </w:tr>
      <w:tr w14:paraId="51BB62DC">
        <w:tblPrEx>
          <w:tblCellMar>
            <w:top w:w="0" w:type="dxa"/>
            <w:left w:w="108" w:type="dxa"/>
            <w:bottom w:w="0" w:type="dxa"/>
            <w:right w:w="108" w:type="dxa"/>
          </w:tblCellMar>
        </w:tblPrEx>
        <w:trPr>
          <w:trHeight w:val="681" w:hRule="atLeast"/>
        </w:trPr>
        <w:tc>
          <w:tcPr>
            <w:tcW w:w="803" w:type="dxa"/>
            <w:vMerge w:val="continue"/>
            <w:tcBorders>
              <w:top w:val="nil"/>
              <w:left w:val="single" w:color="000000" w:sz="4" w:space="0"/>
              <w:bottom w:val="single" w:color="000000" w:sz="4" w:space="0"/>
              <w:right w:val="single" w:color="000000" w:sz="4" w:space="0"/>
            </w:tcBorders>
            <w:vAlign w:val="center"/>
          </w:tcPr>
          <w:p w14:paraId="41718F3D">
            <w:pPr>
              <w:widowControl/>
              <w:jc w:val="left"/>
              <w:rPr>
                <w:rFonts w:ascii="宋体" w:hAnsi="宋体" w:cs="宋体"/>
                <w:color w:val="000000"/>
                <w:kern w:val="0"/>
                <w:sz w:val="18"/>
                <w:szCs w:val="18"/>
              </w:rPr>
            </w:pPr>
          </w:p>
        </w:tc>
        <w:tc>
          <w:tcPr>
            <w:tcW w:w="802" w:type="dxa"/>
            <w:tcBorders>
              <w:top w:val="nil"/>
              <w:left w:val="nil"/>
              <w:bottom w:val="single" w:color="000000" w:sz="4" w:space="0"/>
              <w:right w:val="single" w:color="000000" w:sz="4" w:space="0"/>
            </w:tcBorders>
            <w:shd w:val="clear" w:color="auto" w:fill="auto"/>
            <w:vAlign w:val="center"/>
          </w:tcPr>
          <w:p w14:paraId="35AEBEAA">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809" w:type="dxa"/>
            <w:gridSpan w:val="10"/>
            <w:tcBorders>
              <w:top w:val="single" w:color="000000" w:sz="4" w:space="0"/>
              <w:left w:val="nil"/>
              <w:bottom w:val="single" w:color="000000" w:sz="4" w:space="0"/>
              <w:right w:val="single" w:color="000000" w:sz="4" w:space="0"/>
            </w:tcBorders>
            <w:shd w:val="clear" w:color="auto" w:fill="auto"/>
            <w:vAlign w:val="center"/>
          </w:tcPr>
          <w:p w14:paraId="382E6E1D">
            <w:pPr>
              <w:widowControl/>
              <w:jc w:val="left"/>
              <w:rPr>
                <w:rFonts w:ascii="宋体" w:hAnsi="宋体" w:cs="宋体"/>
                <w:color w:val="000000"/>
                <w:kern w:val="0"/>
                <w:sz w:val="18"/>
                <w:szCs w:val="18"/>
              </w:rPr>
            </w:pPr>
            <w:r>
              <w:rPr>
                <w:rFonts w:hint="eastAsia" w:ascii="宋体" w:hAnsi="宋体" w:cs="宋体"/>
                <w:color w:val="000000"/>
                <w:kern w:val="0"/>
                <w:sz w:val="18"/>
                <w:szCs w:val="18"/>
              </w:rPr>
              <w:t>完成上级下达的煤矿关闭任务，按煤矿关闭以奖代补协议支付相关经费，妥善解决职工善后问题。</w:t>
            </w:r>
          </w:p>
        </w:tc>
      </w:tr>
      <w:tr w14:paraId="7A59882C">
        <w:tblPrEx>
          <w:tblCellMar>
            <w:top w:w="0" w:type="dxa"/>
            <w:left w:w="108" w:type="dxa"/>
            <w:bottom w:w="0" w:type="dxa"/>
            <w:right w:w="108" w:type="dxa"/>
          </w:tblCellMar>
        </w:tblPrEx>
        <w:trPr>
          <w:gridAfter w:val="1"/>
          <w:wAfter w:w="5" w:type="dxa"/>
          <w:trHeight w:val="575" w:hRule="atLeast"/>
        </w:trPr>
        <w:tc>
          <w:tcPr>
            <w:tcW w:w="803" w:type="dxa"/>
            <w:vMerge w:val="restart"/>
            <w:tcBorders>
              <w:top w:val="nil"/>
              <w:left w:val="single" w:color="000000" w:sz="4" w:space="0"/>
              <w:bottom w:val="single" w:color="000000" w:sz="4" w:space="0"/>
              <w:right w:val="single" w:color="000000" w:sz="4" w:space="0"/>
            </w:tcBorders>
            <w:shd w:val="clear" w:color="auto" w:fill="auto"/>
            <w:vAlign w:val="center"/>
          </w:tcPr>
          <w:p w14:paraId="283FB22D">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802" w:type="dxa"/>
            <w:tcBorders>
              <w:top w:val="nil"/>
              <w:left w:val="nil"/>
              <w:bottom w:val="single" w:color="000000" w:sz="4" w:space="0"/>
              <w:right w:val="single" w:color="000000" w:sz="4" w:space="0"/>
            </w:tcBorders>
            <w:shd w:val="clear" w:color="auto" w:fill="auto"/>
            <w:vAlign w:val="center"/>
          </w:tcPr>
          <w:p w14:paraId="608D7F6F">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105" w:type="dxa"/>
            <w:tcBorders>
              <w:top w:val="nil"/>
              <w:left w:val="nil"/>
              <w:bottom w:val="single" w:color="000000" w:sz="4" w:space="0"/>
              <w:right w:val="single" w:color="000000" w:sz="4" w:space="0"/>
            </w:tcBorders>
            <w:shd w:val="clear" w:color="auto" w:fill="auto"/>
            <w:vAlign w:val="center"/>
          </w:tcPr>
          <w:p w14:paraId="312F444E">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1116" w:type="dxa"/>
            <w:tcBorders>
              <w:top w:val="nil"/>
              <w:left w:val="nil"/>
              <w:bottom w:val="single" w:color="000000" w:sz="4" w:space="0"/>
              <w:right w:val="single" w:color="000000" w:sz="4" w:space="0"/>
            </w:tcBorders>
            <w:shd w:val="clear" w:color="auto" w:fill="auto"/>
            <w:vAlign w:val="center"/>
          </w:tcPr>
          <w:p w14:paraId="50C32101">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1884" w:type="dxa"/>
            <w:gridSpan w:val="3"/>
            <w:tcBorders>
              <w:top w:val="single" w:color="000000" w:sz="4" w:space="0"/>
              <w:left w:val="nil"/>
              <w:bottom w:val="single" w:color="000000" w:sz="4" w:space="0"/>
              <w:right w:val="single" w:color="000000" w:sz="4" w:space="0"/>
            </w:tcBorders>
            <w:shd w:val="clear" w:color="auto" w:fill="auto"/>
            <w:vAlign w:val="center"/>
          </w:tcPr>
          <w:p w14:paraId="50BC7EB8">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035" w:type="dxa"/>
            <w:tcBorders>
              <w:top w:val="nil"/>
              <w:left w:val="nil"/>
              <w:bottom w:val="single" w:color="000000" w:sz="4" w:space="0"/>
              <w:right w:val="single" w:color="000000" w:sz="4" w:space="0"/>
            </w:tcBorders>
            <w:shd w:val="clear" w:color="auto" w:fill="auto"/>
            <w:vAlign w:val="center"/>
          </w:tcPr>
          <w:p w14:paraId="753B0396">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890" w:type="dxa"/>
            <w:tcBorders>
              <w:top w:val="nil"/>
              <w:left w:val="nil"/>
              <w:bottom w:val="single" w:color="000000" w:sz="4" w:space="0"/>
              <w:right w:val="single" w:color="000000" w:sz="4" w:space="0"/>
            </w:tcBorders>
            <w:shd w:val="clear" w:color="auto" w:fill="auto"/>
            <w:vAlign w:val="center"/>
          </w:tcPr>
          <w:p w14:paraId="70CCB3A7">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90" w:type="dxa"/>
            <w:tcBorders>
              <w:top w:val="nil"/>
              <w:left w:val="nil"/>
              <w:bottom w:val="single" w:color="000000" w:sz="4" w:space="0"/>
              <w:right w:val="single" w:color="000000" w:sz="4" w:space="0"/>
            </w:tcBorders>
            <w:shd w:val="clear" w:color="auto" w:fill="auto"/>
            <w:vAlign w:val="center"/>
          </w:tcPr>
          <w:p w14:paraId="6028E402">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85" w:type="dxa"/>
            <w:tcBorders>
              <w:top w:val="nil"/>
              <w:left w:val="nil"/>
              <w:bottom w:val="single" w:color="000000" w:sz="4" w:space="0"/>
              <w:right w:val="single" w:color="000000" w:sz="4" w:space="0"/>
            </w:tcBorders>
            <w:shd w:val="clear" w:color="auto" w:fill="auto"/>
            <w:vAlign w:val="center"/>
          </w:tcPr>
          <w:p w14:paraId="5D129BAB">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14:paraId="30D24424">
        <w:tblPrEx>
          <w:tblCellMar>
            <w:top w:w="0" w:type="dxa"/>
            <w:left w:w="108" w:type="dxa"/>
            <w:bottom w:w="0" w:type="dxa"/>
            <w:right w:w="108" w:type="dxa"/>
          </w:tblCellMar>
        </w:tblPrEx>
        <w:trPr>
          <w:gridAfter w:val="1"/>
          <w:wAfter w:w="5" w:type="dxa"/>
          <w:trHeight w:val="438" w:hRule="atLeast"/>
        </w:trPr>
        <w:tc>
          <w:tcPr>
            <w:tcW w:w="803" w:type="dxa"/>
            <w:vMerge w:val="continue"/>
            <w:tcBorders>
              <w:top w:val="nil"/>
              <w:left w:val="single" w:color="000000" w:sz="4" w:space="0"/>
              <w:bottom w:val="single" w:color="000000" w:sz="4" w:space="0"/>
              <w:right w:val="single" w:color="000000" w:sz="4" w:space="0"/>
            </w:tcBorders>
            <w:vAlign w:val="center"/>
          </w:tcPr>
          <w:p w14:paraId="15B4796C">
            <w:pPr>
              <w:widowControl/>
              <w:jc w:val="left"/>
              <w:rPr>
                <w:rFonts w:ascii="宋体" w:hAnsi="宋体" w:cs="宋体"/>
                <w:color w:val="000000"/>
                <w:kern w:val="0"/>
                <w:sz w:val="18"/>
                <w:szCs w:val="18"/>
              </w:rPr>
            </w:pPr>
          </w:p>
        </w:tc>
        <w:tc>
          <w:tcPr>
            <w:tcW w:w="802" w:type="dxa"/>
            <w:tcBorders>
              <w:top w:val="nil"/>
              <w:left w:val="nil"/>
              <w:bottom w:val="single" w:color="000000" w:sz="4" w:space="0"/>
              <w:right w:val="single" w:color="000000" w:sz="4" w:space="0"/>
            </w:tcBorders>
            <w:shd w:val="clear" w:color="auto" w:fill="auto"/>
            <w:vAlign w:val="center"/>
          </w:tcPr>
          <w:p w14:paraId="704D9C09">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105" w:type="dxa"/>
            <w:tcBorders>
              <w:top w:val="nil"/>
              <w:left w:val="nil"/>
              <w:bottom w:val="single" w:color="000000" w:sz="4" w:space="0"/>
              <w:right w:val="single" w:color="000000" w:sz="4" w:space="0"/>
            </w:tcBorders>
            <w:shd w:val="clear" w:color="auto" w:fill="auto"/>
            <w:vAlign w:val="center"/>
          </w:tcPr>
          <w:p w14:paraId="6E06E647">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6" w:type="dxa"/>
            <w:tcBorders>
              <w:top w:val="nil"/>
              <w:left w:val="nil"/>
              <w:bottom w:val="single" w:color="000000" w:sz="4" w:space="0"/>
              <w:right w:val="single" w:color="000000" w:sz="4" w:space="0"/>
            </w:tcBorders>
            <w:shd w:val="clear" w:color="auto" w:fill="auto"/>
            <w:vAlign w:val="center"/>
          </w:tcPr>
          <w:p w14:paraId="2EA2BF03">
            <w:pPr>
              <w:widowControl/>
              <w:jc w:val="center"/>
              <w:rPr>
                <w:rFonts w:ascii="宋体" w:hAnsi="宋体" w:cs="宋体"/>
                <w:color w:val="000000"/>
                <w:kern w:val="0"/>
                <w:sz w:val="18"/>
                <w:szCs w:val="18"/>
              </w:rPr>
            </w:pPr>
            <w:r>
              <w:rPr>
                <w:rFonts w:hint="eastAsia" w:ascii="宋体" w:hAnsi="宋体" w:cs="宋体"/>
                <w:color w:val="000000"/>
                <w:kern w:val="0"/>
                <w:sz w:val="18"/>
                <w:szCs w:val="18"/>
              </w:rPr>
              <w:t>700.00</w:t>
            </w:r>
          </w:p>
        </w:tc>
        <w:tc>
          <w:tcPr>
            <w:tcW w:w="1884" w:type="dxa"/>
            <w:gridSpan w:val="3"/>
            <w:tcBorders>
              <w:top w:val="single" w:color="000000" w:sz="4" w:space="0"/>
              <w:left w:val="nil"/>
              <w:bottom w:val="single" w:color="000000" w:sz="4" w:space="0"/>
              <w:right w:val="single" w:color="000000" w:sz="4" w:space="0"/>
            </w:tcBorders>
            <w:shd w:val="clear" w:color="auto" w:fill="auto"/>
            <w:vAlign w:val="center"/>
          </w:tcPr>
          <w:p w14:paraId="63DBEFF7">
            <w:pPr>
              <w:widowControl/>
              <w:jc w:val="center"/>
              <w:rPr>
                <w:rFonts w:ascii="宋体" w:hAnsi="宋体" w:cs="宋体"/>
                <w:color w:val="000000"/>
                <w:kern w:val="0"/>
                <w:sz w:val="18"/>
                <w:szCs w:val="18"/>
              </w:rPr>
            </w:pPr>
            <w:r>
              <w:rPr>
                <w:rFonts w:hint="eastAsia" w:ascii="宋体" w:hAnsi="宋体" w:cs="宋体"/>
                <w:color w:val="000000"/>
                <w:kern w:val="0"/>
                <w:sz w:val="18"/>
                <w:szCs w:val="18"/>
              </w:rPr>
              <w:t>700.00</w:t>
            </w:r>
          </w:p>
        </w:tc>
        <w:tc>
          <w:tcPr>
            <w:tcW w:w="1035" w:type="dxa"/>
            <w:tcBorders>
              <w:top w:val="nil"/>
              <w:left w:val="nil"/>
              <w:bottom w:val="single" w:color="000000" w:sz="4" w:space="0"/>
              <w:right w:val="single" w:color="000000" w:sz="4" w:space="0"/>
            </w:tcBorders>
            <w:shd w:val="clear" w:color="auto" w:fill="auto"/>
            <w:vAlign w:val="center"/>
          </w:tcPr>
          <w:p w14:paraId="0E734CDB">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90" w:type="dxa"/>
            <w:tcBorders>
              <w:top w:val="nil"/>
              <w:left w:val="nil"/>
              <w:bottom w:val="single" w:color="000000" w:sz="4" w:space="0"/>
              <w:right w:val="single" w:color="000000" w:sz="4" w:space="0"/>
            </w:tcBorders>
            <w:shd w:val="clear" w:color="auto" w:fill="auto"/>
            <w:vAlign w:val="center"/>
          </w:tcPr>
          <w:p w14:paraId="7AF17C24">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90" w:type="dxa"/>
            <w:tcBorders>
              <w:top w:val="nil"/>
              <w:left w:val="nil"/>
              <w:bottom w:val="single" w:color="000000" w:sz="4" w:space="0"/>
              <w:right w:val="single" w:color="000000" w:sz="4" w:space="0"/>
            </w:tcBorders>
            <w:shd w:val="clear" w:color="auto" w:fill="auto"/>
            <w:vAlign w:val="center"/>
          </w:tcPr>
          <w:p w14:paraId="53F26D61">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85" w:type="dxa"/>
            <w:vMerge w:val="restart"/>
            <w:tcBorders>
              <w:top w:val="nil"/>
              <w:left w:val="single" w:color="000000" w:sz="4" w:space="0"/>
              <w:bottom w:val="single" w:color="000000" w:sz="4" w:space="0"/>
              <w:right w:val="single" w:color="000000" w:sz="4" w:space="0"/>
            </w:tcBorders>
            <w:shd w:val="clear" w:color="auto" w:fill="auto"/>
            <w:vAlign w:val="center"/>
          </w:tcPr>
          <w:p w14:paraId="3646D2FE">
            <w:pPr>
              <w:widowControl/>
              <w:jc w:val="left"/>
              <w:rPr>
                <w:rFonts w:ascii="黑体" w:hAnsi="黑体" w:eastAsia="黑体" w:cs="宋体"/>
                <w:i/>
                <w:iCs/>
                <w:color w:val="000000"/>
                <w:kern w:val="0"/>
                <w:sz w:val="18"/>
                <w:szCs w:val="18"/>
              </w:rPr>
            </w:pPr>
            <w:r>
              <w:rPr>
                <w:rFonts w:hint="eastAsia" w:ascii="微软雅黑" w:hAnsi="微软雅黑" w:eastAsia="微软雅黑" w:cs="微软雅黑"/>
                <w:i/>
                <w:iCs/>
                <w:color w:val="000000"/>
                <w:kern w:val="0"/>
                <w:sz w:val="18"/>
                <w:szCs w:val="18"/>
              </w:rPr>
              <w:t>　</w:t>
            </w:r>
          </w:p>
        </w:tc>
      </w:tr>
      <w:tr w14:paraId="65AD1384">
        <w:tblPrEx>
          <w:tblCellMar>
            <w:top w:w="0" w:type="dxa"/>
            <w:left w:w="108" w:type="dxa"/>
            <w:bottom w:w="0" w:type="dxa"/>
            <w:right w:w="108" w:type="dxa"/>
          </w:tblCellMar>
        </w:tblPrEx>
        <w:trPr>
          <w:gridAfter w:val="1"/>
          <w:wAfter w:w="5" w:type="dxa"/>
          <w:trHeight w:val="454" w:hRule="atLeast"/>
        </w:trPr>
        <w:tc>
          <w:tcPr>
            <w:tcW w:w="803" w:type="dxa"/>
            <w:vMerge w:val="continue"/>
            <w:tcBorders>
              <w:top w:val="nil"/>
              <w:left w:val="single" w:color="000000" w:sz="4" w:space="0"/>
              <w:bottom w:val="single" w:color="000000" w:sz="4" w:space="0"/>
              <w:right w:val="single" w:color="000000" w:sz="4" w:space="0"/>
            </w:tcBorders>
            <w:vAlign w:val="center"/>
          </w:tcPr>
          <w:p w14:paraId="2421F06C">
            <w:pPr>
              <w:widowControl/>
              <w:jc w:val="left"/>
              <w:rPr>
                <w:rFonts w:ascii="宋体" w:hAnsi="宋体" w:cs="宋体"/>
                <w:color w:val="000000"/>
                <w:kern w:val="0"/>
                <w:sz w:val="18"/>
                <w:szCs w:val="18"/>
              </w:rPr>
            </w:pPr>
          </w:p>
        </w:tc>
        <w:tc>
          <w:tcPr>
            <w:tcW w:w="802" w:type="dxa"/>
            <w:tcBorders>
              <w:top w:val="nil"/>
              <w:left w:val="nil"/>
              <w:bottom w:val="single" w:color="000000" w:sz="4" w:space="0"/>
              <w:right w:val="single" w:color="000000" w:sz="4" w:space="0"/>
            </w:tcBorders>
            <w:shd w:val="clear" w:color="auto" w:fill="auto"/>
            <w:vAlign w:val="center"/>
          </w:tcPr>
          <w:p w14:paraId="4B646F7C">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105" w:type="dxa"/>
            <w:tcBorders>
              <w:top w:val="nil"/>
              <w:left w:val="nil"/>
              <w:bottom w:val="single" w:color="000000" w:sz="4" w:space="0"/>
              <w:right w:val="single" w:color="000000" w:sz="4" w:space="0"/>
            </w:tcBorders>
            <w:shd w:val="clear" w:color="auto" w:fill="auto"/>
            <w:vAlign w:val="center"/>
          </w:tcPr>
          <w:p w14:paraId="7B1288B8">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6" w:type="dxa"/>
            <w:tcBorders>
              <w:top w:val="nil"/>
              <w:left w:val="nil"/>
              <w:bottom w:val="single" w:color="000000" w:sz="4" w:space="0"/>
              <w:right w:val="single" w:color="000000" w:sz="4" w:space="0"/>
            </w:tcBorders>
            <w:shd w:val="clear" w:color="auto" w:fill="auto"/>
            <w:vAlign w:val="center"/>
          </w:tcPr>
          <w:p w14:paraId="39DCB2DC">
            <w:pPr>
              <w:widowControl/>
              <w:jc w:val="center"/>
              <w:rPr>
                <w:rFonts w:ascii="宋体" w:hAnsi="宋体" w:cs="宋体"/>
                <w:color w:val="000000"/>
                <w:kern w:val="0"/>
                <w:sz w:val="18"/>
                <w:szCs w:val="18"/>
              </w:rPr>
            </w:pPr>
            <w:r>
              <w:rPr>
                <w:rFonts w:hint="eastAsia" w:ascii="宋体" w:hAnsi="宋体" w:cs="宋体"/>
                <w:color w:val="000000"/>
                <w:kern w:val="0"/>
                <w:sz w:val="18"/>
                <w:szCs w:val="18"/>
              </w:rPr>
              <w:t>700.00</w:t>
            </w:r>
          </w:p>
        </w:tc>
        <w:tc>
          <w:tcPr>
            <w:tcW w:w="1884" w:type="dxa"/>
            <w:gridSpan w:val="3"/>
            <w:tcBorders>
              <w:top w:val="single" w:color="000000" w:sz="4" w:space="0"/>
              <w:left w:val="nil"/>
              <w:bottom w:val="single" w:color="000000" w:sz="4" w:space="0"/>
              <w:right w:val="single" w:color="000000" w:sz="4" w:space="0"/>
            </w:tcBorders>
            <w:shd w:val="clear" w:color="auto" w:fill="auto"/>
            <w:vAlign w:val="center"/>
          </w:tcPr>
          <w:p w14:paraId="52022158">
            <w:pPr>
              <w:widowControl/>
              <w:jc w:val="center"/>
              <w:rPr>
                <w:rFonts w:ascii="宋体" w:hAnsi="宋体" w:cs="宋体"/>
                <w:color w:val="000000"/>
                <w:kern w:val="0"/>
                <w:sz w:val="18"/>
                <w:szCs w:val="18"/>
              </w:rPr>
            </w:pPr>
            <w:r>
              <w:rPr>
                <w:rFonts w:hint="eastAsia" w:ascii="宋体" w:hAnsi="宋体" w:cs="宋体"/>
                <w:color w:val="000000"/>
                <w:kern w:val="0"/>
                <w:sz w:val="18"/>
                <w:szCs w:val="18"/>
              </w:rPr>
              <w:t>700.00</w:t>
            </w:r>
          </w:p>
        </w:tc>
        <w:tc>
          <w:tcPr>
            <w:tcW w:w="1035" w:type="dxa"/>
            <w:tcBorders>
              <w:top w:val="nil"/>
              <w:left w:val="nil"/>
              <w:bottom w:val="single" w:color="000000" w:sz="4" w:space="0"/>
              <w:right w:val="single" w:color="000000" w:sz="4" w:space="0"/>
            </w:tcBorders>
            <w:shd w:val="clear" w:color="auto" w:fill="auto"/>
            <w:vAlign w:val="center"/>
          </w:tcPr>
          <w:p w14:paraId="77088D94">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90" w:type="dxa"/>
            <w:tcBorders>
              <w:top w:val="nil"/>
              <w:left w:val="nil"/>
              <w:bottom w:val="single" w:color="000000" w:sz="4" w:space="0"/>
              <w:right w:val="single" w:color="000000" w:sz="4" w:space="0"/>
            </w:tcBorders>
            <w:shd w:val="clear" w:color="auto" w:fill="auto"/>
            <w:vAlign w:val="center"/>
          </w:tcPr>
          <w:p w14:paraId="12F7C7C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0" w:type="dxa"/>
            <w:tcBorders>
              <w:top w:val="nil"/>
              <w:left w:val="nil"/>
              <w:bottom w:val="single" w:color="000000" w:sz="4" w:space="0"/>
              <w:right w:val="single" w:color="000000" w:sz="4" w:space="0"/>
            </w:tcBorders>
            <w:shd w:val="clear" w:color="auto" w:fill="auto"/>
            <w:vAlign w:val="center"/>
          </w:tcPr>
          <w:p w14:paraId="610116D2">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5" w:type="dxa"/>
            <w:vMerge w:val="continue"/>
            <w:tcBorders>
              <w:top w:val="nil"/>
              <w:left w:val="single" w:color="000000" w:sz="4" w:space="0"/>
              <w:bottom w:val="single" w:color="000000" w:sz="4" w:space="0"/>
              <w:right w:val="single" w:color="000000" w:sz="4" w:space="0"/>
            </w:tcBorders>
            <w:vAlign w:val="center"/>
          </w:tcPr>
          <w:p w14:paraId="05C00D1E">
            <w:pPr>
              <w:widowControl/>
              <w:jc w:val="left"/>
              <w:rPr>
                <w:rFonts w:ascii="黑体" w:hAnsi="黑体" w:eastAsia="黑体" w:cs="宋体"/>
                <w:i/>
                <w:iCs/>
                <w:color w:val="000000"/>
                <w:kern w:val="0"/>
                <w:sz w:val="18"/>
                <w:szCs w:val="18"/>
              </w:rPr>
            </w:pPr>
          </w:p>
        </w:tc>
      </w:tr>
      <w:tr w14:paraId="5500BA35">
        <w:tblPrEx>
          <w:tblCellMar>
            <w:top w:w="0" w:type="dxa"/>
            <w:left w:w="108" w:type="dxa"/>
            <w:bottom w:w="0" w:type="dxa"/>
            <w:right w:w="108" w:type="dxa"/>
          </w:tblCellMar>
        </w:tblPrEx>
        <w:trPr>
          <w:gridAfter w:val="1"/>
          <w:wAfter w:w="5" w:type="dxa"/>
          <w:trHeight w:val="650" w:hRule="atLeast"/>
        </w:trPr>
        <w:tc>
          <w:tcPr>
            <w:tcW w:w="803" w:type="dxa"/>
            <w:vMerge w:val="continue"/>
            <w:tcBorders>
              <w:top w:val="nil"/>
              <w:left w:val="single" w:color="000000" w:sz="4" w:space="0"/>
              <w:bottom w:val="single" w:color="000000" w:sz="4" w:space="0"/>
              <w:right w:val="single" w:color="000000" w:sz="4" w:space="0"/>
            </w:tcBorders>
            <w:vAlign w:val="center"/>
          </w:tcPr>
          <w:p w14:paraId="2C7D47FE">
            <w:pPr>
              <w:widowControl/>
              <w:jc w:val="left"/>
              <w:rPr>
                <w:rFonts w:ascii="宋体" w:hAnsi="宋体" w:cs="宋体"/>
                <w:color w:val="000000"/>
                <w:kern w:val="0"/>
                <w:sz w:val="18"/>
                <w:szCs w:val="18"/>
              </w:rPr>
            </w:pPr>
          </w:p>
        </w:tc>
        <w:tc>
          <w:tcPr>
            <w:tcW w:w="802" w:type="dxa"/>
            <w:tcBorders>
              <w:top w:val="nil"/>
              <w:left w:val="nil"/>
              <w:bottom w:val="single" w:color="000000" w:sz="4" w:space="0"/>
              <w:right w:val="single" w:color="000000" w:sz="4" w:space="0"/>
            </w:tcBorders>
            <w:shd w:val="clear" w:color="auto" w:fill="auto"/>
            <w:vAlign w:val="center"/>
          </w:tcPr>
          <w:p w14:paraId="06F2123D">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105" w:type="dxa"/>
            <w:tcBorders>
              <w:top w:val="nil"/>
              <w:left w:val="nil"/>
              <w:bottom w:val="single" w:color="000000" w:sz="4" w:space="0"/>
              <w:right w:val="single" w:color="000000" w:sz="4" w:space="0"/>
            </w:tcBorders>
            <w:shd w:val="clear" w:color="auto" w:fill="auto"/>
            <w:vAlign w:val="center"/>
          </w:tcPr>
          <w:p w14:paraId="62CD0261">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6" w:type="dxa"/>
            <w:tcBorders>
              <w:top w:val="nil"/>
              <w:left w:val="nil"/>
              <w:bottom w:val="single" w:color="000000" w:sz="4" w:space="0"/>
              <w:right w:val="single" w:color="000000" w:sz="4" w:space="0"/>
            </w:tcBorders>
            <w:shd w:val="clear" w:color="auto" w:fill="auto"/>
            <w:vAlign w:val="center"/>
          </w:tcPr>
          <w:p w14:paraId="000BA5CC">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884" w:type="dxa"/>
            <w:gridSpan w:val="3"/>
            <w:tcBorders>
              <w:top w:val="single" w:color="000000" w:sz="4" w:space="0"/>
              <w:left w:val="nil"/>
              <w:bottom w:val="single" w:color="000000" w:sz="4" w:space="0"/>
              <w:right w:val="single" w:color="000000" w:sz="4" w:space="0"/>
            </w:tcBorders>
            <w:shd w:val="clear" w:color="auto" w:fill="auto"/>
            <w:vAlign w:val="center"/>
          </w:tcPr>
          <w:p w14:paraId="327F11E8">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35" w:type="dxa"/>
            <w:tcBorders>
              <w:top w:val="nil"/>
              <w:left w:val="nil"/>
              <w:bottom w:val="single" w:color="000000" w:sz="4" w:space="0"/>
              <w:right w:val="single" w:color="000000" w:sz="4" w:space="0"/>
            </w:tcBorders>
            <w:shd w:val="clear" w:color="auto" w:fill="auto"/>
            <w:vAlign w:val="center"/>
          </w:tcPr>
          <w:p w14:paraId="3B85DE5F">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90" w:type="dxa"/>
            <w:tcBorders>
              <w:top w:val="nil"/>
              <w:left w:val="nil"/>
              <w:bottom w:val="single" w:color="000000" w:sz="4" w:space="0"/>
              <w:right w:val="single" w:color="000000" w:sz="4" w:space="0"/>
            </w:tcBorders>
            <w:shd w:val="clear" w:color="auto" w:fill="auto"/>
            <w:vAlign w:val="center"/>
          </w:tcPr>
          <w:p w14:paraId="574EBC9E">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0" w:type="dxa"/>
            <w:tcBorders>
              <w:top w:val="nil"/>
              <w:left w:val="nil"/>
              <w:bottom w:val="single" w:color="000000" w:sz="4" w:space="0"/>
              <w:right w:val="single" w:color="000000" w:sz="4" w:space="0"/>
            </w:tcBorders>
            <w:shd w:val="clear" w:color="auto" w:fill="auto"/>
            <w:vAlign w:val="center"/>
          </w:tcPr>
          <w:p w14:paraId="2CD6A4B6">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5" w:type="dxa"/>
            <w:vMerge w:val="continue"/>
            <w:tcBorders>
              <w:top w:val="nil"/>
              <w:left w:val="single" w:color="000000" w:sz="4" w:space="0"/>
              <w:bottom w:val="single" w:color="000000" w:sz="4" w:space="0"/>
              <w:right w:val="single" w:color="000000" w:sz="4" w:space="0"/>
            </w:tcBorders>
            <w:vAlign w:val="center"/>
          </w:tcPr>
          <w:p w14:paraId="19A67FC5">
            <w:pPr>
              <w:widowControl/>
              <w:jc w:val="left"/>
              <w:rPr>
                <w:rFonts w:ascii="黑体" w:hAnsi="黑体" w:eastAsia="黑体" w:cs="宋体"/>
                <w:i/>
                <w:iCs/>
                <w:color w:val="000000"/>
                <w:kern w:val="0"/>
                <w:sz w:val="18"/>
                <w:szCs w:val="18"/>
              </w:rPr>
            </w:pPr>
          </w:p>
        </w:tc>
      </w:tr>
      <w:tr w14:paraId="5D8932E5">
        <w:tblPrEx>
          <w:tblCellMar>
            <w:top w:w="0" w:type="dxa"/>
            <w:left w:w="108" w:type="dxa"/>
            <w:bottom w:w="0" w:type="dxa"/>
            <w:right w:w="108" w:type="dxa"/>
          </w:tblCellMar>
        </w:tblPrEx>
        <w:trPr>
          <w:gridAfter w:val="1"/>
          <w:wAfter w:w="5" w:type="dxa"/>
          <w:trHeight w:val="484" w:hRule="atLeast"/>
        </w:trPr>
        <w:tc>
          <w:tcPr>
            <w:tcW w:w="803" w:type="dxa"/>
            <w:vMerge w:val="continue"/>
            <w:tcBorders>
              <w:top w:val="nil"/>
              <w:left w:val="single" w:color="000000" w:sz="4" w:space="0"/>
              <w:bottom w:val="single" w:color="000000" w:sz="4" w:space="0"/>
              <w:right w:val="single" w:color="000000" w:sz="4" w:space="0"/>
            </w:tcBorders>
            <w:vAlign w:val="center"/>
          </w:tcPr>
          <w:p w14:paraId="2A1367F8">
            <w:pPr>
              <w:widowControl/>
              <w:jc w:val="left"/>
              <w:rPr>
                <w:rFonts w:ascii="宋体" w:hAnsi="宋体" w:cs="宋体"/>
                <w:color w:val="000000"/>
                <w:kern w:val="0"/>
                <w:sz w:val="18"/>
                <w:szCs w:val="18"/>
              </w:rPr>
            </w:pPr>
          </w:p>
        </w:tc>
        <w:tc>
          <w:tcPr>
            <w:tcW w:w="802" w:type="dxa"/>
            <w:tcBorders>
              <w:top w:val="nil"/>
              <w:left w:val="nil"/>
              <w:bottom w:val="single" w:color="000000" w:sz="4" w:space="0"/>
              <w:right w:val="single" w:color="000000" w:sz="4" w:space="0"/>
            </w:tcBorders>
            <w:shd w:val="clear" w:color="auto" w:fill="auto"/>
            <w:vAlign w:val="center"/>
          </w:tcPr>
          <w:p w14:paraId="000918FD">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105" w:type="dxa"/>
            <w:tcBorders>
              <w:top w:val="nil"/>
              <w:left w:val="nil"/>
              <w:bottom w:val="single" w:color="000000" w:sz="4" w:space="0"/>
              <w:right w:val="single" w:color="000000" w:sz="4" w:space="0"/>
            </w:tcBorders>
            <w:shd w:val="clear" w:color="auto" w:fill="auto"/>
            <w:vAlign w:val="center"/>
          </w:tcPr>
          <w:p w14:paraId="2F015D16">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6" w:type="dxa"/>
            <w:tcBorders>
              <w:top w:val="nil"/>
              <w:left w:val="nil"/>
              <w:bottom w:val="single" w:color="000000" w:sz="4" w:space="0"/>
              <w:right w:val="single" w:color="000000" w:sz="4" w:space="0"/>
            </w:tcBorders>
            <w:shd w:val="clear" w:color="auto" w:fill="auto"/>
            <w:vAlign w:val="center"/>
          </w:tcPr>
          <w:p w14:paraId="21615425">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884" w:type="dxa"/>
            <w:gridSpan w:val="3"/>
            <w:tcBorders>
              <w:top w:val="single" w:color="000000" w:sz="4" w:space="0"/>
              <w:left w:val="nil"/>
              <w:bottom w:val="single" w:color="000000" w:sz="4" w:space="0"/>
              <w:right w:val="single" w:color="000000" w:sz="4" w:space="0"/>
            </w:tcBorders>
            <w:shd w:val="clear" w:color="auto" w:fill="auto"/>
            <w:vAlign w:val="center"/>
          </w:tcPr>
          <w:p w14:paraId="79A8D922">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35" w:type="dxa"/>
            <w:tcBorders>
              <w:top w:val="nil"/>
              <w:left w:val="nil"/>
              <w:bottom w:val="single" w:color="000000" w:sz="4" w:space="0"/>
              <w:right w:val="single" w:color="000000" w:sz="4" w:space="0"/>
            </w:tcBorders>
            <w:shd w:val="clear" w:color="auto" w:fill="auto"/>
            <w:vAlign w:val="center"/>
          </w:tcPr>
          <w:p w14:paraId="08DE8BE3">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90" w:type="dxa"/>
            <w:tcBorders>
              <w:top w:val="nil"/>
              <w:left w:val="nil"/>
              <w:bottom w:val="single" w:color="000000" w:sz="4" w:space="0"/>
              <w:right w:val="single" w:color="000000" w:sz="4" w:space="0"/>
            </w:tcBorders>
            <w:shd w:val="clear" w:color="auto" w:fill="auto"/>
            <w:vAlign w:val="center"/>
          </w:tcPr>
          <w:p w14:paraId="0F55612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0" w:type="dxa"/>
            <w:tcBorders>
              <w:top w:val="nil"/>
              <w:left w:val="nil"/>
              <w:bottom w:val="single" w:color="000000" w:sz="4" w:space="0"/>
              <w:right w:val="single" w:color="000000" w:sz="4" w:space="0"/>
            </w:tcBorders>
            <w:shd w:val="clear" w:color="auto" w:fill="auto"/>
            <w:vAlign w:val="center"/>
          </w:tcPr>
          <w:p w14:paraId="6AA5EAF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5" w:type="dxa"/>
            <w:vMerge w:val="continue"/>
            <w:tcBorders>
              <w:top w:val="nil"/>
              <w:left w:val="single" w:color="000000" w:sz="4" w:space="0"/>
              <w:bottom w:val="single" w:color="000000" w:sz="4" w:space="0"/>
              <w:right w:val="single" w:color="000000" w:sz="4" w:space="0"/>
            </w:tcBorders>
            <w:vAlign w:val="center"/>
          </w:tcPr>
          <w:p w14:paraId="6973A2C8">
            <w:pPr>
              <w:widowControl/>
              <w:jc w:val="left"/>
              <w:rPr>
                <w:rFonts w:ascii="黑体" w:hAnsi="黑体" w:eastAsia="黑体" w:cs="宋体"/>
                <w:i/>
                <w:iCs/>
                <w:color w:val="000000"/>
                <w:kern w:val="0"/>
                <w:sz w:val="18"/>
                <w:szCs w:val="18"/>
              </w:rPr>
            </w:pPr>
          </w:p>
        </w:tc>
      </w:tr>
      <w:tr w14:paraId="52745509">
        <w:tblPrEx>
          <w:tblCellMar>
            <w:top w:w="0" w:type="dxa"/>
            <w:left w:w="108" w:type="dxa"/>
            <w:bottom w:w="0" w:type="dxa"/>
            <w:right w:w="108" w:type="dxa"/>
          </w:tblCellMar>
        </w:tblPrEx>
        <w:trPr>
          <w:gridAfter w:val="1"/>
          <w:wAfter w:w="5" w:type="dxa"/>
          <w:trHeight w:val="484" w:hRule="atLeast"/>
        </w:trPr>
        <w:tc>
          <w:tcPr>
            <w:tcW w:w="803" w:type="dxa"/>
            <w:vMerge w:val="continue"/>
            <w:tcBorders>
              <w:top w:val="nil"/>
              <w:left w:val="single" w:color="000000" w:sz="4" w:space="0"/>
              <w:bottom w:val="single" w:color="000000" w:sz="4" w:space="0"/>
              <w:right w:val="single" w:color="000000" w:sz="4" w:space="0"/>
            </w:tcBorders>
            <w:vAlign w:val="center"/>
          </w:tcPr>
          <w:p w14:paraId="138075BD">
            <w:pPr>
              <w:widowControl/>
              <w:jc w:val="left"/>
              <w:rPr>
                <w:rFonts w:ascii="宋体" w:hAnsi="宋体" w:cs="宋体"/>
                <w:color w:val="000000"/>
                <w:kern w:val="0"/>
                <w:sz w:val="18"/>
                <w:szCs w:val="18"/>
              </w:rPr>
            </w:pPr>
          </w:p>
        </w:tc>
        <w:tc>
          <w:tcPr>
            <w:tcW w:w="802" w:type="dxa"/>
            <w:tcBorders>
              <w:top w:val="nil"/>
              <w:left w:val="nil"/>
              <w:bottom w:val="single" w:color="000000" w:sz="4" w:space="0"/>
              <w:right w:val="single" w:color="000000" w:sz="4" w:space="0"/>
            </w:tcBorders>
            <w:shd w:val="clear" w:color="auto" w:fill="auto"/>
            <w:vAlign w:val="center"/>
          </w:tcPr>
          <w:p w14:paraId="060970E0">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105" w:type="dxa"/>
            <w:tcBorders>
              <w:top w:val="nil"/>
              <w:left w:val="nil"/>
              <w:bottom w:val="single" w:color="000000" w:sz="4" w:space="0"/>
              <w:right w:val="single" w:color="000000" w:sz="4" w:space="0"/>
            </w:tcBorders>
            <w:shd w:val="clear" w:color="auto" w:fill="auto"/>
            <w:vAlign w:val="center"/>
          </w:tcPr>
          <w:p w14:paraId="225D6299">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16" w:type="dxa"/>
            <w:tcBorders>
              <w:top w:val="nil"/>
              <w:left w:val="nil"/>
              <w:bottom w:val="single" w:color="000000" w:sz="4" w:space="0"/>
              <w:right w:val="single" w:color="000000" w:sz="4" w:space="0"/>
            </w:tcBorders>
            <w:shd w:val="clear" w:color="auto" w:fill="auto"/>
            <w:vAlign w:val="center"/>
          </w:tcPr>
          <w:p w14:paraId="01D112E8">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884" w:type="dxa"/>
            <w:gridSpan w:val="3"/>
            <w:tcBorders>
              <w:top w:val="single" w:color="000000" w:sz="4" w:space="0"/>
              <w:left w:val="nil"/>
              <w:bottom w:val="single" w:color="000000" w:sz="4" w:space="0"/>
              <w:right w:val="single" w:color="000000" w:sz="4" w:space="0"/>
            </w:tcBorders>
            <w:shd w:val="clear" w:color="auto" w:fill="auto"/>
            <w:vAlign w:val="center"/>
          </w:tcPr>
          <w:p w14:paraId="77CEF5B3">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35" w:type="dxa"/>
            <w:tcBorders>
              <w:top w:val="nil"/>
              <w:left w:val="nil"/>
              <w:bottom w:val="single" w:color="000000" w:sz="4" w:space="0"/>
              <w:right w:val="single" w:color="000000" w:sz="4" w:space="0"/>
            </w:tcBorders>
            <w:shd w:val="clear" w:color="auto" w:fill="auto"/>
            <w:vAlign w:val="center"/>
          </w:tcPr>
          <w:p w14:paraId="14129F51">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90" w:type="dxa"/>
            <w:tcBorders>
              <w:top w:val="nil"/>
              <w:left w:val="nil"/>
              <w:bottom w:val="single" w:color="000000" w:sz="4" w:space="0"/>
              <w:right w:val="single" w:color="000000" w:sz="4" w:space="0"/>
            </w:tcBorders>
            <w:shd w:val="clear" w:color="auto" w:fill="auto"/>
            <w:vAlign w:val="center"/>
          </w:tcPr>
          <w:p w14:paraId="0BBC346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0" w:type="dxa"/>
            <w:tcBorders>
              <w:top w:val="nil"/>
              <w:left w:val="nil"/>
              <w:bottom w:val="single" w:color="000000" w:sz="4" w:space="0"/>
              <w:right w:val="single" w:color="000000" w:sz="4" w:space="0"/>
            </w:tcBorders>
            <w:shd w:val="clear" w:color="auto" w:fill="auto"/>
            <w:vAlign w:val="center"/>
          </w:tcPr>
          <w:p w14:paraId="7E3ADEC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85" w:type="dxa"/>
            <w:vMerge w:val="continue"/>
            <w:tcBorders>
              <w:top w:val="nil"/>
              <w:left w:val="single" w:color="000000" w:sz="4" w:space="0"/>
              <w:bottom w:val="single" w:color="000000" w:sz="4" w:space="0"/>
              <w:right w:val="single" w:color="000000" w:sz="4" w:space="0"/>
            </w:tcBorders>
            <w:vAlign w:val="center"/>
          </w:tcPr>
          <w:p w14:paraId="1ED00F74">
            <w:pPr>
              <w:widowControl/>
              <w:jc w:val="left"/>
              <w:rPr>
                <w:rFonts w:ascii="黑体" w:hAnsi="黑体" w:eastAsia="黑体" w:cs="宋体"/>
                <w:i/>
                <w:iCs/>
                <w:color w:val="000000"/>
                <w:kern w:val="0"/>
                <w:sz w:val="18"/>
                <w:szCs w:val="18"/>
              </w:rPr>
            </w:pPr>
          </w:p>
        </w:tc>
      </w:tr>
      <w:tr w14:paraId="1864E860">
        <w:tblPrEx>
          <w:tblCellMar>
            <w:top w:w="0" w:type="dxa"/>
            <w:left w:w="108" w:type="dxa"/>
            <w:bottom w:w="0" w:type="dxa"/>
            <w:right w:w="108" w:type="dxa"/>
          </w:tblCellMar>
        </w:tblPrEx>
        <w:trPr>
          <w:gridAfter w:val="1"/>
          <w:wAfter w:w="7" w:type="dxa"/>
          <w:trHeight w:val="454" w:hRule="atLeast"/>
        </w:trPr>
        <w:tc>
          <w:tcPr>
            <w:tcW w:w="803" w:type="dxa"/>
            <w:vMerge w:val="restart"/>
            <w:tcBorders>
              <w:top w:val="nil"/>
              <w:left w:val="single" w:color="000000" w:sz="4" w:space="0"/>
              <w:bottom w:val="single" w:color="000000" w:sz="4" w:space="0"/>
              <w:right w:val="single" w:color="000000" w:sz="4" w:space="0"/>
            </w:tcBorders>
            <w:shd w:val="clear" w:color="auto" w:fill="auto"/>
            <w:vAlign w:val="center"/>
          </w:tcPr>
          <w:p w14:paraId="47CEB734">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802" w:type="dxa"/>
            <w:tcBorders>
              <w:top w:val="nil"/>
              <w:left w:val="nil"/>
              <w:bottom w:val="single" w:color="000000" w:sz="4" w:space="0"/>
              <w:right w:val="single" w:color="000000" w:sz="4" w:space="0"/>
            </w:tcBorders>
            <w:shd w:val="clear" w:color="auto" w:fill="auto"/>
            <w:vAlign w:val="center"/>
          </w:tcPr>
          <w:p w14:paraId="25ADF283">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105" w:type="dxa"/>
            <w:tcBorders>
              <w:top w:val="nil"/>
              <w:left w:val="nil"/>
              <w:bottom w:val="single" w:color="000000" w:sz="4" w:space="0"/>
              <w:right w:val="single" w:color="000000" w:sz="4" w:space="0"/>
            </w:tcBorders>
            <w:shd w:val="clear" w:color="auto" w:fill="auto"/>
            <w:vAlign w:val="center"/>
          </w:tcPr>
          <w:p w14:paraId="7E6E2504">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1116" w:type="dxa"/>
            <w:tcBorders>
              <w:top w:val="nil"/>
              <w:left w:val="nil"/>
              <w:bottom w:val="single" w:color="000000" w:sz="4" w:space="0"/>
              <w:right w:val="single" w:color="000000" w:sz="4" w:space="0"/>
            </w:tcBorders>
            <w:shd w:val="clear" w:color="auto" w:fill="auto"/>
            <w:vAlign w:val="center"/>
          </w:tcPr>
          <w:p w14:paraId="2795D8EA">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27" w:type="dxa"/>
            <w:tcBorders>
              <w:top w:val="nil"/>
              <w:left w:val="nil"/>
              <w:bottom w:val="single" w:color="000000" w:sz="4" w:space="0"/>
              <w:right w:val="single" w:color="000000" w:sz="4" w:space="0"/>
            </w:tcBorders>
            <w:shd w:val="clear" w:color="auto" w:fill="auto"/>
            <w:vAlign w:val="center"/>
          </w:tcPr>
          <w:p w14:paraId="438D3434">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627" w:type="dxa"/>
            <w:tcBorders>
              <w:top w:val="nil"/>
              <w:left w:val="nil"/>
              <w:bottom w:val="single" w:color="000000" w:sz="4" w:space="0"/>
              <w:right w:val="single" w:color="000000" w:sz="4" w:space="0"/>
            </w:tcBorders>
            <w:shd w:val="clear" w:color="auto" w:fill="auto"/>
            <w:vAlign w:val="center"/>
          </w:tcPr>
          <w:p w14:paraId="737A0D72">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628" w:type="dxa"/>
            <w:tcBorders>
              <w:top w:val="nil"/>
              <w:left w:val="nil"/>
              <w:bottom w:val="single" w:color="000000" w:sz="4" w:space="0"/>
              <w:right w:val="single" w:color="000000" w:sz="4" w:space="0"/>
            </w:tcBorders>
            <w:shd w:val="clear" w:color="auto" w:fill="auto"/>
            <w:vAlign w:val="center"/>
          </w:tcPr>
          <w:p w14:paraId="0C2EBBA3">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035" w:type="dxa"/>
            <w:tcBorders>
              <w:top w:val="nil"/>
              <w:left w:val="nil"/>
              <w:bottom w:val="single" w:color="000000" w:sz="4" w:space="0"/>
              <w:right w:val="single" w:color="000000" w:sz="4" w:space="0"/>
            </w:tcBorders>
            <w:shd w:val="clear" w:color="auto" w:fill="auto"/>
            <w:vAlign w:val="center"/>
          </w:tcPr>
          <w:p w14:paraId="3B61DF06">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890" w:type="dxa"/>
            <w:tcBorders>
              <w:top w:val="nil"/>
              <w:left w:val="nil"/>
              <w:bottom w:val="single" w:color="000000" w:sz="4" w:space="0"/>
              <w:right w:val="single" w:color="000000" w:sz="4" w:space="0"/>
            </w:tcBorders>
            <w:shd w:val="clear" w:color="auto" w:fill="auto"/>
            <w:vAlign w:val="center"/>
          </w:tcPr>
          <w:p w14:paraId="228B9700">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90" w:type="dxa"/>
            <w:tcBorders>
              <w:top w:val="nil"/>
              <w:left w:val="nil"/>
              <w:bottom w:val="single" w:color="000000" w:sz="4" w:space="0"/>
              <w:right w:val="single" w:color="000000" w:sz="4" w:space="0"/>
            </w:tcBorders>
            <w:shd w:val="clear" w:color="auto" w:fill="auto"/>
            <w:vAlign w:val="center"/>
          </w:tcPr>
          <w:p w14:paraId="6FC048D5">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85" w:type="dxa"/>
            <w:tcBorders>
              <w:top w:val="nil"/>
              <w:left w:val="nil"/>
              <w:bottom w:val="single" w:color="000000" w:sz="4" w:space="0"/>
              <w:right w:val="single" w:color="000000" w:sz="4" w:space="0"/>
            </w:tcBorders>
            <w:shd w:val="clear" w:color="auto" w:fill="auto"/>
            <w:vAlign w:val="center"/>
          </w:tcPr>
          <w:p w14:paraId="510B0369">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14:paraId="0BEDFA79">
        <w:tblPrEx>
          <w:tblCellMar>
            <w:top w:w="0" w:type="dxa"/>
            <w:left w:w="108" w:type="dxa"/>
            <w:bottom w:w="0" w:type="dxa"/>
            <w:right w:w="108" w:type="dxa"/>
          </w:tblCellMar>
        </w:tblPrEx>
        <w:trPr>
          <w:gridAfter w:val="1"/>
          <w:wAfter w:w="7" w:type="dxa"/>
          <w:trHeight w:val="272" w:hRule="atLeast"/>
        </w:trPr>
        <w:tc>
          <w:tcPr>
            <w:tcW w:w="803" w:type="dxa"/>
            <w:vMerge w:val="continue"/>
            <w:tcBorders>
              <w:top w:val="nil"/>
              <w:left w:val="single" w:color="000000" w:sz="4" w:space="0"/>
              <w:bottom w:val="single" w:color="000000" w:sz="4" w:space="0"/>
              <w:right w:val="single" w:color="000000" w:sz="4" w:space="0"/>
            </w:tcBorders>
            <w:vAlign w:val="center"/>
          </w:tcPr>
          <w:p w14:paraId="5B28860B">
            <w:pPr>
              <w:widowControl/>
              <w:jc w:val="left"/>
              <w:rPr>
                <w:rFonts w:ascii="宋体" w:hAnsi="宋体" w:cs="宋体"/>
                <w:color w:val="000000"/>
                <w:kern w:val="0"/>
                <w:sz w:val="18"/>
                <w:szCs w:val="18"/>
              </w:rPr>
            </w:pPr>
          </w:p>
        </w:tc>
        <w:tc>
          <w:tcPr>
            <w:tcW w:w="802" w:type="dxa"/>
            <w:tcBorders>
              <w:top w:val="nil"/>
              <w:left w:val="nil"/>
              <w:bottom w:val="single" w:color="000000" w:sz="4" w:space="0"/>
              <w:right w:val="single" w:color="000000" w:sz="4" w:space="0"/>
            </w:tcBorders>
            <w:shd w:val="clear" w:color="auto" w:fill="auto"/>
            <w:vAlign w:val="center"/>
          </w:tcPr>
          <w:p w14:paraId="5CF9232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05" w:type="dxa"/>
            <w:tcBorders>
              <w:top w:val="nil"/>
              <w:left w:val="nil"/>
              <w:bottom w:val="single" w:color="000000" w:sz="4" w:space="0"/>
              <w:right w:val="single" w:color="000000" w:sz="4" w:space="0"/>
            </w:tcBorders>
            <w:shd w:val="clear" w:color="auto" w:fill="auto"/>
            <w:vAlign w:val="center"/>
          </w:tcPr>
          <w:p w14:paraId="69B8CC2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16" w:type="dxa"/>
            <w:tcBorders>
              <w:top w:val="nil"/>
              <w:left w:val="nil"/>
              <w:bottom w:val="single" w:color="000000" w:sz="4" w:space="0"/>
              <w:right w:val="single" w:color="000000" w:sz="4" w:space="0"/>
            </w:tcBorders>
            <w:shd w:val="clear" w:color="auto" w:fill="auto"/>
            <w:vAlign w:val="center"/>
          </w:tcPr>
          <w:p w14:paraId="73253BA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27" w:type="dxa"/>
            <w:tcBorders>
              <w:top w:val="nil"/>
              <w:left w:val="nil"/>
              <w:bottom w:val="single" w:color="000000" w:sz="4" w:space="0"/>
              <w:right w:val="single" w:color="000000" w:sz="4" w:space="0"/>
            </w:tcBorders>
            <w:shd w:val="clear" w:color="auto" w:fill="auto"/>
            <w:vAlign w:val="center"/>
          </w:tcPr>
          <w:p w14:paraId="265CA9E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27" w:type="dxa"/>
            <w:tcBorders>
              <w:top w:val="nil"/>
              <w:left w:val="nil"/>
              <w:bottom w:val="single" w:color="000000" w:sz="4" w:space="0"/>
              <w:right w:val="single" w:color="000000" w:sz="4" w:space="0"/>
            </w:tcBorders>
            <w:shd w:val="clear" w:color="auto" w:fill="auto"/>
            <w:vAlign w:val="center"/>
          </w:tcPr>
          <w:p w14:paraId="40A937BD">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28" w:type="dxa"/>
            <w:tcBorders>
              <w:top w:val="nil"/>
              <w:left w:val="nil"/>
              <w:bottom w:val="single" w:color="000000" w:sz="4" w:space="0"/>
              <w:right w:val="single" w:color="000000" w:sz="4" w:space="0"/>
            </w:tcBorders>
            <w:shd w:val="clear" w:color="auto" w:fill="auto"/>
            <w:vAlign w:val="center"/>
          </w:tcPr>
          <w:p w14:paraId="1823196C">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035" w:type="dxa"/>
            <w:tcBorders>
              <w:top w:val="nil"/>
              <w:left w:val="nil"/>
              <w:bottom w:val="single" w:color="000000" w:sz="4" w:space="0"/>
              <w:right w:val="single" w:color="000000" w:sz="4" w:space="0"/>
            </w:tcBorders>
            <w:shd w:val="clear" w:color="auto" w:fill="auto"/>
            <w:vAlign w:val="center"/>
          </w:tcPr>
          <w:p w14:paraId="6DECFBB7">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90" w:type="dxa"/>
            <w:tcBorders>
              <w:top w:val="nil"/>
              <w:left w:val="nil"/>
              <w:bottom w:val="single" w:color="000000" w:sz="4" w:space="0"/>
              <w:right w:val="single" w:color="000000" w:sz="4" w:space="0"/>
            </w:tcBorders>
            <w:shd w:val="clear" w:color="auto" w:fill="auto"/>
            <w:vAlign w:val="center"/>
          </w:tcPr>
          <w:p w14:paraId="54197C7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90" w:type="dxa"/>
            <w:tcBorders>
              <w:top w:val="nil"/>
              <w:left w:val="nil"/>
              <w:bottom w:val="single" w:color="000000" w:sz="4" w:space="0"/>
              <w:right w:val="single" w:color="000000" w:sz="4" w:space="0"/>
            </w:tcBorders>
            <w:shd w:val="clear" w:color="auto" w:fill="auto"/>
            <w:vAlign w:val="center"/>
          </w:tcPr>
          <w:p w14:paraId="2E327CFE">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85" w:type="dxa"/>
            <w:tcBorders>
              <w:top w:val="nil"/>
              <w:left w:val="nil"/>
              <w:bottom w:val="single" w:color="000000" w:sz="4" w:space="0"/>
              <w:right w:val="single" w:color="000000" w:sz="4" w:space="0"/>
            </w:tcBorders>
            <w:shd w:val="clear" w:color="auto" w:fill="auto"/>
            <w:vAlign w:val="center"/>
          </w:tcPr>
          <w:p w14:paraId="66EDBE6C">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07FD54A6">
        <w:tblPrEx>
          <w:tblCellMar>
            <w:top w:w="0" w:type="dxa"/>
            <w:left w:w="108" w:type="dxa"/>
            <w:bottom w:w="0" w:type="dxa"/>
            <w:right w:w="108" w:type="dxa"/>
          </w:tblCellMar>
        </w:tblPrEx>
        <w:trPr>
          <w:trHeight w:val="438" w:hRule="atLeast"/>
        </w:trPr>
        <w:tc>
          <w:tcPr>
            <w:tcW w:w="674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17AECC2">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890" w:type="dxa"/>
            <w:tcBorders>
              <w:top w:val="nil"/>
              <w:left w:val="nil"/>
              <w:bottom w:val="single" w:color="000000" w:sz="4" w:space="0"/>
              <w:right w:val="single" w:color="000000" w:sz="4" w:space="0"/>
            </w:tcBorders>
            <w:shd w:val="clear" w:color="auto" w:fill="auto"/>
            <w:vAlign w:val="center"/>
          </w:tcPr>
          <w:p w14:paraId="21EFBB41">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90" w:type="dxa"/>
            <w:tcBorders>
              <w:top w:val="nil"/>
              <w:left w:val="nil"/>
              <w:bottom w:val="single" w:color="000000" w:sz="4" w:space="0"/>
              <w:right w:val="single" w:color="000000" w:sz="4" w:space="0"/>
            </w:tcBorders>
            <w:shd w:val="clear" w:color="auto" w:fill="auto"/>
            <w:vAlign w:val="center"/>
          </w:tcPr>
          <w:p w14:paraId="5397D3D7">
            <w:pPr>
              <w:widowControl/>
              <w:jc w:val="right"/>
              <w:rPr>
                <w:rFonts w:ascii="宋体" w:hAnsi="宋体" w:cs="宋体"/>
                <w:color w:val="000000"/>
                <w:kern w:val="0"/>
                <w:sz w:val="18"/>
                <w:szCs w:val="18"/>
              </w:rPr>
            </w:pPr>
            <w:r>
              <w:rPr>
                <w:rFonts w:hint="eastAsia" w:ascii="宋体" w:hAnsi="宋体" w:cs="宋体"/>
                <w:color w:val="000000"/>
                <w:kern w:val="0"/>
                <w:sz w:val="18"/>
                <w:szCs w:val="18"/>
              </w:rPr>
              <w:t>100</w:t>
            </w:r>
          </w:p>
        </w:tc>
        <w:tc>
          <w:tcPr>
            <w:tcW w:w="885" w:type="dxa"/>
            <w:gridSpan w:val="2"/>
            <w:tcBorders>
              <w:top w:val="nil"/>
              <w:left w:val="nil"/>
              <w:bottom w:val="single" w:color="000000" w:sz="4" w:space="0"/>
              <w:right w:val="single" w:color="000000" w:sz="4" w:space="0"/>
            </w:tcBorders>
            <w:shd w:val="clear" w:color="auto" w:fill="auto"/>
            <w:vAlign w:val="center"/>
          </w:tcPr>
          <w:p w14:paraId="6F83BD82">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14:paraId="1779C5B7">
        <w:tblPrEx>
          <w:tblCellMar>
            <w:top w:w="0" w:type="dxa"/>
            <w:left w:w="108" w:type="dxa"/>
            <w:bottom w:w="0" w:type="dxa"/>
            <w:right w:w="108" w:type="dxa"/>
          </w:tblCellMar>
        </w:tblPrEx>
        <w:trPr>
          <w:trHeight w:val="590" w:hRule="atLeast"/>
        </w:trPr>
        <w:tc>
          <w:tcPr>
            <w:tcW w:w="803" w:type="dxa"/>
            <w:tcBorders>
              <w:top w:val="nil"/>
              <w:left w:val="single" w:color="000000" w:sz="4" w:space="0"/>
              <w:bottom w:val="single" w:color="000000" w:sz="4" w:space="0"/>
              <w:right w:val="single" w:color="000000" w:sz="4" w:space="0"/>
            </w:tcBorders>
            <w:shd w:val="clear" w:color="auto" w:fill="auto"/>
            <w:vAlign w:val="center"/>
          </w:tcPr>
          <w:p w14:paraId="07B9F202">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8611" w:type="dxa"/>
            <w:gridSpan w:val="11"/>
            <w:tcBorders>
              <w:top w:val="single" w:color="000000" w:sz="4" w:space="0"/>
              <w:left w:val="nil"/>
              <w:bottom w:val="single" w:color="000000" w:sz="4" w:space="0"/>
              <w:right w:val="single" w:color="000000" w:sz="4" w:space="0"/>
            </w:tcBorders>
            <w:shd w:val="clear" w:color="auto" w:fill="auto"/>
            <w:vAlign w:val="center"/>
          </w:tcPr>
          <w:p w14:paraId="145D8202">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项目自评总分100分，严格按照有关项目管理和经费管理规定执行。各项预算支出顺利进行，并按计划圆满完成。</w:t>
            </w:r>
          </w:p>
        </w:tc>
      </w:tr>
      <w:tr w14:paraId="1B0B1695">
        <w:tblPrEx>
          <w:tblCellMar>
            <w:top w:w="0" w:type="dxa"/>
            <w:left w:w="108" w:type="dxa"/>
            <w:bottom w:w="0" w:type="dxa"/>
            <w:right w:w="108" w:type="dxa"/>
          </w:tblCellMar>
        </w:tblPrEx>
        <w:trPr>
          <w:trHeight w:val="438" w:hRule="atLeast"/>
        </w:trPr>
        <w:tc>
          <w:tcPr>
            <w:tcW w:w="803" w:type="dxa"/>
            <w:tcBorders>
              <w:top w:val="nil"/>
              <w:left w:val="single" w:color="000000" w:sz="4" w:space="0"/>
              <w:bottom w:val="single" w:color="000000" w:sz="4" w:space="0"/>
              <w:right w:val="single" w:color="000000" w:sz="4" w:space="0"/>
            </w:tcBorders>
            <w:shd w:val="clear" w:color="auto" w:fill="auto"/>
            <w:vAlign w:val="center"/>
          </w:tcPr>
          <w:p w14:paraId="47533CC8">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8611" w:type="dxa"/>
            <w:gridSpan w:val="11"/>
            <w:tcBorders>
              <w:top w:val="single" w:color="000000" w:sz="4" w:space="0"/>
              <w:left w:val="nil"/>
              <w:bottom w:val="single" w:color="000000" w:sz="4" w:space="0"/>
              <w:right w:val="single" w:color="000000" w:sz="4" w:space="0"/>
            </w:tcBorders>
            <w:shd w:val="clear" w:color="auto" w:fill="auto"/>
            <w:vAlign w:val="center"/>
          </w:tcPr>
          <w:p w14:paraId="0A5724E8">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355E3596">
        <w:tblPrEx>
          <w:tblCellMar>
            <w:top w:w="0" w:type="dxa"/>
            <w:left w:w="108" w:type="dxa"/>
            <w:bottom w:w="0" w:type="dxa"/>
            <w:right w:w="108" w:type="dxa"/>
          </w:tblCellMar>
        </w:tblPrEx>
        <w:trPr>
          <w:trHeight w:val="438" w:hRule="atLeast"/>
        </w:trPr>
        <w:tc>
          <w:tcPr>
            <w:tcW w:w="803" w:type="dxa"/>
            <w:tcBorders>
              <w:top w:val="nil"/>
              <w:left w:val="single" w:color="000000" w:sz="4" w:space="0"/>
              <w:bottom w:val="single" w:color="000000" w:sz="4" w:space="0"/>
              <w:right w:val="single" w:color="000000" w:sz="4" w:space="0"/>
            </w:tcBorders>
            <w:shd w:val="clear" w:color="auto" w:fill="auto"/>
            <w:vAlign w:val="center"/>
          </w:tcPr>
          <w:p w14:paraId="1BE0DF75">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8611" w:type="dxa"/>
            <w:gridSpan w:val="11"/>
            <w:tcBorders>
              <w:top w:val="single" w:color="000000" w:sz="4" w:space="0"/>
              <w:left w:val="nil"/>
              <w:bottom w:val="single" w:color="000000" w:sz="4" w:space="0"/>
              <w:right w:val="single" w:color="000000" w:sz="4" w:space="0"/>
            </w:tcBorders>
            <w:shd w:val="clear" w:color="auto" w:fill="auto"/>
            <w:vAlign w:val="center"/>
          </w:tcPr>
          <w:p w14:paraId="08FE9210">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71494B64">
        <w:tblPrEx>
          <w:tblCellMar>
            <w:top w:w="0" w:type="dxa"/>
            <w:left w:w="108" w:type="dxa"/>
            <w:bottom w:w="0" w:type="dxa"/>
            <w:right w:w="108" w:type="dxa"/>
          </w:tblCellMar>
        </w:tblPrEx>
        <w:trPr>
          <w:trHeight w:val="438" w:hRule="atLeast"/>
        </w:trPr>
        <w:tc>
          <w:tcPr>
            <w:tcW w:w="44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7EFD53">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项目</w:t>
            </w:r>
            <w:r>
              <w:rPr>
                <w:rFonts w:hint="eastAsia" w:ascii="微软雅黑" w:hAnsi="微软雅黑" w:eastAsia="微软雅黑" w:cs="微软雅黑"/>
                <w:color w:val="000000"/>
                <w:kern w:val="0"/>
                <w:sz w:val="18"/>
                <w:szCs w:val="18"/>
              </w:rPr>
              <w:t>负</w:t>
            </w:r>
            <w:r>
              <w:rPr>
                <w:rFonts w:hint="eastAsia" w:ascii="___WRD_EMBED_SUB_17" w:hAnsi="___WRD_EMBED_SUB_17" w:eastAsia="___WRD_EMBED_SUB_17" w:cs="___WRD_EMBED_SUB_17"/>
                <w:color w:val="000000"/>
                <w:kern w:val="0"/>
                <w:sz w:val="18"/>
                <w:szCs w:val="18"/>
              </w:rPr>
              <w:t>责</w:t>
            </w:r>
            <w:r>
              <w:rPr>
                <w:rFonts w:hint="eastAsia" w:ascii="微软雅黑" w:hAnsi="微软雅黑" w:eastAsia="微软雅黑" w:cs="微软雅黑"/>
                <w:color w:val="000000"/>
                <w:kern w:val="0"/>
                <w:sz w:val="18"/>
                <w:szCs w:val="18"/>
              </w:rPr>
              <w:t>人：毛佳龙</w:t>
            </w:r>
          </w:p>
        </w:tc>
        <w:tc>
          <w:tcPr>
            <w:tcW w:w="4959" w:type="dxa"/>
            <w:gridSpan w:val="7"/>
            <w:tcBorders>
              <w:top w:val="single" w:color="000000" w:sz="4" w:space="0"/>
              <w:left w:val="nil"/>
              <w:bottom w:val="single" w:color="000000" w:sz="4" w:space="0"/>
              <w:right w:val="single" w:color="000000" w:sz="4" w:space="0"/>
            </w:tcBorders>
            <w:shd w:val="clear" w:color="auto" w:fill="auto"/>
            <w:vAlign w:val="center"/>
          </w:tcPr>
          <w:p w14:paraId="0D65AB59">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财</w:t>
            </w:r>
            <w:r>
              <w:rPr>
                <w:rFonts w:hint="eastAsia" w:ascii="微软雅黑" w:hAnsi="微软雅黑" w:eastAsia="微软雅黑" w:cs="微软雅黑"/>
                <w:color w:val="000000"/>
                <w:kern w:val="0"/>
                <w:sz w:val="18"/>
                <w:szCs w:val="18"/>
              </w:rPr>
              <w:t>务负</w:t>
            </w:r>
            <w:r>
              <w:rPr>
                <w:rFonts w:hint="eastAsia" w:ascii="___WRD_EMBED_SUB_17" w:hAnsi="___WRD_EMBED_SUB_17" w:eastAsia="___WRD_EMBED_SUB_17" w:cs="___WRD_EMBED_SUB_17"/>
                <w:color w:val="000000"/>
                <w:kern w:val="0"/>
                <w:sz w:val="18"/>
                <w:szCs w:val="18"/>
              </w:rPr>
              <w:t>责</w:t>
            </w:r>
            <w:r>
              <w:rPr>
                <w:rFonts w:hint="eastAsia" w:ascii="微软雅黑" w:hAnsi="微软雅黑" w:eastAsia="微软雅黑" w:cs="微软雅黑"/>
                <w:color w:val="000000"/>
                <w:kern w:val="0"/>
                <w:sz w:val="18"/>
                <w:szCs w:val="18"/>
              </w:rPr>
              <w:t>人：漆明强</w:t>
            </w:r>
          </w:p>
        </w:tc>
      </w:tr>
    </w:tbl>
    <w:p w14:paraId="3AF8CF69">
      <w:pPr>
        <w:pStyle w:val="2"/>
        <w:spacing w:before="93"/>
        <w:rPr>
          <w:rFonts w:hAnsi="Calibri" w:cs="仿宋"/>
          <w:sz w:val="32"/>
          <w:szCs w:val="32"/>
        </w:rPr>
      </w:pPr>
    </w:p>
    <w:p w14:paraId="4914D318">
      <w:pPr>
        <w:pStyle w:val="2"/>
        <w:spacing w:before="93"/>
        <w:rPr>
          <w:rFonts w:ascii="Cambria" w:hAnsi="Cambria" w:cs="仿宋"/>
          <w:b/>
          <w:bCs/>
          <w:sz w:val="32"/>
          <w:szCs w:val="32"/>
        </w:rPr>
      </w:pPr>
      <w:r>
        <w:rPr>
          <w:rFonts w:hint="eastAsia" w:hAnsi="Calibri" w:cs="仿宋"/>
          <w:b/>
          <w:bCs/>
          <w:sz w:val="32"/>
          <w:szCs w:val="32"/>
        </w:rPr>
        <w:t>附件</w:t>
      </w:r>
      <w:r>
        <w:rPr>
          <w:rFonts w:ascii="Cambria" w:hAnsi="Cambria" w:cs="仿宋"/>
          <w:b/>
          <w:bCs/>
          <w:sz w:val="32"/>
          <w:szCs w:val="32"/>
        </w:rPr>
        <w:t>3-</w:t>
      </w:r>
      <w:r>
        <w:rPr>
          <w:rFonts w:hint="eastAsia" w:ascii="Cambria" w:hAnsi="Cambria" w:cs="仿宋"/>
          <w:b/>
          <w:bCs/>
          <w:sz w:val="32"/>
          <w:szCs w:val="32"/>
        </w:rPr>
        <w:t>8</w:t>
      </w:r>
    </w:p>
    <w:tbl>
      <w:tblPr>
        <w:tblStyle w:val="14"/>
        <w:tblW w:w="9478" w:type="dxa"/>
        <w:tblInd w:w="113" w:type="dxa"/>
        <w:tblLayout w:type="autofit"/>
        <w:tblCellMar>
          <w:top w:w="0" w:type="dxa"/>
          <w:left w:w="108" w:type="dxa"/>
          <w:bottom w:w="0" w:type="dxa"/>
          <w:right w:w="108" w:type="dxa"/>
        </w:tblCellMar>
      </w:tblPr>
      <w:tblGrid>
        <w:gridCol w:w="806"/>
        <w:gridCol w:w="808"/>
        <w:gridCol w:w="1114"/>
        <w:gridCol w:w="1114"/>
        <w:gridCol w:w="634"/>
        <w:gridCol w:w="633"/>
        <w:gridCol w:w="635"/>
        <w:gridCol w:w="1044"/>
        <w:gridCol w:w="896"/>
        <w:gridCol w:w="896"/>
        <w:gridCol w:w="892"/>
        <w:gridCol w:w="6"/>
      </w:tblGrid>
      <w:tr w14:paraId="63C81555">
        <w:tblPrEx>
          <w:tblCellMar>
            <w:top w:w="0" w:type="dxa"/>
            <w:left w:w="108" w:type="dxa"/>
            <w:bottom w:w="0" w:type="dxa"/>
            <w:right w:w="108" w:type="dxa"/>
          </w:tblCellMar>
        </w:tblPrEx>
        <w:trPr>
          <w:trHeight w:val="498" w:hRule="atLeast"/>
        </w:trPr>
        <w:tc>
          <w:tcPr>
            <w:tcW w:w="947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61731FA">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w:t>
            </w:r>
            <w:r>
              <w:rPr>
                <w:rFonts w:hint="eastAsia" w:ascii="微软雅黑" w:hAnsi="微软雅黑" w:eastAsia="微软雅黑" w:cs="微软雅黑"/>
                <w:b/>
                <w:bCs/>
                <w:color w:val="000000"/>
                <w:kern w:val="0"/>
                <w:sz w:val="30"/>
                <w:szCs w:val="30"/>
              </w:rPr>
              <w:t>门</w:t>
            </w:r>
            <w:r>
              <w:rPr>
                <w:rFonts w:hint="eastAsia" w:ascii="___WRD_EMBED_SUB_17" w:hAnsi="___WRD_EMBED_SUB_17" w:eastAsia="___WRD_EMBED_SUB_17" w:cs="___WRD_EMBED_SUB_17"/>
                <w:b/>
                <w:bCs/>
                <w:color w:val="000000"/>
                <w:kern w:val="0"/>
                <w:sz w:val="30"/>
                <w:szCs w:val="30"/>
              </w:rPr>
              <w:t>预算项目支出</w:t>
            </w:r>
            <w:r>
              <w:rPr>
                <w:rFonts w:hint="eastAsia" w:ascii="微软雅黑" w:hAnsi="微软雅黑" w:eastAsia="微软雅黑" w:cs="微软雅黑"/>
                <w:b/>
                <w:bCs/>
                <w:color w:val="000000"/>
                <w:kern w:val="0"/>
                <w:sz w:val="30"/>
                <w:szCs w:val="30"/>
              </w:rPr>
              <w:t>绩效自评</w:t>
            </w:r>
            <w:r>
              <w:rPr>
                <w:rFonts w:hint="eastAsia" w:ascii="___WRD_EMBED_SUB_17" w:hAnsi="___WRD_EMBED_SUB_17" w:eastAsia="___WRD_EMBED_SUB_17" w:cs="___WRD_EMBED_SUB_17"/>
                <w:b/>
                <w:bCs/>
                <w:color w:val="000000"/>
                <w:kern w:val="0"/>
                <w:sz w:val="30"/>
                <w:szCs w:val="30"/>
              </w:rPr>
              <w:t>表</w:t>
            </w:r>
            <w:r>
              <w:rPr>
                <w:rFonts w:hint="eastAsia" w:ascii="微软雅黑" w:hAnsi="微软雅黑" w:eastAsia="微软雅黑" w:cs="微软雅黑"/>
                <w:b/>
                <w:bCs/>
                <w:color w:val="000000"/>
                <w:kern w:val="0"/>
                <w:sz w:val="30"/>
                <w:szCs w:val="30"/>
              </w:rPr>
              <w:t>（</w:t>
            </w:r>
            <w:r>
              <w:rPr>
                <w:rFonts w:hint="eastAsia" w:ascii="黑体" w:hAnsi="黑体" w:eastAsia="黑体" w:cs="宋体"/>
                <w:b/>
                <w:bCs/>
                <w:color w:val="000000"/>
                <w:kern w:val="0"/>
                <w:sz w:val="30"/>
                <w:szCs w:val="30"/>
              </w:rPr>
              <w:t>2022年度</w:t>
            </w:r>
            <w:r>
              <w:rPr>
                <w:rFonts w:hint="eastAsia" w:ascii="微软雅黑" w:hAnsi="微软雅黑" w:eastAsia="微软雅黑" w:cs="微软雅黑"/>
                <w:b/>
                <w:bCs/>
                <w:color w:val="000000"/>
                <w:kern w:val="0"/>
                <w:sz w:val="30"/>
                <w:szCs w:val="30"/>
              </w:rPr>
              <w:t>）</w:t>
            </w:r>
          </w:p>
        </w:tc>
      </w:tr>
      <w:tr w14:paraId="646DA211">
        <w:tblPrEx>
          <w:tblCellMar>
            <w:top w:w="0" w:type="dxa"/>
            <w:left w:w="108" w:type="dxa"/>
            <w:bottom w:w="0" w:type="dxa"/>
            <w:right w:w="108" w:type="dxa"/>
          </w:tblCellMar>
        </w:tblPrEx>
        <w:trPr>
          <w:trHeight w:val="498" w:hRule="atLeast"/>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030045">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7862" w:type="dxa"/>
            <w:gridSpan w:val="10"/>
            <w:tcBorders>
              <w:top w:val="single" w:color="000000" w:sz="4" w:space="0"/>
              <w:left w:val="nil"/>
              <w:bottom w:val="single" w:color="000000" w:sz="4" w:space="0"/>
              <w:right w:val="single" w:color="000000" w:sz="4" w:space="0"/>
            </w:tcBorders>
            <w:shd w:val="clear" w:color="auto" w:fill="auto"/>
            <w:vAlign w:val="center"/>
          </w:tcPr>
          <w:p w14:paraId="146972F5">
            <w:pPr>
              <w:widowControl/>
              <w:jc w:val="left"/>
              <w:rPr>
                <w:rFonts w:ascii="宋体" w:hAnsi="宋体" w:cs="宋体"/>
                <w:color w:val="000000"/>
                <w:kern w:val="0"/>
                <w:sz w:val="18"/>
                <w:szCs w:val="18"/>
              </w:rPr>
            </w:pPr>
            <w:r>
              <w:rPr>
                <w:rFonts w:hint="eastAsia" w:ascii="宋体" w:hAnsi="宋体" w:cs="宋体"/>
                <w:color w:val="000000"/>
                <w:kern w:val="0"/>
                <w:sz w:val="18"/>
                <w:szCs w:val="18"/>
              </w:rPr>
              <w:t>51118122T000007117900-煤矿瓦斯监控平台升级改造项目</w:t>
            </w:r>
          </w:p>
        </w:tc>
      </w:tr>
      <w:tr w14:paraId="46A2D911">
        <w:tblPrEx>
          <w:tblCellMar>
            <w:top w:w="0" w:type="dxa"/>
            <w:left w:w="108" w:type="dxa"/>
            <w:bottom w:w="0" w:type="dxa"/>
            <w:right w:w="108" w:type="dxa"/>
          </w:tblCellMar>
        </w:tblPrEx>
        <w:trPr>
          <w:trHeight w:val="498" w:hRule="atLeast"/>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9C05B0">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4132" w:type="dxa"/>
            <w:gridSpan w:val="5"/>
            <w:tcBorders>
              <w:top w:val="single" w:color="000000" w:sz="4" w:space="0"/>
              <w:left w:val="nil"/>
              <w:bottom w:val="single" w:color="000000" w:sz="4" w:space="0"/>
              <w:right w:val="single" w:color="000000" w:sz="4" w:space="0"/>
            </w:tcBorders>
            <w:shd w:val="clear" w:color="auto" w:fill="auto"/>
            <w:vAlign w:val="center"/>
          </w:tcPr>
          <w:p w14:paraId="0AEBE105">
            <w:pPr>
              <w:widowControl/>
              <w:jc w:val="left"/>
              <w:rPr>
                <w:rFonts w:ascii="宋体" w:hAnsi="宋体" w:cs="宋体"/>
                <w:color w:val="000000"/>
                <w:kern w:val="0"/>
                <w:sz w:val="18"/>
                <w:szCs w:val="18"/>
              </w:rPr>
            </w:pPr>
            <w:r>
              <w:rPr>
                <w:rFonts w:hint="eastAsia" w:ascii="宋体" w:hAnsi="宋体" w:cs="宋体"/>
                <w:color w:val="000000"/>
                <w:kern w:val="0"/>
                <w:sz w:val="18"/>
                <w:szCs w:val="18"/>
              </w:rPr>
              <w:t>应急管理局</w:t>
            </w:r>
          </w:p>
        </w:tc>
        <w:tc>
          <w:tcPr>
            <w:tcW w:w="1041" w:type="dxa"/>
            <w:tcBorders>
              <w:top w:val="nil"/>
              <w:left w:val="nil"/>
              <w:bottom w:val="nil"/>
              <w:right w:val="nil"/>
            </w:tcBorders>
            <w:shd w:val="clear" w:color="auto" w:fill="auto"/>
            <w:vAlign w:val="center"/>
          </w:tcPr>
          <w:p w14:paraId="5D12210F">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实施</w:t>
            </w:r>
            <w:r>
              <w:rPr>
                <w:rFonts w:hint="eastAsia" w:ascii="___WRD_EMBED_SUB_17" w:hAnsi="___WRD_EMBED_SUB_17" w:eastAsia="___WRD_EMBED_SUB_17" w:cs="___WRD_EMBED_SUB_17"/>
                <w:color w:val="000000"/>
                <w:kern w:val="0"/>
                <w:sz w:val="18"/>
                <w:szCs w:val="18"/>
              </w:rPr>
              <w:t>单位</w:t>
            </w:r>
            <w:r>
              <w:rPr>
                <w:rFonts w:hint="eastAsia" w:ascii="黑体" w:hAnsi="黑体" w:eastAsia="黑体" w:cs="宋体"/>
                <w:color w:val="000000"/>
                <w:kern w:val="0"/>
                <w:sz w:val="18"/>
                <w:szCs w:val="18"/>
              </w:rPr>
              <w:t xml:space="preserve"> </w:t>
            </w:r>
            <w:r>
              <w:rPr>
                <w:rFonts w:hint="eastAsia" w:ascii="微软雅黑" w:hAnsi="微软雅黑" w:eastAsia="微软雅黑" w:cs="微软雅黑"/>
                <w:color w:val="000000"/>
                <w:kern w:val="0"/>
                <w:sz w:val="18"/>
                <w:szCs w:val="18"/>
              </w:rPr>
              <w:t>（盖章）</w:t>
            </w:r>
          </w:p>
        </w:tc>
        <w:tc>
          <w:tcPr>
            <w:tcW w:w="268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4CBC509">
            <w:pPr>
              <w:widowControl/>
              <w:jc w:val="center"/>
              <w:rPr>
                <w:rFonts w:ascii="宋体" w:hAnsi="宋体" w:cs="宋体"/>
                <w:color w:val="000000"/>
                <w:kern w:val="0"/>
                <w:sz w:val="18"/>
                <w:szCs w:val="18"/>
              </w:rPr>
            </w:pPr>
            <w:r>
              <w:rPr>
                <w:rFonts w:hint="eastAsia" w:ascii="宋体" w:hAnsi="宋体" w:cs="宋体"/>
                <w:color w:val="000000"/>
                <w:kern w:val="0"/>
                <w:sz w:val="18"/>
                <w:szCs w:val="18"/>
              </w:rPr>
              <w:t>峨眉山市应急管理局</w:t>
            </w:r>
          </w:p>
        </w:tc>
      </w:tr>
      <w:tr w14:paraId="6EB2A2E9">
        <w:tblPrEx>
          <w:tblCellMar>
            <w:top w:w="0" w:type="dxa"/>
            <w:left w:w="108" w:type="dxa"/>
            <w:bottom w:w="0" w:type="dxa"/>
            <w:right w:w="108" w:type="dxa"/>
          </w:tblCellMar>
        </w:tblPrEx>
        <w:trPr>
          <w:trHeight w:val="437" w:hRule="atLeast"/>
        </w:trPr>
        <w:tc>
          <w:tcPr>
            <w:tcW w:w="807" w:type="dxa"/>
            <w:vMerge w:val="restart"/>
            <w:tcBorders>
              <w:top w:val="nil"/>
              <w:left w:val="single" w:color="000000" w:sz="4" w:space="0"/>
              <w:bottom w:val="single" w:color="000000" w:sz="4" w:space="0"/>
              <w:right w:val="single" w:color="000000" w:sz="4" w:space="0"/>
            </w:tcBorders>
            <w:shd w:val="clear" w:color="auto" w:fill="auto"/>
            <w:vAlign w:val="center"/>
          </w:tcPr>
          <w:p w14:paraId="5687632C">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808" w:type="dxa"/>
            <w:vMerge w:val="restart"/>
            <w:tcBorders>
              <w:top w:val="nil"/>
              <w:left w:val="single" w:color="000000" w:sz="4" w:space="0"/>
              <w:bottom w:val="single" w:color="000000" w:sz="4" w:space="0"/>
              <w:right w:val="single" w:color="000000" w:sz="4" w:space="0"/>
            </w:tcBorders>
            <w:shd w:val="clear" w:color="auto" w:fill="auto"/>
            <w:vAlign w:val="center"/>
          </w:tcPr>
          <w:p w14:paraId="7F6E323F">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4132" w:type="dxa"/>
            <w:gridSpan w:val="5"/>
            <w:tcBorders>
              <w:top w:val="single" w:color="000000" w:sz="4" w:space="0"/>
              <w:left w:val="nil"/>
              <w:bottom w:val="single" w:color="000000" w:sz="4" w:space="0"/>
              <w:right w:val="single" w:color="000000" w:sz="4" w:space="0"/>
            </w:tcBorders>
            <w:shd w:val="clear" w:color="auto" w:fill="auto"/>
            <w:vAlign w:val="center"/>
          </w:tcPr>
          <w:p w14:paraId="19375057">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3729" w:type="dxa"/>
            <w:gridSpan w:val="5"/>
            <w:tcBorders>
              <w:top w:val="single" w:color="000000" w:sz="4" w:space="0"/>
              <w:left w:val="nil"/>
              <w:bottom w:val="single" w:color="000000" w:sz="4" w:space="0"/>
              <w:right w:val="single" w:color="000000" w:sz="4" w:space="0"/>
            </w:tcBorders>
            <w:shd w:val="clear" w:color="auto" w:fill="auto"/>
            <w:vAlign w:val="center"/>
          </w:tcPr>
          <w:p w14:paraId="56225F1B">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年度目</w:t>
            </w:r>
            <w:r>
              <w:rPr>
                <w:rFonts w:hint="eastAsia" w:ascii="微软雅黑" w:hAnsi="微软雅黑" w:eastAsia="微软雅黑" w:cs="微软雅黑"/>
                <w:color w:val="000000"/>
                <w:kern w:val="0"/>
                <w:sz w:val="18"/>
                <w:szCs w:val="18"/>
              </w:rPr>
              <w:t>标完成</w:t>
            </w:r>
            <w:r>
              <w:rPr>
                <w:rFonts w:hint="eastAsia" w:ascii="___WRD_EMBED_SUB_17" w:hAnsi="___WRD_EMBED_SUB_17" w:eastAsia="___WRD_EMBED_SUB_17" w:cs="___WRD_EMBED_SUB_17"/>
                <w:color w:val="000000"/>
                <w:kern w:val="0"/>
                <w:sz w:val="18"/>
                <w:szCs w:val="18"/>
              </w:rPr>
              <w:t>情况</w:t>
            </w:r>
          </w:p>
        </w:tc>
      </w:tr>
      <w:tr w14:paraId="14A73E5B">
        <w:tblPrEx>
          <w:tblCellMar>
            <w:top w:w="0" w:type="dxa"/>
            <w:left w:w="108" w:type="dxa"/>
            <w:bottom w:w="0" w:type="dxa"/>
            <w:right w:w="108" w:type="dxa"/>
          </w:tblCellMar>
        </w:tblPrEx>
        <w:trPr>
          <w:trHeight w:val="845" w:hRule="atLeast"/>
        </w:trPr>
        <w:tc>
          <w:tcPr>
            <w:tcW w:w="807" w:type="dxa"/>
            <w:vMerge w:val="continue"/>
            <w:tcBorders>
              <w:top w:val="nil"/>
              <w:left w:val="single" w:color="000000" w:sz="4" w:space="0"/>
              <w:bottom w:val="single" w:color="000000" w:sz="4" w:space="0"/>
              <w:right w:val="single" w:color="000000" w:sz="4" w:space="0"/>
            </w:tcBorders>
            <w:vAlign w:val="center"/>
          </w:tcPr>
          <w:p w14:paraId="3AE92EFF">
            <w:pPr>
              <w:widowControl/>
              <w:jc w:val="left"/>
              <w:rPr>
                <w:rFonts w:ascii="宋体" w:hAnsi="宋体" w:cs="宋体"/>
                <w:color w:val="000000"/>
                <w:kern w:val="0"/>
                <w:sz w:val="18"/>
                <w:szCs w:val="18"/>
              </w:rPr>
            </w:pPr>
          </w:p>
        </w:tc>
        <w:tc>
          <w:tcPr>
            <w:tcW w:w="808" w:type="dxa"/>
            <w:vMerge w:val="continue"/>
            <w:tcBorders>
              <w:top w:val="nil"/>
              <w:left w:val="single" w:color="000000" w:sz="4" w:space="0"/>
              <w:bottom w:val="single" w:color="000000" w:sz="4" w:space="0"/>
              <w:right w:val="single" w:color="000000" w:sz="4" w:space="0"/>
            </w:tcBorders>
            <w:vAlign w:val="center"/>
          </w:tcPr>
          <w:p w14:paraId="3C00DDAD">
            <w:pPr>
              <w:widowControl/>
              <w:jc w:val="left"/>
              <w:rPr>
                <w:rFonts w:ascii="宋体" w:hAnsi="宋体" w:cs="宋体"/>
                <w:color w:val="000000"/>
                <w:kern w:val="0"/>
                <w:sz w:val="18"/>
                <w:szCs w:val="18"/>
              </w:rPr>
            </w:pPr>
          </w:p>
        </w:tc>
        <w:tc>
          <w:tcPr>
            <w:tcW w:w="4132" w:type="dxa"/>
            <w:gridSpan w:val="5"/>
            <w:tcBorders>
              <w:top w:val="single" w:color="000000" w:sz="4" w:space="0"/>
              <w:left w:val="nil"/>
              <w:bottom w:val="single" w:color="000000" w:sz="4" w:space="0"/>
              <w:right w:val="single" w:color="000000" w:sz="4" w:space="0"/>
            </w:tcBorders>
            <w:shd w:val="clear" w:color="auto" w:fill="auto"/>
            <w:vAlign w:val="center"/>
          </w:tcPr>
          <w:p w14:paraId="07AFE652">
            <w:pPr>
              <w:widowControl/>
              <w:jc w:val="left"/>
              <w:rPr>
                <w:rFonts w:ascii="宋体" w:hAnsi="宋体" w:cs="宋体"/>
                <w:color w:val="000000"/>
                <w:kern w:val="0"/>
                <w:sz w:val="18"/>
                <w:szCs w:val="18"/>
              </w:rPr>
            </w:pPr>
            <w:r>
              <w:rPr>
                <w:rFonts w:hint="eastAsia" w:ascii="宋体" w:hAnsi="宋体" w:cs="宋体"/>
                <w:color w:val="000000"/>
                <w:kern w:val="0"/>
                <w:sz w:val="18"/>
                <w:szCs w:val="18"/>
              </w:rPr>
              <w:t>提升煤矿瓦斯监控平台硬件达标、软件可靠、功能完善、运行良好的建设目标。</w:t>
            </w:r>
          </w:p>
        </w:tc>
        <w:tc>
          <w:tcPr>
            <w:tcW w:w="3729" w:type="dxa"/>
            <w:gridSpan w:val="5"/>
            <w:tcBorders>
              <w:top w:val="single" w:color="000000" w:sz="4" w:space="0"/>
              <w:left w:val="nil"/>
              <w:bottom w:val="single" w:color="000000" w:sz="4" w:space="0"/>
              <w:right w:val="single" w:color="000000" w:sz="4" w:space="0"/>
            </w:tcBorders>
            <w:shd w:val="clear" w:color="auto" w:fill="auto"/>
            <w:vAlign w:val="center"/>
          </w:tcPr>
          <w:p w14:paraId="7BE39990">
            <w:pPr>
              <w:widowControl/>
              <w:jc w:val="left"/>
              <w:rPr>
                <w:rFonts w:ascii="宋体" w:hAnsi="宋体" w:cs="宋体"/>
                <w:color w:val="000000"/>
                <w:kern w:val="0"/>
                <w:sz w:val="18"/>
                <w:szCs w:val="18"/>
              </w:rPr>
            </w:pPr>
            <w:r>
              <w:rPr>
                <w:rFonts w:hint="eastAsia" w:ascii="宋体" w:hAnsi="宋体" w:cs="宋体"/>
                <w:color w:val="000000"/>
                <w:kern w:val="0"/>
                <w:sz w:val="18"/>
                <w:szCs w:val="18"/>
              </w:rPr>
              <w:t>实现煤矿瓦斯监控平台硬件达标、软件可靠、功能完善、运行良好的建设目标。</w:t>
            </w:r>
          </w:p>
        </w:tc>
      </w:tr>
      <w:tr w14:paraId="68204A37">
        <w:tblPrEx>
          <w:tblCellMar>
            <w:top w:w="0" w:type="dxa"/>
            <w:left w:w="108" w:type="dxa"/>
            <w:bottom w:w="0" w:type="dxa"/>
            <w:right w:w="108" w:type="dxa"/>
          </w:tblCellMar>
        </w:tblPrEx>
        <w:trPr>
          <w:trHeight w:val="679" w:hRule="atLeast"/>
        </w:trPr>
        <w:tc>
          <w:tcPr>
            <w:tcW w:w="807" w:type="dxa"/>
            <w:vMerge w:val="continue"/>
            <w:tcBorders>
              <w:top w:val="nil"/>
              <w:left w:val="single" w:color="000000" w:sz="4" w:space="0"/>
              <w:bottom w:val="single" w:color="000000" w:sz="4" w:space="0"/>
              <w:right w:val="single" w:color="000000" w:sz="4" w:space="0"/>
            </w:tcBorders>
            <w:vAlign w:val="center"/>
          </w:tcPr>
          <w:p w14:paraId="3DF40E49">
            <w:pPr>
              <w:widowControl/>
              <w:jc w:val="left"/>
              <w:rPr>
                <w:rFonts w:ascii="宋体" w:hAnsi="宋体" w:cs="宋体"/>
                <w:color w:val="000000"/>
                <w:kern w:val="0"/>
                <w:sz w:val="18"/>
                <w:szCs w:val="18"/>
              </w:rPr>
            </w:pPr>
          </w:p>
        </w:tc>
        <w:tc>
          <w:tcPr>
            <w:tcW w:w="808" w:type="dxa"/>
            <w:tcBorders>
              <w:top w:val="nil"/>
              <w:left w:val="nil"/>
              <w:bottom w:val="single" w:color="000000" w:sz="4" w:space="0"/>
              <w:right w:val="single" w:color="000000" w:sz="4" w:space="0"/>
            </w:tcBorders>
            <w:shd w:val="clear" w:color="auto" w:fill="auto"/>
            <w:vAlign w:val="center"/>
          </w:tcPr>
          <w:p w14:paraId="649ED6CD">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862" w:type="dxa"/>
            <w:gridSpan w:val="10"/>
            <w:tcBorders>
              <w:top w:val="single" w:color="000000" w:sz="4" w:space="0"/>
              <w:left w:val="nil"/>
              <w:bottom w:val="single" w:color="000000" w:sz="4" w:space="0"/>
              <w:right w:val="single" w:color="000000" w:sz="4" w:space="0"/>
            </w:tcBorders>
            <w:shd w:val="clear" w:color="auto" w:fill="auto"/>
            <w:vAlign w:val="center"/>
          </w:tcPr>
          <w:p w14:paraId="13753AAB">
            <w:pPr>
              <w:widowControl/>
              <w:jc w:val="left"/>
              <w:rPr>
                <w:rFonts w:ascii="宋体" w:hAnsi="宋体" w:cs="宋体"/>
                <w:color w:val="000000"/>
                <w:kern w:val="0"/>
                <w:sz w:val="18"/>
                <w:szCs w:val="18"/>
              </w:rPr>
            </w:pPr>
            <w:r>
              <w:rPr>
                <w:rFonts w:hint="eastAsia" w:ascii="宋体" w:hAnsi="宋体" w:cs="宋体"/>
                <w:color w:val="000000"/>
                <w:kern w:val="0"/>
                <w:sz w:val="18"/>
                <w:szCs w:val="18"/>
              </w:rPr>
              <w:t>提升矿瓦斯监控平台硬件达标、软件可靠、功能完善、运行良好的建设目标。</w:t>
            </w:r>
          </w:p>
        </w:tc>
      </w:tr>
      <w:tr w14:paraId="205F10FD">
        <w:tblPrEx>
          <w:tblCellMar>
            <w:top w:w="0" w:type="dxa"/>
            <w:left w:w="108" w:type="dxa"/>
            <w:bottom w:w="0" w:type="dxa"/>
            <w:right w:w="108" w:type="dxa"/>
          </w:tblCellMar>
        </w:tblPrEx>
        <w:trPr>
          <w:gridAfter w:val="1"/>
          <w:wAfter w:w="4" w:type="dxa"/>
          <w:trHeight w:val="452" w:hRule="atLeast"/>
        </w:trPr>
        <w:tc>
          <w:tcPr>
            <w:tcW w:w="807" w:type="dxa"/>
            <w:vMerge w:val="restart"/>
            <w:tcBorders>
              <w:top w:val="nil"/>
              <w:left w:val="single" w:color="000000" w:sz="4" w:space="0"/>
              <w:bottom w:val="single" w:color="000000" w:sz="4" w:space="0"/>
              <w:right w:val="single" w:color="000000" w:sz="4" w:space="0"/>
            </w:tcBorders>
            <w:shd w:val="clear" w:color="auto" w:fill="auto"/>
            <w:vAlign w:val="center"/>
          </w:tcPr>
          <w:p w14:paraId="496F4BF5">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808" w:type="dxa"/>
            <w:tcBorders>
              <w:top w:val="nil"/>
              <w:left w:val="nil"/>
              <w:bottom w:val="single" w:color="000000" w:sz="4" w:space="0"/>
              <w:right w:val="single" w:color="000000" w:sz="4" w:space="0"/>
            </w:tcBorders>
            <w:shd w:val="clear" w:color="auto" w:fill="auto"/>
            <w:vAlign w:val="center"/>
          </w:tcPr>
          <w:p w14:paraId="0134DC4A">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115" w:type="dxa"/>
            <w:tcBorders>
              <w:top w:val="nil"/>
              <w:left w:val="nil"/>
              <w:bottom w:val="single" w:color="000000" w:sz="4" w:space="0"/>
              <w:right w:val="single" w:color="000000" w:sz="4" w:space="0"/>
            </w:tcBorders>
            <w:shd w:val="clear" w:color="auto" w:fill="auto"/>
            <w:vAlign w:val="center"/>
          </w:tcPr>
          <w:p w14:paraId="367D991B">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1115" w:type="dxa"/>
            <w:tcBorders>
              <w:top w:val="nil"/>
              <w:left w:val="nil"/>
              <w:bottom w:val="single" w:color="000000" w:sz="4" w:space="0"/>
              <w:right w:val="single" w:color="000000" w:sz="4" w:space="0"/>
            </w:tcBorders>
            <w:shd w:val="clear" w:color="auto" w:fill="auto"/>
            <w:vAlign w:val="center"/>
          </w:tcPr>
          <w:p w14:paraId="66CE09E6">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1901" w:type="dxa"/>
            <w:gridSpan w:val="3"/>
            <w:tcBorders>
              <w:top w:val="single" w:color="000000" w:sz="4" w:space="0"/>
              <w:left w:val="nil"/>
              <w:bottom w:val="single" w:color="000000" w:sz="4" w:space="0"/>
              <w:right w:val="single" w:color="000000" w:sz="4" w:space="0"/>
            </w:tcBorders>
            <w:shd w:val="clear" w:color="auto" w:fill="auto"/>
            <w:vAlign w:val="center"/>
          </w:tcPr>
          <w:p w14:paraId="009A07F4">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041" w:type="dxa"/>
            <w:tcBorders>
              <w:top w:val="nil"/>
              <w:left w:val="nil"/>
              <w:bottom w:val="single" w:color="000000" w:sz="4" w:space="0"/>
              <w:right w:val="single" w:color="000000" w:sz="4" w:space="0"/>
            </w:tcBorders>
            <w:shd w:val="clear" w:color="auto" w:fill="auto"/>
            <w:vAlign w:val="center"/>
          </w:tcPr>
          <w:p w14:paraId="718F8110">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897" w:type="dxa"/>
            <w:tcBorders>
              <w:top w:val="nil"/>
              <w:left w:val="nil"/>
              <w:bottom w:val="single" w:color="000000" w:sz="4" w:space="0"/>
              <w:right w:val="single" w:color="000000" w:sz="4" w:space="0"/>
            </w:tcBorders>
            <w:shd w:val="clear" w:color="auto" w:fill="auto"/>
            <w:vAlign w:val="center"/>
          </w:tcPr>
          <w:p w14:paraId="56F815B3">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97" w:type="dxa"/>
            <w:tcBorders>
              <w:top w:val="nil"/>
              <w:left w:val="nil"/>
              <w:bottom w:val="single" w:color="000000" w:sz="4" w:space="0"/>
              <w:right w:val="single" w:color="000000" w:sz="4" w:space="0"/>
            </w:tcBorders>
            <w:shd w:val="clear" w:color="auto" w:fill="auto"/>
            <w:vAlign w:val="center"/>
          </w:tcPr>
          <w:p w14:paraId="3F1B0D3E">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93" w:type="dxa"/>
            <w:tcBorders>
              <w:top w:val="nil"/>
              <w:left w:val="nil"/>
              <w:bottom w:val="single" w:color="000000" w:sz="4" w:space="0"/>
              <w:right w:val="single" w:color="000000" w:sz="4" w:space="0"/>
            </w:tcBorders>
            <w:shd w:val="clear" w:color="auto" w:fill="auto"/>
            <w:vAlign w:val="center"/>
          </w:tcPr>
          <w:p w14:paraId="1859B2A8">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14:paraId="0C069182">
        <w:tblPrEx>
          <w:tblCellMar>
            <w:top w:w="0" w:type="dxa"/>
            <w:left w:w="108" w:type="dxa"/>
            <w:bottom w:w="0" w:type="dxa"/>
            <w:right w:w="108" w:type="dxa"/>
          </w:tblCellMar>
        </w:tblPrEx>
        <w:trPr>
          <w:gridAfter w:val="1"/>
          <w:wAfter w:w="4" w:type="dxa"/>
          <w:trHeight w:val="407" w:hRule="atLeast"/>
        </w:trPr>
        <w:tc>
          <w:tcPr>
            <w:tcW w:w="807" w:type="dxa"/>
            <w:vMerge w:val="continue"/>
            <w:tcBorders>
              <w:top w:val="nil"/>
              <w:left w:val="single" w:color="000000" w:sz="4" w:space="0"/>
              <w:bottom w:val="single" w:color="000000" w:sz="4" w:space="0"/>
              <w:right w:val="single" w:color="000000" w:sz="4" w:space="0"/>
            </w:tcBorders>
            <w:vAlign w:val="center"/>
          </w:tcPr>
          <w:p w14:paraId="29FBEE54">
            <w:pPr>
              <w:widowControl/>
              <w:jc w:val="left"/>
              <w:rPr>
                <w:rFonts w:ascii="宋体" w:hAnsi="宋体" w:cs="宋体"/>
                <w:color w:val="000000"/>
                <w:kern w:val="0"/>
                <w:sz w:val="18"/>
                <w:szCs w:val="18"/>
              </w:rPr>
            </w:pPr>
          </w:p>
        </w:tc>
        <w:tc>
          <w:tcPr>
            <w:tcW w:w="808" w:type="dxa"/>
            <w:tcBorders>
              <w:top w:val="nil"/>
              <w:left w:val="nil"/>
              <w:bottom w:val="single" w:color="000000" w:sz="4" w:space="0"/>
              <w:right w:val="single" w:color="000000" w:sz="4" w:space="0"/>
            </w:tcBorders>
            <w:shd w:val="clear" w:color="auto" w:fill="auto"/>
            <w:vAlign w:val="center"/>
          </w:tcPr>
          <w:p w14:paraId="52BD73BD">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115" w:type="dxa"/>
            <w:tcBorders>
              <w:top w:val="nil"/>
              <w:left w:val="nil"/>
              <w:bottom w:val="single" w:color="000000" w:sz="4" w:space="0"/>
              <w:right w:val="single" w:color="000000" w:sz="4" w:space="0"/>
            </w:tcBorders>
            <w:shd w:val="clear" w:color="auto" w:fill="auto"/>
            <w:vAlign w:val="center"/>
          </w:tcPr>
          <w:p w14:paraId="6386C8E1">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5" w:type="dxa"/>
            <w:tcBorders>
              <w:top w:val="nil"/>
              <w:left w:val="nil"/>
              <w:bottom w:val="single" w:color="000000" w:sz="4" w:space="0"/>
              <w:right w:val="single" w:color="000000" w:sz="4" w:space="0"/>
            </w:tcBorders>
            <w:shd w:val="clear" w:color="auto" w:fill="auto"/>
            <w:vAlign w:val="center"/>
          </w:tcPr>
          <w:p w14:paraId="1F31A2D4">
            <w:pPr>
              <w:widowControl/>
              <w:jc w:val="center"/>
              <w:rPr>
                <w:rFonts w:ascii="宋体" w:hAnsi="宋体" w:cs="宋体"/>
                <w:color w:val="000000"/>
                <w:kern w:val="0"/>
                <w:sz w:val="18"/>
                <w:szCs w:val="18"/>
              </w:rPr>
            </w:pPr>
            <w:r>
              <w:rPr>
                <w:rFonts w:hint="eastAsia" w:ascii="宋体" w:hAnsi="宋体" w:cs="宋体"/>
                <w:color w:val="000000"/>
                <w:kern w:val="0"/>
                <w:sz w:val="18"/>
                <w:szCs w:val="18"/>
              </w:rPr>
              <w:t>3.75</w:t>
            </w:r>
          </w:p>
        </w:tc>
        <w:tc>
          <w:tcPr>
            <w:tcW w:w="1901" w:type="dxa"/>
            <w:gridSpan w:val="3"/>
            <w:tcBorders>
              <w:top w:val="single" w:color="000000" w:sz="4" w:space="0"/>
              <w:left w:val="nil"/>
              <w:bottom w:val="single" w:color="000000" w:sz="4" w:space="0"/>
              <w:right w:val="single" w:color="000000" w:sz="4" w:space="0"/>
            </w:tcBorders>
            <w:shd w:val="clear" w:color="auto" w:fill="auto"/>
            <w:vAlign w:val="center"/>
          </w:tcPr>
          <w:p w14:paraId="4E63B7CC">
            <w:pPr>
              <w:widowControl/>
              <w:jc w:val="center"/>
              <w:rPr>
                <w:rFonts w:ascii="宋体" w:hAnsi="宋体" w:cs="宋体"/>
                <w:color w:val="000000"/>
                <w:kern w:val="0"/>
                <w:sz w:val="18"/>
                <w:szCs w:val="18"/>
              </w:rPr>
            </w:pPr>
            <w:r>
              <w:rPr>
                <w:rFonts w:hint="eastAsia" w:ascii="宋体" w:hAnsi="宋体" w:cs="宋体"/>
                <w:color w:val="000000"/>
                <w:kern w:val="0"/>
                <w:sz w:val="18"/>
                <w:szCs w:val="18"/>
              </w:rPr>
              <w:t>3.75</w:t>
            </w:r>
          </w:p>
        </w:tc>
        <w:tc>
          <w:tcPr>
            <w:tcW w:w="1041" w:type="dxa"/>
            <w:tcBorders>
              <w:top w:val="nil"/>
              <w:left w:val="nil"/>
              <w:bottom w:val="single" w:color="000000" w:sz="4" w:space="0"/>
              <w:right w:val="single" w:color="000000" w:sz="4" w:space="0"/>
            </w:tcBorders>
            <w:shd w:val="clear" w:color="auto" w:fill="auto"/>
            <w:vAlign w:val="center"/>
          </w:tcPr>
          <w:p w14:paraId="2DAA8A61">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97" w:type="dxa"/>
            <w:tcBorders>
              <w:top w:val="nil"/>
              <w:left w:val="nil"/>
              <w:bottom w:val="single" w:color="000000" w:sz="4" w:space="0"/>
              <w:right w:val="single" w:color="000000" w:sz="4" w:space="0"/>
            </w:tcBorders>
            <w:shd w:val="clear" w:color="auto" w:fill="auto"/>
            <w:vAlign w:val="center"/>
          </w:tcPr>
          <w:p w14:paraId="10AE9B34">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97" w:type="dxa"/>
            <w:tcBorders>
              <w:top w:val="nil"/>
              <w:left w:val="nil"/>
              <w:bottom w:val="single" w:color="000000" w:sz="4" w:space="0"/>
              <w:right w:val="single" w:color="000000" w:sz="4" w:space="0"/>
            </w:tcBorders>
            <w:shd w:val="clear" w:color="auto" w:fill="auto"/>
            <w:vAlign w:val="center"/>
          </w:tcPr>
          <w:p w14:paraId="41BCF4E5">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93" w:type="dxa"/>
            <w:vMerge w:val="restart"/>
            <w:tcBorders>
              <w:top w:val="nil"/>
              <w:left w:val="single" w:color="000000" w:sz="4" w:space="0"/>
              <w:bottom w:val="single" w:color="000000" w:sz="4" w:space="0"/>
              <w:right w:val="single" w:color="000000" w:sz="4" w:space="0"/>
            </w:tcBorders>
            <w:shd w:val="clear" w:color="auto" w:fill="auto"/>
            <w:vAlign w:val="center"/>
          </w:tcPr>
          <w:p w14:paraId="3FBDE776">
            <w:pPr>
              <w:widowControl/>
              <w:jc w:val="left"/>
              <w:rPr>
                <w:rFonts w:ascii="黑体" w:hAnsi="黑体" w:eastAsia="黑体" w:cs="宋体"/>
                <w:i/>
                <w:iCs/>
                <w:color w:val="000000"/>
                <w:kern w:val="0"/>
                <w:sz w:val="18"/>
                <w:szCs w:val="18"/>
              </w:rPr>
            </w:pPr>
            <w:r>
              <w:rPr>
                <w:rFonts w:hint="eastAsia" w:ascii="微软雅黑" w:hAnsi="微软雅黑" w:eastAsia="微软雅黑" w:cs="微软雅黑"/>
                <w:i/>
                <w:iCs/>
                <w:color w:val="000000"/>
                <w:kern w:val="0"/>
                <w:sz w:val="18"/>
                <w:szCs w:val="18"/>
              </w:rPr>
              <w:t>　</w:t>
            </w:r>
          </w:p>
        </w:tc>
      </w:tr>
      <w:tr w14:paraId="3A99B5DA">
        <w:tblPrEx>
          <w:tblCellMar>
            <w:top w:w="0" w:type="dxa"/>
            <w:left w:w="108" w:type="dxa"/>
            <w:bottom w:w="0" w:type="dxa"/>
            <w:right w:w="108" w:type="dxa"/>
          </w:tblCellMar>
        </w:tblPrEx>
        <w:trPr>
          <w:gridAfter w:val="1"/>
          <w:wAfter w:w="4" w:type="dxa"/>
          <w:trHeight w:val="452" w:hRule="atLeast"/>
        </w:trPr>
        <w:tc>
          <w:tcPr>
            <w:tcW w:w="807" w:type="dxa"/>
            <w:vMerge w:val="continue"/>
            <w:tcBorders>
              <w:top w:val="nil"/>
              <w:left w:val="single" w:color="000000" w:sz="4" w:space="0"/>
              <w:bottom w:val="single" w:color="000000" w:sz="4" w:space="0"/>
              <w:right w:val="single" w:color="000000" w:sz="4" w:space="0"/>
            </w:tcBorders>
            <w:vAlign w:val="center"/>
          </w:tcPr>
          <w:p w14:paraId="65EEDFD8">
            <w:pPr>
              <w:widowControl/>
              <w:jc w:val="left"/>
              <w:rPr>
                <w:rFonts w:ascii="宋体" w:hAnsi="宋体" w:cs="宋体"/>
                <w:color w:val="000000"/>
                <w:kern w:val="0"/>
                <w:sz w:val="18"/>
                <w:szCs w:val="18"/>
              </w:rPr>
            </w:pPr>
          </w:p>
        </w:tc>
        <w:tc>
          <w:tcPr>
            <w:tcW w:w="808" w:type="dxa"/>
            <w:tcBorders>
              <w:top w:val="nil"/>
              <w:left w:val="nil"/>
              <w:bottom w:val="single" w:color="000000" w:sz="4" w:space="0"/>
              <w:right w:val="single" w:color="000000" w:sz="4" w:space="0"/>
            </w:tcBorders>
            <w:shd w:val="clear" w:color="auto" w:fill="auto"/>
            <w:vAlign w:val="center"/>
          </w:tcPr>
          <w:p w14:paraId="6284803E">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115" w:type="dxa"/>
            <w:tcBorders>
              <w:top w:val="nil"/>
              <w:left w:val="nil"/>
              <w:bottom w:val="single" w:color="000000" w:sz="4" w:space="0"/>
              <w:right w:val="single" w:color="000000" w:sz="4" w:space="0"/>
            </w:tcBorders>
            <w:shd w:val="clear" w:color="auto" w:fill="auto"/>
            <w:vAlign w:val="center"/>
          </w:tcPr>
          <w:p w14:paraId="01F228D7">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5" w:type="dxa"/>
            <w:tcBorders>
              <w:top w:val="nil"/>
              <w:left w:val="nil"/>
              <w:bottom w:val="single" w:color="000000" w:sz="4" w:space="0"/>
              <w:right w:val="single" w:color="000000" w:sz="4" w:space="0"/>
            </w:tcBorders>
            <w:shd w:val="clear" w:color="auto" w:fill="auto"/>
            <w:vAlign w:val="center"/>
          </w:tcPr>
          <w:p w14:paraId="274E26A6">
            <w:pPr>
              <w:widowControl/>
              <w:jc w:val="center"/>
              <w:rPr>
                <w:rFonts w:ascii="宋体" w:hAnsi="宋体" w:cs="宋体"/>
                <w:color w:val="000000"/>
                <w:kern w:val="0"/>
                <w:sz w:val="18"/>
                <w:szCs w:val="18"/>
              </w:rPr>
            </w:pPr>
            <w:r>
              <w:rPr>
                <w:rFonts w:hint="eastAsia" w:ascii="宋体" w:hAnsi="宋体" w:cs="宋体"/>
                <w:color w:val="000000"/>
                <w:kern w:val="0"/>
                <w:sz w:val="18"/>
                <w:szCs w:val="18"/>
              </w:rPr>
              <w:t>3.75</w:t>
            </w:r>
          </w:p>
        </w:tc>
        <w:tc>
          <w:tcPr>
            <w:tcW w:w="1901" w:type="dxa"/>
            <w:gridSpan w:val="3"/>
            <w:tcBorders>
              <w:top w:val="single" w:color="000000" w:sz="4" w:space="0"/>
              <w:left w:val="nil"/>
              <w:bottom w:val="single" w:color="000000" w:sz="4" w:space="0"/>
              <w:right w:val="single" w:color="000000" w:sz="4" w:space="0"/>
            </w:tcBorders>
            <w:shd w:val="clear" w:color="auto" w:fill="auto"/>
            <w:vAlign w:val="center"/>
          </w:tcPr>
          <w:p w14:paraId="10E13DFE">
            <w:pPr>
              <w:widowControl/>
              <w:jc w:val="center"/>
              <w:rPr>
                <w:rFonts w:ascii="宋体" w:hAnsi="宋体" w:cs="宋体"/>
                <w:color w:val="000000"/>
                <w:kern w:val="0"/>
                <w:sz w:val="18"/>
                <w:szCs w:val="18"/>
              </w:rPr>
            </w:pPr>
            <w:r>
              <w:rPr>
                <w:rFonts w:hint="eastAsia" w:ascii="宋体" w:hAnsi="宋体" w:cs="宋体"/>
                <w:color w:val="000000"/>
                <w:kern w:val="0"/>
                <w:sz w:val="18"/>
                <w:szCs w:val="18"/>
              </w:rPr>
              <w:t>3.75</w:t>
            </w:r>
          </w:p>
        </w:tc>
        <w:tc>
          <w:tcPr>
            <w:tcW w:w="1041" w:type="dxa"/>
            <w:tcBorders>
              <w:top w:val="nil"/>
              <w:left w:val="nil"/>
              <w:bottom w:val="single" w:color="000000" w:sz="4" w:space="0"/>
              <w:right w:val="single" w:color="000000" w:sz="4" w:space="0"/>
            </w:tcBorders>
            <w:shd w:val="clear" w:color="auto" w:fill="auto"/>
            <w:vAlign w:val="center"/>
          </w:tcPr>
          <w:p w14:paraId="232DA9C2">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897" w:type="dxa"/>
            <w:tcBorders>
              <w:top w:val="nil"/>
              <w:left w:val="nil"/>
              <w:bottom w:val="single" w:color="000000" w:sz="4" w:space="0"/>
              <w:right w:val="single" w:color="000000" w:sz="4" w:space="0"/>
            </w:tcBorders>
            <w:shd w:val="clear" w:color="auto" w:fill="auto"/>
            <w:vAlign w:val="center"/>
          </w:tcPr>
          <w:p w14:paraId="07B3BFC4">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7" w:type="dxa"/>
            <w:tcBorders>
              <w:top w:val="nil"/>
              <w:left w:val="nil"/>
              <w:bottom w:val="single" w:color="000000" w:sz="4" w:space="0"/>
              <w:right w:val="single" w:color="000000" w:sz="4" w:space="0"/>
            </w:tcBorders>
            <w:shd w:val="clear" w:color="auto" w:fill="auto"/>
            <w:vAlign w:val="center"/>
          </w:tcPr>
          <w:p w14:paraId="65052F4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3" w:type="dxa"/>
            <w:vMerge w:val="continue"/>
            <w:tcBorders>
              <w:top w:val="nil"/>
              <w:left w:val="single" w:color="000000" w:sz="4" w:space="0"/>
              <w:bottom w:val="single" w:color="000000" w:sz="4" w:space="0"/>
              <w:right w:val="single" w:color="000000" w:sz="4" w:space="0"/>
            </w:tcBorders>
            <w:vAlign w:val="center"/>
          </w:tcPr>
          <w:p w14:paraId="69BC5EE7">
            <w:pPr>
              <w:widowControl/>
              <w:jc w:val="left"/>
              <w:rPr>
                <w:rFonts w:ascii="黑体" w:hAnsi="黑体" w:eastAsia="黑体" w:cs="宋体"/>
                <w:i/>
                <w:iCs/>
                <w:color w:val="000000"/>
                <w:kern w:val="0"/>
                <w:sz w:val="18"/>
                <w:szCs w:val="18"/>
              </w:rPr>
            </w:pPr>
          </w:p>
        </w:tc>
      </w:tr>
      <w:tr w14:paraId="2D58DA95">
        <w:tblPrEx>
          <w:tblCellMar>
            <w:top w:w="0" w:type="dxa"/>
            <w:left w:w="108" w:type="dxa"/>
            <w:bottom w:w="0" w:type="dxa"/>
            <w:right w:w="108" w:type="dxa"/>
          </w:tblCellMar>
        </w:tblPrEx>
        <w:trPr>
          <w:gridAfter w:val="1"/>
          <w:wAfter w:w="4" w:type="dxa"/>
          <w:trHeight w:val="452" w:hRule="atLeast"/>
        </w:trPr>
        <w:tc>
          <w:tcPr>
            <w:tcW w:w="807" w:type="dxa"/>
            <w:vMerge w:val="continue"/>
            <w:tcBorders>
              <w:top w:val="nil"/>
              <w:left w:val="single" w:color="000000" w:sz="4" w:space="0"/>
              <w:bottom w:val="single" w:color="000000" w:sz="4" w:space="0"/>
              <w:right w:val="single" w:color="000000" w:sz="4" w:space="0"/>
            </w:tcBorders>
            <w:vAlign w:val="center"/>
          </w:tcPr>
          <w:p w14:paraId="79B46700">
            <w:pPr>
              <w:widowControl/>
              <w:jc w:val="left"/>
              <w:rPr>
                <w:rFonts w:ascii="宋体" w:hAnsi="宋体" w:cs="宋体"/>
                <w:color w:val="000000"/>
                <w:kern w:val="0"/>
                <w:sz w:val="18"/>
                <w:szCs w:val="18"/>
              </w:rPr>
            </w:pPr>
          </w:p>
        </w:tc>
        <w:tc>
          <w:tcPr>
            <w:tcW w:w="808" w:type="dxa"/>
            <w:tcBorders>
              <w:top w:val="nil"/>
              <w:left w:val="nil"/>
              <w:bottom w:val="single" w:color="000000" w:sz="4" w:space="0"/>
              <w:right w:val="single" w:color="000000" w:sz="4" w:space="0"/>
            </w:tcBorders>
            <w:shd w:val="clear" w:color="auto" w:fill="auto"/>
            <w:vAlign w:val="center"/>
          </w:tcPr>
          <w:p w14:paraId="0B4D68E8">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115" w:type="dxa"/>
            <w:tcBorders>
              <w:top w:val="nil"/>
              <w:left w:val="nil"/>
              <w:bottom w:val="single" w:color="000000" w:sz="4" w:space="0"/>
              <w:right w:val="single" w:color="000000" w:sz="4" w:space="0"/>
            </w:tcBorders>
            <w:shd w:val="clear" w:color="auto" w:fill="auto"/>
            <w:vAlign w:val="center"/>
          </w:tcPr>
          <w:p w14:paraId="00133ABE">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5" w:type="dxa"/>
            <w:tcBorders>
              <w:top w:val="nil"/>
              <w:left w:val="nil"/>
              <w:bottom w:val="single" w:color="000000" w:sz="4" w:space="0"/>
              <w:right w:val="single" w:color="000000" w:sz="4" w:space="0"/>
            </w:tcBorders>
            <w:shd w:val="clear" w:color="auto" w:fill="auto"/>
            <w:vAlign w:val="center"/>
          </w:tcPr>
          <w:p w14:paraId="1C9FEBC5">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901" w:type="dxa"/>
            <w:gridSpan w:val="3"/>
            <w:tcBorders>
              <w:top w:val="single" w:color="000000" w:sz="4" w:space="0"/>
              <w:left w:val="nil"/>
              <w:bottom w:val="single" w:color="000000" w:sz="4" w:space="0"/>
              <w:right w:val="single" w:color="000000" w:sz="4" w:space="0"/>
            </w:tcBorders>
            <w:shd w:val="clear" w:color="auto" w:fill="auto"/>
            <w:vAlign w:val="center"/>
          </w:tcPr>
          <w:p w14:paraId="3554EF42">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41" w:type="dxa"/>
            <w:tcBorders>
              <w:top w:val="nil"/>
              <w:left w:val="nil"/>
              <w:bottom w:val="single" w:color="000000" w:sz="4" w:space="0"/>
              <w:right w:val="single" w:color="000000" w:sz="4" w:space="0"/>
            </w:tcBorders>
            <w:shd w:val="clear" w:color="auto" w:fill="auto"/>
            <w:vAlign w:val="center"/>
          </w:tcPr>
          <w:p w14:paraId="6E3F191D">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97" w:type="dxa"/>
            <w:tcBorders>
              <w:top w:val="nil"/>
              <w:left w:val="nil"/>
              <w:bottom w:val="single" w:color="000000" w:sz="4" w:space="0"/>
              <w:right w:val="single" w:color="000000" w:sz="4" w:space="0"/>
            </w:tcBorders>
            <w:shd w:val="clear" w:color="auto" w:fill="auto"/>
            <w:vAlign w:val="center"/>
          </w:tcPr>
          <w:p w14:paraId="1C600D7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7" w:type="dxa"/>
            <w:tcBorders>
              <w:top w:val="nil"/>
              <w:left w:val="nil"/>
              <w:bottom w:val="single" w:color="000000" w:sz="4" w:space="0"/>
              <w:right w:val="single" w:color="000000" w:sz="4" w:space="0"/>
            </w:tcBorders>
            <w:shd w:val="clear" w:color="auto" w:fill="auto"/>
            <w:vAlign w:val="center"/>
          </w:tcPr>
          <w:p w14:paraId="12CF596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3" w:type="dxa"/>
            <w:vMerge w:val="continue"/>
            <w:tcBorders>
              <w:top w:val="nil"/>
              <w:left w:val="single" w:color="000000" w:sz="4" w:space="0"/>
              <w:bottom w:val="single" w:color="000000" w:sz="4" w:space="0"/>
              <w:right w:val="single" w:color="000000" w:sz="4" w:space="0"/>
            </w:tcBorders>
            <w:vAlign w:val="center"/>
          </w:tcPr>
          <w:p w14:paraId="4EE9B3B8">
            <w:pPr>
              <w:widowControl/>
              <w:jc w:val="left"/>
              <w:rPr>
                <w:rFonts w:ascii="黑体" w:hAnsi="黑体" w:eastAsia="黑体" w:cs="宋体"/>
                <w:i/>
                <w:iCs/>
                <w:color w:val="000000"/>
                <w:kern w:val="0"/>
                <w:sz w:val="18"/>
                <w:szCs w:val="18"/>
              </w:rPr>
            </w:pPr>
          </w:p>
        </w:tc>
      </w:tr>
      <w:tr w14:paraId="542E94E0">
        <w:tblPrEx>
          <w:tblCellMar>
            <w:top w:w="0" w:type="dxa"/>
            <w:left w:w="108" w:type="dxa"/>
            <w:bottom w:w="0" w:type="dxa"/>
            <w:right w:w="108" w:type="dxa"/>
          </w:tblCellMar>
        </w:tblPrEx>
        <w:trPr>
          <w:gridAfter w:val="1"/>
          <w:wAfter w:w="4" w:type="dxa"/>
          <w:trHeight w:val="437" w:hRule="atLeast"/>
        </w:trPr>
        <w:tc>
          <w:tcPr>
            <w:tcW w:w="807" w:type="dxa"/>
            <w:vMerge w:val="continue"/>
            <w:tcBorders>
              <w:top w:val="nil"/>
              <w:left w:val="single" w:color="000000" w:sz="4" w:space="0"/>
              <w:bottom w:val="single" w:color="000000" w:sz="4" w:space="0"/>
              <w:right w:val="single" w:color="000000" w:sz="4" w:space="0"/>
            </w:tcBorders>
            <w:vAlign w:val="center"/>
          </w:tcPr>
          <w:p w14:paraId="569A7584">
            <w:pPr>
              <w:widowControl/>
              <w:jc w:val="left"/>
              <w:rPr>
                <w:rFonts w:ascii="宋体" w:hAnsi="宋体" w:cs="宋体"/>
                <w:color w:val="000000"/>
                <w:kern w:val="0"/>
                <w:sz w:val="18"/>
                <w:szCs w:val="18"/>
              </w:rPr>
            </w:pPr>
          </w:p>
        </w:tc>
        <w:tc>
          <w:tcPr>
            <w:tcW w:w="808" w:type="dxa"/>
            <w:tcBorders>
              <w:top w:val="nil"/>
              <w:left w:val="nil"/>
              <w:bottom w:val="single" w:color="000000" w:sz="4" w:space="0"/>
              <w:right w:val="single" w:color="000000" w:sz="4" w:space="0"/>
            </w:tcBorders>
            <w:shd w:val="clear" w:color="auto" w:fill="auto"/>
            <w:vAlign w:val="center"/>
          </w:tcPr>
          <w:p w14:paraId="0E4F918B">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115" w:type="dxa"/>
            <w:tcBorders>
              <w:top w:val="nil"/>
              <w:left w:val="nil"/>
              <w:bottom w:val="single" w:color="000000" w:sz="4" w:space="0"/>
              <w:right w:val="single" w:color="000000" w:sz="4" w:space="0"/>
            </w:tcBorders>
            <w:shd w:val="clear" w:color="auto" w:fill="auto"/>
            <w:vAlign w:val="center"/>
          </w:tcPr>
          <w:p w14:paraId="5DB9AA9D">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15" w:type="dxa"/>
            <w:tcBorders>
              <w:top w:val="nil"/>
              <w:left w:val="nil"/>
              <w:bottom w:val="single" w:color="000000" w:sz="4" w:space="0"/>
              <w:right w:val="single" w:color="000000" w:sz="4" w:space="0"/>
            </w:tcBorders>
            <w:shd w:val="clear" w:color="auto" w:fill="auto"/>
            <w:vAlign w:val="center"/>
          </w:tcPr>
          <w:p w14:paraId="434887BC">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901" w:type="dxa"/>
            <w:gridSpan w:val="3"/>
            <w:tcBorders>
              <w:top w:val="single" w:color="000000" w:sz="4" w:space="0"/>
              <w:left w:val="nil"/>
              <w:bottom w:val="single" w:color="000000" w:sz="4" w:space="0"/>
              <w:right w:val="single" w:color="000000" w:sz="4" w:space="0"/>
            </w:tcBorders>
            <w:shd w:val="clear" w:color="auto" w:fill="auto"/>
            <w:vAlign w:val="center"/>
          </w:tcPr>
          <w:p w14:paraId="6139879E">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41" w:type="dxa"/>
            <w:tcBorders>
              <w:top w:val="nil"/>
              <w:left w:val="nil"/>
              <w:bottom w:val="single" w:color="000000" w:sz="4" w:space="0"/>
              <w:right w:val="single" w:color="000000" w:sz="4" w:space="0"/>
            </w:tcBorders>
            <w:shd w:val="clear" w:color="auto" w:fill="auto"/>
            <w:vAlign w:val="center"/>
          </w:tcPr>
          <w:p w14:paraId="7148C291">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897" w:type="dxa"/>
            <w:tcBorders>
              <w:top w:val="nil"/>
              <w:left w:val="nil"/>
              <w:bottom w:val="single" w:color="000000" w:sz="4" w:space="0"/>
              <w:right w:val="single" w:color="000000" w:sz="4" w:space="0"/>
            </w:tcBorders>
            <w:shd w:val="clear" w:color="auto" w:fill="auto"/>
            <w:vAlign w:val="center"/>
          </w:tcPr>
          <w:p w14:paraId="2F323008">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7" w:type="dxa"/>
            <w:tcBorders>
              <w:top w:val="nil"/>
              <w:left w:val="nil"/>
              <w:bottom w:val="single" w:color="000000" w:sz="4" w:space="0"/>
              <w:right w:val="single" w:color="000000" w:sz="4" w:space="0"/>
            </w:tcBorders>
            <w:shd w:val="clear" w:color="auto" w:fill="auto"/>
            <w:vAlign w:val="center"/>
          </w:tcPr>
          <w:p w14:paraId="6B7A510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3" w:type="dxa"/>
            <w:vMerge w:val="continue"/>
            <w:tcBorders>
              <w:top w:val="nil"/>
              <w:left w:val="single" w:color="000000" w:sz="4" w:space="0"/>
              <w:bottom w:val="single" w:color="000000" w:sz="4" w:space="0"/>
              <w:right w:val="single" w:color="000000" w:sz="4" w:space="0"/>
            </w:tcBorders>
            <w:vAlign w:val="center"/>
          </w:tcPr>
          <w:p w14:paraId="19DCEF2C">
            <w:pPr>
              <w:widowControl/>
              <w:jc w:val="left"/>
              <w:rPr>
                <w:rFonts w:ascii="黑体" w:hAnsi="黑体" w:eastAsia="黑体" w:cs="宋体"/>
                <w:i/>
                <w:iCs/>
                <w:color w:val="000000"/>
                <w:kern w:val="0"/>
                <w:sz w:val="18"/>
                <w:szCs w:val="18"/>
              </w:rPr>
            </w:pPr>
          </w:p>
        </w:tc>
      </w:tr>
      <w:tr w14:paraId="3BDD75B8">
        <w:tblPrEx>
          <w:tblCellMar>
            <w:top w:w="0" w:type="dxa"/>
            <w:left w:w="108" w:type="dxa"/>
            <w:bottom w:w="0" w:type="dxa"/>
            <w:right w:w="108" w:type="dxa"/>
          </w:tblCellMar>
        </w:tblPrEx>
        <w:trPr>
          <w:gridAfter w:val="1"/>
          <w:wAfter w:w="4" w:type="dxa"/>
          <w:trHeight w:val="543" w:hRule="atLeast"/>
        </w:trPr>
        <w:tc>
          <w:tcPr>
            <w:tcW w:w="807" w:type="dxa"/>
            <w:vMerge w:val="continue"/>
            <w:tcBorders>
              <w:top w:val="nil"/>
              <w:left w:val="single" w:color="000000" w:sz="4" w:space="0"/>
              <w:bottom w:val="single" w:color="000000" w:sz="4" w:space="0"/>
              <w:right w:val="single" w:color="000000" w:sz="4" w:space="0"/>
            </w:tcBorders>
            <w:vAlign w:val="center"/>
          </w:tcPr>
          <w:p w14:paraId="564785B2">
            <w:pPr>
              <w:widowControl/>
              <w:jc w:val="left"/>
              <w:rPr>
                <w:rFonts w:ascii="宋体" w:hAnsi="宋体" w:cs="宋体"/>
                <w:color w:val="000000"/>
                <w:kern w:val="0"/>
                <w:sz w:val="18"/>
                <w:szCs w:val="18"/>
              </w:rPr>
            </w:pPr>
          </w:p>
        </w:tc>
        <w:tc>
          <w:tcPr>
            <w:tcW w:w="808" w:type="dxa"/>
            <w:tcBorders>
              <w:top w:val="nil"/>
              <w:left w:val="nil"/>
              <w:bottom w:val="single" w:color="000000" w:sz="4" w:space="0"/>
              <w:right w:val="single" w:color="000000" w:sz="4" w:space="0"/>
            </w:tcBorders>
            <w:shd w:val="clear" w:color="auto" w:fill="auto"/>
            <w:vAlign w:val="center"/>
          </w:tcPr>
          <w:p w14:paraId="1E779508">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115" w:type="dxa"/>
            <w:tcBorders>
              <w:top w:val="nil"/>
              <w:left w:val="nil"/>
              <w:bottom w:val="single" w:color="000000" w:sz="4" w:space="0"/>
              <w:right w:val="single" w:color="000000" w:sz="4" w:space="0"/>
            </w:tcBorders>
            <w:shd w:val="clear" w:color="auto" w:fill="auto"/>
            <w:vAlign w:val="center"/>
          </w:tcPr>
          <w:p w14:paraId="2320EA5D">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15" w:type="dxa"/>
            <w:tcBorders>
              <w:top w:val="nil"/>
              <w:left w:val="nil"/>
              <w:bottom w:val="single" w:color="000000" w:sz="4" w:space="0"/>
              <w:right w:val="single" w:color="000000" w:sz="4" w:space="0"/>
            </w:tcBorders>
            <w:shd w:val="clear" w:color="auto" w:fill="auto"/>
            <w:vAlign w:val="center"/>
          </w:tcPr>
          <w:p w14:paraId="491C1E5E">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901" w:type="dxa"/>
            <w:gridSpan w:val="3"/>
            <w:tcBorders>
              <w:top w:val="single" w:color="000000" w:sz="4" w:space="0"/>
              <w:left w:val="nil"/>
              <w:bottom w:val="single" w:color="000000" w:sz="4" w:space="0"/>
              <w:right w:val="single" w:color="000000" w:sz="4" w:space="0"/>
            </w:tcBorders>
            <w:shd w:val="clear" w:color="auto" w:fill="auto"/>
            <w:vAlign w:val="center"/>
          </w:tcPr>
          <w:p w14:paraId="56159848">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41" w:type="dxa"/>
            <w:tcBorders>
              <w:top w:val="nil"/>
              <w:left w:val="nil"/>
              <w:bottom w:val="single" w:color="000000" w:sz="4" w:space="0"/>
              <w:right w:val="single" w:color="000000" w:sz="4" w:space="0"/>
            </w:tcBorders>
            <w:shd w:val="clear" w:color="auto" w:fill="auto"/>
            <w:vAlign w:val="center"/>
          </w:tcPr>
          <w:p w14:paraId="5BA289B3">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97" w:type="dxa"/>
            <w:tcBorders>
              <w:top w:val="nil"/>
              <w:left w:val="nil"/>
              <w:bottom w:val="single" w:color="000000" w:sz="4" w:space="0"/>
              <w:right w:val="single" w:color="000000" w:sz="4" w:space="0"/>
            </w:tcBorders>
            <w:shd w:val="clear" w:color="auto" w:fill="auto"/>
            <w:vAlign w:val="center"/>
          </w:tcPr>
          <w:p w14:paraId="7DEF0BE5">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7" w:type="dxa"/>
            <w:tcBorders>
              <w:top w:val="nil"/>
              <w:left w:val="nil"/>
              <w:bottom w:val="single" w:color="000000" w:sz="4" w:space="0"/>
              <w:right w:val="single" w:color="000000" w:sz="4" w:space="0"/>
            </w:tcBorders>
            <w:shd w:val="clear" w:color="auto" w:fill="auto"/>
            <w:vAlign w:val="center"/>
          </w:tcPr>
          <w:p w14:paraId="6AE5FCE3">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93" w:type="dxa"/>
            <w:vMerge w:val="continue"/>
            <w:tcBorders>
              <w:top w:val="nil"/>
              <w:left w:val="single" w:color="000000" w:sz="4" w:space="0"/>
              <w:bottom w:val="single" w:color="000000" w:sz="4" w:space="0"/>
              <w:right w:val="single" w:color="000000" w:sz="4" w:space="0"/>
            </w:tcBorders>
            <w:vAlign w:val="center"/>
          </w:tcPr>
          <w:p w14:paraId="61140D9B">
            <w:pPr>
              <w:widowControl/>
              <w:jc w:val="left"/>
              <w:rPr>
                <w:rFonts w:ascii="黑体" w:hAnsi="黑体" w:eastAsia="黑体" w:cs="宋体"/>
                <w:i/>
                <w:iCs/>
                <w:color w:val="000000"/>
                <w:kern w:val="0"/>
                <w:sz w:val="18"/>
                <w:szCs w:val="18"/>
              </w:rPr>
            </w:pPr>
          </w:p>
        </w:tc>
      </w:tr>
      <w:tr w14:paraId="1D9D1066">
        <w:tblPrEx>
          <w:tblCellMar>
            <w:top w:w="0" w:type="dxa"/>
            <w:left w:w="108" w:type="dxa"/>
            <w:bottom w:w="0" w:type="dxa"/>
            <w:right w:w="108" w:type="dxa"/>
          </w:tblCellMar>
        </w:tblPrEx>
        <w:trPr>
          <w:gridAfter w:val="1"/>
          <w:wAfter w:w="6" w:type="dxa"/>
          <w:trHeight w:val="769" w:hRule="atLeast"/>
        </w:trPr>
        <w:tc>
          <w:tcPr>
            <w:tcW w:w="807" w:type="dxa"/>
            <w:vMerge w:val="restart"/>
            <w:tcBorders>
              <w:top w:val="nil"/>
              <w:left w:val="single" w:color="000000" w:sz="4" w:space="0"/>
              <w:bottom w:val="single" w:color="000000" w:sz="4" w:space="0"/>
              <w:right w:val="single" w:color="000000" w:sz="4" w:space="0"/>
            </w:tcBorders>
            <w:shd w:val="clear" w:color="auto" w:fill="auto"/>
            <w:vAlign w:val="center"/>
          </w:tcPr>
          <w:p w14:paraId="5669E566">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808" w:type="dxa"/>
            <w:tcBorders>
              <w:top w:val="nil"/>
              <w:left w:val="nil"/>
              <w:bottom w:val="single" w:color="000000" w:sz="4" w:space="0"/>
              <w:right w:val="single" w:color="000000" w:sz="4" w:space="0"/>
            </w:tcBorders>
            <w:shd w:val="clear" w:color="auto" w:fill="auto"/>
            <w:vAlign w:val="center"/>
          </w:tcPr>
          <w:p w14:paraId="0B7FDBCB">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115" w:type="dxa"/>
            <w:tcBorders>
              <w:top w:val="nil"/>
              <w:left w:val="nil"/>
              <w:bottom w:val="single" w:color="000000" w:sz="4" w:space="0"/>
              <w:right w:val="single" w:color="000000" w:sz="4" w:space="0"/>
            </w:tcBorders>
            <w:shd w:val="clear" w:color="auto" w:fill="auto"/>
            <w:vAlign w:val="center"/>
          </w:tcPr>
          <w:p w14:paraId="3F3E7768">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1115" w:type="dxa"/>
            <w:tcBorders>
              <w:top w:val="nil"/>
              <w:left w:val="nil"/>
              <w:bottom w:val="single" w:color="000000" w:sz="4" w:space="0"/>
              <w:right w:val="single" w:color="000000" w:sz="4" w:space="0"/>
            </w:tcBorders>
            <w:shd w:val="clear" w:color="auto" w:fill="auto"/>
            <w:vAlign w:val="center"/>
          </w:tcPr>
          <w:p w14:paraId="5AABD002">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33" w:type="dxa"/>
            <w:tcBorders>
              <w:top w:val="nil"/>
              <w:left w:val="nil"/>
              <w:bottom w:val="single" w:color="000000" w:sz="4" w:space="0"/>
              <w:right w:val="single" w:color="000000" w:sz="4" w:space="0"/>
            </w:tcBorders>
            <w:shd w:val="clear" w:color="auto" w:fill="auto"/>
            <w:vAlign w:val="center"/>
          </w:tcPr>
          <w:p w14:paraId="6EDBC706">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633" w:type="dxa"/>
            <w:tcBorders>
              <w:top w:val="nil"/>
              <w:left w:val="nil"/>
              <w:bottom w:val="single" w:color="000000" w:sz="4" w:space="0"/>
              <w:right w:val="single" w:color="000000" w:sz="4" w:space="0"/>
            </w:tcBorders>
            <w:shd w:val="clear" w:color="auto" w:fill="auto"/>
            <w:vAlign w:val="center"/>
          </w:tcPr>
          <w:p w14:paraId="61879549">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633" w:type="dxa"/>
            <w:tcBorders>
              <w:top w:val="nil"/>
              <w:left w:val="nil"/>
              <w:bottom w:val="single" w:color="000000" w:sz="4" w:space="0"/>
              <w:right w:val="single" w:color="000000" w:sz="4" w:space="0"/>
            </w:tcBorders>
            <w:shd w:val="clear" w:color="auto" w:fill="auto"/>
            <w:vAlign w:val="center"/>
          </w:tcPr>
          <w:p w14:paraId="4710A323">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041" w:type="dxa"/>
            <w:tcBorders>
              <w:top w:val="nil"/>
              <w:left w:val="nil"/>
              <w:bottom w:val="single" w:color="000000" w:sz="4" w:space="0"/>
              <w:right w:val="single" w:color="000000" w:sz="4" w:space="0"/>
            </w:tcBorders>
            <w:shd w:val="clear" w:color="auto" w:fill="auto"/>
            <w:vAlign w:val="center"/>
          </w:tcPr>
          <w:p w14:paraId="4AD92A38">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897" w:type="dxa"/>
            <w:tcBorders>
              <w:top w:val="nil"/>
              <w:left w:val="nil"/>
              <w:bottom w:val="single" w:color="000000" w:sz="4" w:space="0"/>
              <w:right w:val="single" w:color="000000" w:sz="4" w:space="0"/>
            </w:tcBorders>
            <w:shd w:val="clear" w:color="auto" w:fill="auto"/>
            <w:vAlign w:val="center"/>
          </w:tcPr>
          <w:p w14:paraId="501D8337">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897" w:type="dxa"/>
            <w:tcBorders>
              <w:top w:val="nil"/>
              <w:left w:val="nil"/>
              <w:bottom w:val="single" w:color="000000" w:sz="4" w:space="0"/>
              <w:right w:val="single" w:color="000000" w:sz="4" w:space="0"/>
            </w:tcBorders>
            <w:shd w:val="clear" w:color="auto" w:fill="auto"/>
            <w:vAlign w:val="center"/>
          </w:tcPr>
          <w:p w14:paraId="360B81DD">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893" w:type="dxa"/>
            <w:tcBorders>
              <w:top w:val="nil"/>
              <w:left w:val="nil"/>
              <w:bottom w:val="single" w:color="000000" w:sz="4" w:space="0"/>
              <w:right w:val="single" w:color="000000" w:sz="4" w:space="0"/>
            </w:tcBorders>
            <w:shd w:val="clear" w:color="auto" w:fill="auto"/>
            <w:vAlign w:val="center"/>
          </w:tcPr>
          <w:p w14:paraId="544EFBB5">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14:paraId="769A2CC5">
        <w:tblPrEx>
          <w:tblCellMar>
            <w:top w:w="0" w:type="dxa"/>
            <w:left w:w="108" w:type="dxa"/>
            <w:bottom w:w="0" w:type="dxa"/>
            <w:right w:w="108" w:type="dxa"/>
          </w:tblCellMar>
        </w:tblPrEx>
        <w:trPr>
          <w:gridAfter w:val="1"/>
          <w:wAfter w:w="6" w:type="dxa"/>
          <w:trHeight w:val="392" w:hRule="atLeast"/>
        </w:trPr>
        <w:tc>
          <w:tcPr>
            <w:tcW w:w="807" w:type="dxa"/>
            <w:vMerge w:val="continue"/>
            <w:tcBorders>
              <w:top w:val="nil"/>
              <w:left w:val="single" w:color="000000" w:sz="4" w:space="0"/>
              <w:bottom w:val="single" w:color="000000" w:sz="4" w:space="0"/>
              <w:right w:val="single" w:color="000000" w:sz="4" w:space="0"/>
            </w:tcBorders>
            <w:vAlign w:val="center"/>
          </w:tcPr>
          <w:p w14:paraId="53C620B5">
            <w:pPr>
              <w:widowControl/>
              <w:jc w:val="left"/>
              <w:rPr>
                <w:rFonts w:ascii="宋体" w:hAnsi="宋体" w:cs="宋体"/>
                <w:color w:val="000000"/>
                <w:kern w:val="0"/>
                <w:sz w:val="18"/>
                <w:szCs w:val="18"/>
              </w:rPr>
            </w:pPr>
          </w:p>
        </w:tc>
        <w:tc>
          <w:tcPr>
            <w:tcW w:w="808" w:type="dxa"/>
            <w:tcBorders>
              <w:top w:val="nil"/>
              <w:left w:val="nil"/>
              <w:bottom w:val="single" w:color="000000" w:sz="4" w:space="0"/>
              <w:right w:val="single" w:color="000000" w:sz="4" w:space="0"/>
            </w:tcBorders>
            <w:shd w:val="clear" w:color="auto" w:fill="auto"/>
            <w:vAlign w:val="center"/>
          </w:tcPr>
          <w:p w14:paraId="28385F2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15" w:type="dxa"/>
            <w:tcBorders>
              <w:top w:val="nil"/>
              <w:left w:val="nil"/>
              <w:bottom w:val="single" w:color="000000" w:sz="4" w:space="0"/>
              <w:right w:val="single" w:color="000000" w:sz="4" w:space="0"/>
            </w:tcBorders>
            <w:shd w:val="clear" w:color="auto" w:fill="auto"/>
            <w:vAlign w:val="center"/>
          </w:tcPr>
          <w:p w14:paraId="71C4829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15" w:type="dxa"/>
            <w:tcBorders>
              <w:top w:val="nil"/>
              <w:left w:val="nil"/>
              <w:bottom w:val="single" w:color="000000" w:sz="4" w:space="0"/>
              <w:right w:val="single" w:color="000000" w:sz="4" w:space="0"/>
            </w:tcBorders>
            <w:shd w:val="clear" w:color="auto" w:fill="auto"/>
            <w:vAlign w:val="center"/>
          </w:tcPr>
          <w:p w14:paraId="0E6AC9C3">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33" w:type="dxa"/>
            <w:tcBorders>
              <w:top w:val="nil"/>
              <w:left w:val="nil"/>
              <w:bottom w:val="single" w:color="000000" w:sz="4" w:space="0"/>
              <w:right w:val="single" w:color="000000" w:sz="4" w:space="0"/>
            </w:tcBorders>
            <w:shd w:val="clear" w:color="auto" w:fill="auto"/>
            <w:vAlign w:val="center"/>
          </w:tcPr>
          <w:p w14:paraId="1BC5D38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33" w:type="dxa"/>
            <w:tcBorders>
              <w:top w:val="nil"/>
              <w:left w:val="nil"/>
              <w:bottom w:val="single" w:color="000000" w:sz="4" w:space="0"/>
              <w:right w:val="single" w:color="000000" w:sz="4" w:space="0"/>
            </w:tcBorders>
            <w:shd w:val="clear" w:color="auto" w:fill="auto"/>
            <w:vAlign w:val="center"/>
          </w:tcPr>
          <w:p w14:paraId="05FC52A9">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33" w:type="dxa"/>
            <w:tcBorders>
              <w:top w:val="nil"/>
              <w:left w:val="nil"/>
              <w:bottom w:val="single" w:color="000000" w:sz="4" w:space="0"/>
              <w:right w:val="single" w:color="000000" w:sz="4" w:space="0"/>
            </w:tcBorders>
            <w:shd w:val="clear" w:color="auto" w:fill="auto"/>
            <w:vAlign w:val="center"/>
          </w:tcPr>
          <w:p w14:paraId="3111DE6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041" w:type="dxa"/>
            <w:tcBorders>
              <w:top w:val="nil"/>
              <w:left w:val="nil"/>
              <w:bottom w:val="single" w:color="000000" w:sz="4" w:space="0"/>
              <w:right w:val="single" w:color="000000" w:sz="4" w:space="0"/>
            </w:tcBorders>
            <w:shd w:val="clear" w:color="auto" w:fill="auto"/>
            <w:vAlign w:val="center"/>
          </w:tcPr>
          <w:p w14:paraId="44BB0904">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897" w:type="dxa"/>
            <w:tcBorders>
              <w:top w:val="nil"/>
              <w:left w:val="nil"/>
              <w:bottom w:val="single" w:color="000000" w:sz="4" w:space="0"/>
              <w:right w:val="single" w:color="000000" w:sz="4" w:space="0"/>
            </w:tcBorders>
            <w:shd w:val="clear" w:color="auto" w:fill="auto"/>
            <w:vAlign w:val="center"/>
          </w:tcPr>
          <w:p w14:paraId="30169475">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97" w:type="dxa"/>
            <w:tcBorders>
              <w:top w:val="nil"/>
              <w:left w:val="nil"/>
              <w:bottom w:val="single" w:color="000000" w:sz="4" w:space="0"/>
              <w:right w:val="single" w:color="000000" w:sz="4" w:space="0"/>
            </w:tcBorders>
            <w:shd w:val="clear" w:color="auto" w:fill="auto"/>
            <w:vAlign w:val="center"/>
          </w:tcPr>
          <w:p w14:paraId="731429D2">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93" w:type="dxa"/>
            <w:tcBorders>
              <w:top w:val="nil"/>
              <w:left w:val="nil"/>
              <w:bottom w:val="single" w:color="000000" w:sz="4" w:space="0"/>
              <w:right w:val="single" w:color="000000" w:sz="4" w:space="0"/>
            </w:tcBorders>
            <w:shd w:val="clear" w:color="auto" w:fill="auto"/>
            <w:vAlign w:val="center"/>
          </w:tcPr>
          <w:p w14:paraId="5EC9F44D">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5C54E9FD">
        <w:tblPrEx>
          <w:tblCellMar>
            <w:top w:w="0" w:type="dxa"/>
            <w:left w:w="108" w:type="dxa"/>
            <w:bottom w:w="0" w:type="dxa"/>
            <w:right w:w="108" w:type="dxa"/>
          </w:tblCellMar>
        </w:tblPrEx>
        <w:trPr>
          <w:trHeight w:val="392" w:hRule="atLeast"/>
        </w:trPr>
        <w:tc>
          <w:tcPr>
            <w:tcW w:w="679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AC2AECA">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897" w:type="dxa"/>
            <w:tcBorders>
              <w:top w:val="nil"/>
              <w:left w:val="nil"/>
              <w:bottom w:val="single" w:color="000000" w:sz="4" w:space="0"/>
              <w:right w:val="single" w:color="000000" w:sz="4" w:space="0"/>
            </w:tcBorders>
            <w:shd w:val="clear" w:color="auto" w:fill="auto"/>
            <w:vAlign w:val="center"/>
          </w:tcPr>
          <w:p w14:paraId="1CD3DC9A">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97" w:type="dxa"/>
            <w:tcBorders>
              <w:top w:val="nil"/>
              <w:left w:val="nil"/>
              <w:bottom w:val="single" w:color="000000" w:sz="4" w:space="0"/>
              <w:right w:val="single" w:color="000000" w:sz="4" w:space="0"/>
            </w:tcBorders>
            <w:shd w:val="clear" w:color="auto" w:fill="auto"/>
            <w:vAlign w:val="center"/>
          </w:tcPr>
          <w:p w14:paraId="362D644C">
            <w:pPr>
              <w:widowControl/>
              <w:jc w:val="right"/>
              <w:rPr>
                <w:rFonts w:ascii="宋体" w:hAnsi="宋体" w:cs="宋体"/>
                <w:color w:val="000000"/>
                <w:kern w:val="0"/>
                <w:sz w:val="18"/>
                <w:szCs w:val="18"/>
              </w:rPr>
            </w:pPr>
            <w:r>
              <w:rPr>
                <w:rFonts w:hint="eastAsia" w:ascii="宋体" w:hAnsi="宋体" w:cs="宋体"/>
                <w:color w:val="000000"/>
                <w:kern w:val="0"/>
                <w:sz w:val="18"/>
                <w:szCs w:val="18"/>
              </w:rPr>
              <w:t>100</w:t>
            </w:r>
          </w:p>
        </w:tc>
        <w:tc>
          <w:tcPr>
            <w:tcW w:w="893" w:type="dxa"/>
            <w:gridSpan w:val="2"/>
            <w:tcBorders>
              <w:top w:val="nil"/>
              <w:left w:val="nil"/>
              <w:bottom w:val="single" w:color="000000" w:sz="4" w:space="0"/>
              <w:right w:val="single" w:color="000000" w:sz="4" w:space="0"/>
            </w:tcBorders>
            <w:shd w:val="clear" w:color="auto" w:fill="auto"/>
            <w:vAlign w:val="center"/>
          </w:tcPr>
          <w:p w14:paraId="49F95073">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14:paraId="4828EADF">
        <w:tblPrEx>
          <w:tblCellMar>
            <w:top w:w="0" w:type="dxa"/>
            <w:left w:w="108" w:type="dxa"/>
            <w:bottom w:w="0" w:type="dxa"/>
            <w:right w:w="108" w:type="dxa"/>
          </w:tblCellMar>
        </w:tblPrEx>
        <w:trPr>
          <w:trHeight w:val="573" w:hRule="atLeast"/>
        </w:trPr>
        <w:tc>
          <w:tcPr>
            <w:tcW w:w="807" w:type="dxa"/>
            <w:tcBorders>
              <w:top w:val="nil"/>
              <w:left w:val="single" w:color="000000" w:sz="4" w:space="0"/>
              <w:bottom w:val="single" w:color="000000" w:sz="4" w:space="0"/>
              <w:right w:val="single" w:color="000000" w:sz="4" w:space="0"/>
            </w:tcBorders>
            <w:shd w:val="clear" w:color="auto" w:fill="auto"/>
            <w:vAlign w:val="center"/>
          </w:tcPr>
          <w:p w14:paraId="71564170">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8671" w:type="dxa"/>
            <w:gridSpan w:val="11"/>
            <w:tcBorders>
              <w:top w:val="single" w:color="000000" w:sz="4" w:space="0"/>
              <w:left w:val="nil"/>
              <w:bottom w:val="single" w:color="000000" w:sz="4" w:space="0"/>
              <w:right w:val="single" w:color="000000" w:sz="4" w:space="0"/>
            </w:tcBorders>
            <w:shd w:val="clear" w:color="auto" w:fill="auto"/>
            <w:vAlign w:val="center"/>
          </w:tcPr>
          <w:p w14:paraId="09F30200">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项目自评总分100分，严格按照有关项目管理和经费管理规定执行。各项预算支出顺利进行，并按计划圆满完成。</w:t>
            </w:r>
          </w:p>
        </w:tc>
      </w:tr>
      <w:tr w14:paraId="244680D0">
        <w:tblPrEx>
          <w:tblCellMar>
            <w:top w:w="0" w:type="dxa"/>
            <w:left w:w="108" w:type="dxa"/>
            <w:bottom w:w="0" w:type="dxa"/>
            <w:right w:w="108" w:type="dxa"/>
          </w:tblCellMar>
        </w:tblPrEx>
        <w:trPr>
          <w:trHeight w:val="392" w:hRule="atLeast"/>
        </w:trPr>
        <w:tc>
          <w:tcPr>
            <w:tcW w:w="807" w:type="dxa"/>
            <w:tcBorders>
              <w:top w:val="nil"/>
              <w:left w:val="single" w:color="000000" w:sz="4" w:space="0"/>
              <w:bottom w:val="single" w:color="000000" w:sz="4" w:space="0"/>
              <w:right w:val="single" w:color="000000" w:sz="4" w:space="0"/>
            </w:tcBorders>
            <w:shd w:val="clear" w:color="auto" w:fill="auto"/>
            <w:vAlign w:val="center"/>
          </w:tcPr>
          <w:p w14:paraId="2D516D01">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8671" w:type="dxa"/>
            <w:gridSpan w:val="11"/>
            <w:tcBorders>
              <w:top w:val="single" w:color="000000" w:sz="4" w:space="0"/>
              <w:left w:val="nil"/>
              <w:bottom w:val="single" w:color="000000" w:sz="4" w:space="0"/>
              <w:right w:val="single" w:color="000000" w:sz="4" w:space="0"/>
            </w:tcBorders>
            <w:shd w:val="clear" w:color="auto" w:fill="auto"/>
            <w:vAlign w:val="center"/>
          </w:tcPr>
          <w:p w14:paraId="794BF12C">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2940EF7A">
        <w:tblPrEx>
          <w:tblCellMar>
            <w:top w:w="0" w:type="dxa"/>
            <w:left w:w="108" w:type="dxa"/>
            <w:bottom w:w="0" w:type="dxa"/>
            <w:right w:w="108" w:type="dxa"/>
          </w:tblCellMar>
        </w:tblPrEx>
        <w:trPr>
          <w:trHeight w:val="392" w:hRule="atLeast"/>
        </w:trPr>
        <w:tc>
          <w:tcPr>
            <w:tcW w:w="807" w:type="dxa"/>
            <w:tcBorders>
              <w:top w:val="nil"/>
              <w:left w:val="single" w:color="000000" w:sz="4" w:space="0"/>
              <w:bottom w:val="single" w:color="000000" w:sz="4" w:space="0"/>
              <w:right w:val="single" w:color="000000" w:sz="4" w:space="0"/>
            </w:tcBorders>
            <w:shd w:val="clear" w:color="auto" w:fill="auto"/>
            <w:vAlign w:val="center"/>
          </w:tcPr>
          <w:p w14:paraId="1E38A8A8">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8671" w:type="dxa"/>
            <w:gridSpan w:val="11"/>
            <w:tcBorders>
              <w:top w:val="single" w:color="000000" w:sz="4" w:space="0"/>
              <w:left w:val="nil"/>
              <w:bottom w:val="single" w:color="000000" w:sz="4" w:space="0"/>
              <w:right w:val="single" w:color="000000" w:sz="4" w:space="0"/>
            </w:tcBorders>
            <w:shd w:val="clear" w:color="auto" w:fill="auto"/>
            <w:vAlign w:val="center"/>
          </w:tcPr>
          <w:p w14:paraId="5B979E5F">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10822C71">
        <w:tblPrEx>
          <w:tblCellMar>
            <w:top w:w="0" w:type="dxa"/>
            <w:left w:w="108" w:type="dxa"/>
            <w:bottom w:w="0" w:type="dxa"/>
            <w:right w:w="108" w:type="dxa"/>
          </w:tblCellMar>
        </w:tblPrEx>
        <w:trPr>
          <w:trHeight w:val="392" w:hRule="atLeast"/>
        </w:trPr>
        <w:tc>
          <w:tcPr>
            <w:tcW w:w="44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302661">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项目</w:t>
            </w:r>
            <w:r>
              <w:rPr>
                <w:rFonts w:hint="eastAsia" w:ascii="微软雅黑" w:hAnsi="微软雅黑" w:eastAsia="微软雅黑" w:cs="微软雅黑"/>
                <w:color w:val="000000"/>
                <w:kern w:val="0"/>
                <w:sz w:val="18"/>
                <w:szCs w:val="18"/>
              </w:rPr>
              <w:t>负</w:t>
            </w:r>
            <w:r>
              <w:rPr>
                <w:rFonts w:hint="eastAsia" w:ascii="___WRD_EMBED_SUB_17" w:hAnsi="___WRD_EMBED_SUB_17" w:eastAsia="___WRD_EMBED_SUB_17" w:cs="___WRD_EMBED_SUB_17"/>
                <w:color w:val="000000"/>
                <w:kern w:val="0"/>
                <w:sz w:val="18"/>
                <w:szCs w:val="18"/>
              </w:rPr>
              <w:t>责</w:t>
            </w:r>
            <w:r>
              <w:rPr>
                <w:rFonts w:hint="eastAsia" w:ascii="微软雅黑" w:hAnsi="微软雅黑" w:eastAsia="微软雅黑" w:cs="微软雅黑"/>
                <w:color w:val="000000"/>
                <w:kern w:val="0"/>
                <w:sz w:val="18"/>
                <w:szCs w:val="18"/>
              </w:rPr>
              <w:t>人：毛佳龙</w:t>
            </w:r>
          </w:p>
        </w:tc>
        <w:tc>
          <w:tcPr>
            <w:tcW w:w="4997" w:type="dxa"/>
            <w:gridSpan w:val="7"/>
            <w:tcBorders>
              <w:top w:val="single" w:color="000000" w:sz="4" w:space="0"/>
              <w:left w:val="nil"/>
              <w:bottom w:val="single" w:color="000000" w:sz="4" w:space="0"/>
              <w:right w:val="single" w:color="000000" w:sz="4" w:space="0"/>
            </w:tcBorders>
            <w:shd w:val="clear" w:color="auto" w:fill="auto"/>
            <w:vAlign w:val="center"/>
          </w:tcPr>
          <w:p w14:paraId="173A3039">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财</w:t>
            </w:r>
            <w:r>
              <w:rPr>
                <w:rFonts w:hint="eastAsia" w:ascii="微软雅黑" w:hAnsi="微软雅黑" w:eastAsia="微软雅黑" w:cs="微软雅黑"/>
                <w:color w:val="000000"/>
                <w:kern w:val="0"/>
                <w:sz w:val="18"/>
                <w:szCs w:val="18"/>
              </w:rPr>
              <w:t>务负</w:t>
            </w:r>
            <w:r>
              <w:rPr>
                <w:rFonts w:hint="eastAsia" w:ascii="___WRD_EMBED_SUB_17" w:hAnsi="___WRD_EMBED_SUB_17" w:eastAsia="___WRD_EMBED_SUB_17" w:cs="___WRD_EMBED_SUB_17"/>
                <w:color w:val="000000"/>
                <w:kern w:val="0"/>
                <w:sz w:val="18"/>
                <w:szCs w:val="18"/>
              </w:rPr>
              <w:t>责</w:t>
            </w:r>
            <w:r>
              <w:rPr>
                <w:rFonts w:hint="eastAsia" w:ascii="微软雅黑" w:hAnsi="微软雅黑" w:eastAsia="微软雅黑" w:cs="微软雅黑"/>
                <w:color w:val="000000"/>
                <w:kern w:val="0"/>
                <w:sz w:val="18"/>
                <w:szCs w:val="18"/>
              </w:rPr>
              <w:t>人：漆明强</w:t>
            </w:r>
          </w:p>
        </w:tc>
      </w:tr>
    </w:tbl>
    <w:p w14:paraId="35DE70BD">
      <w:pPr>
        <w:pStyle w:val="2"/>
        <w:spacing w:before="93"/>
        <w:rPr>
          <w:rFonts w:ascii="Cambria" w:hAnsi="Cambria" w:cs="仿宋"/>
          <w:b/>
          <w:bCs/>
          <w:sz w:val="32"/>
          <w:szCs w:val="32"/>
        </w:rPr>
      </w:pPr>
    </w:p>
    <w:p w14:paraId="0CE001CC">
      <w:pPr>
        <w:pStyle w:val="2"/>
        <w:spacing w:before="93"/>
        <w:rPr>
          <w:rFonts w:ascii="Cambria" w:hAnsi="Cambria" w:cs="仿宋"/>
          <w:b/>
          <w:bCs/>
          <w:sz w:val="32"/>
          <w:szCs w:val="32"/>
        </w:rPr>
      </w:pPr>
      <w:r>
        <w:rPr>
          <w:rFonts w:hint="eastAsia" w:ascii="Cambria" w:hAnsi="Cambria" w:cs="仿宋"/>
          <w:b/>
          <w:bCs/>
          <w:sz w:val="32"/>
          <w:szCs w:val="32"/>
        </w:rPr>
        <w:t>附件</w:t>
      </w:r>
      <w:r>
        <w:rPr>
          <w:rFonts w:ascii="Cambria" w:hAnsi="Cambria" w:cs="仿宋"/>
          <w:b/>
          <w:bCs/>
          <w:sz w:val="32"/>
          <w:szCs w:val="32"/>
        </w:rPr>
        <w:t>3-</w:t>
      </w:r>
      <w:r>
        <w:rPr>
          <w:rFonts w:hint="eastAsia" w:ascii="Cambria" w:hAnsi="Cambria" w:cs="仿宋"/>
          <w:b/>
          <w:bCs/>
          <w:sz w:val="32"/>
          <w:szCs w:val="32"/>
        </w:rPr>
        <w:t>9</w:t>
      </w:r>
    </w:p>
    <w:tbl>
      <w:tblPr>
        <w:tblStyle w:val="14"/>
        <w:tblW w:w="9602" w:type="dxa"/>
        <w:tblInd w:w="113" w:type="dxa"/>
        <w:tblLayout w:type="autofit"/>
        <w:tblCellMar>
          <w:top w:w="0" w:type="dxa"/>
          <w:left w:w="108" w:type="dxa"/>
          <w:bottom w:w="0" w:type="dxa"/>
          <w:right w:w="108" w:type="dxa"/>
        </w:tblCellMar>
      </w:tblPr>
      <w:tblGrid>
        <w:gridCol w:w="816"/>
        <w:gridCol w:w="817"/>
        <w:gridCol w:w="1125"/>
        <w:gridCol w:w="1132"/>
        <w:gridCol w:w="645"/>
        <w:gridCol w:w="641"/>
        <w:gridCol w:w="642"/>
        <w:gridCol w:w="1058"/>
        <w:gridCol w:w="907"/>
        <w:gridCol w:w="907"/>
        <w:gridCol w:w="901"/>
        <w:gridCol w:w="11"/>
      </w:tblGrid>
      <w:tr w14:paraId="55754B6D">
        <w:tblPrEx>
          <w:tblCellMar>
            <w:top w:w="0" w:type="dxa"/>
            <w:left w:w="108" w:type="dxa"/>
            <w:bottom w:w="0" w:type="dxa"/>
            <w:right w:w="108" w:type="dxa"/>
          </w:tblCellMar>
        </w:tblPrEx>
        <w:trPr>
          <w:trHeight w:val="627" w:hRule="atLeast"/>
        </w:trPr>
        <w:tc>
          <w:tcPr>
            <w:tcW w:w="960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DB881C6">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w:t>
            </w:r>
            <w:r>
              <w:rPr>
                <w:rFonts w:hint="eastAsia" w:ascii="微软雅黑" w:hAnsi="微软雅黑" w:eastAsia="微软雅黑" w:cs="微软雅黑"/>
                <w:b/>
                <w:bCs/>
                <w:color w:val="000000"/>
                <w:kern w:val="0"/>
                <w:sz w:val="30"/>
                <w:szCs w:val="30"/>
              </w:rPr>
              <w:t>门</w:t>
            </w:r>
            <w:r>
              <w:rPr>
                <w:rFonts w:hint="eastAsia" w:ascii="___WRD_EMBED_SUB_17" w:hAnsi="___WRD_EMBED_SUB_17" w:eastAsia="___WRD_EMBED_SUB_17" w:cs="___WRD_EMBED_SUB_17"/>
                <w:b/>
                <w:bCs/>
                <w:color w:val="000000"/>
                <w:kern w:val="0"/>
                <w:sz w:val="30"/>
                <w:szCs w:val="30"/>
              </w:rPr>
              <w:t>预算项目支出</w:t>
            </w:r>
            <w:r>
              <w:rPr>
                <w:rFonts w:hint="eastAsia" w:ascii="微软雅黑" w:hAnsi="微软雅黑" w:eastAsia="微软雅黑" w:cs="微软雅黑"/>
                <w:b/>
                <w:bCs/>
                <w:color w:val="000000"/>
                <w:kern w:val="0"/>
                <w:sz w:val="30"/>
                <w:szCs w:val="30"/>
              </w:rPr>
              <w:t>绩效自评</w:t>
            </w:r>
            <w:r>
              <w:rPr>
                <w:rFonts w:hint="eastAsia" w:ascii="___WRD_EMBED_SUB_17" w:hAnsi="___WRD_EMBED_SUB_17" w:eastAsia="___WRD_EMBED_SUB_17" w:cs="___WRD_EMBED_SUB_17"/>
                <w:b/>
                <w:bCs/>
                <w:color w:val="000000"/>
                <w:kern w:val="0"/>
                <w:sz w:val="30"/>
                <w:szCs w:val="30"/>
              </w:rPr>
              <w:t>表</w:t>
            </w:r>
            <w:r>
              <w:rPr>
                <w:rFonts w:hint="eastAsia" w:ascii="微软雅黑" w:hAnsi="微软雅黑" w:eastAsia="微软雅黑" w:cs="微软雅黑"/>
                <w:b/>
                <w:bCs/>
                <w:color w:val="000000"/>
                <w:kern w:val="0"/>
                <w:sz w:val="30"/>
                <w:szCs w:val="30"/>
              </w:rPr>
              <w:t>（</w:t>
            </w:r>
            <w:r>
              <w:rPr>
                <w:rFonts w:hint="eastAsia" w:ascii="黑体" w:hAnsi="黑体" w:eastAsia="黑体" w:cs="宋体"/>
                <w:b/>
                <w:bCs/>
                <w:color w:val="000000"/>
                <w:kern w:val="0"/>
                <w:sz w:val="30"/>
                <w:szCs w:val="30"/>
              </w:rPr>
              <w:t>2022年度</w:t>
            </w:r>
            <w:r>
              <w:rPr>
                <w:rFonts w:hint="eastAsia" w:ascii="微软雅黑" w:hAnsi="微软雅黑" w:eastAsia="微软雅黑" w:cs="微软雅黑"/>
                <w:b/>
                <w:bCs/>
                <w:color w:val="000000"/>
                <w:kern w:val="0"/>
                <w:sz w:val="30"/>
                <w:szCs w:val="30"/>
              </w:rPr>
              <w:t>）</w:t>
            </w:r>
          </w:p>
        </w:tc>
      </w:tr>
      <w:tr w14:paraId="18096DFF">
        <w:tblPrEx>
          <w:tblCellMar>
            <w:top w:w="0" w:type="dxa"/>
            <w:left w:w="108" w:type="dxa"/>
            <w:bottom w:w="0" w:type="dxa"/>
            <w:right w:w="108" w:type="dxa"/>
          </w:tblCellMar>
        </w:tblPrEx>
        <w:trPr>
          <w:trHeight w:val="627" w:hRule="atLeast"/>
        </w:trPr>
        <w:tc>
          <w:tcPr>
            <w:tcW w:w="16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C4E1E5">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7969" w:type="dxa"/>
            <w:gridSpan w:val="10"/>
            <w:tcBorders>
              <w:top w:val="single" w:color="000000" w:sz="4" w:space="0"/>
              <w:left w:val="nil"/>
              <w:bottom w:val="single" w:color="000000" w:sz="4" w:space="0"/>
              <w:right w:val="single" w:color="000000" w:sz="4" w:space="0"/>
            </w:tcBorders>
            <w:shd w:val="clear" w:color="auto" w:fill="auto"/>
            <w:vAlign w:val="center"/>
          </w:tcPr>
          <w:p w14:paraId="3A15BD1C">
            <w:pPr>
              <w:widowControl/>
              <w:jc w:val="left"/>
              <w:rPr>
                <w:rFonts w:ascii="宋体" w:hAnsi="宋体" w:cs="宋体"/>
                <w:color w:val="000000"/>
                <w:kern w:val="0"/>
                <w:sz w:val="18"/>
                <w:szCs w:val="18"/>
              </w:rPr>
            </w:pPr>
            <w:r>
              <w:rPr>
                <w:rFonts w:hint="eastAsia" w:ascii="宋体" w:hAnsi="宋体" w:cs="宋体"/>
                <w:color w:val="000000"/>
                <w:kern w:val="0"/>
                <w:sz w:val="18"/>
                <w:szCs w:val="18"/>
              </w:rPr>
              <w:t>51118122T000000397966-安全专家劳务费</w:t>
            </w:r>
          </w:p>
        </w:tc>
      </w:tr>
      <w:tr w14:paraId="300B4822">
        <w:tblPrEx>
          <w:tblCellMar>
            <w:top w:w="0" w:type="dxa"/>
            <w:left w:w="108" w:type="dxa"/>
            <w:bottom w:w="0" w:type="dxa"/>
            <w:right w:w="108" w:type="dxa"/>
          </w:tblCellMar>
        </w:tblPrEx>
        <w:trPr>
          <w:trHeight w:val="458" w:hRule="atLeast"/>
        </w:trPr>
        <w:tc>
          <w:tcPr>
            <w:tcW w:w="16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ED4E4F">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4187" w:type="dxa"/>
            <w:gridSpan w:val="5"/>
            <w:tcBorders>
              <w:top w:val="single" w:color="000000" w:sz="4" w:space="0"/>
              <w:left w:val="nil"/>
              <w:bottom w:val="single" w:color="000000" w:sz="4" w:space="0"/>
              <w:right w:val="single" w:color="000000" w:sz="4" w:space="0"/>
            </w:tcBorders>
            <w:shd w:val="clear" w:color="auto" w:fill="auto"/>
            <w:vAlign w:val="center"/>
          </w:tcPr>
          <w:p w14:paraId="68914784">
            <w:pPr>
              <w:widowControl/>
              <w:jc w:val="left"/>
              <w:rPr>
                <w:rFonts w:ascii="宋体" w:hAnsi="宋体" w:cs="宋体"/>
                <w:color w:val="000000"/>
                <w:kern w:val="0"/>
                <w:sz w:val="18"/>
                <w:szCs w:val="18"/>
              </w:rPr>
            </w:pPr>
            <w:r>
              <w:rPr>
                <w:rFonts w:hint="eastAsia" w:ascii="宋体" w:hAnsi="宋体" w:cs="宋体"/>
                <w:color w:val="000000"/>
                <w:kern w:val="0"/>
                <w:sz w:val="18"/>
                <w:szCs w:val="18"/>
              </w:rPr>
              <w:t>应急管理局</w:t>
            </w:r>
          </w:p>
        </w:tc>
        <w:tc>
          <w:tcPr>
            <w:tcW w:w="1056" w:type="dxa"/>
            <w:tcBorders>
              <w:top w:val="nil"/>
              <w:left w:val="nil"/>
              <w:bottom w:val="nil"/>
              <w:right w:val="nil"/>
            </w:tcBorders>
            <w:shd w:val="clear" w:color="auto" w:fill="auto"/>
            <w:vAlign w:val="center"/>
          </w:tcPr>
          <w:p w14:paraId="198EF967">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实施</w:t>
            </w:r>
            <w:r>
              <w:rPr>
                <w:rFonts w:hint="eastAsia" w:ascii="___WRD_EMBED_SUB_17" w:hAnsi="___WRD_EMBED_SUB_17" w:eastAsia="___WRD_EMBED_SUB_17" w:cs="___WRD_EMBED_SUB_17"/>
                <w:color w:val="000000"/>
                <w:kern w:val="0"/>
                <w:sz w:val="18"/>
                <w:szCs w:val="18"/>
              </w:rPr>
              <w:t>单位</w:t>
            </w:r>
            <w:r>
              <w:rPr>
                <w:rFonts w:hint="eastAsia" w:ascii="黑体" w:hAnsi="黑体" w:eastAsia="黑体" w:cs="宋体"/>
                <w:color w:val="000000"/>
                <w:kern w:val="0"/>
                <w:sz w:val="18"/>
                <w:szCs w:val="18"/>
              </w:rPr>
              <w:t xml:space="preserve"> </w:t>
            </w:r>
            <w:r>
              <w:rPr>
                <w:rFonts w:hint="eastAsia" w:ascii="微软雅黑" w:hAnsi="微软雅黑" w:eastAsia="微软雅黑" w:cs="微软雅黑"/>
                <w:color w:val="000000"/>
                <w:kern w:val="0"/>
                <w:sz w:val="18"/>
                <w:szCs w:val="18"/>
              </w:rPr>
              <w:t>（盖章）</w:t>
            </w:r>
          </w:p>
        </w:tc>
        <w:tc>
          <w:tcPr>
            <w:tcW w:w="27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06F81A7">
            <w:pPr>
              <w:widowControl/>
              <w:jc w:val="center"/>
              <w:rPr>
                <w:rFonts w:ascii="宋体" w:hAnsi="宋体" w:cs="宋体"/>
                <w:color w:val="000000"/>
                <w:kern w:val="0"/>
                <w:sz w:val="18"/>
                <w:szCs w:val="18"/>
              </w:rPr>
            </w:pPr>
            <w:r>
              <w:rPr>
                <w:rFonts w:hint="eastAsia" w:ascii="宋体" w:hAnsi="宋体" w:cs="宋体"/>
                <w:color w:val="000000"/>
                <w:kern w:val="0"/>
                <w:sz w:val="18"/>
                <w:szCs w:val="18"/>
              </w:rPr>
              <w:t>峨眉山市应急管理局</w:t>
            </w:r>
          </w:p>
        </w:tc>
      </w:tr>
      <w:tr w14:paraId="56949A99">
        <w:tblPrEx>
          <w:tblCellMar>
            <w:top w:w="0" w:type="dxa"/>
            <w:left w:w="108" w:type="dxa"/>
            <w:bottom w:w="0" w:type="dxa"/>
            <w:right w:w="108" w:type="dxa"/>
          </w:tblCellMar>
        </w:tblPrEx>
        <w:trPr>
          <w:trHeight w:val="489" w:hRule="atLeast"/>
        </w:trPr>
        <w:tc>
          <w:tcPr>
            <w:tcW w:w="816" w:type="dxa"/>
            <w:vMerge w:val="restart"/>
            <w:tcBorders>
              <w:top w:val="nil"/>
              <w:left w:val="single" w:color="000000" w:sz="4" w:space="0"/>
              <w:bottom w:val="single" w:color="000000" w:sz="4" w:space="0"/>
              <w:right w:val="single" w:color="000000" w:sz="4" w:space="0"/>
            </w:tcBorders>
            <w:shd w:val="clear" w:color="auto" w:fill="auto"/>
            <w:vAlign w:val="center"/>
          </w:tcPr>
          <w:p w14:paraId="37850800">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817" w:type="dxa"/>
            <w:vMerge w:val="restart"/>
            <w:tcBorders>
              <w:top w:val="nil"/>
              <w:left w:val="single" w:color="000000" w:sz="4" w:space="0"/>
              <w:bottom w:val="single" w:color="000000" w:sz="4" w:space="0"/>
              <w:right w:val="single" w:color="000000" w:sz="4" w:space="0"/>
            </w:tcBorders>
            <w:shd w:val="clear" w:color="auto" w:fill="auto"/>
            <w:vAlign w:val="center"/>
          </w:tcPr>
          <w:p w14:paraId="24C02911">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4187" w:type="dxa"/>
            <w:gridSpan w:val="5"/>
            <w:tcBorders>
              <w:top w:val="single" w:color="000000" w:sz="4" w:space="0"/>
              <w:left w:val="nil"/>
              <w:bottom w:val="single" w:color="000000" w:sz="4" w:space="0"/>
              <w:right w:val="single" w:color="000000" w:sz="4" w:space="0"/>
            </w:tcBorders>
            <w:shd w:val="clear" w:color="auto" w:fill="auto"/>
            <w:vAlign w:val="center"/>
          </w:tcPr>
          <w:p w14:paraId="619688D3">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3781" w:type="dxa"/>
            <w:gridSpan w:val="5"/>
            <w:tcBorders>
              <w:top w:val="single" w:color="000000" w:sz="4" w:space="0"/>
              <w:left w:val="nil"/>
              <w:bottom w:val="single" w:color="000000" w:sz="4" w:space="0"/>
              <w:right w:val="single" w:color="000000" w:sz="4" w:space="0"/>
            </w:tcBorders>
            <w:shd w:val="clear" w:color="auto" w:fill="auto"/>
            <w:vAlign w:val="center"/>
          </w:tcPr>
          <w:p w14:paraId="50B78146">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年度目</w:t>
            </w:r>
            <w:r>
              <w:rPr>
                <w:rFonts w:hint="eastAsia" w:ascii="微软雅黑" w:hAnsi="微软雅黑" w:eastAsia="微软雅黑" w:cs="微软雅黑"/>
                <w:color w:val="000000"/>
                <w:kern w:val="0"/>
                <w:sz w:val="18"/>
                <w:szCs w:val="18"/>
              </w:rPr>
              <w:t>标完成</w:t>
            </w:r>
            <w:r>
              <w:rPr>
                <w:rFonts w:hint="eastAsia" w:ascii="___WRD_EMBED_SUB_17" w:hAnsi="___WRD_EMBED_SUB_17" w:eastAsia="___WRD_EMBED_SUB_17" w:cs="___WRD_EMBED_SUB_17"/>
                <w:color w:val="000000"/>
                <w:kern w:val="0"/>
                <w:sz w:val="18"/>
                <w:szCs w:val="18"/>
              </w:rPr>
              <w:t>情况</w:t>
            </w:r>
          </w:p>
        </w:tc>
      </w:tr>
      <w:tr w14:paraId="70F132AC">
        <w:tblPrEx>
          <w:tblCellMar>
            <w:top w:w="0" w:type="dxa"/>
            <w:left w:w="108" w:type="dxa"/>
            <w:bottom w:w="0" w:type="dxa"/>
            <w:right w:w="108" w:type="dxa"/>
          </w:tblCellMar>
        </w:tblPrEx>
        <w:trPr>
          <w:trHeight w:val="489" w:hRule="atLeast"/>
        </w:trPr>
        <w:tc>
          <w:tcPr>
            <w:tcW w:w="816" w:type="dxa"/>
            <w:vMerge w:val="continue"/>
            <w:tcBorders>
              <w:top w:val="nil"/>
              <w:left w:val="single" w:color="000000" w:sz="4" w:space="0"/>
              <w:bottom w:val="single" w:color="000000" w:sz="4" w:space="0"/>
              <w:right w:val="single" w:color="000000" w:sz="4" w:space="0"/>
            </w:tcBorders>
            <w:vAlign w:val="center"/>
          </w:tcPr>
          <w:p w14:paraId="5B622060">
            <w:pPr>
              <w:widowControl/>
              <w:jc w:val="left"/>
              <w:rPr>
                <w:rFonts w:ascii="宋体" w:hAnsi="宋体" w:cs="宋体"/>
                <w:color w:val="000000"/>
                <w:kern w:val="0"/>
                <w:sz w:val="18"/>
                <w:szCs w:val="18"/>
              </w:rPr>
            </w:pPr>
          </w:p>
        </w:tc>
        <w:tc>
          <w:tcPr>
            <w:tcW w:w="817" w:type="dxa"/>
            <w:vMerge w:val="continue"/>
            <w:tcBorders>
              <w:top w:val="nil"/>
              <w:left w:val="single" w:color="000000" w:sz="4" w:space="0"/>
              <w:bottom w:val="single" w:color="000000" w:sz="4" w:space="0"/>
              <w:right w:val="single" w:color="000000" w:sz="4" w:space="0"/>
            </w:tcBorders>
            <w:vAlign w:val="center"/>
          </w:tcPr>
          <w:p w14:paraId="79814FBE">
            <w:pPr>
              <w:widowControl/>
              <w:jc w:val="left"/>
              <w:rPr>
                <w:rFonts w:ascii="宋体" w:hAnsi="宋体" w:cs="宋体"/>
                <w:color w:val="000000"/>
                <w:kern w:val="0"/>
                <w:sz w:val="18"/>
                <w:szCs w:val="18"/>
              </w:rPr>
            </w:pPr>
          </w:p>
        </w:tc>
        <w:tc>
          <w:tcPr>
            <w:tcW w:w="4187" w:type="dxa"/>
            <w:gridSpan w:val="5"/>
            <w:tcBorders>
              <w:top w:val="single" w:color="000000" w:sz="4" w:space="0"/>
              <w:left w:val="nil"/>
              <w:bottom w:val="single" w:color="000000" w:sz="4" w:space="0"/>
              <w:right w:val="single" w:color="000000" w:sz="4" w:space="0"/>
            </w:tcBorders>
            <w:shd w:val="clear" w:color="auto" w:fill="auto"/>
            <w:vAlign w:val="center"/>
          </w:tcPr>
          <w:p w14:paraId="63D6B5BA">
            <w:pPr>
              <w:widowControl/>
              <w:jc w:val="left"/>
              <w:rPr>
                <w:rFonts w:ascii="宋体" w:hAnsi="宋体" w:cs="宋体"/>
                <w:color w:val="000000"/>
                <w:kern w:val="0"/>
                <w:sz w:val="18"/>
                <w:szCs w:val="18"/>
              </w:rPr>
            </w:pPr>
            <w:r>
              <w:rPr>
                <w:rFonts w:hint="eastAsia" w:ascii="宋体" w:hAnsi="宋体" w:cs="宋体"/>
                <w:color w:val="000000"/>
                <w:kern w:val="0"/>
                <w:sz w:val="18"/>
                <w:szCs w:val="18"/>
              </w:rPr>
              <w:t>安全生产专家组日常工作运转正常，按时、足额支付专家组劳务费</w:t>
            </w:r>
          </w:p>
        </w:tc>
        <w:tc>
          <w:tcPr>
            <w:tcW w:w="3781" w:type="dxa"/>
            <w:gridSpan w:val="5"/>
            <w:tcBorders>
              <w:top w:val="single" w:color="000000" w:sz="4" w:space="0"/>
              <w:left w:val="nil"/>
              <w:bottom w:val="single" w:color="000000" w:sz="4" w:space="0"/>
              <w:right w:val="single" w:color="000000" w:sz="4" w:space="0"/>
            </w:tcBorders>
            <w:shd w:val="clear" w:color="auto" w:fill="auto"/>
            <w:vAlign w:val="center"/>
          </w:tcPr>
          <w:p w14:paraId="3F7164D1">
            <w:pPr>
              <w:widowControl/>
              <w:jc w:val="left"/>
              <w:rPr>
                <w:rFonts w:ascii="黑体" w:hAnsi="黑体" w:eastAsia="黑体" w:cs="宋体"/>
                <w:color w:val="000000"/>
                <w:kern w:val="0"/>
                <w:sz w:val="18"/>
                <w:szCs w:val="18"/>
              </w:rPr>
            </w:pPr>
            <w:r>
              <w:rPr>
                <w:rFonts w:hint="eastAsia" w:ascii="微软雅黑" w:hAnsi="微软雅黑" w:eastAsia="微软雅黑" w:cs="微软雅黑"/>
                <w:color w:val="000000"/>
                <w:kern w:val="0"/>
                <w:sz w:val="18"/>
                <w:szCs w:val="18"/>
              </w:rPr>
              <w:t>保障安全生产专家组日常工作运转正常，按时</w:t>
            </w:r>
            <w:r>
              <w:rPr>
                <w:rFonts w:hint="eastAsia" w:ascii="___WRD_EMBED_SUB_17" w:hAnsi="___WRD_EMBED_SUB_17" w:eastAsia="___WRD_EMBED_SUB_17" w:cs="___WRD_EMBED_SUB_17"/>
                <w:color w:val="000000"/>
                <w:kern w:val="0"/>
                <w:sz w:val="18"/>
                <w:szCs w:val="18"/>
              </w:rPr>
              <w:t>、</w:t>
            </w:r>
            <w:r>
              <w:rPr>
                <w:rFonts w:hint="eastAsia" w:ascii="微软雅黑" w:hAnsi="微软雅黑" w:eastAsia="微软雅黑" w:cs="微软雅黑"/>
                <w:color w:val="000000"/>
                <w:kern w:val="0"/>
                <w:sz w:val="18"/>
                <w:szCs w:val="18"/>
              </w:rPr>
              <w:t>足额</w:t>
            </w:r>
            <w:r>
              <w:rPr>
                <w:rFonts w:hint="eastAsia" w:ascii="___WRD_EMBED_SUB_17" w:hAnsi="___WRD_EMBED_SUB_17" w:eastAsia="___WRD_EMBED_SUB_17" w:cs="___WRD_EMBED_SUB_17"/>
                <w:color w:val="000000"/>
                <w:kern w:val="0"/>
                <w:sz w:val="18"/>
                <w:szCs w:val="18"/>
              </w:rPr>
              <w:t>支</w:t>
            </w:r>
            <w:r>
              <w:rPr>
                <w:rFonts w:hint="eastAsia" w:ascii="微软雅黑" w:hAnsi="微软雅黑" w:eastAsia="微软雅黑" w:cs="微软雅黑"/>
                <w:color w:val="000000"/>
                <w:kern w:val="0"/>
                <w:sz w:val="18"/>
                <w:szCs w:val="18"/>
              </w:rPr>
              <w:t>付专家组劳务</w:t>
            </w:r>
            <w:r>
              <w:rPr>
                <w:rFonts w:hint="eastAsia" w:ascii="___WRD_EMBED_SUB_17" w:hAnsi="___WRD_EMBED_SUB_17" w:eastAsia="___WRD_EMBED_SUB_17" w:cs="___WRD_EMBED_SUB_17"/>
                <w:color w:val="000000"/>
                <w:kern w:val="0"/>
                <w:sz w:val="18"/>
                <w:szCs w:val="18"/>
              </w:rPr>
              <w:t>费</w:t>
            </w:r>
          </w:p>
        </w:tc>
      </w:tr>
      <w:tr w14:paraId="58C4A91E">
        <w:tblPrEx>
          <w:tblCellMar>
            <w:top w:w="0" w:type="dxa"/>
            <w:left w:w="108" w:type="dxa"/>
            <w:bottom w:w="0" w:type="dxa"/>
            <w:right w:w="108" w:type="dxa"/>
          </w:tblCellMar>
        </w:tblPrEx>
        <w:trPr>
          <w:trHeight w:val="688" w:hRule="atLeast"/>
        </w:trPr>
        <w:tc>
          <w:tcPr>
            <w:tcW w:w="816" w:type="dxa"/>
            <w:vMerge w:val="continue"/>
            <w:tcBorders>
              <w:top w:val="nil"/>
              <w:left w:val="single" w:color="000000" w:sz="4" w:space="0"/>
              <w:bottom w:val="single" w:color="000000" w:sz="4" w:space="0"/>
              <w:right w:val="single" w:color="000000" w:sz="4" w:space="0"/>
            </w:tcBorders>
            <w:vAlign w:val="center"/>
          </w:tcPr>
          <w:p w14:paraId="62E8C0F8">
            <w:pPr>
              <w:widowControl/>
              <w:jc w:val="left"/>
              <w:rPr>
                <w:rFonts w:ascii="宋体" w:hAnsi="宋体" w:cs="宋体"/>
                <w:color w:val="000000"/>
                <w:kern w:val="0"/>
                <w:sz w:val="18"/>
                <w:szCs w:val="18"/>
              </w:rPr>
            </w:pPr>
          </w:p>
        </w:tc>
        <w:tc>
          <w:tcPr>
            <w:tcW w:w="817" w:type="dxa"/>
            <w:tcBorders>
              <w:top w:val="nil"/>
              <w:left w:val="nil"/>
              <w:bottom w:val="single" w:color="000000" w:sz="4" w:space="0"/>
              <w:right w:val="single" w:color="000000" w:sz="4" w:space="0"/>
            </w:tcBorders>
            <w:shd w:val="clear" w:color="auto" w:fill="auto"/>
            <w:vAlign w:val="center"/>
          </w:tcPr>
          <w:p w14:paraId="31095075">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969" w:type="dxa"/>
            <w:gridSpan w:val="10"/>
            <w:tcBorders>
              <w:top w:val="single" w:color="000000" w:sz="4" w:space="0"/>
              <w:left w:val="nil"/>
              <w:bottom w:val="single" w:color="000000" w:sz="4" w:space="0"/>
              <w:right w:val="single" w:color="000000" w:sz="4" w:space="0"/>
            </w:tcBorders>
            <w:shd w:val="clear" w:color="auto" w:fill="auto"/>
            <w:vAlign w:val="center"/>
          </w:tcPr>
          <w:p w14:paraId="3859FB55">
            <w:pPr>
              <w:widowControl/>
              <w:jc w:val="left"/>
              <w:rPr>
                <w:rFonts w:ascii="宋体" w:hAnsi="宋体" w:cs="宋体"/>
                <w:color w:val="000000"/>
                <w:kern w:val="0"/>
                <w:sz w:val="18"/>
                <w:szCs w:val="18"/>
              </w:rPr>
            </w:pPr>
            <w:r>
              <w:rPr>
                <w:rFonts w:hint="eastAsia" w:ascii="宋体" w:hAnsi="宋体" w:cs="宋体"/>
                <w:color w:val="000000"/>
                <w:kern w:val="0"/>
                <w:sz w:val="18"/>
                <w:szCs w:val="18"/>
              </w:rPr>
              <w:t>安全生产专家组日常工作运转正常，按时、足额支付专家组劳务费</w:t>
            </w:r>
          </w:p>
        </w:tc>
      </w:tr>
      <w:tr w14:paraId="7E51A18E">
        <w:tblPrEx>
          <w:tblCellMar>
            <w:top w:w="0" w:type="dxa"/>
            <w:left w:w="108" w:type="dxa"/>
            <w:bottom w:w="0" w:type="dxa"/>
            <w:right w:w="108" w:type="dxa"/>
          </w:tblCellMar>
        </w:tblPrEx>
        <w:trPr>
          <w:gridAfter w:val="1"/>
          <w:wAfter w:w="9" w:type="dxa"/>
          <w:trHeight w:val="458" w:hRule="atLeast"/>
        </w:trPr>
        <w:tc>
          <w:tcPr>
            <w:tcW w:w="816" w:type="dxa"/>
            <w:vMerge w:val="restart"/>
            <w:tcBorders>
              <w:top w:val="nil"/>
              <w:left w:val="single" w:color="000000" w:sz="4" w:space="0"/>
              <w:bottom w:val="single" w:color="000000" w:sz="4" w:space="0"/>
              <w:right w:val="single" w:color="000000" w:sz="4" w:space="0"/>
            </w:tcBorders>
            <w:shd w:val="clear" w:color="auto" w:fill="auto"/>
            <w:vAlign w:val="center"/>
          </w:tcPr>
          <w:p w14:paraId="375BDDA0">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817" w:type="dxa"/>
            <w:tcBorders>
              <w:top w:val="nil"/>
              <w:left w:val="nil"/>
              <w:bottom w:val="single" w:color="000000" w:sz="4" w:space="0"/>
              <w:right w:val="single" w:color="000000" w:sz="4" w:space="0"/>
            </w:tcBorders>
            <w:shd w:val="clear" w:color="auto" w:fill="auto"/>
            <w:vAlign w:val="center"/>
          </w:tcPr>
          <w:p w14:paraId="3FED7BF8">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126" w:type="dxa"/>
            <w:tcBorders>
              <w:top w:val="nil"/>
              <w:left w:val="nil"/>
              <w:bottom w:val="single" w:color="000000" w:sz="4" w:space="0"/>
              <w:right w:val="single" w:color="000000" w:sz="4" w:space="0"/>
            </w:tcBorders>
            <w:shd w:val="clear" w:color="auto" w:fill="auto"/>
            <w:vAlign w:val="center"/>
          </w:tcPr>
          <w:p w14:paraId="096304CE">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1133" w:type="dxa"/>
            <w:tcBorders>
              <w:top w:val="nil"/>
              <w:left w:val="nil"/>
              <w:bottom w:val="single" w:color="000000" w:sz="4" w:space="0"/>
              <w:right w:val="single" w:color="000000" w:sz="4" w:space="0"/>
            </w:tcBorders>
            <w:shd w:val="clear" w:color="auto" w:fill="auto"/>
            <w:vAlign w:val="center"/>
          </w:tcPr>
          <w:p w14:paraId="6AA64734">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1927" w:type="dxa"/>
            <w:gridSpan w:val="3"/>
            <w:tcBorders>
              <w:top w:val="single" w:color="000000" w:sz="4" w:space="0"/>
              <w:left w:val="nil"/>
              <w:bottom w:val="single" w:color="000000" w:sz="4" w:space="0"/>
              <w:right w:val="single" w:color="000000" w:sz="4" w:space="0"/>
            </w:tcBorders>
            <w:shd w:val="clear" w:color="auto" w:fill="auto"/>
            <w:vAlign w:val="center"/>
          </w:tcPr>
          <w:p w14:paraId="124FD0CF">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056" w:type="dxa"/>
            <w:tcBorders>
              <w:top w:val="nil"/>
              <w:left w:val="nil"/>
              <w:bottom w:val="single" w:color="000000" w:sz="4" w:space="0"/>
              <w:right w:val="single" w:color="000000" w:sz="4" w:space="0"/>
            </w:tcBorders>
            <w:shd w:val="clear" w:color="auto" w:fill="auto"/>
            <w:vAlign w:val="center"/>
          </w:tcPr>
          <w:p w14:paraId="74455538">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908" w:type="dxa"/>
            <w:tcBorders>
              <w:top w:val="nil"/>
              <w:left w:val="nil"/>
              <w:bottom w:val="single" w:color="000000" w:sz="4" w:space="0"/>
              <w:right w:val="single" w:color="000000" w:sz="4" w:space="0"/>
            </w:tcBorders>
            <w:shd w:val="clear" w:color="auto" w:fill="auto"/>
            <w:vAlign w:val="center"/>
          </w:tcPr>
          <w:p w14:paraId="799E0A5E">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908" w:type="dxa"/>
            <w:tcBorders>
              <w:top w:val="nil"/>
              <w:left w:val="nil"/>
              <w:bottom w:val="single" w:color="000000" w:sz="4" w:space="0"/>
              <w:right w:val="single" w:color="000000" w:sz="4" w:space="0"/>
            </w:tcBorders>
            <w:shd w:val="clear" w:color="auto" w:fill="auto"/>
            <w:vAlign w:val="center"/>
          </w:tcPr>
          <w:p w14:paraId="03C83C50">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902" w:type="dxa"/>
            <w:tcBorders>
              <w:top w:val="nil"/>
              <w:left w:val="nil"/>
              <w:bottom w:val="single" w:color="000000" w:sz="4" w:space="0"/>
              <w:right w:val="single" w:color="000000" w:sz="4" w:space="0"/>
            </w:tcBorders>
            <w:shd w:val="clear" w:color="auto" w:fill="auto"/>
            <w:vAlign w:val="center"/>
          </w:tcPr>
          <w:p w14:paraId="213FD380">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14:paraId="3B4EE2EF">
        <w:tblPrEx>
          <w:tblCellMar>
            <w:top w:w="0" w:type="dxa"/>
            <w:left w:w="108" w:type="dxa"/>
            <w:bottom w:w="0" w:type="dxa"/>
            <w:right w:w="108" w:type="dxa"/>
          </w:tblCellMar>
        </w:tblPrEx>
        <w:trPr>
          <w:gridAfter w:val="1"/>
          <w:wAfter w:w="9" w:type="dxa"/>
          <w:trHeight w:val="458" w:hRule="atLeast"/>
        </w:trPr>
        <w:tc>
          <w:tcPr>
            <w:tcW w:w="816" w:type="dxa"/>
            <w:vMerge w:val="continue"/>
            <w:tcBorders>
              <w:top w:val="nil"/>
              <w:left w:val="single" w:color="000000" w:sz="4" w:space="0"/>
              <w:bottom w:val="single" w:color="000000" w:sz="4" w:space="0"/>
              <w:right w:val="single" w:color="000000" w:sz="4" w:space="0"/>
            </w:tcBorders>
            <w:vAlign w:val="center"/>
          </w:tcPr>
          <w:p w14:paraId="1F2E4B98">
            <w:pPr>
              <w:widowControl/>
              <w:jc w:val="left"/>
              <w:rPr>
                <w:rFonts w:ascii="宋体" w:hAnsi="宋体" w:cs="宋体"/>
                <w:color w:val="000000"/>
                <w:kern w:val="0"/>
                <w:sz w:val="18"/>
                <w:szCs w:val="18"/>
              </w:rPr>
            </w:pPr>
          </w:p>
        </w:tc>
        <w:tc>
          <w:tcPr>
            <w:tcW w:w="817" w:type="dxa"/>
            <w:tcBorders>
              <w:top w:val="nil"/>
              <w:left w:val="nil"/>
              <w:bottom w:val="single" w:color="000000" w:sz="4" w:space="0"/>
              <w:right w:val="single" w:color="000000" w:sz="4" w:space="0"/>
            </w:tcBorders>
            <w:shd w:val="clear" w:color="auto" w:fill="auto"/>
            <w:vAlign w:val="center"/>
          </w:tcPr>
          <w:p w14:paraId="0D70060C">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126" w:type="dxa"/>
            <w:tcBorders>
              <w:top w:val="nil"/>
              <w:left w:val="nil"/>
              <w:bottom w:val="single" w:color="000000" w:sz="4" w:space="0"/>
              <w:right w:val="single" w:color="000000" w:sz="4" w:space="0"/>
            </w:tcBorders>
            <w:shd w:val="clear" w:color="auto" w:fill="auto"/>
            <w:vAlign w:val="center"/>
          </w:tcPr>
          <w:p w14:paraId="0D509256">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33" w:type="dxa"/>
            <w:tcBorders>
              <w:top w:val="nil"/>
              <w:left w:val="nil"/>
              <w:bottom w:val="single" w:color="000000" w:sz="4" w:space="0"/>
              <w:right w:val="single" w:color="000000" w:sz="4" w:space="0"/>
            </w:tcBorders>
            <w:shd w:val="clear" w:color="auto" w:fill="auto"/>
            <w:vAlign w:val="center"/>
          </w:tcPr>
          <w:p w14:paraId="38B769FA">
            <w:pPr>
              <w:widowControl/>
              <w:jc w:val="center"/>
              <w:rPr>
                <w:rFonts w:ascii="宋体" w:hAnsi="宋体" w:cs="宋体"/>
                <w:color w:val="000000"/>
                <w:kern w:val="0"/>
                <w:sz w:val="18"/>
                <w:szCs w:val="18"/>
              </w:rPr>
            </w:pPr>
            <w:r>
              <w:rPr>
                <w:rFonts w:hint="eastAsia" w:ascii="宋体" w:hAnsi="宋体" w:cs="宋体"/>
                <w:color w:val="000000"/>
                <w:kern w:val="0"/>
                <w:sz w:val="18"/>
                <w:szCs w:val="18"/>
              </w:rPr>
              <w:t>17.00</w:t>
            </w:r>
          </w:p>
        </w:tc>
        <w:tc>
          <w:tcPr>
            <w:tcW w:w="1927" w:type="dxa"/>
            <w:gridSpan w:val="3"/>
            <w:tcBorders>
              <w:top w:val="single" w:color="000000" w:sz="4" w:space="0"/>
              <w:left w:val="nil"/>
              <w:bottom w:val="single" w:color="000000" w:sz="4" w:space="0"/>
              <w:right w:val="single" w:color="000000" w:sz="4" w:space="0"/>
            </w:tcBorders>
            <w:shd w:val="clear" w:color="auto" w:fill="auto"/>
            <w:vAlign w:val="center"/>
          </w:tcPr>
          <w:p w14:paraId="6AC151C7">
            <w:pPr>
              <w:widowControl/>
              <w:jc w:val="center"/>
              <w:rPr>
                <w:rFonts w:ascii="宋体" w:hAnsi="宋体" w:cs="宋体"/>
                <w:color w:val="000000"/>
                <w:kern w:val="0"/>
                <w:sz w:val="18"/>
                <w:szCs w:val="18"/>
              </w:rPr>
            </w:pPr>
            <w:r>
              <w:rPr>
                <w:rFonts w:hint="eastAsia" w:ascii="宋体" w:hAnsi="宋体" w:cs="宋体"/>
                <w:color w:val="000000"/>
                <w:kern w:val="0"/>
                <w:sz w:val="18"/>
                <w:szCs w:val="18"/>
              </w:rPr>
              <w:t>17.00</w:t>
            </w:r>
          </w:p>
        </w:tc>
        <w:tc>
          <w:tcPr>
            <w:tcW w:w="1056" w:type="dxa"/>
            <w:tcBorders>
              <w:top w:val="nil"/>
              <w:left w:val="nil"/>
              <w:bottom w:val="single" w:color="000000" w:sz="4" w:space="0"/>
              <w:right w:val="single" w:color="000000" w:sz="4" w:space="0"/>
            </w:tcBorders>
            <w:shd w:val="clear" w:color="auto" w:fill="auto"/>
            <w:vAlign w:val="center"/>
          </w:tcPr>
          <w:p w14:paraId="6513D091">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908" w:type="dxa"/>
            <w:tcBorders>
              <w:top w:val="nil"/>
              <w:left w:val="nil"/>
              <w:bottom w:val="single" w:color="000000" w:sz="4" w:space="0"/>
              <w:right w:val="single" w:color="000000" w:sz="4" w:space="0"/>
            </w:tcBorders>
            <w:shd w:val="clear" w:color="auto" w:fill="auto"/>
            <w:vAlign w:val="center"/>
          </w:tcPr>
          <w:p w14:paraId="0A39D295">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08" w:type="dxa"/>
            <w:tcBorders>
              <w:top w:val="nil"/>
              <w:left w:val="nil"/>
              <w:bottom w:val="single" w:color="000000" w:sz="4" w:space="0"/>
              <w:right w:val="single" w:color="000000" w:sz="4" w:space="0"/>
            </w:tcBorders>
            <w:shd w:val="clear" w:color="auto" w:fill="auto"/>
            <w:vAlign w:val="center"/>
          </w:tcPr>
          <w:p w14:paraId="28B88D05">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02" w:type="dxa"/>
            <w:vMerge w:val="restart"/>
            <w:tcBorders>
              <w:top w:val="nil"/>
              <w:left w:val="single" w:color="000000" w:sz="4" w:space="0"/>
              <w:bottom w:val="single" w:color="000000" w:sz="4" w:space="0"/>
              <w:right w:val="single" w:color="000000" w:sz="4" w:space="0"/>
            </w:tcBorders>
            <w:shd w:val="clear" w:color="auto" w:fill="auto"/>
            <w:vAlign w:val="center"/>
          </w:tcPr>
          <w:p w14:paraId="2BE58C6F">
            <w:pPr>
              <w:widowControl/>
              <w:jc w:val="left"/>
              <w:rPr>
                <w:rFonts w:ascii="黑体" w:hAnsi="黑体" w:eastAsia="黑体" w:cs="宋体"/>
                <w:i/>
                <w:iCs/>
                <w:color w:val="000000"/>
                <w:kern w:val="0"/>
                <w:sz w:val="18"/>
                <w:szCs w:val="18"/>
              </w:rPr>
            </w:pPr>
            <w:r>
              <w:rPr>
                <w:rFonts w:hint="eastAsia" w:ascii="微软雅黑" w:hAnsi="微软雅黑" w:eastAsia="微软雅黑" w:cs="微软雅黑"/>
                <w:i/>
                <w:iCs/>
                <w:color w:val="000000"/>
                <w:kern w:val="0"/>
                <w:sz w:val="18"/>
                <w:szCs w:val="18"/>
              </w:rPr>
              <w:t>　</w:t>
            </w:r>
          </w:p>
        </w:tc>
      </w:tr>
      <w:tr w14:paraId="1136FD88">
        <w:tblPrEx>
          <w:tblCellMar>
            <w:top w:w="0" w:type="dxa"/>
            <w:left w:w="108" w:type="dxa"/>
            <w:bottom w:w="0" w:type="dxa"/>
            <w:right w:w="108" w:type="dxa"/>
          </w:tblCellMar>
        </w:tblPrEx>
        <w:trPr>
          <w:gridAfter w:val="1"/>
          <w:wAfter w:w="9" w:type="dxa"/>
          <w:trHeight w:val="458" w:hRule="atLeast"/>
        </w:trPr>
        <w:tc>
          <w:tcPr>
            <w:tcW w:w="816" w:type="dxa"/>
            <w:vMerge w:val="continue"/>
            <w:tcBorders>
              <w:top w:val="nil"/>
              <w:left w:val="single" w:color="000000" w:sz="4" w:space="0"/>
              <w:bottom w:val="single" w:color="000000" w:sz="4" w:space="0"/>
              <w:right w:val="single" w:color="000000" w:sz="4" w:space="0"/>
            </w:tcBorders>
            <w:vAlign w:val="center"/>
          </w:tcPr>
          <w:p w14:paraId="322BCA58">
            <w:pPr>
              <w:widowControl/>
              <w:jc w:val="left"/>
              <w:rPr>
                <w:rFonts w:ascii="宋体" w:hAnsi="宋体" w:cs="宋体"/>
                <w:color w:val="000000"/>
                <w:kern w:val="0"/>
                <w:sz w:val="18"/>
                <w:szCs w:val="18"/>
              </w:rPr>
            </w:pPr>
          </w:p>
        </w:tc>
        <w:tc>
          <w:tcPr>
            <w:tcW w:w="817" w:type="dxa"/>
            <w:tcBorders>
              <w:top w:val="nil"/>
              <w:left w:val="nil"/>
              <w:bottom w:val="single" w:color="000000" w:sz="4" w:space="0"/>
              <w:right w:val="single" w:color="000000" w:sz="4" w:space="0"/>
            </w:tcBorders>
            <w:shd w:val="clear" w:color="auto" w:fill="auto"/>
            <w:vAlign w:val="center"/>
          </w:tcPr>
          <w:p w14:paraId="64A0FC43">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126" w:type="dxa"/>
            <w:tcBorders>
              <w:top w:val="nil"/>
              <w:left w:val="nil"/>
              <w:bottom w:val="single" w:color="000000" w:sz="4" w:space="0"/>
              <w:right w:val="single" w:color="000000" w:sz="4" w:space="0"/>
            </w:tcBorders>
            <w:shd w:val="clear" w:color="auto" w:fill="auto"/>
            <w:vAlign w:val="center"/>
          </w:tcPr>
          <w:p w14:paraId="152BB15F">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33" w:type="dxa"/>
            <w:tcBorders>
              <w:top w:val="nil"/>
              <w:left w:val="nil"/>
              <w:bottom w:val="single" w:color="000000" w:sz="4" w:space="0"/>
              <w:right w:val="single" w:color="000000" w:sz="4" w:space="0"/>
            </w:tcBorders>
            <w:shd w:val="clear" w:color="auto" w:fill="auto"/>
            <w:vAlign w:val="center"/>
          </w:tcPr>
          <w:p w14:paraId="0AD675EE">
            <w:pPr>
              <w:widowControl/>
              <w:jc w:val="center"/>
              <w:rPr>
                <w:rFonts w:ascii="宋体" w:hAnsi="宋体" w:cs="宋体"/>
                <w:color w:val="000000"/>
                <w:kern w:val="0"/>
                <w:sz w:val="18"/>
                <w:szCs w:val="18"/>
              </w:rPr>
            </w:pPr>
            <w:r>
              <w:rPr>
                <w:rFonts w:hint="eastAsia" w:ascii="宋体" w:hAnsi="宋体" w:cs="宋体"/>
                <w:color w:val="000000"/>
                <w:kern w:val="0"/>
                <w:sz w:val="18"/>
                <w:szCs w:val="18"/>
              </w:rPr>
              <w:t>17.00</w:t>
            </w:r>
          </w:p>
        </w:tc>
        <w:tc>
          <w:tcPr>
            <w:tcW w:w="1927" w:type="dxa"/>
            <w:gridSpan w:val="3"/>
            <w:tcBorders>
              <w:top w:val="single" w:color="000000" w:sz="4" w:space="0"/>
              <w:left w:val="nil"/>
              <w:bottom w:val="single" w:color="000000" w:sz="4" w:space="0"/>
              <w:right w:val="single" w:color="000000" w:sz="4" w:space="0"/>
            </w:tcBorders>
            <w:shd w:val="clear" w:color="auto" w:fill="auto"/>
            <w:vAlign w:val="center"/>
          </w:tcPr>
          <w:p w14:paraId="3CC049B6">
            <w:pPr>
              <w:widowControl/>
              <w:jc w:val="center"/>
              <w:rPr>
                <w:rFonts w:ascii="宋体" w:hAnsi="宋体" w:cs="宋体"/>
                <w:color w:val="000000"/>
                <w:kern w:val="0"/>
                <w:sz w:val="18"/>
                <w:szCs w:val="18"/>
              </w:rPr>
            </w:pPr>
            <w:r>
              <w:rPr>
                <w:rFonts w:hint="eastAsia" w:ascii="宋体" w:hAnsi="宋体" w:cs="宋体"/>
                <w:color w:val="000000"/>
                <w:kern w:val="0"/>
                <w:sz w:val="18"/>
                <w:szCs w:val="18"/>
              </w:rPr>
              <w:t>17.00</w:t>
            </w:r>
          </w:p>
        </w:tc>
        <w:tc>
          <w:tcPr>
            <w:tcW w:w="1056" w:type="dxa"/>
            <w:tcBorders>
              <w:top w:val="nil"/>
              <w:left w:val="nil"/>
              <w:bottom w:val="single" w:color="000000" w:sz="4" w:space="0"/>
              <w:right w:val="single" w:color="000000" w:sz="4" w:space="0"/>
            </w:tcBorders>
            <w:shd w:val="clear" w:color="auto" w:fill="auto"/>
            <w:vAlign w:val="center"/>
          </w:tcPr>
          <w:p w14:paraId="5923A864">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908" w:type="dxa"/>
            <w:tcBorders>
              <w:top w:val="nil"/>
              <w:left w:val="nil"/>
              <w:bottom w:val="single" w:color="000000" w:sz="4" w:space="0"/>
              <w:right w:val="single" w:color="000000" w:sz="4" w:space="0"/>
            </w:tcBorders>
            <w:shd w:val="clear" w:color="auto" w:fill="auto"/>
            <w:vAlign w:val="center"/>
          </w:tcPr>
          <w:p w14:paraId="78FB24EF">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8" w:type="dxa"/>
            <w:tcBorders>
              <w:top w:val="nil"/>
              <w:left w:val="nil"/>
              <w:bottom w:val="single" w:color="000000" w:sz="4" w:space="0"/>
              <w:right w:val="single" w:color="000000" w:sz="4" w:space="0"/>
            </w:tcBorders>
            <w:shd w:val="clear" w:color="auto" w:fill="auto"/>
            <w:vAlign w:val="center"/>
          </w:tcPr>
          <w:p w14:paraId="4A4209AD">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2" w:type="dxa"/>
            <w:vMerge w:val="continue"/>
            <w:tcBorders>
              <w:top w:val="nil"/>
              <w:left w:val="single" w:color="000000" w:sz="4" w:space="0"/>
              <w:bottom w:val="single" w:color="000000" w:sz="4" w:space="0"/>
              <w:right w:val="single" w:color="000000" w:sz="4" w:space="0"/>
            </w:tcBorders>
            <w:vAlign w:val="center"/>
          </w:tcPr>
          <w:p w14:paraId="193FE193">
            <w:pPr>
              <w:widowControl/>
              <w:jc w:val="left"/>
              <w:rPr>
                <w:rFonts w:ascii="黑体" w:hAnsi="黑体" w:eastAsia="黑体" w:cs="宋体"/>
                <w:i/>
                <w:iCs/>
                <w:color w:val="000000"/>
                <w:kern w:val="0"/>
                <w:sz w:val="18"/>
                <w:szCs w:val="18"/>
              </w:rPr>
            </w:pPr>
          </w:p>
        </w:tc>
      </w:tr>
      <w:tr w14:paraId="70BF48AC">
        <w:tblPrEx>
          <w:tblCellMar>
            <w:top w:w="0" w:type="dxa"/>
            <w:left w:w="108" w:type="dxa"/>
            <w:bottom w:w="0" w:type="dxa"/>
            <w:right w:w="108" w:type="dxa"/>
          </w:tblCellMar>
        </w:tblPrEx>
        <w:trPr>
          <w:gridAfter w:val="1"/>
          <w:wAfter w:w="9" w:type="dxa"/>
          <w:trHeight w:val="627" w:hRule="atLeast"/>
        </w:trPr>
        <w:tc>
          <w:tcPr>
            <w:tcW w:w="816" w:type="dxa"/>
            <w:vMerge w:val="continue"/>
            <w:tcBorders>
              <w:top w:val="nil"/>
              <w:left w:val="single" w:color="000000" w:sz="4" w:space="0"/>
              <w:bottom w:val="single" w:color="000000" w:sz="4" w:space="0"/>
              <w:right w:val="single" w:color="000000" w:sz="4" w:space="0"/>
            </w:tcBorders>
            <w:vAlign w:val="center"/>
          </w:tcPr>
          <w:p w14:paraId="1ABDB8D5">
            <w:pPr>
              <w:widowControl/>
              <w:jc w:val="left"/>
              <w:rPr>
                <w:rFonts w:ascii="宋体" w:hAnsi="宋体" w:cs="宋体"/>
                <w:color w:val="000000"/>
                <w:kern w:val="0"/>
                <w:sz w:val="18"/>
                <w:szCs w:val="18"/>
              </w:rPr>
            </w:pPr>
          </w:p>
        </w:tc>
        <w:tc>
          <w:tcPr>
            <w:tcW w:w="817" w:type="dxa"/>
            <w:tcBorders>
              <w:top w:val="nil"/>
              <w:left w:val="nil"/>
              <w:bottom w:val="single" w:color="000000" w:sz="4" w:space="0"/>
              <w:right w:val="single" w:color="000000" w:sz="4" w:space="0"/>
            </w:tcBorders>
            <w:shd w:val="clear" w:color="auto" w:fill="auto"/>
            <w:vAlign w:val="center"/>
          </w:tcPr>
          <w:p w14:paraId="21DEE4B2">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126" w:type="dxa"/>
            <w:tcBorders>
              <w:top w:val="nil"/>
              <w:left w:val="nil"/>
              <w:bottom w:val="single" w:color="000000" w:sz="4" w:space="0"/>
              <w:right w:val="single" w:color="000000" w:sz="4" w:space="0"/>
            </w:tcBorders>
            <w:shd w:val="clear" w:color="auto" w:fill="auto"/>
            <w:vAlign w:val="center"/>
          </w:tcPr>
          <w:p w14:paraId="08A50DE2">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33" w:type="dxa"/>
            <w:tcBorders>
              <w:top w:val="nil"/>
              <w:left w:val="nil"/>
              <w:bottom w:val="single" w:color="000000" w:sz="4" w:space="0"/>
              <w:right w:val="single" w:color="000000" w:sz="4" w:space="0"/>
            </w:tcBorders>
            <w:shd w:val="clear" w:color="auto" w:fill="auto"/>
            <w:vAlign w:val="center"/>
          </w:tcPr>
          <w:p w14:paraId="3F5743E1">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927" w:type="dxa"/>
            <w:gridSpan w:val="3"/>
            <w:tcBorders>
              <w:top w:val="single" w:color="000000" w:sz="4" w:space="0"/>
              <w:left w:val="nil"/>
              <w:bottom w:val="single" w:color="000000" w:sz="4" w:space="0"/>
              <w:right w:val="single" w:color="000000" w:sz="4" w:space="0"/>
            </w:tcBorders>
            <w:shd w:val="clear" w:color="auto" w:fill="auto"/>
            <w:vAlign w:val="center"/>
          </w:tcPr>
          <w:p w14:paraId="67E1D991">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56" w:type="dxa"/>
            <w:tcBorders>
              <w:top w:val="nil"/>
              <w:left w:val="nil"/>
              <w:bottom w:val="single" w:color="000000" w:sz="4" w:space="0"/>
              <w:right w:val="single" w:color="000000" w:sz="4" w:space="0"/>
            </w:tcBorders>
            <w:shd w:val="clear" w:color="auto" w:fill="auto"/>
            <w:vAlign w:val="center"/>
          </w:tcPr>
          <w:p w14:paraId="176702EF">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908" w:type="dxa"/>
            <w:tcBorders>
              <w:top w:val="nil"/>
              <w:left w:val="nil"/>
              <w:bottom w:val="single" w:color="000000" w:sz="4" w:space="0"/>
              <w:right w:val="single" w:color="000000" w:sz="4" w:space="0"/>
            </w:tcBorders>
            <w:shd w:val="clear" w:color="auto" w:fill="auto"/>
            <w:vAlign w:val="center"/>
          </w:tcPr>
          <w:p w14:paraId="190504AE">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8" w:type="dxa"/>
            <w:tcBorders>
              <w:top w:val="nil"/>
              <w:left w:val="nil"/>
              <w:bottom w:val="single" w:color="000000" w:sz="4" w:space="0"/>
              <w:right w:val="single" w:color="000000" w:sz="4" w:space="0"/>
            </w:tcBorders>
            <w:shd w:val="clear" w:color="auto" w:fill="auto"/>
            <w:vAlign w:val="center"/>
          </w:tcPr>
          <w:p w14:paraId="7CF00810">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2" w:type="dxa"/>
            <w:vMerge w:val="continue"/>
            <w:tcBorders>
              <w:top w:val="nil"/>
              <w:left w:val="single" w:color="000000" w:sz="4" w:space="0"/>
              <w:bottom w:val="single" w:color="000000" w:sz="4" w:space="0"/>
              <w:right w:val="single" w:color="000000" w:sz="4" w:space="0"/>
            </w:tcBorders>
            <w:vAlign w:val="center"/>
          </w:tcPr>
          <w:p w14:paraId="52E454CA">
            <w:pPr>
              <w:widowControl/>
              <w:jc w:val="left"/>
              <w:rPr>
                <w:rFonts w:ascii="黑体" w:hAnsi="黑体" w:eastAsia="黑体" w:cs="宋体"/>
                <w:i/>
                <w:iCs/>
                <w:color w:val="000000"/>
                <w:kern w:val="0"/>
                <w:sz w:val="18"/>
                <w:szCs w:val="18"/>
              </w:rPr>
            </w:pPr>
          </w:p>
        </w:tc>
      </w:tr>
      <w:tr w14:paraId="43EF74FE">
        <w:tblPrEx>
          <w:tblCellMar>
            <w:top w:w="0" w:type="dxa"/>
            <w:left w:w="108" w:type="dxa"/>
            <w:bottom w:w="0" w:type="dxa"/>
            <w:right w:w="108" w:type="dxa"/>
          </w:tblCellMar>
        </w:tblPrEx>
        <w:trPr>
          <w:gridAfter w:val="1"/>
          <w:wAfter w:w="9" w:type="dxa"/>
          <w:trHeight w:val="428" w:hRule="atLeast"/>
        </w:trPr>
        <w:tc>
          <w:tcPr>
            <w:tcW w:w="816" w:type="dxa"/>
            <w:vMerge w:val="continue"/>
            <w:tcBorders>
              <w:top w:val="nil"/>
              <w:left w:val="single" w:color="000000" w:sz="4" w:space="0"/>
              <w:bottom w:val="single" w:color="000000" w:sz="4" w:space="0"/>
              <w:right w:val="single" w:color="000000" w:sz="4" w:space="0"/>
            </w:tcBorders>
            <w:vAlign w:val="center"/>
          </w:tcPr>
          <w:p w14:paraId="70E3CCCD">
            <w:pPr>
              <w:widowControl/>
              <w:jc w:val="left"/>
              <w:rPr>
                <w:rFonts w:ascii="宋体" w:hAnsi="宋体" w:cs="宋体"/>
                <w:color w:val="000000"/>
                <w:kern w:val="0"/>
                <w:sz w:val="18"/>
                <w:szCs w:val="18"/>
              </w:rPr>
            </w:pPr>
          </w:p>
        </w:tc>
        <w:tc>
          <w:tcPr>
            <w:tcW w:w="817" w:type="dxa"/>
            <w:tcBorders>
              <w:top w:val="nil"/>
              <w:left w:val="nil"/>
              <w:bottom w:val="single" w:color="000000" w:sz="4" w:space="0"/>
              <w:right w:val="single" w:color="000000" w:sz="4" w:space="0"/>
            </w:tcBorders>
            <w:shd w:val="clear" w:color="auto" w:fill="auto"/>
            <w:vAlign w:val="center"/>
          </w:tcPr>
          <w:p w14:paraId="52855A28">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126" w:type="dxa"/>
            <w:tcBorders>
              <w:top w:val="nil"/>
              <w:left w:val="nil"/>
              <w:bottom w:val="single" w:color="000000" w:sz="4" w:space="0"/>
              <w:right w:val="single" w:color="000000" w:sz="4" w:space="0"/>
            </w:tcBorders>
            <w:shd w:val="clear" w:color="auto" w:fill="auto"/>
            <w:vAlign w:val="center"/>
          </w:tcPr>
          <w:p w14:paraId="3F6350E1">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33" w:type="dxa"/>
            <w:tcBorders>
              <w:top w:val="nil"/>
              <w:left w:val="nil"/>
              <w:bottom w:val="single" w:color="000000" w:sz="4" w:space="0"/>
              <w:right w:val="single" w:color="000000" w:sz="4" w:space="0"/>
            </w:tcBorders>
            <w:shd w:val="clear" w:color="auto" w:fill="auto"/>
            <w:vAlign w:val="center"/>
          </w:tcPr>
          <w:p w14:paraId="44758CBF">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927" w:type="dxa"/>
            <w:gridSpan w:val="3"/>
            <w:tcBorders>
              <w:top w:val="single" w:color="000000" w:sz="4" w:space="0"/>
              <w:left w:val="nil"/>
              <w:bottom w:val="single" w:color="000000" w:sz="4" w:space="0"/>
              <w:right w:val="single" w:color="000000" w:sz="4" w:space="0"/>
            </w:tcBorders>
            <w:shd w:val="clear" w:color="auto" w:fill="auto"/>
            <w:vAlign w:val="center"/>
          </w:tcPr>
          <w:p w14:paraId="776B72FA">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056" w:type="dxa"/>
            <w:tcBorders>
              <w:top w:val="nil"/>
              <w:left w:val="nil"/>
              <w:bottom w:val="single" w:color="000000" w:sz="4" w:space="0"/>
              <w:right w:val="single" w:color="000000" w:sz="4" w:space="0"/>
            </w:tcBorders>
            <w:shd w:val="clear" w:color="auto" w:fill="auto"/>
            <w:vAlign w:val="center"/>
          </w:tcPr>
          <w:p w14:paraId="47AC7C46">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908" w:type="dxa"/>
            <w:tcBorders>
              <w:top w:val="nil"/>
              <w:left w:val="nil"/>
              <w:bottom w:val="single" w:color="000000" w:sz="4" w:space="0"/>
              <w:right w:val="single" w:color="000000" w:sz="4" w:space="0"/>
            </w:tcBorders>
            <w:shd w:val="clear" w:color="auto" w:fill="auto"/>
            <w:vAlign w:val="center"/>
          </w:tcPr>
          <w:p w14:paraId="24C3AA3E">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8" w:type="dxa"/>
            <w:tcBorders>
              <w:top w:val="nil"/>
              <w:left w:val="nil"/>
              <w:bottom w:val="single" w:color="000000" w:sz="4" w:space="0"/>
              <w:right w:val="single" w:color="000000" w:sz="4" w:space="0"/>
            </w:tcBorders>
            <w:shd w:val="clear" w:color="auto" w:fill="auto"/>
            <w:vAlign w:val="center"/>
          </w:tcPr>
          <w:p w14:paraId="3934B149">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2" w:type="dxa"/>
            <w:vMerge w:val="continue"/>
            <w:tcBorders>
              <w:top w:val="nil"/>
              <w:left w:val="single" w:color="000000" w:sz="4" w:space="0"/>
              <w:bottom w:val="single" w:color="000000" w:sz="4" w:space="0"/>
              <w:right w:val="single" w:color="000000" w:sz="4" w:space="0"/>
            </w:tcBorders>
            <w:vAlign w:val="center"/>
          </w:tcPr>
          <w:p w14:paraId="41AD77A2">
            <w:pPr>
              <w:widowControl/>
              <w:jc w:val="left"/>
              <w:rPr>
                <w:rFonts w:ascii="黑体" w:hAnsi="黑体" w:eastAsia="黑体" w:cs="宋体"/>
                <w:i/>
                <w:iCs/>
                <w:color w:val="000000"/>
                <w:kern w:val="0"/>
                <w:sz w:val="18"/>
                <w:szCs w:val="18"/>
              </w:rPr>
            </w:pPr>
          </w:p>
        </w:tc>
      </w:tr>
      <w:tr w14:paraId="3275D86A">
        <w:tblPrEx>
          <w:tblCellMar>
            <w:top w:w="0" w:type="dxa"/>
            <w:left w:w="108" w:type="dxa"/>
            <w:bottom w:w="0" w:type="dxa"/>
            <w:right w:w="108" w:type="dxa"/>
          </w:tblCellMar>
        </w:tblPrEx>
        <w:trPr>
          <w:gridAfter w:val="1"/>
          <w:wAfter w:w="9" w:type="dxa"/>
          <w:trHeight w:val="428" w:hRule="atLeast"/>
        </w:trPr>
        <w:tc>
          <w:tcPr>
            <w:tcW w:w="816" w:type="dxa"/>
            <w:vMerge w:val="continue"/>
            <w:tcBorders>
              <w:top w:val="nil"/>
              <w:left w:val="single" w:color="000000" w:sz="4" w:space="0"/>
              <w:bottom w:val="single" w:color="000000" w:sz="4" w:space="0"/>
              <w:right w:val="single" w:color="000000" w:sz="4" w:space="0"/>
            </w:tcBorders>
            <w:vAlign w:val="center"/>
          </w:tcPr>
          <w:p w14:paraId="26A7DA0E">
            <w:pPr>
              <w:widowControl/>
              <w:jc w:val="left"/>
              <w:rPr>
                <w:rFonts w:ascii="宋体" w:hAnsi="宋体" w:cs="宋体"/>
                <w:color w:val="000000"/>
                <w:kern w:val="0"/>
                <w:sz w:val="18"/>
                <w:szCs w:val="18"/>
              </w:rPr>
            </w:pPr>
          </w:p>
        </w:tc>
        <w:tc>
          <w:tcPr>
            <w:tcW w:w="817" w:type="dxa"/>
            <w:tcBorders>
              <w:top w:val="nil"/>
              <w:left w:val="nil"/>
              <w:bottom w:val="single" w:color="000000" w:sz="4" w:space="0"/>
              <w:right w:val="single" w:color="000000" w:sz="4" w:space="0"/>
            </w:tcBorders>
            <w:shd w:val="clear" w:color="auto" w:fill="auto"/>
            <w:vAlign w:val="center"/>
          </w:tcPr>
          <w:p w14:paraId="258E823B">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126" w:type="dxa"/>
            <w:tcBorders>
              <w:top w:val="nil"/>
              <w:left w:val="nil"/>
              <w:bottom w:val="single" w:color="000000" w:sz="4" w:space="0"/>
              <w:right w:val="single" w:color="000000" w:sz="4" w:space="0"/>
            </w:tcBorders>
            <w:shd w:val="clear" w:color="auto" w:fill="auto"/>
            <w:vAlign w:val="center"/>
          </w:tcPr>
          <w:p w14:paraId="44748B0C">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33" w:type="dxa"/>
            <w:tcBorders>
              <w:top w:val="nil"/>
              <w:left w:val="nil"/>
              <w:bottom w:val="single" w:color="000000" w:sz="4" w:space="0"/>
              <w:right w:val="single" w:color="000000" w:sz="4" w:space="0"/>
            </w:tcBorders>
            <w:shd w:val="clear" w:color="auto" w:fill="auto"/>
            <w:vAlign w:val="center"/>
          </w:tcPr>
          <w:p w14:paraId="7D2A10F3">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927" w:type="dxa"/>
            <w:gridSpan w:val="3"/>
            <w:tcBorders>
              <w:top w:val="single" w:color="000000" w:sz="4" w:space="0"/>
              <w:left w:val="nil"/>
              <w:bottom w:val="single" w:color="000000" w:sz="4" w:space="0"/>
              <w:right w:val="single" w:color="000000" w:sz="4" w:space="0"/>
            </w:tcBorders>
            <w:shd w:val="clear" w:color="auto" w:fill="auto"/>
            <w:vAlign w:val="center"/>
          </w:tcPr>
          <w:p w14:paraId="03ACCECF">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56" w:type="dxa"/>
            <w:tcBorders>
              <w:top w:val="nil"/>
              <w:left w:val="nil"/>
              <w:bottom w:val="single" w:color="000000" w:sz="4" w:space="0"/>
              <w:right w:val="single" w:color="000000" w:sz="4" w:space="0"/>
            </w:tcBorders>
            <w:shd w:val="clear" w:color="auto" w:fill="auto"/>
            <w:vAlign w:val="center"/>
          </w:tcPr>
          <w:p w14:paraId="501F9977">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908" w:type="dxa"/>
            <w:tcBorders>
              <w:top w:val="nil"/>
              <w:left w:val="nil"/>
              <w:bottom w:val="single" w:color="000000" w:sz="4" w:space="0"/>
              <w:right w:val="single" w:color="000000" w:sz="4" w:space="0"/>
            </w:tcBorders>
            <w:shd w:val="clear" w:color="auto" w:fill="auto"/>
            <w:vAlign w:val="center"/>
          </w:tcPr>
          <w:p w14:paraId="281C7B76">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8" w:type="dxa"/>
            <w:tcBorders>
              <w:top w:val="nil"/>
              <w:left w:val="nil"/>
              <w:bottom w:val="single" w:color="000000" w:sz="4" w:space="0"/>
              <w:right w:val="single" w:color="000000" w:sz="4" w:space="0"/>
            </w:tcBorders>
            <w:shd w:val="clear" w:color="auto" w:fill="auto"/>
            <w:vAlign w:val="center"/>
          </w:tcPr>
          <w:p w14:paraId="0550172C">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02" w:type="dxa"/>
            <w:vMerge w:val="continue"/>
            <w:tcBorders>
              <w:top w:val="nil"/>
              <w:left w:val="single" w:color="000000" w:sz="4" w:space="0"/>
              <w:bottom w:val="single" w:color="000000" w:sz="4" w:space="0"/>
              <w:right w:val="single" w:color="000000" w:sz="4" w:space="0"/>
            </w:tcBorders>
            <w:vAlign w:val="center"/>
          </w:tcPr>
          <w:p w14:paraId="33483141">
            <w:pPr>
              <w:widowControl/>
              <w:jc w:val="left"/>
              <w:rPr>
                <w:rFonts w:ascii="黑体" w:hAnsi="黑体" w:eastAsia="黑体" w:cs="宋体"/>
                <w:i/>
                <w:iCs/>
                <w:color w:val="000000"/>
                <w:kern w:val="0"/>
                <w:sz w:val="18"/>
                <w:szCs w:val="18"/>
              </w:rPr>
            </w:pPr>
          </w:p>
        </w:tc>
      </w:tr>
      <w:tr w14:paraId="5BB14729">
        <w:tblPrEx>
          <w:tblCellMar>
            <w:top w:w="0" w:type="dxa"/>
            <w:left w:w="108" w:type="dxa"/>
            <w:bottom w:w="0" w:type="dxa"/>
            <w:right w:w="108" w:type="dxa"/>
          </w:tblCellMar>
        </w:tblPrEx>
        <w:trPr>
          <w:gridAfter w:val="1"/>
          <w:wAfter w:w="11" w:type="dxa"/>
          <w:trHeight w:val="458" w:hRule="atLeast"/>
        </w:trPr>
        <w:tc>
          <w:tcPr>
            <w:tcW w:w="816" w:type="dxa"/>
            <w:vMerge w:val="restart"/>
            <w:tcBorders>
              <w:top w:val="nil"/>
              <w:left w:val="single" w:color="000000" w:sz="4" w:space="0"/>
              <w:bottom w:val="single" w:color="000000" w:sz="4" w:space="0"/>
              <w:right w:val="single" w:color="000000" w:sz="4" w:space="0"/>
            </w:tcBorders>
            <w:shd w:val="clear" w:color="auto" w:fill="auto"/>
            <w:vAlign w:val="center"/>
          </w:tcPr>
          <w:p w14:paraId="09BB0606">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817" w:type="dxa"/>
            <w:tcBorders>
              <w:top w:val="nil"/>
              <w:left w:val="nil"/>
              <w:bottom w:val="single" w:color="000000" w:sz="4" w:space="0"/>
              <w:right w:val="single" w:color="000000" w:sz="4" w:space="0"/>
            </w:tcBorders>
            <w:shd w:val="clear" w:color="auto" w:fill="auto"/>
            <w:vAlign w:val="center"/>
          </w:tcPr>
          <w:p w14:paraId="295929E0">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126" w:type="dxa"/>
            <w:tcBorders>
              <w:top w:val="nil"/>
              <w:left w:val="nil"/>
              <w:bottom w:val="single" w:color="000000" w:sz="4" w:space="0"/>
              <w:right w:val="single" w:color="000000" w:sz="4" w:space="0"/>
            </w:tcBorders>
            <w:shd w:val="clear" w:color="auto" w:fill="auto"/>
            <w:vAlign w:val="center"/>
          </w:tcPr>
          <w:p w14:paraId="0F016B1C">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1133" w:type="dxa"/>
            <w:tcBorders>
              <w:top w:val="nil"/>
              <w:left w:val="nil"/>
              <w:bottom w:val="single" w:color="000000" w:sz="4" w:space="0"/>
              <w:right w:val="single" w:color="000000" w:sz="4" w:space="0"/>
            </w:tcBorders>
            <w:shd w:val="clear" w:color="auto" w:fill="auto"/>
            <w:vAlign w:val="center"/>
          </w:tcPr>
          <w:p w14:paraId="6C4B7712">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43" w:type="dxa"/>
            <w:tcBorders>
              <w:top w:val="nil"/>
              <w:left w:val="nil"/>
              <w:bottom w:val="single" w:color="000000" w:sz="4" w:space="0"/>
              <w:right w:val="single" w:color="000000" w:sz="4" w:space="0"/>
            </w:tcBorders>
            <w:shd w:val="clear" w:color="auto" w:fill="auto"/>
            <w:vAlign w:val="center"/>
          </w:tcPr>
          <w:p w14:paraId="0F443AE8">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641" w:type="dxa"/>
            <w:tcBorders>
              <w:top w:val="nil"/>
              <w:left w:val="nil"/>
              <w:bottom w:val="single" w:color="000000" w:sz="4" w:space="0"/>
              <w:right w:val="single" w:color="000000" w:sz="4" w:space="0"/>
            </w:tcBorders>
            <w:shd w:val="clear" w:color="auto" w:fill="auto"/>
            <w:vAlign w:val="center"/>
          </w:tcPr>
          <w:p w14:paraId="07B28E83">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641" w:type="dxa"/>
            <w:tcBorders>
              <w:top w:val="nil"/>
              <w:left w:val="nil"/>
              <w:bottom w:val="single" w:color="000000" w:sz="4" w:space="0"/>
              <w:right w:val="single" w:color="000000" w:sz="4" w:space="0"/>
            </w:tcBorders>
            <w:shd w:val="clear" w:color="auto" w:fill="auto"/>
            <w:vAlign w:val="center"/>
          </w:tcPr>
          <w:p w14:paraId="73194814">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056" w:type="dxa"/>
            <w:tcBorders>
              <w:top w:val="nil"/>
              <w:left w:val="nil"/>
              <w:bottom w:val="single" w:color="000000" w:sz="4" w:space="0"/>
              <w:right w:val="single" w:color="000000" w:sz="4" w:space="0"/>
            </w:tcBorders>
            <w:shd w:val="clear" w:color="auto" w:fill="auto"/>
            <w:vAlign w:val="center"/>
          </w:tcPr>
          <w:p w14:paraId="5B95544F">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908" w:type="dxa"/>
            <w:tcBorders>
              <w:top w:val="nil"/>
              <w:left w:val="nil"/>
              <w:bottom w:val="single" w:color="000000" w:sz="4" w:space="0"/>
              <w:right w:val="single" w:color="000000" w:sz="4" w:space="0"/>
            </w:tcBorders>
            <w:shd w:val="clear" w:color="auto" w:fill="auto"/>
            <w:vAlign w:val="center"/>
          </w:tcPr>
          <w:p w14:paraId="480F1F8F">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908" w:type="dxa"/>
            <w:tcBorders>
              <w:top w:val="nil"/>
              <w:left w:val="nil"/>
              <w:bottom w:val="single" w:color="000000" w:sz="4" w:space="0"/>
              <w:right w:val="single" w:color="000000" w:sz="4" w:space="0"/>
            </w:tcBorders>
            <w:shd w:val="clear" w:color="auto" w:fill="auto"/>
            <w:vAlign w:val="center"/>
          </w:tcPr>
          <w:p w14:paraId="12C4B8E2">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902" w:type="dxa"/>
            <w:tcBorders>
              <w:top w:val="nil"/>
              <w:left w:val="nil"/>
              <w:bottom w:val="single" w:color="000000" w:sz="4" w:space="0"/>
              <w:right w:val="single" w:color="000000" w:sz="4" w:space="0"/>
            </w:tcBorders>
            <w:shd w:val="clear" w:color="auto" w:fill="auto"/>
            <w:vAlign w:val="center"/>
          </w:tcPr>
          <w:p w14:paraId="72732926">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14:paraId="6FAC98E1">
        <w:tblPrEx>
          <w:tblCellMar>
            <w:top w:w="0" w:type="dxa"/>
            <w:left w:w="108" w:type="dxa"/>
            <w:bottom w:w="0" w:type="dxa"/>
            <w:right w:w="108" w:type="dxa"/>
          </w:tblCellMar>
        </w:tblPrEx>
        <w:trPr>
          <w:gridAfter w:val="1"/>
          <w:wAfter w:w="11" w:type="dxa"/>
          <w:trHeight w:val="275" w:hRule="atLeast"/>
        </w:trPr>
        <w:tc>
          <w:tcPr>
            <w:tcW w:w="816" w:type="dxa"/>
            <w:vMerge w:val="continue"/>
            <w:tcBorders>
              <w:top w:val="nil"/>
              <w:left w:val="single" w:color="000000" w:sz="4" w:space="0"/>
              <w:bottom w:val="single" w:color="000000" w:sz="4" w:space="0"/>
              <w:right w:val="single" w:color="000000" w:sz="4" w:space="0"/>
            </w:tcBorders>
            <w:vAlign w:val="center"/>
          </w:tcPr>
          <w:p w14:paraId="13881C81">
            <w:pPr>
              <w:widowControl/>
              <w:jc w:val="left"/>
              <w:rPr>
                <w:rFonts w:ascii="宋体" w:hAnsi="宋体" w:cs="宋体"/>
                <w:color w:val="000000"/>
                <w:kern w:val="0"/>
                <w:sz w:val="18"/>
                <w:szCs w:val="18"/>
              </w:rPr>
            </w:pPr>
          </w:p>
        </w:tc>
        <w:tc>
          <w:tcPr>
            <w:tcW w:w="817" w:type="dxa"/>
            <w:tcBorders>
              <w:top w:val="nil"/>
              <w:left w:val="nil"/>
              <w:bottom w:val="single" w:color="000000" w:sz="4" w:space="0"/>
              <w:right w:val="single" w:color="000000" w:sz="4" w:space="0"/>
            </w:tcBorders>
            <w:shd w:val="clear" w:color="auto" w:fill="auto"/>
            <w:vAlign w:val="center"/>
          </w:tcPr>
          <w:p w14:paraId="204CC02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26" w:type="dxa"/>
            <w:tcBorders>
              <w:top w:val="nil"/>
              <w:left w:val="nil"/>
              <w:bottom w:val="single" w:color="000000" w:sz="4" w:space="0"/>
              <w:right w:val="single" w:color="000000" w:sz="4" w:space="0"/>
            </w:tcBorders>
            <w:shd w:val="clear" w:color="auto" w:fill="auto"/>
            <w:vAlign w:val="center"/>
          </w:tcPr>
          <w:p w14:paraId="4048F9B4">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133" w:type="dxa"/>
            <w:tcBorders>
              <w:top w:val="nil"/>
              <w:left w:val="nil"/>
              <w:bottom w:val="single" w:color="000000" w:sz="4" w:space="0"/>
              <w:right w:val="single" w:color="000000" w:sz="4" w:space="0"/>
            </w:tcBorders>
            <w:shd w:val="clear" w:color="auto" w:fill="auto"/>
            <w:vAlign w:val="center"/>
          </w:tcPr>
          <w:p w14:paraId="2F34AF5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43" w:type="dxa"/>
            <w:tcBorders>
              <w:top w:val="nil"/>
              <w:left w:val="nil"/>
              <w:bottom w:val="single" w:color="000000" w:sz="4" w:space="0"/>
              <w:right w:val="single" w:color="000000" w:sz="4" w:space="0"/>
            </w:tcBorders>
            <w:shd w:val="clear" w:color="auto" w:fill="auto"/>
            <w:vAlign w:val="center"/>
          </w:tcPr>
          <w:p w14:paraId="7C71633A">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41" w:type="dxa"/>
            <w:tcBorders>
              <w:top w:val="nil"/>
              <w:left w:val="nil"/>
              <w:bottom w:val="single" w:color="000000" w:sz="4" w:space="0"/>
              <w:right w:val="single" w:color="000000" w:sz="4" w:space="0"/>
            </w:tcBorders>
            <w:shd w:val="clear" w:color="auto" w:fill="auto"/>
            <w:vAlign w:val="center"/>
          </w:tcPr>
          <w:p w14:paraId="2794AE7F">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641" w:type="dxa"/>
            <w:tcBorders>
              <w:top w:val="nil"/>
              <w:left w:val="nil"/>
              <w:bottom w:val="single" w:color="000000" w:sz="4" w:space="0"/>
              <w:right w:val="single" w:color="000000" w:sz="4" w:space="0"/>
            </w:tcBorders>
            <w:shd w:val="clear" w:color="auto" w:fill="auto"/>
            <w:vAlign w:val="center"/>
          </w:tcPr>
          <w:p w14:paraId="1E60D7E7">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056" w:type="dxa"/>
            <w:tcBorders>
              <w:top w:val="nil"/>
              <w:left w:val="nil"/>
              <w:bottom w:val="single" w:color="000000" w:sz="4" w:space="0"/>
              <w:right w:val="single" w:color="000000" w:sz="4" w:space="0"/>
            </w:tcBorders>
            <w:shd w:val="clear" w:color="auto" w:fill="auto"/>
            <w:vAlign w:val="center"/>
          </w:tcPr>
          <w:p w14:paraId="11AFEEAE">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908" w:type="dxa"/>
            <w:tcBorders>
              <w:top w:val="nil"/>
              <w:left w:val="nil"/>
              <w:bottom w:val="single" w:color="000000" w:sz="4" w:space="0"/>
              <w:right w:val="single" w:color="000000" w:sz="4" w:space="0"/>
            </w:tcBorders>
            <w:shd w:val="clear" w:color="auto" w:fill="auto"/>
            <w:vAlign w:val="center"/>
          </w:tcPr>
          <w:p w14:paraId="0C51FD50">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08" w:type="dxa"/>
            <w:tcBorders>
              <w:top w:val="nil"/>
              <w:left w:val="nil"/>
              <w:bottom w:val="single" w:color="000000" w:sz="4" w:space="0"/>
              <w:right w:val="single" w:color="000000" w:sz="4" w:space="0"/>
            </w:tcBorders>
            <w:shd w:val="clear" w:color="auto" w:fill="auto"/>
            <w:vAlign w:val="center"/>
          </w:tcPr>
          <w:p w14:paraId="3E47BC76">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02" w:type="dxa"/>
            <w:tcBorders>
              <w:top w:val="nil"/>
              <w:left w:val="nil"/>
              <w:bottom w:val="single" w:color="000000" w:sz="4" w:space="0"/>
              <w:right w:val="single" w:color="000000" w:sz="4" w:space="0"/>
            </w:tcBorders>
            <w:shd w:val="clear" w:color="auto" w:fill="auto"/>
            <w:vAlign w:val="center"/>
          </w:tcPr>
          <w:p w14:paraId="1A4D0894">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4DD39921">
        <w:tblPrEx>
          <w:tblCellMar>
            <w:top w:w="0" w:type="dxa"/>
            <w:left w:w="108" w:type="dxa"/>
            <w:bottom w:w="0" w:type="dxa"/>
            <w:right w:w="108" w:type="dxa"/>
          </w:tblCellMar>
        </w:tblPrEx>
        <w:trPr>
          <w:trHeight w:val="413" w:hRule="atLeast"/>
        </w:trPr>
        <w:tc>
          <w:tcPr>
            <w:tcW w:w="687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B4C9E1A">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908" w:type="dxa"/>
            <w:tcBorders>
              <w:top w:val="nil"/>
              <w:left w:val="nil"/>
              <w:bottom w:val="single" w:color="000000" w:sz="4" w:space="0"/>
              <w:right w:val="single" w:color="000000" w:sz="4" w:space="0"/>
            </w:tcBorders>
            <w:shd w:val="clear" w:color="auto" w:fill="auto"/>
            <w:vAlign w:val="center"/>
          </w:tcPr>
          <w:p w14:paraId="29DD5582">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908" w:type="dxa"/>
            <w:tcBorders>
              <w:top w:val="nil"/>
              <w:left w:val="nil"/>
              <w:bottom w:val="single" w:color="000000" w:sz="4" w:space="0"/>
              <w:right w:val="single" w:color="000000" w:sz="4" w:space="0"/>
            </w:tcBorders>
            <w:shd w:val="clear" w:color="auto" w:fill="auto"/>
            <w:vAlign w:val="center"/>
          </w:tcPr>
          <w:p w14:paraId="5F25FE43">
            <w:pPr>
              <w:widowControl/>
              <w:jc w:val="right"/>
              <w:rPr>
                <w:rFonts w:ascii="宋体" w:hAnsi="宋体" w:cs="宋体"/>
                <w:color w:val="000000"/>
                <w:kern w:val="0"/>
                <w:sz w:val="18"/>
                <w:szCs w:val="18"/>
              </w:rPr>
            </w:pPr>
            <w:r>
              <w:rPr>
                <w:rFonts w:hint="eastAsia" w:ascii="宋体" w:hAnsi="宋体" w:cs="宋体"/>
                <w:color w:val="000000"/>
                <w:kern w:val="0"/>
                <w:sz w:val="18"/>
                <w:szCs w:val="18"/>
              </w:rPr>
              <w:t>100</w:t>
            </w:r>
          </w:p>
        </w:tc>
        <w:tc>
          <w:tcPr>
            <w:tcW w:w="908" w:type="dxa"/>
            <w:gridSpan w:val="2"/>
            <w:tcBorders>
              <w:top w:val="nil"/>
              <w:left w:val="nil"/>
              <w:bottom w:val="single" w:color="000000" w:sz="4" w:space="0"/>
              <w:right w:val="single" w:color="000000" w:sz="4" w:space="0"/>
            </w:tcBorders>
            <w:shd w:val="clear" w:color="auto" w:fill="auto"/>
            <w:vAlign w:val="center"/>
          </w:tcPr>
          <w:p w14:paraId="7CBAD7C7">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14:paraId="4EFA2E45">
        <w:tblPrEx>
          <w:tblCellMar>
            <w:top w:w="0" w:type="dxa"/>
            <w:left w:w="108" w:type="dxa"/>
            <w:bottom w:w="0" w:type="dxa"/>
            <w:right w:w="108" w:type="dxa"/>
          </w:tblCellMar>
        </w:tblPrEx>
        <w:trPr>
          <w:trHeight w:val="413" w:hRule="atLeast"/>
        </w:trPr>
        <w:tc>
          <w:tcPr>
            <w:tcW w:w="816" w:type="dxa"/>
            <w:tcBorders>
              <w:top w:val="nil"/>
              <w:left w:val="single" w:color="000000" w:sz="4" w:space="0"/>
              <w:bottom w:val="single" w:color="000000" w:sz="4" w:space="0"/>
              <w:right w:val="single" w:color="000000" w:sz="4" w:space="0"/>
            </w:tcBorders>
            <w:shd w:val="clear" w:color="auto" w:fill="auto"/>
            <w:vAlign w:val="center"/>
          </w:tcPr>
          <w:p w14:paraId="56392832">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8786" w:type="dxa"/>
            <w:gridSpan w:val="11"/>
            <w:tcBorders>
              <w:top w:val="single" w:color="000000" w:sz="4" w:space="0"/>
              <w:left w:val="nil"/>
              <w:bottom w:val="single" w:color="000000" w:sz="4" w:space="0"/>
              <w:right w:val="single" w:color="000000" w:sz="4" w:space="0"/>
            </w:tcBorders>
            <w:shd w:val="clear" w:color="auto" w:fill="auto"/>
            <w:vAlign w:val="center"/>
          </w:tcPr>
          <w:p w14:paraId="1290C980">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项目自评分100分，按时、足额支付专家组劳务费。</w:t>
            </w:r>
          </w:p>
        </w:tc>
      </w:tr>
      <w:tr w14:paraId="0A4495A8">
        <w:tblPrEx>
          <w:tblCellMar>
            <w:top w:w="0" w:type="dxa"/>
            <w:left w:w="108" w:type="dxa"/>
            <w:bottom w:w="0" w:type="dxa"/>
            <w:right w:w="108" w:type="dxa"/>
          </w:tblCellMar>
        </w:tblPrEx>
        <w:trPr>
          <w:trHeight w:val="413" w:hRule="atLeast"/>
        </w:trPr>
        <w:tc>
          <w:tcPr>
            <w:tcW w:w="816" w:type="dxa"/>
            <w:tcBorders>
              <w:top w:val="nil"/>
              <w:left w:val="single" w:color="000000" w:sz="4" w:space="0"/>
              <w:bottom w:val="single" w:color="000000" w:sz="4" w:space="0"/>
              <w:right w:val="single" w:color="000000" w:sz="4" w:space="0"/>
            </w:tcBorders>
            <w:shd w:val="clear" w:color="auto" w:fill="auto"/>
            <w:vAlign w:val="center"/>
          </w:tcPr>
          <w:p w14:paraId="0C2DCE2E">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8786" w:type="dxa"/>
            <w:gridSpan w:val="11"/>
            <w:tcBorders>
              <w:top w:val="single" w:color="000000" w:sz="4" w:space="0"/>
              <w:left w:val="nil"/>
              <w:bottom w:val="single" w:color="000000" w:sz="4" w:space="0"/>
              <w:right w:val="single" w:color="000000" w:sz="4" w:space="0"/>
            </w:tcBorders>
            <w:shd w:val="clear" w:color="auto" w:fill="auto"/>
            <w:vAlign w:val="center"/>
          </w:tcPr>
          <w:p w14:paraId="146CC74C">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71A8B561">
        <w:tblPrEx>
          <w:tblCellMar>
            <w:top w:w="0" w:type="dxa"/>
            <w:left w:w="108" w:type="dxa"/>
            <w:bottom w:w="0" w:type="dxa"/>
            <w:right w:w="108" w:type="dxa"/>
          </w:tblCellMar>
        </w:tblPrEx>
        <w:trPr>
          <w:trHeight w:val="413" w:hRule="atLeast"/>
        </w:trPr>
        <w:tc>
          <w:tcPr>
            <w:tcW w:w="816" w:type="dxa"/>
            <w:tcBorders>
              <w:top w:val="nil"/>
              <w:left w:val="single" w:color="000000" w:sz="4" w:space="0"/>
              <w:bottom w:val="single" w:color="000000" w:sz="4" w:space="0"/>
              <w:right w:val="single" w:color="000000" w:sz="4" w:space="0"/>
            </w:tcBorders>
            <w:shd w:val="clear" w:color="auto" w:fill="auto"/>
            <w:vAlign w:val="center"/>
          </w:tcPr>
          <w:p w14:paraId="3CC3FDA3">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8786" w:type="dxa"/>
            <w:gridSpan w:val="11"/>
            <w:tcBorders>
              <w:top w:val="single" w:color="000000" w:sz="4" w:space="0"/>
              <w:left w:val="nil"/>
              <w:bottom w:val="single" w:color="000000" w:sz="4" w:space="0"/>
              <w:right w:val="single" w:color="000000" w:sz="4" w:space="0"/>
            </w:tcBorders>
            <w:shd w:val="clear" w:color="auto" w:fill="auto"/>
            <w:vAlign w:val="center"/>
          </w:tcPr>
          <w:p w14:paraId="00D83101">
            <w:pPr>
              <w:widowControl/>
              <w:jc w:val="left"/>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2127506B">
        <w:tblPrEx>
          <w:tblCellMar>
            <w:top w:w="0" w:type="dxa"/>
            <w:left w:w="108" w:type="dxa"/>
            <w:bottom w:w="0" w:type="dxa"/>
            <w:right w:w="108" w:type="dxa"/>
          </w:tblCellMar>
        </w:tblPrEx>
        <w:trPr>
          <w:trHeight w:val="413" w:hRule="atLeast"/>
        </w:trPr>
        <w:tc>
          <w:tcPr>
            <w:tcW w:w="453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5F0F05">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项目</w:t>
            </w:r>
            <w:r>
              <w:rPr>
                <w:rFonts w:hint="eastAsia" w:ascii="微软雅黑" w:hAnsi="微软雅黑" w:eastAsia="微软雅黑" w:cs="微软雅黑"/>
                <w:color w:val="000000"/>
                <w:kern w:val="0"/>
                <w:sz w:val="18"/>
                <w:szCs w:val="18"/>
              </w:rPr>
              <w:t>负</w:t>
            </w:r>
            <w:r>
              <w:rPr>
                <w:rFonts w:hint="eastAsia" w:ascii="___WRD_EMBED_SUB_17" w:hAnsi="___WRD_EMBED_SUB_17" w:eastAsia="___WRD_EMBED_SUB_17" w:cs="___WRD_EMBED_SUB_17"/>
                <w:color w:val="000000"/>
                <w:kern w:val="0"/>
                <w:sz w:val="18"/>
                <w:szCs w:val="18"/>
              </w:rPr>
              <w:t>责</w:t>
            </w:r>
            <w:r>
              <w:rPr>
                <w:rFonts w:hint="eastAsia" w:ascii="微软雅黑" w:hAnsi="微软雅黑" w:eastAsia="微软雅黑" w:cs="微软雅黑"/>
                <w:color w:val="000000"/>
                <w:kern w:val="0"/>
                <w:sz w:val="18"/>
                <w:szCs w:val="18"/>
              </w:rPr>
              <w:t>人：毛佳龙</w:t>
            </w:r>
          </w:p>
        </w:tc>
        <w:tc>
          <w:tcPr>
            <w:tcW w:w="5065" w:type="dxa"/>
            <w:gridSpan w:val="7"/>
            <w:tcBorders>
              <w:top w:val="single" w:color="000000" w:sz="4" w:space="0"/>
              <w:left w:val="nil"/>
              <w:bottom w:val="single" w:color="000000" w:sz="4" w:space="0"/>
              <w:right w:val="single" w:color="000000" w:sz="4" w:space="0"/>
            </w:tcBorders>
            <w:shd w:val="clear" w:color="auto" w:fill="auto"/>
            <w:vAlign w:val="center"/>
          </w:tcPr>
          <w:p w14:paraId="5E115F31">
            <w:pPr>
              <w:widowControl/>
              <w:jc w:val="left"/>
              <w:rPr>
                <w:rFonts w:ascii="黑体" w:hAnsi="黑体" w:eastAsia="黑体" w:cs="宋体"/>
                <w:color w:val="000000"/>
                <w:kern w:val="0"/>
                <w:sz w:val="18"/>
                <w:szCs w:val="18"/>
              </w:rPr>
            </w:pPr>
            <w:r>
              <w:rPr>
                <w:rFonts w:hint="eastAsia" w:ascii="黑体" w:hAnsi="黑体" w:eastAsia="黑体" w:cs="宋体"/>
                <w:color w:val="000000"/>
                <w:kern w:val="0"/>
                <w:sz w:val="18"/>
                <w:szCs w:val="18"/>
              </w:rPr>
              <w:t>财</w:t>
            </w:r>
            <w:r>
              <w:rPr>
                <w:rFonts w:hint="eastAsia" w:ascii="微软雅黑" w:hAnsi="微软雅黑" w:eastAsia="微软雅黑" w:cs="微软雅黑"/>
                <w:color w:val="000000"/>
                <w:kern w:val="0"/>
                <w:sz w:val="18"/>
                <w:szCs w:val="18"/>
              </w:rPr>
              <w:t>务负</w:t>
            </w:r>
            <w:r>
              <w:rPr>
                <w:rFonts w:hint="eastAsia" w:ascii="___WRD_EMBED_SUB_17" w:hAnsi="___WRD_EMBED_SUB_17" w:eastAsia="___WRD_EMBED_SUB_17" w:cs="___WRD_EMBED_SUB_17"/>
                <w:color w:val="000000"/>
                <w:kern w:val="0"/>
                <w:sz w:val="18"/>
                <w:szCs w:val="18"/>
              </w:rPr>
              <w:t>责</w:t>
            </w:r>
            <w:r>
              <w:rPr>
                <w:rFonts w:hint="eastAsia" w:ascii="微软雅黑" w:hAnsi="微软雅黑" w:eastAsia="微软雅黑" w:cs="微软雅黑"/>
                <w:color w:val="000000"/>
                <w:kern w:val="0"/>
                <w:sz w:val="18"/>
                <w:szCs w:val="18"/>
              </w:rPr>
              <w:t>人：漆明强</w:t>
            </w:r>
          </w:p>
        </w:tc>
      </w:tr>
    </w:tbl>
    <w:p w14:paraId="2A413510">
      <w:pPr>
        <w:pStyle w:val="2"/>
        <w:spacing w:before="93"/>
        <w:rPr>
          <w:rFonts w:ascii="Cambria" w:hAnsi="Cambria" w:cs="仿宋"/>
          <w:b/>
          <w:bCs/>
          <w:sz w:val="32"/>
          <w:szCs w:val="32"/>
        </w:rPr>
      </w:pPr>
    </w:p>
    <w:p w14:paraId="23A74967">
      <w:pPr>
        <w:pStyle w:val="2"/>
        <w:spacing w:before="93"/>
        <w:rPr>
          <w:rFonts w:ascii="Cambria" w:hAnsi="Cambria" w:cs="仿宋"/>
          <w:b/>
          <w:bCs/>
          <w:sz w:val="32"/>
          <w:szCs w:val="32"/>
        </w:rPr>
      </w:pPr>
      <w:r>
        <w:rPr>
          <w:rFonts w:hint="eastAsia" w:ascii="Cambria" w:hAnsi="Cambria" w:cs="仿宋"/>
          <w:b/>
          <w:bCs/>
          <w:sz w:val="32"/>
          <w:szCs w:val="32"/>
        </w:rPr>
        <w:t>附件</w:t>
      </w:r>
      <w:r>
        <w:rPr>
          <w:rFonts w:ascii="Cambria" w:hAnsi="Cambria" w:cs="仿宋"/>
          <w:b/>
          <w:bCs/>
          <w:sz w:val="32"/>
          <w:szCs w:val="32"/>
        </w:rPr>
        <w:t>3-10</w:t>
      </w:r>
    </w:p>
    <w:tbl>
      <w:tblPr>
        <w:tblStyle w:val="14"/>
        <w:tblW w:w="9586" w:type="dxa"/>
        <w:tblInd w:w="113" w:type="dxa"/>
        <w:tblLayout w:type="autofit"/>
        <w:tblCellMar>
          <w:top w:w="0" w:type="dxa"/>
          <w:left w:w="108" w:type="dxa"/>
          <w:bottom w:w="0" w:type="dxa"/>
          <w:right w:w="108" w:type="dxa"/>
        </w:tblCellMar>
      </w:tblPr>
      <w:tblGrid>
        <w:gridCol w:w="818"/>
        <w:gridCol w:w="818"/>
        <w:gridCol w:w="1125"/>
        <w:gridCol w:w="1125"/>
        <w:gridCol w:w="643"/>
        <w:gridCol w:w="640"/>
        <w:gridCol w:w="642"/>
        <w:gridCol w:w="1055"/>
        <w:gridCol w:w="906"/>
        <w:gridCol w:w="901"/>
        <w:gridCol w:w="901"/>
        <w:gridCol w:w="12"/>
      </w:tblGrid>
      <w:tr w14:paraId="5C315070">
        <w:tblPrEx>
          <w:tblCellMar>
            <w:top w:w="0" w:type="dxa"/>
            <w:left w:w="108" w:type="dxa"/>
            <w:bottom w:w="0" w:type="dxa"/>
            <w:right w:w="108" w:type="dxa"/>
          </w:tblCellMar>
        </w:tblPrEx>
        <w:trPr>
          <w:trHeight w:val="394" w:hRule="atLeast"/>
        </w:trPr>
        <w:tc>
          <w:tcPr>
            <w:tcW w:w="958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88A0A70">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部门预算项目支出绩效自评表（2022年度）</w:t>
            </w:r>
          </w:p>
        </w:tc>
      </w:tr>
      <w:tr w14:paraId="1CE73113">
        <w:tblPrEx>
          <w:tblCellMar>
            <w:top w:w="0" w:type="dxa"/>
            <w:left w:w="108" w:type="dxa"/>
            <w:bottom w:w="0" w:type="dxa"/>
            <w:right w:w="108" w:type="dxa"/>
          </w:tblCellMar>
        </w:tblPrEx>
        <w:trPr>
          <w:trHeight w:val="485" w:hRule="atLeast"/>
        </w:trPr>
        <w:tc>
          <w:tcPr>
            <w:tcW w:w="16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368425">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项目名称</w:t>
            </w:r>
          </w:p>
        </w:tc>
        <w:tc>
          <w:tcPr>
            <w:tcW w:w="7949" w:type="dxa"/>
            <w:gridSpan w:val="10"/>
            <w:tcBorders>
              <w:top w:val="single" w:color="000000" w:sz="4" w:space="0"/>
              <w:left w:val="nil"/>
              <w:bottom w:val="single" w:color="000000" w:sz="4" w:space="0"/>
              <w:right w:val="single" w:color="000000" w:sz="4" w:space="0"/>
            </w:tcBorders>
            <w:shd w:val="clear" w:color="auto" w:fill="auto"/>
            <w:vAlign w:val="center"/>
          </w:tcPr>
          <w:p w14:paraId="705D4A4A">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51118122T000006379170-地震监测台网运行及防震减灾教育宣传</w:t>
            </w:r>
          </w:p>
        </w:tc>
      </w:tr>
      <w:tr w14:paraId="26176732">
        <w:tblPrEx>
          <w:tblCellMar>
            <w:top w:w="0" w:type="dxa"/>
            <w:left w:w="108" w:type="dxa"/>
            <w:bottom w:w="0" w:type="dxa"/>
            <w:right w:w="108" w:type="dxa"/>
          </w:tblCellMar>
        </w:tblPrEx>
        <w:trPr>
          <w:trHeight w:val="895" w:hRule="atLeast"/>
        </w:trPr>
        <w:tc>
          <w:tcPr>
            <w:tcW w:w="16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13D483">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主管部门</w:t>
            </w:r>
          </w:p>
        </w:tc>
        <w:tc>
          <w:tcPr>
            <w:tcW w:w="4177" w:type="dxa"/>
            <w:gridSpan w:val="5"/>
            <w:tcBorders>
              <w:top w:val="single" w:color="000000" w:sz="4" w:space="0"/>
              <w:left w:val="nil"/>
              <w:bottom w:val="single" w:color="000000" w:sz="4" w:space="0"/>
              <w:right w:val="single" w:color="000000" w:sz="4" w:space="0"/>
            </w:tcBorders>
            <w:shd w:val="clear" w:color="auto" w:fill="auto"/>
            <w:vAlign w:val="center"/>
          </w:tcPr>
          <w:p w14:paraId="12863011">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应急管理局</w:t>
            </w:r>
          </w:p>
        </w:tc>
        <w:tc>
          <w:tcPr>
            <w:tcW w:w="1053" w:type="dxa"/>
            <w:tcBorders>
              <w:top w:val="nil"/>
              <w:left w:val="nil"/>
              <w:bottom w:val="nil"/>
              <w:right w:val="nil"/>
            </w:tcBorders>
            <w:shd w:val="clear" w:color="auto" w:fill="auto"/>
            <w:vAlign w:val="center"/>
          </w:tcPr>
          <w:p w14:paraId="4A882D96">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实施单位 （盖章）</w:t>
            </w:r>
          </w:p>
        </w:tc>
        <w:tc>
          <w:tcPr>
            <w:tcW w:w="27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56C980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峨眉山市防震减灾服务中心</w:t>
            </w:r>
          </w:p>
        </w:tc>
      </w:tr>
      <w:tr w14:paraId="05CD16E0">
        <w:tblPrEx>
          <w:tblCellMar>
            <w:top w:w="0" w:type="dxa"/>
            <w:left w:w="108" w:type="dxa"/>
            <w:bottom w:w="0" w:type="dxa"/>
            <w:right w:w="108" w:type="dxa"/>
          </w:tblCellMar>
        </w:tblPrEx>
        <w:trPr>
          <w:trHeight w:val="501" w:hRule="atLeast"/>
        </w:trPr>
        <w:tc>
          <w:tcPr>
            <w:tcW w:w="818" w:type="dxa"/>
            <w:vMerge w:val="restart"/>
            <w:tcBorders>
              <w:top w:val="nil"/>
              <w:left w:val="single" w:color="000000" w:sz="4" w:space="0"/>
              <w:bottom w:val="single" w:color="000000" w:sz="4" w:space="0"/>
              <w:right w:val="single" w:color="000000" w:sz="4" w:space="0"/>
            </w:tcBorders>
            <w:shd w:val="clear" w:color="auto" w:fill="auto"/>
            <w:vAlign w:val="center"/>
          </w:tcPr>
          <w:p w14:paraId="36E3C573">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项目基本情况</w:t>
            </w:r>
          </w:p>
        </w:tc>
        <w:tc>
          <w:tcPr>
            <w:tcW w:w="818" w:type="dxa"/>
            <w:vMerge w:val="restart"/>
            <w:tcBorders>
              <w:top w:val="nil"/>
              <w:left w:val="single" w:color="000000" w:sz="4" w:space="0"/>
              <w:bottom w:val="single" w:color="000000" w:sz="4" w:space="0"/>
              <w:right w:val="single" w:color="000000" w:sz="4" w:space="0"/>
            </w:tcBorders>
            <w:shd w:val="clear" w:color="auto" w:fill="auto"/>
            <w:vAlign w:val="center"/>
          </w:tcPr>
          <w:p w14:paraId="246FEAB6">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4177" w:type="dxa"/>
            <w:gridSpan w:val="5"/>
            <w:tcBorders>
              <w:top w:val="single" w:color="000000" w:sz="4" w:space="0"/>
              <w:left w:val="nil"/>
              <w:bottom w:val="single" w:color="000000" w:sz="4" w:space="0"/>
              <w:right w:val="single" w:color="000000" w:sz="4" w:space="0"/>
            </w:tcBorders>
            <w:shd w:val="clear" w:color="auto" w:fill="auto"/>
            <w:vAlign w:val="center"/>
          </w:tcPr>
          <w:p w14:paraId="5D32CDE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项目年度目标</w:t>
            </w:r>
          </w:p>
        </w:tc>
        <w:tc>
          <w:tcPr>
            <w:tcW w:w="3772" w:type="dxa"/>
            <w:gridSpan w:val="5"/>
            <w:tcBorders>
              <w:top w:val="single" w:color="000000" w:sz="4" w:space="0"/>
              <w:left w:val="nil"/>
              <w:bottom w:val="single" w:color="000000" w:sz="4" w:space="0"/>
              <w:right w:val="single" w:color="000000" w:sz="4" w:space="0"/>
            </w:tcBorders>
            <w:shd w:val="clear" w:color="auto" w:fill="auto"/>
            <w:vAlign w:val="center"/>
          </w:tcPr>
          <w:p w14:paraId="13C8326E">
            <w:pPr>
              <w:widowControl/>
              <w:jc w:val="center"/>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年度目标完成情况</w:t>
            </w:r>
          </w:p>
        </w:tc>
      </w:tr>
      <w:tr w14:paraId="106A1D41">
        <w:tblPrEx>
          <w:tblCellMar>
            <w:top w:w="0" w:type="dxa"/>
            <w:left w:w="108" w:type="dxa"/>
            <w:bottom w:w="0" w:type="dxa"/>
            <w:right w:w="108" w:type="dxa"/>
          </w:tblCellMar>
        </w:tblPrEx>
        <w:trPr>
          <w:trHeight w:val="501" w:hRule="atLeast"/>
        </w:trPr>
        <w:tc>
          <w:tcPr>
            <w:tcW w:w="818" w:type="dxa"/>
            <w:vMerge w:val="continue"/>
            <w:tcBorders>
              <w:top w:val="nil"/>
              <w:left w:val="single" w:color="000000" w:sz="4" w:space="0"/>
              <w:bottom w:val="single" w:color="000000" w:sz="4" w:space="0"/>
              <w:right w:val="single" w:color="000000" w:sz="4" w:space="0"/>
            </w:tcBorders>
            <w:vAlign w:val="center"/>
          </w:tcPr>
          <w:p w14:paraId="26B07D27">
            <w:pPr>
              <w:widowControl/>
              <w:jc w:val="left"/>
              <w:rPr>
                <w:rFonts w:ascii="宋体" w:hAnsi="宋体" w:cs="宋体"/>
                <w:color w:val="000000"/>
                <w:kern w:val="0"/>
                <w:sz w:val="18"/>
                <w:szCs w:val="18"/>
              </w:rPr>
            </w:pPr>
          </w:p>
        </w:tc>
        <w:tc>
          <w:tcPr>
            <w:tcW w:w="818" w:type="dxa"/>
            <w:vMerge w:val="continue"/>
            <w:tcBorders>
              <w:top w:val="nil"/>
              <w:left w:val="single" w:color="000000" w:sz="4" w:space="0"/>
              <w:bottom w:val="single" w:color="000000" w:sz="4" w:space="0"/>
              <w:right w:val="single" w:color="000000" w:sz="4" w:space="0"/>
            </w:tcBorders>
            <w:vAlign w:val="center"/>
          </w:tcPr>
          <w:p w14:paraId="3DA34B12">
            <w:pPr>
              <w:widowControl/>
              <w:jc w:val="left"/>
              <w:rPr>
                <w:rFonts w:ascii="宋体" w:hAnsi="宋体" w:cs="宋体"/>
                <w:color w:val="000000"/>
                <w:kern w:val="0"/>
                <w:sz w:val="18"/>
                <w:szCs w:val="18"/>
              </w:rPr>
            </w:pPr>
          </w:p>
        </w:tc>
        <w:tc>
          <w:tcPr>
            <w:tcW w:w="4177" w:type="dxa"/>
            <w:gridSpan w:val="5"/>
            <w:tcBorders>
              <w:top w:val="single" w:color="000000" w:sz="4" w:space="0"/>
              <w:left w:val="nil"/>
              <w:bottom w:val="single" w:color="000000" w:sz="4" w:space="0"/>
              <w:right w:val="single" w:color="000000" w:sz="4" w:space="0"/>
            </w:tcBorders>
            <w:shd w:val="clear" w:color="auto" w:fill="auto"/>
            <w:vAlign w:val="center"/>
          </w:tcPr>
          <w:p w14:paraId="16A48166">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保障地震监测预警台站（点）正常运行，做好防震减灾各项宣传</w:t>
            </w:r>
          </w:p>
        </w:tc>
        <w:tc>
          <w:tcPr>
            <w:tcW w:w="3772" w:type="dxa"/>
            <w:gridSpan w:val="5"/>
            <w:tcBorders>
              <w:top w:val="single" w:color="000000" w:sz="4" w:space="0"/>
              <w:left w:val="nil"/>
              <w:bottom w:val="single" w:color="000000" w:sz="4" w:space="0"/>
              <w:right w:val="single" w:color="000000" w:sz="4" w:space="0"/>
            </w:tcBorders>
            <w:shd w:val="clear" w:color="auto" w:fill="auto"/>
            <w:vAlign w:val="center"/>
          </w:tcPr>
          <w:p w14:paraId="002833BF">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完成地震监测预警台站（点）正常运行，做好防震减灾各项宣传</w:t>
            </w:r>
          </w:p>
        </w:tc>
      </w:tr>
      <w:tr w14:paraId="57B2B170">
        <w:tblPrEx>
          <w:tblCellMar>
            <w:top w:w="0" w:type="dxa"/>
            <w:left w:w="108" w:type="dxa"/>
            <w:bottom w:w="0" w:type="dxa"/>
            <w:right w:w="108" w:type="dxa"/>
          </w:tblCellMar>
        </w:tblPrEx>
        <w:trPr>
          <w:trHeight w:val="1139" w:hRule="atLeast"/>
        </w:trPr>
        <w:tc>
          <w:tcPr>
            <w:tcW w:w="818" w:type="dxa"/>
            <w:vMerge w:val="continue"/>
            <w:tcBorders>
              <w:top w:val="nil"/>
              <w:left w:val="single" w:color="000000" w:sz="4" w:space="0"/>
              <w:bottom w:val="single" w:color="000000" w:sz="4" w:space="0"/>
              <w:right w:val="single" w:color="000000" w:sz="4" w:space="0"/>
            </w:tcBorders>
            <w:vAlign w:val="center"/>
          </w:tcPr>
          <w:p w14:paraId="3644F812">
            <w:pPr>
              <w:widowControl/>
              <w:jc w:val="left"/>
              <w:rPr>
                <w:rFonts w:ascii="宋体" w:hAnsi="宋体" w:cs="宋体"/>
                <w:color w:val="000000"/>
                <w:kern w:val="0"/>
                <w:sz w:val="18"/>
                <w:szCs w:val="18"/>
              </w:rPr>
            </w:pPr>
          </w:p>
        </w:tc>
        <w:tc>
          <w:tcPr>
            <w:tcW w:w="818" w:type="dxa"/>
            <w:tcBorders>
              <w:top w:val="nil"/>
              <w:left w:val="nil"/>
              <w:bottom w:val="single" w:color="000000" w:sz="4" w:space="0"/>
              <w:right w:val="single" w:color="000000" w:sz="4" w:space="0"/>
            </w:tcBorders>
            <w:shd w:val="clear" w:color="auto" w:fill="auto"/>
            <w:vAlign w:val="center"/>
          </w:tcPr>
          <w:p w14:paraId="36761CC0">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949" w:type="dxa"/>
            <w:gridSpan w:val="10"/>
            <w:tcBorders>
              <w:top w:val="single" w:color="000000" w:sz="4" w:space="0"/>
              <w:left w:val="nil"/>
              <w:bottom w:val="single" w:color="000000" w:sz="4" w:space="0"/>
              <w:right w:val="single" w:color="000000" w:sz="4" w:space="0"/>
            </w:tcBorders>
            <w:shd w:val="clear" w:color="auto" w:fill="auto"/>
            <w:vAlign w:val="center"/>
          </w:tcPr>
          <w:p w14:paraId="2218E0C3">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保障地震监测预警台站（点）正常运行，做好防震减灾各项宣传</w:t>
            </w:r>
          </w:p>
        </w:tc>
      </w:tr>
      <w:tr w14:paraId="366446E6">
        <w:tblPrEx>
          <w:tblCellMar>
            <w:top w:w="0" w:type="dxa"/>
            <w:left w:w="108" w:type="dxa"/>
            <w:bottom w:w="0" w:type="dxa"/>
            <w:right w:w="108" w:type="dxa"/>
          </w:tblCellMar>
        </w:tblPrEx>
        <w:trPr>
          <w:gridAfter w:val="1"/>
          <w:wAfter w:w="11" w:type="dxa"/>
          <w:trHeight w:val="910" w:hRule="atLeast"/>
        </w:trPr>
        <w:tc>
          <w:tcPr>
            <w:tcW w:w="818" w:type="dxa"/>
            <w:vMerge w:val="restart"/>
            <w:tcBorders>
              <w:top w:val="nil"/>
              <w:left w:val="single" w:color="000000" w:sz="4" w:space="0"/>
              <w:bottom w:val="single" w:color="000000" w:sz="4" w:space="0"/>
              <w:right w:val="single" w:color="000000" w:sz="4" w:space="0"/>
            </w:tcBorders>
            <w:shd w:val="clear" w:color="auto" w:fill="auto"/>
            <w:vAlign w:val="center"/>
          </w:tcPr>
          <w:p w14:paraId="577ABB5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818" w:type="dxa"/>
            <w:tcBorders>
              <w:top w:val="nil"/>
              <w:left w:val="nil"/>
              <w:bottom w:val="single" w:color="000000" w:sz="4" w:space="0"/>
              <w:right w:val="single" w:color="000000" w:sz="4" w:space="0"/>
            </w:tcBorders>
            <w:shd w:val="clear" w:color="auto" w:fill="auto"/>
            <w:vAlign w:val="center"/>
          </w:tcPr>
          <w:p w14:paraId="70FA3A9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126" w:type="dxa"/>
            <w:tcBorders>
              <w:top w:val="nil"/>
              <w:left w:val="nil"/>
              <w:bottom w:val="single" w:color="000000" w:sz="4" w:space="0"/>
              <w:right w:val="single" w:color="000000" w:sz="4" w:space="0"/>
            </w:tcBorders>
            <w:shd w:val="clear" w:color="auto" w:fill="auto"/>
            <w:vAlign w:val="center"/>
          </w:tcPr>
          <w:p w14:paraId="5132B90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年初预算</w:t>
            </w:r>
          </w:p>
        </w:tc>
        <w:tc>
          <w:tcPr>
            <w:tcW w:w="1126" w:type="dxa"/>
            <w:tcBorders>
              <w:top w:val="nil"/>
              <w:left w:val="nil"/>
              <w:bottom w:val="single" w:color="000000" w:sz="4" w:space="0"/>
              <w:right w:val="single" w:color="000000" w:sz="4" w:space="0"/>
            </w:tcBorders>
            <w:shd w:val="clear" w:color="auto" w:fill="auto"/>
            <w:vAlign w:val="center"/>
          </w:tcPr>
          <w:p w14:paraId="4928052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调整后预算数</w:t>
            </w:r>
          </w:p>
        </w:tc>
        <w:tc>
          <w:tcPr>
            <w:tcW w:w="1924" w:type="dxa"/>
            <w:gridSpan w:val="3"/>
            <w:tcBorders>
              <w:top w:val="single" w:color="000000" w:sz="4" w:space="0"/>
              <w:left w:val="nil"/>
              <w:bottom w:val="single" w:color="000000" w:sz="4" w:space="0"/>
              <w:right w:val="single" w:color="000000" w:sz="4" w:space="0"/>
            </w:tcBorders>
            <w:shd w:val="clear" w:color="auto" w:fill="auto"/>
            <w:vAlign w:val="center"/>
          </w:tcPr>
          <w:p w14:paraId="43CE40E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预算执行数</w:t>
            </w:r>
          </w:p>
        </w:tc>
        <w:tc>
          <w:tcPr>
            <w:tcW w:w="1053" w:type="dxa"/>
            <w:tcBorders>
              <w:top w:val="nil"/>
              <w:left w:val="nil"/>
              <w:bottom w:val="single" w:color="000000" w:sz="4" w:space="0"/>
              <w:right w:val="single" w:color="000000" w:sz="4" w:space="0"/>
            </w:tcBorders>
            <w:shd w:val="clear" w:color="auto" w:fill="auto"/>
            <w:vAlign w:val="center"/>
          </w:tcPr>
          <w:p w14:paraId="42F48CF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预算执行率</w:t>
            </w:r>
          </w:p>
        </w:tc>
        <w:tc>
          <w:tcPr>
            <w:tcW w:w="906" w:type="dxa"/>
            <w:tcBorders>
              <w:top w:val="nil"/>
              <w:left w:val="nil"/>
              <w:bottom w:val="single" w:color="000000" w:sz="4" w:space="0"/>
              <w:right w:val="single" w:color="000000" w:sz="4" w:space="0"/>
            </w:tcBorders>
            <w:shd w:val="clear" w:color="auto" w:fill="auto"/>
            <w:vAlign w:val="center"/>
          </w:tcPr>
          <w:p w14:paraId="7467C1A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权重</w:t>
            </w:r>
          </w:p>
        </w:tc>
        <w:tc>
          <w:tcPr>
            <w:tcW w:w="902" w:type="dxa"/>
            <w:tcBorders>
              <w:top w:val="nil"/>
              <w:left w:val="nil"/>
              <w:bottom w:val="single" w:color="000000" w:sz="4" w:space="0"/>
              <w:right w:val="single" w:color="000000" w:sz="4" w:space="0"/>
            </w:tcBorders>
            <w:shd w:val="clear" w:color="auto" w:fill="auto"/>
            <w:vAlign w:val="center"/>
          </w:tcPr>
          <w:p w14:paraId="58AF6B2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得分</w:t>
            </w:r>
          </w:p>
        </w:tc>
        <w:tc>
          <w:tcPr>
            <w:tcW w:w="902" w:type="dxa"/>
            <w:tcBorders>
              <w:top w:val="nil"/>
              <w:left w:val="nil"/>
              <w:bottom w:val="single" w:color="000000" w:sz="4" w:space="0"/>
              <w:right w:val="single" w:color="000000" w:sz="4" w:space="0"/>
            </w:tcBorders>
            <w:shd w:val="clear" w:color="auto" w:fill="auto"/>
            <w:vAlign w:val="center"/>
          </w:tcPr>
          <w:p w14:paraId="5C8B891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原因</w:t>
            </w:r>
          </w:p>
        </w:tc>
      </w:tr>
      <w:tr w14:paraId="39B68D3D">
        <w:tblPrEx>
          <w:tblCellMar>
            <w:top w:w="0" w:type="dxa"/>
            <w:left w:w="108" w:type="dxa"/>
            <w:bottom w:w="0" w:type="dxa"/>
            <w:right w:w="108" w:type="dxa"/>
          </w:tblCellMar>
        </w:tblPrEx>
        <w:trPr>
          <w:gridAfter w:val="1"/>
          <w:wAfter w:w="11" w:type="dxa"/>
          <w:trHeight w:val="546" w:hRule="atLeast"/>
        </w:trPr>
        <w:tc>
          <w:tcPr>
            <w:tcW w:w="818" w:type="dxa"/>
            <w:vMerge w:val="continue"/>
            <w:tcBorders>
              <w:top w:val="nil"/>
              <w:left w:val="single" w:color="000000" w:sz="4" w:space="0"/>
              <w:bottom w:val="single" w:color="000000" w:sz="4" w:space="0"/>
              <w:right w:val="single" w:color="000000" w:sz="4" w:space="0"/>
            </w:tcBorders>
            <w:vAlign w:val="center"/>
          </w:tcPr>
          <w:p w14:paraId="74FCA14B">
            <w:pPr>
              <w:widowControl/>
              <w:jc w:val="left"/>
              <w:rPr>
                <w:rFonts w:ascii="宋体" w:hAnsi="宋体" w:cs="宋体"/>
                <w:color w:val="000000"/>
                <w:kern w:val="0"/>
                <w:sz w:val="18"/>
                <w:szCs w:val="18"/>
              </w:rPr>
            </w:pPr>
          </w:p>
        </w:tc>
        <w:tc>
          <w:tcPr>
            <w:tcW w:w="818" w:type="dxa"/>
            <w:tcBorders>
              <w:top w:val="nil"/>
              <w:left w:val="nil"/>
              <w:bottom w:val="single" w:color="000000" w:sz="4" w:space="0"/>
              <w:right w:val="single" w:color="000000" w:sz="4" w:space="0"/>
            </w:tcBorders>
            <w:shd w:val="clear" w:color="auto" w:fill="auto"/>
            <w:vAlign w:val="center"/>
          </w:tcPr>
          <w:p w14:paraId="01FDAA9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总额</w:t>
            </w:r>
          </w:p>
        </w:tc>
        <w:tc>
          <w:tcPr>
            <w:tcW w:w="1126" w:type="dxa"/>
            <w:tcBorders>
              <w:top w:val="nil"/>
              <w:left w:val="nil"/>
              <w:bottom w:val="single" w:color="000000" w:sz="4" w:space="0"/>
              <w:right w:val="single" w:color="000000" w:sz="4" w:space="0"/>
            </w:tcBorders>
            <w:shd w:val="clear" w:color="auto" w:fill="auto"/>
            <w:vAlign w:val="center"/>
          </w:tcPr>
          <w:p w14:paraId="59CFD8E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126" w:type="dxa"/>
            <w:tcBorders>
              <w:top w:val="nil"/>
              <w:left w:val="nil"/>
              <w:bottom w:val="single" w:color="000000" w:sz="4" w:space="0"/>
              <w:right w:val="single" w:color="000000" w:sz="4" w:space="0"/>
            </w:tcBorders>
            <w:shd w:val="clear" w:color="auto" w:fill="auto"/>
            <w:vAlign w:val="center"/>
          </w:tcPr>
          <w:p w14:paraId="61F6E42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5.00</w:t>
            </w:r>
          </w:p>
        </w:tc>
        <w:tc>
          <w:tcPr>
            <w:tcW w:w="1924" w:type="dxa"/>
            <w:gridSpan w:val="3"/>
            <w:tcBorders>
              <w:top w:val="single" w:color="000000" w:sz="4" w:space="0"/>
              <w:left w:val="nil"/>
              <w:bottom w:val="single" w:color="000000" w:sz="4" w:space="0"/>
              <w:right w:val="single" w:color="000000" w:sz="4" w:space="0"/>
            </w:tcBorders>
            <w:shd w:val="clear" w:color="auto" w:fill="auto"/>
            <w:vAlign w:val="center"/>
          </w:tcPr>
          <w:p w14:paraId="7A16583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5.00</w:t>
            </w:r>
          </w:p>
        </w:tc>
        <w:tc>
          <w:tcPr>
            <w:tcW w:w="1053" w:type="dxa"/>
            <w:tcBorders>
              <w:top w:val="nil"/>
              <w:left w:val="nil"/>
              <w:bottom w:val="single" w:color="000000" w:sz="4" w:space="0"/>
              <w:right w:val="single" w:color="000000" w:sz="4" w:space="0"/>
            </w:tcBorders>
            <w:shd w:val="clear" w:color="auto" w:fill="auto"/>
            <w:vAlign w:val="center"/>
          </w:tcPr>
          <w:p w14:paraId="20C02E4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100.00%</w:t>
            </w:r>
          </w:p>
        </w:tc>
        <w:tc>
          <w:tcPr>
            <w:tcW w:w="906" w:type="dxa"/>
            <w:tcBorders>
              <w:top w:val="nil"/>
              <w:left w:val="nil"/>
              <w:bottom w:val="single" w:color="000000" w:sz="4" w:space="0"/>
              <w:right w:val="single" w:color="000000" w:sz="4" w:space="0"/>
            </w:tcBorders>
            <w:shd w:val="clear" w:color="auto" w:fill="auto"/>
            <w:vAlign w:val="center"/>
          </w:tcPr>
          <w:p w14:paraId="2CDA779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902" w:type="dxa"/>
            <w:tcBorders>
              <w:top w:val="nil"/>
              <w:left w:val="nil"/>
              <w:bottom w:val="single" w:color="000000" w:sz="4" w:space="0"/>
              <w:right w:val="single" w:color="000000" w:sz="4" w:space="0"/>
            </w:tcBorders>
            <w:shd w:val="clear" w:color="auto" w:fill="auto"/>
            <w:vAlign w:val="center"/>
          </w:tcPr>
          <w:p w14:paraId="53D7D6F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9</w:t>
            </w:r>
          </w:p>
        </w:tc>
        <w:tc>
          <w:tcPr>
            <w:tcW w:w="902" w:type="dxa"/>
            <w:vMerge w:val="restart"/>
            <w:tcBorders>
              <w:top w:val="nil"/>
              <w:left w:val="single" w:color="000000" w:sz="4" w:space="0"/>
              <w:bottom w:val="single" w:color="000000" w:sz="4" w:space="0"/>
              <w:right w:val="single" w:color="000000" w:sz="4" w:space="0"/>
            </w:tcBorders>
            <w:shd w:val="clear" w:color="auto" w:fill="auto"/>
            <w:vAlign w:val="center"/>
          </w:tcPr>
          <w:p w14:paraId="67D61699">
            <w:pPr>
              <w:widowControl/>
              <w:jc w:val="left"/>
              <w:rPr>
                <w:rFonts w:hint="eastAsia" w:ascii="黑体" w:hAnsi="黑体" w:eastAsia="黑体" w:cs="宋体"/>
                <w:i/>
                <w:iCs/>
                <w:color w:val="000000"/>
                <w:kern w:val="0"/>
                <w:sz w:val="18"/>
                <w:szCs w:val="18"/>
              </w:rPr>
            </w:pPr>
            <w:r>
              <w:rPr>
                <w:rFonts w:hint="eastAsia" w:ascii="黑体" w:hAnsi="黑体" w:eastAsia="黑体" w:cs="宋体"/>
                <w:i/>
                <w:iCs/>
                <w:color w:val="000000"/>
                <w:kern w:val="0"/>
                <w:sz w:val="18"/>
                <w:szCs w:val="18"/>
              </w:rPr>
              <w:t>　</w:t>
            </w:r>
          </w:p>
        </w:tc>
      </w:tr>
      <w:tr w14:paraId="4841DD79">
        <w:tblPrEx>
          <w:tblCellMar>
            <w:top w:w="0" w:type="dxa"/>
            <w:left w:w="108" w:type="dxa"/>
            <w:bottom w:w="0" w:type="dxa"/>
            <w:right w:w="108" w:type="dxa"/>
          </w:tblCellMar>
        </w:tblPrEx>
        <w:trPr>
          <w:gridAfter w:val="1"/>
          <w:wAfter w:w="11" w:type="dxa"/>
          <w:trHeight w:val="683" w:hRule="atLeast"/>
        </w:trPr>
        <w:tc>
          <w:tcPr>
            <w:tcW w:w="818" w:type="dxa"/>
            <w:vMerge w:val="continue"/>
            <w:tcBorders>
              <w:top w:val="nil"/>
              <w:left w:val="single" w:color="000000" w:sz="4" w:space="0"/>
              <w:bottom w:val="single" w:color="000000" w:sz="4" w:space="0"/>
              <w:right w:val="single" w:color="000000" w:sz="4" w:space="0"/>
            </w:tcBorders>
            <w:vAlign w:val="center"/>
          </w:tcPr>
          <w:p w14:paraId="19DB8BC2">
            <w:pPr>
              <w:widowControl/>
              <w:jc w:val="left"/>
              <w:rPr>
                <w:rFonts w:ascii="宋体" w:hAnsi="宋体" w:cs="宋体"/>
                <w:color w:val="000000"/>
                <w:kern w:val="0"/>
                <w:sz w:val="18"/>
                <w:szCs w:val="18"/>
              </w:rPr>
            </w:pPr>
          </w:p>
        </w:tc>
        <w:tc>
          <w:tcPr>
            <w:tcW w:w="818" w:type="dxa"/>
            <w:tcBorders>
              <w:top w:val="nil"/>
              <w:left w:val="nil"/>
              <w:bottom w:val="single" w:color="000000" w:sz="4" w:space="0"/>
              <w:right w:val="single" w:color="000000" w:sz="4" w:space="0"/>
            </w:tcBorders>
            <w:shd w:val="clear" w:color="auto" w:fill="auto"/>
            <w:vAlign w:val="center"/>
          </w:tcPr>
          <w:p w14:paraId="4517068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其中：财政资金</w:t>
            </w:r>
          </w:p>
        </w:tc>
        <w:tc>
          <w:tcPr>
            <w:tcW w:w="1126" w:type="dxa"/>
            <w:tcBorders>
              <w:top w:val="nil"/>
              <w:left w:val="nil"/>
              <w:bottom w:val="single" w:color="000000" w:sz="4" w:space="0"/>
              <w:right w:val="single" w:color="000000" w:sz="4" w:space="0"/>
            </w:tcBorders>
            <w:shd w:val="clear" w:color="auto" w:fill="auto"/>
            <w:vAlign w:val="center"/>
          </w:tcPr>
          <w:p w14:paraId="38688E3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126" w:type="dxa"/>
            <w:tcBorders>
              <w:top w:val="nil"/>
              <w:left w:val="nil"/>
              <w:bottom w:val="single" w:color="000000" w:sz="4" w:space="0"/>
              <w:right w:val="single" w:color="000000" w:sz="4" w:space="0"/>
            </w:tcBorders>
            <w:shd w:val="clear" w:color="auto" w:fill="auto"/>
            <w:vAlign w:val="center"/>
          </w:tcPr>
          <w:p w14:paraId="51951DD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5.00</w:t>
            </w:r>
          </w:p>
        </w:tc>
        <w:tc>
          <w:tcPr>
            <w:tcW w:w="1924" w:type="dxa"/>
            <w:gridSpan w:val="3"/>
            <w:tcBorders>
              <w:top w:val="single" w:color="000000" w:sz="4" w:space="0"/>
              <w:left w:val="nil"/>
              <w:bottom w:val="single" w:color="000000" w:sz="4" w:space="0"/>
              <w:right w:val="single" w:color="000000" w:sz="4" w:space="0"/>
            </w:tcBorders>
            <w:shd w:val="clear" w:color="auto" w:fill="auto"/>
            <w:vAlign w:val="center"/>
          </w:tcPr>
          <w:p w14:paraId="359382E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5.00</w:t>
            </w:r>
          </w:p>
        </w:tc>
        <w:tc>
          <w:tcPr>
            <w:tcW w:w="1053" w:type="dxa"/>
            <w:tcBorders>
              <w:top w:val="nil"/>
              <w:left w:val="nil"/>
              <w:bottom w:val="single" w:color="000000" w:sz="4" w:space="0"/>
              <w:right w:val="single" w:color="000000" w:sz="4" w:space="0"/>
            </w:tcBorders>
            <w:shd w:val="clear" w:color="auto" w:fill="auto"/>
            <w:vAlign w:val="center"/>
          </w:tcPr>
          <w:p w14:paraId="4FAEF81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100.00%</w:t>
            </w:r>
          </w:p>
        </w:tc>
        <w:tc>
          <w:tcPr>
            <w:tcW w:w="906" w:type="dxa"/>
            <w:tcBorders>
              <w:top w:val="nil"/>
              <w:left w:val="nil"/>
              <w:bottom w:val="single" w:color="000000" w:sz="4" w:space="0"/>
              <w:right w:val="single" w:color="000000" w:sz="4" w:space="0"/>
            </w:tcBorders>
            <w:shd w:val="clear" w:color="auto" w:fill="auto"/>
            <w:vAlign w:val="center"/>
          </w:tcPr>
          <w:p w14:paraId="27249ED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902" w:type="dxa"/>
            <w:tcBorders>
              <w:top w:val="nil"/>
              <w:left w:val="nil"/>
              <w:bottom w:val="single" w:color="000000" w:sz="4" w:space="0"/>
              <w:right w:val="single" w:color="000000" w:sz="4" w:space="0"/>
            </w:tcBorders>
            <w:shd w:val="clear" w:color="auto" w:fill="auto"/>
            <w:vAlign w:val="center"/>
          </w:tcPr>
          <w:p w14:paraId="1FE568A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902" w:type="dxa"/>
            <w:vMerge w:val="continue"/>
            <w:tcBorders>
              <w:top w:val="nil"/>
              <w:left w:val="single" w:color="000000" w:sz="4" w:space="0"/>
              <w:bottom w:val="single" w:color="000000" w:sz="4" w:space="0"/>
              <w:right w:val="single" w:color="000000" w:sz="4" w:space="0"/>
            </w:tcBorders>
            <w:vAlign w:val="center"/>
          </w:tcPr>
          <w:p w14:paraId="39E3A722">
            <w:pPr>
              <w:widowControl/>
              <w:jc w:val="left"/>
              <w:rPr>
                <w:rFonts w:ascii="黑体" w:hAnsi="黑体" w:eastAsia="黑体" w:cs="宋体"/>
                <w:i/>
                <w:iCs/>
                <w:color w:val="000000"/>
                <w:kern w:val="0"/>
                <w:sz w:val="18"/>
                <w:szCs w:val="18"/>
              </w:rPr>
            </w:pPr>
          </w:p>
        </w:tc>
      </w:tr>
      <w:tr w14:paraId="205D642E">
        <w:tblPrEx>
          <w:tblCellMar>
            <w:top w:w="0" w:type="dxa"/>
            <w:left w:w="108" w:type="dxa"/>
            <w:bottom w:w="0" w:type="dxa"/>
            <w:right w:w="108" w:type="dxa"/>
          </w:tblCellMar>
        </w:tblPrEx>
        <w:trPr>
          <w:gridAfter w:val="1"/>
          <w:wAfter w:w="11" w:type="dxa"/>
          <w:trHeight w:val="683" w:hRule="atLeast"/>
        </w:trPr>
        <w:tc>
          <w:tcPr>
            <w:tcW w:w="818" w:type="dxa"/>
            <w:vMerge w:val="continue"/>
            <w:tcBorders>
              <w:top w:val="nil"/>
              <w:left w:val="single" w:color="000000" w:sz="4" w:space="0"/>
              <w:bottom w:val="single" w:color="000000" w:sz="4" w:space="0"/>
              <w:right w:val="single" w:color="000000" w:sz="4" w:space="0"/>
            </w:tcBorders>
            <w:vAlign w:val="center"/>
          </w:tcPr>
          <w:p w14:paraId="72831AB3">
            <w:pPr>
              <w:widowControl/>
              <w:jc w:val="left"/>
              <w:rPr>
                <w:rFonts w:ascii="宋体" w:hAnsi="宋体" w:cs="宋体"/>
                <w:color w:val="000000"/>
                <w:kern w:val="0"/>
                <w:sz w:val="18"/>
                <w:szCs w:val="18"/>
              </w:rPr>
            </w:pPr>
          </w:p>
        </w:tc>
        <w:tc>
          <w:tcPr>
            <w:tcW w:w="818" w:type="dxa"/>
            <w:tcBorders>
              <w:top w:val="nil"/>
              <w:left w:val="nil"/>
              <w:bottom w:val="single" w:color="000000" w:sz="4" w:space="0"/>
              <w:right w:val="single" w:color="000000" w:sz="4" w:space="0"/>
            </w:tcBorders>
            <w:shd w:val="clear" w:color="auto" w:fill="auto"/>
            <w:vAlign w:val="center"/>
          </w:tcPr>
          <w:p w14:paraId="2539C85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126" w:type="dxa"/>
            <w:tcBorders>
              <w:top w:val="nil"/>
              <w:left w:val="nil"/>
              <w:bottom w:val="single" w:color="000000" w:sz="4" w:space="0"/>
              <w:right w:val="single" w:color="000000" w:sz="4" w:space="0"/>
            </w:tcBorders>
            <w:shd w:val="clear" w:color="auto" w:fill="auto"/>
            <w:vAlign w:val="center"/>
          </w:tcPr>
          <w:p w14:paraId="2EF7F21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126" w:type="dxa"/>
            <w:tcBorders>
              <w:top w:val="nil"/>
              <w:left w:val="nil"/>
              <w:bottom w:val="single" w:color="000000" w:sz="4" w:space="0"/>
              <w:right w:val="single" w:color="000000" w:sz="4" w:space="0"/>
            </w:tcBorders>
            <w:shd w:val="clear" w:color="auto" w:fill="auto"/>
            <w:vAlign w:val="center"/>
          </w:tcPr>
          <w:p w14:paraId="7A8E59D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924" w:type="dxa"/>
            <w:gridSpan w:val="3"/>
            <w:tcBorders>
              <w:top w:val="single" w:color="000000" w:sz="4" w:space="0"/>
              <w:left w:val="nil"/>
              <w:bottom w:val="single" w:color="000000" w:sz="4" w:space="0"/>
              <w:right w:val="single" w:color="000000" w:sz="4" w:space="0"/>
            </w:tcBorders>
            <w:shd w:val="clear" w:color="auto" w:fill="auto"/>
            <w:vAlign w:val="center"/>
          </w:tcPr>
          <w:p w14:paraId="0625C4E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053" w:type="dxa"/>
            <w:tcBorders>
              <w:top w:val="nil"/>
              <w:left w:val="nil"/>
              <w:bottom w:val="single" w:color="000000" w:sz="4" w:space="0"/>
              <w:right w:val="single" w:color="000000" w:sz="4" w:space="0"/>
            </w:tcBorders>
            <w:shd w:val="clear" w:color="auto" w:fill="auto"/>
            <w:vAlign w:val="center"/>
          </w:tcPr>
          <w:p w14:paraId="6505D17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906" w:type="dxa"/>
            <w:tcBorders>
              <w:top w:val="nil"/>
              <w:left w:val="nil"/>
              <w:bottom w:val="single" w:color="000000" w:sz="4" w:space="0"/>
              <w:right w:val="single" w:color="000000" w:sz="4" w:space="0"/>
            </w:tcBorders>
            <w:shd w:val="clear" w:color="auto" w:fill="auto"/>
            <w:vAlign w:val="center"/>
          </w:tcPr>
          <w:p w14:paraId="79991FE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902" w:type="dxa"/>
            <w:tcBorders>
              <w:top w:val="nil"/>
              <w:left w:val="nil"/>
              <w:bottom w:val="single" w:color="000000" w:sz="4" w:space="0"/>
              <w:right w:val="single" w:color="000000" w:sz="4" w:space="0"/>
            </w:tcBorders>
            <w:shd w:val="clear" w:color="auto" w:fill="auto"/>
            <w:vAlign w:val="center"/>
          </w:tcPr>
          <w:p w14:paraId="1ABC7A4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902" w:type="dxa"/>
            <w:vMerge w:val="continue"/>
            <w:tcBorders>
              <w:top w:val="nil"/>
              <w:left w:val="single" w:color="000000" w:sz="4" w:space="0"/>
              <w:bottom w:val="single" w:color="000000" w:sz="4" w:space="0"/>
              <w:right w:val="single" w:color="000000" w:sz="4" w:space="0"/>
            </w:tcBorders>
            <w:vAlign w:val="center"/>
          </w:tcPr>
          <w:p w14:paraId="18F59B9F">
            <w:pPr>
              <w:widowControl/>
              <w:jc w:val="left"/>
              <w:rPr>
                <w:rFonts w:ascii="黑体" w:hAnsi="黑体" w:eastAsia="黑体" w:cs="宋体"/>
                <w:i/>
                <w:iCs/>
                <w:color w:val="000000"/>
                <w:kern w:val="0"/>
                <w:sz w:val="18"/>
                <w:szCs w:val="18"/>
              </w:rPr>
            </w:pPr>
          </w:p>
        </w:tc>
      </w:tr>
      <w:tr w14:paraId="4D48341C">
        <w:tblPrEx>
          <w:tblCellMar>
            <w:top w:w="0" w:type="dxa"/>
            <w:left w:w="108" w:type="dxa"/>
            <w:bottom w:w="0" w:type="dxa"/>
            <w:right w:w="108" w:type="dxa"/>
          </w:tblCellMar>
        </w:tblPrEx>
        <w:trPr>
          <w:gridAfter w:val="1"/>
          <w:wAfter w:w="11" w:type="dxa"/>
          <w:trHeight w:val="454" w:hRule="atLeast"/>
        </w:trPr>
        <w:tc>
          <w:tcPr>
            <w:tcW w:w="818" w:type="dxa"/>
            <w:vMerge w:val="continue"/>
            <w:tcBorders>
              <w:top w:val="nil"/>
              <w:left w:val="single" w:color="000000" w:sz="4" w:space="0"/>
              <w:bottom w:val="single" w:color="000000" w:sz="4" w:space="0"/>
              <w:right w:val="single" w:color="000000" w:sz="4" w:space="0"/>
            </w:tcBorders>
            <w:vAlign w:val="center"/>
          </w:tcPr>
          <w:p w14:paraId="46C78025">
            <w:pPr>
              <w:widowControl/>
              <w:jc w:val="left"/>
              <w:rPr>
                <w:rFonts w:ascii="宋体" w:hAnsi="宋体" w:cs="宋体"/>
                <w:color w:val="000000"/>
                <w:kern w:val="0"/>
                <w:sz w:val="18"/>
                <w:szCs w:val="18"/>
              </w:rPr>
            </w:pPr>
          </w:p>
        </w:tc>
        <w:tc>
          <w:tcPr>
            <w:tcW w:w="818" w:type="dxa"/>
            <w:tcBorders>
              <w:top w:val="nil"/>
              <w:left w:val="nil"/>
              <w:bottom w:val="single" w:color="000000" w:sz="4" w:space="0"/>
              <w:right w:val="single" w:color="000000" w:sz="4" w:space="0"/>
            </w:tcBorders>
            <w:shd w:val="clear" w:color="auto" w:fill="auto"/>
            <w:vAlign w:val="center"/>
          </w:tcPr>
          <w:p w14:paraId="7E49422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单位资金</w:t>
            </w:r>
          </w:p>
        </w:tc>
        <w:tc>
          <w:tcPr>
            <w:tcW w:w="1126" w:type="dxa"/>
            <w:tcBorders>
              <w:top w:val="nil"/>
              <w:left w:val="nil"/>
              <w:bottom w:val="single" w:color="000000" w:sz="4" w:space="0"/>
              <w:right w:val="single" w:color="000000" w:sz="4" w:space="0"/>
            </w:tcBorders>
            <w:shd w:val="clear" w:color="auto" w:fill="auto"/>
            <w:vAlign w:val="center"/>
          </w:tcPr>
          <w:p w14:paraId="3B6E657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126" w:type="dxa"/>
            <w:tcBorders>
              <w:top w:val="nil"/>
              <w:left w:val="nil"/>
              <w:bottom w:val="single" w:color="000000" w:sz="4" w:space="0"/>
              <w:right w:val="single" w:color="000000" w:sz="4" w:space="0"/>
            </w:tcBorders>
            <w:shd w:val="clear" w:color="auto" w:fill="auto"/>
            <w:vAlign w:val="center"/>
          </w:tcPr>
          <w:p w14:paraId="068ACA3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924" w:type="dxa"/>
            <w:gridSpan w:val="3"/>
            <w:tcBorders>
              <w:top w:val="single" w:color="000000" w:sz="4" w:space="0"/>
              <w:left w:val="nil"/>
              <w:bottom w:val="single" w:color="000000" w:sz="4" w:space="0"/>
              <w:right w:val="single" w:color="000000" w:sz="4" w:space="0"/>
            </w:tcBorders>
            <w:shd w:val="clear" w:color="auto" w:fill="auto"/>
            <w:vAlign w:val="center"/>
          </w:tcPr>
          <w:p w14:paraId="7F5292F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053" w:type="dxa"/>
            <w:tcBorders>
              <w:top w:val="nil"/>
              <w:left w:val="nil"/>
              <w:bottom w:val="single" w:color="000000" w:sz="4" w:space="0"/>
              <w:right w:val="single" w:color="000000" w:sz="4" w:space="0"/>
            </w:tcBorders>
            <w:shd w:val="clear" w:color="auto" w:fill="auto"/>
            <w:vAlign w:val="center"/>
          </w:tcPr>
          <w:p w14:paraId="28718D1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906" w:type="dxa"/>
            <w:tcBorders>
              <w:top w:val="nil"/>
              <w:left w:val="nil"/>
              <w:bottom w:val="single" w:color="000000" w:sz="4" w:space="0"/>
              <w:right w:val="single" w:color="000000" w:sz="4" w:space="0"/>
            </w:tcBorders>
            <w:shd w:val="clear" w:color="auto" w:fill="auto"/>
            <w:vAlign w:val="center"/>
          </w:tcPr>
          <w:p w14:paraId="4166E91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902" w:type="dxa"/>
            <w:tcBorders>
              <w:top w:val="nil"/>
              <w:left w:val="nil"/>
              <w:bottom w:val="single" w:color="000000" w:sz="4" w:space="0"/>
              <w:right w:val="single" w:color="000000" w:sz="4" w:space="0"/>
            </w:tcBorders>
            <w:shd w:val="clear" w:color="auto" w:fill="auto"/>
            <w:vAlign w:val="center"/>
          </w:tcPr>
          <w:p w14:paraId="6CB90B3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902" w:type="dxa"/>
            <w:vMerge w:val="continue"/>
            <w:tcBorders>
              <w:top w:val="nil"/>
              <w:left w:val="single" w:color="000000" w:sz="4" w:space="0"/>
              <w:bottom w:val="single" w:color="000000" w:sz="4" w:space="0"/>
              <w:right w:val="single" w:color="000000" w:sz="4" w:space="0"/>
            </w:tcBorders>
            <w:vAlign w:val="center"/>
          </w:tcPr>
          <w:p w14:paraId="293FBAA6">
            <w:pPr>
              <w:widowControl/>
              <w:jc w:val="left"/>
              <w:rPr>
                <w:rFonts w:ascii="黑体" w:hAnsi="黑体" w:eastAsia="黑体" w:cs="宋体"/>
                <w:i/>
                <w:iCs/>
                <w:color w:val="000000"/>
                <w:kern w:val="0"/>
                <w:sz w:val="18"/>
                <w:szCs w:val="18"/>
              </w:rPr>
            </w:pPr>
          </w:p>
        </w:tc>
      </w:tr>
      <w:tr w14:paraId="3D6572E0">
        <w:tblPrEx>
          <w:tblCellMar>
            <w:top w:w="0" w:type="dxa"/>
            <w:left w:w="108" w:type="dxa"/>
            <w:bottom w:w="0" w:type="dxa"/>
            <w:right w:w="108" w:type="dxa"/>
          </w:tblCellMar>
        </w:tblPrEx>
        <w:trPr>
          <w:gridAfter w:val="1"/>
          <w:wAfter w:w="11" w:type="dxa"/>
          <w:trHeight w:val="454" w:hRule="atLeast"/>
        </w:trPr>
        <w:tc>
          <w:tcPr>
            <w:tcW w:w="818" w:type="dxa"/>
            <w:vMerge w:val="continue"/>
            <w:tcBorders>
              <w:top w:val="nil"/>
              <w:left w:val="single" w:color="000000" w:sz="4" w:space="0"/>
              <w:bottom w:val="single" w:color="000000" w:sz="4" w:space="0"/>
              <w:right w:val="single" w:color="000000" w:sz="4" w:space="0"/>
            </w:tcBorders>
            <w:vAlign w:val="center"/>
          </w:tcPr>
          <w:p w14:paraId="60A8F96D">
            <w:pPr>
              <w:widowControl/>
              <w:jc w:val="left"/>
              <w:rPr>
                <w:rFonts w:ascii="宋体" w:hAnsi="宋体" w:cs="宋体"/>
                <w:color w:val="000000"/>
                <w:kern w:val="0"/>
                <w:sz w:val="18"/>
                <w:szCs w:val="18"/>
              </w:rPr>
            </w:pPr>
          </w:p>
        </w:tc>
        <w:tc>
          <w:tcPr>
            <w:tcW w:w="818" w:type="dxa"/>
            <w:tcBorders>
              <w:top w:val="nil"/>
              <w:left w:val="nil"/>
              <w:bottom w:val="single" w:color="000000" w:sz="4" w:space="0"/>
              <w:right w:val="single" w:color="000000" w:sz="4" w:space="0"/>
            </w:tcBorders>
            <w:shd w:val="clear" w:color="auto" w:fill="auto"/>
            <w:vAlign w:val="center"/>
          </w:tcPr>
          <w:p w14:paraId="2E4A838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其他资金</w:t>
            </w:r>
          </w:p>
        </w:tc>
        <w:tc>
          <w:tcPr>
            <w:tcW w:w="1126" w:type="dxa"/>
            <w:tcBorders>
              <w:top w:val="nil"/>
              <w:left w:val="nil"/>
              <w:bottom w:val="single" w:color="000000" w:sz="4" w:space="0"/>
              <w:right w:val="single" w:color="000000" w:sz="4" w:space="0"/>
            </w:tcBorders>
            <w:shd w:val="clear" w:color="auto" w:fill="auto"/>
            <w:vAlign w:val="center"/>
          </w:tcPr>
          <w:p w14:paraId="3C86F1A2">
            <w:pPr>
              <w:widowControl/>
              <w:jc w:val="center"/>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26" w:type="dxa"/>
            <w:tcBorders>
              <w:top w:val="nil"/>
              <w:left w:val="nil"/>
              <w:bottom w:val="single" w:color="000000" w:sz="4" w:space="0"/>
              <w:right w:val="single" w:color="000000" w:sz="4" w:space="0"/>
            </w:tcBorders>
            <w:shd w:val="clear" w:color="auto" w:fill="auto"/>
            <w:vAlign w:val="center"/>
          </w:tcPr>
          <w:p w14:paraId="410DFF87">
            <w:pPr>
              <w:widowControl/>
              <w:jc w:val="center"/>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924" w:type="dxa"/>
            <w:gridSpan w:val="3"/>
            <w:tcBorders>
              <w:top w:val="single" w:color="000000" w:sz="4" w:space="0"/>
              <w:left w:val="nil"/>
              <w:bottom w:val="single" w:color="000000" w:sz="4" w:space="0"/>
              <w:right w:val="single" w:color="000000" w:sz="4" w:space="0"/>
            </w:tcBorders>
            <w:shd w:val="clear" w:color="auto" w:fill="auto"/>
            <w:vAlign w:val="center"/>
          </w:tcPr>
          <w:p w14:paraId="3932EDBA">
            <w:pPr>
              <w:widowControl/>
              <w:jc w:val="center"/>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053" w:type="dxa"/>
            <w:tcBorders>
              <w:top w:val="nil"/>
              <w:left w:val="nil"/>
              <w:bottom w:val="single" w:color="000000" w:sz="4" w:space="0"/>
              <w:right w:val="single" w:color="000000" w:sz="4" w:space="0"/>
            </w:tcBorders>
            <w:shd w:val="clear" w:color="auto" w:fill="auto"/>
            <w:vAlign w:val="center"/>
          </w:tcPr>
          <w:p w14:paraId="764CBBEA">
            <w:pPr>
              <w:widowControl/>
              <w:jc w:val="center"/>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906" w:type="dxa"/>
            <w:tcBorders>
              <w:top w:val="nil"/>
              <w:left w:val="nil"/>
              <w:bottom w:val="single" w:color="000000" w:sz="4" w:space="0"/>
              <w:right w:val="single" w:color="000000" w:sz="4" w:space="0"/>
            </w:tcBorders>
            <w:shd w:val="clear" w:color="auto" w:fill="auto"/>
            <w:vAlign w:val="center"/>
          </w:tcPr>
          <w:p w14:paraId="7A7686E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902" w:type="dxa"/>
            <w:tcBorders>
              <w:top w:val="nil"/>
              <w:left w:val="nil"/>
              <w:bottom w:val="single" w:color="000000" w:sz="4" w:space="0"/>
              <w:right w:val="single" w:color="000000" w:sz="4" w:space="0"/>
            </w:tcBorders>
            <w:shd w:val="clear" w:color="auto" w:fill="auto"/>
            <w:vAlign w:val="center"/>
          </w:tcPr>
          <w:p w14:paraId="566C8D1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902" w:type="dxa"/>
            <w:vMerge w:val="continue"/>
            <w:tcBorders>
              <w:top w:val="nil"/>
              <w:left w:val="single" w:color="000000" w:sz="4" w:space="0"/>
              <w:bottom w:val="single" w:color="000000" w:sz="4" w:space="0"/>
              <w:right w:val="single" w:color="000000" w:sz="4" w:space="0"/>
            </w:tcBorders>
            <w:vAlign w:val="center"/>
          </w:tcPr>
          <w:p w14:paraId="225A157A">
            <w:pPr>
              <w:widowControl/>
              <w:jc w:val="left"/>
              <w:rPr>
                <w:rFonts w:ascii="黑体" w:hAnsi="黑体" w:eastAsia="黑体" w:cs="宋体"/>
                <w:i/>
                <w:iCs/>
                <w:color w:val="000000"/>
                <w:kern w:val="0"/>
                <w:sz w:val="18"/>
                <w:szCs w:val="18"/>
              </w:rPr>
            </w:pPr>
          </w:p>
        </w:tc>
      </w:tr>
      <w:tr w14:paraId="2F752F59">
        <w:tblPrEx>
          <w:tblCellMar>
            <w:top w:w="0" w:type="dxa"/>
            <w:left w:w="108" w:type="dxa"/>
            <w:bottom w:w="0" w:type="dxa"/>
            <w:right w:w="108" w:type="dxa"/>
          </w:tblCellMar>
        </w:tblPrEx>
        <w:trPr>
          <w:gridAfter w:val="1"/>
          <w:wAfter w:w="12" w:type="dxa"/>
          <w:trHeight w:val="850" w:hRule="atLeast"/>
        </w:trPr>
        <w:tc>
          <w:tcPr>
            <w:tcW w:w="818" w:type="dxa"/>
            <w:vMerge w:val="restart"/>
            <w:tcBorders>
              <w:top w:val="nil"/>
              <w:left w:val="single" w:color="000000" w:sz="4" w:space="0"/>
              <w:bottom w:val="single" w:color="000000" w:sz="4" w:space="0"/>
              <w:right w:val="single" w:color="000000" w:sz="4" w:space="0"/>
            </w:tcBorders>
            <w:shd w:val="clear" w:color="auto" w:fill="auto"/>
            <w:vAlign w:val="center"/>
          </w:tcPr>
          <w:p w14:paraId="502ADB8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绩效指标（90分）</w:t>
            </w:r>
          </w:p>
        </w:tc>
        <w:tc>
          <w:tcPr>
            <w:tcW w:w="818" w:type="dxa"/>
            <w:tcBorders>
              <w:top w:val="nil"/>
              <w:left w:val="nil"/>
              <w:bottom w:val="single" w:color="000000" w:sz="4" w:space="0"/>
              <w:right w:val="single" w:color="000000" w:sz="4" w:space="0"/>
            </w:tcBorders>
            <w:shd w:val="clear" w:color="auto" w:fill="auto"/>
            <w:vAlign w:val="center"/>
          </w:tcPr>
          <w:p w14:paraId="035E98A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一级指标</w:t>
            </w:r>
          </w:p>
        </w:tc>
        <w:tc>
          <w:tcPr>
            <w:tcW w:w="1126" w:type="dxa"/>
            <w:tcBorders>
              <w:top w:val="nil"/>
              <w:left w:val="nil"/>
              <w:bottom w:val="single" w:color="000000" w:sz="4" w:space="0"/>
              <w:right w:val="single" w:color="000000" w:sz="4" w:space="0"/>
            </w:tcBorders>
            <w:shd w:val="clear" w:color="auto" w:fill="auto"/>
            <w:vAlign w:val="center"/>
          </w:tcPr>
          <w:p w14:paraId="67186A8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二级指标</w:t>
            </w:r>
          </w:p>
        </w:tc>
        <w:tc>
          <w:tcPr>
            <w:tcW w:w="1126" w:type="dxa"/>
            <w:tcBorders>
              <w:top w:val="nil"/>
              <w:left w:val="nil"/>
              <w:bottom w:val="single" w:color="000000" w:sz="4" w:space="0"/>
              <w:right w:val="single" w:color="000000" w:sz="4" w:space="0"/>
            </w:tcBorders>
            <w:shd w:val="clear" w:color="auto" w:fill="auto"/>
            <w:vAlign w:val="center"/>
          </w:tcPr>
          <w:p w14:paraId="418D269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三级指标</w:t>
            </w:r>
          </w:p>
        </w:tc>
        <w:tc>
          <w:tcPr>
            <w:tcW w:w="641" w:type="dxa"/>
            <w:tcBorders>
              <w:top w:val="nil"/>
              <w:left w:val="nil"/>
              <w:bottom w:val="single" w:color="000000" w:sz="4" w:space="0"/>
              <w:right w:val="single" w:color="000000" w:sz="4" w:space="0"/>
            </w:tcBorders>
            <w:shd w:val="clear" w:color="auto" w:fill="auto"/>
            <w:vAlign w:val="center"/>
          </w:tcPr>
          <w:p w14:paraId="2A25A25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指标性质</w:t>
            </w:r>
          </w:p>
        </w:tc>
        <w:tc>
          <w:tcPr>
            <w:tcW w:w="640" w:type="dxa"/>
            <w:tcBorders>
              <w:top w:val="nil"/>
              <w:left w:val="nil"/>
              <w:bottom w:val="single" w:color="000000" w:sz="4" w:space="0"/>
              <w:right w:val="single" w:color="000000" w:sz="4" w:space="0"/>
            </w:tcBorders>
            <w:shd w:val="clear" w:color="auto" w:fill="auto"/>
            <w:vAlign w:val="center"/>
          </w:tcPr>
          <w:p w14:paraId="366B10D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指标值</w:t>
            </w:r>
          </w:p>
        </w:tc>
        <w:tc>
          <w:tcPr>
            <w:tcW w:w="642" w:type="dxa"/>
            <w:tcBorders>
              <w:top w:val="nil"/>
              <w:left w:val="nil"/>
              <w:bottom w:val="single" w:color="000000" w:sz="4" w:space="0"/>
              <w:right w:val="single" w:color="000000" w:sz="4" w:space="0"/>
            </w:tcBorders>
            <w:shd w:val="clear" w:color="auto" w:fill="auto"/>
            <w:vAlign w:val="center"/>
          </w:tcPr>
          <w:p w14:paraId="451AC9F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度量单位</w:t>
            </w:r>
          </w:p>
        </w:tc>
        <w:tc>
          <w:tcPr>
            <w:tcW w:w="1053" w:type="dxa"/>
            <w:tcBorders>
              <w:top w:val="nil"/>
              <w:left w:val="nil"/>
              <w:bottom w:val="single" w:color="000000" w:sz="4" w:space="0"/>
              <w:right w:val="single" w:color="000000" w:sz="4" w:space="0"/>
            </w:tcBorders>
            <w:shd w:val="clear" w:color="auto" w:fill="auto"/>
            <w:vAlign w:val="center"/>
          </w:tcPr>
          <w:p w14:paraId="2B893BE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完成值</w:t>
            </w:r>
          </w:p>
        </w:tc>
        <w:tc>
          <w:tcPr>
            <w:tcW w:w="906" w:type="dxa"/>
            <w:tcBorders>
              <w:top w:val="nil"/>
              <w:left w:val="nil"/>
              <w:bottom w:val="single" w:color="000000" w:sz="4" w:space="0"/>
              <w:right w:val="single" w:color="000000" w:sz="4" w:space="0"/>
            </w:tcBorders>
            <w:shd w:val="clear" w:color="auto" w:fill="auto"/>
            <w:vAlign w:val="center"/>
          </w:tcPr>
          <w:p w14:paraId="1A98280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权重</w:t>
            </w:r>
          </w:p>
        </w:tc>
        <w:tc>
          <w:tcPr>
            <w:tcW w:w="902" w:type="dxa"/>
            <w:tcBorders>
              <w:top w:val="nil"/>
              <w:left w:val="nil"/>
              <w:bottom w:val="single" w:color="000000" w:sz="4" w:space="0"/>
              <w:right w:val="single" w:color="000000" w:sz="4" w:space="0"/>
            </w:tcBorders>
            <w:shd w:val="clear" w:color="auto" w:fill="auto"/>
            <w:vAlign w:val="center"/>
          </w:tcPr>
          <w:p w14:paraId="38A9C29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得分</w:t>
            </w:r>
          </w:p>
        </w:tc>
        <w:tc>
          <w:tcPr>
            <w:tcW w:w="902" w:type="dxa"/>
            <w:tcBorders>
              <w:top w:val="nil"/>
              <w:left w:val="nil"/>
              <w:bottom w:val="single" w:color="000000" w:sz="4" w:space="0"/>
              <w:right w:val="single" w:color="000000" w:sz="4" w:space="0"/>
            </w:tcBorders>
            <w:shd w:val="clear" w:color="auto" w:fill="auto"/>
            <w:vAlign w:val="center"/>
          </w:tcPr>
          <w:p w14:paraId="6873B00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未完成原因分析</w:t>
            </w:r>
          </w:p>
        </w:tc>
      </w:tr>
      <w:tr w14:paraId="53ED62EE">
        <w:tblPrEx>
          <w:tblCellMar>
            <w:top w:w="0" w:type="dxa"/>
            <w:left w:w="108" w:type="dxa"/>
            <w:bottom w:w="0" w:type="dxa"/>
            <w:right w:w="108" w:type="dxa"/>
          </w:tblCellMar>
        </w:tblPrEx>
        <w:trPr>
          <w:gridAfter w:val="1"/>
          <w:wAfter w:w="12" w:type="dxa"/>
          <w:trHeight w:val="394" w:hRule="atLeast"/>
        </w:trPr>
        <w:tc>
          <w:tcPr>
            <w:tcW w:w="818" w:type="dxa"/>
            <w:vMerge w:val="continue"/>
            <w:tcBorders>
              <w:top w:val="nil"/>
              <w:left w:val="single" w:color="000000" w:sz="4" w:space="0"/>
              <w:bottom w:val="single" w:color="000000" w:sz="4" w:space="0"/>
              <w:right w:val="single" w:color="000000" w:sz="4" w:space="0"/>
            </w:tcBorders>
            <w:vAlign w:val="center"/>
          </w:tcPr>
          <w:p w14:paraId="70DB6FD6">
            <w:pPr>
              <w:widowControl/>
              <w:jc w:val="left"/>
              <w:rPr>
                <w:rFonts w:ascii="宋体" w:hAnsi="宋体" w:cs="宋体"/>
                <w:color w:val="000000"/>
                <w:kern w:val="0"/>
                <w:sz w:val="18"/>
                <w:szCs w:val="18"/>
              </w:rPr>
            </w:pPr>
          </w:p>
        </w:tc>
        <w:tc>
          <w:tcPr>
            <w:tcW w:w="818" w:type="dxa"/>
            <w:tcBorders>
              <w:top w:val="nil"/>
              <w:left w:val="nil"/>
              <w:bottom w:val="single" w:color="000000" w:sz="4" w:space="0"/>
              <w:right w:val="single" w:color="000000" w:sz="4" w:space="0"/>
            </w:tcBorders>
            <w:shd w:val="clear" w:color="auto" w:fill="auto"/>
            <w:vAlign w:val="center"/>
          </w:tcPr>
          <w:p w14:paraId="4D74E5C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c>
          <w:tcPr>
            <w:tcW w:w="1126" w:type="dxa"/>
            <w:tcBorders>
              <w:top w:val="nil"/>
              <w:left w:val="nil"/>
              <w:bottom w:val="single" w:color="000000" w:sz="4" w:space="0"/>
              <w:right w:val="single" w:color="000000" w:sz="4" w:space="0"/>
            </w:tcBorders>
            <w:shd w:val="clear" w:color="auto" w:fill="auto"/>
            <w:vAlign w:val="center"/>
          </w:tcPr>
          <w:p w14:paraId="41615AA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c>
          <w:tcPr>
            <w:tcW w:w="1126" w:type="dxa"/>
            <w:tcBorders>
              <w:top w:val="nil"/>
              <w:left w:val="nil"/>
              <w:bottom w:val="single" w:color="000000" w:sz="4" w:space="0"/>
              <w:right w:val="single" w:color="000000" w:sz="4" w:space="0"/>
            </w:tcBorders>
            <w:shd w:val="clear" w:color="auto" w:fill="auto"/>
            <w:vAlign w:val="center"/>
          </w:tcPr>
          <w:p w14:paraId="7F40542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c>
          <w:tcPr>
            <w:tcW w:w="641" w:type="dxa"/>
            <w:tcBorders>
              <w:top w:val="nil"/>
              <w:left w:val="nil"/>
              <w:bottom w:val="single" w:color="000000" w:sz="4" w:space="0"/>
              <w:right w:val="single" w:color="000000" w:sz="4" w:space="0"/>
            </w:tcBorders>
            <w:shd w:val="clear" w:color="auto" w:fill="auto"/>
            <w:vAlign w:val="center"/>
          </w:tcPr>
          <w:p w14:paraId="234FAF4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c>
          <w:tcPr>
            <w:tcW w:w="640" w:type="dxa"/>
            <w:tcBorders>
              <w:top w:val="nil"/>
              <w:left w:val="nil"/>
              <w:bottom w:val="single" w:color="000000" w:sz="4" w:space="0"/>
              <w:right w:val="single" w:color="000000" w:sz="4" w:space="0"/>
            </w:tcBorders>
            <w:shd w:val="clear" w:color="auto" w:fill="auto"/>
            <w:vAlign w:val="center"/>
          </w:tcPr>
          <w:p w14:paraId="01B5DB9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c>
          <w:tcPr>
            <w:tcW w:w="642" w:type="dxa"/>
            <w:tcBorders>
              <w:top w:val="nil"/>
              <w:left w:val="nil"/>
              <w:bottom w:val="single" w:color="000000" w:sz="4" w:space="0"/>
              <w:right w:val="single" w:color="000000" w:sz="4" w:space="0"/>
            </w:tcBorders>
            <w:shd w:val="clear" w:color="auto" w:fill="auto"/>
            <w:vAlign w:val="center"/>
          </w:tcPr>
          <w:p w14:paraId="68F2A37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c>
          <w:tcPr>
            <w:tcW w:w="1053" w:type="dxa"/>
            <w:tcBorders>
              <w:top w:val="nil"/>
              <w:left w:val="nil"/>
              <w:bottom w:val="single" w:color="000000" w:sz="4" w:space="0"/>
              <w:right w:val="single" w:color="000000" w:sz="4" w:space="0"/>
            </w:tcBorders>
            <w:shd w:val="clear" w:color="auto" w:fill="auto"/>
            <w:vAlign w:val="center"/>
          </w:tcPr>
          <w:p w14:paraId="2CF6ECE5">
            <w:pPr>
              <w:widowControl/>
              <w:jc w:val="center"/>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906" w:type="dxa"/>
            <w:tcBorders>
              <w:top w:val="nil"/>
              <w:left w:val="nil"/>
              <w:bottom w:val="single" w:color="000000" w:sz="4" w:space="0"/>
              <w:right w:val="single" w:color="000000" w:sz="4" w:space="0"/>
            </w:tcBorders>
            <w:shd w:val="clear" w:color="auto" w:fill="auto"/>
            <w:vAlign w:val="center"/>
          </w:tcPr>
          <w:p w14:paraId="4265898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c>
          <w:tcPr>
            <w:tcW w:w="902" w:type="dxa"/>
            <w:tcBorders>
              <w:top w:val="nil"/>
              <w:left w:val="nil"/>
              <w:bottom w:val="single" w:color="000000" w:sz="4" w:space="0"/>
              <w:right w:val="single" w:color="000000" w:sz="4" w:space="0"/>
            </w:tcBorders>
            <w:shd w:val="clear" w:color="auto" w:fill="auto"/>
            <w:vAlign w:val="center"/>
          </w:tcPr>
          <w:p w14:paraId="5C4B82C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c>
          <w:tcPr>
            <w:tcW w:w="902" w:type="dxa"/>
            <w:tcBorders>
              <w:top w:val="nil"/>
              <w:left w:val="nil"/>
              <w:bottom w:val="single" w:color="000000" w:sz="4" w:space="0"/>
              <w:right w:val="single" w:color="000000" w:sz="4" w:space="0"/>
            </w:tcBorders>
            <w:shd w:val="clear" w:color="auto" w:fill="auto"/>
            <w:vAlign w:val="center"/>
          </w:tcPr>
          <w:p w14:paraId="592A3B72">
            <w:pPr>
              <w:widowControl/>
              <w:jc w:val="center"/>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r>
      <w:tr w14:paraId="62E6E729">
        <w:tblPrEx>
          <w:tblCellMar>
            <w:top w:w="0" w:type="dxa"/>
            <w:left w:w="108" w:type="dxa"/>
            <w:bottom w:w="0" w:type="dxa"/>
            <w:right w:w="108" w:type="dxa"/>
          </w:tblCellMar>
        </w:tblPrEx>
        <w:trPr>
          <w:trHeight w:val="272" w:hRule="atLeast"/>
        </w:trPr>
        <w:tc>
          <w:tcPr>
            <w:tcW w:w="686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042E9C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合计</w:t>
            </w:r>
          </w:p>
        </w:tc>
        <w:tc>
          <w:tcPr>
            <w:tcW w:w="906" w:type="dxa"/>
            <w:tcBorders>
              <w:top w:val="nil"/>
              <w:left w:val="nil"/>
              <w:bottom w:val="single" w:color="000000" w:sz="4" w:space="0"/>
              <w:right w:val="single" w:color="000000" w:sz="4" w:space="0"/>
            </w:tcBorders>
            <w:shd w:val="clear" w:color="auto" w:fill="auto"/>
            <w:vAlign w:val="center"/>
          </w:tcPr>
          <w:p w14:paraId="213642B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902" w:type="dxa"/>
            <w:tcBorders>
              <w:top w:val="nil"/>
              <w:left w:val="nil"/>
              <w:bottom w:val="single" w:color="000000" w:sz="4" w:space="0"/>
              <w:right w:val="single" w:color="000000" w:sz="4" w:space="0"/>
            </w:tcBorders>
            <w:shd w:val="clear" w:color="auto" w:fill="auto"/>
            <w:vAlign w:val="center"/>
          </w:tcPr>
          <w:p w14:paraId="27F96829">
            <w:pPr>
              <w:widowControl/>
              <w:jc w:val="right"/>
              <w:rPr>
                <w:rFonts w:hint="eastAsia" w:ascii="宋体" w:hAnsi="宋体" w:cs="宋体"/>
                <w:color w:val="000000"/>
                <w:kern w:val="0"/>
                <w:sz w:val="18"/>
                <w:szCs w:val="18"/>
              </w:rPr>
            </w:pPr>
            <w:r>
              <w:rPr>
                <w:rFonts w:hint="eastAsia" w:ascii="宋体" w:hAnsi="宋体" w:cs="宋体"/>
                <w:color w:val="000000"/>
                <w:kern w:val="0"/>
                <w:sz w:val="18"/>
                <w:szCs w:val="18"/>
              </w:rPr>
              <w:t>99</w:t>
            </w:r>
          </w:p>
        </w:tc>
        <w:tc>
          <w:tcPr>
            <w:tcW w:w="909" w:type="dxa"/>
            <w:gridSpan w:val="2"/>
            <w:tcBorders>
              <w:top w:val="nil"/>
              <w:left w:val="nil"/>
              <w:bottom w:val="single" w:color="000000" w:sz="4" w:space="0"/>
              <w:right w:val="single" w:color="000000" w:sz="4" w:space="0"/>
            </w:tcBorders>
            <w:shd w:val="clear" w:color="auto" w:fill="auto"/>
            <w:vAlign w:val="center"/>
          </w:tcPr>
          <w:p w14:paraId="4B63FD53">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350C4435">
        <w:tblPrEx>
          <w:tblCellMar>
            <w:top w:w="0" w:type="dxa"/>
            <w:left w:w="108" w:type="dxa"/>
            <w:bottom w:w="0" w:type="dxa"/>
            <w:right w:w="108" w:type="dxa"/>
          </w:tblCellMar>
        </w:tblPrEx>
        <w:trPr>
          <w:trHeight w:val="653" w:hRule="atLeast"/>
        </w:trPr>
        <w:tc>
          <w:tcPr>
            <w:tcW w:w="818" w:type="dxa"/>
            <w:tcBorders>
              <w:top w:val="nil"/>
              <w:left w:val="single" w:color="000000" w:sz="4" w:space="0"/>
              <w:bottom w:val="single" w:color="000000" w:sz="4" w:space="0"/>
              <w:right w:val="single" w:color="000000" w:sz="4" w:space="0"/>
            </w:tcBorders>
            <w:shd w:val="clear" w:color="auto" w:fill="auto"/>
            <w:vAlign w:val="center"/>
          </w:tcPr>
          <w:p w14:paraId="1588077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评价结论</w:t>
            </w:r>
          </w:p>
        </w:tc>
        <w:tc>
          <w:tcPr>
            <w:tcW w:w="8768" w:type="dxa"/>
            <w:gridSpan w:val="11"/>
            <w:tcBorders>
              <w:top w:val="single" w:color="000000" w:sz="4" w:space="0"/>
              <w:left w:val="nil"/>
              <w:bottom w:val="single" w:color="000000" w:sz="4" w:space="0"/>
              <w:right w:val="single" w:color="000000" w:sz="4" w:space="0"/>
            </w:tcBorders>
            <w:shd w:val="clear" w:color="auto" w:fill="auto"/>
            <w:vAlign w:val="center"/>
          </w:tcPr>
          <w:p w14:paraId="43E9060F">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项目自评总分</w:t>
            </w:r>
            <w:r>
              <w:rPr>
                <w:rFonts w:ascii="微软雅黑" w:hAnsi="微软雅黑" w:eastAsia="微软雅黑" w:cs="宋体"/>
                <w:i/>
                <w:iCs/>
                <w:color w:val="000000"/>
                <w:kern w:val="0"/>
                <w:sz w:val="16"/>
                <w:szCs w:val="16"/>
              </w:rPr>
              <w:t>99</w:t>
            </w:r>
            <w:r>
              <w:rPr>
                <w:rFonts w:hint="eastAsia" w:ascii="微软雅黑" w:hAnsi="微软雅黑" w:eastAsia="微软雅黑" w:cs="宋体"/>
                <w:i/>
                <w:iCs/>
                <w:color w:val="000000"/>
                <w:kern w:val="0"/>
                <w:sz w:val="16"/>
                <w:szCs w:val="16"/>
              </w:rPr>
              <w:t>分，严格按照有关项目管理和经费管理规定执行。各项预算支出顺利进行，并按计划圆满完成。</w:t>
            </w:r>
          </w:p>
        </w:tc>
      </w:tr>
      <w:tr w14:paraId="189EFDF2">
        <w:tblPrEx>
          <w:tblCellMar>
            <w:top w:w="0" w:type="dxa"/>
            <w:left w:w="108" w:type="dxa"/>
            <w:bottom w:w="0" w:type="dxa"/>
            <w:right w:w="108" w:type="dxa"/>
          </w:tblCellMar>
        </w:tblPrEx>
        <w:trPr>
          <w:trHeight w:val="454" w:hRule="atLeast"/>
        </w:trPr>
        <w:tc>
          <w:tcPr>
            <w:tcW w:w="818" w:type="dxa"/>
            <w:tcBorders>
              <w:top w:val="nil"/>
              <w:left w:val="single" w:color="000000" w:sz="4" w:space="0"/>
              <w:bottom w:val="single" w:color="000000" w:sz="4" w:space="0"/>
              <w:right w:val="single" w:color="000000" w:sz="4" w:space="0"/>
            </w:tcBorders>
            <w:shd w:val="clear" w:color="auto" w:fill="auto"/>
            <w:vAlign w:val="center"/>
          </w:tcPr>
          <w:p w14:paraId="41D1699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存在问题</w:t>
            </w:r>
          </w:p>
        </w:tc>
        <w:tc>
          <w:tcPr>
            <w:tcW w:w="8768" w:type="dxa"/>
            <w:gridSpan w:val="11"/>
            <w:tcBorders>
              <w:top w:val="single" w:color="000000" w:sz="4" w:space="0"/>
              <w:left w:val="nil"/>
              <w:bottom w:val="single" w:color="000000" w:sz="4" w:space="0"/>
              <w:right w:val="single" w:color="000000" w:sz="4" w:space="0"/>
            </w:tcBorders>
            <w:shd w:val="clear" w:color="auto" w:fill="auto"/>
            <w:vAlign w:val="center"/>
          </w:tcPr>
          <w:p w14:paraId="4A6F6DF7">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3ED50034">
        <w:tblPrEx>
          <w:tblCellMar>
            <w:top w:w="0" w:type="dxa"/>
            <w:left w:w="108" w:type="dxa"/>
            <w:bottom w:w="0" w:type="dxa"/>
            <w:right w:w="108" w:type="dxa"/>
          </w:tblCellMar>
        </w:tblPrEx>
        <w:trPr>
          <w:trHeight w:val="454" w:hRule="atLeast"/>
        </w:trPr>
        <w:tc>
          <w:tcPr>
            <w:tcW w:w="818" w:type="dxa"/>
            <w:tcBorders>
              <w:top w:val="nil"/>
              <w:left w:val="single" w:color="000000" w:sz="4" w:space="0"/>
              <w:bottom w:val="single" w:color="000000" w:sz="4" w:space="0"/>
              <w:right w:val="single" w:color="000000" w:sz="4" w:space="0"/>
            </w:tcBorders>
            <w:shd w:val="clear" w:color="auto" w:fill="auto"/>
            <w:vAlign w:val="center"/>
          </w:tcPr>
          <w:p w14:paraId="2AC756B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改进措施</w:t>
            </w:r>
          </w:p>
        </w:tc>
        <w:tc>
          <w:tcPr>
            <w:tcW w:w="8768" w:type="dxa"/>
            <w:gridSpan w:val="11"/>
            <w:tcBorders>
              <w:top w:val="single" w:color="000000" w:sz="4" w:space="0"/>
              <w:left w:val="nil"/>
              <w:bottom w:val="single" w:color="000000" w:sz="4" w:space="0"/>
              <w:right w:val="single" w:color="000000" w:sz="4" w:space="0"/>
            </w:tcBorders>
            <w:shd w:val="clear" w:color="auto" w:fill="auto"/>
            <w:vAlign w:val="center"/>
          </w:tcPr>
          <w:p w14:paraId="56136899">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2E4523D5">
        <w:tblPrEx>
          <w:tblCellMar>
            <w:top w:w="0" w:type="dxa"/>
            <w:left w:w="108" w:type="dxa"/>
            <w:bottom w:w="0" w:type="dxa"/>
            <w:right w:w="108" w:type="dxa"/>
          </w:tblCellMar>
        </w:tblPrEx>
        <w:trPr>
          <w:trHeight w:val="409" w:hRule="atLeast"/>
        </w:trPr>
        <w:tc>
          <w:tcPr>
            <w:tcW w:w="453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6E3B68">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项目负责人：王坤武</w:t>
            </w:r>
          </w:p>
        </w:tc>
        <w:tc>
          <w:tcPr>
            <w:tcW w:w="5055" w:type="dxa"/>
            <w:gridSpan w:val="7"/>
            <w:tcBorders>
              <w:top w:val="single" w:color="000000" w:sz="4" w:space="0"/>
              <w:left w:val="nil"/>
              <w:bottom w:val="single" w:color="000000" w:sz="4" w:space="0"/>
              <w:right w:val="single" w:color="000000" w:sz="4" w:space="0"/>
            </w:tcBorders>
            <w:shd w:val="clear" w:color="auto" w:fill="auto"/>
            <w:vAlign w:val="center"/>
          </w:tcPr>
          <w:p w14:paraId="1BE23A6B">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财务负责人：王坤武</w:t>
            </w:r>
          </w:p>
        </w:tc>
      </w:tr>
    </w:tbl>
    <w:p w14:paraId="246B7C4B">
      <w:pPr>
        <w:pStyle w:val="33"/>
        <w:spacing w:line="578" w:lineRule="exact"/>
        <w:rPr>
          <w:rFonts w:hint="eastAsia" w:ascii="方正小标宋简体" w:hAnsi="方正小标宋简体" w:eastAsia="方正小标宋简体" w:cs="方正小标宋简体"/>
          <w:color w:val="auto"/>
          <w:kern w:val="2"/>
          <w:sz w:val="32"/>
          <w:szCs w:val="32"/>
          <w:lang w:val="en-US"/>
        </w:rPr>
      </w:pPr>
    </w:p>
    <w:p w14:paraId="19E16E6C">
      <w:pPr>
        <w:spacing w:line="580" w:lineRule="exact"/>
        <w:rPr>
          <w:rStyle w:val="27"/>
          <w:rFonts w:ascii="黑体" w:hAnsi="黑体" w:eastAsia="黑体"/>
          <w:b w:val="0"/>
        </w:rPr>
      </w:pPr>
    </w:p>
    <w:p w14:paraId="0176146C">
      <w:pPr>
        <w:widowControl/>
        <w:jc w:val="left"/>
        <w:rPr>
          <w:rStyle w:val="27"/>
          <w:rFonts w:ascii="黑体" w:hAnsi="黑体" w:eastAsia="黑体"/>
          <w:b w:val="0"/>
        </w:rPr>
      </w:pPr>
      <w:r>
        <w:rPr>
          <w:rStyle w:val="27"/>
          <w:rFonts w:ascii="黑体" w:hAnsi="黑体" w:eastAsia="黑体"/>
          <w:b w:val="0"/>
        </w:rPr>
        <w:br w:type="page"/>
      </w:r>
    </w:p>
    <w:p w14:paraId="39EBAD60">
      <w:pPr>
        <w:spacing w:line="600" w:lineRule="exact"/>
        <w:jc w:val="center"/>
        <w:outlineLvl w:val="0"/>
        <w:rPr>
          <w:rFonts w:ascii="仿宋" w:hAnsi="仿宋" w:eastAsia="仿宋"/>
        </w:rPr>
      </w:pPr>
      <w:bookmarkStart w:id="61" w:name="_Toc15396618"/>
      <w:r>
        <w:rPr>
          <w:rFonts w:hint="eastAsia" w:ascii="黑体" w:hAnsi="黑体" w:eastAsia="黑体"/>
          <w:sz w:val="44"/>
          <w:szCs w:val="44"/>
        </w:rPr>
        <w:t>第</w:t>
      </w:r>
      <w:r>
        <w:rPr>
          <w:rStyle w:val="27"/>
          <w:rFonts w:hint="eastAsia" w:ascii="黑体" w:hAnsi="黑体" w:eastAsia="黑体"/>
          <w:b w:val="0"/>
        </w:rPr>
        <w:t>五部分 附表</w:t>
      </w:r>
      <w:bookmarkEnd w:id="60"/>
      <w:bookmarkEnd w:id="61"/>
      <w:bookmarkStart w:id="62" w:name="_Toc15396619"/>
    </w:p>
    <w:p w14:paraId="6AFBB91F">
      <w:pPr>
        <w:pStyle w:val="4"/>
        <w:rPr>
          <w:rFonts w:ascii="仿宋" w:hAnsi="仿宋" w:eastAsia="仿宋"/>
        </w:rPr>
      </w:pPr>
      <w:r>
        <w:rPr>
          <w:rFonts w:hint="eastAsia" w:ascii="仿宋" w:hAnsi="仿宋" w:eastAsia="仿宋"/>
          <w:b w:val="0"/>
        </w:rPr>
        <w:t>一、收</w:t>
      </w:r>
      <w:r>
        <w:rPr>
          <w:rStyle w:val="28"/>
          <w:rFonts w:hint="eastAsia" w:ascii="仿宋" w:hAnsi="仿宋" w:eastAsia="仿宋"/>
          <w:b w:val="0"/>
          <w:bCs w:val="0"/>
        </w:rPr>
        <w:t>入支出决算总表</w:t>
      </w:r>
      <w:bookmarkEnd w:id="62"/>
    </w:p>
    <w:p w14:paraId="699EBF90">
      <w:pPr>
        <w:pStyle w:val="4"/>
        <w:rPr>
          <w:rFonts w:ascii="仿宋" w:hAnsi="仿宋" w:eastAsia="仿宋"/>
        </w:rPr>
      </w:pPr>
      <w:bookmarkStart w:id="63" w:name="_Toc15396620"/>
      <w:r>
        <w:rPr>
          <w:rFonts w:hint="eastAsia" w:ascii="仿宋" w:hAnsi="仿宋" w:eastAsia="仿宋"/>
          <w:b w:val="0"/>
        </w:rPr>
        <w:t>二、收</w:t>
      </w:r>
      <w:r>
        <w:rPr>
          <w:rStyle w:val="28"/>
          <w:rFonts w:hint="eastAsia" w:ascii="仿宋" w:hAnsi="仿宋" w:eastAsia="仿宋"/>
          <w:b w:val="0"/>
          <w:bCs w:val="0"/>
        </w:rPr>
        <w:t>入决算表</w:t>
      </w:r>
      <w:bookmarkEnd w:id="63"/>
    </w:p>
    <w:p w14:paraId="4FA80FBA">
      <w:pPr>
        <w:pStyle w:val="4"/>
        <w:rPr>
          <w:rFonts w:ascii="仿宋" w:hAnsi="仿宋" w:eastAsia="仿宋"/>
        </w:rPr>
      </w:pPr>
      <w:bookmarkStart w:id="64" w:name="_Toc15396621"/>
      <w:r>
        <w:rPr>
          <w:rStyle w:val="28"/>
          <w:rFonts w:hint="eastAsia" w:ascii="仿宋" w:hAnsi="仿宋" w:eastAsia="仿宋"/>
          <w:b w:val="0"/>
          <w:bCs w:val="0"/>
        </w:rPr>
        <w:t>三、</w:t>
      </w:r>
      <w:r>
        <w:rPr>
          <w:rFonts w:hint="eastAsia" w:ascii="仿宋" w:hAnsi="仿宋" w:eastAsia="仿宋"/>
          <w:b w:val="0"/>
        </w:rPr>
        <w:t>支</w:t>
      </w:r>
      <w:r>
        <w:rPr>
          <w:rStyle w:val="28"/>
          <w:rFonts w:hint="eastAsia" w:ascii="仿宋" w:hAnsi="仿宋" w:eastAsia="仿宋"/>
          <w:b w:val="0"/>
          <w:bCs w:val="0"/>
        </w:rPr>
        <w:t>出决算表</w:t>
      </w:r>
      <w:bookmarkEnd w:id="64"/>
    </w:p>
    <w:p w14:paraId="6B3F29D0">
      <w:pPr>
        <w:pStyle w:val="4"/>
        <w:rPr>
          <w:rFonts w:ascii="仿宋" w:hAnsi="仿宋" w:eastAsia="仿宋"/>
          <w:b w:val="0"/>
        </w:rPr>
      </w:pPr>
      <w:bookmarkStart w:id="65" w:name="_Toc15396622"/>
      <w:r>
        <w:rPr>
          <w:rStyle w:val="28"/>
          <w:rFonts w:hint="eastAsia" w:ascii="仿宋" w:hAnsi="仿宋" w:eastAsia="仿宋"/>
          <w:b w:val="0"/>
          <w:bCs w:val="0"/>
        </w:rPr>
        <w:t>四、</w:t>
      </w:r>
      <w:r>
        <w:rPr>
          <w:rFonts w:hint="eastAsia" w:ascii="仿宋" w:hAnsi="仿宋" w:eastAsia="仿宋"/>
          <w:b w:val="0"/>
        </w:rPr>
        <w:t>财</w:t>
      </w:r>
      <w:r>
        <w:rPr>
          <w:rStyle w:val="28"/>
          <w:rFonts w:hint="eastAsia" w:ascii="仿宋" w:hAnsi="仿宋" w:eastAsia="仿宋"/>
          <w:b w:val="0"/>
          <w:bCs w:val="0"/>
        </w:rPr>
        <w:t>政拨款收入支出决算总表</w:t>
      </w:r>
      <w:bookmarkEnd w:id="65"/>
    </w:p>
    <w:p w14:paraId="288115A2">
      <w:pPr>
        <w:pStyle w:val="4"/>
        <w:rPr>
          <w:rStyle w:val="28"/>
          <w:rFonts w:ascii="仿宋" w:hAnsi="仿宋" w:eastAsia="仿宋"/>
          <w:b w:val="0"/>
          <w:bCs w:val="0"/>
        </w:rPr>
      </w:pPr>
      <w:bookmarkStart w:id="66" w:name="_Toc15396623"/>
      <w:r>
        <w:rPr>
          <w:rStyle w:val="28"/>
          <w:rFonts w:hint="eastAsia" w:ascii="仿宋" w:hAnsi="仿宋" w:eastAsia="仿宋"/>
          <w:b w:val="0"/>
          <w:bCs w:val="0"/>
        </w:rPr>
        <w:t>五、</w:t>
      </w:r>
      <w:r>
        <w:rPr>
          <w:rFonts w:hint="eastAsia" w:ascii="仿宋" w:hAnsi="仿宋" w:eastAsia="仿宋"/>
          <w:b w:val="0"/>
        </w:rPr>
        <w:t>财</w:t>
      </w:r>
      <w:r>
        <w:rPr>
          <w:rStyle w:val="28"/>
          <w:rFonts w:hint="eastAsia" w:ascii="仿宋" w:hAnsi="仿宋" w:eastAsia="仿宋"/>
          <w:b w:val="0"/>
          <w:bCs w:val="0"/>
        </w:rPr>
        <w:t>政拨款支出决算明细表</w:t>
      </w:r>
      <w:bookmarkEnd w:id="66"/>
      <w:bookmarkStart w:id="67" w:name="_Toc15396624"/>
    </w:p>
    <w:p w14:paraId="1291FFED">
      <w:pPr>
        <w:pStyle w:val="4"/>
        <w:rPr>
          <w:rFonts w:ascii="仿宋" w:hAnsi="仿宋" w:eastAsia="仿宋"/>
        </w:rPr>
      </w:pPr>
      <w:r>
        <w:rPr>
          <w:rStyle w:val="28"/>
          <w:rFonts w:hint="eastAsia" w:ascii="仿宋" w:hAnsi="仿宋" w:eastAsia="仿宋"/>
          <w:b w:val="0"/>
          <w:bCs w:val="0"/>
        </w:rPr>
        <w:t>六、</w:t>
      </w:r>
      <w:r>
        <w:rPr>
          <w:rFonts w:hint="eastAsia" w:ascii="仿宋" w:hAnsi="仿宋" w:eastAsia="仿宋"/>
          <w:b w:val="0"/>
        </w:rPr>
        <w:t>一</w:t>
      </w:r>
      <w:r>
        <w:rPr>
          <w:rStyle w:val="28"/>
          <w:rFonts w:hint="eastAsia" w:ascii="仿宋" w:hAnsi="仿宋" w:eastAsia="仿宋"/>
          <w:b w:val="0"/>
          <w:bCs w:val="0"/>
        </w:rPr>
        <w:t>般公共预算财政拨款支出决算表</w:t>
      </w:r>
      <w:bookmarkEnd w:id="67"/>
    </w:p>
    <w:p w14:paraId="1061AF0B">
      <w:pPr>
        <w:pStyle w:val="4"/>
        <w:rPr>
          <w:rFonts w:ascii="仿宋" w:hAnsi="仿宋" w:eastAsia="仿宋"/>
        </w:rPr>
      </w:pPr>
      <w:bookmarkStart w:id="68" w:name="_Toc15396625"/>
      <w:r>
        <w:rPr>
          <w:rStyle w:val="28"/>
          <w:rFonts w:hint="eastAsia" w:ascii="仿宋" w:hAnsi="仿宋" w:eastAsia="仿宋"/>
          <w:b w:val="0"/>
          <w:bCs w:val="0"/>
        </w:rPr>
        <w:t>七、</w:t>
      </w:r>
      <w:r>
        <w:rPr>
          <w:rFonts w:hint="eastAsia" w:ascii="仿宋" w:hAnsi="仿宋" w:eastAsia="仿宋"/>
          <w:b w:val="0"/>
        </w:rPr>
        <w:t>一</w:t>
      </w:r>
      <w:r>
        <w:rPr>
          <w:rStyle w:val="28"/>
          <w:rFonts w:hint="eastAsia" w:ascii="仿宋" w:hAnsi="仿宋" w:eastAsia="仿宋"/>
          <w:b w:val="0"/>
          <w:bCs w:val="0"/>
        </w:rPr>
        <w:t>般公共预算财政拨款支出决算明细表</w:t>
      </w:r>
      <w:bookmarkEnd w:id="68"/>
    </w:p>
    <w:p w14:paraId="1AF772D1">
      <w:pPr>
        <w:pStyle w:val="4"/>
        <w:rPr>
          <w:rFonts w:ascii="仿宋" w:hAnsi="仿宋" w:eastAsia="仿宋"/>
        </w:rPr>
      </w:pPr>
      <w:bookmarkStart w:id="69" w:name="_Toc15396626"/>
      <w:r>
        <w:rPr>
          <w:rStyle w:val="28"/>
          <w:rFonts w:hint="eastAsia" w:ascii="仿宋" w:hAnsi="仿宋" w:eastAsia="仿宋"/>
          <w:b w:val="0"/>
          <w:bCs w:val="0"/>
        </w:rPr>
        <w:t>八、</w:t>
      </w:r>
      <w:r>
        <w:rPr>
          <w:rFonts w:hint="eastAsia" w:ascii="仿宋" w:hAnsi="仿宋" w:eastAsia="仿宋"/>
          <w:b w:val="0"/>
        </w:rPr>
        <w:t>一</w:t>
      </w:r>
      <w:r>
        <w:rPr>
          <w:rStyle w:val="28"/>
          <w:rFonts w:hint="eastAsia" w:ascii="仿宋" w:hAnsi="仿宋" w:eastAsia="仿宋"/>
          <w:b w:val="0"/>
          <w:bCs w:val="0"/>
        </w:rPr>
        <w:t>般公共预算财政拨款基本支出决算表</w:t>
      </w:r>
      <w:bookmarkEnd w:id="69"/>
    </w:p>
    <w:p w14:paraId="071DBFD0">
      <w:pPr>
        <w:pStyle w:val="4"/>
        <w:rPr>
          <w:rFonts w:ascii="仿宋" w:hAnsi="仿宋" w:eastAsia="仿宋"/>
        </w:rPr>
      </w:pPr>
      <w:bookmarkStart w:id="70" w:name="_Toc15396627"/>
      <w:r>
        <w:rPr>
          <w:rStyle w:val="28"/>
          <w:rFonts w:hint="eastAsia" w:ascii="仿宋" w:hAnsi="仿宋" w:eastAsia="仿宋"/>
          <w:b w:val="0"/>
          <w:bCs w:val="0"/>
        </w:rPr>
        <w:t>九、</w:t>
      </w:r>
      <w:r>
        <w:rPr>
          <w:rFonts w:hint="eastAsia" w:ascii="仿宋" w:hAnsi="仿宋" w:eastAsia="仿宋"/>
          <w:b w:val="0"/>
        </w:rPr>
        <w:t>一</w:t>
      </w:r>
      <w:r>
        <w:rPr>
          <w:rStyle w:val="28"/>
          <w:rFonts w:hint="eastAsia" w:ascii="仿宋" w:hAnsi="仿宋" w:eastAsia="仿宋"/>
          <w:b w:val="0"/>
          <w:bCs w:val="0"/>
        </w:rPr>
        <w:t>般公共预算财政拨款项目支出决算表</w:t>
      </w:r>
      <w:bookmarkEnd w:id="70"/>
    </w:p>
    <w:p w14:paraId="426ED982">
      <w:pPr>
        <w:pStyle w:val="4"/>
        <w:rPr>
          <w:rFonts w:ascii="仿宋" w:hAnsi="仿宋" w:eastAsia="仿宋"/>
        </w:rPr>
      </w:pPr>
      <w:bookmarkStart w:id="71" w:name="_Toc15396628"/>
      <w:r>
        <w:rPr>
          <w:rStyle w:val="28"/>
          <w:rFonts w:hint="eastAsia" w:ascii="仿宋" w:hAnsi="仿宋" w:eastAsia="仿宋"/>
          <w:b w:val="0"/>
          <w:bCs w:val="0"/>
        </w:rPr>
        <w:t>十、</w:t>
      </w:r>
      <w:bookmarkEnd w:id="71"/>
      <w:r>
        <w:rPr>
          <w:rFonts w:hint="eastAsia" w:ascii="仿宋" w:hAnsi="仿宋" w:eastAsia="仿宋"/>
          <w:b w:val="0"/>
        </w:rPr>
        <w:t>政</w:t>
      </w:r>
      <w:r>
        <w:rPr>
          <w:rStyle w:val="28"/>
          <w:rFonts w:hint="eastAsia" w:ascii="仿宋" w:hAnsi="仿宋" w:eastAsia="仿宋"/>
          <w:b w:val="0"/>
          <w:bCs w:val="0"/>
        </w:rPr>
        <w:t>府性基金预算财政拨款收入支出决算表</w:t>
      </w:r>
    </w:p>
    <w:p w14:paraId="7238B3D5">
      <w:pPr>
        <w:pStyle w:val="4"/>
        <w:rPr>
          <w:rFonts w:ascii="仿宋" w:hAnsi="仿宋" w:eastAsia="仿宋"/>
        </w:rPr>
      </w:pPr>
      <w:bookmarkStart w:id="72" w:name="_Toc15396629"/>
      <w:r>
        <w:rPr>
          <w:rStyle w:val="28"/>
          <w:rFonts w:hint="eastAsia" w:ascii="仿宋" w:hAnsi="仿宋" w:eastAsia="仿宋"/>
          <w:b w:val="0"/>
          <w:bCs w:val="0"/>
        </w:rPr>
        <w:t>十一、</w:t>
      </w:r>
      <w:bookmarkEnd w:id="72"/>
      <w:r>
        <w:rPr>
          <w:rFonts w:hint="eastAsia" w:ascii="仿宋" w:hAnsi="仿宋" w:eastAsia="仿宋"/>
          <w:b w:val="0"/>
        </w:rPr>
        <w:t>国</w:t>
      </w:r>
      <w:r>
        <w:rPr>
          <w:rStyle w:val="28"/>
          <w:rFonts w:hint="eastAsia" w:ascii="仿宋" w:hAnsi="仿宋" w:eastAsia="仿宋"/>
          <w:b w:val="0"/>
          <w:bCs w:val="0"/>
        </w:rPr>
        <w:t>有资本经营预算财政拨款收入支出决算表</w:t>
      </w:r>
    </w:p>
    <w:p w14:paraId="05DD10D3">
      <w:pPr>
        <w:pStyle w:val="4"/>
        <w:rPr>
          <w:rFonts w:ascii="仿宋" w:hAnsi="仿宋" w:eastAsia="仿宋"/>
        </w:rPr>
      </w:pPr>
      <w:bookmarkStart w:id="73" w:name="_Toc15396630"/>
      <w:r>
        <w:rPr>
          <w:rStyle w:val="28"/>
          <w:rFonts w:hint="eastAsia" w:ascii="仿宋" w:hAnsi="仿宋" w:eastAsia="仿宋"/>
          <w:b w:val="0"/>
          <w:bCs w:val="0"/>
        </w:rPr>
        <w:t>十二、</w:t>
      </w:r>
      <w:bookmarkEnd w:id="73"/>
      <w:r>
        <w:rPr>
          <w:rStyle w:val="28"/>
          <w:rFonts w:hint="eastAsia" w:ascii="仿宋" w:hAnsi="仿宋" w:eastAsia="仿宋"/>
          <w:b w:val="0"/>
          <w:bCs w:val="0"/>
        </w:rPr>
        <w:t>国有资本经营预算财政拨款支出决算表</w:t>
      </w:r>
    </w:p>
    <w:p w14:paraId="5E112E9F">
      <w:pPr>
        <w:pStyle w:val="4"/>
        <w:rPr>
          <w:rStyle w:val="28"/>
          <w:rFonts w:ascii="仿宋" w:hAnsi="仿宋" w:eastAsia="仿宋"/>
          <w:b w:val="0"/>
          <w:bCs w:val="0"/>
        </w:rPr>
      </w:pPr>
      <w:bookmarkStart w:id="74" w:name="_Toc15396631"/>
      <w:r>
        <w:rPr>
          <w:rStyle w:val="28"/>
          <w:rFonts w:hint="eastAsia" w:ascii="仿宋" w:hAnsi="仿宋" w:eastAsia="仿宋"/>
          <w:b w:val="0"/>
          <w:bCs w:val="0"/>
        </w:rPr>
        <w:t>十三、</w:t>
      </w:r>
      <w:bookmarkEnd w:id="74"/>
      <w:r>
        <w:rPr>
          <w:rStyle w:val="28"/>
          <w:rFonts w:hint="eastAsia" w:ascii="仿宋" w:hAnsi="仿宋" w:eastAsia="仿宋"/>
          <w:b w:val="0"/>
          <w:bCs w:val="0"/>
        </w:rPr>
        <w:t>财政拨款“三公”经费支出决算表</w:t>
      </w:r>
    </w:p>
    <w:sectPr>
      <w:footerReference r:id="rId5" w:type="firs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F6CC470-AE78-4420-806D-4BE728C58827}"/>
  </w:font>
  <w:font w:name="黑体">
    <w:panose1 w:val="02010609060101010101"/>
    <w:charset w:val="86"/>
    <w:family w:val="auto"/>
    <w:pitch w:val="default"/>
    <w:sig w:usb0="800002BF" w:usb1="38CF7CFA" w:usb2="00000016" w:usb3="00000000" w:csb0="00040001" w:csb1="00000000"/>
    <w:embedRegular r:id="rId2" w:fontKey="{B1EECCEC-1882-4CE4-8CC7-5D754136A45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02EB0C5-6C0A-45C3-89FE-27EB46D4873F}"/>
  </w:font>
  <w:font w:name="Cambria">
    <w:panose1 w:val="02040503050406030204"/>
    <w:charset w:val="00"/>
    <w:family w:val="roman"/>
    <w:pitch w:val="default"/>
    <w:sig w:usb0="E00006FF" w:usb1="420024FF" w:usb2="02000000" w:usb3="00000000" w:csb0="2000019F" w:csb1="00000000"/>
    <w:embedRegular r:id="rId4" w:fontKey="{ADA596B5-E6E5-4C26-B0C9-104C7E6F5AA7}"/>
  </w:font>
  <w:font w:name="仿宋_GB2312">
    <w:panose1 w:val="02010609030101010101"/>
    <w:charset w:val="86"/>
    <w:family w:val="modern"/>
    <w:pitch w:val="default"/>
    <w:sig w:usb0="00000001" w:usb1="080E0000" w:usb2="00000000" w:usb3="00000000" w:csb0="00040000" w:csb1="00000000"/>
    <w:embedRegular r:id="rId5" w:fontKey="{BF2C0A30-BCC9-4CA8-A48E-A287E836D49C}"/>
  </w:font>
  <w:font w:name="仿宋">
    <w:panose1 w:val="02010609060101010101"/>
    <w:charset w:val="86"/>
    <w:family w:val="modern"/>
    <w:pitch w:val="default"/>
    <w:sig w:usb0="800002BF" w:usb1="38CF7CFA" w:usb2="00000016" w:usb3="00000000" w:csb0="00040001" w:csb1="00000000"/>
    <w:embedRegular r:id="rId6" w:fontKey="{7B24BD5B-00CB-4AD7-ADB7-29310D1AD82C}"/>
  </w:font>
  <w:font w:name="??">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embedRegular r:id="rId7" w:fontKey="{C931D4E5-2C6A-41FA-A913-18179F465A7D}"/>
  </w:font>
  <w:font w:name="___WRD_EMBED_SUB_46">
    <w:panose1 w:val="02010609030101010101"/>
    <w:charset w:val="86"/>
    <w:family w:val="modern"/>
    <w:pitch w:val="default"/>
    <w:sig w:usb0="00000001" w:usb1="080E0000" w:usb2="00000000" w:usb3="00000000" w:csb0="00040000" w:csb1="00000000"/>
    <w:embedRegular r:id="rId8" w:fontKey="{EA481325-98D0-4517-A339-AAA9387FFE2B}"/>
  </w:font>
  <w:font w:name="微软雅黑">
    <w:panose1 w:val="020B0503020204020204"/>
    <w:charset w:val="86"/>
    <w:family w:val="swiss"/>
    <w:pitch w:val="default"/>
    <w:sig w:usb0="80000287" w:usb1="2ACF3C50" w:usb2="00000016" w:usb3="00000000" w:csb0="0004001F" w:csb1="00000000"/>
    <w:embedRegular r:id="rId9" w:fontKey="{A6420585-FE9B-48AA-A9C9-D41C6E9D869D}"/>
  </w:font>
  <w:font w:name="___WRD_EMBED_SUB_40">
    <w:panose1 w:val="02010609030101010101"/>
    <w:charset w:val="86"/>
    <w:family w:val="modern"/>
    <w:pitch w:val="default"/>
    <w:sig w:usb0="00000001" w:usb1="080E0000" w:usb2="00000000" w:usb3="00000000" w:csb0="00040000" w:csb1="00000000"/>
    <w:embedRegular r:id="rId10" w:fontKey="{91D266DF-5C81-44B7-9DBC-77B3F0F1C76D}"/>
  </w:font>
  <w:font w:name="楷体_GB2312">
    <w:panose1 w:val="02010609030101010101"/>
    <w:charset w:val="86"/>
    <w:family w:val="modern"/>
    <w:pitch w:val="default"/>
    <w:sig w:usb0="00000001" w:usb1="080E0000" w:usb2="00000000" w:usb3="00000000" w:csb0="00040000" w:csb1="00000000"/>
    <w:embedRegular r:id="rId11" w:fontKey="{B021F38C-F875-4AE4-8713-B9617C3B627B}"/>
  </w:font>
  <w:font w:name="方正仿宋_GB2312">
    <w:panose1 w:val="02000000000000000000"/>
    <w:charset w:val="86"/>
    <w:family w:val="auto"/>
    <w:pitch w:val="default"/>
    <w:sig w:usb0="A00002BF" w:usb1="184F6CFA" w:usb2="00000012" w:usb3="00000000" w:csb0="00040001" w:csb1="00000000"/>
    <w:embedRegular r:id="rId12" w:fontKey="{A62AD89A-608E-474F-BC56-1AD91978BB77}"/>
  </w:font>
  <w:font w:name="方正小标宋_GBK">
    <w:panose1 w:val="02000000000000000000"/>
    <w:charset w:val="86"/>
    <w:family w:val="auto"/>
    <w:pitch w:val="default"/>
    <w:sig w:usb0="A00002BF" w:usb1="38CF7CFA" w:usb2="00082016" w:usb3="00000000" w:csb0="00040001" w:csb1="00000000"/>
    <w:embedRegular r:id="rId13" w:fontKey="{9812AA1D-867A-41D8-B25D-B4FF95B61CEA}"/>
  </w:font>
  <w:font w:name="楷体">
    <w:panose1 w:val="02010609060101010101"/>
    <w:charset w:val="86"/>
    <w:family w:val="modern"/>
    <w:pitch w:val="default"/>
    <w:sig w:usb0="800002BF" w:usb1="38CF7CFA" w:usb2="00000016" w:usb3="00000000" w:csb0="00040001" w:csb1="00000000"/>
    <w:embedRegular r:id="rId14" w:fontKey="{D39811F1-3982-4212-8DD5-CAD8ACF0E407}"/>
  </w:font>
  <w:font w:name="___WRD_EMBED_SUB_17">
    <w:altName w:val="微软雅黑"/>
    <w:panose1 w:val="00000000000000000000"/>
    <w:charset w:val="86"/>
    <w:family w:val="modern"/>
    <w:pitch w:val="default"/>
    <w:sig w:usb0="00000000" w:usb1="00000000" w:usb2="00000016" w:usb3="00000000" w:csb0="00040001" w:csb1="00000000"/>
    <w:embedRegular r:id="rId15" w:fontKey="{CA00E9B6-4935-487C-BB0E-85B16DABA94C}"/>
  </w:font>
  <w:font w:name="等线">
    <w:panose1 w:val="02010600030101010101"/>
    <w:charset w:val="86"/>
    <w:family w:val="auto"/>
    <w:pitch w:val="default"/>
    <w:sig w:usb0="A00002BF" w:usb1="38CF7CFA" w:usb2="00000016" w:usb3="00000000" w:csb0="0004000F" w:csb1="00000000"/>
    <w:embedRegular r:id="rId16" w:fontKey="{2921B9C4-79BF-4D9D-A88B-BA2E635709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9776988"/>
      <w:docPartObj>
        <w:docPartGallery w:val="autotext"/>
      </w:docPartObj>
    </w:sdtPr>
    <w:sdtEndPr>
      <w:rPr>
        <w:rFonts w:ascii="仿宋" w:hAnsi="仿宋" w:eastAsia="仿宋"/>
        <w:sz w:val="32"/>
        <w:szCs w:val="32"/>
      </w:rPr>
    </w:sdtEndPr>
    <w:sdtContent>
      <w:p w14:paraId="51329F62">
        <w:pPr>
          <w:pStyle w:val="9"/>
          <w:ind w:firstLine="640"/>
          <w:jc w:val="center"/>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PAGE   \* MERGEFORMAT</w:instrText>
        </w:r>
        <w:r>
          <w:rPr>
            <w:rFonts w:ascii="仿宋" w:hAnsi="仿宋" w:eastAsia="仿宋"/>
            <w:sz w:val="32"/>
            <w:szCs w:val="32"/>
          </w:rPr>
          <w:fldChar w:fldCharType="separate"/>
        </w:r>
        <w:r>
          <w:rPr>
            <w:rFonts w:ascii="仿宋" w:hAnsi="仿宋" w:eastAsia="仿宋"/>
            <w:sz w:val="32"/>
            <w:szCs w:val="32"/>
            <w:lang w:val="zh-CN"/>
          </w:rPr>
          <w:t>18</w:t>
        </w:r>
        <w:r>
          <w:rPr>
            <w:rFonts w:ascii="仿宋" w:hAnsi="仿宋" w:eastAsia="仿宋"/>
            <w:sz w:val="32"/>
            <w:szCs w:val="32"/>
          </w:rPr>
          <w:fldChar w:fldCharType="end"/>
        </w:r>
      </w:p>
    </w:sdtContent>
  </w:sdt>
  <w:p w14:paraId="771C35FE">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96448709"/>
      <w:docPartObj>
        <w:docPartGallery w:val="autotext"/>
      </w:docPartObj>
    </w:sdtPr>
    <w:sdtEndPr>
      <w:rPr>
        <w:rFonts w:ascii="仿宋" w:hAnsi="仿宋" w:eastAsia="仿宋"/>
        <w:sz w:val="32"/>
        <w:szCs w:val="32"/>
      </w:rPr>
    </w:sdtEndPr>
    <w:sdtContent>
      <w:p w14:paraId="709D3323">
        <w:pPr>
          <w:pStyle w:val="9"/>
          <w:ind w:firstLine="640"/>
          <w:jc w:val="center"/>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PAGE   \* MERGEFORMAT</w:instrText>
        </w:r>
        <w:r>
          <w:rPr>
            <w:rFonts w:ascii="仿宋" w:hAnsi="仿宋" w:eastAsia="仿宋"/>
            <w:sz w:val="32"/>
            <w:szCs w:val="32"/>
          </w:rPr>
          <w:fldChar w:fldCharType="separate"/>
        </w:r>
        <w:r>
          <w:rPr>
            <w:rFonts w:ascii="仿宋" w:hAnsi="仿宋" w:eastAsia="仿宋"/>
            <w:sz w:val="32"/>
            <w:szCs w:val="32"/>
            <w:lang w:val="zh-CN"/>
          </w:rPr>
          <w:t>1</w:t>
        </w:r>
        <w:r>
          <w:rPr>
            <w:rFonts w:ascii="仿宋" w:hAnsi="仿宋" w:eastAsia="仿宋"/>
            <w:sz w:val="32"/>
            <w:szCs w:val="32"/>
          </w:rPr>
          <w:fldChar w:fldCharType="end"/>
        </w:r>
      </w:p>
    </w:sdtContent>
  </w:sdt>
  <w:p w14:paraId="68F91AEC">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F8705">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DEBEF323"/>
    <w:multiLevelType w:val="singleLevel"/>
    <w:tmpl w:val="DEBEF323"/>
    <w:lvl w:ilvl="0" w:tentative="0">
      <w:start w:val="4"/>
      <w:numFmt w:val="chineseCounting"/>
      <w:suff w:val="nothing"/>
      <w:lvlText w:val="（%1）"/>
      <w:lvlJc w:val="left"/>
      <w:rPr>
        <w:rFonts w:hint="eastAsia"/>
      </w:rPr>
    </w:lvl>
  </w:abstractNum>
  <w:abstractNum w:abstractNumId="2">
    <w:nsid w:val="E2FA047D"/>
    <w:multiLevelType w:val="singleLevel"/>
    <w:tmpl w:val="E2FA047D"/>
    <w:lvl w:ilvl="0" w:tentative="0">
      <w:start w:val="3"/>
      <w:numFmt w:val="chineseCounting"/>
      <w:suff w:val="space"/>
      <w:lvlText w:val="第%1部分"/>
      <w:lvlJc w:val="left"/>
      <w:rPr>
        <w:rFonts w:hint="eastAsia"/>
      </w:rPr>
    </w:lvl>
  </w:abstractNum>
  <w:abstractNum w:abstractNumId="3">
    <w:nsid w:val="FFF674BC"/>
    <w:multiLevelType w:val="singleLevel"/>
    <w:tmpl w:val="FFF674BC"/>
    <w:lvl w:ilvl="0" w:tentative="0">
      <w:start w:val="1"/>
      <w:numFmt w:val="chineseCounting"/>
      <w:suff w:val="nothing"/>
      <w:lvlText w:val="%1、"/>
      <w:lvlJc w:val="left"/>
      <w:rPr>
        <w:rFonts w:hint="eastAsia"/>
      </w:rPr>
    </w:lvl>
  </w:abstractNum>
  <w:abstractNum w:abstractNumId="4">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
    <w:nsid w:val="5639169A"/>
    <w:multiLevelType w:val="multilevel"/>
    <w:tmpl w:val="5639169A"/>
    <w:lvl w:ilvl="0" w:tentative="0">
      <w:start w:val="3"/>
      <w:numFmt w:val="japaneseCounting"/>
      <w:lvlText w:val="（%1）"/>
      <w:lvlJc w:val="left"/>
      <w:pPr>
        <w:ind w:left="1710" w:hanging="1080"/>
      </w:pPr>
      <w:rPr>
        <w:rFonts w:hint="default" w:ascii="仿宋" w:hAnsi="仿宋" w:eastAsia="仿宋"/>
        <w:b w:val="0"/>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6">
    <w:nsid w:val="62621CDC"/>
    <w:multiLevelType w:val="multilevel"/>
    <w:tmpl w:val="62621CDC"/>
    <w:lvl w:ilvl="0" w:tentative="0">
      <w:start w:val="1"/>
      <w:numFmt w:val="decimal"/>
      <w:lvlText w:val="%1."/>
      <w:lvlJc w:val="left"/>
      <w:pPr>
        <w:ind w:left="1152" w:hanging="480"/>
      </w:pPr>
      <w:rPr>
        <w:rFonts w:hint="default"/>
      </w:rPr>
    </w:lvl>
    <w:lvl w:ilvl="1" w:tentative="0">
      <w:start w:val="1"/>
      <w:numFmt w:val="lowerLetter"/>
      <w:lvlText w:val="%2)"/>
      <w:lvlJc w:val="left"/>
      <w:pPr>
        <w:ind w:left="1512" w:hanging="420"/>
      </w:pPr>
    </w:lvl>
    <w:lvl w:ilvl="2" w:tentative="0">
      <w:start w:val="1"/>
      <w:numFmt w:val="lowerRoman"/>
      <w:lvlText w:val="%3."/>
      <w:lvlJc w:val="right"/>
      <w:pPr>
        <w:ind w:left="1932" w:hanging="420"/>
      </w:pPr>
    </w:lvl>
    <w:lvl w:ilvl="3" w:tentative="0">
      <w:start w:val="1"/>
      <w:numFmt w:val="decimal"/>
      <w:lvlText w:val="%4."/>
      <w:lvlJc w:val="left"/>
      <w:pPr>
        <w:ind w:left="2352" w:hanging="420"/>
      </w:pPr>
    </w:lvl>
    <w:lvl w:ilvl="4" w:tentative="0">
      <w:start w:val="1"/>
      <w:numFmt w:val="lowerLetter"/>
      <w:lvlText w:val="%5)"/>
      <w:lvlJc w:val="left"/>
      <w:pPr>
        <w:ind w:left="2772" w:hanging="420"/>
      </w:pPr>
    </w:lvl>
    <w:lvl w:ilvl="5" w:tentative="0">
      <w:start w:val="1"/>
      <w:numFmt w:val="lowerRoman"/>
      <w:lvlText w:val="%6."/>
      <w:lvlJc w:val="right"/>
      <w:pPr>
        <w:ind w:left="3192" w:hanging="420"/>
      </w:pPr>
    </w:lvl>
    <w:lvl w:ilvl="6" w:tentative="0">
      <w:start w:val="1"/>
      <w:numFmt w:val="decimal"/>
      <w:lvlText w:val="%7."/>
      <w:lvlJc w:val="left"/>
      <w:pPr>
        <w:ind w:left="3612" w:hanging="420"/>
      </w:pPr>
    </w:lvl>
    <w:lvl w:ilvl="7" w:tentative="0">
      <w:start w:val="1"/>
      <w:numFmt w:val="lowerLetter"/>
      <w:lvlText w:val="%8)"/>
      <w:lvlJc w:val="left"/>
      <w:pPr>
        <w:ind w:left="4032" w:hanging="420"/>
      </w:pPr>
    </w:lvl>
    <w:lvl w:ilvl="8" w:tentative="0">
      <w:start w:val="1"/>
      <w:numFmt w:val="lowerRoman"/>
      <w:lvlText w:val="%9."/>
      <w:lvlJc w:val="right"/>
      <w:pPr>
        <w:ind w:left="4452" w:hanging="420"/>
      </w:pPr>
    </w:lvl>
  </w:abstractNum>
  <w:abstractNum w:abstractNumId="7">
    <w:nsid w:val="659DB9A7"/>
    <w:multiLevelType w:val="singleLevel"/>
    <w:tmpl w:val="659DB9A7"/>
    <w:lvl w:ilvl="0" w:tentative="0">
      <w:start w:val="2"/>
      <w:numFmt w:val="chineseCounting"/>
      <w:suff w:val="nothing"/>
      <w:lvlText w:val="（%1）"/>
      <w:lvlJc w:val="left"/>
      <w:rPr>
        <w:rFonts w:hint="eastAsia" w:ascii="黑体" w:hAnsi="黑体" w:eastAsia="黑体"/>
        <w:b w:val="0"/>
      </w:rPr>
    </w:lvl>
  </w:abstractNum>
  <w:abstractNum w:abstractNumId="8">
    <w:nsid w:val="6E5AA8EA"/>
    <w:multiLevelType w:val="singleLevel"/>
    <w:tmpl w:val="6E5AA8EA"/>
    <w:lvl w:ilvl="0" w:tentative="0">
      <w:start w:val="1"/>
      <w:numFmt w:val="chineseCounting"/>
      <w:suff w:val="nothing"/>
      <w:lvlText w:val="（%1）"/>
      <w:lvlJc w:val="left"/>
      <w:pPr>
        <w:ind w:left="-13"/>
      </w:pPr>
      <w:rPr>
        <w:rFonts w:hint="eastAsia" w:ascii="仿宋" w:hAnsi="仿宋" w:eastAsia="仿宋"/>
      </w:rPr>
    </w:lvl>
  </w:abstractNum>
  <w:abstractNum w:abstractNumId="9">
    <w:nsid w:val="750048DC"/>
    <w:multiLevelType w:val="multilevel"/>
    <w:tmpl w:val="750048DC"/>
    <w:lvl w:ilvl="0" w:tentative="0">
      <w:start w:val="1"/>
      <w:numFmt w:val="japaneseCounting"/>
      <w:lvlText w:val="%1、"/>
      <w:lvlJc w:val="left"/>
      <w:pPr>
        <w:ind w:left="630" w:hanging="63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6"/>
  </w:num>
  <w:num w:numId="3">
    <w:abstractNumId w:val="4"/>
  </w:num>
  <w:num w:numId="4">
    <w:abstractNumId w:val="0"/>
  </w:num>
  <w:num w:numId="5">
    <w:abstractNumId w:val="2"/>
  </w:num>
  <w:num w:numId="6">
    <w:abstractNumId w:val="3"/>
  </w:num>
  <w:num w:numId="7">
    <w:abstractNumId w:val="8"/>
  </w:num>
  <w:num w:numId="8">
    <w:abstractNumId w:val="5"/>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yYjYzNzgxOGI2NjU1ZDBmYzhiMmFiNTU4Y2Y2ZTAifQ=="/>
  </w:docVars>
  <w:rsids>
    <w:rsidRoot w:val="00F1361C"/>
    <w:rsid w:val="000113CF"/>
    <w:rsid w:val="0001573E"/>
    <w:rsid w:val="000222C6"/>
    <w:rsid w:val="0002549F"/>
    <w:rsid w:val="00035395"/>
    <w:rsid w:val="000468DB"/>
    <w:rsid w:val="00055FAD"/>
    <w:rsid w:val="0006487A"/>
    <w:rsid w:val="00065F8F"/>
    <w:rsid w:val="00070A43"/>
    <w:rsid w:val="000768F2"/>
    <w:rsid w:val="0009184B"/>
    <w:rsid w:val="00091BD4"/>
    <w:rsid w:val="00094236"/>
    <w:rsid w:val="0009593C"/>
    <w:rsid w:val="00097322"/>
    <w:rsid w:val="000A6A92"/>
    <w:rsid w:val="000B047F"/>
    <w:rsid w:val="000B5923"/>
    <w:rsid w:val="000B5A48"/>
    <w:rsid w:val="000B68B8"/>
    <w:rsid w:val="000B6FF3"/>
    <w:rsid w:val="000C3467"/>
    <w:rsid w:val="000C3CA6"/>
    <w:rsid w:val="000D1267"/>
    <w:rsid w:val="000D1D50"/>
    <w:rsid w:val="000D47B3"/>
    <w:rsid w:val="000D5782"/>
    <w:rsid w:val="000E6613"/>
    <w:rsid w:val="000E7119"/>
    <w:rsid w:val="00114E9B"/>
    <w:rsid w:val="00141C43"/>
    <w:rsid w:val="00142216"/>
    <w:rsid w:val="00144D6A"/>
    <w:rsid w:val="0014729F"/>
    <w:rsid w:val="00157BAB"/>
    <w:rsid w:val="001654D1"/>
    <w:rsid w:val="00174518"/>
    <w:rsid w:val="0018106D"/>
    <w:rsid w:val="0018184C"/>
    <w:rsid w:val="001877A7"/>
    <w:rsid w:val="00191536"/>
    <w:rsid w:val="00196687"/>
    <w:rsid w:val="001C0962"/>
    <w:rsid w:val="001D7531"/>
    <w:rsid w:val="001E737D"/>
    <w:rsid w:val="001F0592"/>
    <w:rsid w:val="001F7506"/>
    <w:rsid w:val="002006CD"/>
    <w:rsid w:val="00202B36"/>
    <w:rsid w:val="00204B7A"/>
    <w:rsid w:val="00204CDE"/>
    <w:rsid w:val="0020622F"/>
    <w:rsid w:val="0021101A"/>
    <w:rsid w:val="00220536"/>
    <w:rsid w:val="00235629"/>
    <w:rsid w:val="00260C38"/>
    <w:rsid w:val="002616C0"/>
    <w:rsid w:val="00265372"/>
    <w:rsid w:val="002662AA"/>
    <w:rsid w:val="00280496"/>
    <w:rsid w:val="00294DC9"/>
    <w:rsid w:val="00295495"/>
    <w:rsid w:val="002A31DE"/>
    <w:rsid w:val="002B2613"/>
    <w:rsid w:val="002C5921"/>
    <w:rsid w:val="002D6D05"/>
    <w:rsid w:val="002F1818"/>
    <w:rsid w:val="002F567B"/>
    <w:rsid w:val="00320291"/>
    <w:rsid w:val="003216A9"/>
    <w:rsid w:val="00335A74"/>
    <w:rsid w:val="003535E1"/>
    <w:rsid w:val="003540D3"/>
    <w:rsid w:val="0036561B"/>
    <w:rsid w:val="003657CC"/>
    <w:rsid w:val="0037013F"/>
    <w:rsid w:val="00371BAB"/>
    <w:rsid w:val="00380C92"/>
    <w:rsid w:val="003A3715"/>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10269"/>
    <w:rsid w:val="004223DE"/>
    <w:rsid w:val="00434489"/>
    <w:rsid w:val="00437085"/>
    <w:rsid w:val="00443880"/>
    <w:rsid w:val="004464F4"/>
    <w:rsid w:val="00471401"/>
    <w:rsid w:val="00473F31"/>
    <w:rsid w:val="0048263A"/>
    <w:rsid w:val="00487E5D"/>
    <w:rsid w:val="00490885"/>
    <w:rsid w:val="004A711F"/>
    <w:rsid w:val="004B199D"/>
    <w:rsid w:val="004B4690"/>
    <w:rsid w:val="004E0A2D"/>
    <w:rsid w:val="004E206B"/>
    <w:rsid w:val="004E670C"/>
    <w:rsid w:val="004E6DF7"/>
    <w:rsid w:val="004F0FBD"/>
    <w:rsid w:val="00505A47"/>
    <w:rsid w:val="00512FDA"/>
    <w:rsid w:val="00520DA0"/>
    <w:rsid w:val="00547EEB"/>
    <w:rsid w:val="005664BB"/>
    <w:rsid w:val="00566FFA"/>
    <w:rsid w:val="0057481D"/>
    <w:rsid w:val="0058486E"/>
    <w:rsid w:val="00585B33"/>
    <w:rsid w:val="0059014D"/>
    <w:rsid w:val="005B5C64"/>
    <w:rsid w:val="005C0B4F"/>
    <w:rsid w:val="005C5337"/>
    <w:rsid w:val="005C6BD0"/>
    <w:rsid w:val="005D1C8B"/>
    <w:rsid w:val="005D468D"/>
    <w:rsid w:val="005D5CED"/>
    <w:rsid w:val="005F1A4C"/>
    <w:rsid w:val="005F4DD7"/>
    <w:rsid w:val="006018C3"/>
    <w:rsid w:val="00605688"/>
    <w:rsid w:val="006070AF"/>
    <w:rsid w:val="00607E6C"/>
    <w:rsid w:val="006101B1"/>
    <w:rsid w:val="00614E44"/>
    <w:rsid w:val="0061714D"/>
    <w:rsid w:val="0062270A"/>
    <w:rsid w:val="00622830"/>
    <w:rsid w:val="00623DA0"/>
    <w:rsid w:val="00630AEF"/>
    <w:rsid w:val="006325F8"/>
    <w:rsid w:val="00633463"/>
    <w:rsid w:val="00634C9A"/>
    <w:rsid w:val="006440E4"/>
    <w:rsid w:val="00644725"/>
    <w:rsid w:val="0066343B"/>
    <w:rsid w:val="00664777"/>
    <w:rsid w:val="006748A4"/>
    <w:rsid w:val="00681A31"/>
    <w:rsid w:val="00683E73"/>
    <w:rsid w:val="00686116"/>
    <w:rsid w:val="00692300"/>
    <w:rsid w:val="006A3141"/>
    <w:rsid w:val="006A5E34"/>
    <w:rsid w:val="006B2422"/>
    <w:rsid w:val="006B2B9A"/>
    <w:rsid w:val="006C1937"/>
    <w:rsid w:val="006D3548"/>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A0767"/>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3CF8"/>
    <w:rsid w:val="00855221"/>
    <w:rsid w:val="00860000"/>
    <w:rsid w:val="00860645"/>
    <w:rsid w:val="00871F71"/>
    <w:rsid w:val="00872FD8"/>
    <w:rsid w:val="00874791"/>
    <w:rsid w:val="00885AF4"/>
    <w:rsid w:val="008939CD"/>
    <w:rsid w:val="008B768C"/>
    <w:rsid w:val="008C4DB1"/>
    <w:rsid w:val="008C4EAF"/>
    <w:rsid w:val="008C5176"/>
    <w:rsid w:val="008C7FD0"/>
    <w:rsid w:val="008D47F4"/>
    <w:rsid w:val="008E1DE7"/>
    <w:rsid w:val="008E707C"/>
    <w:rsid w:val="008E731D"/>
    <w:rsid w:val="008F5F30"/>
    <w:rsid w:val="00900B08"/>
    <w:rsid w:val="00902155"/>
    <w:rsid w:val="00902FA3"/>
    <w:rsid w:val="00903E70"/>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55C"/>
    <w:rsid w:val="00A16847"/>
    <w:rsid w:val="00A237D8"/>
    <w:rsid w:val="00A26784"/>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10B"/>
    <w:rsid w:val="00AD5620"/>
    <w:rsid w:val="00AD656B"/>
    <w:rsid w:val="00AD7C1B"/>
    <w:rsid w:val="00AE16BA"/>
    <w:rsid w:val="00AE1EBE"/>
    <w:rsid w:val="00B03C9D"/>
    <w:rsid w:val="00B060AE"/>
    <w:rsid w:val="00B10517"/>
    <w:rsid w:val="00B14E76"/>
    <w:rsid w:val="00B161B8"/>
    <w:rsid w:val="00B2048C"/>
    <w:rsid w:val="00B310B9"/>
    <w:rsid w:val="00B35F3F"/>
    <w:rsid w:val="00B36807"/>
    <w:rsid w:val="00B36CBB"/>
    <w:rsid w:val="00B425E0"/>
    <w:rsid w:val="00B440AA"/>
    <w:rsid w:val="00B44B70"/>
    <w:rsid w:val="00B53C56"/>
    <w:rsid w:val="00B57DAF"/>
    <w:rsid w:val="00B62F73"/>
    <w:rsid w:val="00B77EA6"/>
    <w:rsid w:val="00B81598"/>
    <w:rsid w:val="00B841F1"/>
    <w:rsid w:val="00B944D6"/>
    <w:rsid w:val="00BB4DF0"/>
    <w:rsid w:val="00BC1F6D"/>
    <w:rsid w:val="00BC289F"/>
    <w:rsid w:val="00BC2D50"/>
    <w:rsid w:val="00BC5361"/>
    <w:rsid w:val="00BC5460"/>
    <w:rsid w:val="00BC6B50"/>
    <w:rsid w:val="00BD0E25"/>
    <w:rsid w:val="00BF5BD6"/>
    <w:rsid w:val="00C03E31"/>
    <w:rsid w:val="00C33E72"/>
    <w:rsid w:val="00C354B2"/>
    <w:rsid w:val="00C35554"/>
    <w:rsid w:val="00C4221A"/>
    <w:rsid w:val="00C42709"/>
    <w:rsid w:val="00C533CC"/>
    <w:rsid w:val="00C5751C"/>
    <w:rsid w:val="00C61BFC"/>
    <w:rsid w:val="00C62B85"/>
    <w:rsid w:val="00C65438"/>
    <w:rsid w:val="00C747CA"/>
    <w:rsid w:val="00C8400C"/>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16A4"/>
    <w:rsid w:val="00E540DF"/>
    <w:rsid w:val="00E568DF"/>
    <w:rsid w:val="00E64269"/>
    <w:rsid w:val="00E82267"/>
    <w:rsid w:val="00E853CE"/>
    <w:rsid w:val="00E867B6"/>
    <w:rsid w:val="00E908E4"/>
    <w:rsid w:val="00EA010F"/>
    <w:rsid w:val="00ED1B63"/>
    <w:rsid w:val="00ED3C1F"/>
    <w:rsid w:val="00ED4085"/>
    <w:rsid w:val="00ED420E"/>
    <w:rsid w:val="00ED6FBE"/>
    <w:rsid w:val="00EE2F57"/>
    <w:rsid w:val="00EF4C34"/>
    <w:rsid w:val="00EF5F6C"/>
    <w:rsid w:val="00EF77C6"/>
    <w:rsid w:val="00F02974"/>
    <w:rsid w:val="00F05438"/>
    <w:rsid w:val="00F1361C"/>
    <w:rsid w:val="00F156F0"/>
    <w:rsid w:val="00F160C7"/>
    <w:rsid w:val="00F2408F"/>
    <w:rsid w:val="00F240E9"/>
    <w:rsid w:val="00F36D8F"/>
    <w:rsid w:val="00F401F7"/>
    <w:rsid w:val="00F417B1"/>
    <w:rsid w:val="00F45853"/>
    <w:rsid w:val="00F602DF"/>
    <w:rsid w:val="00F754A1"/>
    <w:rsid w:val="00F81FD9"/>
    <w:rsid w:val="00F841AA"/>
    <w:rsid w:val="00F84A94"/>
    <w:rsid w:val="00F87E96"/>
    <w:rsid w:val="00F9676F"/>
    <w:rsid w:val="00FA03F6"/>
    <w:rsid w:val="00FA23E8"/>
    <w:rsid w:val="00FC4943"/>
    <w:rsid w:val="00FC4B35"/>
    <w:rsid w:val="00FD3CC1"/>
    <w:rsid w:val="00FD4005"/>
    <w:rsid w:val="00FD7756"/>
    <w:rsid w:val="00FF1E02"/>
    <w:rsid w:val="00FF30B4"/>
    <w:rsid w:val="015975B8"/>
    <w:rsid w:val="02143E91"/>
    <w:rsid w:val="066E0107"/>
    <w:rsid w:val="07996F6E"/>
    <w:rsid w:val="080E2459"/>
    <w:rsid w:val="0A2032A3"/>
    <w:rsid w:val="0F98263C"/>
    <w:rsid w:val="101860EC"/>
    <w:rsid w:val="10C055FF"/>
    <w:rsid w:val="118107EC"/>
    <w:rsid w:val="11DD2767"/>
    <w:rsid w:val="126637EB"/>
    <w:rsid w:val="13716706"/>
    <w:rsid w:val="13D50BC4"/>
    <w:rsid w:val="16BB723D"/>
    <w:rsid w:val="1B7501D2"/>
    <w:rsid w:val="1BE8440E"/>
    <w:rsid w:val="1D155CEE"/>
    <w:rsid w:val="1FF35744"/>
    <w:rsid w:val="23860B96"/>
    <w:rsid w:val="240371BF"/>
    <w:rsid w:val="29FD04D3"/>
    <w:rsid w:val="2C8A61B5"/>
    <w:rsid w:val="2DF04E50"/>
    <w:rsid w:val="2E786556"/>
    <w:rsid w:val="2F040D46"/>
    <w:rsid w:val="314B24F8"/>
    <w:rsid w:val="318C61B6"/>
    <w:rsid w:val="319F7F4E"/>
    <w:rsid w:val="3304709D"/>
    <w:rsid w:val="33146D34"/>
    <w:rsid w:val="36AA5135"/>
    <w:rsid w:val="376D39B2"/>
    <w:rsid w:val="37E16F03"/>
    <w:rsid w:val="38A359B8"/>
    <w:rsid w:val="38D469F0"/>
    <w:rsid w:val="3D98207C"/>
    <w:rsid w:val="3E78745D"/>
    <w:rsid w:val="416B7C26"/>
    <w:rsid w:val="41CD1FF9"/>
    <w:rsid w:val="44E268DA"/>
    <w:rsid w:val="47EF010C"/>
    <w:rsid w:val="48CF7FC0"/>
    <w:rsid w:val="4A627F82"/>
    <w:rsid w:val="4B0E749A"/>
    <w:rsid w:val="4B4F25DA"/>
    <w:rsid w:val="4BE068DB"/>
    <w:rsid w:val="4D577224"/>
    <w:rsid w:val="4EAB630A"/>
    <w:rsid w:val="4ECE2238"/>
    <w:rsid w:val="537E6D0A"/>
    <w:rsid w:val="56C33BDD"/>
    <w:rsid w:val="5AF92295"/>
    <w:rsid w:val="5CD71FC4"/>
    <w:rsid w:val="624C5D09"/>
    <w:rsid w:val="63BD3BA0"/>
    <w:rsid w:val="64C6151F"/>
    <w:rsid w:val="68085869"/>
    <w:rsid w:val="68591805"/>
    <w:rsid w:val="696A0A97"/>
    <w:rsid w:val="6C4A05C8"/>
    <w:rsid w:val="6DC5578F"/>
    <w:rsid w:val="6E7E3605"/>
    <w:rsid w:val="6FF5CC65"/>
    <w:rsid w:val="715C0E4B"/>
    <w:rsid w:val="72734D90"/>
    <w:rsid w:val="736C49F5"/>
    <w:rsid w:val="73AD73D5"/>
    <w:rsid w:val="73B6EB34"/>
    <w:rsid w:val="744731E5"/>
    <w:rsid w:val="76E3355F"/>
    <w:rsid w:val="778769C8"/>
    <w:rsid w:val="79EE5BA4"/>
    <w:rsid w:val="7A894339"/>
    <w:rsid w:val="7EEF11D3"/>
    <w:rsid w:val="7FA30C79"/>
    <w:rsid w:val="7FB7269E"/>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4"/>
    <w:qFormat/>
    <w:uiPriority w:val="99"/>
    <w:pPr>
      <w:spacing w:beforeLines="30"/>
    </w:pPr>
    <w:rPr>
      <w:rFonts w:ascii="仿宋_GB2312" w:eastAsia="仿宋_GB2312"/>
      <w:kern w:val="0"/>
      <w:sz w:val="30"/>
    </w:rPr>
  </w:style>
  <w:style w:type="paragraph" w:styleId="6">
    <w:name w:val="Body Text Indent"/>
    <w:basedOn w:val="1"/>
    <w:qFormat/>
    <w:uiPriority w:val="0"/>
    <w:pPr>
      <w:spacing w:after="120"/>
      <w:ind w:left="200" w:leftChars="200"/>
    </w:pPr>
    <w:rPr>
      <w:rFonts w:ascii="仿宋_GB2312"/>
      <w:szCs w:val="32"/>
    </w:rPr>
  </w:style>
  <w:style w:type="paragraph" w:styleId="7">
    <w:name w:val="toc 3"/>
    <w:basedOn w:val="1"/>
    <w:next w:val="1"/>
    <w:unhideWhenUsed/>
    <w:qFormat/>
    <w:uiPriority w:val="39"/>
    <w:pPr>
      <w:tabs>
        <w:tab w:val="right" w:leader="dot" w:pos="8296"/>
      </w:tabs>
      <w:ind w:left="840" w:leftChars="400"/>
    </w:pPr>
  </w:style>
  <w:style w:type="paragraph" w:styleId="8">
    <w:name w:val="Balloon Text"/>
    <w:basedOn w:val="1"/>
    <w:link w:val="30"/>
    <w:semiHidden/>
    <w:unhideWhenUsed/>
    <w:qFormat/>
    <w:uiPriority w:val="99"/>
    <w:rPr>
      <w:sz w:val="18"/>
      <w:szCs w:val="18"/>
    </w:rPr>
  </w:style>
  <w:style w:type="paragraph" w:styleId="9">
    <w:name w:val="footer"/>
    <w:basedOn w:val="1"/>
    <w:link w:val="22"/>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0"/>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paragraph" w:styleId="13">
    <w:name w:val="Body Text First Indent 2"/>
    <w:basedOn w:val="6"/>
    <w:next w:val="1"/>
    <w:unhideWhenUsed/>
    <w:qFormat/>
    <w:uiPriority w:val="99"/>
    <w:pPr>
      <w:ind w:firstLine="420" w:firstLineChars="200"/>
    </w:pPr>
  </w:style>
  <w:style w:type="character" w:styleId="16">
    <w:name w:val="Strong"/>
    <w:basedOn w:val="15"/>
    <w:qFormat/>
    <w:uiPriority w:val="99"/>
    <w:rPr>
      <w:b/>
    </w:rPr>
  </w:style>
  <w:style w:type="character" w:styleId="17">
    <w:name w:val="Hyperlink"/>
    <w:basedOn w:val="15"/>
    <w:unhideWhenUsed/>
    <w:qFormat/>
    <w:uiPriority w:val="99"/>
    <w:rPr>
      <w:color w:val="0000FF" w:themeColor="hyperlink"/>
      <w:u w:val="single"/>
      <w14:textFill>
        <w14:solidFill>
          <w14:schemeClr w14:val="hlink"/>
        </w14:solidFill>
      </w14:textFill>
    </w:rPr>
  </w:style>
  <w:style w:type="paragraph" w:customStyle="1" w:styleId="18">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19">
    <w:name w:val="Header Char"/>
    <w:basedOn w:val="15"/>
    <w:semiHidden/>
    <w:qFormat/>
    <w:uiPriority w:val="99"/>
    <w:rPr>
      <w:rFonts w:ascii="Times New Roman" w:hAnsi="Times New Roman"/>
      <w:sz w:val="18"/>
      <w:szCs w:val="18"/>
    </w:rPr>
  </w:style>
  <w:style w:type="character" w:customStyle="1" w:styleId="20">
    <w:name w:val="页眉 Char"/>
    <w:link w:val="10"/>
    <w:semiHidden/>
    <w:qFormat/>
    <w:locked/>
    <w:uiPriority w:val="99"/>
    <w:rPr>
      <w:sz w:val="18"/>
    </w:rPr>
  </w:style>
  <w:style w:type="character" w:customStyle="1" w:styleId="21">
    <w:name w:val="Footer Char"/>
    <w:basedOn w:val="15"/>
    <w:semiHidden/>
    <w:qFormat/>
    <w:uiPriority w:val="99"/>
    <w:rPr>
      <w:rFonts w:ascii="Times New Roman" w:hAnsi="Times New Roman"/>
      <w:sz w:val="18"/>
      <w:szCs w:val="18"/>
    </w:rPr>
  </w:style>
  <w:style w:type="character" w:customStyle="1" w:styleId="22">
    <w:name w:val="页脚 Char"/>
    <w:link w:val="9"/>
    <w:qFormat/>
    <w:locked/>
    <w:uiPriority w:val="99"/>
    <w:rPr>
      <w:sz w:val="18"/>
    </w:rPr>
  </w:style>
  <w:style w:type="character" w:customStyle="1" w:styleId="23">
    <w:name w:val="Body Text Char"/>
    <w:basedOn w:val="15"/>
    <w:semiHidden/>
    <w:qFormat/>
    <w:uiPriority w:val="99"/>
    <w:rPr>
      <w:rFonts w:ascii="Times New Roman" w:hAnsi="Times New Roman"/>
      <w:szCs w:val="24"/>
    </w:rPr>
  </w:style>
  <w:style w:type="character" w:customStyle="1" w:styleId="24">
    <w:name w:val="正文文本 Char"/>
    <w:link w:val="2"/>
    <w:qFormat/>
    <w:locked/>
    <w:uiPriority w:val="99"/>
    <w:rPr>
      <w:rFonts w:ascii="仿宋_GB2312" w:hAnsi="Times New Roman" w:eastAsia="仿宋_GB2312"/>
      <w:sz w:val="24"/>
    </w:rPr>
  </w:style>
  <w:style w:type="paragraph" w:customStyle="1" w:styleId="2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6">
    <w:name w:val="List Paragraph"/>
    <w:basedOn w:val="1"/>
    <w:qFormat/>
    <w:uiPriority w:val="34"/>
    <w:pPr>
      <w:ind w:firstLine="420" w:firstLineChars="200"/>
    </w:pPr>
  </w:style>
  <w:style w:type="character" w:customStyle="1" w:styleId="27">
    <w:name w:val="标题 1 Char"/>
    <w:basedOn w:val="15"/>
    <w:link w:val="3"/>
    <w:qFormat/>
    <w:uiPriority w:val="9"/>
    <w:rPr>
      <w:rFonts w:ascii="Times New Roman" w:hAnsi="Times New Roman"/>
      <w:b/>
      <w:bCs/>
      <w:kern w:val="44"/>
      <w:sz w:val="44"/>
      <w:szCs w:val="44"/>
    </w:rPr>
  </w:style>
  <w:style w:type="character" w:customStyle="1" w:styleId="28">
    <w:name w:val="标题 2 Char"/>
    <w:basedOn w:val="15"/>
    <w:link w:val="4"/>
    <w:qFormat/>
    <w:uiPriority w:val="9"/>
    <w:rPr>
      <w:rFonts w:asciiTheme="majorHAnsi" w:hAnsiTheme="majorHAnsi" w:eastAsiaTheme="majorEastAsia" w:cstheme="majorBidi"/>
      <w:b/>
      <w:bCs/>
      <w:kern w:val="2"/>
      <w:sz w:val="32"/>
      <w:szCs w:val="32"/>
    </w:rPr>
  </w:style>
  <w:style w:type="paragraph" w:customStyle="1" w:styleId="29">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0">
    <w:name w:val="批注框文本 Char"/>
    <w:basedOn w:val="15"/>
    <w:link w:val="8"/>
    <w:semiHidden/>
    <w:qFormat/>
    <w:uiPriority w:val="99"/>
    <w:rPr>
      <w:rFonts w:ascii="Times New Roman" w:hAnsi="Times New Roman"/>
      <w:kern w:val="2"/>
      <w:sz w:val="18"/>
      <w:szCs w:val="18"/>
    </w:rPr>
  </w:style>
  <w:style w:type="character" w:customStyle="1" w:styleId="31">
    <w:name w:val="标题 3 Char"/>
    <w:basedOn w:val="15"/>
    <w:link w:val="5"/>
    <w:qFormat/>
    <w:uiPriority w:val="9"/>
    <w:rPr>
      <w:rFonts w:ascii="Times New Roman" w:hAnsi="Times New Roman"/>
      <w:b/>
      <w:bCs/>
      <w:kern w:val="2"/>
      <w:sz w:val="32"/>
      <w:szCs w:val="32"/>
    </w:rPr>
  </w:style>
  <w:style w:type="paragraph" w:customStyle="1" w:styleId="32">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3">
    <w:name w:val="四号正文"/>
    <w:basedOn w:val="1"/>
    <w:qFormat/>
    <w:uiPriority w:val="0"/>
    <w:pPr>
      <w:spacing w:line="360" w:lineRule="auto"/>
    </w:pPr>
    <w:rPr>
      <w:rFonts w:ascii="??" w:hAnsi="??"/>
      <w:color w:val="000000"/>
      <w:kern w:val="0"/>
      <w:sz w:val="28"/>
      <w:szCs w:val="21"/>
      <w:lang w:val="zh-CN"/>
    </w:rPr>
  </w:style>
  <w:style w:type="paragraph" w:customStyle="1" w:styleId="34">
    <w:name w:val="正文2"/>
    <w:basedOn w:val="1"/>
    <w:next w:val="1"/>
    <w:qFormat/>
    <w:uiPriority w:val="0"/>
    <w:rPr>
      <w:sz w:val="32"/>
    </w:rPr>
  </w:style>
  <w:style w:type="paragraph" w:customStyle="1" w:styleId="35">
    <w:name w:val="公文主体"/>
    <w:basedOn w:val="1"/>
    <w:qFormat/>
    <w:uiPriority w:val="0"/>
    <w:pPr>
      <w:spacing w:line="580" w:lineRule="exact"/>
      <w:ind w:firstLine="200" w:firstLineChars="200"/>
    </w:pPr>
    <w:rPr>
      <w:rFonts w:eastAsia="仿宋_GB2312"/>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四川省财政厅</Company>
  <Pages>56</Pages>
  <Words>21</Words>
  <Characters>24</Characters>
  <Lines>177</Lines>
  <Paragraphs>49</Paragraphs>
  <TotalTime>7</TotalTime>
  <ScaleCrop>false</ScaleCrop>
  <LinksUpToDate>false</LinksUpToDate>
  <CharactersWithSpaces>24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王茜</cp:lastModifiedBy>
  <cp:lastPrinted>2023-07-31T02:35:00Z</cp:lastPrinted>
  <dcterms:modified xsi:type="dcterms:W3CDTF">2025-03-17T09:36:10Z</dcterms:modified>
  <dc:title>四川省***</dc:title>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29ACDF92DCBA4D5C9AD1351429B39E73_12</vt:lpwstr>
  </property>
  <property fmtid="{D5CDD505-2E9C-101B-9397-08002B2CF9AE}" pid="4" name="KSOTemplateDocerSaveRecord">
    <vt:lpwstr>eyJoZGlkIjoiZGMzOTUxNTdlNzAwZjNjNzBiZjhjMDg1ODc4YTUwOTciLCJ1c2VySWQiOiIzNzc0MjU0NTQifQ==</vt:lpwstr>
  </property>
</Properties>
</file>