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rPr>
      </w:pPr>
      <w:bookmarkStart w:id="0" w:name="_Toc15396475"/>
      <w:bookmarkStart w:id="1" w:name="_Toc15377425"/>
      <w:bookmarkStart w:id="2" w:name="_Toc15378441"/>
      <w:bookmarkStart w:id="3" w:name="_Toc15377193"/>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rPr>
      </w:pPr>
    </w:p>
    <w:p>
      <w:pPr>
        <w:spacing w:line="600" w:lineRule="exact"/>
        <w:jc w:val="center"/>
        <w:outlineLvl w:val="0"/>
        <w:rPr>
          <w:rFonts w:ascii="方正小标宋简体" w:hAnsi="宋体" w:eastAsia="方正小标宋简体"/>
          <w:color w:val="auto"/>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2022年度</w:t>
      </w:r>
      <w:bookmarkEnd w:id="0"/>
      <w:bookmarkEnd w:id="1"/>
      <w:bookmarkEnd w:id="2"/>
      <w:bookmarkEnd w:id="3"/>
      <w:bookmarkEnd w:id="4"/>
      <w:bookmarkStart w:id="6" w:name="_Toc15396476"/>
      <w:bookmarkStart w:id="7" w:name="_Toc15377194"/>
      <w:bookmarkStart w:id="8" w:name="_Toc15378442"/>
      <w:bookmarkStart w:id="9" w:name="_Toc15377426"/>
      <w:bookmarkStart w:id="10" w:name="_Toc15396598"/>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lang w:eastAsia="zh-CN"/>
        </w:rPr>
      </w:pPr>
      <w:r>
        <w:rPr>
          <w:rFonts w:hint="eastAsia" w:ascii="方正小标宋简体" w:hAnsi="方正小标宋简体" w:eastAsia="方正小标宋简体" w:cs="方正小标宋简体"/>
          <w:color w:val="auto"/>
          <w:sz w:val="72"/>
          <w:szCs w:val="72"/>
        </w:rPr>
        <w:t>四川省</w:t>
      </w:r>
      <w:bookmarkEnd w:id="5"/>
      <w:bookmarkStart w:id="11" w:name="_Toc15306268"/>
      <w:r>
        <w:rPr>
          <w:rFonts w:hint="eastAsia" w:ascii="方正小标宋简体" w:hAnsi="方正小标宋简体" w:eastAsia="方正小标宋简体" w:cs="方正小标宋简体"/>
          <w:color w:val="auto"/>
          <w:sz w:val="72"/>
          <w:szCs w:val="72"/>
          <w:lang w:eastAsia="zh-CN"/>
        </w:rPr>
        <w:t>峨眉山市总工会</w:t>
      </w:r>
    </w:p>
    <w:p>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lang w:eastAsia="zh-CN"/>
        </w:rPr>
        <w:t>部门决</w:t>
      </w:r>
      <w:r>
        <w:rPr>
          <w:rFonts w:hint="eastAsia" w:ascii="方正小标宋简体" w:hAnsi="方正小标宋简体" w:eastAsia="方正小标宋简体" w:cs="方正小标宋简体"/>
          <w:color w:val="auto"/>
          <w:sz w:val="72"/>
          <w:szCs w:val="72"/>
        </w:rPr>
        <w:t>算</w:t>
      </w:r>
      <w:bookmarkEnd w:id="6"/>
      <w:bookmarkEnd w:id="7"/>
      <w:bookmarkEnd w:id="8"/>
      <w:bookmarkEnd w:id="9"/>
      <w:bookmarkEnd w:id="10"/>
      <w:bookmarkEnd w:id="11"/>
    </w:p>
    <w:p>
      <w:pPr>
        <w:widowControl/>
        <w:jc w:val="center"/>
        <w:rPr>
          <w:rFonts w:hint="eastAsia" w:ascii="黑体" w:hAnsi="黑体" w:eastAsia="黑体"/>
          <w:color w:val="auto"/>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auto"/>
          <w:sz w:val="48"/>
          <w:szCs w:val="48"/>
        </w:rPr>
      </w:pPr>
      <w:r>
        <w:rPr>
          <w:rFonts w:hint="eastAsia" w:ascii="黑体" w:hAnsi="黑体" w:eastAsia="黑体"/>
          <w:color w:val="auto"/>
          <w:sz w:val="48"/>
          <w:szCs w:val="48"/>
        </w:rPr>
        <w:t>目录</w:t>
      </w:r>
    </w:p>
    <w:p>
      <w:pPr>
        <w:widowControl/>
        <w:jc w:val="center"/>
        <w:rPr>
          <w:rFonts w:hint="eastAsia" w:ascii="仿宋" w:hAnsi="仿宋" w:eastAsia="仿宋" w:cs="仿宋"/>
          <w:color w:val="auto"/>
          <w:sz w:val="32"/>
          <w:szCs w:val="32"/>
        </w:rPr>
      </w:pPr>
    </w:p>
    <w:p>
      <w:pPr>
        <w:pStyle w:val="1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公开时间：2023年</w:t>
      </w:r>
      <w:r>
        <w:rPr>
          <w:rFonts w:hint="eastAsia" w:ascii="仿宋" w:hAnsi="仿宋" w:eastAsia="仿宋" w:cs="仿宋"/>
          <w:color w:val="auto"/>
          <w:sz w:val="32"/>
          <w:szCs w:val="32"/>
          <w:highlight w:val="none"/>
          <w:lang w:val="en-US" w:eastAsia="zh-CN"/>
        </w:rPr>
        <w:t>1</w:t>
      </w:r>
      <w:r>
        <w:rPr>
          <w:rFonts w:hint="eastAsia" w:cs="仿宋"/>
          <w:color w:val="auto"/>
          <w:sz w:val="32"/>
          <w:szCs w:val="32"/>
          <w:highlight w:val="none"/>
          <w:lang w:val="en-US" w:eastAsia="zh-CN"/>
        </w:rPr>
        <w:t>2</w:t>
      </w:r>
      <w:r>
        <w:rPr>
          <w:rFonts w:hint="eastAsia" w:ascii="仿宋" w:hAnsi="仿宋" w:eastAsia="仿宋" w:cs="仿宋"/>
          <w:color w:val="auto"/>
          <w:sz w:val="32"/>
          <w:szCs w:val="32"/>
          <w:highlight w:val="none"/>
          <w:lang w:val="en-US" w:eastAsia="zh-CN"/>
        </w:rPr>
        <w:t>月</w:t>
      </w:r>
      <w:r>
        <w:rPr>
          <w:rFonts w:hint="eastAsia" w:cs="仿宋"/>
          <w:color w:val="auto"/>
          <w:sz w:val="32"/>
          <w:szCs w:val="32"/>
          <w:highlight w:val="none"/>
          <w:lang w:val="en-US" w:eastAsia="zh-CN"/>
        </w:rPr>
        <w:t>1</w:t>
      </w:r>
      <w:bookmarkStart w:id="67" w:name="_GoBack"/>
      <w:bookmarkEnd w:id="67"/>
      <w:r>
        <w:rPr>
          <w:rFonts w:hint="eastAsia" w:ascii="仿宋" w:hAnsi="仿宋" w:eastAsia="仿宋" w:cs="仿宋"/>
          <w:color w:val="auto"/>
          <w:sz w:val="32"/>
          <w:szCs w:val="32"/>
          <w:highlight w:val="none"/>
        </w:rPr>
        <w:t>日</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sz w:val="32"/>
          <w:szCs w:val="32"/>
        </w:rPr>
      </w:pPr>
    </w:p>
    <w:p>
      <w:pPr>
        <w:pStyle w:val="12"/>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before="0" w:line="360" w:lineRule="auto"/>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第一部分 部门概况</w:t>
      </w:r>
      <w:r>
        <w:rPr>
          <w:rFonts w:hint="eastAsia"/>
          <w:color w:val="auto"/>
          <w:lang w:val="en-US" w:eastAsia="zh-CN"/>
        </w:rPr>
        <w:t>......................................</w:t>
      </w:r>
      <w:r>
        <w:rPr>
          <w:rFonts w:hint="eastAsia" w:cs="仿宋"/>
          <w:color w:val="auto"/>
          <w:sz w:val="32"/>
          <w:szCs w:val="32"/>
          <w:lang w:val="en-US" w:eastAsia="zh-CN"/>
        </w:rPr>
        <w:t>1</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宋体" w:cs="仿宋"/>
          <w:color w:val="auto"/>
          <w:sz w:val="32"/>
          <w:szCs w:val="32"/>
          <w:lang w:val="en-US" w:eastAsia="zh-CN"/>
        </w:rPr>
      </w:pPr>
      <w:r>
        <w:rPr>
          <w:rFonts w:hint="eastAsia" w:ascii="仿宋" w:hAnsi="仿宋" w:eastAsia="仿宋" w:cs="仿宋"/>
          <w:color w:val="auto"/>
          <w:sz w:val="32"/>
          <w:szCs w:val="32"/>
        </w:rPr>
        <w:t>一、部门职责</w:t>
      </w:r>
      <w:r>
        <w:rPr>
          <w:rFonts w:hint="eastAsia" w:cs="仿宋"/>
          <w:color w:val="auto"/>
          <w:sz w:val="32"/>
          <w:szCs w:val="32"/>
          <w:lang w:val="en-US" w:eastAsia="zh-CN"/>
        </w:rPr>
        <w:t>........................................................................1</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二、机构设置</w:t>
      </w:r>
      <w:r>
        <w:rPr>
          <w:rFonts w:hint="eastAsia" w:cs="仿宋"/>
          <w:color w:val="auto"/>
          <w:sz w:val="32"/>
          <w:szCs w:val="32"/>
          <w:lang w:val="en-US" w:eastAsia="zh-CN"/>
        </w:rPr>
        <w:t>........................................................................1</w:t>
      </w:r>
    </w:p>
    <w:p>
      <w:pPr>
        <w:pStyle w:val="12"/>
        <w:keepNext w:val="0"/>
        <w:keepLines w:val="0"/>
        <w:pageBreakBefore w:val="0"/>
        <w:widowControl w:val="0"/>
        <w:tabs>
          <w:tab w:val="right" w:leader="dot" w:pos="7980"/>
          <w:tab w:val="left" w:pos="8400"/>
          <w:tab w:val="clear" w:pos="8296"/>
        </w:tabs>
        <w:kinsoku/>
        <w:wordWrap/>
        <w:overflowPunct/>
        <w:topLinePunct w:val="0"/>
        <w:autoSpaceDE/>
        <w:autoSpaceDN/>
        <w:bidi w:val="0"/>
        <w:adjustRightInd w:val="0"/>
        <w:snapToGrid/>
        <w:spacing w:before="0" w:line="360" w:lineRule="auto"/>
        <w:ind w:right="218" w:rightChars="104"/>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第二部分 2022年度部门决算情况说明</w:t>
      </w:r>
      <w:r>
        <w:rPr>
          <w:rFonts w:hint="eastAsia" w:cs="仿宋"/>
          <w:color w:val="auto"/>
          <w:sz w:val="32"/>
          <w:szCs w:val="32"/>
          <w:lang w:val="en-US" w:eastAsia="zh-CN"/>
        </w:rPr>
        <w:t>.................2</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一、收入支出决算总体情况说明</w:t>
      </w:r>
      <w:r>
        <w:rPr>
          <w:rFonts w:hint="eastAsia" w:cs="仿宋"/>
          <w:color w:val="auto"/>
          <w:sz w:val="32"/>
          <w:szCs w:val="32"/>
          <w:lang w:val="en-US" w:eastAsia="zh-CN"/>
        </w:rPr>
        <w:t>........................................2</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二、收入决算情况说明</w:t>
      </w:r>
      <w:r>
        <w:rPr>
          <w:rFonts w:hint="eastAsia" w:cs="仿宋"/>
          <w:color w:val="auto"/>
          <w:sz w:val="32"/>
          <w:szCs w:val="32"/>
          <w:lang w:val="en-US" w:eastAsia="zh-CN"/>
        </w:rPr>
        <w:t>........................................................2</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三、支出决算情况说明</w:t>
      </w:r>
      <w:r>
        <w:rPr>
          <w:rFonts w:hint="eastAsia" w:cs="仿宋"/>
          <w:color w:val="auto"/>
          <w:sz w:val="32"/>
          <w:szCs w:val="32"/>
          <w:lang w:val="en-US" w:eastAsia="zh-CN"/>
        </w:rPr>
        <w:t>........................................................3</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四、财政拨款收入支出决算总体情况说明</w:t>
      </w:r>
      <w:r>
        <w:rPr>
          <w:rFonts w:hint="eastAsia" w:cs="仿宋"/>
          <w:color w:val="auto"/>
          <w:sz w:val="32"/>
          <w:szCs w:val="32"/>
          <w:lang w:val="en-US" w:eastAsia="zh-CN"/>
        </w:rPr>
        <w:t>........................4</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五、一般公共预算财政拨款支出决算情况说明</w:t>
      </w:r>
      <w:r>
        <w:rPr>
          <w:rFonts w:hint="eastAsia" w:cs="仿宋"/>
          <w:color w:val="auto"/>
          <w:sz w:val="32"/>
          <w:szCs w:val="32"/>
          <w:lang w:val="en-US" w:eastAsia="zh-CN"/>
        </w:rPr>
        <w:t>................4</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六、一般公共预算财政拨款基本支出决算情况说明</w:t>
      </w:r>
      <w:r>
        <w:rPr>
          <w:rFonts w:hint="eastAsia" w:cs="仿宋"/>
          <w:color w:val="auto"/>
          <w:sz w:val="32"/>
          <w:szCs w:val="32"/>
          <w:lang w:val="en-US" w:eastAsia="zh-CN"/>
        </w:rPr>
        <w:t>........7</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七、财政拨款“三公”经费支出决算情况说明</w:t>
      </w:r>
      <w:r>
        <w:rPr>
          <w:rFonts w:hint="eastAsia" w:cs="仿宋"/>
          <w:color w:val="auto"/>
          <w:sz w:val="32"/>
          <w:szCs w:val="32"/>
          <w:lang w:val="en-US" w:eastAsia="zh-CN"/>
        </w:rPr>
        <w:t>................8</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八、政府性基金预算支出决算情况说明</w:t>
      </w:r>
      <w:r>
        <w:rPr>
          <w:rFonts w:hint="eastAsia" w:cs="仿宋"/>
          <w:color w:val="auto"/>
          <w:sz w:val="32"/>
          <w:szCs w:val="32"/>
          <w:lang w:val="en-US" w:eastAsia="zh-CN"/>
        </w:rPr>
        <w:t>............................9</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ind w:leftChars="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九、国有资本经营预算支出决算情况说明</w:t>
      </w:r>
      <w:r>
        <w:rPr>
          <w:rFonts w:hint="eastAsia" w:cs="仿宋"/>
          <w:color w:val="auto"/>
          <w:sz w:val="32"/>
          <w:szCs w:val="32"/>
          <w:lang w:val="en-US" w:eastAsia="zh-CN"/>
        </w:rPr>
        <w:t>........................9</w:t>
      </w:r>
    </w:p>
    <w:p>
      <w:pPr>
        <w:keepNext w:val="0"/>
        <w:keepLines w:val="0"/>
        <w:pageBreakBefore w:val="0"/>
        <w:widowControl w:val="0"/>
        <w:kinsoku/>
        <w:wordWrap/>
        <w:overflowPunct/>
        <w:topLinePunct w:val="0"/>
        <w:autoSpaceDE/>
        <w:autoSpaceDN/>
        <w:bidi w:val="0"/>
        <w:adjustRightInd w:val="0"/>
        <w:snapToGrid/>
        <w:spacing w:line="360" w:lineRule="auto"/>
        <w:ind w:firstLine="320" w:firstLineChars="100"/>
        <w:jc w:val="both"/>
        <w:textAlignment w:val="auto"/>
        <w:rPr>
          <w:rFonts w:hint="default" w:ascii="仿宋" w:hAnsi="仿宋" w:eastAsia="仿宋" w:cs="仿宋"/>
          <w:color w:val="auto"/>
          <w:sz w:val="32"/>
          <w:szCs w:val="32"/>
          <w:lang w:val="en-US" w:eastAsia="zh-CN"/>
        </w:rPr>
      </w:pPr>
      <w:r>
        <w:rPr>
          <w:rStyle w:val="18"/>
          <w:rFonts w:hint="eastAsia" w:ascii="仿宋" w:hAnsi="仿宋" w:eastAsia="仿宋" w:cs="仿宋"/>
          <w:color w:val="auto"/>
          <w:sz w:val="32"/>
          <w:szCs w:val="32"/>
          <w:u w:val="none"/>
        </w:rPr>
        <w:t>十、</w:t>
      </w:r>
      <w:r>
        <w:rPr>
          <w:rFonts w:hint="eastAsia" w:ascii="仿宋" w:hAnsi="仿宋" w:eastAsia="仿宋" w:cs="仿宋"/>
          <w:color w:val="auto"/>
          <w:sz w:val="32"/>
          <w:szCs w:val="32"/>
        </w:rPr>
        <w:t>其他重要事项的情况说明</w:t>
      </w:r>
      <w:r>
        <w:rPr>
          <w:rFonts w:hint="eastAsia" w:cs="仿宋"/>
          <w:color w:val="auto"/>
          <w:sz w:val="32"/>
          <w:szCs w:val="32"/>
          <w:lang w:val="en-US" w:eastAsia="zh-CN"/>
        </w:rPr>
        <w:t>.............................................9</w:t>
      </w:r>
    </w:p>
    <w:p>
      <w:pPr>
        <w:pStyle w:val="12"/>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before="0" w:line="360" w:lineRule="auto"/>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第三部分 名词解释</w:t>
      </w:r>
      <w:r>
        <w:rPr>
          <w:rFonts w:hint="eastAsia" w:cs="仿宋"/>
          <w:color w:val="auto"/>
          <w:sz w:val="32"/>
          <w:szCs w:val="32"/>
          <w:lang w:val="en-US" w:eastAsia="zh-CN"/>
        </w:rPr>
        <w:t>.................................11</w:t>
      </w:r>
    </w:p>
    <w:p>
      <w:pPr>
        <w:pStyle w:val="12"/>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before="0" w:line="360" w:lineRule="auto"/>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第四部分 附件</w:t>
      </w:r>
      <w:r>
        <w:rPr>
          <w:rFonts w:hint="eastAsia" w:cs="仿宋"/>
          <w:color w:val="auto"/>
          <w:sz w:val="32"/>
          <w:szCs w:val="32"/>
          <w:lang w:val="en-US" w:eastAsia="zh-CN"/>
        </w:rPr>
        <w:t>.....................................15</w:t>
      </w:r>
    </w:p>
    <w:p>
      <w:pPr>
        <w:pStyle w:val="12"/>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before="0" w:line="360" w:lineRule="auto"/>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第五部分 附表</w:t>
      </w:r>
      <w:r>
        <w:rPr>
          <w:rFonts w:hint="eastAsia" w:cs="仿宋"/>
          <w:color w:val="auto"/>
          <w:sz w:val="32"/>
          <w:szCs w:val="32"/>
          <w:lang w:val="en-US" w:eastAsia="zh-CN"/>
        </w:rPr>
        <w:t>.....................................37</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一、收入支出决算总表</w:t>
      </w:r>
    </w:p>
    <w:p>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spacing w:line="360" w:lineRule="auto"/>
        <w:jc w:val="both"/>
        <w:textAlignment w:val="auto"/>
        <w:rPr>
          <w:rFonts w:hint="eastAsia" w:ascii="仿宋" w:hAnsi="仿宋" w:eastAsia="仿宋" w:cs="仿宋"/>
          <w:color w:val="auto"/>
          <w:sz w:val="32"/>
          <w:szCs w:val="32"/>
        </w:rPr>
        <w:sectPr>
          <w:footerReference r:id="rId6" w:type="first"/>
          <w:footerReference r:id="rId5" w:type="default"/>
          <w:pgSz w:w="11906" w:h="16838"/>
          <w:pgMar w:top="1440" w:right="1486" w:bottom="1440" w:left="1800" w:header="851" w:footer="992" w:gutter="0"/>
          <w:pgNumType w:start="1"/>
          <w:cols w:space="425" w:num="1"/>
          <w:docGrid w:type="lines" w:linePitch="312" w:charSpace="0"/>
        </w:sectPr>
      </w:pP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二、收入决算表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三、支出决算表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四、财政拨款收入支出决算总表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五、财政拨款支出决算明细表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六、一般公共预算财政拨款支出决算表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七、一般公共预算财政拨款支出决算明细表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八、一般公共预算财政拨款基本支出决算明细表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九、一般公共预算财政拨款项目支出决算表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十、政府性基金预算财政拨款收入支出决算表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十一、国有资本经营预算财政拨款收入支出决算表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十二、国有资本经营预算财政拨款支出决算表</w:t>
      </w:r>
    </w:p>
    <w:p>
      <w:pPr>
        <w:pStyle w:val="13"/>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十三、财政拨款“三公”经费支出决算表</w:t>
      </w:r>
    </w:p>
    <w:p>
      <w:pPr>
        <w:pStyle w:val="4"/>
        <w:jc w:val="center"/>
        <w:rPr>
          <w:rFonts w:hint="eastAsia" w:ascii="黑体" w:hAnsi="黑体" w:eastAsia="黑体"/>
          <w:b w:val="0"/>
          <w:color w:val="auto"/>
        </w:rPr>
        <w:sectPr>
          <w:footerReference r:id="rId7" w:type="default"/>
          <w:pgSz w:w="11906" w:h="16838"/>
          <w:pgMar w:top="1440" w:right="1800" w:bottom="1440" w:left="1800" w:header="851" w:footer="992" w:gutter="0"/>
          <w:pgNumType w:start="1"/>
          <w:cols w:space="425" w:num="1"/>
          <w:docGrid w:type="lines" w:linePitch="312" w:charSpace="0"/>
        </w:sectPr>
      </w:pPr>
      <w:bookmarkStart w:id="12" w:name="_Toc15377196"/>
      <w:bookmarkStart w:id="13" w:name="_Toc15396599"/>
    </w:p>
    <w:p>
      <w:pPr>
        <w:pStyle w:val="4"/>
        <w:jc w:val="center"/>
        <w:rPr>
          <w:rFonts w:ascii="黑体" w:eastAsia="黑体"/>
          <w:color w:val="auto"/>
          <w:sz w:val="32"/>
          <w:szCs w:val="32"/>
        </w:rPr>
      </w:pPr>
      <w:r>
        <w:rPr>
          <w:rFonts w:hint="eastAsia" w:ascii="黑体" w:hAnsi="黑体" w:eastAsia="黑体"/>
          <w:b w:val="0"/>
          <w:color w:val="auto"/>
        </w:rPr>
        <w:t xml:space="preserve">第一部分 </w:t>
      </w:r>
      <w:r>
        <w:rPr>
          <w:rStyle w:val="28"/>
          <w:rFonts w:hint="eastAsia" w:ascii="黑体" w:hAnsi="黑体" w:eastAsia="黑体"/>
          <w:b w:val="0"/>
          <w:bCs w:val="0"/>
          <w:color w:val="auto"/>
        </w:rPr>
        <w:t>部门概况</w:t>
      </w:r>
      <w:bookmarkEnd w:id="12"/>
      <w:bookmarkEnd w:id="13"/>
    </w:p>
    <w:p>
      <w:pPr>
        <w:pStyle w:val="5"/>
        <w:numPr>
          <w:ilvl w:val="0"/>
          <w:numId w:val="1"/>
        </w:numPr>
        <w:rPr>
          <w:rFonts w:hint="eastAsia" w:ascii="黑体" w:hAnsi="黑体" w:eastAsia="黑体"/>
          <w:b w:val="0"/>
          <w:color w:val="auto"/>
        </w:rPr>
      </w:pPr>
      <w:r>
        <w:rPr>
          <w:rFonts w:hint="eastAsia" w:ascii="黑体" w:hAnsi="黑体" w:eastAsia="黑体"/>
          <w:b w:val="0"/>
          <w:color w:val="auto"/>
        </w:rPr>
        <w:t>部门职责</w:t>
      </w:r>
    </w:p>
    <w:p>
      <w:pPr>
        <w:keepNext w:val="0"/>
        <w:keepLines w:val="0"/>
        <w:pageBreakBefore w:val="0"/>
        <w:widowControl w:val="0"/>
        <w:kinsoku/>
        <w:wordWrap/>
        <w:overflowPunct/>
        <w:topLinePunct w:val="0"/>
        <w:autoSpaceDE/>
        <w:autoSpaceDN/>
        <w:bidi w:val="0"/>
        <w:adjustRightInd/>
        <w:snapToGrid w:val="0"/>
        <w:spacing w:line="600" w:lineRule="exact"/>
        <w:ind w:firstLine="624" w:firstLineChars="200"/>
        <w:textAlignment w:val="auto"/>
        <w:rPr>
          <w:rFonts w:hint="eastAsia" w:ascii="仿宋" w:hAnsi="仿宋" w:eastAsia="仿宋" w:cs="仿宋"/>
          <w:color w:val="auto"/>
          <w:spacing w:val="-4"/>
          <w:sz w:val="32"/>
          <w:szCs w:val="32"/>
        </w:rPr>
      </w:pPr>
      <w:r>
        <w:rPr>
          <w:rFonts w:hint="eastAsia" w:ascii="仿宋" w:hAnsi="仿宋" w:eastAsia="仿宋" w:cs="仿宋"/>
          <w:color w:val="auto"/>
          <w:spacing w:val="-4"/>
          <w:sz w:val="32"/>
          <w:szCs w:val="32"/>
        </w:rPr>
        <w:t>峨眉山市总工会</w:t>
      </w:r>
      <w:r>
        <w:rPr>
          <w:rFonts w:hint="eastAsia" w:ascii="仿宋" w:hAnsi="仿宋" w:eastAsia="仿宋" w:cs="仿宋"/>
          <w:bCs/>
          <w:color w:val="auto"/>
          <w:sz w:val="32"/>
          <w:szCs w:val="32"/>
        </w:rPr>
        <w:t>（职能参照省政府批准的三定方案）</w:t>
      </w:r>
      <w:r>
        <w:rPr>
          <w:rFonts w:hint="eastAsia" w:ascii="仿宋" w:hAnsi="仿宋" w:eastAsia="仿宋" w:cs="仿宋"/>
          <w:color w:val="auto"/>
          <w:spacing w:val="-4"/>
          <w:sz w:val="32"/>
          <w:szCs w:val="32"/>
        </w:rPr>
        <w:t>是全市各级工会和产业工会的领导机关，主要工作是：贯彻执行党的路线、方针、政策；根据乐山市总工会、峨眉山市委</w:t>
      </w:r>
      <w:r>
        <w:rPr>
          <w:rFonts w:hint="eastAsia" w:ascii="仿宋" w:hAnsi="仿宋" w:eastAsia="仿宋" w:cs="仿宋"/>
          <w:color w:val="auto"/>
          <w:spacing w:val="-4"/>
          <w:sz w:val="32"/>
          <w:szCs w:val="32"/>
          <w:lang w:eastAsia="zh-CN"/>
        </w:rPr>
        <w:t>市政府</w:t>
      </w:r>
      <w:r>
        <w:rPr>
          <w:rFonts w:hint="eastAsia" w:ascii="仿宋" w:hAnsi="仿宋" w:eastAsia="仿宋" w:cs="仿宋"/>
          <w:color w:val="auto"/>
          <w:spacing w:val="-4"/>
          <w:sz w:val="32"/>
          <w:szCs w:val="32"/>
        </w:rPr>
        <w:t>的部署，结合峨眉山市实际，确定工会工作的指导思想、目标和任务，指导全市工会工作；依照《工会法》和《中国工会章程》，组织和指导各级工会“维护职工合法权益”的基本职能和其它各项社会职能；对有关职工利益的重大问题进行调查研究，向市委、市政府和上级工会反映职工群众的愿望和要求，并提出意见和建议，参与涉及职工切身利益的有关政策、措施和制度的制定；指导基层工会的自身建设和改革，按照市委</w:t>
      </w:r>
      <w:r>
        <w:rPr>
          <w:rFonts w:hint="eastAsia" w:ascii="仿宋" w:hAnsi="仿宋" w:eastAsia="仿宋" w:cs="仿宋"/>
          <w:color w:val="auto"/>
          <w:spacing w:val="-4"/>
          <w:sz w:val="32"/>
          <w:szCs w:val="32"/>
          <w:lang w:eastAsia="zh-CN"/>
        </w:rPr>
        <w:t>市政府</w:t>
      </w:r>
      <w:r>
        <w:rPr>
          <w:rFonts w:hint="eastAsia" w:ascii="仿宋" w:hAnsi="仿宋" w:eastAsia="仿宋" w:cs="仿宋"/>
          <w:color w:val="auto"/>
          <w:spacing w:val="-4"/>
          <w:sz w:val="32"/>
          <w:szCs w:val="32"/>
        </w:rPr>
        <w:t>和上级工会的要求，研究制定工会的各项组织制度和民主制度；协助市</w:t>
      </w:r>
      <w:r>
        <w:rPr>
          <w:rFonts w:hint="eastAsia" w:ascii="仿宋" w:hAnsi="仿宋" w:eastAsia="仿宋" w:cs="仿宋"/>
          <w:color w:val="auto"/>
          <w:spacing w:val="-4"/>
          <w:sz w:val="32"/>
          <w:szCs w:val="32"/>
          <w:lang w:eastAsia="zh-CN"/>
        </w:rPr>
        <w:t>委市</w:t>
      </w:r>
      <w:r>
        <w:rPr>
          <w:rFonts w:hint="eastAsia" w:ascii="仿宋" w:hAnsi="仿宋" w:eastAsia="仿宋" w:cs="仿宋"/>
          <w:color w:val="auto"/>
          <w:spacing w:val="-4"/>
          <w:sz w:val="32"/>
          <w:szCs w:val="32"/>
        </w:rPr>
        <w:t>政府和企业主管部门组织职工开展以提高企业经济效益的为目的的劳动竞赛，协助市</w:t>
      </w:r>
      <w:r>
        <w:rPr>
          <w:rFonts w:hint="eastAsia" w:ascii="仿宋" w:hAnsi="仿宋" w:eastAsia="仿宋" w:cs="仿宋"/>
          <w:color w:val="auto"/>
          <w:spacing w:val="-4"/>
          <w:sz w:val="32"/>
          <w:szCs w:val="32"/>
          <w:lang w:eastAsia="zh-CN"/>
        </w:rPr>
        <w:t>委市</w:t>
      </w:r>
      <w:r>
        <w:rPr>
          <w:rFonts w:hint="eastAsia" w:ascii="仿宋" w:hAnsi="仿宋" w:eastAsia="仿宋" w:cs="仿宋"/>
          <w:color w:val="auto"/>
          <w:spacing w:val="-4"/>
          <w:sz w:val="32"/>
          <w:szCs w:val="32"/>
        </w:rPr>
        <w:t>政府和上级工会做好省部级以上劳模的推荐、管理工作；参与有关保护女职工权益与特殊利益的政策性文件的制定；承办市委、市政府和上级工会交办的其它事项。</w:t>
      </w:r>
    </w:p>
    <w:p>
      <w:pPr>
        <w:pStyle w:val="5"/>
        <w:rPr>
          <w:rStyle w:val="29"/>
          <w:b w:val="0"/>
          <w:bCs w:val="0"/>
          <w:color w:val="auto"/>
        </w:rPr>
      </w:pPr>
      <w:bookmarkStart w:id="14" w:name="_Toc15377200"/>
      <w:bookmarkStart w:id="15" w:name="_Toc15396601"/>
      <w:r>
        <w:rPr>
          <w:rFonts w:hint="eastAsia" w:ascii="黑体" w:eastAsia="黑体"/>
          <w:b w:val="0"/>
          <w:color w:val="auto"/>
        </w:rPr>
        <w:t>二、</w:t>
      </w:r>
      <w:r>
        <w:rPr>
          <w:rFonts w:hint="eastAsia" w:ascii="黑体" w:hAnsi="黑体" w:eastAsia="黑体"/>
          <w:b w:val="0"/>
          <w:color w:val="auto"/>
        </w:rPr>
        <w:t>机</w:t>
      </w:r>
      <w:r>
        <w:rPr>
          <w:rStyle w:val="29"/>
          <w:rFonts w:hint="eastAsia" w:ascii="黑体" w:hAnsi="黑体" w:eastAsia="黑体"/>
          <w:b w:val="0"/>
          <w:bCs w:val="0"/>
          <w:color w:val="auto"/>
        </w:rPr>
        <w:t>构设置</w:t>
      </w:r>
      <w:bookmarkEnd w:id="14"/>
      <w:bookmarkEnd w:id="15"/>
    </w:p>
    <w:p>
      <w:pPr>
        <w:ind w:firstLine="800" w:firstLineChars="250"/>
        <w:rPr>
          <w:rFonts w:hint="eastAsia" w:ascii="黑体" w:hAnsi="黑体" w:eastAsia="黑体"/>
          <w:b w:val="0"/>
          <w:color w:val="auto"/>
        </w:rPr>
      </w:pPr>
      <w:r>
        <w:rPr>
          <w:rFonts w:hint="eastAsia" w:ascii="仿宋" w:hAnsi="仿宋" w:eastAsia="仿宋"/>
          <w:color w:val="auto"/>
          <w:sz w:val="32"/>
          <w:szCs w:val="32"/>
          <w:lang w:eastAsia="zh-CN"/>
        </w:rPr>
        <w:t>峨眉山市总工会</w:t>
      </w:r>
      <w:r>
        <w:rPr>
          <w:rFonts w:hint="eastAsia" w:ascii="仿宋" w:hAnsi="仿宋" w:eastAsia="仿宋"/>
          <w:color w:val="auto"/>
          <w:sz w:val="32"/>
          <w:szCs w:val="32"/>
        </w:rPr>
        <w:t>下属二级预算单位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个，参照公务员法管理的事业单位</w:t>
      </w:r>
      <w:r>
        <w:rPr>
          <w:rFonts w:hint="eastAsia" w:ascii="仿宋" w:hAnsi="仿宋" w:eastAsia="仿宋"/>
          <w:bCs/>
          <w:color w:val="auto"/>
          <w:sz w:val="32"/>
          <w:szCs w:val="32"/>
          <w:lang w:val="en-US" w:eastAsia="zh-CN"/>
        </w:rPr>
        <w:t>0</w:t>
      </w:r>
      <w:r>
        <w:rPr>
          <w:rFonts w:hint="eastAsia" w:ascii="仿宋" w:hAnsi="仿宋" w:eastAsia="仿宋"/>
          <w:color w:val="auto"/>
          <w:sz w:val="32"/>
          <w:szCs w:val="32"/>
        </w:rPr>
        <w:t>个，其他事业单位</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个。</w:t>
      </w:r>
      <w:bookmarkStart w:id="16" w:name="_Toc15396602"/>
      <w:bookmarkStart w:id="17" w:name="_Toc15377204"/>
    </w:p>
    <w:p>
      <w:pPr>
        <w:pStyle w:val="4"/>
        <w:ind w:right="440"/>
        <w:jc w:val="center"/>
        <w:rPr>
          <w:color w:val="auto"/>
        </w:rPr>
      </w:pPr>
      <w:r>
        <w:rPr>
          <w:rFonts w:hint="eastAsia" w:ascii="黑体" w:hAnsi="黑体" w:eastAsia="黑体"/>
          <w:b w:val="0"/>
          <w:color w:val="auto"/>
        </w:rPr>
        <w:t>第二部分 2022年度</w:t>
      </w:r>
      <w:r>
        <w:rPr>
          <w:rStyle w:val="28"/>
          <w:rFonts w:hint="eastAsia" w:ascii="黑体" w:hAnsi="黑体" w:eastAsia="黑体"/>
          <w:b w:val="0"/>
          <w:bCs/>
          <w:color w:val="auto"/>
        </w:rPr>
        <w:t>部门决算情况说明</w:t>
      </w:r>
      <w:bookmarkEnd w:id="16"/>
      <w:bookmarkEnd w:id="17"/>
    </w:p>
    <w:p>
      <w:pPr>
        <w:pStyle w:val="27"/>
        <w:numPr>
          <w:ilvl w:val="0"/>
          <w:numId w:val="2"/>
        </w:numPr>
        <w:spacing w:line="600" w:lineRule="exact"/>
        <w:ind w:firstLineChars="0"/>
        <w:outlineLvl w:val="1"/>
        <w:rPr>
          <w:rStyle w:val="29"/>
          <w:rFonts w:ascii="黑体" w:hAnsi="黑体" w:eastAsia="黑体"/>
          <w:b w:val="0"/>
          <w:color w:val="auto"/>
        </w:rPr>
      </w:pPr>
      <w:bookmarkStart w:id="18" w:name="_Toc15377205"/>
      <w:bookmarkStart w:id="19" w:name="_Toc15396603"/>
      <w:r>
        <w:rPr>
          <w:rFonts w:hint="eastAsia" w:ascii="黑体" w:hAnsi="黑体" w:eastAsia="黑体"/>
          <w:color w:val="auto"/>
          <w:sz w:val="32"/>
          <w:szCs w:val="32"/>
        </w:rPr>
        <w:t>收</w:t>
      </w:r>
      <w:r>
        <w:rPr>
          <w:rStyle w:val="29"/>
          <w:rFonts w:hint="eastAsia" w:ascii="黑体" w:hAnsi="黑体" w:eastAsia="黑体"/>
          <w:b w:val="0"/>
          <w:color w:val="auto"/>
        </w:rPr>
        <w:t>入支出决算总体情况说明</w:t>
      </w:r>
      <w:bookmarkEnd w:id="18"/>
      <w:bookmarkEnd w:id="19"/>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rPr>
        <w:t>2022年度收、支总计</w:t>
      </w:r>
      <w:r>
        <w:rPr>
          <w:rFonts w:hint="eastAsia" w:ascii="仿宋" w:hAnsi="仿宋" w:eastAsia="仿宋"/>
          <w:color w:val="auto"/>
          <w:sz w:val="32"/>
          <w:szCs w:val="32"/>
          <w:lang w:val="en-US" w:eastAsia="zh-CN"/>
        </w:rPr>
        <w:t>451.86</w:t>
      </w:r>
      <w:r>
        <w:rPr>
          <w:rFonts w:hint="eastAsia" w:ascii="仿宋" w:hAnsi="仿宋" w:eastAsia="仿宋"/>
          <w:color w:val="auto"/>
          <w:sz w:val="32"/>
          <w:szCs w:val="32"/>
        </w:rPr>
        <w:t>万元。与2021年相比，收、支总计</w:t>
      </w:r>
      <w:r>
        <w:rPr>
          <w:rFonts w:hint="eastAsia" w:ascii="仿宋" w:hAnsi="仿宋" w:eastAsia="仿宋"/>
          <w:color w:val="auto"/>
          <w:sz w:val="32"/>
          <w:szCs w:val="32"/>
          <w:lang w:eastAsia="zh-CN"/>
        </w:rPr>
        <w:t>共</w:t>
      </w:r>
      <w:r>
        <w:rPr>
          <w:rFonts w:hint="eastAsia" w:ascii="仿宋" w:hAnsi="仿宋" w:eastAsia="仿宋"/>
          <w:color w:val="auto"/>
          <w:sz w:val="32"/>
          <w:szCs w:val="32"/>
        </w:rPr>
        <w:t>增加</w:t>
      </w:r>
      <w:r>
        <w:rPr>
          <w:rFonts w:hint="eastAsia" w:ascii="仿宋" w:hAnsi="仿宋" w:eastAsia="仿宋"/>
          <w:color w:val="auto"/>
          <w:sz w:val="32"/>
          <w:szCs w:val="32"/>
          <w:lang w:val="en-US" w:eastAsia="zh-CN"/>
        </w:rPr>
        <w:t>270.51</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59.87</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2021年财政未拨付预算的工会经费，而2022年拨付了一部分预算工会经费，同时2022年开始财政拨付在职人员基础绩效</w:t>
      </w:r>
      <w:r>
        <w:rPr>
          <w:rFonts w:hint="eastAsia" w:ascii="仿宋" w:hAnsi="仿宋" w:eastAsia="仿宋"/>
          <w:color w:val="auto"/>
          <w:sz w:val="32"/>
          <w:szCs w:val="32"/>
          <w:highlight w:val="none"/>
        </w:rPr>
        <w:t>。</w:t>
      </w:r>
    </w:p>
    <w:p>
      <w:pPr>
        <w:spacing w:line="600" w:lineRule="exact"/>
        <w:ind w:firstLine="640" w:firstLineChars="200"/>
        <w:rPr>
          <w:rFonts w:ascii="仿宋_GB2312" w:eastAsia="仿宋_GB2312"/>
          <w:color w:val="auto"/>
          <w:sz w:val="32"/>
          <w:szCs w:val="32"/>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：收、支决算总计变动情况图）（柱状图）</w:t>
      </w:r>
    </w:p>
    <w:p>
      <w:pPr>
        <w:pStyle w:val="2"/>
        <w:rPr>
          <w:rFonts w:ascii="仿宋_GB2312" w:eastAsia="仿宋_GB2312"/>
          <w:color w:val="auto"/>
          <w:sz w:val="32"/>
          <w:szCs w:val="32"/>
        </w:rPr>
      </w:pPr>
      <w:r>
        <w:rPr>
          <w:color w:val="auto"/>
        </w:rPr>
        <w:drawing>
          <wp:inline distT="0" distB="0" distL="114300" distR="114300">
            <wp:extent cx="4913630" cy="3108325"/>
            <wp:effectExtent l="4445" t="4445" r="15875" b="1143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numPr>
          <w:ilvl w:val="0"/>
          <w:numId w:val="2"/>
        </w:numPr>
        <w:spacing w:line="600" w:lineRule="exact"/>
        <w:ind w:firstLineChars="0"/>
        <w:outlineLvl w:val="1"/>
        <w:rPr>
          <w:rStyle w:val="29"/>
          <w:rFonts w:ascii="黑体" w:hAnsi="黑体" w:eastAsia="黑体"/>
          <w:b w:val="0"/>
          <w:color w:val="auto"/>
        </w:rPr>
      </w:pPr>
      <w:bookmarkStart w:id="20" w:name="_Toc15396604"/>
      <w:bookmarkStart w:id="21" w:name="_Toc15377206"/>
      <w:r>
        <w:rPr>
          <w:rFonts w:hint="eastAsia" w:ascii="黑体" w:hAnsi="黑体" w:eastAsia="黑体"/>
          <w:color w:val="auto"/>
          <w:sz w:val="32"/>
          <w:szCs w:val="32"/>
        </w:rPr>
        <w:t>收</w:t>
      </w:r>
      <w:r>
        <w:rPr>
          <w:rStyle w:val="29"/>
          <w:rFonts w:hint="eastAsia" w:ascii="黑体" w:hAnsi="黑体" w:eastAsia="黑体"/>
          <w:b w:val="0"/>
          <w:color w:val="auto"/>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22年本年收入合计</w:t>
      </w:r>
      <w:r>
        <w:rPr>
          <w:rFonts w:hint="eastAsia" w:ascii="仿宋" w:hAnsi="仿宋" w:eastAsia="仿宋"/>
          <w:color w:val="auto"/>
          <w:sz w:val="32"/>
          <w:szCs w:val="32"/>
          <w:lang w:val="en-US" w:eastAsia="zh-CN"/>
        </w:rPr>
        <w:t>222.73</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222.73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；国有资本经营预算财政拨款收入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；上级补助收入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；事业收入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；附属单位上缴收入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；其他收入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（图2：收入决算结构图）（饼状图）</w:t>
      </w:r>
    </w:p>
    <w:p>
      <w:pPr>
        <w:pStyle w:val="2"/>
        <w:rPr>
          <w:rFonts w:ascii="仿宋_GB2312" w:eastAsia="仿宋_GB2312"/>
          <w:color w:val="auto"/>
          <w:sz w:val="32"/>
          <w:szCs w:val="32"/>
        </w:rPr>
      </w:pPr>
      <w:r>
        <w:rPr>
          <w:color w:val="auto"/>
        </w:rPr>
        <w:drawing>
          <wp:inline distT="0" distB="0" distL="114300" distR="114300">
            <wp:extent cx="4824730" cy="2230755"/>
            <wp:effectExtent l="4445" t="4445" r="9525" b="1270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7"/>
        <w:numPr>
          <w:ilvl w:val="0"/>
          <w:numId w:val="2"/>
        </w:numPr>
        <w:spacing w:line="600" w:lineRule="exact"/>
        <w:ind w:firstLineChars="0"/>
        <w:outlineLvl w:val="1"/>
        <w:rPr>
          <w:rStyle w:val="29"/>
          <w:rFonts w:ascii="黑体" w:hAnsi="黑体" w:eastAsia="黑体"/>
          <w:b w:val="0"/>
          <w:color w:val="auto"/>
        </w:rPr>
      </w:pPr>
      <w:bookmarkStart w:id="22" w:name="_Toc15377207"/>
      <w:bookmarkStart w:id="23" w:name="_Toc15396605"/>
      <w:r>
        <w:rPr>
          <w:rFonts w:hint="eastAsia" w:ascii="黑体" w:hAnsi="黑体" w:eastAsia="黑体"/>
          <w:color w:val="auto"/>
          <w:sz w:val="32"/>
          <w:szCs w:val="32"/>
        </w:rPr>
        <w:t>支</w:t>
      </w:r>
      <w:r>
        <w:rPr>
          <w:rStyle w:val="29"/>
          <w:rFonts w:hint="eastAsia" w:ascii="黑体" w:hAnsi="黑体" w:eastAsia="黑体"/>
          <w:b w:val="0"/>
          <w:color w:val="auto"/>
        </w:rPr>
        <w:t>出决算情况说明</w:t>
      </w:r>
      <w:bookmarkEnd w:id="22"/>
      <w:bookmarkEnd w:id="23"/>
    </w:p>
    <w:p>
      <w:pPr>
        <w:spacing w:line="600" w:lineRule="exact"/>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22年本年支出合计</w:t>
      </w:r>
      <w:r>
        <w:rPr>
          <w:rFonts w:hint="eastAsia" w:ascii="仿宋" w:hAnsi="仿宋" w:eastAsia="仿宋"/>
          <w:color w:val="auto"/>
          <w:sz w:val="32"/>
          <w:szCs w:val="32"/>
          <w:lang w:val="en-US" w:eastAsia="zh-CN"/>
        </w:rPr>
        <w:t>229.13</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85.06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37.12</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144.07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62.88</w:t>
      </w:r>
      <w:r>
        <w:rPr>
          <w:rFonts w:ascii="仿宋" w:hAnsi="仿宋" w:eastAsia="仿宋"/>
          <w:color w:val="auto"/>
          <w:sz w:val="32"/>
          <w:szCs w:val="32"/>
        </w:rPr>
        <w:t>%</w:t>
      </w:r>
      <w:r>
        <w:rPr>
          <w:rFonts w:hint="eastAsia" w:ascii="仿宋" w:hAnsi="仿宋" w:eastAsia="仿宋"/>
          <w:color w:val="auto"/>
          <w:sz w:val="32"/>
          <w:szCs w:val="32"/>
        </w:rPr>
        <w:t>；上缴上级支出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；经营支出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；对附属单位补助支出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firstLineChars="200"/>
        <w:rPr>
          <w:rFonts w:ascii="仿宋_GB2312" w:eastAsia="仿宋_GB2312"/>
          <w:color w:val="auto"/>
          <w:sz w:val="32"/>
          <w:szCs w:val="32"/>
        </w:rPr>
      </w:pPr>
      <w:r>
        <w:rPr>
          <w:rFonts w:hint="eastAsia" w:ascii="仿宋" w:hAnsi="仿宋" w:eastAsia="仿宋"/>
          <w:color w:val="auto"/>
          <w:sz w:val="32"/>
          <w:szCs w:val="32"/>
        </w:rPr>
        <w:t>（图3：支出决算结构图）（饼状图）</w:t>
      </w:r>
    </w:p>
    <w:p>
      <w:pPr>
        <w:pStyle w:val="2"/>
        <w:rPr>
          <w:color w:val="auto"/>
        </w:rPr>
      </w:pPr>
      <w:r>
        <w:rPr>
          <w:color w:val="auto"/>
        </w:rPr>
        <w:drawing>
          <wp:inline distT="0" distB="0" distL="114300" distR="114300">
            <wp:extent cx="4924425" cy="2294890"/>
            <wp:effectExtent l="4445" t="4445" r="5080" b="571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29"/>
          <w:rFonts w:ascii="黑体" w:hAnsi="黑体" w:eastAsia="黑体"/>
          <w:b w:val="0"/>
          <w:color w:val="auto"/>
        </w:rPr>
      </w:pPr>
      <w:bookmarkStart w:id="24" w:name="_Toc15377208"/>
      <w:bookmarkStart w:id="25" w:name="_Toc15396606"/>
      <w:r>
        <w:rPr>
          <w:rFonts w:hint="eastAsia" w:ascii="黑体" w:hAnsi="黑体" w:eastAsia="黑体"/>
          <w:color w:val="auto"/>
          <w:sz w:val="32"/>
          <w:szCs w:val="32"/>
        </w:rPr>
        <w:t>四、财</w:t>
      </w:r>
      <w:r>
        <w:rPr>
          <w:rStyle w:val="29"/>
          <w:rFonts w:hint="eastAsia" w:ascii="黑体" w:hAnsi="黑体" w:eastAsia="黑体"/>
          <w:b w:val="0"/>
          <w:color w:val="auto"/>
        </w:rPr>
        <w:t>政拨款收入支出决算总体情况说明</w:t>
      </w:r>
      <w:bookmarkEnd w:id="24"/>
      <w:bookmarkEnd w:id="25"/>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22年财政拨款收、支总计</w:t>
      </w:r>
      <w:r>
        <w:rPr>
          <w:rFonts w:hint="eastAsia" w:ascii="仿宋" w:hAnsi="仿宋" w:eastAsia="仿宋"/>
          <w:color w:val="auto"/>
          <w:sz w:val="32"/>
          <w:szCs w:val="32"/>
          <w:lang w:val="en-US" w:eastAsia="zh-CN"/>
        </w:rPr>
        <w:t>451.86</w:t>
      </w:r>
      <w:r>
        <w:rPr>
          <w:rFonts w:hint="eastAsia" w:ascii="仿宋" w:hAnsi="仿宋" w:eastAsia="仿宋"/>
          <w:color w:val="auto"/>
          <w:sz w:val="32"/>
          <w:szCs w:val="32"/>
        </w:rPr>
        <w:t>万元。与</w:t>
      </w:r>
      <w:r>
        <w:rPr>
          <w:rFonts w:ascii="仿宋" w:hAnsi="仿宋" w:eastAsia="仿宋"/>
          <w:color w:val="auto"/>
          <w:sz w:val="32"/>
          <w:szCs w:val="32"/>
        </w:rPr>
        <w:t>20</w:t>
      </w:r>
      <w:r>
        <w:rPr>
          <w:rFonts w:hint="eastAsia" w:ascii="仿宋" w:hAnsi="仿宋" w:eastAsia="仿宋"/>
          <w:color w:val="auto"/>
          <w:sz w:val="32"/>
          <w:szCs w:val="32"/>
        </w:rPr>
        <w:t>21年相比，财政拨款收、支总计</w:t>
      </w:r>
      <w:r>
        <w:rPr>
          <w:rFonts w:hint="eastAsia" w:ascii="仿宋" w:hAnsi="仿宋" w:eastAsia="仿宋"/>
          <w:color w:val="auto"/>
          <w:sz w:val="32"/>
          <w:szCs w:val="32"/>
          <w:lang w:eastAsia="zh-CN"/>
        </w:rPr>
        <w:t>共</w:t>
      </w:r>
      <w:r>
        <w:rPr>
          <w:rFonts w:hint="eastAsia" w:ascii="仿宋" w:hAnsi="仿宋" w:eastAsia="仿宋"/>
          <w:color w:val="auto"/>
          <w:sz w:val="32"/>
          <w:szCs w:val="32"/>
        </w:rPr>
        <w:t>增加</w:t>
      </w:r>
      <w:r>
        <w:rPr>
          <w:rFonts w:hint="eastAsia" w:ascii="仿宋" w:hAnsi="仿宋" w:eastAsia="仿宋"/>
          <w:color w:val="auto"/>
          <w:sz w:val="32"/>
          <w:szCs w:val="32"/>
          <w:lang w:val="en-US" w:eastAsia="zh-CN"/>
        </w:rPr>
        <w:t>270.51</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59.87</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2021年财政未拨付预算的工会经费，而2022年拨付了一部分预算工会经费，同时2022年开始财政拨付在职人员基础绩效</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b/>
          <w:color w:val="auto"/>
          <w:sz w:val="32"/>
          <w:szCs w:val="32"/>
          <w:lang w:eastAsia="zh-CN"/>
        </w:rPr>
      </w:pPr>
      <w:r>
        <w:rPr>
          <w:rFonts w:hint="eastAsia" w:ascii="仿宋" w:hAnsi="仿宋" w:eastAsia="仿宋"/>
          <w:color w:val="auto"/>
          <w:sz w:val="32"/>
          <w:szCs w:val="32"/>
        </w:rPr>
        <w:t>（图4：财政拨款收、支决算总计变动情况）（柱状图）</w:t>
      </w:r>
    </w:p>
    <w:p>
      <w:pPr>
        <w:pStyle w:val="2"/>
        <w:rPr>
          <w:rFonts w:hint="eastAsia" w:ascii="仿宋" w:hAnsi="仿宋" w:eastAsia="仿宋"/>
          <w:b/>
          <w:color w:val="auto"/>
          <w:sz w:val="32"/>
          <w:szCs w:val="32"/>
          <w:lang w:eastAsia="zh-CN"/>
        </w:rPr>
      </w:pPr>
      <w:r>
        <w:rPr>
          <w:color w:val="auto"/>
        </w:rPr>
        <w:drawing>
          <wp:inline distT="0" distB="0" distL="114300" distR="114300">
            <wp:extent cx="5017770" cy="2583180"/>
            <wp:effectExtent l="4445" t="4445" r="6985" b="2222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outlineLvl w:val="1"/>
        <w:rPr>
          <w:rStyle w:val="29"/>
          <w:rFonts w:ascii="黑体" w:hAnsi="黑体" w:eastAsia="黑体"/>
          <w:b w:val="0"/>
          <w:color w:val="auto"/>
        </w:rPr>
      </w:pPr>
      <w:bookmarkStart w:id="26" w:name="_Toc15396607"/>
      <w:bookmarkStart w:id="27"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9"/>
          <w:rFonts w:hint="eastAsia" w:ascii="黑体" w:hAnsi="黑体" w:eastAsia="黑体"/>
          <w:b w:val="0"/>
          <w:color w:val="auto"/>
        </w:rPr>
        <w:t>般公共预算财政拨款支出决算情况说明</w:t>
      </w:r>
      <w:bookmarkEnd w:id="26"/>
      <w:bookmarkEnd w:id="27"/>
    </w:p>
    <w:p>
      <w:pPr>
        <w:spacing w:line="600" w:lineRule="exact"/>
        <w:ind w:firstLine="643" w:firstLineChars="200"/>
        <w:outlineLvl w:val="2"/>
        <w:rPr>
          <w:rFonts w:hint="eastAsia" w:ascii="仿宋" w:hAnsi="仿宋" w:eastAsia="仿宋" w:cs="仿宋"/>
          <w:b/>
          <w:bCs w:val="0"/>
          <w:color w:val="auto"/>
          <w:sz w:val="32"/>
          <w:szCs w:val="32"/>
          <w:highlight w:val="none"/>
        </w:rPr>
      </w:pPr>
      <w:bookmarkStart w:id="28" w:name="_Toc15377210"/>
      <w:r>
        <w:rPr>
          <w:rFonts w:hint="eastAsia" w:ascii="仿宋" w:hAnsi="仿宋" w:eastAsia="仿宋" w:cs="仿宋"/>
          <w:b/>
          <w:bCs w:val="0"/>
          <w:color w:val="auto"/>
          <w:sz w:val="32"/>
          <w:szCs w:val="32"/>
        </w:rPr>
        <w:t>（一）</w:t>
      </w:r>
      <w:r>
        <w:rPr>
          <w:rFonts w:hint="eastAsia" w:ascii="仿宋" w:hAnsi="仿宋" w:eastAsia="仿宋" w:cs="仿宋"/>
          <w:b/>
          <w:bCs w:val="0"/>
          <w:color w:val="auto"/>
          <w:sz w:val="32"/>
          <w:szCs w:val="32"/>
          <w:highlight w:val="none"/>
        </w:rPr>
        <w:t>一般公共预算财政拨款支出决算总体情况</w:t>
      </w:r>
      <w:bookmarkEnd w:id="28"/>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229.13</w:t>
      </w:r>
      <w:r>
        <w:rPr>
          <w:rFonts w:hint="eastAsia" w:ascii="仿宋" w:hAnsi="仿宋" w:eastAsia="仿宋"/>
          <w:color w:val="auto"/>
          <w:sz w:val="32"/>
          <w:szCs w:val="32"/>
        </w:rPr>
        <w:t>万元，占本年支出合计的</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21年相比，一般公共预算财政拨款支出增加</w:t>
      </w:r>
      <w:r>
        <w:rPr>
          <w:rFonts w:hint="eastAsia" w:ascii="仿宋" w:hAnsi="仿宋" w:eastAsia="仿宋"/>
          <w:color w:val="auto"/>
          <w:sz w:val="32"/>
          <w:szCs w:val="32"/>
          <w:lang w:val="en-US" w:eastAsia="zh-CN"/>
        </w:rPr>
        <w:t>142.98</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62.4</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资金拨付增加的同时相对应的支出同比增加。</w:t>
      </w:r>
    </w:p>
    <w:p>
      <w:pPr>
        <w:spacing w:line="600" w:lineRule="exact"/>
        <w:rPr>
          <w:rFonts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pPr>
        <w:pStyle w:val="2"/>
        <w:rPr>
          <w:rFonts w:ascii="仿宋" w:hAnsi="仿宋" w:eastAsia="仿宋"/>
          <w:color w:val="auto"/>
          <w:sz w:val="32"/>
          <w:szCs w:val="32"/>
        </w:rPr>
      </w:pPr>
      <w:r>
        <w:rPr>
          <w:color w:val="auto"/>
        </w:rPr>
        <w:drawing>
          <wp:inline distT="0" distB="0" distL="114300" distR="114300">
            <wp:extent cx="4885690" cy="2534285"/>
            <wp:effectExtent l="4445" t="4445" r="571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2"/>
        <w:rPr>
          <w:rFonts w:ascii="仿宋" w:hAnsi="仿宋" w:eastAsia="仿宋"/>
          <w:b/>
          <w:color w:val="auto"/>
          <w:sz w:val="32"/>
          <w:szCs w:val="32"/>
        </w:rPr>
      </w:pPr>
      <w:bookmarkStart w:id="29" w:name="_Toc15377211"/>
      <w:r>
        <w:rPr>
          <w:rFonts w:hint="eastAsia" w:ascii="仿宋" w:hAnsi="仿宋" w:eastAsia="仿宋"/>
          <w:b/>
          <w:color w:val="auto"/>
          <w:sz w:val="32"/>
          <w:szCs w:val="32"/>
        </w:rPr>
        <w:t>（二）一般公共预算财政拨款支出决算结构情况</w:t>
      </w:r>
      <w:bookmarkEnd w:id="29"/>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229.13</w:t>
      </w:r>
      <w:r>
        <w:rPr>
          <w:rFonts w:hint="eastAsia" w:ascii="仿宋" w:hAnsi="仿宋" w:eastAsia="仿宋"/>
          <w:color w:val="auto"/>
          <w:sz w:val="32"/>
          <w:szCs w:val="32"/>
        </w:rPr>
        <w:t>万元，主要用于</w:t>
      </w:r>
      <w:r>
        <w:rPr>
          <w:rFonts w:hint="eastAsia" w:ascii="仿宋" w:hAnsi="仿宋" w:eastAsia="仿宋"/>
          <w:b w:val="0"/>
          <w:bCs w:val="0"/>
          <w:color w:val="auto"/>
          <w:sz w:val="32"/>
          <w:szCs w:val="32"/>
        </w:rPr>
        <w:t>以下方面</w:t>
      </w:r>
      <w:r>
        <w:rPr>
          <w:rFonts w:ascii="仿宋" w:hAnsi="仿宋" w:eastAsia="仿宋"/>
          <w:b w:val="0"/>
          <w:bCs w:val="0"/>
          <w:color w:val="auto"/>
          <w:sz w:val="32"/>
          <w:szCs w:val="32"/>
        </w:rPr>
        <w:t>:</w:t>
      </w:r>
      <w:r>
        <w:rPr>
          <w:rFonts w:hint="eastAsia" w:ascii="仿宋" w:hAnsi="仿宋" w:eastAsia="仿宋"/>
          <w:b w:val="0"/>
          <w:bCs w:val="0"/>
          <w:color w:val="auto"/>
          <w:sz w:val="32"/>
          <w:szCs w:val="32"/>
        </w:rPr>
        <w:t>一般公共服务支出</w:t>
      </w:r>
      <w:r>
        <w:rPr>
          <w:rFonts w:hint="eastAsia" w:ascii="仿宋" w:hAnsi="仿宋" w:eastAsia="仿宋"/>
          <w:b w:val="0"/>
          <w:bCs w:val="0"/>
          <w:color w:val="auto"/>
          <w:sz w:val="32"/>
          <w:szCs w:val="32"/>
          <w:lang w:val="en-US" w:eastAsia="zh-CN"/>
        </w:rPr>
        <w:t>189.76</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82.82</w:t>
      </w:r>
      <w:r>
        <w:rPr>
          <w:rFonts w:ascii="仿宋" w:hAnsi="仿宋" w:eastAsia="仿宋"/>
          <w:b w:val="0"/>
          <w:bCs w:val="0"/>
          <w:color w:val="auto"/>
          <w:sz w:val="32"/>
          <w:szCs w:val="32"/>
        </w:rPr>
        <w:t>%</w:t>
      </w:r>
      <w:r>
        <w:rPr>
          <w:rFonts w:hint="eastAsia" w:ascii="仿宋" w:hAnsi="仿宋" w:eastAsia="仿宋"/>
          <w:b w:val="0"/>
          <w:bCs w:val="0"/>
          <w:color w:val="auto"/>
          <w:sz w:val="32"/>
          <w:szCs w:val="32"/>
        </w:rPr>
        <w:t>；教育支出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w:t>
      </w:r>
      <w:r>
        <w:rPr>
          <w:rFonts w:ascii="仿宋" w:hAnsi="仿宋" w:eastAsia="仿宋"/>
          <w:b w:val="0"/>
          <w:bCs w:val="0"/>
          <w:color w:val="auto"/>
          <w:sz w:val="32"/>
          <w:szCs w:val="32"/>
        </w:rPr>
        <w:t>%</w:t>
      </w:r>
      <w:r>
        <w:rPr>
          <w:rFonts w:hint="eastAsia" w:ascii="仿宋" w:hAnsi="仿宋" w:eastAsia="仿宋"/>
          <w:b w:val="0"/>
          <w:bCs w:val="0"/>
          <w:color w:val="auto"/>
          <w:sz w:val="32"/>
          <w:szCs w:val="32"/>
        </w:rPr>
        <w:t>；科学技术支出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w:t>
      </w:r>
      <w:r>
        <w:rPr>
          <w:rFonts w:ascii="仿宋" w:hAnsi="仿宋" w:eastAsia="仿宋"/>
          <w:b w:val="0"/>
          <w:bCs w:val="0"/>
          <w:color w:val="auto"/>
          <w:sz w:val="32"/>
          <w:szCs w:val="32"/>
        </w:rPr>
        <w:t>%</w:t>
      </w:r>
      <w:r>
        <w:rPr>
          <w:rFonts w:hint="eastAsia" w:ascii="仿宋" w:hAnsi="仿宋" w:eastAsia="仿宋"/>
          <w:b w:val="0"/>
          <w:bCs w:val="0"/>
          <w:color w:val="auto"/>
          <w:sz w:val="32"/>
          <w:szCs w:val="32"/>
        </w:rPr>
        <w:t>；文化旅游体育与传媒支出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w:t>
      </w:r>
      <w:r>
        <w:rPr>
          <w:rFonts w:ascii="仿宋" w:hAnsi="仿宋" w:eastAsia="仿宋"/>
          <w:b w:val="0"/>
          <w:bCs w:val="0"/>
          <w:color w:val="auto"/>
          <w:sz w:val="32"/>
          <w:szCs w:val="32"/>
        </w:rPr>
        <w:t>%</w:t>
      </w:r>
      <w:r>
        <w:rPr>
          <w:rFonts w:hint="eastAsia" w:ascii="仿宋" w:hAnsi="仿宋" w:eastAsia="仿宋"/>
          <w:b w:val="0"/>
          <w:bCs w:val="0"/>
          <w:color w:val="auto"/>
          <w:sz w:val="32"/>
          <w:szCs w:val="32"/>
        </w:rPr>
        <w:t>；社会保障和就业支出</w:t>
      </w:r>
      <w:r>
        <w:rPr>
          <w:rFonts w:hint="eastAsia" w:ascii="仿宋" w:hAnsi="仿宋" w:eastAsia="仿宋"/>
          <w:b w:val="0"/>
          <w:bCs w:val="0"/>
          <w:color w:val="auto"/>
          <w:sz w:val="32"/>
          <w:szCs w:val="32"/>
          <w:lang w:val="en-US" w:eastAsia="zh-CN"/>
        </w:rPr>
        <w:t>33.84</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14.77</w:t>
      </w:r>
      <w:r>
        <w:rPr>
          <w:rFonts w:ascii="仿宋" w:hAnsi="仿宋" w:eastAsia="仿宋"/>
          <w:b w:val="0"/>
          <w:bCs w:val="0"/>
          <w:color w:val="auto"/>
          <w:sz w:val="32"/>
          <w:szCs w:val="32"/>
        </w:rPr>
        <w:t>%</w:t>
      </w:r>
      <w:r>
        <w:rPr>
          <w:rFonts w:hint="eastAsia" w:ascii="仿宋" w:hAnsi="仿宋" w:eastAsia="仿宋"/>
          <w:b w:val="0"/>
          <w:bCs w:val="0"/>
          <w:color w:val="auto"/>
          <w:sz w:val="32"/>
          <w:szCs w:val="32"/>
        </w:rPr>
        <w:t>；卫生健康支出</w:t>
      </w:r>
      <w:r>
        <w:rPr>
          <w:rFonts w:hint="eastAsia" w:ascii="仿宋" w:hAnsi="仿宋" w:eastAsia="仿宋"/>
          <w:b w:val="0"/>
          <w:bCs w:val="0"/>
          <w:color w:val="auto"/>
          <w:sz w:val="32"/>
          <w:szCs w:val="32"/>
          <w:lang w:val="en-US" w:eastAsia="zh-CN"/>
        </w:rPr>
        <w:t>5.53</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2.41</w:t>
      </w:r>
      <w:r>
        <w:rPr>
          <w:rFonts w:ascii="仿宋" w:hAnsi="仿宋" w:eastAsia="仿宋"/>
          <w:b w:val="0"/>
          <w:bCs w:val="0"/>
          <w:color w:val="auto"/>
          <w:sz w:val="32"/>
          <w:szCs w:val="32"/>
        </w:rPr>
        <w:t>%</w:t>
      </w:r>
      <w:r>
        <w:rPr>
          <w:rFonts w:hint="eastAsia" w:ascii="仿宋" w:hAnsi="仿宋" w:eastAsia="仿宋"/>
          <w:b w:val="0"/>
          <w:bCs w:val="0"/>
          <w:color w:val="auto"/>
          <w:sz w:val="32"/>
          <w:szCs w:val="32"/>
        </w:rPr>
        <w:t>；住房保障支出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0</w:t>
      </w:r>
      <w:r>
        <w:rPr>
          <w:rFonts w:ascii="仿宋" w:hAnsi="仿宋" w:eastAsia="仿宋"/>
          <w:b w:val="0"/>
          <w:bCs w:val="0"/>
          <w:color w:val="auto"/>
          <w:sz w:val="32"/>
          <w:szCs w:val="32"/>
        </w:rPr>
        <w:t>%</w:t>
      </w:r>
      <w:r>
        <w:rPr>
          <w:rFonts w:hint="eastAsia" w:ascii="仿宋" w:hAnsi="仿宋" w:eastAsia="仿宋"/>
          <w:b w:val="0"/>
          <w:bCs w:val="0"/>
          <w:color w:val="auto"/>
          <w:sz w:val="32"/>
          <w:szCs w:val="32"/>
        </w:rPr>
        <w:t>。</w:t>
      </w:r>
    </w:p>
    <w:p>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（图6：一般公共预算财政拨款支出决算结构）（饼状图）</w:t>
      </w:r>
    </w:p>
    <w:p>
      <w:pPr>
        <w:pStyle w:val="2"/>
        <w:rPr>
          <w:rFonts w:ascii="仿宋" w:hAnsi="仿宋" w:eastAsia="仿宋"/>
          <w:color w:val="auto"/>
          <w:sz w:val="32"/>
          <w:szCs w:val="32"/>
        </w:rPr>
      </w:pPr>
      <w:r>
        <w:rPr>
          <w:color w:val="auto"/>
        </w:rPr>
        <w:drawing>
          <wp:inline distT="0" distB="0" distL="114300" distR="114300">
            <wp:extent cx="4878070" cy="2609850"/>
            <wp:effectExtent l="4445" t="4445" r="1333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3" w:firstLineChars="200"/>
        <w:outlineLvl w:val="2"/>
        <w:rPr>
          <w:rFonts w:ascii="仿宋" w:hAnsi="仿宋" w:eastAsia="仿宋"/>
          <w:b/>
          <w:color w:val="auto"/>
          <w:sz w:val="32"/>
          <w:szCs w:val="32"/>
        </w:rPr>
      </w:pPr>
      <w:bookmarkStart w:id="30" w:name="_Toc15377212"/>
      <w:r>
        <w:rPr>
          <w:rFonts w:hint="eastAsia" w:ascii="仿宋" w:hAnsi="仿宋" w:eastAsia="仿宋"/>
          <w:b/>
          <w:color w:val="auto"/>
          <w:sz w:val="32"/>
          <w:szCs w:val="32"/>
        </w:rPr>
        <w:t>（三）一般公共预算财政拨款支出决算具体情况</w:t>
      </w:r>
      <w:bookmarkEnd w:id="30"/>
    </w:p>
    <w:p>
      <w:pPr>
        <w:spacing w:line="600" w:lineRule="exact"/>
        <w:ind w:firstLine="640" w:firstLineChars="200"/>
        <w:outlineLvl w:val="2"/>
        <w:rPr>
          <w:rFonts w:ascii="仿宋" w:hAnsi="仿宋" w:eastAsia="仿宋"/>
          <w:b w:val="0"/>
          <w:bCs/>
          <w:color w:val="auto"/>
          <w:sz w:val="32"/>
          <w:szCs w:val="32"/>
        </w:rPr>
      </w:pPr>
      <w:bookmarkStart w:id="31" w:name="_Toc15377444"/>
      <w:bookmarkStart w:id="32" w:name="_Toc15378460"/>
      <w:bookmarkStart w:id="33" w:name="_Toc15377213"/>
      <w:r>
        <w:rPr>
          <w:rFonts w:hint="eastAsia" w:ascii="仿宋" w:hAnsi="仿宋" w:eastAsia="仿宋"/>
          <w:b w:val="0"/>
          <w:bCs/>
          <w:color w:val="auto"/>
          <w:sz w:val="32"/>
          <w:szCs w:val="32"/>
        </w:rPr>
        <w:t>2022年一般公共预算支出决算数为</w:t>
      </w:r>
      <w:r>
        <w:rPr>
          <w:rFonts w:hint="eastAsia" w:ascii="仿宋" w:hAnsi="仿宋" w:eastAsia="仿宋"/>
          <w:b w:val="0"/>
          <w:bCs/>
          <w:color w:val="auto"/>
          <w:sz w:val="32"/>
          <w:szCs w:val="32"/>
          <w:lang w:val="en-US" w:eastAsia="zh-CN"/>
        </w:rPr>
        <w:t>229.13万元</w:t>
      </w:r>
      <w:r>
        <w:rPr>
          <w:rFonts w:hint="eastAsia" w:ascii="仿宋" w:hAnsi="仿宋" w:eastAsia="仿宋"/>
          <w:b w:val="0"/>
          <w:bCs/>
          <w:color w:val="auto"/>
          <w:sz w:val="32"/>
          <w:szCs w:val="32"/>
        </w:rPr>
        <w:t>，</w:t>
      </w:r>
      <w:r>
        <w:rPr>
          <w:rStyle w:val="17"/>
          <w:rFonts w:hint="eastAsia" w:ascii="仿宋" w:hAnsi="仿宋" w:eastAsia="仿宋"/>
          <w:b w:val="0"/>
          <w:bCs/>
          <w:color w:val="auto"/>
          <w:sz w:val="32"/>
          <w:szCs w:val="32"/>
        </w:rPr>
        <w:t>完成预算</w:t>
      </w:r>
      <w:r>
        <w:rPr>
          <w:rStyle w:val="17"/>
          <w:rFonts w:hint="eastAsia" w:ascii="仿宋" w:hAnsi="仿宋" w:eastAsia="仿宋"/>
          <w:b w:val="0"/>
          <w:bCs/>
          <w:color w:val="auto"/>
          <w:sz w:val="32"/>
          <w:szCs w:val="32"/>
          <w:lang w:val="en-US" w:eastAsia="zh-CN"/>
        </w:rPr>
        <w:t>114.05</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。其中：</w:t>
      </w:r>
      <w:bookmarkEnd w:id="31"/>
      <w:bookmarkEnd w:id="32"/>
      <w:bookmarkEnd w:id="33"/>
    </w:p>
    <w:p>
      <w:pPr>
        <w:pStyle w:val="2"/>
        <w:ind w:firstLine="640" w:firstLineChars="200"/>
        <w:rPr>
          <w:rStyle w:val="17"/>
          <w:rFonts w:hint="eastAsia" w:ascii="仿宋" w:hAnsi="仿宋" w:eastAsia="仿宋" w:cs="仿宋"/>
          <w:b w:val="0"/>
          <w:bCs/>
          <w:color w:val="auto"/>
          <w:sz w:val="32"/>
          <w:szCs w:val="32"/>
          <w:highlight w:val="none"/>
          <w:lang w:val="en-US" w:eastAsia="zh-CN"/>
        </w:rPr>
      </w:pPr>
      <w:r>
        <w:rPr>
          <w:rStyle w:val="17"/>
          <w:rFonts w:hint="eastAsia" w:ascii="仿宋" w:hAnsi="仿宋" w:eastAsia="仿宋" w:cs="仿宋"/>
          <w:b w:val="0"/>
          <w:bCs w:val="0"/>
          <w:color w:val="auto"/>
          <w:sz w:val="32"/>
          <w:szCs w:val="32"/>
        </w:rPr>
        <w:t>1</w:t>
      </w:r>
      <w:r>
        <w:rPr>
          <w:rStyle w:val="17"/>
          <w:rFonts w:hint="eastAsia" w:ascii="仿宋" w:hAnsi="仿宋" w:eastAsia="仿宋" w:cs="仿宋"/>
          <w:bCs/>
          <w:color w:val="auto"/>
          <w:sz w:val="32"/>
          <w:szCs w:val="32"/>
        </w:rPr>
        <w:t>.</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行政运行</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45.69万元。</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190.38</w:t>
      </w:r>
      <w:r>
        <w:rPr>
          <w:rStyle w:val="17"/>
          <w:rFonts w:hint="eastAsia" w:ascii="仿宋" w:hAnsi="仿宋" w:eastAsia="仿宋" w:cs="仿宋"/>
          <w:b w:val="0"/>
          <w:bCs/>
          <w:color w:val="auto"/>
          <w:sz w:val="32"/>
          <w:szCs w:val="32"/>
        </w:rPr>
        <w:t>%</w:t>
      </w:r>
      <w:r>
        <w:rPr>
          <w:rStyle w:val="17"/>
          <w:rFonts w:hint="eastAsia" w:ascii="仿宋" w:hAnsi="仿宋" w:eastAsia="仿宋" w:cs="仿宋"/>
          <w:b w:val="0"/>
          <w:bCs/>
          <w:color w:val="auto"/>
          <w:sz w:val="32"/>
          <w:szCs w:val="32"/>
          <w:lang w:eastAsia="zh-CN"/>
        </w:rPr>
        <w:t>。超预算的主要原因为</w:t>
      </w:r>
      <w:r>
        <w:rPr>
          <w:rStyle w:val="17"/>
          <w:rFonts w:hint="eastAsia" w:ascii="仿宋" w:hAnsi="仿宋" w:eastAsia="仿宋" w:cs="仿宋"/>
          <w:b w:val="0"/>
          <w:bCs/>
          <w:color w:val="auto"/>
          <w:sz w:val="32"/>
          <w:szCs w:val="32"/>
          <w:lang w:val="en-US" w:eastAsia="zh-CN"/>
        </w:rPr>
        <w:t>2022年财政拨付在职人员基础绩效。</w:t>
      </w:r>
    </w:p>
    <w:p>
      <w:pPr>
        <w:pStyle w:val="2"/>
        <w:ind w:firstLine="640" w:firstLineChars="200"/>
        <w:rPr>
          <w:rStyle w:val="17"/>
          <w:rFonts w:hint="eastAsia" w:ascii="仿宋" w:hAnsi="仿宋" w:eastAsia="仿宋" w:cs="仿宋"/>
          <w:b w:val="0"/>
          <w:bCs/>
          <w:color w:val="auto"/>
          <w:sz w:val="32"/>
          <w:szCs w:val="32"/>
          <w:highlight w:val="none"/>
          <w:lang w:val="en-US" w:eastAsia="zh-CN"/>
        </w:rPr>
      </w:pPr>
      <w:r>
        <w:rPr>
          <w:rStyle w:val="17"/>
          <w:rFonts w:hint="eastAsia" w:ascii="仿宋" w:hAnsi="仿宋" w:eastAsia="仿宋" w:cs="仿宋"/>
          <w:b w:val="0"/>
          <w:bCs/>
          <w:color w:val="auto"/>
          <w:sz w:val="32"/>
          <w:szCs w:val="32"/>
          <w:highlight w:val="none"/>
          <w:lang w:val="en-US" w:eastAsia="zh-CN"/>
        </w:rPr>
        <w:t>2.</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一般行政管理事务</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14.27</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lang w:eastAsia="zh-CN"/>
        </w:rPr>
        <w:t>超</w:t>
      </w:r>
      <w:r>
        <w:rPr>
          <w:rStyle w:val="17"/>
          <w:rFonts w:hint="eastAsia" w:ascii="仿宋" w:hAnsi="仿宋" w:eastAsia="仿宋" w:cs="仿宋"/>
          <w:b w:val="0"/>
          <w:bCs/>
          <w:color w:val="auto"/>
          <w:sz w:val="32"/>
          <w:szCs w:val="32"/>
        </w:rPr>
        <w:t>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r>
        <w:rPr>
          <w:rStyle w:val="17"/>
          <w:rFonts w:hint="eastAsia" w:ascii="仿宋" w:hAnsi="仿宋" w:eastAsia="仿宋" w:cs="仿宋"/>
          <w:b w:val="0"/>
          <w:bCs/>
          <w:color w:val="auto"/>
          <w:sz w:val="32"/>
          <w:szCs w:val="32"/>
          <w:lang w:eastAsia="zh-CN"/>
        </w:rPr>
        <w:t>。超预算的主要原因为财政拨付上级专项资金</w:t>
      </w:r>
      <w:r>
        <w:rPr>
          <w:rStyle w:val="17"/>
          <w:rFonts w:hint="eastAsia" w:ascii="仿宋" w:hAnsi="仿宋" w:eastAsia="仿宋" w:cs="仿宋"/>
          <w:b w:val="0"/>
          <w:bCs/>
          <w:color w:val="auto"/>
          <w:sz w:val="32"/>
          <w:szCs w:val="32"/>
          <w:lang w:val="en-US" w:eastAsia="zh-CN"/>
        </w:rPr>
        <w:t>.</w:t>
      </w:r>
    </w:p>
    <w:p>
      <w:pPr>
        <w:pStyle w:val="2"/>
        <w:ind w:firstLine="640" w:firstLineChars="200"/>
        <w:rPr>
          <w:rStyle w:val="17"/>
          <w:rFonts w:hint="eastAsia" w:ascii="仿宋" w:hAnsi="仿宋" w:eastAsia="仿宋" w:cs="仿宋"/>
          <w:b w:val="0"/>
          <w:bCs/>
          <w:color w:val="auto"/>
          <w:sz w:val="32"/>
          <w:szCs w:val="32"/>
          <w:highlight w:val="none"/>
          <w:lang w:val="en-US" w:eastAsia="zh-CN"/>
        </w:rPr>
      </w:pPr>
      <w:r>
        <w:rPr>
          <w:rStyle w:val="17"/>
          <w:rFonts w:hint="eastAsia" w:ascii="仿宋" w:hAnsi="仿宋" w:eastAsia="仿宋" w:cs="仿宋"/>
          <w:b w:val="0"/>
          <w:bCs/>
          <w:color w:val="auto"/>
          <w:sz w:val="32"/>
          <w:szCs w:val="32"/>
          <w:highlight w:val="none"/>
          <w:lang w:val="en-US" w:eastAsia="zh-CN"/>
        </w:rPr>
        <w:t>3.</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eastAsia="zh-CN"/>
        </w:rPr>
        <w:t>工会事务</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w:t>
      </w:r>
      <w:r>
        <w:rPr>
          <w:rStyle w:val="17"/>
          <w:rFonts w:hint="eastAsia" w:ascii="仿宋" w:hAnsi="仿宋" w:eastAsia="仿宋" w:cs="仿宋"/>
          <w:b w:val="0"/>
          <w:bCs/>
          <w:color w:val="auto"/>
          <w:sz w:val="32"/>
          <w:szCs w:val="32"/>
          <w:highlight w:val="none"/>
        </w:rPr>
        <w:t>支出决算为</w:t>
      </w:r>
      <w:r>
        <w:rPr>
          <w:rStyle w:val="17"/>
          <w:rFonts w:hint="eastAsia" w:ascii="仿宋" w:hAnsi="仿宋" w:eastAsia="仿宋" w:cs="仿宋"/>
          <w:b w:val="0"/>
          <w:bCs/>
          <w:color w:val="auto"/>
          <w:sz w:val="32"/>
          <w:szCs w:val="32"/>
          <w:highlight w:val="none"/>
          <w:lang w:val="en-US" w:eastAsia="zh-CN"/>
        </w:rPr>
        <w:t>97.4</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val="en-US"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57.29</w:t>
      </w:r>
      <w:r>
        <w:rPr>
          <w:rStyle w:val="17"/>
          <w:rFonts w:hint="eastAsia" w:ascii="仿宋" w:hAnsi="仿宋" w:eastAsia="仿宋" w:cs="仿宋"/>
          <w:b w:val="0"/>
          <w:bCs/>
          <w:color w:val="auto"/>
          <w:sz w:val="32"/>
          <w:szCs w:val="32"/>
        </w:rPr>
        <w:t>%</w:t>
      </w:r>
      <w:r>
        <w:rPr>
          <w:rStyle w:val="17"/>
          <w:rFonts w:hint="eastAsia" w:ascii="仿宋" w:hAnsi="仿宋" w:eastAsia="仿宋" w:cs="仿宋"/>
          <w:b w:val="0"/>
          <w:bCs/>
          <w:color w:val="auto"/>
          <w:sz w:val="32"/>
          <w:szCs w:val="32"/>
          <w:lang w:eastAsia="zh-CN"/>
        </w:rPr>
        <w:t>。决算数小于预算数的主要</w:t>
      </w:r>
      <w:r>
        <w:rPr>
          <w:rStyle w:val="17"/>
          <w:rFonts w:hint="eastAsia" w:ascii="仿宋" w:hAnsi="仿宋" w:eastAsia="仿宋" w:cs="仿宋"/>
          <w:b w:val="0"/>
          <w:bCs/>
          <w:color w:val="auto"/>
          <w:sz w:val="32"/>
          <w:szCs w:val="32"/>
          <w:highlight w:val="none"/>
          <w:lang w:eastAsia="zh-CN"/>
        </w:rPr>
        <w:t>原因是部分工会经费未能按时拨付。</w:t>
      </w:r>
    </w:p>
    <w:p>
      <w:pPr>
        <w:pStyle w:val="2"/>
        <w:ind w:firstLine="640" w:firstLineChars="200"/>
        <w:rPr>
          <w:rStyle w:val="17"/>
          <w:rFonts w:hint="eastAsia" w:ascii="仿宋" w:hAnsi="仿宋" w:eastAsia="仿宋" w:cs="仿宋"/>
          <w:bCs/>
          <w:color w:val="auto"/>
          <w:sz w:val="32"/>
          <w:szCs w:val="32"/>
        </w:rPr>
      </w:pPr>
      <w:r>
        <w:rPr>
          <w:rStyle w:val="17"/>
          <w:rFonts w:hint="eastAsia" w:ascii="仿宋" w:hAnsi="仿宋" w:eastAsia="仿宋" w:cs="仿宋"/>
          <w:b w:val="0"/>
          <w:bCs/>
          <w:color w:val="auto"/>
          <w:sz w:val="32"/>
          <w:szCs w:val="32"/>
          <w:highlight w:val="none"/>
          <w:lang w:val="en-US" w:eastAsia="zh-CN"/>
        </w:rPr>
        <w:t>4.</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eastAsia="zh-CN"/>
        </w:rPr>
        <w:t>其他群众团体事务支出</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32.4</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val="en-US" w:eastAsia="zh-CN"/>
        </w:rPr>
        <w:t>.</w:t>
      </w:r>
      <w:r>
        <w:rPr>
          <w:rStyle w:val="17"/>
          <w:rFonts w:hint="eastAsia" w:ascii="仿宋" w:hAnsi="仿宋" w:eastAsia="仿宋" w:cs="仿宋"/>
          <w:b w:val="0"/>
          <w:bCs/>
          <w:color w:val="auto"/>
          <w:sz w:val="32"/>
          <w:szCs w:val="32"/>
          <w:highlight w:val="none"/>
          <w:lang w:eastAsia="zh-CN"/>
        </w:rPr>
        <w:t>超</w:t>
      </w:r>
      <w:r>
        <w:rPr>
          <w:rStyle w:val="17"/>
          <w:rFonts w:hint="eastAsia" w:ascii="仿宋" w:hAnsi="仿宋" w:eastAsia="仿宋" w:cs="仿宋"/>
          <w:b w:val="0"/>
          <w:bCs/>
          <w:color w:val="auto"/>
          <w:sz w:val="32"/>
          <w:szCs w:val="32"/>
          <w:highlight w:val="none"/>
        </w:rPr>
        <w:t>预算</w:t>
      </w:r>
      <w:r>
        <w:rPr>
          <w:rStyle w:val="17"/>
          <w:rFonts w:hint="eastAsia" w:ascii="仿宋" w:hAnsi="仿宋" w:eastAsia="仿宋" w:cs="仿宋"/>
          <w:b w:val="0"/>
          <w:bCs/>
          <w:color w:val="auto"/>
          <w:sz w:val="32"/>
          <w:szCs w:val="32"/>
          <w:highlight w:val="none"/>
          <w:lang w:val="en-US" w:eastAsia="zh-CN"/>
        </w:rPr>
        <w:t>100</w:t>
      </w:r>
      <w:r>
        <w:rPr>
          <w:rStyle w:val="17"/>
          <w:rFonts w:hint="eastAsia" w:ascii="仿宋" w:hAnsi="仿宋" w:eastAsia="仿宋" w:cs="仿宋"/>
          <w:b w:val="0"/>
          <w:bCs/>
          <w:color w:val="auto"/>
          <w:sz w:val="32"/>
          <w:szCs w:val="32"/>
          <w:highlight w:val="none"/>
        </w:rPr>
        <w:t>%</w:t>
      </w:r>
      <w:r>
        <w:rPr>
          <w:rStyle w:val="17"/>
          <w:rFonts w:hint="eastAsia" w:ascii="仿宋" w:hAnsi="仿宋" w:eastAsia="仿宋" w:cs="仿宋"/>
          <w:b w:val="0"/>
          <w:bCs/>
          <w:color w:val="auto"/>
          <w:sz w:val="32"/>
          <w:szCs w:val="32"/>
          <w:highlight w:val="none"/>
          <w:lang w:eastAsia="zh-CN"/>
        </w:rPr>
        <w:t>。超预算的主要原因为财政拨付上级专项资金</w:t>
      </w:r>
      <w:r>
        <w:rPr>
          <w:rStyle w:val="17"/>
          <w:rFonts w:hint="eastAsia" w:ascii="仿宋" w:hAnsi="仿宋" w:eastAsia="仿宋" w:cs="仿宋"/>
          <w:b w:val="0"/>
          <w:bCs/>
          <w:color w:val="auto"/>
          <w:sz w:val="32"/>
          <w:szCs w:val="32"/>
          <w:highlight w:val="none"/>
          <w:lang w:val="en-US" w:eastAsia="zh-CN"/>
        </w:rPr>
        <w:t>.</w:t>
      </w:r>
    </w:p>
    <w:p>
      <w:pPr>
        <w:spacing w:line="600" w:lineRule="exact"/>
        <w:ind w:firstLine="640" w:firstLineChars="200"/>
        <w:rPr>
          <w:rFonts w:hint="eastAsia" w:ascii="仿宋" w:hAnsi="仿宋" w:eastAsia="仿宋" w:cs="仿宋"/>
          <w:b w:val="0"/>
          <w:bCs w:val="0"/>
          <w:color w:val="auto"/>
          <w:sz w:val="32"/>
          <w:szCs w:val="32"/>
        </w:rPr>
      </w:pPr>
      <w:r>
        <w:rPr>
          <w:rStyle w:val="17"/>
          <w:rFonts w:hint="eastAsia" w:ascii="仿宋" w:hAnsi="仿宋" w:eastAsia="仿宋" w:cs="仿宋"/>
          <w:b w:val="0"/>
          <w:bCs w:val="0"/>
          <w:color w:val="auto"/>
          <w:sz w:val="32"/>
          <w:szCs w:val="32"/>
          <w:lang w:val="en-US" w:eastAsia="zh-CN"/>
        </w:rPr>
        <w:t>5</w:t>
      </w:r>
      <w:r>
        <w:rPr>
          <w:rStyle w:val="17"/>
          <w:rFonts w:hint="eastAsia" w:ascii="仿宋" w:hAnsi="仿宋" w:eastAsia="仿宋" w:cs="仿宋"/>
          <w:b w:val="0"/>
          <w:bCs w:val="0"/>
          <w:color w:val="auto"/>
          <w:sz w:val="32"/>
          <w:szCs w:val="32"/>
        </w:rPr>
        <w:t>.教育（类）: 支出决算为</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万元，完成预算</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w:t>
      </w:r>
    </w:p>
    <w:p>
      <w:pPr>
        <w:spacing w:line="600" w:lineRule="exact"/>
        <w:ind w:firstLine="640" w:firstLineChars="200"/>
        <w:rPr>
          <w:rFonts w:hint="eastAsia" w:ascii="仿宋" w:hAnsi="仿宋" w:eastAsia="仿宋" w:cs="仿宋"/>
          <w:b w:val="0"/>
          <w:bCs w:val="0"/>
          <w:color w:val="auto"/>
          <w:sz w:val="32"/>
          <w:szCs w:val="32"/>
        </w:rPr>
      </w:pPr>
      <w:r>
        <w:rPr>
          <w:rStyle w:val="17"/>
          <w:rFonts w:hint="eastAsia" w:ascii="仿宋" w:hAnsi="仿宋" w:eastAsia="仿宋" w:cs="仿宋"/>
          <w:b w:val="0"/>
          <w:bCs w:val="0"/>
          <w:color w:val="auto"/>
          <w:sz w:val="32"/>
          <w:szCs w:val="32"/>
          <w:lang w:val="en-US" w:eastAsia="zh-CN"/>
        </w:rPr>
        <w:t>6</w:t>
      </w:r>
      <w:r>
        <w:rPr>
          <w:rStyle w:val="17"/>
          <w:rFonts w:hint="eastAsia" w:ascii="仿宋" w:hAnsi="仿宋" w:eastAsia="仿宋" w:cs="仿宋"/>
          <w:b w:val="0"/>
          <w:bCs w:val="0"/>
          <w:color w:val="auto"/>
          <w:sz w:val="32"/>
          <w:szCs w:val="32"/>
        </w:rPr>
        <w:t>.科学技术（类）</w:t>
      </w:r>
      <w:r>
        <w:rPr>
          <w:rStyle w:val="17"/>
          <w:rFonts w:hint="eastAsia" w:ascii="仿宋" w:hAnsi="仿宋" w:eastAsia="仿宋" w:cs="仿宋"/>
          <w:b w:val="0"/>
          <w:bCs w:val="0"/>
          <w:color w:val="auto"/>
          <w:sz w:val="32"/>
          <w:szCs w:val="32"/>
          <w:lang w:eastAsia="zh-CN"/>
        </w:rPr>
        <w:t>：</w:t>
      </w:r>
      <w:r>
        <w:rPr>
          <w:rStyle w:val="17"/>
          <w:rFonts w:hint="eastAsia" w:ascii="仿宋" w:hAnsi="仿宋" w:eastAsia="仿宋" w:cs="仿宋"/>
          <w:b w:val="0"/>
          <w:bCs w:val="0"/>
          <w:color w:val="auto"/>
          <w:sz w:val="32"/>
          <w:szCs w:val="32"/>
        </w:rPr>
        <w:t>支出决算为</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万元，完成预算</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w:t>
      </w:r>
    </w:p>
    <w:p>
      <w:pPr>
        <w:spacing w:line="600" w:lineRule="exact"/>
        <w:ind w:firstLine="640" w:firstLineChars="200"/>
        <w:rPr>
          <w:rFonts w:hint="eastAsia" w:ascii="仿宋" w:hAnsi="仿宋" w:eastAsia="仿宋" w:cs="仿宋"/>
          <w:b/>
          <w:color w:val="auto"/>
          <w:sz w:val="32"/>
          <w:szCs w:val="32"/>
        </w:rPr>
      </w:pPr>
      <w:r>
        <w:rPr>
          <w:rStyle w:val="17"/>
          <w:rFonts w:hint="eastAsia" w:ascii="仿宋" w:hAnsi="仿宋" w:eastAsia="仿宋" w:cs="仿宋"/>
          <w:b w:val="0"/>
          <w:bCs w:val="0"/>
          <w:color w:val="auto"/>
          <w:sz w:val="32"/>
          <w:szCs w:val="32"/>
          <w:lang w:val="en-US" w:eastAsia="zh-CN"/>
        </w:rPr>
        <w:t>7</w:t>
      </w:r>
      <w:r>
        <w:rPr>
          <w:rStyle w:val="17"/>
          <w:rFonts w:hint="eastAsia" w:ascii="仿宋" w:hAnsi="仿宋" w:eastAsia="仿宋" w:cs="仿宋"/>
          <w:b w:val="0"/>
          <w:bCs w:val="0"/>
          <w:color w:val="auto"/>
          <w:sz w:val="32"/>
          <w:szCs w:val="32"/>
        </w:rPr>
        <w:t>.文化旅游体育与传媒（类）</w:t>
      </w:r>
      <w:r>
        <w:rPr>
          <w:rStyle w:val="17"/>
          <w:rFonts w:hint="eastAsia" w:ascii="仿宋" w:hAnsi="仿宋" w:eastAsia="仿宋" w:cs="仿宋"/>
          <w:b w:val="0"/>
          <w:bCs w:val="0"/>
          <w:color w:val="auto"/>
          <w:sz w:val="32"/>
          <w:szCs w:val="32"/>
          <w:lang w:eastAsia="zh-CN"/>
        </w:rPr>
        <w:t>：</w:t>
      </w:r>
      <w:r>
        <w:rPr>
          <w:rStyle w:val="17"/>
          <w:rFonts w:hint="eastAsia" w:ascii="仿宋" w:hAnsi="仿宋" w:eastAsia="仿宋" w:cs="仿宋"/>
          <w:b w:val="0"/>
          <w:bCs w:val="0"/>
          <w:color w:val="auto"/>
          <w:sz w:val="32"/>
          <w:szCs w:val="32"/>
        </w:rPr>
        <w:t>支出决算为</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万元，完成预算</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w:t>
      </w:r>
    </w:p>
    <w:p>
      <w:pPr>
        <w:pStyle w:val="2"/>
        <w:ind w:firstLine="640" w:firstLineChars="200"/>
        <w:rPr>
          <w:rStyle w:val="17"/>
          <w:rFonts w:hint="eastAsia" w:ascii="仿宋" w:hAnsi="仿宋" w:eastAsia="仿宋" w:cs="仿宋"/>
          <w:b w:val="0"/>
          <w:bCs/>
          <w:color w:val="auto"/>
          <w:sz w:val="32"/>
          <w:szCs w:val="32"/>
          <w:highlight w:val="none"/>
          <w:lang w:eastAsia="zh-CN"/>
        </w:rPr>
      </w:pPr>
      <w:r>
        <w:rPr>
          <w:rStyle w:val="17"/>
          <w:rFonts w:hint="eastAsia" w:ascii="仿宋" w:hAnsi="仿宋" w:eastAsia="仿宋" w:cs="仿宋"/>
          <w:b w:val="0"/>
          <w:bCs w:val="0"/>
          <w:color w:val="auto"/>
          <w:sz w:val="32"/>
          <w:szCs w:val="32"/>
          <w:lang w:val="en-US" w:eastAsia="zh-CN"/>
        </w:rPr>
        <w:t>8</w:t>
      </w:r>
      <w:r>
        <w:rPr>
          <w:rStyle w:val="17"/>
          <w:rFonts w:hint="eastAsia" w:ascii="仿宋" w:hAnsi="仿宋" w:eastAsia="仿宋" w:cs="仿宋"/>
          <w:b w:val="0"/>
          <w:bCs w:val="0"/>
          <w:color w:val="auto"/>
          <w:sz w:val="32"/>
          <w:szCs w:val="32"/>
        </w:rPr>
        <w:t>.</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行政事业单位养老支出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eastAsia="zh-CN"/>
        </w:rPr>
        <w:t>行政单位离退休</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12.06</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firstLine="640" w:firstLineChars="200"/>
        <w:rPr>
          <w:rStyle w:val="17"/>
          <w:rFonts w:hint="eastAsia" w:ascii="仿宋" w:hAnsi="仿宋" w:eastAsia="仿宋" w:cs="仿宋"/>
          <w:b w:val="0"/>
          <w:bCs/>
          <w:color w:val="auto"/>
          <w:sz w:val="32"/>
          <w:szCs w:val="32"/>
          <w:highlight w:val="none"/>
        </w:rPr>
      </w:pPr>
      <w:r>
        <w:rPr>
          <w:rStyle w:val="17"/>
          <w:rFonts w:hint="eastAsia" w:ascii="仿宋" w:hAnsi="仿宋" w:eastAsia="仿宋" w:cs="仿宋"/>
          <w:b w:val="0"/>
          <w:bCs/>
          <w:color w:val="auto"/>
          <w:sz w:val="32"/>
          <w:szCs w:val="32"/>
          <w:highlight w:val="none"/>
          <w:lang w:val="en-US" w:eastAsia="zh-CN"/>
        </w:rPr>
        <w:t>9.</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行政事业单位养老支出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机关事业单位基本养老保险缴费支出</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10.04</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firstLine="640" w:firstLineChars="200"/>
        <w:rPr>
          <w:rStyle w:val="17"/>
          <w:rFonts w:hint="eastAsia" w:ascii="仿宋" w:hAnsi="仿宋" w:eastAsia="仿宋" w:cs="仿宋"/>
          <w:b w:val="0"/>
          <w:bCs/>
          <w:color w:val="auto"/>
          <w:sz w:val="32"/>
          <w:szCs w:val="32"/>
          <w:highlight w:val="none"/>
        </w:rPr>
      </w:pPr>
      <w:r>
        <w:rPr>
          <w:rStyle w:val="17"/>
          <w:rFonts w:hint="eastAsia" w:ascii="仿宋" w:hAnsi="仿宋" w:eastAsia="仿宋" w:cs="仿宋"/>
          <w:b w:val="0"/>
          <w:bCs/>
          <w:color w:val="auto"/>
          <w:sz w:val="32"/>
          <w:szCs w:val="32"/>
          <w:highlight w:val="none"/>
          <w:lang w:val="en-US" w:eastAsia="zh-CN"/>
        </w:rPr>
        <w:t>10.</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行政事业单位养老支出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机关事业单位职业年金缴费支出</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4.49</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firstLine="640" w:firstLineChars="200"/>
        <w:rPr>
          <w:rStyle w:val="17"/>
          <w:rFonts w:hint="eastAsia" w:ascii="仿宋" w:hAnsi="仿宋" w:eastAsia="仿宋" w:cs="仿宋"/>
          <w:b w:val="0"/>
          <w:bCs/>
          <w:color w:val="auto"/>
          <w:sz w:val="32"/>
          <w:szCs w:val="32"/>
          <w:highlight w:val="none"/>
        </w:rPr>
      </w:pPr>
      <w:r>
        <w:rPr>
          <w:rStyle w:val="17"/>
          <w:rFonts w:hint="eastAsia" w:ascii="仿宋" w:hAnsi="仿宋" w:eastAsia="仿宋" w:cs="仿宋"/>
          <w:b w:val="0"/>
          <w:bCs/>
          <w:color w:val="auto"/>
          <w:sz w:val="32"/>
          <w:szCs w:val="32"/>
          <w:highlight w:val="none"/>
          <w:lang w:val="en-US" w:eastAsia="zh-CN"/>
        </w:rPr>
        <w:t>11.</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抚恤</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死亡抚恤</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5.47</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left="0" w:leftChars="0" w:firstLine="640" w:firstLineChars="200"/>
        <w:rPr>
          <w:rStyle w:val="17"/>
          <w:rFonts w:hint="eastAsia" w:ascii="仿宋" w:hAnsi="仿宋" w:eastAsia="仿宋" w:cs="仿宋"/>
          <w:b w:val="0"/>
          <w:bCs/>
          <w:color w:val="auto"/>
          <w:sz w:val="32"/>
          <w:szCs w:val="32"/>
          <w:highlight w:val="none"/>
        </w:rPr>
      </w:pP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抚恤</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其他优抚支出</w:t>
      </w:r>
      <w:r>
        <w:rPr>
          <w:rStyle w:val="17"/>
          <w:rFonts w:hint="eastAsia" w:ascii="仿宋" w:hAnsi="仿宋" w:eastAsia="仿宋" w:cs="仿宋"/>
          <w:b w:val="0"/>
          <w:bCs/>
          <w:color w:val="auto"/>
          <w:sz w:val="32"/>
          <w:szCs w:val="32"/>
          <w:highlight w:val="none"/>
        </w:rPr>
        <w:t>（项）: 支出决算为</w:t>
      </w:r>
      <w:r>
        <w:rPr>
          <w:rStyle w:val="17"/>
          <w:rFonts w:hint="eastAsia" w:ascii="仿宋" w:hAnsi="仿宋" w:eastAsia="仿宋" w:cs="仿宋"/>
          <w:b w:val="0"/>
          <w:bCs/>
          <w:color w:val="auto"/>
          <w:sz w:val="32"/>
          <w:szCs w:val="32"/>
          <w:highlight w:val="none"/>
          <w:lang w:val="en-US" w:eastAsia="zh-CN"/>
        </w:rPr>
        <w:t>1.33</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firstLine="640" w:firstLineChars="200"/>
        <w:rPr>
          <w:rStyle w:val="17"/>
          <w:rFonts w:hint="eastAsia" w:ascii="仿宋" w:hAnsi="仿宋" w:eastAsia="仿宋" w:cs="仿宋"/>
          <w:b w:val="0"/>
          <w:bCs/>
          <w:color w:val="auto"/>
          <w:sz w:val="32"/>
          <w:szCs w:val="32"/>
          <w:highlight w:val="none"/>
        </w:rPr>
      </w:pPr>
      <w:r>
        <w:rPr>
          <w:rStyle w:val="17"/>
          <w:rFonts w:hint="eastAsia" w:ascii="仿宋" w:hAnsi="仿宋" w:eastAsia="仿宋" w:cs="仿宋"/>
          <w:b w:val="0"/>
          <w:bCs/>
          <w:color w:val="auto"/>
          <w:sz w:val="32"/>
          <w:szCs w:val="32"/>
          <w:highlight w:val="none"/>
          <w:lang w:val="en-US" w:eastAsia="zh-CN"/>
        </w:rPr>
        <w:t>12.</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其他社会保障和就业支出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99</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其他社会保障和就业支出</w:t>
      </w:r>
      <w:r>
        <w:rPr>
          <w:rStyle w:val="17"/>
          <w:rFonts w:hint="eastAsia" w:ascii="仿宋" w:hAnsi="仿宋" w:eastAsia="仿宋" w:cs="仿宋"/>
          <w:b w:val="0"/>
          <w:bCs/>
          <w:color w:val="auto"/>
          <w:sz w:val="32"/>
          <w:szCs w:val="32"/>
          <w:highlight w:val="none"/>
        </w:rPr>
        <w:t>: 支出决算为</w:t>
      </w:r>
      <w:r>
        <w:rPr>
          <w:rStyle w:val="17"/>
          <w:rFonts w:hint="eastAsia" w:ascii="仿宋" w:hAnsi="仿宋" w:eastAsia="仿宋" w:cs="仿宋"/>
          <w:b w:val="0"/>
          <w:bCs/>
          <w:color w:val="auto"/>
          <w:sz w:val="32"/>
          <w:szCs w:val="32"/>
          <w:highlight w:val="none"/>
          <w:lang w:val="en-US" w:eastAsia="zh-CN"/>
        </w:rPr>
        <w:t>0.46</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firstLine="640" w:firstLineChars="200"/>
        <w:rPr>
          <w:rStyle w:val="17"/>
          <w:rFonts w:hint="eastAsia" w:ascii="仿宋" w:hAnsi="仿宋" w:eastAsia="仿宋" w:cs="仿宋"/>
          <w:b w:val="0"/>
          <w:bCs/>
          <w:color w:val="auto"/>
          <w:sz w:val="32"/>
          <w:szCs w:val="32"/>
          <w:highlight w:val="none"/>
        </w:rPr>
      </w:pPr>
      <w:r>
        <w:rPr>
          <w:rStyle w:val="17"/>
          <w:rFonts w:hint="eastAsia" w:ascii="仿宋" w:hAnsi="仿宋" w:eastAsia="仿宋" w:cs="仿宋"/>
          <w:b w:val="0"/>
          <w:bCs w:val="0"/>
          <w:color w:val="auto"/>
          <w:sz w:val="32"/>
          <w:szCs w:val="32"/>
          <w:lang w:val="en-US" w:eastAsia="zh-CN"/>
        </w:rPr>
        <w:t>13</w:t>
      </w:r>
      <w:r>
        <w:rPr>
          <w:rStyle w:val="17"/>
          <w:rFonts w:hint="eastAsia" w:ascii="仿宋" w:hAnsi="仿宋" w:eastAsia="仿宋" w:cs="仿宋"/>
          <w:b w:val="0"/>
          <w:bCs w:val="0"/>
          <w:color w:val="auto"/>
          <w:sz w:val="32"/>
          <w:szCs w:val="32"/>
        </w:rPr>
        <w:t>.</w:t>
      </w:r>
      <w:r>
        <w:rPr>
          <w:rFonts w:hint="eastAsia" w:ascii="仿宋" w:hAnsi="仿宋" w:eastAsia="仿宋" w:cs="仿宋"/>
          <w:b w:val="0"/>
          <w:bCs/>
          <w:color w:val="auto"/>
          <w:sz w:val="32"/>
          <w:szCs w:val="32"/>
          <w:highlight w:val="none"/>
        </w:rPr>
        <w:t>卫生健康</w:t>
      </w:r>
      <w:r>
        <w:rPr>
          <w:rStyle w:val="17"/>
          <w:rFonts w:hint="eastAsia" w:ascii="仿宋" w:hAnsi="仿宋" w:eastAsia="仿宋" w:cs="仿宋"/>
          <w:b w:val="0"/>
          <w:bCs/>
          <w:color w:val="auto"/>
          <w:sz w:val="32"/>
          <w:szCs w:val="32"/>
          <w:highlight w:val="none"/>
        </w:rPr>
        <w:t>（类）</w:t>
      </w:r>
      <w:r>
        <w:rPr>
          <w:rFonts w:hint="eastAsia" w:ascii="仿宋" w:hAnsi="仿宋" w:eastAsia="仿宋" w:cs="仿宋"/>
          <w:color w:val="auto"/>
          <w:sz w:val="32"/>
          <w:szCs w:val="32"/>
        </w:rPr>
        <w:t>行政事业单位医疗（款）行政单位医疗（项）</w:t>
      </w:r>
      <w:r>
        <w:rPr>
          <w:rStyle w:val="17"/>
          <w:rFonts w:hint="eastAsia" w:ascii="仿宋" w:hAnsi="仿宋" w:eastAsia="仿宋" w:cs="仿宋"/>
          <w:b w:val="0"/>
          <w:bCs/>
          <w:color w:val="auto"/>
          <w:sz w:val="32"/>
          <w:szCs w:val="32"/>
          <w:highlight w:val="none"/>
        </w:rPr>
        <w:t>:支出决算为</w:t>
      </w:r>
      <w:r>
        <w:rPr>
          <w:rStyle w:val="17"/>
          <w:rFonts w:hint="eastAsia" w:ascii="仿宋" w:hAnsi="仿宋" w:eastAsia="仿宋" w:cs="仿宋"/>
          <w:b w:val="0"/>
          <w:bCs/>
          <w:color w:val="auto"/>
          <w:sz w:val="32"/>
          <w:szCs w:val="32"/>
          <w:highlight w:val="none"/>
          <w:lang w:val="en-US" w:eastAsia="zh-CN"/>
        </w:rPr>
        <w:t>3.73</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pStyle w:val="2"/>
        <w:ind w:firstLine="640" w:firstLineChars="200"/>
        <w:rPr>
          <w:rFonts w:hint="eastAsia" w:ascii="仿宋" w:hAnsi="仿宋" w:eastAsia="仿宋" w:cs="仿宋"/>
          <w:b/>
          <w:color w:val="auto"/>
          <w:sz w:val="32"/>
          <w:szCs w:val="32"/>
        </w:rPr>
      </w:pPr>
      <w:r>
        <w:rPr>
          <w:rFonts w:hint="eastAsia" w:ascii="仿宋" w:hAnsi="仿宋" w:eastAsia="仿宋" w:cs="仿宋"/>
          <w:b w:val="0"/>
          <w:bCs/>
          <w:color w:val="auto"/>
          <w:sz w:val="32"/>
          <w:szCs w:val="32"/>
          <w:highlight w:val="none"/>
          <w:lang w:val="en-US" w:eastAsia="zh-CN"/>
        </w:rPr>
        <w:t>14.</w:t>
      </w:r>
      <w:r>
        <w:rPr>
          <w:rFonts w:hint="eastAsia" w:ascii="仿宋" w:hAnsi="仿宋" w:eastAsia="仿宋" w:cs="仿宋"/>
          <w:b w:val="0"/>
          <w:bCs/>
          <w:color w:val="auto"/>
          <w:sz w:val="32"/>
          <w:szCs w:val="32"/>
          <w:highlight w:val="none"/>
        </w:rPr>
        <w:t>卫生健康</w:t>
      </w:r>
      <w:r>
        <w:rPr>
          <w:rStyle w:val="17"/>
          <w:rFonts w:hint="eastAsia" w:ascii="仿宋" w:hAnsi="仿宋" w:eastAsia="仿宋" w:cs="仿宋"/>
          <w:b w:val="0"/>
          <w:bCs/>
          <w:color w:val="auto"/>
          <w:sz w:val="32"/>
          <w:szCs w:val="32"/>
          <w:highlight w:val="none"/>
        </w:rPr>
        <w:t>（类）</w:t>
      </w:r>
      <w:r>
        <w:rPr>
          <w:rFonts w:hint="eastAsia" w:ascii="仿宋" w:hAnsi="仿宋" w:eastAsia="仿宋" w:cs="仿宋"/>
          <w:color w:val="auto"/>
          <w:sz w:val="32"/>
          <w:szCs w:val="32"/>
        </w:rPr>
        <w:t>行政事业单位医疗（款）公务员医疗补助（项）</w:t>
      </w:r>
      <w:r>
        <w:rPr>
          <w:rStyle w:val="17"/>
          <w:rFonts w:hint="eastAsia" w:ascii="仿宋" w:hAnsi="仿宋" w:eastAsia="仿宋" w:cs="仿宋"/>
          <w:b w:val="0"/>
          <w:bCs/>
          <w:color w:val="auto"/>
          <w:sz w:val="32"/>
          <w:szCs w:val="32"/>
          <w:highlight w:val="none"/>
        </w:rPr>
        <w:t>:支出决算为</w:t>
      </w:r>
      <w:r>
        <w:rPr>
          <w:rStyle w:val="17"/>
          <w:rFonts w:hint="eastAsia" w:ascii="仿宋" w:hAnsi="仿宋" w:eastAsia="仿宋" w:cs="仿宋"/>
          <w:b w:val="0"/>
          <w:bCs/>
          <w:color w:val="auto"/>
          <w:sz w:val="32"/>
          <w:szCs w:val="32"/>
          <w:highlight w:val="none"/>
          <w:lang w:val="en-US" w:eastAsia="zh-CN"/>
        </w:rPr>
        <w:t>1.8</w:t>
      </w:r>
      <w:r>
        <w:rPr>
          <w:rStyle w:val="17"/>
          <w:rFonts w:hint="eastAsia" w:ascii="仿宋" w:hAnsi="仿宋" w:eastAsia="仿宋" w:cs="仿宋"/>
          <w:b w:val="0"/>
          <w:bCs/>
          <w:color w:val="auto"/>
          <w:sz w:val="32"/>
          <w:szCs w:val="32"/>
          <w:highlight w:val="none"/>
        </w:rPr>
        <w:t>万元</w:t>
      </w:r>
      <w:r>
        <w:rPr>
          <w:rStyle w:val="17"/>
          <w:rFonts w:hint="eastAsia" w:ascii="仿宋" w:hAnsi="仿宋" w:eastAsia="仿宋" w:cs="仿宋"/>
          <w:b w:val="0"/>
          <w:bCs/>
          <w:color w:val="auto"/>
          <w:sz w:val="32"/>
          <w:szCs w:val="32"/>
          <w:highlight w:val="none"/>
          <w:lang w:eastAsia="zh-CN"/>
        </w:rPr>
        <w:t>，</w:t>
      </w:r>
      <w:r>
        <w:rPr>
          <w:rStyle w:val="17"/>
          <w:rFonts w:hint="eastAsia" w:ascii="仿宋" w:hAnsi="仿宋" w:eastAsia="仿宋" w:cs="仿宋"/>
          <w:b w:val="0"/>
          <w:bCs/>
          <w:color w:val="auto"/>
          <w:sz w:val="32"/>
          <w:szCs w:val="32"/>
        </w:rPr>
        <w:t>完成预算</w:t>
      </w:r>
      <w:r>
        <w:rPr>
          <w:rStyle w:val="17"/>
          <w:rFonts w:hint="eastAsia" w:ascii="仿宋" w:hAnsi="仿宋" w:eastAsia="仿宋" w:cs="仿宋"/>
          <w:b w:val="0"/>
          <w:bCs/>
          <w:color w:val="auto"/>
          <w:sz w:val="32"/>
          <w:szCs w:val="32"/>
          <w:lang w:val="en-US" w:eastAsia="zh-CN"/>
        </w:rPr>
        <w:t>100</w:t>
      </w:r>
      <w:r>
        <w:rPr>
          <w:rStyle w:val="17"/>
          <w:rFonts w:hint="eastAsia" w:ascii="仿宋" w:hAnsi="仿宋" w:eastAsia="仿宋" w:cs="仿宋"/>
          <w:b w:val="0"/>
          <w:bCs/>
          <w:color w:val="auto"/>
          <w:sz w:val="32"/>
          <w:szCs w:val="32"/>
        </w:rPr>
        <w:t>%。</w:t>
      </w:r>
    </w:p>
    <w:p>
      <w:pPr>
        <w:tabs>
          <w:tab w:val="right" w:pos="8306"/>
        </w:tabs>
        <w:spacing w:line="600" w:lineRule="exact"/>
        <w:ind w:firstLine="640"/>
        <w:outlineLvl w:val="1"/>
        <w:rPr>
          <w:rStyle w:val="29"/>
          <w:color w:val="auto"/>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w:t>
      </w:r>
      <w:r>
        <w:rPr>
          <w:rStyle w:val="29"/>
          <w:rFonts w:hint="eastAsia" w:ascii="黑体" w:hAnsi="黑体" w:eastAsia="黑体"/>
          <w:b w:val="0"/>
          <w:color w:val="auto"/>
        </w:rPr>
        <w:t>基本支出决算情况说明</w:t>
      </w:r>
      <w:bookmarkEnd w:id="34"/>
      <w:bookmarkEnd w:id="35"/>
      <w:r>
        <w:rPr>
          <w:rStyle w:val="29"/>
          <w:rFonts w:ascii="黑体" w:hAnsi="黑体" w:eastAsia="黑体"/>
          <w:b w:val="0"/>
          <w:color w:val="auto"/>
        </w:rPr>
        <w:tab/>
      </w:r>
    </w:p>
    <w:p>
      <w:pPr>
        <w:spacing w:line="600" w:lineRule="exact"/>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22年一般公共预算财政拨款基本支出</w:t>
      </w:r>
      <w:r>
        <w:rPr>
          <w:rFonts w:hint="eastAsia" w:ascii="仿宋" w:hAnsi="仿宋" w:eastAsia="仿宋"/>
          <w:color w:val="auto"/>
          <w:sz w:val="32"/>
          <w:szCs w:val="32"/>
          <w:lang w:val="en-US" w:eastAsia="zh-CN"/>
        </w:rPr>
        <w:t>85.06</w:t>
      </w:r>
      <w:r>
        <w:rPr>
          <w:rFonts w:hint="eastAsia" w:ascii="仿宋" w:hAnsi="仿宋" w:eastAsia="仿宋"/>
          <w:color w:val="auto"/>
          <w:sz w:val="32"/>
          <w:szCs w:val="32"/>
        </w:rPr>
        <w:t>万元，其中：</w:t>
      </w:r>
    </w:p>
    <w:p>
      <w:pPr>
        <w:spacing w:line="600" w:lineRule="exact"/>
        <w:ind w:firstLine="645"/>
        <w:rPr>
          <w:rFonts w:ascii="仿宋" w:hAnsi="仿宋" w:eastAsia="仿宋"/>
          <w:b/>
          <w:color w:val="auto"/>
          <w:sz w:val="32"/>
          <w:szCs w:val="32"/>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85.06</w:t>
      </w:r>
      <w:r>
        <w:rPr>
          <w:rFonts w:hint="eastAsia" w:ascii="仿宋" w:hAnsi="仿宋" w:eastAsia="仿宋"/>
          <w:color w:val="auto"/>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rPr>
        <w:br w:type="textWrapping"/>
      </w:r>
      <w:r>
        <w:rPr>
          <w:rFonts w:hint="eastAsia" w:ascii="仿宋" w:hAnsi="仿宋" w:eastAsia="仿宋"/>
          <w:color w:val="auto"/>
          <w:sz w:val="32"/>
          <w:szCs w:val="32"/>
        </w:rPr>
        <w:t>　　公用经费</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color w:val="auto"/>
        </w:rPr>
      </w:pPr>
      <w:bookmarkStart w:id="36" w:name="_Toc15396609"/>
      <w:bookmarkStart w:id="37" w:name="_Toc15377215"/>
      <w:r>
        <w:rPr>
          <w:rFonts w:hint="eastAsia" w:ascii="黑体" w:eastAsia="黑体"/>
          <w:color w:val="auto"/>
          <w:sz w:val="32"/>
          <w:szCs w:val="32"/>
        </w:rPr>
        <w:t>七、</w:t>
      </w:r>
      <w:r>
        <w:rPr>
          <w:rStyle w:val="29"/>
          <w:rFonts w:hint="eastAsia" w:ascii="黑体" w:hAnsi="黑体" w:eastAsia="黑体"/>
          <w:b w:val="0"/>
          <w:color w:val="auto"/>
        </w:rPr>
        <w:t>财政拨款</w:t>
      </w:r>
      <w:r>
        <w:rPr>
          <w:rStyle w:val="29"/>
          <w:rFonts w:hint="eastAsia" w:ascii="黑体" w:hAnsi="黑体" w:eastAsia="黑体"/>
          <w:color w:val="auto"/>
        </w:rPr>
        <w:t>“</w:t>
      </w:r>
      <w:r>
        <w:rPr>
          <w:rStyle w:val="29"/>
          <w:rFonts w:hint="eastAsia" w:ascii="黑体" w:hAnsi="黑体" w:eastAsia="黑体"/>
          <w:b w:val="0"/>
          <w:color w:val="auto"/>
        </w:rPr>
        <w:t>三公”经费支出决算情况说明</w:t>
      </w:r>
      <w:bookmarkEnd w:id="36"/>
      <w:bookmarkEnd w:id="37"/>
    </w:p>
    <w:p>
      <w:pPr>
        <w:spacing w:line="600" w:lineRule="exact"/>
        <w:ind w:firstLine="640"/>
        <w:outlineLvl w:val="2"/>
        <w:rPr>
          <w:rFonts w:ascii="仿宋" w:hAnsi="仿宋" w:eastAsia="仿宋"/>
          <w:b/>
          <w:color w:val="auto"/>
          <w:sz w:val="32"/>
          <w:szCs w:val="32"/>
        </w:rPr>
      </w:pPr>
      <w:bookmarkStart w:id="38" w:name="_Toc15377216"/>
      <w:r>
        <w:rPr>
          <w:rFonts w:hint="eastAsia" w:ascii="仿宋" w:hAnsi="仿宋" w:eastAsia="仿宋"/>
          <w:b/>
          <w:color w:val="auto"/>
          <w:sz w:val="32"/>
          <w:szCs w:val="32"/>
        </w:rPr>
        <w:t>（一）“三公”经费财政拨款支出决算总体情况说明</w:t>
      </w:r>
      <w:bookmarkEnd w:id="38"/>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outlineLvl w:val="2"/>
        <w:rPr>
          <w:rFonts w:ascii="仿宋" w:hAnsi="仿宋" w:eastAsia="仿宋"/>
          <w:b/>
          <w:color w:val="auto"/>
          <w:sz w:val="32"/>
          <w:szCs w:val="32"/>
        </w:rPr>
      </w:pPr>
      <w:bookmarkStart w:id="39" w:name="_Toc15377217"/>
      <w:r>
        <w:rPr>
          <w:rFonts w:hint="eastAsia" w:ascii="仿宋" w:hAnsi="仿宋" w:eastAsia="仿宋"/>
          <w:b/>
          <w:color w:val="auto"/>
          <w:sz w:val="32"/>
          <w:szCs w:val="32"/>
        </w:rPr>
        <w:t>（二）“三公”经费财政拨款支出决算具体情况说明</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rPr>
        <w:t>2022年“三公”经费财政拨款支出决算中，因公出国（境）费支出决算</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%；公务用车购置及运行维护费支出</w:t>
      </w:r>
      <w:r>
        <w:rPr>
          <w:rFonts w:hint="eastAsia" w:ascii="仿宋" w:hAnsi="仿宋" w:eastAsia="仿宋" w:cs="仿宋"/>
          <w:b w:val="0"/>
          <w:bCs w:val="0"/>
          <w:color w:val="auto"/>
          <w:sz w:val="32"/>
          <w:szCs w:val="32"/>
        </w:rPr>
        <w:t>决算</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万元，占</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%；公务接待费支出决算</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万元，占</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 w:hAnsi="仿宋" w:eastAsia="仿宋" w:cs="仿宋"/>
          <w:b/>
          <w:color w:val="auto"/>
          <w:sz w:val="32"/>
          <w:szCs w:val="32"/>
        </w:rPr>
      </w:pPr>
      <w:r>
        <w:rPr>
          <w:rFonts w:hint="eastAsia" w:ascii="仿宋" w:hAnsi="仿宋" w:eastAsia="仿宋" w:cs="仿宋"/>
          <w:b w:val="0"/>
          <w:bCs w:val="0"/>
          <w:color w:val="auto"/>
          <w:sz w:val="32"/>
          <w:szCs w:val="32"/>
        </w:rPr>
        <w:t>1.因公出国（境）经费支出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w:t>
      </w:r>
      <w:r>
        <w:rPr>
          <w:rStyle w:val="17"/>
          <w:rFonts w:hint="eastAsia" w:ascii="仿宋" w:hAnsi="仿宋" w:eastAsia="仿宋" w:cs="仿宋"/>
          <w:b w:val="0"/>
          <w:bCs w:val="0"/>
          <w:color w:val="auto"/>
          <w:sz w:val="32"/>
          <w:szCs w:val="32"/>
        </w:rPr>
        <w:t>完成预算</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rPr>
        <w:t>全年安排因公出国（境）团组</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次，出国（境）</w:t>
      </w:r>
      <w:r>
        <w:rPr>
          <w:rFonts w:hint="eastAsia" w:ascii="仿宋" w:hAnsi="仿宋" w:eastAsia="仿宋" w:cs="仿宋"/>
          <w:b w:val="0"/>
          <w:bCs w:val="0"/>
          <w:color w:val="auto"/>
          <w:sz w:val="32"/>
          <w:szCs w:val="32"/>
          <w:lang w:val="en-US" w:eastAsia="zh-CN"/>
        </w:rPr>
        <w:t>0</w:t>
      </w:r>
      <w:r>
        <w:rPr>
          <w:rFonts w:hint="eastAsia" w:ascii="仿宋" w:hAnsi="仿宋" w:eastAsia="仿宋" w:cs="仿宋"/>
          <w:color w:val="auto"/>
          <w:sz w:val="32"/>
          <w:szCs w:val="32"/>
        </w:rPr>
        <w:t>人。因公出国（境）支出决算</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rPr>
        <w:t>2021年</w:t>
      </w:r>
      <w:r>
        <w:rPr>
          <w:rFonts w:hint="eastAsia" w:ascii="仿宋" w:hAnsi="仿宋" w:eastAsia="仿宋" w:cs="仿宋"/>
          <w:color w:val="auto"/>
          <w:sz w:val="32"/>
          <w:szCs w:val="32"/>
          <w:lang w:eastAsia="zh-CN"/>
        </w:rPr>
        <w:t>持平</w:t>
      </w:r>
      <w:r>
        <w:rPr>
          <w:rFonts w:hint="eastAsia" w:ascii="仿宋" w:hAnsi="仿宋" w:eastAsia="仿宋" w:cs="仿宋"/>
          <w:color w:val="auto"/>
          <w:sz w:val="32"/>
          <w:szCs w:val="32"/>
        </w:rPr>
        <w:t>。</w:t>
      </w:r>
    </w:p>
    <w:p>
      <w:pPr>
        <w:spacing w:line="600" w:lineRule="exact"/>
        <w:ind w:firstLine="640"/>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2.公务用车购置及运行维护费支出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w:t>
      </w:r>
      <w:r>
        <w:rPr>
          <w:rStyle w:val="17"/>
          <w:rFonts w:hint="eastAsia" w:ascii="仿宋" w:hAnsi="仿宋" w:eastAsia="仿宋" w:cs="仿宋"/>
          <w:b w:val="0"/>
          <w:bCs w:val="0"/>
          <w:color w:val="auto"/>
          <w:sz w:val="32"/>
          <w:szCs w:val="32"/>
        </w:rPr>
        <w:t>完成预算</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rPr>
        <w:t>公务用车购置及运行维护费支出决算</w:t>
      </w:r>
      <w:r>
        <w:rPr>
          <w:rFonts w:hint="eastAsia" w:ascii="仿宋" w:hAnsi="仿宋" w:eastAsia="仿宋" w:cs="仿宋"/>
          <w:b w:val="0"/>
          <w:bCs w:val="0"/>
          <w:color w:val="auto"/>
          <w:sz w:val="32"/>
          <w:szCs w:val="32"/>
          <w:lang w:eastAsia="zh-CN"/>
        </w:rPr>
        <w:t>与</w:t>
      </w:r>
      <w:r>
        <w:rPr>
          <w:rFonts w:hint="eastAsia" w:ascii="仿宋" w:hAnsi="仿宋" w:eastAsia="仿宋" w:cs="仿宋"/>
          <w:b w:val="0"/>
          <w:bCs w:val="0"/>
          <w:color w:val="auto"/>
          <w:sz w:val="32"/>
          <w:szCs w:val="32"/>
        </w:rPr>
        <w:t>2021年</w:t>
      </w:r>
      <w:r>
        <w:rPr>
          <w:rFonts w:hint="eastAsia" w:ascii="仿宋" w:hAnsi="仿宋" w:eastAsia="仿宋" w:cs="仿宋"/>
          <w:b w:val="0"/>
          <w:bCs w:val="0"/>
          <w:color w:val="auto"/>
          <w:sz w:val="32"/>
          <w:szCs w:val="32"/>
          <w:lang w:eastAsia="zh-CN"/>
        </w:rPr>
        <w:t>持平。</w:t>
      </w:r>
    </w:p>
    <w:p>
      <w:pPr>
        <w:spacing w:line="60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其中：公务用车购置支出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万元。全年按规定更新购置公务用车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辆，其中：轿车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辆、金额</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万元，越野车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辆、金额</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万元，载客汽车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辆、金额</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万元。截至2022年12月底，单位共有公务用车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辆，其中：轿车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辆、越野车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辆、载客汽车</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辆。</w:t>
      </w:r>
    </w:p>
    <w:p>
      <w:pPr>
        <w:spacing w:line="600" w:lineRule="exact"/>
        <w:ind w:firstLine="64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公务用车运行维护费支出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w:t>
      </w:r>
    </w:p>
    <w:p>
      <w:pPr>
        <w:spacing w:line="600" w:lineRule="exact"/>
        <w:ind w:firstLine="64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3.公务接待费支出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w:t>
      </w:r>
      <w:r>
        <w:rPr>
          <w:rStyle w:val="17"/>
          <w:rFonts w:hint="eastAsia" w:ascii="仿宋" w:hAnsi="仿宋" w:eastAsia="仿宋" w:cs="仿宋"/>
          <w:b w:val="0"/>
          <w:bCs w:val="0"/>
          <w:color w:val="auto"/>
          <w:sz w:val="32"/>
          <w:szCs w:val="32"/>
        </w:rPr>
        <w:t>完成预算</w:t>
      </w:r>
      <w:r>
        <w:rPr>
          <w:rStyle w:val="17"/>
          <w:rFonts w:hint="eastAsia" w:ascii="仿宋" w:hAnsi="仿宋" w:eastAsia="仿宋" w:cs="仿宋"/>
          <w:b w:val="0"/>
          <w:bCs w:val="0"/>
          <w:color w:val="auto"/>
          <w:sz w:val="32"/>
          <w:szCs w:val="32"/>
          <w:lang w:val="en-US" w:eastAsia="zh-CN"/>
        </w:rPr>
        <w:t>0</w:t>
      </w:r>
      <w:r>
        <w:rPr>
          <w:rStyle w:val="17"/>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rPr>
        <w:t>公务接待费支出决算</w:t>
      </w:r>
      <w:r>
        <w:rPr>
          <w:rFonts w:hint="eastAsia" w:ascii="仿宋" w:hAnsi="仿宋" w:eastAsia="仿宋" w:cs="仿宋"/>
          <w:b w:val="0"/>
          <w:bCs w:val="0"/>
          <w:color w:val="auto"/>
          <w:sz w:val="32"/>
          <w:szCs w:val="32"/>
          <w:lang w:eastAsia="zh-CN"/>
        </w:rPr>
        <w:t>与</w:t>
      </w:r>
      <w:r>
        <w:rPr>
          <w:rFonts w:hint="eastAsia" w:ascii="仿宋" w:hAnsi="仿宋" w:eastAsia="仿宋" w:cs="仿宋"/>
          <w:b w:val="0"/>
          <w:bCs w:val="0"/>
          <w:color w:val="auto"/>
          <w:sz w:val="32"/>
          <w:szCs w:val="32"/>
        </w:rPr>
        <w:t>2021年</w:t>
      </w:r>
      <w:r>
        <w:rPr>
          <w:rFonts w:hint="eastAsia" w:ascii="仿宋" w:hAnsi="仿宋" w:eastAsia="仿宋" w:cs="仿宋"/>
          <w:b w:val="0"/>
          <w:bCs w:val="0"/>
          <w:color w:val="auto"/>
          <w:sz w:val="32"/>
          <w:szCs w:val="32"/>
          <w:lang w:eastAsia="zh-CN"/>
        </w:rPr>
        <w:t>持平</w:t>
      </w:r>
      <w:r>
        <w:rPr>
          <w:rFonts w:hint="eastAsia" w:ascii="仿宋" w:hAnsi="仿宋" w:eastAsia="仿宋" w:cs="仿宋"/>
          <w:b w:val="0"/>
          <w:bCs w:val="0"/>
          <w:color w:val="auto"/>
          <w:sz w:val="32"/>
          <w:szCs w:val="32"/>
        </w:rPr>
        <w:t>。其中：</w:t>
      </w:r>
    </w:p>
    <w:p>
      <w:pPr>
        <w:spacing w:line="600" w:lineRule="exact"/>
        <w:ind w:firstLine="64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国内公务接待支出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w:t>
      </w:r>
      <w:r>
        <w:rPr>
          <w:rFonts w:hint="eastAsia" w:ascii="仿宋" w:hAnsi="仿宋" w:eastAsia="仿宋" w:cs="仿宋"/>
          <w:b w:val="0"/>
          <w:bCs w:val="0"/>
          <w:color w:val="auto"/>
          <w:sz w:val="32"/>
          <w:szCs w:val="32"/>
          <w:lang w:eastAsia="zh-CN"/>
        </w:rPr>
        <w:t>。</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sz w:val="32"/>
          <w:szCs w:val="32"/>
        </w:rPr>
        <w:t>外事接待支出</w:t>
      </w:r>
      <w:r>
        <w:rPr>
          <w:rFonts w:hint="eastAsia" w:ascii="仿宋" w:hAnsi="仿宋" w:eastAsia="仿宋" w:cs="仿宋"/>
          <w:b w:val="0"/>
          <w:bCs w:val="0"/>
          <w:color w:val="auto"/>
          <w:sz w:val="32"/>
          <w:szCs w:val="32"/>
          <w:lang w:val="en-US" w:eastAsia="zh-CN"/>
        </w:rPr>
        <w:t>0</w:t>
      </w:r>
      <w:r>
        <w:rPr>
          <w:rFonts w:hint="eastAsia" w:ascii="仿宋" w:hAnsi="仿宋" w:eastAsia="仿宋" w:cs="仿宋"/>
          <w:b w:val="0"/>
          <w:bCs w:val="0"/>
          <w:color w:val="auto"/>
          <w:sz w:val="32"/>
          <w:szCs w:val="32"/>
        </w:rPr>
        <w:t>万元</w:t>
      </w:r>
      <w:r>
        <w:rPr>
          <w:rFonts w:hint="eastAsia" w:ascii="仿宋" w:hAnsi="仿宋" w:eastAsia="仿宋" w:cs="仿宋"/>
          <w:color w:val="auto"/>
          <w:sz w:val="32"/>
          <w:szCs w:val="32"/>
        </w:rPr>
        <w:t>。</w:t>
      </w:r>
      <w:bookmarkStart w:id="40" w:name="_Toc15377218"/>
      <w:bookmarkStart w:id="41" w:name="_Toc15396610"/>
    </w:p>
    <w:p>
      <w:pPr>
        <w:spacing w:line="600" w:lineRule="exact"/>
        <w:ind w:firstLine="640"/>
        <w:outlineLvl w:val="1"/>
        <w:rPr>
          <w:rStyle w:val="29"/>
          <w:rFonts w:ascii="黑体" w:hAnsi="黑体" w:eastAsia="黑体"/>
          <w:color w:val="auto"/>
        </w:rPr>
      </w:pPr>
      <w:r>
        <w:rPr>
          <w:rFonts w:hint="eastAsia" w:ascii="黑体" w:eastAsia="黑体"/>
          <w:color w:val="auto"/>
          <w:sz w:val="32"/>
          <w:szCs w:val="32"/>
        </w:rPr>
        <w:t>八、</w:t>
      </w:r>
      <w:r>
        <w:rPr>
          <w:rStyle w:val="29"/>
          <w:rFonts w:hint="eastAsia" w:ascii="黑体" w:hAnsi="黑体" w:eastAsia="黑体"/>
          <w:b w:val="0"/>
          <w:color w:val="auto"/>
        </w:rPr>
        <w:t>政府性基金预算支出决算情况说明</w:t>
      </w:r>
      <w:bookmarkEnd w:id="40"/>
      <w:bookmarkEnd w:id="41"/>
    </w:p>
    <w:p>
      <w:p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2022年政府性基金预算财政拨款支出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lang w:val="en-US" w:eastAsia="zh-CN"/>
        </w:rPr>
        <w:t>2021年决算数持平</w:t>
      </w:r>
      <w:r>
        <w:rPr>
          <w:rFonts w:hint="eastAsia" w:ascii="仿宋" w:hAnsi="仿宋" w:eastAsia="仿宋" w:cs="仿宋"/>
          <w:color w:val="auto"/>
          <w:sz w:val="32"/>
          <w:szCs w:val="32"/>
        </w:rPr>
        <w:t>。</w:t>
      </w:r>
    </w:p>
    <w:p>
      <w:pPr>
        <w:numPr>
          <w:ilvl w:val="0"/>
          <w:numId w:val="3"/>
        </w:numPr>
        <w:spacing w:line="600" w:lineRule="exact"/>
        <w:ind w:firstLine="640"/>
        <w:outlineLvl w:val="1"/>
        <w:rPr>
          <w:rStyle w:val="29"/>
          <w:rFonts w:ascii="黑体" w:hAnsi="黑体" w:eastAsia="黑体"/>
          <w:b w:val="0"/>
          <w:color w:val="auto"/>
        </w:rPr>
      </w:pPr>
      <w:bookmarkStart w:id="42" w:name="_Toc15396611"/>
      <w:bookmarkStart w:id="43" w:name="_Toc15377219"/>
      <w:r>
        <w:rPr>
          <w:rStyle w:val="29"/>
          <w:rFonts w:hint="eastAsia" w:ascii="黑体" w:hAnsi="黑体" w:eastAsia="黑体"/>
          <w:b w:val="0"/>
          <w:color w:val="auto"/>
        </w:rPr>
        <w:t>国有资本经营预算支出决算情况说明</w:t>
      </w:r>
      <w:bookmarkEnd w:id="42"/>
      <w:bookmarkEnd w:id="43"/>
    </w:p>
    <w:p>
      <w:pPr>
        <w:spacing w:line="600" w:lineRule="exact"/>
        <w:ind w:firstLine="640"/>
        <w:rPr>
          <w:rFonts w:hint="eastAsia" w:ascii="仿宋" w:hAnsi="仿宋" w:eastAsia="仿宋" w:cs="仿宋"/>
          <w:color w:val="auto"/>
          <w:sz w:val="44"/>
          <w:szCs w:val="44"/>
        </w:rPr>
      </w:pPr>
      <w:r>
        <w:rPr>
          <w:rFonts w:hint="eastAsia" w:ascii="仿宋" w:hAnsi="仿宋" w:eastAsia="仿宋" w:cs="仿宋"/>
          <w:color w:val="auto"/>
          <w:sz w:val="32"/>
          <w:szCs w:val="32"/>
        </w:rPr>
        <w:t>2022年国有资本经营预算财政拨款支出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与</w:t>
      </w:r>
      <w:r>
        <w:rPr>
          <w:rFonts w:hint="eastAsia" w:ascii="仿宋" w:hAnsi="仿宋" w:eastAsia="仿宋" w:cs="仿宋"/>
          <w:color w:val="auto"/>
          <w:sz w:val="32"/>
          <w:szCs w:val="32"/>
          <w:lang w:val="en-US" w:eastAsia="zh-CN"/>
        </w:rPr>
        <w:t>2021年决算数持平</w:t>
      </w:r>
      <w:r>
        <w:rPr>
          <w:rFonts w:hint="eastAsia" w:ascii="仿宋" w:hAnsi="仿宋" w:eastAsia="仿宋" w:cs="仿宋"/>
          <w:color w:val="auto"/>
          <w:sz w:val="32"/>
          <w:szCs w:val="32"/>
        </w:rPr>
        <w:t>。</w:t>
      </w:r>
    </w:p>
    <w:p>
      <w:pPr>
        <w:numPr>
          <w:ilvl w:val="0"/>
          <w:numId w:val="3"/>
        </w:numPr>
        <w:spacing w:line="600" w:lineRule="exact"/>
        <w:ind w:firstLine="640"/>
        <w:outlineLvl w:val="1"/>
        <w:rPr>
          <w:rStyle w:val="29"/>
          <w:rFonts w:ascii="黑体" w:hAnsi="黑体" w:eastAsia="黑体"/>
          <w:b w:val="0"/>
          <w:color w:val="auto"/>
        </w:rPr>
      </w:pPr>
      <w:bookmarkStart w:id="44" w:name="_Toc15377221"/>
      <w:bookmarkStart w:id="45" w:name="_Toc15396612"/>
      <w:r>
        <w:rPr>
          <w:rStyle w:val="29"/>
          <w:rFonts w:hint="eastAsia" w:ascii="黑体" w:hAnsi="黑体" w:eastAsia="黑体"/>
          <w:b w:val="0"/>
          <w:color w:val="auto"/>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2022年，</w:t>
      </w:r>
      <w:r>
        <w:rPr>
          <w:rFonts w:hint="eastAsia" w:ascii="仿宋" w:hAnsi="仿宋" w:eastAsia="仿宋" w:cs="仿宋"/>
          <w:color w:val="auto"/>
          <w:sz w:val="32"/>
          <w:szCs w:val="32"/>
          <w:lang w:eastAsia="zh-CN"/>
        </w:rPr>
        <w:t>峨眉山市总工会</w:t>
      </w:r>
      <w:r>
        <w:rPr>
          <w:rFonts w:hint="eastAsia" w:ascii="仿宋" w:hAnsi="仿宋" w:eastAsia="仿宋" w:cs="仿宋"/>
          <w:color w:val="auto"/>
          <w:sz w:val="32"/>
          <w:szCs w:val="32"/>
        </w:rPr>
        <w:t>机关运行经费支出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万元，与2021年决算数持平。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7" w:name="_Toc15377223"/>
      <w:r>
        <w:rPr>
          <w:rFonts w:hint="eastAsia" w:ascii="仿宋" w:hAnsi="仿宋" w:eastAsia="仿宋"/>
          <w:b/>
          <w:color w:val="auto"/>
          <w:sz w:val="32"/>
          <w:szCs w:val="32"/>
        </w:rPr>
        <w:t>（二）政府采购支出情况</w:t>
      </w:r>
      <w:bookmarkEnd w:id="47"/>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2022年，</w:t>
      </w:r>
      <w:r>
        <w:rPr>
          <w:rFonts w:hint="eastAsia" w:ascii="仿宋" w:hAnsi="仿宋" w:eastAsia="仿宋" w:cs="仿宋"/>
          <w:color w:val="auto"/>
          <w:sz w:val="32"/>
          <w:szCs w:val="32"/>
          <w:lang w:eastAsia="zh-CN"/>
        </w:rPr>
        <w:t>峨眉山市总工会</w:t>
      </w:r>
      <w:r>
        <w:rPr>
          <w:rFonts w:hint="eastAsia" w:ascii="仿宋" w:hAnsi="仿宋" w:eastAsia="仿宋" w:cs="仿宋"/>
          <w:color w:val="auto"/>
          <w:sz w:val="32"/>
          <w:szCs w:val="32"/>
        </w:rPr>
        <w:t>政府采购支出总额</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万元，与2021年决算数持平。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8" w:name="_Toc15377224"/>
      <w:r>
        <w:rPr>
          <w:rFonts w:hint="eastAsia" w:ascii="仿宋" w:hAnsi="仿宋" w:eastAsia="仿宋"/>
          <w:b/>
          <w:color w:val="auto"/>
          <w:sz w:val="32"/>
          <w:szCs w:val="32"/>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截至2022年12月31日，</w:t>
      </w:r>
      <w:r>
        <w:rPr>
          <w:rFonts w:hint="eastAsia" w:ascii="仿宋" w:hAnsi="仿宋" w:eastAsia="仿宋" w:cs="仿宋"/>
          <w:color w:val="auto"/>
          <w:sz w:val="32"/>
          <w:szCs w:val="32"/>
          <w:lang w:eastAsia="zh-CN"/>
        </w:rPr>
        <w:t>峨眉山市总工会</w:t>
      </w:r>
      <w:r>
        <w:rPr>
          <w:rFonts w:hint="eastAsia" w:ascii="仿宋" w:hAnsi="仿宋" w:eastAsia="仿宋" w:cs="仿宋"/>
          <w:color w:val="auto"/>
          <w:sz w:val="32"/>
          <w:szCs w:val="32"/>
        </w:rPr>
        <w:t>共有车辆</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辆，其中：主要领导干部用车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辆、机要通信用车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辆、应急保障用车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辆、其他用车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辆。单价100万元以上专用设备</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根据预算绩效管理要求，本部门在2022年度预算编制阶段，组织对</w:t>
      </w:r>
      <w:r>
        <w:rPr>
          <w:rFonts w:hint="eastAsia" w:ascii="仿宋" w:hAnsi="仿宋" w:eastAsia="仿宋" w:cs="仿宋"/>
          <w:color w:val="auto"/>
          <w:sz w:val="32"/>
          <w:szCs w:val="32"/>
          <w:highlight w:val="none"/>
          <w:lang w:eastAsia="zh-CN"/>
        </w:rPr>
        <w:t>送温暖慰问、代扣行政事业单位工会经费</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个项目开展绩效监控。</w:t>
      </w:r>
    </w:p>
    <w:p>
      <w:pPr>
        <w:widowControl/>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组织对2022年度一般公共预算、政府性基金预算、国有资本经营预算、社会保险基金预算以及资本资产、债券资金等全面开展绩效自评，形成</w:t>
      </w:r>
      <w:r>
        <w:rPr>
          <w:rFonts w:hint="eastAsia" w:ascii="仿宋" w:hAnsi="仿宋" w:eastAsia="仿宋" w:cs="仿宋"/>
          <w:color w:val="auto"/>
          <w:sz w:val="32"/>
          <w:szCs w:val="32"/>
          <w:lang w:eastAsia="zh-CN"/>
        </w:rPr>
        <w:t>峨眉山市总工会</w:t>
      </w:r>
      <w:r>
        <w:rPr>
          <w:rFonts w:hint="eastAsia" w:ascii="仿宋" w:hAnsi="仿宋" w:eastAsia="仿宋" w:cs="仿宋"/>
          <w:color w:val="auto"/>
          <w:sz w:val="32"/>
          <w:szCs w:val="32"/>
        </w:rPr>
        <w:t>部门整体（含部门预算项目）绩效自评报告、</w:t>
      </w:r>
      <w:r>
        <w:rPr>
          <w:rFonts w:hint="eastAsia" w:ascii="仿宋" w:hAnsi="仿宋" w:eastAsia="仿宋" w:cs="仿宋"/>
          <w:color w:val="auto"/>
          <w:sz w:val="32"/>
          <w:szCs w:val="32"/>
          <w:lang w:eastAsia="zh-CN"/>
        </w:rPr>
        <w:t>送温暖慰问</w:t>
      </w:r>
      <w:r>
        <w:rPr>
          <w:rFonts w:hint="eastAsia" w:ascii="仿宋" w:hAnsi="仿宋" w:eastAsia="仿宋" w:cs="仿宋"/>
          <w:color w:val="auto"/>
          <w:sz w:val="32"/>
          <w:szCs w:val="32"/>
        </w:rPr>
        <w:t>专项</w:t>
      </w:r>
      <w:r>
        <w:rPr>
          <w:rFonts w:hint="eastAsia" w:ascii="仿宋" w:hAnsi="仿宋" w:eastAsia="仿宋" w:cs="仿宋"/>
          <w:color w:val="auto"/>
          <w:sz w:val="32"/>
          <w:szCs w:val="32"/>
          <w:lang w:eastAsia="zh-CN"/>
        </w:rPr>
        <w:t>资金</w:t>
      </w:r>
      <w:r>
        <w:rPr>
          <w:rFonts w:hint="eastAsia" w:ascii="仿宋" w:hAnsi="仿宋" w:eastAsia="仿宋" w:cs="仿宋"/>
          <w:color w:val="auto"/>
          <w:sz w:val="32"/>
          <w:szCs w:val="32"/>
        </w:rPr>
        <w:t>预算项目绩效自评报告，其中，</w:t>
      </w:r>
      <w:r>
        <w:rPr>
          <w:rFonts w:hint="eastAsia" w:ascii="仿宋" w:hAnsi="仿宋" w:eastAsia="仿宋" w:cs="仿宋"/>
          <w:color w:val="auto"/>
          <w:sz w:val="32"/>
          <w:szCs w:val="32"/>
          <w:lang w:eastAsia="zh-CN"/>
        </w:rPr>
        <w:t>峨眉山市总工会</w:t>
      </w:r>
      <w:r>
        <w:rPr>
          <w:rFonts w:hint="eastAsia" w:ascii="仿宋" w:hAnsi="仿宋" w:eastAsia="仿宋" w:cs="仿宋"/>
          <w:color w:val="auto"/>
          <w:sz w:val="32"/>
          <w:szCs w:val="32"/>
        </w:rPr>
        <w:t>部门整体（含部门预算项目）绩效自评得分为</w:t>
      </w:r>
      <w:r>
        <w:rPr>
          <w:rFonts w:hint="eastAsia" w:ascii="仿宋" w:hAnsi="仿宋" w:eastAsia="仿宋" w:cs="仿宋"/>
          <w:color w:val="auto"/>
          <w:sz w:val="32"/>
          <w:szCs w:val="32"/>
          <w:lang w:val="en-US" w:eastAsia="zh-CN"/>
        </w:rPr>
        <w:t>97</w:t>
      </w:r>
      <w:r>
        <w:rPr>
          <w:rFonts w:hint="eastAsia" w:ascii="仿宋" w:hAnsi="仿宋" w:eastAsia="仿宋" w:cs="仿宋"/>
          <w:color w:val="auto"/>
          <w:sz w:val="32"/>
          <w:szCs w:val="32"/>
        </w:rPr>
        <w:t>分，绩效自评综述：</w:t>
      </w:r>
      <w:r>
        <w:rPr>
          <w:rFonts w:hint="eastAsia" w:ascii="仿宋" w:hAnsi="仿宋" w:eastAsia="仿宋" w:cs="仿宋"/>
          <w:color w:val="auto"/>
          <w:sz w:val="32"/>
          <w:szCs w:val="32"/>
          <w:lang w:eastAsia="zh-CN"/>
        </w:rPr>
        <w:t>峨眉山市总工会从评价情况来看保障了预算的准确性，支出的规范性，使财政支出保障了重点项目开支，充分发挥了财政资金的作用。送温暖慰问</w:t>
      </w:r>
      <w:r>
        <w:rPr>
          <w:rFonts w:hint="eastAsia" w:ascii="仿宋" w:hAnsi="仿宋" w:eastAsia="仿宋" w:cs="仿宋"/>
          <w:color w:val="auto"/>
          <w:sz w:val="32"/>
          <w:szCs w:val="32"/>
        </w:rPr>
        <w:t>专项预算项目绩效自评得分为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分，绩效自评综述：严格按照上级</w:t>
      </w:r>
      <w:r>
        <w:rPr>
          <w:rFonts w:hint="eastAsia" w:ascii="仿宋" w:hAnsi="仿宋" w:eastAsia="仿宋" w:cs="仿宋"/>
          <w:color w:val="auto"/>
          <w:sz w:val="32"/>
          <w:szCs w:val="32"/>
          <w:lang w:eastAsia="zh-CN"/>
        </w:rPr>
        <w:t>资金使用</w:t>
      </w:r>
      <w:r>
        <w:rPr>
          <w:rFonts w:hint="eastAsia" w:ascii="仿宋" w:hAnsi="仿宋" w:eastAsia="仿宋" w:cs="仿宋"/>
          <w:color w:val="auto"/>
          <w:sz w:val="32"/>
          <w:szCs w:val="32"/>
        </w:rPr>
        <w:t xml:space="preserve">要求，完成了发放任务。绩效自评报告详见附件。 </w:t>
      </w:r>
    </w:p>
    <w:p>
      <w:pPr>
        <w:pStyle w:val="2"/>
        <w:rPr>
          <w:rFonts w:hint="eastAsia"/>
          <w:color w:val="auto"/>
        </w:rPr>
      </w:pPr>
    </w:p>
    <w:p>
      <w:pPr>
        <w:numPr>
          <w:ilvl w:val="0"/>
          <w:numId w:val="4"/>
        </w:numPr>
        <w:spacing w:line="600" w:lineRule="exact"/>
        <w:ind w:firstLine="660" w:firstLineChars="150"/>
        <w:jc w:val="center"/>
        <w:outlineLvl w:val="0"/>
        <w:rPr>
          <w:rStyle w:val="28"/>
          <w:rFonts w:ascii="黑体" w:hAnsi="黑体" w:eastAsia="黑体"/>
          <w:b w:val="0"/>
          <w:color w:val="auto"/>
        </w:rPr>
      </w:pPr>
      <w:bookmarkStart w:id="49" w:name="_Toc15377225"/>
      <w:bookmarkStart w:id="50" w:name="_Toc15396613"/>
      <w:r>
        <w:rPr>
          <w:rFonts w:hint="eastAsia" w:ascii="黑体" w:hAnsi="黑体" w:eastAsia="黑体"/>
          <w:color w:val="auto"/>
          <w:sz w:val="44"/>
          <w:szCs w:val="44"/>
        </w:rPr>
        <w:t>名</w:t>
      </w:r>
      <w:r>
        <w:rPr>
          <w:rStyle w:val="28"/>
          <w:rFonts w:hint="eastAsia" w:ascii="黑体" w:hAnsi="黑体" w:eastAsia="黑体"/>
          <w:b w:val="0"/>
          <w:color w:val="auto"/>
        </w:rPr>
        <w:t>词解释</w:t>
      </w:r>
      <w:bookmarkEnd w:id="49"/>
      <w:bookmarkEnd w:id="50"/>
    </w:p>
    <w:p>
      <w:pPr>
        <w:spacing w:line="600" w:lineRule="exact"/>
        <w:jc w:val="left"/>
        <w:rPr>
          <w:rFonts w:hint="eastAsia" w:ascii="仿宋" w:hAnsi="仿宋" w:eastAsia="仿宋" w:cs="仿宋"/>
          <w:b/>
          <w:color w:val="auto"/>
          <w:sz w:val="44"/>
          <w:szCs w:val="44"/>
        </w:rPr>
      </w:pP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3.经营收入：指事业单位在专业业务活动及其辅助活动之外开展非独立核算经营活动取得的收入。</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4.其他收入：指单位取得的除上述收入以外的各项收入。</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5.使用非财政拨款结余：指事业单位使用以前年度积累的非财政拨款结余弥补当年收支差额的金额。 </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6.年初结转和结余：指以前年度尚未完成、结转到本年按有关规定继续使用的资金。 </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7.结余分配：指事业单位按照会计制度规定缴纳的所得税、提取的专用结余以及转入非财政拨款结余的金额等。</w:t>
      </w:r>
    </w:p>
    <w:p>
      <w:pPr>
        <w:pStyle w:val="26"/>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rPr>
        <w:t>9.</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行政运行</w:t>
      </w:r>
      <w:r>
        <w:rPr>
          <w:rStyle w:val="17"/>
          <w:rFonts w:hint="eastAsia" w:ascii="仿宋" w:hAnsi="仿宋" w:eastAsia="仿宋" w:cs="仿宋"/>
          <w:b w:val="0"/>
          <w:bCs/>
          <w:color w:val="auto"/>
          <w:sz w:val="32"/>
          <w:szCs w:val="32"/>
          <w:highlight w:val="none"/>
        </w:rPr>
        <w:t>（项）</w:t>
      </w:r>
      <w:r>
        <w:rPr>
          <w:rFonts w:hint="eastAsia" w:ascii="仿宋" w:hAnsi="仿宋" w:eastAsia="仿宋" w:cs="仿宋"/>
          <w:color w:val="auto"/>
          <w:sz w:val="32"/>
          <w:szCs w:val="32"/>
        </w:rPr>
        <w:t>：指</w:t>
      </w:r>
      <w:r>
        <w:rPr>
          <w:rFonts w:hint="eastAsia" w:ascii="仿宋" w:hAnsi="仿宋" w:eastAsia="仿宋" w:cs="仿宋"/>
          <w:color w:val="auto"/>
          <w:sz w:val="32"/>
          <w:szCs w:val="32"/>
          <w:lang w:eastAsia="zh-CN"/>
        </w:rPr>
        <w:t>行政单位（包括实行公务员管理的事业单位）的基本支出</w:t>
      </w:r>
      <w:r>
        <w:rPr>
          <w:rFonts w:hint="eastAsia"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color w:val="auto"/>
          <w:sz w:val="32"/>
          <w:szCs w:val="32"/>
          <w:highlight w:val="none"/>
          <w:lang w:eastAsia="zh-CN"/>
        </w:rPr>
      </w:pPr>
      <w:r>
        <w:rPr>
          <w:rStyle w:val="17"/>
          <w:rFonts w:hint="eastAsia" w:ascii="仿宋" w:hAnsi="仿宋" w:eastAsia="仿宋" w:cs="仿宋"/>
          <w:b w:val="0"/>
          <w:bCs/>
          <w:color w:val="auto"/>
          <w:sz w:val="32"/>
          <w:szCs w:val="32"/>
          <w:highlight w:val="none"/>
          <w:lang w:val="en-US" w:eastAsia="zh-CN"/>
        </w:rPr>
        <w:t>10.</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一般行政管理事务</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w:t>
      </w:r>
      <w:r>
        <w:rPr>
          <w:rFonts w:hint="eastAsia" w:ascii="仿宋" w:hAnsi="仿宋" w:eastAsia="仿宋" w:cs="仿宋"/>
          <w:color w:val="auto"/>
          <w:sz w:val="32"/>
          <w:szCs w:val="32"/>
          <w:lang w:eastAsia="zh-CN"/>
        </w:rPr>
        <w:t>行政单位（包括实行公务员管理的事业单位）未单独设置项级科目的其他项目支出。</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eastAsia="zh-CN"/>
        </w:rPr>
        <w:t>工会事务</w:t>
      </w:r>
      <w:r>
        <w:rPr>
          <w:rStyle w:val="17"/>
          <w:rFonts w:hint="eastAsia" w:ascii="仿宋" w:hAnsi="仿宋" w:eastAsia="仿宋" w:cs="仿宋"/>
          <w:b w:val="0"/>
          <w:bCs/>
          <w:color w:val="auto"/>
          <w:sz w:val="32"/>
          <w:szCs w:val="32"/>
          <w:highlight w:val="none"/>
        </w:rPr>
        <w:t>（项）</w:t>
      </w:r>
      <w:r>
        <w:rPr>
          <w:rFonts w:hint="eastAsia" w:ascii="仿宋" w:hAnsi="仿宋" w:eastAsia="仿宋" w:cs="仿宋"/>
          <w:color w:val="auto"/>
          <w:sz w:val="32"/>
          <w:szCs w:val="32"/>
          <w:highlight w:val="none"/>
        </w:rPr>
        <w:t>：指</w:t>
      </w:r>
      <w:r>
        <w:rPr>
          <w:rFonts w:hint="eastAsia" w:ascii="仿宋" w:hAnsi="仿宋" w:eastAsia="仿宋" w:cs="仿宋"/>
          <w:color w:val="auto"/>
          <w:sz w:val="32"/>
          <w:szCs w:val="32"/>
          <w:highlight w:val="none"/>
          <w:lang w:eastAsia="zh-CN"/>
        </w:rPr>
        <w:t>反映财政对工会事务的补助支出。</w:t>
      </w:r>
    </w:p>
    <w:p>
      <w:pPr>
        <w:pStyle w:val="2"/>
        <w:ind w:firstLine="640" w:firstLineChars="200"/>
        <w:rPr>
          <w:rFonts w:hint="eastAsia" w:ascii="仿宋" w:hAnsi="仿宋" w:eastAsia="仿宋" w:cs="仿宋"/>
          <w:color w:val="auto"/>
        </w:rPr>
      </w:pPr>
      <w:r>
        <w:rPr>
          <w:rStyle w:val="17"/>
          <w:rFonts w:hint="eastAsia" w:ascii="仿宋" w:hAnsi="仿宋" w:eastAsia="仿宋" w:cs="仿宋"/>
          <w:b w:val="0"/>
          <w:bCs/>
          <w:color w:val="auto"/>
          <w:sz w:val="32"/>
          <w:szCs w:val="32"/>
          <w:highlight w:val="none"/>
          <w:lang w:val="en-US" w:eastAsia="zh-CN"/>
        </w:rPr>
        <w:t>12.</w:t>
      </w:r>
      <w:r>
        <w:rPr>
          <w:rStyle w:val="17"/>
          <w:rFonts w:hint="eastAsia" w:ascii="仿宋" w:hAnsi="仿宋" w:eastAsia="仿宋" w:cs="仿宋"/>
          <w:b w:val="0"/>
          <w:bCs/>
          <w:color w:val="auto"/>
          <w:sz w:val="32"/>
          <w:szCs w:val="32"/>
          <w:highlight w:val="none"/>
        </w:rPr>
        <w:t>一般公共服务（类）</w:t>
      </w:r>
      <w:r>
        <w:rPr>
          <w:rFonts w:hint="eastAsia" w:ascii="仿宋" w:hAnsi="仿宋" w:eastAsia="仿宋" w:cs="仿宋"/>
          <w:color w:val="auto"/>
          <w:sz w:val="32"/>
          <w:szCs w:val="32"/>
        </w:rPr>
        <w:t>群众团体事务</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eastAsia="zh-CN"/>
        </w:rPr>
        <w:t>其他群众团体事务支出</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：指除上述项目以外其他用于群众团体事务方面的支出。</w:t>
      </w:r>
    </w:p>
    <w:p>
      <w:pPr>
        <w:ind w:firstLine="640" w:firstLineChars="200"/>
        <w:rPr>
          <w:rStyle w:val="17"/>
          <w:rFonts w:hint="eastAsia" w:ascii="仿宋" w:hAnsi="仿宋" w:eastAsia="仿宋" w:cs="仿宋"/>
          <w:b w:val="0"/>
          <w:bCs/>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行政事业单位养老支出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eastAsia="zh-CN"/>
        </w:rPr>
        <w:t>行政单位离退休</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：指行政单位（包括实行公务员管理的事业单位）开支的离退休经费。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color w:val="auto"/>
          <w:sz w:val="32"/>
          <w:szCs w:val="32"/>
          <w:highlight w:val="none"/>
          <w:lang w:eastAsia="zh-CN"/>
        </w:rPr>
      </w:pPr>
      <w:r>
        <w:rPr>
          <w:rStyle w:val="17"/>
          <w:rFonts w:hint="eastAsia" w:ascii="仿宋" w:hAnsi="仿宋" w:eastAsia="仿宋" w:cs="仿宋"/>
          <w:b w:val="0"/>
          <w:bCs/>
          <w:color w:val="auto"/>
          <w:sz w:val="32"/>
          <w:szCs w:val="32"/>
          <w:highlight w:val="none"/>
          <w:lang w:val="en-US" w:eastAsia="zh-CN"/>
        </w:rPr>
        <w:t>14.</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行政事业单位养老支出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机关事业单位基本养老保险缴费支出</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：指反映机关事业单位实施养老保险制度由单位缴纳的基本养老保险费支出</w:t>
      </w:r>
      <w:r>
        <w:rPr>
          <w:rStyle w:val="17"/>
          <w:rFonts w:hint="eastAsia" w:ascii="仿宋" w:hAnsi="仿宋" w:eastAsia="仿宋" w:cs="仿宋"/>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color w:val="auto"/>
          <w:sz w:val="32"/>
          <w:szCs w:val="32"/>
        </w:rPr>
      </w:pPr>
      <w:r>
        <w:rPr>
          <w:rStyle w:val="17"/>
          <w:rFonts w:hint="eastAsia" w:ascii="仿宋" w:hAnsi="仿宋" w:eastAsia="仿宋" w:cs="仿宋"/>
          <w:b w:val="0"/>
          <w:bCs/>
          <w:color w:val="auto"/>
          <w:sz w:val="32"/>
          <w:szCs w:val="32"/>
          <w:highlight w:val="none"/>
          <w:lang w:val="en-US" w:eastAsia="zh-CN"/>
        </w:rPr>
        <w:t>15.</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行政事业单位养老支出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机关事业单位职业年金缴费支出</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：指反映机关事业单位实施养老保险制度由单位实际缴纳的职业年金支出</w:t>
      </w:r>
      <w:r>
        <w:rPr>
          <w:rStyle w:val="17"/>
          <w:rFonts w:hint="eastAsia" w:ascii="仿宋" w:hAnsi="仿宋" w:eastAsia="仿宋" w:cs="仿宋"/>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color w:val="auto"/>
          <w:sz w:val="32"/>
          <w:szCs w:val="32"/>
          <w:lang w:eastAsia="zh-CN"/>
        </w:rPr>
      </w:pPr>
      <w:r>
        <w:rPr>
          <w:rStyle w:val="17"/>
          <w:rFonts w:hint="eastAsia" w:ascii="仿宋" w:hAnsi="仿宋" w:eastAsia="仿宋" w:cs="仿宋"/>
          <w:b w:val="0"/>
          <w:bCs/>
          <w:color w:val="auto"/>
          <w:sz w:val="32"/>
          <w:szCs w:val="32"/>
          <w:highlight w:val="none"/>
          <w:lang w:val="en-US" w:eastAsia="zh-CN"/>
        </w:rPr>
        <w:t>16.</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抚恤</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死亡抚恤</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：指按规定用于烈士和牺牲、病故人员家属的一次性和定期抚恤金、丧葬补助费以及烈士褒扬金</w:t>
      </w:r>
      <w:r>
        <w:rPr>
          <w:rStyle w:val="17"/>
          <w:rFonts w:hint="eastAsia" w:ascii="仿宋" w:hAnsi="仿宋" w:eastAsia="仿宋" w:cs="仿宋"/>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7"/>
          <w:rFonts w:hint="eastAsia" w:ascii="仿宋" w:hAnsi="仿宋" w:eastAsia="仿宋" w:cs="仿宋"/>
          <w:b w:val="0"/>
          <w:bCs/>
          <w:color w:val="auto"/>
          <w:sz w:val="32"/>
          <w:szCs w:val="32"/>
        </w:rPr>
      </w:pPr>
      <w:r>
        <w:rPr>
          <w:rStyle w:val="17"/>
          <w:rFonts w:hint="eastAsia" w:ascii="仿宋" w:hAnsi="仿宋" w:eastAsia="仿宋" w:cs="仿宋"/>
          <w:b w:val="0"/>
          <w:bCs/>
          <w:color w:val="auto"/>
          <w:sz w:val="32"/>
          <w:szCs w:val="32"/>
          <w:highlight w:val="none"/>
          <w:lang w:val="en-US" w:eastAsia="zh-CN"/>
        </w:rPr>
        <w:t>17.</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抚恤</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其他优抚支出</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：指除上述项目以外其他用于优抚方面的支出，包括向优抚对象发放的价格临时补贴等支出</w:t>
      </w:r>
      <w:r>
        <w:rPr>
          <w:rStyle w:val="17"/>
          <w:rFonts w:hint="eastAsia" w:ascii="仿宋" w:hAnsi="仿宋" w:eastAsia="仿宋" w:cs="仿宋"/>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rPr>
      </w:pPr>
      <w:r>
        <w:rPr>
          <w:rStyle w:val="17"/>
          <w:rFonts w:hint="eastAsia" w:ascii="仿宋" w:hAnsi="仿宋" w:eastAsia="仿宋" w:cs="仿宋"/>
          <w:b w:val="0"/>
          <w:bCs/>
          <w:color w:val="auto"/>
          <w:sz w:val="32"/>
          <w:szCs w:val="32"/>
          <w:highlight w:val="none"/>
          <w:lang w:val="en-US" w:eastAsia="zh-CN"/>
        </w:rPr>
        <w:t>18.</w:t>
      </w:r>
      <w:r>
        <w:rPr>
          <w:rStyle w:val="17"/>
          <w:rFonts w:hint="eastAsia" w:ascii="仿宋" w:hAnsi="仿宋" w:eastAsia="仿宋" w:cs="仿宋"/>
          <w:b w:val="0"/>
          <w:bCs/>
          <w:color w:val="auto"/>
          <w:sz w:val="32"/>
          <w:szCs w:val="32"/>
          <w:highlight w:val="none"/>
        </w:rPr>
        <w:t>社会保障和就业（类）</w:t>
      </w:r>
      <w:r>
        <w:rPr>
          <w:rStyle w:val="17"/>
          <w:rFonts w:hint="eastAsia" w:ascii="仿宋" w:hAnsi="仿宋" w:eastAsia="仿宋" w:cs="仿宋"/>
          <w:b w:val="0"/>
          <w:bCs/>
          <w:color w:val="auto"/>
          <w:sz w:val="32"/>
          <w:szCs w:val="32"/>
          <w:highlight w:val="none"/>
          <w:lang w:val="en-US" w:eastAsia="zh-CN"/>
        </w:rPr>
        <w:t>其他社会保障和就业支出</w:t>
      </w:r>
      <w:r>
        <w:rPr>
          <w:rStyle w:val="17"/>
          <w:rFonts w:hint="eastAsia" w:ascii="仿宋" w:hAnsi="仿宋" w:eastAsia="仿宋" w:cs="仿宋"/>
          <w:b w:val="0"/>
          <w:bCs/>
          <w:color w:val="auto"/>
          <w:sz w:val="32"/>
          <w:szCs w:val="32"/>
          <w:highlight w:val="none"/>
        </w:rPr>
        <w:t>（款）</w:t>
      </w:r>
      <w:r>
        <w:rPr>
          <w:rStyle w:val="17"/>
          <w:rFonts w:hint="eastAsia" w:ascii="仿宋" w:hAnsi="仿宋" w:eastAsia="仿宋" w:cs="仿宋"/>
          <w:b w:val="0"/>
          <w:bCs/>
          <w:color w:val="auto"/>
          <w:sz w:val="32"/>
          <w:szCs w:val="32"/>
          <w:highlight w:val="none"/>
          <w:lang w:val="en-US" w:eastAsia="zh-CN"/>
        </w:rPr>
        <w:t>99</w:t>
      </w:r>
      <w:r>
        <w:rPr>
          <w:rStyle w:val="17"/>
          <w:rFonts w:hint="eastAsia" w:ascii="仿宋" w:hAnsi="仿宋" w:eastAsia="仿宋" w:cs="仿宋"/>
          <w:b w:val="0"/>
          <w:bCs/>
          <w:color w:val="auto"/>
          <w:sz w:val="32"/>
          <w:szCs w:val="32"/>
          <w:highlight w:val="none"/>
        </w:rPr>
        <w:t>（项）</w:t>
      </w:r>
      <w:r>
        <w:rPr>
          <w:rStyle w:val="17"/>
          <w:rFonts w:hint="eastAsia" w:ascii="仿宋" w:hAnsi="仿宋" w:eastAsia="仿宋" w:cs="仿宋"/>
          <w:b w:val="0"/>
          <w:bCs/>
          <w:color w:val="auto"/>
          <w:sz w:val="32"/>
          <w:szCs w:val="32"/>
          <w:highlight w:val="none"/>
          <w:lang w:val="en-US" w:eastAsia="zh-CN"/>
        </w:rPr>
        <w:t>其他社会保障和就业支出：指除上述项目以外其他用于社会保障和就业方面的支出</w:t>
      </w:r>
      <w:r>
        <w:rPr>
          <w:rStyle w:val="17"/>
          <w:rFonts w:hint="eastAsia" w:ascii="仿宋" w:hAnsi="仿宋" w:eastAsia="仿宋" w:cs="仿宋"/>
          <w:b w:val="0"/>
          <w:bCs/>
          <w:color w:val="auto"/>
          <w:sz w:val="32"/>
          <w:szCs w:val="32"/>
        </w:rPr>
        <w:t>。</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卫生健康（类）行政事业单位医疗（款）行政单位医疗（项）:是指反映财政部门集中安排的行政单位（包括实行公务员管理的事业单位）基本医疗保险缴费经费，未参加医疗保险的行政单位的公费医疗经费，按国家规定享受离退休人员、红军老战士待遇人员的医疗经费。</w:t>
      </w:r>
      <w:r>
        <w:rPr>
          <w:rFonts w:hint="eastAsia" w:ascii="仿宋" w:hAnsi="仿宋" w:eastAsia="仿宋" w:cs="仿宋"/>
          <w:color w:val="auto"/>
          <w:sz w:val="32"/>
          <w:szCs w:val="32"/>
          <w:lang w:val="en-US" w:eastAsia="zh-CN"/>
        </w:rPr>
        <w:t xml:space="preserve">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20.</w:t>
      </w:r>
      <w:r>
        <w:rPr>
          <w:rFonts w:hint="eastAsia" w:ascii="仿宋" w:hAnsi="仿宋" w:eastAsia="仿宋" w:cs="仿宋"/>
          <w:color w:val="auto"/>
          <w:sz w:val="32"/>
          <w:szCs w:val="32"/>
        </w:rPr>
        <w:t>卫生健康（类）行政事业单位医疗（款）公务员医疗补助（项）:是指反映财政部门安排的公务员医疗补助经费。</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.经营支出：指事业单位在专业业务活动及其辅助活动之外开展非独立核算经营活动发生的支出。</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hAnsi="仿宋" w:cs="仿宋"/>
          <w:color w:val="auto"/>
          <w:sz w:val="32"/>
          <w:szCs w:val="32"/>
          <w:lang w:val="en-US" w:eastAsia="zh-CN"/>
        </w:rPr>
        <w:t>24</w:t>
      </w:r>
      <w:r>
        <w:rPr>
          <w:rFonts w:hint="eastAsia" w:ascii="仿宋" w:hAnsi="仿宋" w:eastAsia="仿宋" w:cs="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rPr>
      </w:pPr>
      <w:r>
        <w:rPr>
          <w:rFonts w:hint="eastAsia" w:hAnsi="仿宋" w:cs="仿宋"/>
          <w:color w:val="auto"/>
          <w:sz w:val="32"/>
          <w:szCs w:val="32"/>
          <w:lang w:val="en-US" w:eastAsia="zh-CN"/>
        </w:rPr>
        <w:t>25</w:t>
      </w: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600" w:lineRule="exact"/>
        <w:jc w:val="center"/>
        <w:textAlignment w:val="auto"/>
        <w:outlineLvl w:val="0"/>
        <w:rPr>
          <w:rStyle w:val="28"/>
          <w:rFonts w:ascii="黑体" w:hAnsi="黑体" w:eastAsia="黑体"/>
          <w:b w:val="0"/>
          <w:color w:val="auto"/>
          <w:highlight w:val="none"/>
        </w:rPr>
      </w:pPr>
      <w:bookmarkStart w:id="51" w:name="_Toc15377226"/>
      <w:r>
        <w:rPr>
          <w:rFonts w:hint="eastAsia" w:ascii="仿宋" w:hAnsi="仿宋" w:eastAsia="仿宋" w:cs="仿宋"/>
          <w:b/>
          <w:color w:val="auto"/>
          <w:sz w:val="44"/>
          <w:szCs w:val="44"/>
        </w:rPr>
        <w:br w:type="page"/>
      </w:r>
      <w:bookmarkStart w:id="52"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2"/>
    </w:p>
    <w:p>
      <w:pPr>
        <w:spacing w:line="572" w:lineRule="exact"/>
        <w:jc w:val="left"/>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widowControl/>
        <w:spacing w:line="560" w:lineRule="exact"/>
        <w:contextualSpacing/>
        <w:jc w:val="center"/>
        <w:rPr>
          <w:rFonts w:hint="eastAsia" w:ascii="黑体" w:hAnsi="黑体" w:eastAsia="黑体" w:cs="黑体"/>
          <w:b/>
          <w:color w:val="auto"/>
          <w:sz w:val="32"/>
          <w:szCs w:val="32"/>
          <w:highlight w:val="none"/>
          <w:shd w:val="clear" w:color="auto" w:fill="FFFFFF"/>
        </w:rPr>
      </w:pPr>
      <w:r>
        <w:rPr>
          <w:rFonts w:hint="eastAsia" w:ascii="黑体" w:hAnsi="黑体" w:eastAsia="黑体" w:cs="黑体"/>
          <w:b/>
          <w:color w:val="auto"/>
          <w:sz w:val="32"/>
          <w:szCs w:val="32"/>
          <w:highlight w:val="none"/>
          <w:shd w:val="clear" w:color="auto" w:fill="FFFFFF"/>
        </w:rPr>
        <w:t>202</w:t>
      </w:r>
      <w:r>
        <w:rPr>
          <w:rFonts w:hint="eastAsia" w:ascii="黑体" w:hAnsi="黑体" w:eastAsia="黑体" w:cs="黑体"/>
          <w:b/>
          <w:color w:val="auto"/>
          <w:sz w:val="32"/>
          <w:szCs w:val="32"/>
          <w:highlight w:val="none"/>
          <w:shd w:val="clear" w:color="auto" w:fill="FFFFFF"/>
          <w:lang w:val="en-US" w:eastAsia="zh-CN"/>
        </w:rPr>
        <w:t>2</w:t>
      </w:r>
      <w:r>
        <w:rPr>
          <w:rFonts w:hint="eastAsia" w:ascii="黑体" w:hAnsi="黑体" w:eastAsia="黑体" w:cs="黑体"/>
          <w:b/>
          <w:color w:val="auto"/>
          <w:sz w:val="32"/>
          <w:szCs w:val="32"/>
          <w:highlight w:val="none"/>
          <w:shd w:val="clear" w:color="auto" w:fill="FFFFFF"/>
        </w:rPr>
        <w:t>年部门整体绩效评价报告</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lang w:val="zh-CN"/>
        </w:rPr>
        <w:t>部门（单位）基本情况</w:t>
      </w:r>
    </w:p>
    <w:p>
      <w:pPr>
        <w:widowControl/>
        <w:adjustRightInd w:val="0"/>
        <w:snapToGrid w:val="0"/>
        <w:spacing w:line="560" w:lineRule="exact"/>
        <w:ind w:firstLine="643" w:firstLineChars="200"/>
        <w:contextualSpacing/>
        <w:jc w:val="left"/>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（一）机构组成：</w:t>
      </w:r>
      <w:r>
        <w:rPr>
          <w:rFonts w:hint="eastAsia" w:ascii="仿宋" w:hAnsi="仿宋" w:eastAsia="仿宋" w:cs="仿宋"/>
          <w:color w:val="auto"/>
          <w:kern w:val="0"/>
          <w:sz w:val="32"/>
          <w:szCs w:val="32"/>
          <w:shd w:val="clear" w:color="auto" w:fill="FFFFFF"/>
          <w:lang w:val="zh-CN"/>
        </w:rPr>
        <w:t>峨眉山市总工会设综合协调岗和财务保障股两个职能科室，无</w:t>
      </w:r>
      <w:r>
        <w:rPr>
          <w:rFonts w:hint="eastAsia" w:ascii="仿宋" w:hAnsi="仿宋" w:eastAsia="仿宋" w:cs="仿宋"/>
          <w:color w:val="auto"/>
          <w:kern w:val="0"/>
          <w:sz w:val="32"/>
          <w:szCs w:val="32"/>
          <w:shd w:val="clear" w:color="auto" w:fill="FFFFFF"/>
          <w:lang w:val="en-US" w:eastAsia="zh-CN"/>
        </w:rPr>
        <w:t>2级预算单位。</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b/>
          <w:bCs/>
          <w:color w:val="auto"/>
          <w:kern w:val="0"/>
          <w:sz w:val="32"/>
          <w:szCs w:val="32"/>
          <w:shd w:val="clear" w:color="auto" w:fill="FFFFFF"/>
          <w:lang w:val="zh-CN"/>
        </w:rPr>
        <w:t>（二）机构职能和人员概况：</w:t>
      </w:r>
      <w:r>
        <w:rPr>
          <w:rFonts w:hint="eastAsia" w:ascii="仿宋" w:hAnsi="仿宋" w:eastAsia="仿宋" w:cs="仿宋"/>
          <w:b w:val="0"/>
          <w:bCs w:val="0"/>
          <w:color w:val="auto"/>
          <w:kern w:val="0"/>
          <w:sz w:val="32"/>
          <w:szCs w:val="32"/>
          <w:shd w:val="clear" w:color="auto" w:fill="FFFFFF"/>
          <w:lang w:val="zh-CN"/>
        </w:rPr>
        <w:t>峨眉山市总工会</w:t>
      </w:r>
      <w:r>
        <w:rPr>
          <w:rFonts w:hint="eastAsia" w:ascii="仿宋" w:hAnsi="仿宋" w:eastAsia="仿宋" w:cs="仿宋"/>
          <w:b w:val="0"/>
          <w:bCs w:val="0"/>
          <w:color w:val="auto"/>
          <w:spacing w:val="-4"/>
          <w:sz w:val="32"/>
          <w:szCs w:val="32"/>
        </w:rPr>
        <w:t>主</w:t>
      </w:r>
      <w:r>
        <w:rPr>
          <w:rFonts w:hint="eastAsia" w:ascii="仿宋" w:hAnsi="仿宋" w:eastAsia="仿宋" w:cs="仿宋"/>
          <w:color w:val="auto"/>
          <w:spacing w:val="-4"/>
          <w:sz w:val="32"/>
          <w:szCs w:val="32"/>
        </w:rPr>
        <w:t>要工作是贯彻执行党的路线、方针、政策；根据乐山市总工会、峨眉山市委</w:t>
      </w:r>
      <w:r>
        <w:rPr>
          <w:rFonts w:hint="eastAsia" w:ascii="仿宋" w:hAnsi="仿宋" w:eastAsia="仿宋" w:cs="仿宋"/>
          <w:color w:val="auto"/>
          <w:spacing w:val="-4"/>
          <w:sz w:val="32"/>
          <w:szCs w:val="32"/>
          <w:lang w:eastAsia="zh-CN"/>
        </w:rPr>
        <w:t>市政府</w:t>
      </w:r>
      <w:r>
        <w:rPr>
          <w:rFonts w:hint="eastAsia" w:ascii="仿宋" w:hAnsi="仿宋" w:eastAsia="仿宋" w:cs="仿宋"/>
          <w:color w:val="auto"/>
          <w:spacing w:val="-4"/>
          <w:sz w:val="32"/>
          <w:szCs w:val="32"/>
        </w:rPr>
        <w:t>的部署，结合峨眉山市实际，确定工会工作的指导思想、目标和任务，指导全市工会工作；依照《工会法》和《中国工会章程》，组织和指导各级工会“维护职工合法权益”的基本职能和其它各项社会职能；对有关职工利益的重大问题进行调查研究，向市委、市政府和上级工会反映职工群众的愿望和要求，并提出意见和建议，参与涉及职工切身利益的有关政策、措施和制度的制定；指导基层工会的自身建设和改革，按照市委</w:t>
      </w:r>
      <w:r>
        <w:rPr>
          <w:rFonts w:hint="eastAsia" w:ascii="仿宋" w:hAnsi="仿宋" w:eastAsia="仿宋" w:cs="仿宋"/>
          <w:color w:val="auto"/>
          <w:spacing w:val="-4"/>
          <w:sz w:val="32"/>
          <w:szCs w:val="32"/>
          <w:lang w:eastAsia="zh-CN"/>
        </w:rPr>
        <w:t>市政府</w:t>
      </w:r>
      <w:r>
        <w:rPr>
          <w:rFonts w:hint="eastAsia" w:ascii="仿宋" w:hAnsi="仿宋" w:eastAsia="仿宋" w:cs="仿宋"/>
          <w:color w:val="auto"/>
          <w:spacing w:val="-4"/>
          <w:sz w:val="32"/>
          <w:szCs w:val="32"/>
        </w:rPr>
        <w:t>和上级工会的要求，研究制定工会的各项组织制度和民主制度；协助市</w:t>
      </w:r>
      <w:r>
        <w:rPr>
          <w:rFonts w:hint="eastAsia" w:ascii="仿宋" w:hAnsi="仿宋" w:eastAsia="仿宋" w:cs="仿宋"/>
          <w:color w:val="auto"/>
          <w:spacing w:val="-4"/>
          <w:sz w:val="32"/>
          <w:szCs w:val="32"/>
          <w:lang w:eastAsia="zh-CN"/>
        </w:rPr>
        <w:t>委市</w:t>
      </w:r>
      <w:r>
        <w:rPr>
          <w:rFonts w:hint="eastAsia" w:ascii="仿宋" w:hAnsi="仿宋" w:eastAsia="仿宋" w:cs="仿宋"/>
          <w:color w:val="auto"/>
          <w:spacing w:val="-4"/>
          <w:sz w:val="32"/>
          <w:szCs w:val="32"/>
        </w:rPr>
        <w:t>政府和企业主管部门组织职工开展以提高企业经济效益的为目的的劳动竞赛，协助市</w:t>
      </w:r>
      <w:r>
        <w:rPr>
          <w:rFonts w:hint="eastAsia" w:ascii="仿宋" w:hAnsi="仿宋" w:eastAsia="仿宋" w:cs="仿宋"/>
          <w:color w:val="auto"/>
          <w:spacing w:val="-4"/>
          <w:sz w:val="32"/>
          <w:szCs w:val="32"/>
          <w:lang w:eastAsia="zh-CN"/>
        </w:rPr>
        <w:t>委市</w:t>
      </w:r>
      <w:r>
        <w:rPr>
          <w:rFonts w:hint="eastAsia" w:ascii="仿宋" w:hAnsi="仿宋" w:eastAsia="仿宋" w:cs="仿宋"/>
          <w:color w:val="auto"/>
          <w:spacing w:val="-4"/>
          <w:sz w:val="32"/>
          <w:szCs w:val="32"/>
        </w:rPr>
        <w:t>政府和上级工会做好省部级以上劳模的推荐、管理工作</w:t>
      </w:r>
      <w:r>
        <w:rPr>
          <w:rFonts w:hint="eastAsia" w:ascii="仿宋" w:hAnsi="仿宋" w:eastAsia="仿宋" w:cs="仿宋"/>
          <w:color w:val="auto"/>
          <w:spacing w:val="-4"/>
          <w:sz w:val="32"/>
          <w:szCs w:val="32"/>
          <w:lang w:eastAsia="zh-CN"/>
        </w:rPr>
        <w:t>等</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kern w:val="0"/>
          <w:sz w:val="32"/>
          <w:szCs w:val="32"/>
          <w:shd w:val="clear" w:color="auto" w:fill="FFFFFF"/>
          <w:lang w:val="zh-CN"/>
        </w:rPr>
        <w:t>截止</w:t>
      </w:r>
      <w:r>
        <w:rPr>
          <w:rFonts w:hint="eastAsia" w:ascii="仿宋" w:hAnsi="仿宋" w:eastAsia="仿宋" w:cs="仿宋"/>
          <w:color w:val="auto"/>
          <w:kern w:val="0"/>
          <w:sz w:val="32"/>
          <w:szCs w:val="32"/>
          <w:shd w:val="clear" w:color="auto" w:fill="FFFFFF"/>
          <w:lang w:val="en-US" w:eastAsia="zh-CN"/>
        </w:rPr>
        <w:t>2022年底，峨眉山市总工会有参公编6人，实有人员8人，离休人员1人，退休人员5人。</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bCs/>
          <w:color w:val="auto"/>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（三）年度主要工作任务。一</w:t>
      </w:r>
      <w:r>
        <w:rPr>
          <w:rFonts w:hint="eastAsia" w:ascii="仿宋" w:hAnsi="仿宋" w:eastAsia="仿宋" w:cs="仿宋"/>
          <w:b w:val="0"/>
          <w:bCs w:val="0"/>
          <w:color w:val="auto"/>
          <w:kern w:val="0"/>
          <w:sz w:val="32"/>
          <w:szCs w:val="32"/>
          <w:highlight w:val="none"/>
          <w:shd w:val="clear" w:color="auto" w:fill="FFFFFF"/>
          <w:lang w:val="zh-CN"/>
        </w:rPr>
        <w:t>是积极开展各类职工活动，使健康向上的活动丰富职工的生活；二是深入开展职工劳动</w:t>
      </w: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仿宋" w:hAnsi="仿宋" w:eastAsia="仿宋" w:cs="仿宋"/>
          <w:b/>
          <w:bCs/>
          <w:color w:val="auto"/>
          <w:kern w:val="0"/>
          <w:sz w:val="32"/>
          <w:szCs w:val="32"/>
          <w:highlight w:val="yellow"/>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zh-CN"/>
        </w:rPr>
        <w:t>竞赛、弘扬劳模和工匠精神；三是开展常态化服务工作，如：春送岗位、夏送清凉、秋送助学、冬送温暖“四季送”等工作；四是维护职工合法权益、帮助困难职工、开展集体协商等维权服务；五是开展对劳模、困难职工的慰问救助等关爱活动。</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（四）部门整体支出绩效目标。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en-US" w:eastAsia="zh-CN"/>
        </w:rPr>
        <w:t>1、</w:t>
      </w:r>
      <w:r>
        <w:rPr>
          <w:rFonts w:hint="eastAsia" w:ascii="仿宋" w:hAnsi="仿宋" w:eastAsia="仿宋" w:cs="仿宋"/>
          <w:b w:val="0"/>
          <w:bCs w:val="0"/>
          <w:color w:val="auto"/>
          <w:kern w:val="0"/>
          <w:sz w:val="32"/>
          <w:szCs w:val="32"/>
          <w:highlight w:val="none"/>
          <w:shd w:val="clear" w:color="auto" w:fill="FFFFFF"/>
          <w:lang w:val="zh-CN"/>
        </w:rPr>
        <w:t>坚持党建带工建，团结动员职工听党话跟党走；充分发挥工会职能职责，实施科学维权，构建和谐劳动关系。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en-US" w:eastAsia="zh-CN"/>
        </w:rPr>
        <w:t>2、</w:t>
      </w:r>
      <w:r>
        <w:rPr>
          <w:rFonts w:hint="eastAsia" w:ascii="仿宋" w:hAnsi="仿宋" w:eastAsia="仿宋" w:cs="仿宋"/>
          <w:b w:val="0"/>
          <w:bCs w:val="0"/>
          <w:color w:val="auto"/>
          <w:kern w:val="0"/>
          <w:sz w:val="32"/>
          <w:szCs w:val="32"/>
          <w:highlight w:val="none"/>
          <w:shd w:val="clear" w:color="auto" w:fill="FFFFFF"/>
          <w:lang w:val="zh-CN"/>
        </w:rPr>
        <w:t>保障机关职工基本开支，为机关正常工作运行提供有效保障。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b w:val="0"/>
          <w:bCs w:val="0"/>
          <w:color w:val="auto"/>
          <w:kern w:val="0"/>
          <w:sz w:val="32"/>
          <w:szCs w:val="32"/>
          <w:highlight w:val="none"/>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en-US" w:eastAsia="zh-CN"/>
        </w:rPr>
        <w:t>3、</w:t>
      </w:r>
      <w:r>
        <w:rPr>
          <w:rFonts w:hint="eastAsia" w:ascii="仿宋" w:hAnsi="仿宋" w:eastAsia="仿宋" w:cs="仿宋"/>
          <w:b w:val="0"/>
          <w:bCs w:val="0"/>
          <w:color w:val="auto"/>
          <w:kern w:val="0"/>
          <w:sz w:val="32"/>
          <w:szCs w:val="32"/>
          <w:highlight w:val="none"/>
          <w:shd w:val="clear" w:color="auto" w:fill="FFFFFF"/>
          <w:lang w:val="zh-CN"/>
        </w:rPr>
        <w:t>做好困难职工帮扶和职工送温暖工作，促进职工解困脱困；保障困难职工帮扶资金、全省职工常态送温暖慰问金及时准确发放，落实好党和政府对困难职工的关心关爱政策，提高服务满意度。</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b/>
          <w:bCs/>
          <w:color w:val="auto"/>
          <w:kern w:val="0"/>
          <w:sz w:val="32"/>
          <w:szCs w:val="32"/>
          <w:highlight w:val="yellow"/>
          <w:shd w:val="clear" w:color="auto" w:fill="FFFFFF"/>
          <w:lang w:val="zh-CN"/>
        </w:rPr>
      </w:pPr>
      <w:r>
        <w:rPr>
          <w:rFonts w:hint="eastAsia" w:ascii="仿宋" w:hAnsi="仿宋" w:eastAsia="仿宋" w:cs="仿宋"/>
          <w:b w:val="0"/>
          <w:bCs w:val="0"/>
          <w:color w:val="auto"/>
          <w:kern w:val="0"/>
          <w:sz w:val="32"/>
          <w:szCs w:val="32"/>
          <w:highlight w:val="none"/>
          <w:shd w:val="clear" w:color="auto" w:fill="FFFFFF"/>
          <w:lang w:val="en-US" w:eastAsia="zh-CN"/>
        </w:rPr>
        <w:t>4、</w:t>
      </w:r>
      <w:r>
        <w:rPr>
          <w:rFonts w:hint="eastAsia" w:ascii="仿宋" w:hAnsi="仿宋" w:eastAsia="仿宋" w:cs="仿宋"/>
          <w:b w:val="0"/>
          <w:bCs w:val="0"/>
          <w:color w:val="auto"/>
          <w:kern w:val="0"/>
          <w:sz w:val="32"/>
          <w:szCs w:val="32"/>
          <w:highlight w:val="none"/>
          <w:shd w:val="clear" w:color="auto" w:fill="FFFFFF"/>
          <w:lang w:val="zh-CN"/>
        </w:rPr>
        <w:t>严格进行绩效目标管理，部门整体支出的经济性、效率性、有效性和可持续性都明显增强，切实提升了机关整体支出效益，有力推动了各项工作开展，实现了部门预算管理总体目标。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1.部门总体收入情况</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2022年部门预算收入为200.9万元，决算收入为222.73万元，</w:t>
      </w:r>
      <w:r>
        <w:rPr>
          <w:rFonts w:hint="eastAsia" w:ascii="仿宋" w:hAnsi="仿宋" w:eastAsia="仿宋" w:cs="仿宋"/>
          <w:b w:val="0"/>
          <w:bCs/>
          <w:color w:val="auto"/>
          <w:kern w:val="0"/>
          <w:sz w:val="32"/>
          <w:szCs w:val="32"/>
          <w:shd w:val="clear" w:color="auto" w:fill="FFFFFF"/>
          <w:lang w:val="zh-CN"/>
        </w:rPr>
        <w:t>其中：一般公共服务收入</w:t>
      </w:r>
      <w:r>
        <w:rPr>
          <w:rFonts w:hint="eastAsia" w:ascii="仿宋" w:hAnsi="仿宋" w:eastAsia="仿宋" w:cs="仿宋"/>
          <w:b w:val="0"/>
          <w:bCs/>
          <w:color w:val="auto"/>
          <w:kern w:val="0"/>
          <w:sz w:val="32"/>
          <w:szCs w:val="32"/>
          <w:shd w:val="clear" w:color="auto" w:fill="FFFFFF"/>
          <w:lang w:val="en-US" w:eastAsia="zh-CN"/>
        </w:rPr>
        <w:t>183.36万</w:t>
      </w:r>
      <w:r>
        <w:rPr>
          <w:rFonts w:hint="eastAsia" w:ascii="仿宋" w:hAnsi="仿宋" w:eastAsia="仿宋" w:cs="仿宋"/>
          <w:b w:val="0"/>
          <w:bCs/>
          <w:color w:val="auto"/>
          <w:kern w:val="0"/>
          <w:sz w:val="32"/>
          <w:szCs w:val="32"/>
          <w:shd w:val="clear" w:color="auto" w:fill="FFFFFF"/>
          <w:lang w:val="zh-CN"/>
        </w:rPr>
        <w:t>元，社会保障和就业收入</w:t>
      </w:r>
      <w:r>
        <w:rPr>
          <w:rFonts w:hint="eastAsia" w:ascii="仿宋" w:hAnsi="仿宋" w:eastAsia="仿宋" w:cs="仿宋"/>
          <w:b w:val="0"/>
          <w:bCs/>
          <w:color w:val="auto"/>
          <w:kern w:val="0"/>
          <w:sz w:val="32"/>
          <w:szCs w:val="32"/>
          <w:shd w:val="clear" w:color="auto" w:fill="FFFFFF"/>
          <w:lang w:val="en-US" w:eastAsia="zh-CN"/>
        </w:rPr>
        <w:t>33.84万</w:t>
      </w:r>
      <w:r>
        <w:rPr>
          <w:rFonts w:hint="eastAsia" w:ascii="仿宋" w:hAnsi="仿宋" w:eastAsia="仿宋" w:cs="仿宋"/>
          <w:b w:val="0"/>
          <w:bCs/>
          <w:color w:val="auto"/>
          <w:kern w:val="0"/>
          <w:sz w:val="32"/>
          <w:szCs w:val="32"/>
          <w:shd w:val="clear" w:color="auto" w:fill="FFFFFF"/>
          <w:lang w:val="zh-CN"/>
        </w:rPr>
        <w:t>元，卫生健康</w:t>
      </w:r>
      <w:r>
        <w:rPr>
          <w:rFonts w:hint="eastAsia" w:ascii="仿宋" w:hAnsi="仿宋" w:eastAsia="仿宋" w:cs="仿宋"/>
          <w:b w:val="0"/>
          <w:bCs/>
          <w:color w:val="auto"/>
          <w:kern w:val="0"/>
          <w:sz w:val="32"/>
          <w:szCs w:val="32"/>
          <w:shd w:val="clear" w:color="auto" w:fill="FFFFFF"/>
          <w:lang w:val="en-US" w:eastAsia="zh-CN"/>
        </w:rPr>
        <w:t>收入5.53万</w:t>
      </w:r>
      <w:r>
        <w:rPr>
          <w:rFonts w:hint="eastAsia" w:ascii="仿宋" w:hAnsi="仿宋" w:eastAsia="仿宋" w:cs="仿宋"/>
          <w:b w:val="0"/>
          <w:bCs/>
          <w:color w:val="auto"/>
          <w:kern w:val="0"/>
          <w:sz w:val="32"/>
          <w:szCs w:val="32"/>
          <w:shd w:val="clear" w:color="auto" w:fill="FFFFFF"/>
          <w:lang w:val="zh-CN"/>
        </w:rPr>
        <w:t>元</w:t>
      </w:r>
      <w:r>
        <w:rPr>
          <w:rFonts w:hint="eastAsia" w:ascii="仿宋" w:hAnsi="仿宋" w:eastAsia="仿宋" w:cs="仿宋"/>
          <w:color w:val="auto"/>
          <w:kern w:val="0"/>
          <w:sz w:val="32"/>
          <w:szCs w:val="32"/>
          <w:shd w:val="clear" w:color="auto" w:fill="FFFFFF"/>
          <w:lang w:val="zh-CN"/>
        </w:rPr>
        <w:t>。</w:t>
      </w:r>
    </w:p>
    <w:p>
      <w:pPr>
        <w:widowControl/>
        <w:adjustRightInd w:val="0"/>
        <w:snapToGrid w:val="0"/>
        <w:spacing w:line="540" w:lineRule="exact"/>
        <w:ind w:firstLine="720"/>
        <w:jc w:val="left"/>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2.部门总体支出情况</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2022年部门预算支出为200.9万元，决算支出为229.13万元，其中：</w:t>
      </w:r>
      <w:r>
        <w:rPr>
          <w:rFonts w:hint="eastAsia" w:ascii="仿宋" w:hAnsi="仿宋" w:eastAsia="仿宋" w:cs="仿宋"/>
          <w:b w:val="0"/>
          <w:bCs/>
          <w:color w:val="auto"/>
          <w:kern w:val="0"/>
          <w:sz w:val="32"/>
          <w:szCs w:val="32"/>
          <w:shd w:val="clear" w:color="auto" w:fill="FFFFFF"/>
          <w:lang w:val="zh-CN"/>
        </w:rPr>
        <w:t>一般公共服务支出</w:t>
      </w:r>
      <w:r>
        <w:rPr>
          <w:rFonts w:hint="eastAsia" w:ascii="仿宋" w:hAnsi="仿宋" w:eastAsia="仿宋" w:cs="仿宋"/>
          <w:b w:val="0"/>
          <w:bCs/>
          <w:color w:val="auto"/>
          <w:kern w:val="0"/>
          <w:sz w:val="32"/>
          <w:szCs w:val="32"/>
          <w:shd w:val="clear" w:color="auto" w:fill="FFFFFF"/>
          <w:lang w:val="en-US" w:eastAsia="zh-CN"/>
        </w:rPr>
        <w:t>189.76万</w:t>
      </w:r>
      <w:r>
        <w:rPr>
          <w:rFonts w:hint="eastAsia" w:ascii="仿宋" w:hAnsi="仿宋" w:eastAsia="仿宋" w:cs="仿宋"/>
          <w:b w:val="0"/>
          <w:bCs/>
          <w:color w:val="auto"/>
          <w:kern w:val="0"/>
          <w:sz w:val="32"/>
          <w:szCs w:val="32"/>
          <w:shd w:val="clear" w:color="auto" w:fill="FFFFFF"/>
          <w:lang w:val="zh-CN"/>
        </w:rPr>
        <w:t>元，社会保障和就业支出</w:t>
      </w:r>
      <w:r>
        <w:rPr>
          <w:rFonts w:hint="eastAsia" w:ascii="仿宋" w:hAnsi="仿宋" w:eastAsia="仿宋" w:cs="仿宋"/>
          <w:b w:val="0"/>
          <w:bCs/>
          <w:color w:val="auto"/>
          <w:kern w:val="0"/>
          <w:sz w:val="32"/>
          <w:szCs w:val="32"/>
          <w:shd w:val="clear" w:color="auto" w:fill="FFFFFF"/>
          <w:lang w:val="en-US" w:eastAsia="zh-CN"/>
        </w:rPr>
        <w:t>33.84万</w:t>
      </w:r>
      <w:r>
        <w:rPr>
          <w:rFonts w:hint="eastAsia" w:ascii="仿宋" w:hAnsi="仿宋" w:eastAsia="仿宋" w:cs="仿宋"/>
          <w:b w:val="0"/>
          <w:bCs/>
          <w:color w:val="auto"/>
          <w:kern w:val="0"/>
          <w:sz w:val="32"/>
          <w:szCs w:val="32"/>
          <w:shd w:val="clear" w:color="auto" w:fill="FFFFFF"/>
          <w:lang w:val="zh-CN"/>
        </w:rPr>
        <w:t>元，卫生健康支出</w:t>
      </w:r>
      <w:r>
        <w:rPr>
          <w:rFonts w:hint="eastAsia" w:ascii="仿宋" w:hAnsi="仿宋" w:eastAsia="仿宋" w:cs="仿宋"/>
          <w:b w:val="0"/>
          <w:bCs/>
          <w:color w:val="auto"/>
          <w:kern w:val="0"/>
          <w:sz w:val="32"/>
          <w:szCs w:val="32"/>
          <w:shd w:val="clear" w:color="auto" w:fill="FFFFFF"/>
          <w:lang w:val="en-US" w:eastAsia="zh-CN"/>
        </w:rPr>
        <w:t>5.53万</w:t>
      </w:r>
      <w:r>
        <w:rPr>
          <w:rFonts w:hint="eastAsia" w:ascii="仿宋" w:hAnsi="仿宋" w:eastAsia="仿宋" w:cs="仿宋"/>
          <w:b w:val="0"/>
          <w:bCs/>
          <w:color w:val="auto"/>
          <w:kern w:val="0"/>
          <w:sz w:val="32"/>
          <w:szCs w:val="32"/>
          <w:shd w:val="clear" w:color="auto" w:fill="FFFFFF"/>
          <w:lang w:val="zh-CN"/>
        </w:rPr>
        <w:t>元。</w:t>
      </w:r>
    </w:p>
    <w:p>
      <w:pPr>
        <w:widowControl/>
        <w:adjustRightInd w:val="0"/>
        <w:snapToGrid w:val="0"/>
        <w:spacing w:line="560" w:lineRule="exact"/>
        <w:ind w:firstLine="640" w:firstLineChars="200"/>
        <w:contextualSpacing/>
        <w:jc w:val="left"/>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rPr>
        <w:t>3.部门</w:t>
      </w:r>
      <w:r>
        <w:rPr>
          <w:rFonts w:hint="eastAsia" w:ascii="仿宋" w:hAnsi="仿宋" w:eastAsia="仿宋" w:cs="仿宋"/>
          <w:color w:val="auto"/>
          <w:kern w:val="0"/>
          <w:sz w:val="32"/>
          <w:szCs w:val="32"/>
          <w:shd w:val="clear" w:color="auto" w:fill="FFFFFF"/>
          <w:lang w:eastAsia="zh-CN"/>
        </w:rPr>
        <w:t>财政拨款</w:t>
      </w:r>
      <w:r>
        <w:rPr>
          <w:rFonts w:hint="eastAsia" w:ascii="仿宋" w:hAnsi="仿宋" w:eastAsia="仿宋" w:cs="仿宋"/>
          <w:color w:val="auto"/>
          <w:kern w:val="0"/>
          <w:sz w:val="32"/>
          <w:szCs w:val="32"/>
          <w:shd w:val="clear" w:color="auto" w:fill="FFFFFF"/>
        </w:rPr>
        <w:t>结转结余情况</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2022年度财政拨款年末结转结余为0元。</w:t>
      </w:r>
    </w:p>
    <w:p>
      <w:pPr>
        <w:widowControl/>
        <w:adjustRightInd w:val="0"/>
        <w:snapToGrid w:val="0"/>
        <w:spacing w:line="560" w:lineRule="exact"/>
        <w:ind w:firstLine="643" w:firstLineChars="200"/>
        <w:contextualSpacing/>
        <w:jc w:val="left"/>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（二）部门财政拨款收支情况。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1.部门财政拨款收入情况</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2022年部门预算收入为200.9万元，决算收入为222.73万元，</w:t>
      </w:r>
      <w:r>
        <w:rPr>
          <w:rFonts w:hint="eastAsia" w:ascii="仿宋" w:hAnsi="仿宋" w:eastAsia="仿宋" w:cs="仿宋"/>
          <w:b w:val="0"/>
          <w:bCs/>
          <w:color w:val="auto"/>
          <w:kern w:val="0"/>
          <w:sz w:val="32"/>
          <w:szCs w:val="32"/>
          <w:shd w:val="clear" w:color="auto" w:fill="FFFFFF"/>
          <w:lang w:val="zh-CN"/>
        </w:rPr>
        <w:t>其中：一般公共服务收入</w:t>
      </w:r>
      <w:r>
        <w:rPr>
          <w:rFonts w:hint="eastAsia" w:ascii="仿宋" w:hAnsi="仿宋" w:eastAsia="仿宋" w:cs="仿宋"/>
          <w:b w:val="0"/>
          <w:bCs/>
          <w:color w:val="auto"/>
          <w:kern w:val="0"/>
          <w:sz w:val="32"/>
          <w:szCs w:val="32"/>
          <w:shd w:val="clear" w:color="auto" w:fill="FFFFFF"/>
          <w:lang w:val="en-US" w:eastAsia="zh-CN"/>
        </w:rPr>
        <w:t>183.36万</w:t>
      </w:r>
      <w:r>
        <w:rPr>
          <w:rFonts w:hint="eastAsia" w:ascii="仿宋" w:hAnsi="仿宋" w:eastAsia="仿宋" w:cs="仿宋"/>
          <w:b w:val="0"/>
          <w:bCs/>
          <w:color w:val="auto"/>
          <w:kern w:val="0"/>
          <w:sz w:val="32"/>
          <w:szCs w:val="32"/>
          <w:shd w:val="clear" w:color="auto" w:fill="FFFFFF"/>
          <w:lang w:val="zh-CN"/>
        </w:rPr>
        <w:t>元，社会保障和就业收入</w:t>
      </w:r>
      <w:r>
        <w:rPr>
          <w:rFonts w:hint="eastAsia" w:ascii="仿宋" w:hAnsi="仿宋" w:eastAsia="仿宋" w:cs="仿宋"/>
          <w:b w:val="0"/>
          <w:bCs/>
          <w:color w:val="auto"/>
          <w:kern w:val="0"/>
          <w:sz w:val="32"/>
          <w:szCs w:val="32"/>
          <w:shd w:val="clear" w:color="auto" w:fill="FFFFFF"/>
          <w:lang w:val="en-US" w:eastAsia="zh-CN"/>
        </w:rPr>
        <w:t>33.84万</w:t>
      </w:r>
      <w:r>
        <w:rPr>
          <w:rFonts w:hint="eastAsia" w:ascii="仿宋" w:hAnsi="仿宋" w:eastAsia="仿宋" w:cs="仿宋"/>
          <w:b w:val="0"/>
          <w:bCs/>
          <w:color w:val="auto"/>
          <w:kern w:val="0"/>
          <w:sz w:val="32"/>
          <w:szCs w:val="32"/>
          <w:shd w:val="clear" w:color="auto" w:fill="FFFFFF"/>
          <w:lang w:val="zh-CN"/>
        </w:rPr>
        <w:t>元，卫生健康</w:t>
      </w:r>
      <w:r>
        <w:rPr>
          <w:rFonts w:hint="eastAsia" w:ascii="仿宋" w:hAnsi="仿宋" w:eastAsia="仿宋" w:cs="仿宋"/>
          <w:b w:val="0"/>
          <w:bCs/>
          <w:color w:val="auto"/>
          <w:kern w:val="0"/>
          <w:sz w:val="32"/>
          <w:szCs w:val="32"/>
          <w:shd w:val="clear" w:color="auto" w:fill="FFFFFF"/>
          <w:lang w:val="en-US" w:eastAsia="zh-CN"/>
        </w:rPr>
        <w:t>收入5.53万</w:t>
      </w:r>
      <w:r>
        <w:rPr>
          <w:rFonts w:hint="eastAsia" w:ascii="仿宋" w:hAnsi="仿宋" w:eastAsia="仿宋" w:cs="仿宋"/>
          <w:b w:val="0"/>
          <w:bCs/>
          <w:color w:val="auto"/>
          <w:kern w:val="0"/>
          <w:sz w:val="32"/>
          <w:szCs w:val="32"/>
          <w:shd w:val="clear" w:color="auto" w:fill="FFFFFF"/>
          <w:lang w:val="zh-CN"/>
        </w:rPr>
        <w:t>元</w:t>
      </w:r>
      <w:r>
        <w:rPr>
          <w:rFonts w:hint="eastAsia" w:ascii="仿宋" w:hAnsi="仿宋" w:eastAsia="仿宋" w:cs="仿宋"/>
          <w:color w:val="auto"/>
          <w:kern w:val="0"/>
          <w:sz w:val="32"/>
          <w:szCs w:val="32"/>
          <w:shd w:val="clear" w:color="auto" w:fill="FFFFFF"/>
          <w:lang w:val="zh-CN"/>
        </w:rPr>
        <w:t>。</w:t>
      </w:r>
    </w:p>
    <w:p>
      <w:pPr>
        <w:widowControl/>
        <w:adjustRightInd w:val="0"/>
        <w:snapToGrid w:val="0"/>
        <w:spacing w:line="540" w:lineRule="exact"/>
        <w:ind w:firstLine="720"/>
        <w:jc w:val="left"/>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2.部门财政拨款支出情况</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2022年部门预算支出为200.9万元，决算支出为229.13万元，其中：</w:t>
      </w:r>
      <w:r>
        <w:rPr>
          <w:rFonts w:hint="eastAsia" w:ascii="仿宋" w:hAnsi="仿宋" w:eastAsia="仿宋" w:cs="仿宋"/>
          <w:b w:val="0"/>
          <w:bCs/>
          <w:color w:val="auto"/>
          <w:kern w:val="0"/>
          <w:sz w:val="32"/>
          <w:szCs w:val="32"/>
          <w:shd w:val="clear" w:color="auto" w:fill="FFFFFF"/>
          <w:lang w:val="zh-CN"/>
        </w:rPr>
        <w:t>一般公共服务支出</w:t>
      </w:r>
      <w:r>
        <w:rPr>
          <w:rFonts w:hint="eastAsia" w:ascii="仿宋" w:hAnsi="仿宋" w:eastAsia="仿宋" w:cs="仿宋"/>
          <w:b w:val="0"/>
          <w:bCs/>
          <w:color w:val="auto"/>
          <w:kern w:val="0"/>
          <w:sz w:val="32"/>
          <w:szCs w:val="32"/>
          <w:shd w:val="clear" w:color="auto" w:fill="FFFFFF"/>
          <w:lang w:val="en-US" w:eastAsia="zh-CN"/>
        </w:rPr>
        <w:t>189.76万</w:t>
      </w:r>
      <w:r>
        <w:rPr>
          <w:rFonts w:hint="eastAsia" w:ascii="仿宋" w:hAnsi="仿宋" w:eastAsia="仿宋" w:cs="仿宋"/>
          <w:b w:val="0"/>
          <w:bCs/>
          <w:color w:val="auto"/>
          <w:kern w:val="0"/>
          <w:sz w:val="32"/>
          <w:szCs w:val="32"/>
          <w:shd w:val="clear" w:color="auto" w:fill="FFFFFF"/>
          <w:lang w:val="zh-CN"/>
        </w:rPr>
        <w:t>元，社会保障和就业支出</w:t>
      </w:r>
      <w:r>
        <w:rPr>
          <w:rFonts w:hint="eastAsia" w:ascii="仿宋" w:hAnsi="仿宋" w:eastAsia="仿宋" w:cs="仿宋"/>
          <w:b w:val="0"/>
          <w:bCs/>
          <w:color w:val="auto"/>
          <w:kern w:val="0"/>
          <w:sz w:val="32"/>
          <w:szCs w:val="32"/>
          <w:shd w:val="clear" w:color="auto" w:fill="FFFFFF"/>
          <w:lang w:val="en-US" w:eastAsia="zh-CN"/>
        </w:rPr>
        <w:t>33.84万</w:t>
      </w:r>
      <w:r>
        <w:rPr>
          <w:rFonts w:hint="eastAsia" w:ascii="仿宋" w:hAnsi="仿宋" w:eastAsia="仿宋" w:cs="仿宋"/>
          <w:b w:val="0"/>
          <w:bCs/>
          <w:color w:val="auto"/>
          <w:kern w:val="0"/>
          <w:sz w:val="32"/>
          <w:szCs w:val="32"/>
          <w:shd w:val="clear" w:color="auto" w:fill="FFFFFF"/>
          <w:lang w:val="zh-CN"/>
        </w:rPr>
        <w:t>元，卫生健康支出</w:t>
      </w:r>
      <w:r>
        <w:rPr>
          <w:rFonts w:hint="eastAsia" w:ascii="仿宋" w:hAnsi="仿宋" w:eastAsia="仿宋" w:cs="仿宋"/>
          <w:b w:val="0"/>
          <w:bCs/>
          <w:color w:val="auto"/>
          <w:kern w:val="0"/>
          <w:sz w:val="32"/>
          <w:szCs w:val="32"/>
          <w:shd w:val="clear" w:color="auto" w:fill="FFFFFF"/>
          <w:lang w:val="en-US" w:eastAsia="zh-CN"/>
        </w:rPr>
        <w:t>5.53万</w:t>
      </w:r>
      <w:r>
        <w:rPr>
          <w:rFonts w:hint="eastAsia" w:ascii="仿宋" w:hAnsi="仿宋" w:eastAsia="仿宋" w:cs="仿宋"/>
          <w:b w:val="0"/>
          <w:bCs/>
          <w:color w:val="auto"/>
          <w:kern w:val="0"/>
          <w:sz w:val="32"/>
          <w:szCs w:val="32"/>
          <w:shd w:val="clear" w:color="auto" w:fill="FFFFFF"/>
          <w:lang w:val="zh-CN"/>
        </w:rPr>
        <w:t>元。</w:t>
      </w:r>
    </w:p>
    <w:p>
      <w:pPr>
        <w:widowControl/>
        <w:adjustRightInd w:val="0"/>
        <w:snapToGrid w:val="0"/>
        <w:spacing w:line="560" w:lineRule="exact"/>
        <w:ind w:firstLine="640" w:firstLineChars="200"/>
        <w:contextualSpacing/>
        <w:jc w:val="left"/>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3.部门财政拨款结转结余情况</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lang w:val="en-US" w:eastAsia="zh-CN"/>
        </w:rPr>
        <w:t>2022年度财政拨款年末结转结余为0万元。</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三、部门整体绩效分析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1.人员类项目绩效分析</w:t>
      </w:r>
    </w:p>
    <w:p>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sz w:val="32"/>
          <w:szCs w:val="32"/>
        </w:rPr>
        <w:t>年初制定人员类经费绩效目标，保证资金支付及时，</w:t>
      </w:r>
      <w:r>
        <w:rPr>
          <w:rFonts w:hint="eastAsia" w:ascii="仿宋" w:hAnsi="仿宋" w:eastAsia="仿宋" w:cs="仿宋"/>
          <w:color w:val="auto"/>
          <w:sz w:val="32"/>
          <w:szCs w:val="32"/>
          <w:lang w:eastAsia="zh-CN"/>
        </w:rPr>
        <w:t>年末</w:t>
      </w:r>
      <w:r>
        <w:rPr>
          <w:rFonts w:hint="eastAsia" w:ascii="仿宋" w:hAnsi="仿宋" w:eastAsia="仿宋" w:cs="仿宋"/>
          <w:color w:val="auto"/>
          <w:sz w:val="32"/>
          <w:szCs w:val="32"/>
        </w:rPr>
        <w:t>无资金结余，无违规记录。</w:t>
      </w:r>
      <w:r>
        <w:rPr>
          <w:rFonts w:hint="eastAsia" w:ascii="仿宋" w:hAnsi="仿宋" w:eastAsia="仿宋" w:cs="仿宋"/>
          <w:color w:val="auto"/>
          <w:kern w:val="0"/>
          <w:sz w:val="32"/>
          <w:szCs w:val="32"/>
          <w:shd w:val="clear" w:color="auto" w:fill="FFFFFF"/>
          <w:lang w:val="zh-CN"/>
        </w:rPr>
        <w:t>人员经费支出决算数为</w:t>
      </w:r>
      <w:r>
        <w:rPr>
          <w:rFonts w:hint="eastAsia" w:ascii="仿宋" w:hAnsi="仿宋" w:eastAsia="仿宋" w:cs="仿宋"/>
          <w:color w:val="auto"/>
          <w:kern w:val="0"/>
          <w:sz w:val="32"/>
          <w:szCs w:val="32"/>
          <w:shd w:val="clear" w:color="auto" w:fill="FFFFFF"/>
          <w:lang w:val="en-US" w:eastAsia="zh-CN"/>
        </w:rPr>
        <w:t>85.06</w:t>
      </w:r>
      <w:r>
        <w:rPr>
          <w:rFonts w:hint="eastAsia" w:ascii="仿宋" w:hAnsi="仿宋" w:eastAsia="仿宋" w:cs="仿宋"/>
          <w:color w:val="auto"/>
          <w:kern w:val="0"/>
          <w:sz w:val="32"/>
          <w:szCs w:val="32"/>
          <w:shd w:val="clear" w:color="auto" w:fill="FFFFFF"/>
          <w:lang w:val="zh-CN"/>
        </w:rPr>
        <w:t>万元，主要包括：基本工资、津贴补贴、奖金、绩效工资、机关事业单位基本养老保险缴费、职业年金缴费、职工基本医疗保险缴费、公务员医疗补助缴费、其他社会保障缴费、住房公积金、其他工资福利支出、奖励金、其他对个人和家庭的补助支出等。完成预算100%，决算数与预算数持平。</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shd w:val="clear" w:color="auto" w:fill="FFFFFF"/>
          <w:lang w:val="en-US" w:eastAsia="zh-CN"/>
        </w:rPr>
        <w:t>2、</w:t>
      </w:r>
      <w:r>
        <w:rPr>
          <w:rFonts w:hint="eastAsia" w:ascii="仿宋" w:hAnsi="仿宋" w:eastAsia="仿宋" w:cs="仿宋"/>
          <w:color w:val="auto"/>
          <w:kern w:val="0"/>
          <w:sz w:val="32"/>
          <w:szCs w:val="32"/>
          <w:shd w:val="clear" w:color="auto" w:fill="FFFFFF"/>
        </w:rPr>
        <w:t>运转类项目绩效分析</w:t>
      </w:r>
    </w:p>
    <w:p>
      <w:pPr>
        <w:pStyle w:val="2"/>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shd w:val="clear" w:color="auto" w:fill="FFFFFF"/>
          <w:lang w:val="en-US" w:eastAsia="zh-CN"/>
        </w:rPr>
        <w:t>2022年峨眉山市总工会无运转类项目预算</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3.特定目标类项目绩效分析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年初制定特定目标类绩效目标 </w:t>
      </w:r>
      <w:r>
        <w:rPr>
          <w:rFonts w:hint="eastAsia" w:ascii="仿宋" w:hAnsi="仿宋" w:eastAsia="仿宋" w:cs="仿宋"/>
          <w:color w:val="auto"/>
          <w:kern w:val="0"/>
          <w:sz w:val="32"/>
          <w:szCs w:val="32"/>
          <w:shd w:val="clear" w:color="auto" w:fill="FFFFFF"/>
          <w:lang w:val="en-US" w:eastAsia="zh-CN"/>
        </w:rPr>
        <w:t>2</w:t>
      </w:r>
      <w:r>
        <w:rPr>
          <w:rFonts w:hint="eastAsia" w:ascii="仿宋" w:hAnsi="仿宋" w:eastAsia="仿宋" w:cs="仿宋"/>
          <w:color w:val="auto"/>
          <w:kern w:val="0"/>
          <w:sz w:val="32"/>
          <w:szCs w:val="32"/>
          <w:shd w:val="clear" w:color="auto" w:fill="FFFFFF"/>
        </w:rPr>
        <w:t xml:space="preserve"> 个，按照执行进度，规范制度流程，</w:t>
      </w:r>
      <w:r>
        <w:rPr>
          <w:rFonts w:hint="eastAsia" w:ascii="仿宋" w:hAnsi="仿宋" w:eastAsia="仿宋" w:cs="仿宋"/>
          <w:color w:val="auto"/>
          <w:sz w:val="32"/>
          <w:szCs w:val="32"/>
          <w:lang w:eastAsia="zh-CN"/>
        </w:rPr>
        <w:t>春节慰问</w:t>
      </w:r>
      <w:r>
        <w:rPr>
          <w:rFonts w:hint="eastAsia" w:ascii="仿宋" w:hAnsi="仿宋" w:eastAsia="仿宋" w:cs="仿宋"/>
          <w:color w:val="auto"/>
          <w:kern w:val="0"/>
          <w:sz w:val="32"/>
          <w:szCs w:val="32"/>
          <w:shd w:val="clear" w:color="auto" w:fill="FFFFFF"/>
          <w:lang w:eastAsia="zh-CN"/>
        </w:rPr>
        <w:t>金严格按照资金管理办法执行，</w:t>
      </w:r>
      <w:r>
        <w:rPr>
          <w:rFonts w:hint="eastAsia" w:ascii="仿宋" w:hAnsi="仿宋" w:eastAsia="仿宋" w:cs="仿宋"/>
          <w:color w:val="auto"/>
          <w:kern w:val="0"/>
          <w:sz w:val="32"/>
          <w:szCs w:val="32"/>
          <w:shd w:val="clear" w:color="auto" w:fill="FFFFFF"/>
        </w:rPr>
        <w:t>确保资金发放到每一位职工手中，</w:t>
      </w:r>
      <w:r>
        <w:rPr>
          <w:rFonts w:hint="eastAsia" w:ascii="仿宋" w:hAnsi="仿宋" w:eastAsia="仿宋" w:cs="仿宋"/>
          <w:color w:val="auto"/>
          <w:kern w:val="0"/>
          <w:sz w:val="32"/>
          <w:szCs w:val="32"/>
          <w:shd w:val="clear" w:color="auto" w:fill="FFFFFF"/>
          <w:lang w:eastAsia="zh-CN"/>
        </w:rPr>
        <w:t>关心慰问全市职工约</w:t>
      </w:r>
      <w:r>
        <w:rPr>
          <w:rFonts w:hint="eastAsia" w:ascii="仿宋" w:hAnsi="仿宋" w:eastAsia="仿宋" w:cs="仿宋"/>
          <w:color w:val="auto"/>
          <w:kern w:val="0"/>
          <w:sz w:val="32"/>
          <w:szCs w:val="32"/>
          <w:shd w:val="clear" w:color="auto" w:fill="FFFFFF"/>
          <w:lang w:val="en-US" w:eastAsia="zh-CN"/>
        </w:rPr>
        <w:t>100余人，充分发挥工会组织职能职责，</w:t>
      </w:r>
      <w:r>
        <w:rPr>
          <w:rFonts w:hint="eastAsia" w:ascii="仿宋" w:hAnsi="仿宋" w:eastAsia="仿宋" w:cs="仿宋"/>
          <w:color w:val="auto"/>
          <w:kern w:val="0"/>
          <w:sz w:val="32"/>
          <w:szCs w:val="32"/>
          <w:shd w:val="clear" w:color="auto" w:fill="FFFFFF"/>
        </w:rPr>
        <w:t>把党和政府关心关爱政策落到实处</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rPr>
        <w:t>协助党政缓解困难职工家庭经济</w:t>
      </w:r>
      <w:r>
        <w:rPr>
          <w:rFonts w:hint="eastAsia" w:ascii="仿宋" w:hAnsi="仿宋" w:eastAsia="仿宋" w:cs="仿宋"/>
          <w:color w:val="auto"/>
          <w:kern w:val="0"/>
          <w:sz w:val="32"/>
          <w:szCs w:val="32"/>
          <w:shd w:val="clear" w:color="auto" w:fill="FFFFFF"/>
          <w:lang w:eastAsia="zh-CN"/>
        </w:rPr>
        <w:t>状况，</w:t>
      </w:r>
      <w:r>
        <w:rPr>
          <w:rFonts w:hint="eastAsia" w:ascii="仿宋" w:hAnsi="仿宋" w:eastAsia="仿宋" w:cs="仿宋"/>
          <w:color w:val="auto"/>
          <w:kern w:val="0"/>
          <w:sz w:val="32"/>
          <w:szCs w:val="32"/>
          <w:shd w:val="clear" w:color="auto" w:fill="FFFFFF"/>
        </w:rPr>
        <w:t>预算完成 100%，</w:t>
      </w:r>
      <w:r>
        <w:rPr>
          <w:rFonts w:hint="eastAsia" w:ascii="仿宋" w:hAnsi="仿宋" w:eastAsia="仿宋" w:cs="仿宋"/>
          <w:color w:val="auto"/>
          <w:kern w:val="0"/>
          <w:sz w:val="32"/>
          <w:szCs w:val="32"/>
          <w:shd w:val="clear" w:color="auto" w:fill="FFFFFF"/>
          <w:lang w:eastAsia="zh-CN"/>
        </w:rPr>
        <w:t>年末</w:t>
      </w:r>
      <w:r>
        <w:rPr>
          <w:rFonts w:hint="eastAsia" w:ascii="仿宋" w:hAnsi="仿宋" w:eastAsia="仿宋" w:cs="仿宋"/>
          <w:color w:val="auto"/>
          <w:kern w:val="0"/>
          <w:sz w:val="32"/>
          <w:szCs w:val="32"/>
          <w:shd w:val="clear" w:color="auto" w:fill="FFFFFF"/>
        </w:rPr>
        <w:t>无资金结余，无违规记录。</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（二）部门整体履职绩效分析。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eastAsia="zh-CN"/>
        </w:rPr>
      </w:pPr>
      <w:r>
        <w:rPr>
          <w:rFonts w:hint="eastAsia" w:ascii="仿宋" w:hAnsi="仿宋" w:eastAsia="仿宋" w:cs="仿宋"/>
          <w:color w:val="auto"/>
          <w:kern w:val="0"/>
          <w:sz w:val="32"/>
          <w:szCs w:val="32"/>
          <w:shd w:val="clear" w:color="auto" w:fill="FFFFFF"/>
          <w:lang w:val="zh-CN"/>
        </w:rPr>
        <w:t>峨眉山市总工会认真履行本职工作，全面按时完成了上级下达的各项工作目标任务，积极开展自评工作，对评价结果及时总结上报。各类专项资金严格按照要求管理、分配、使用，资金严格根据省总、省财政相关文件要求执行。</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bCs/>
          <w:color w:val="auto"/>
          <w:kern w:val="0"/>
          <w:sz w:val="32"/>
          <w:szCs w:val="32"/>
          <w:highlight w:val="none"/>
          <w:shd w:val="clear" w:color="auto" w:fill="FFFFFF"/>
          <w:lang w:val="zh-CN"/>
        </w:rPr>
      </w:pPr>
      <w:r>
        <w:rPr>
          <w:rFonts w:hint="eastAsia" w:ascii="仿宋" w:hAnsi="仿宋" w:eastAsia="仿宋" w:cs="仿宋"/>
          <w:b/>
          <w:bCs/>
          <w:color w:val="auto"/>
          <w:kern w:val="0"/>
          <w:sz w:val="32"/>
          <w:szCs w:val="32"/>
          <w:highlight w:val="none"/>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highlight w:val="none"/>
          <w:shd w:val="clear" w:color="auto" w:fill="FFFFFF"/>
          <w:lang w:val="zh-CN"/>
        </w:rPr>
      </w:pPr>
      <w:r>
        <w:rPr>
          <w:rFonts w:hint="eastAsia" w:ascii="仿宋" w:hAnsi="仿宋" w:eastAsia="仿宋" w:cs="仿宋"/>
          <w:color w:val="auto"/>
          <w:kern w:val="0"/>
          <w:sz w:val="32"/>
          <w:szCs w:val="32"/>
          <w:highlight w:val="none"/>
          <w:shd w:val="clear" w:color="auto" w:fill="FFFFFF"/>
          <w:lang w:val="zh-CN"/>
        </w:rPr>
        <w:t>峨眉山市总工会积极开展绩效评价工作，年初时填报了绩效申报表，并按照绩效申报表内容进行使用，对财政下达</w:t>
      </w: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highlight w:val="none"/>
          <w:shd w:val="clear" w:color="auto" w:fill="FFFFFF"/>
          <w:lang w:val="zh-CN"/>
        </w:rPr>
        <w:t>给部门的经费制度健全、程序严格、管理规范，严格执行财务管理各项规定，定期开展自查自纠，杜绝奢侈浪费，确保了财政资金支出的均衡平稳，科学合理。对预算资金进行绩效监控自评，跟踪项目资金使用情况，对资金使用进度进行了调整，在项目支出方面做到项目资金使用及时规范，达到了预期的绩效目标。</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自评质量。</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eastAsia="zh-CN"/>
        </w:rPr>
        <w:t>峨眉山市</w:t>
      </w:r>
      <w:r>
        <w:rPr>
          <w:rFonts w:hint="eastAsia" w:ascii="仿宋" w:hAnsi="仿宋" w:eastAsia="仿宋" w:cs="仿宋"/>
          <w:color w:val="auto"/>
          <w:kern w:val="0"/>
          <w:sz w:val="32"/>
          <w:szCs w:val="32"/>
          <w:shd w:val="clear" w:color="auto" w:fill="FFFFFF"/>
        </w:rPr>
        <w:t>总工会预算编制包括基本支出和项目支出，编写了部门整体支出绩效目标</w:t>
      </w:r>
      <w:r>
        <w:rPr>
          <w:rFonts w:hint="eastAsia" w:ascii="仿宋" w:hAnsi="仿宋" w:eastAsia="仿宋" w:cs="仿宋"/>
          <w:color w:val="auto"/>
          <w:kern w:val="0"/>
          <w:sz w:val="32"/>
          <w:szCs w:val="32"/>
          <w:shd w:val="clear" w:color="auto" w:fill="FFFFFF"/>
          <w:lang w:eastAsia="zh-CN"/>
        </w:rPr>
        <w:t>及特定项目支出绩效目标，</w:t>
      </w:r>
      <w:r>
        <w:rPr>
          <w:rFonts w:hint="eastAsia" w:ascii="仿宋" w:hAnsi="仿宋" w:eastAsia="仿宋" w:cs="仿宋"/>
          <w:color w:val="auto"/>
          <w:kern w:val="0"/>
          <w:sz w:val="32"/>
          <w:szCs w:val="32"/>
          <w:shd w:val="clear" w:color="auto" w:fill="FFFFFF"/>
        </w:rPr>
        <w:t xml:space="preserve">预算完成情况良好，自评质量良好。 </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（一）评价结论：</w:t>
      </w:r>
    </w:p>
    <w:p>
      <w:pPr>
        <w:pStyle w:val="2"/>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峨眉山市总工会 2022 年绩效目标合理可行，部门预算编制质量较好；严格按照财政预算和财政拨付进度进行资金使用，符合制定的年度绩效指标。</w:t>
      </w:r>
    </w:p>
    <w:p>
      <w:pPr>
        <w:widowControl/>
        <w:adjustRightInd w:val="0"/>
        <w:snapToGrid w:val="0"/>
        <w:spacing w:line="560" w:lineRule="exact"/>
        <w:ind w:firstLine="643" w:firstLineChars="200"/>
        <w:contextualSpacing/>
        <w:jc w:val="left"/>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（二）存在问题：无</w:t>
      </w:r>
    </w:p>
    <w:p>
      <w:pPr>
        <w:widowControl/>
        <w:adjustRightInd w:val="0"/>
        <w:snapToGrid w:val="0"/>
        <w:spacing w:line="560" w:lineRule="exact"/>
        <w:ind w:firstLine="643" w:firstLineChars="200"/>
        <w:contextualSpacing/>
        <w:jc w:val="left"/>
        <w:rPr>
          <w:rFonts w:hint="eastAsia" w:ascii="仿宋" w:hAnsi="仿宋" w:eastAsia="仿宋" w:cs="仿宋"/>
          <w:b/>
          <w:bCs/>
          <w:color w:val="auto"/>
          <w:kern w:val="0"/>
          <w:sz w:val="32"/>
          <w:szCs w:val="32"/>
          <w:shd w:val="clear" w:color="auto" w:fill="FFFFFF"/>
          <w:lang w:val="zh-CN"/>
        </w:rPr>
      </w:pPr>
      <w:r>
        <w:rPr>
          <w:rFonts w:hint="eastAsia" w:ascii="仿宋" w:hAnsi="仿宋" w:eastAsia="仿宋" w:cs="仿宋"/>
          <w:b/>
          <w:bCs/>
          <w:color w:val="auto"/>
          <w:kern w:val="0"/>
          <w:sz w:val="32"/>
          <w:szCs w:val="32"/>
          <w:shd w:val="clear" w:color="auto" w:fill="FFFFFF"/>
          <w:lang w:val="zh-CN"/>
        </w:rPr>
        <w:t>（三）改进建议：无</w:t>
      </w:r>
    </w:p>
    <w:p>
      <w:pPr>
        <w:pStyle w:val="2"/>
        <w:rPr>
          <w:rFonts w:hint="eastAsia" w:ascii="仿宋" w:hAnsi="仿宋" w:eastAsia="仿宋" w:cs="仿宋"/>
          <w:b/>
          <w:bCs/>
          <w:color w:val="auto"/>
          <w:kern w:val="0"/>
          <w:sz w:val="32"/>
          <w:szCs w:val="32"/>
          <w:shd w:val="clear" w:color="auto" w:fill="FFFFFF"/>
          <w:lang w:val="zh-CN"/>
        </w:rPr>
      </w:pPr>
    </w:p>
    <w:p>
      <w:pPr>
        <w:pStyle w:val="2"/>
        <w:rPr>
          <w:rFonts w:hint="eastAsia" w:ascii="仿宋" w:hAnsi="仿宋" w:eastAsia="仿宋" w:cs="仿宋"/>
          <w:b/>
          <w:bCs/>
          <w:color w:val="auto"/>
          <w:kern w:val="0"/>
          <w:sz w:val="32"/>
          <w:szCs w:val="32"/>
          <w:shd w:val="clear" w:color="auto" w:fill="FFFFFF"/>
          <w:lang w:val="zh-CN"/>
        </w:rPr>
      </w:pPr>
    </w:p>
    <w:p>
      <w:pPr>
        <w:pStyle w:val="2"/>
        <w:rPr>
          <w:rFonts w:hint="eastAsia" w:ascii="仿宋" w:hAnsi="仿宋" w:eastAsia="仿宋" w:cs="仿宋"/>
          <w:b/>
          <w:bCs/>
          <w:color w:val="auto"/>
          <w:kern w:val="0"/>
          <w:sz w:val="32"/>
          <w:szCs w:val="32"/>
          <w:shd w:val="clear" w:color="auto" w:fill="FFFFFF"/>
          <w:lang w:val="zh-CN"/>
        </w:rPr>
      </w:pPr>
    </w:p>
    <w:p>
      <w:pPr>
        <w:pStyle w:val="14"/>
        <w:spacing w:line="560" w:lineRule="exact"/>
        <w:ind w:left="0" w:leftChars="0" w:firstLine="640"/>
        <w:rPr>
          <w:rFonts w:hint="eastAsia" w:ascii="仿宋" w:hAnsi="仿宋" w:eastAsia="仿宋" w:cs="仿宋"/>
          <w:color w:val="auto"/>
          <w:sz w:val="32"/>
          <w:lang w:val="zh-CN" w:eastAsia="zh-CN"/>
        </w:rPr>
      </w:pPr>
      <w:r>
        <w:rPr>
          <w:rFonts w:hint="eastAsia" w:ascii="仿宋" w:hAnsi="仿宋" w:eastAsia="仿宋" w:cs="仿宋"/>
          <w:color w:val="auto"/>
          <w:sz w:val="32"/>
          <w:highlight w:val="none"/>
          <w:lang w:val="zh-CN"/>
        </w:rPr>
        <w:t>附表：</w:t>
      </w:r>
      <w:r>
        <w:rPr>
          <w:rFonts w:hint="eastAsia" w:ascii="仿宋" w:hAnsi="仿宋" w:eastAsia="仿宋" w:cs="仿宋"/>
          <w:color w:val="auto"/>
          <w:sz w:val="32"/>
          <w:highlight w:val="none"/>
        </w:rPr>
        <w:t>部门预算项目支出绩效自评表（2022年度</w:t>
      </w:r>
      <w:r>
        <w:rPr>
          <w:rFonts w:hint="eastAsia" w:ascii="仿宋" w:hAnsi="仿宋" w:eastAsia="仿宋" w:cs="仿宋"/>
          <w:color w:val="auto"/>
          <w:sz w:val="32"/>
          <w:highlight w:val="none"/>
          <w:lang w:eastAsia="zh-CN"/>
        </w:rPr>
        <w:t>）</w:t>
      </w:r>
    </w:p>
    <w:tbl>
      <w:tblPr>
        <w:tblStyle w:val="15"/>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86"/>
        <w:gridCol w:w="1075"/>
        <w:gridCol w:w="1315"/>
        <w:gridCol w:w="396"/>
        <w:gridCol w:w="1007"/>
        <w:gridCol w:w="396"/>
        <w:gridCol w:w="846"/>
        <w:gridCol w:w="486"/>
        <w:gridCol w:w="486"/>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项目名称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51118122T000000341415-春节困难职工慰问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主管部门</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总工会</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实施单位 （盖章）</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峨眉山市总工会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项目基本情况</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1.项目年度目标完成情况</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项目年度目标</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通过对困难职工的慰问，使职工充分体会到党和政府的关爱与帮扶，更加积极的投入工作，促进企业的稳定和社会经济的发展。</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按照慰问标准，慰问困难职工约100人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2.项目实施内容及过程概述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按照慰问资金使用要求，确定慰问对象，慰问标准，在春节期间发放给职工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预算执行情况（10分）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年度预算数（万元）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年初预算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其中：财政资金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财政专户管理资金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其他资金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绩效指标（90分）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一级指标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慰问约100人</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时效指标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2022年春节前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质量指标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慰问金发放及时性准确性</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社会效益指标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改善困难职工家庭情况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可持续影响指标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使困难职感觉受到政府的关爱</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慰问帮扶对象满意度指标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受帮扶慰问职工满意度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职工慰问标准</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评价结论</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项目按照年初预算数、资金使用要求执行，在春节期间完成对困难职工慰问金的准确发放。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存在问题</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改进措施</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项目负责人：张永贵</w:t>
            </w:r>
          </w:p>
        </w:tc>
        <w:tc>
          <w:tcPr>
            <w:tcW w:w="4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财务负责人：李进元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3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92"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项目名称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51118122T000000369498-代扣机关事业单位工会经费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主管部门</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总工会</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实施单位 （盖章）</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峨眉山市总工会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项目基本情况</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1.项目年度目标完成情况</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项目年度目标</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工会通过开展劳模、工匠等先进事迹的宣传，弘扬劳模精神，提高劳动积极性。深化开展集体协商工作，推进巩固厂务公开、民主管理制度化、规范化、法治化建设，切实维护好职工合法权益，确保企业用工需求，有力助推企业稳岗。积极开展各类技能大赛，使职工在比赛中相互学习，努力提升技能技术水平，从而适应企业的快速发展。通过“春送岗位”、“夏送清凉”、“秋送助学”、“冬送温暖”等“四季送”活动使职工充分感受到党的关爱与帮助，并且通过各类文体活动的开展使广大职工在工作之余建立了文艺活动的爱，大大丰富了职工的业余生活。</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按照年初预算，开展9场次的职工各类活动，组织职工积极开展技能技术比赛，提升职工技能，使职工能更好的适应岗位工作，技术提升达到预计效果，职工维权、服务方面职工满意度达到90%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2.项目实施内容及过程概述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按照年度工作计划开展工会工作，积极开展各类职工活动及帮扶维权工作。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预算执行情况（10分）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年度预算数（万元）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年初预算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87.40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87.40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其中：财政资金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87.40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87.40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财政专户管理资金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其他资金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绩效指标（90分）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一级指标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各类活动开展次数</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场次</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质量指标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激励职工劳动积极性、提升技能技术</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98</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可持续影响指标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各类活动的开展率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服务对象满意度指标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职工满意度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97</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评价结论</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按年初预算，各项工作有序开展，基本完成年度目标。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存在问题</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改进措施</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项目负责人：张永贵</w:t>
            </w:r>
          </w:p>
        </w:tc>
        <w:tc>
          <w:tcPr>
            <w:tcW w:w="4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财务负责人：李进元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1087"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1340"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381"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1020"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384"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815"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468"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468"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c>
          <w:tcPr>
            <w:tcW w:w="1492" w:type="dxa"/>
            <w:tcBorders>
              <w:top w:val="nil"/>
              <w:left w:val="nil"/>
              <w:bottom w:val="nil"/>
              <w:right w:val="nil"/>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项目名称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51118122T000005187164-2022年元旦春节送温暖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主管部门</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总工会</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实施单位 （盖章）</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峨眉山市总工会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项目基本情况</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1.项目年度目标完成情况</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项目年度目标</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通过元旦、春节对职工的慰问，使职工感受到政府的关爱，以便更好的稳定职工队伍</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省财政下达6.4万元送温暖资金，按文件要求完成慰问。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2.项目实施内容及过程概述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按照送温暖资金使用要求，确定送温暖对象，按照1000元/户的标准，在元旦春节期间发放给职工。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预算执行情况（10分）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年度预算数（万元）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年初预算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其中：财政资金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财政专户管理资金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其他资金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绩效指标（90分）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一级指标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慰问约64人</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时效指标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2022年春节前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质量指标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慰问金发放及时性准确性</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社会效益指标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改善困难职工家庭情况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可持续影响指标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使困难职感觉受到政府的关爱</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慰问帮扶对象满意度指标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受帮扶慰问职工满意度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职工慰问标准</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元/户</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评价结论</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按省财政资金文件要求完成发放工作。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存在问题</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改进措施</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项目负责人：张永贵</w:t>
            </w:r>
          </w:p>
        </w:tc>
        <w:tc>
          <w:tcPr>
            <w:tcW w:w="4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财务负责人：李进元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21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087"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34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381"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020"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384"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815"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c>
          <w:tcPr>
            <w:tcW w:w="1492" w:type="dxa"/>
            <w:tcBorders>
              <w:top w:val="nil"/>
              <w:left w:val="nil"/>
              <w:bottom w:val="nil"/>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9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项目名称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51118122T000005392264-2021年常态送温暖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主管部门</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总工会</w:t>
            </w:r>
          </w:p>
        </w:tc>
        <w:tc>
          <w:tcPr>
            <w:tcW w:w="8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实施单位 （盖章）</w:t>
            </w:r>
          </w:p>
        </w:tc>
        <w:tc>
          <w:tcPr>
            <w:tcW w:w="2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峨眉山市总工会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项目基本情况</w:t>
            </w: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1.项目年度目标完成情况</w:t>
            </w: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项目年度目标</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42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通过常态化送温暖，使职工感受到政府的关爱与帮助，加大职工工作积极性，促进企业的稳定和社会经济的发展。</w:t>
            </w:r>
          </w:p>
        </w:tc>
        <w:tc>
          <w:tcPr>
            <w:tcW w:w="32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按照常态化送温暖慰问标准，完成约170人的慰问。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2.项目实施内容及过程概述</w:t>
            </w:r>
          </w:p>
        </w:tc>
        <w:tc>
          <w:tcPr>
            <w:tcW w:w="7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按照常态化送温暖资金使用要求，确定送温暖对象，发放送温暖资金。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预算执行情况（10分）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年度预算数（万元）</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年初预算</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调整后预算数</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总额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其中：财政资金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14.12</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财政专户管理资金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其他资金</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绩效指标（90分）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一级指标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二级指标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指标性质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指标值</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度量单位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权重</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得分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慰问约170人</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170</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人数</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时效指标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2022年春节前</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年</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2022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产出指标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质量指标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慰问金发放及时性准确性</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社会效益指标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改善困难职工家庭情况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效益指标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可持续影响指标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使困难职感觉受到政府的关爱</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满意度指标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慰问帮扶对象满意度指标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受帮扶慰问职工满意度</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成本指标</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经济成本指标</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经费控制</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14.12</w:t>
            </w:r>
          </w:p>
        </w:tc>
        <w:tc>
          <w:tcPr>
            <w:tcW w:w="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万元</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14.12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67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评价结论</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按照省财政资金文件要求，确定慰问对象及慰问标准，及时准确的将慰问金发放给职工，完成慰问工作。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存在问题</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改进措施</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5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项目负责人：张永贵</w:t>
            </w:r>
          </w:p>
        </w:tc>
        <w:tc>
          <w:tcPr>
            <w:tcW w:w="46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财务负责人：李进元</w:t>
            </w:r>
          </w:p>
        </w:tc>
      </w:tr>
    </w:tbl>
    <w:p>
      <w:pPr>
        <w:pStyle w:val="3"/>
        <w:spacing w:before="93"/>
        <w:rPr>
          <w:rFonts w:hint="eastAsia" w:hAnsi="宋体" w:cs="宋体"/>
          <w:color w:val="auto"/>
          <w:sz w:val="32"/>
          <w:szCs w:val="32"/>
          <w:shd w:val="clear" w:color="auto" w:fill="FFFFFF"/>
          <w:lang w:val="zh-CN"/>
        </w:rPr>
      </w:pPr>
    </w:p>
    <w:p>
      <w:pPr>
        <w:pStyle w:val="3"/>
        <w:spacing w:before="93"/>
        <w:rPr>
          <w:color w:val="auto"/>
          <w:sz w:val="32"/>
          <w:szCs w:val="32"/>
        </w:rPr>
      </w:pPr>
      <w:r>
        <w:rPr>
          <w:rFonts w:hint="eastAsia" w:hAnsi="宋体" w:cs="宋体"/>
          <w:color w:val="auto"/>
          <w:sz w:val="32"/>
          <w:szCs w:val="32"/>
          <w:shd w:val="clear" w:color="auto" w:fill="FFFFFF"/>
          <w:lang w:val="zh-CN"/>
        </w:rPr>
        <w:t>附件</w:t>
      </w:r>
      <w:r>
        <w:rPr>
          <w:rFonts w:hint="eastAsia" w:hAnsi="宋体" w:cs="宋体"/>
          <w:color w:val="auto"/>
          <w:sz w:val="32"/>
          <w:szCs w:val="32"/>
          <w:shd w:val="clear" w:color="auto" w:fill="FFFFFF"/>
        </w:rPr>
        <w:t>2</w:t>
      </w:r>
    </w:p>
    <w:p>
      <w:pPr>
        <w:pStyle w:val="34"/>
        <w:spacing w:line="578" w:lineRule="exact"/>
        <w:ind w:firstLine="640"/>
        <w:jc w:val="center"/>
        <w:rPr>
          <w:rFonts w:hint="eastAsia" w:ascii="黑体" w:hAnsi="黑体" w:eastAsia="黑体" w:cs="黑体"/>
          <w:b w:val="0"/>
          <w:bCs w:val="0"/>
          <w:color w:val="auto"/>
          <w:kern w:val="2"/>
          <w:sz w:val="36"/>
          <w:szCs w:val="36"/>
          <w:lang w:val="en-US" w:eastAsia="zh-CN"/>
        </w:rPr>
      </w:pPr>
      <w:r>
        <w:rPr>
          <w:rFonts w:hint="eastAsia" w:ascii="黑体" w:hAnsi="黑体" w:eastAsia="黑体" w:cs="黑体"/>
          <w:b w:val="0"/>
          <w:bCs w:val="0"/>
          <w:color w:val="auto"/>
          <w:kern w:val="2"/>
          <w:sz w:val="36"/>
          <w:szCs w:val="36"/>
          <w:lang w:val="en-US" w:eastAsia="zh-CN"/>
        </w:rPr>
        <w:t>2022年春节困难职工慰问项目绩效自评报告</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黑体" w:hAnsi="黑体" w:eastAsia="黑体" w:cs="黑体"/>
          <w:b w:val="0"/>
          <w:bCs w:val="0"/>
          <w:color w:val="auto"/>
          <w:kern w:val="2"/>
          <w:sz w:val="36"/>
          <w:szCs w:val="36"/>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2022年峨眉山市总工会按照上级部署，春节期间对部分困难职工进行走访慰问，将党和政府的关爱送到职工手，通过慰问帮扶一部分困难职工，使其能更好的服务社会。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按照市委、市政府的部署对全市困难职工进行摸底核实，在春节期间对约</w:t>
      </w:r>
      <w:r>
        <w:rPr>
          <w:rFonts w:hint="eastAsia" w:ascii="仿宋" w:hAnsi="仿宋" w:eastAsia="仿宋" w:cs="仿宋"/>
          <w:color w:val="auto"/>
          <w:kern w:val="0"/>
          <w:sz w:val="32"/>
          <w:szCs w:val="32"/>
          <w:shd w:val="clear" w:color="auto" w:fill="FFFFFF"/>
          <w:lang w:val="en-US" w:eastAsia="zh-CN"/>
        </w:rPr>
        <w:t>100名</w:t>
      </w:r>
      <w:r>
        <w:rPr>
          <w:rFonts w:hint="eastAsia" w:ascii="仿宋" w:hAnsi="仿宋" w:eastAsia="仿宋" w:cs="仿宋"/>
          <w:color w:val="auto"/>
          <w:kern w:val="0"/>
          <w:sz w:val="32"/>
          <w:szCs w:val="32"/>
          <w:shd w:val="clear" w:color="auto" w:fill="FFFFFF"/>
          <w:lang w:val="zh-CN"/>
        </w:rPr>
        <w:t>确实困难的职工进行慰问，将党和政府的关心与关怀送到职工身边，缓解职工的实际问题，以便职工能更好的投入工作。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峨眉山市总工会按照资金文件要求，梳理项目实施情况，对照制定的绩效目标来开展自评。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峨眉山市财政批复峨眉山市总工会20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春节送温暖资金</w:t>
      </w:r>
      <w:r>
        <w:rPr>
          <w:rFonts w:hint="eastAsia" w:ascii="仿宋" w:hAnsi="仿宋" w:eastAsia="仿宋" w:cs="仿宋"/>
          <w:color w:val="auto"/>
          <w:sz w:val="32"/>
          <w:szCs w:val="32"/>
          <w:lang w:val="en-US" w:eastAsia="zh-CN"/>
        </w:rPr>
        <w:t>10万</w:t>
      </w:r>
      <w:r>
        <w:rPr>
          <w:rFonts w:hint="eastAsia" w:ascii="仿宋" w:hAnsi="仿宋" w:eastAsia="仿宋" w:cs="仿宋"/>
          <w:color w:val="auto"/>
          <w:sz w:val="32"/>
          <w:szCs w:val="32"/>
        </w:rPr>
        <w:t>元，实际拨款</w:t>
      </w:r>
      <w:r>
        <w:rPr>
          <w:rFonts w:hint="eastAsia" w:ascii="仿宋" w:hAnsi="仿宋" w:eastAsia="仿宋" w:cs="仿宋"/>
          <w:color w:val="auto"/>
          <w:sz w:val="32"/>
          <w:szCs w:val="32"/>
          <w:lang w:val="en-US" w:eastAsia="zh-CN"/>
        </w:rPr>
        <w:t>10万</w:t>
      </w:r>
      <w:r>
        <w:rPr>
          <w:rFonts w:hint="eastAsia" w:ascii="仿宋" w:hAnsi="仿宋" w:eastAsia="仿宋" w:cs="仿宋"/>
          <w:color w:val="auto"/>
          <w:sz w:val="32"/>
          <w:szCs w:val="32"/>
        </w:rPr>
        <w:t>元。整个项目资金的申报、批复符合我市行政事业单位预算资金管理办法的相关规定。</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eastAsia="zh-CN"/>
        </w:rPr>
        <w:t>（二）</w:t>
      </w:r>
      <w:r>
        <w:rPr>
          <w:rFonts w:hint="eastAsia" w:ascii="黑体" w:hAnsi="黑体" w:eastAsia="黑体" w:cs="黑体"/>
          <w:b w:val="0"/>
          <w:bCs/>
          <w:color w:val="auto"/>
          <w:sz w:val="30"/>
          <w:szCs w:val="30"/>
          <w:lang w:val="zh-CN"/>
        </w:rPr>
        <w:t>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资金计划：</w:t>
      </w:r>
      <w:r>
        <w:rPr>
          <w:rFonts w:hint="eastAsia" w:ascii="仿宋" w:hAnsi="仿宋" w:eastAsia="仿宋" w:cs="仿宋"/>
          <w:color w:val="auto"/>
          <w:kern w:val="0"/>
          <w:sz w:val="32"/>
          <w:szCs w:val="32"/>
          <w:shd w:val="clear" w:color="auto" w:fill="FFFFFF"/>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春节困难职工慰问资金预算</w:t>
      </w:r>
      <w:r>
        <w:rPr>
          <w:rFonts w:hint="eastAsia" w:ascii="仿宋" w:hAnsi="仿宋" w:eastAsia="仿宋" w:cs="仿宋"/>
          <w:color w:val="auto"/>
          <w:sz w:val="32"/>
          <w:szCs w:val="32"/>
          <w:lang w:val="en-US" w:eastAsia="zh-CN"/>
        </w:rPr>
        <w:t>10万</w:t>
      </w:r>
      <w:r>
        <w:rPr>
          <w:rFonts w:hint="eastAsia" w:ascii="仿宋" w:hAnsi="仿宋" w:eastAsia="仿宋" w:cs="仿宋"/>
          <w:color w:val="auto"/>
          <w:sz w:val="32"/>
          <w:szCs w:val="32"/>
        </w:rPr>
        <w:t>元，实际拨款</w:t>
      </w:r>
      <w:r>
        <w:rPr>
          <w:rFonts w:hint="eastAsia" w:ascii="仿宋" w:hAnsi="仿宋" w:eastAsia="仿宋" w:cs="仿宋"/>
          <w:color w:val="auto"/>
          <w:sz w:val="32"/>
          <w:szCs w:val="32"/>
          <w:lang w:val="en-US" w:eastAsia="zh-CN"/>
        </w:rPr>
        <w:t>10万</w:t>
      </w:r>
      <w:r>
        <w:rPr>
          <w:rFonts w:hint="eastAsia" w:ascii="仿宋" w:hAnsi="仿宋" w:eastAsia="仿宋" w:cs="仿宋"/>
          <w:color w:val="auto"/>
          <w:sz w:val="32"/>
          <w:szCs w:val="32"/>
        </w:rPr>
        <w:t>元。资金到位率100%，到位及时性100%</w:t>
      </w:r>
      <w:r>
        <w:rPr>
          <w:rFonts w:hint="eastAsia" w:ascii="仿宋" w:hAnsi="仿宋" w:eastAsia="仿宋" w:cs="仿宋"/>
          <w:color w:val="auto"/>
          <w:sz w:val="32"/>
          <w:szCs w:val="32"/>
          <w:lang w:val="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2.</w:t>
      </w:r>
      <w:r>
        <w:rPr>
          <w:rFonts w:hint="eastAsia" w:ascii="仿宋" w:hAnsi="仿宋" w:eastAsia="仿宋" w:cs="仿宋"/>
          <w:color w:val="auto"/>
          <w:kern w:val="0"/>
          <w:sz w:val="32"/>
          <w:szCs w:val="32"/>
          <w:shd w:val="clear" w:color="auto" w:fill="FFFFFF"/>
          <w:lang w:val="zh-CN"/>
        </w:rPr>
        <w:t>资金使用：该资金已使用完毕，慰问标准、范围均按照文件要求执行，与预算相符。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单位制定有各项财务管理制度，账务处理严格按照财务管理制度处理，</w:t>
      </w:r>
      <w:r>
        <w:rPr>
          <w:rFonts w:hint="eastAsia" w:ascii="仿宋" w:hAnsi="仿宋" w:eastAsia="仿宋" w:cs="仿宋"/>
          <w:color w:val="auto"/>
          <w:sz w:val="32"/>
          <w:szCs w:val="32"/>
          <w:lang w:eastAsia="zh-CN"/>
        </w:rPr>
        <w:t>做到及时、规范。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三、项目实施及管理情况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sz w:val="32"/>
          <w:szCs w:val="32"/>
        </w:rPr>
        <w:t>峨眉山市总工会在使用</w:t>
      </w:r>
      <w:r>
        <w:rPr>
          <w:rFonts w:hint="eastAsia" w:ascii="仿宋" w:hAnsi="仿宋" w:eastAsia="仿宋" w:cs="仿宋"/>
          <w:color w:val="auto"/>
          <w:sz w:val="32"/>
          <w:szCs w:val="32"/>
          <w:lang w:eastAsia="zh-CN"/>
        </w:rPr>
        <w:t>春节困难职工慰问资金</w:t>
      </w:r>
      <w:r>
        <w:rPr>
          <w:rFonts w:hint="eastAsia" w:ascii="仿宋" w:hAnsi="仿宋" w:eastAsia="仿宋" w:cs="仿宋"/>
          <w:color w:val="auto"/>
          <w:sz w:val="32"/>
          <w:szCs w:val="32"/>
        </w:rPr>
        <w:t>时，严格执行财务管理制度，同时对资金的使用流程进行监督，定时查看财务报表检查资金使用情况，认真贯彻落实上级要求，发挥广大职工的主体作用</w:t>
      </w:r>
      <w:r>
        <w:rPr>
          <w:rFonts w:hint="eastAsia" w:ascii="仿宋" w:hAnsi="仿宋" w:eastAsia="仿宋" w:cs="仿宋"/>
          <w:color w:val="auto"/>
          <w:sz w:val="32"/>
          <w:szCs w:val="32"/>
          <w:lang w:eastAsia="zh-CN"/>
        </w:rPr>
        <w:t>。</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项目组织架构及实施流程：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该项目支出 </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val="zh-CN"/>
        </w:rPr>
        <w:t xml:space="preserve"> 万元，全部为本级财政资金，我单位严格按照文件要求执行。实施过程中通过多种方式模底调查，为集体研究资金分配方案提供确切依据。</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color w:val="auto"/>
          <w:sz w:val="32"/>
          <w:szCs w:val="32"/>
          <w:lang w:val="zh-CN"/>
        </w:rPr>
      </w:pPr>
      <w:r>
        <w:rPr>
          <w:rFonts w:hint="eastAsia" w:ascii="仿宋" w:hAnsi="仿宋" w:eastAsia="仿宋" w:cs="仿宋"/>
          <w:b w:val="0"/>
          <w:bCs/>
          <w:color w:val="auto"/>
          <w:sz w:val="32"/>
          <w:szCs w:val="32"/>
          <w:lang w:val="zh-CN"/>
        </w:rPr>
        <w:t>按照资金文件和相关制度要求，管理和使用该项目资金。</w:t>
      </w:r>
      <w:r>
        <w:rPr>
          <w:rFonts w:hint="eastAsia" w:ascii="仿宋" w:hAnsi="仿宋" w:eastAsia="仿宋" w:cs="仿宋"/>
          <w:b/>
          <w:color w:val="auto"/>
          <w:sz w:val="32"/>
          <w:szCs w:val="32"/>
          <w:lang w:val="zh-CN"/>
        </w:rPr>
        <w:t xml:space="preserve"> </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项目实施前严格按照“先有预算、后有支出”原则，结合年度工作任务，科学合理地编制项目预算，实施过程中，严格开展事中监控，采用信息公开、绩效评价等。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color w:val="auto"/>
          <w:sz w:val="32"/>
          <w:szCs w:val="32"/>
          <w:lang w:val="zh-CN"/>
        </w:rPr>
      </w:pPr>
      <w:r>
        <w:rPr>
          <w:rFonts w:hint="eastAsia" w:ascii="黑体" w:hAnsi="宋体" w:eastAsia="黑体"/>
          <w:color w:val="auto"/>
          <w:sz w:val="32"/>
          <w:szCs w:val="32"/>
        </w:rPr>
        <w:t>四、项目绩效情况</w:t>
      </w:r>
      <w:r>
        <w:rPr>
          <w:rFonts w:hint="eastAsia" w:ascii="仿宋_GB2312" w:hAnsi="宋体"/>
          <w:color w:val="auto"/>
          <w:sz w:val="32"/>
          <w:szCs w:val="32"/>
          <w:lang w:val="zh-CN"/>
        </w:rPr>
        <w:tab/>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对照项目计划，峨眉山市总工会完成了任务目标，任务量完成、质量标准、进度计划、成本控制目标的实现程度良好。资金依法依规拨付，无超标准开支情况。该项目</w:t>
      </w:r>
      <w:r>
        <w:rPr>
          <w:rFonts w:hint="eastAsia" w:ascii="仿宋" w:hAnsi="仿宋" w:eastAsia="仿宋" w:cs="仿宋"/>
          <w:color w:val="auto"/>
          <w:kern w:val="0"/>
          <w:sz w:val="32"/>
          <w:szCs w:val="32"/>
          <w:shd w:val="clear" w:color="auto" w:fill="FFFFFF"/>
          <w:lang w:eastAsia="zh-CN"/>
        </w:rPr>
        <w:t>服务对象为全市困难职工，服务对象满意度为</w:t>
      </w:r>
      <w:r>
        <w:rPr>
          <w:rFonts w:hint="eastAsia" w:ascii="仿宋" w:hAnsi="仿宋" w:eastAsia="仿宋" w:cs="仿宋"/>
          <w:color w:val="auto"/>
          <w:kern w:val="0"/>
          <w:sz w:val="32"/>
          <w:szCs w:val="32"/>
          <w:shd w:val="clear" w:color="auto" w:fill="FFFFFF"/>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从项目实施、评价情况来看，项目绩效目标完成良好，通过慰问有效促进职工队伍稳定、提升职工幸福感，受到职工群众拥护和社会好评。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（三）相关建议。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无</w:t>
      </w: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ind w:left="0" w:leftChars="0" w:firstLine="0" w:firstLineChars="0"/>
        <w:rPr>
          <w:rFonts w:hint="eastAsia" w:ascii="仿宋_GB2312" w:hAnsi="仿宋_GB2312" w:eastAsia="仿宋_GB2312" w:cs="仿宋_GB2312"/>
          <w:color w:val="auto"/>
          <w:kern w:val="0"/>
          <w:sz w:val="32"/>
          <w:szCs w:val="32"/>
          <w:shd w:val="clear" w:color="auto" w:fill="FFFFFF"/>
          <w:lang w:val="zh-CN"/>
        </w:rPr>
      </w:pPr>
    </w:p>
    <w:p>
      <w:pPr>
        <w:pStyle w:val="2"/>
        <w:rPr>
          <w:rFonts w:hint="eastAsia" w:ascii="仿宋_GB2312" w:hAnsi="仿宋_GB2312" w:eastAsia="仿宋_GB2312" w:cs="仿宋_GB2312"/>
          <w:color w:val="auto"/>
          <w:kern w:val="0"/>
          <w:sz w:val="32"/>
          <w:szCs w:val="32"/>
          <w:shd w:val="clear" w:color="auto" w:fill="FFFFFF"/>
          <w:lang w:val="zh-CN"/>
        </w:rPr>
      </w:pPr>
    </w:p>
    <w:p>
      <w:pPr>
        <w:pStyle w:val="34"/>
        <w:spacing w:line="578" w:lineRule="exact"/>
        <w:ind w:firstLine="640"/>
        <w:jc w:val="center"/>
        <w:rPr>
          <w:rFonts w:hint="eastAsia" w:ascii="黑体" w:hAnsi="黑体" w:eastAsia="黑体" w:cs="黑体"/>
          <w:b w:val="0"/>
          <w:bCs w:val="0"/>
          <w:color w:val="auto"/>
          <w:kern w:val="2"/>
          <w:sz w:val="36"/>
          <w:szCs w:val="36"/>
          <w:lang w:val="en-US" w:eastAsia="zh-CN"/>
        </w:rPr>
      </w:pPr>
      <w:r>
        <w:rPr>
          <w:rFonts w:hint="eastAsia" w:ascii="黑体" w:hAnsi="黑体" w:eastAsia="黑体" w:cs="黑体"/>
          <w:b w:val="0"/>
          <w:bCs w:val="0"/>
          <w:color w:val="auto"/>
          <w:kern w:val="2"/>
          <w:sz w:val="36"/>
          <w:szCs w:val="36"/>
          <w:lang w:val="en-US" w:eastAsia="zh-CN"/>
        </w:rPr>
        <w:t>2022年代扣机关事业单位工会经费</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黑体" w:hAnsi="黑体" w:eastAsia="黑体" w:cs="黑体"/>
          <w:b w:val="0"/>
          <w:bCs w:val="0"/>
          <w:color w:val="auto"/>
          <w:kern w:val="2"/>
          <w:sz w:val="36"/>
          <w:szCs w:val="36"/>
          <w:lang w:val="en-US" w:eastAsia="zh-CN"/>
        </w:rPr>
      </w:pPr>
      <w:r>
        <w:rPr>
          <w:rFonts w:hint="eastAsia" w:ascii="黑体" w:hAnsi="黑体" w:eastAsia="黑体" w:cs="黑体"/>
          <w:b w:val="0"/>
          <w:bCs w:val="0"/>
          <w:color w:val="auto"/>
          <w:kern w:val="2"/>
          <w:sz w:val="36"/>
          <w:szCs w:val="36"/>
          <w:lang w:val="en-US" w:eastAsia="zh-CN"/>
        </w:rPr>
        <w:t>项目绩效自评报告</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黑体" w:hAnsi="黑体" w:eastAsia="黑体" w:cs="黑体"/>
          <w:b w:val="0"/>
          <w:bCs w:val="0"/>
          <w:color w:val="auto"/>
          <w:kern w:val="2"/>
          <w:sz w:val="36"/>
          <w:szCs w:val="36"/>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年度</w:t>
      </w:r>
      <w:r>
        <w:rPr>
          <w:rFonts w:hint="eastAsia" w:ascii="仿宋" w:hAnsi="仿宋" w:eastAsia="仿宋" w:cs="仿宋"/>
          <w:color w:val="auto"/>
          <w:sz w:val="32"/>
          <w:szCs w:val="32"/>
          <w:lang w:eastAsia="zh-CN"/>
        </w:rPr>
        <w:t>峨眉山市总工会</w:t>
      </w:r>
      <w:r>
        <w:rPr>
          <w:rFonts w:hint="eastAsia" w:ascii="仿宋" w:hAnsi="仿宋" w:eastAsia="仿宋" w:cs="仿宋"/>
          <w:color w:val="auto"/>
          <w:sz w:val="32"/>
          <w:szCs w:val="32"/>
        </w:rPr>
        <w:t>按照四川省《中华人民共和国工会法》实施办法，由财政拨款的机关和事业单位，应将工会经费全额列入年度预算，并及时拨付的规定。峨眉山市财政拨款的机关事业单位上缴峨眉山市总工会40%工会经费由财政代扣，列入峨眉山市总工会部门预算，确保峨眉山市总工会的日常工作任务的开展、履行工会职能以及加强自身建设，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年列入财政代扣机关事业单位40%工会经费共计160</w:t>
      </w:r>
      <w:r>
        <w:rPr>
          <w:rFonts w:hint="eastAsia" w:ascii="仿宋" w:hAnsi="仿宋" w:eastAsia="仿宋" w:cs="仿宋"/>
          <w:color w:val="auto"/>
          <w:sz w:val="32"/>
          <w:szCs w:val="32"/>
          <w:lang w:eastAsia="zh-CN"/>
        </w:rPr>
        <w:t>万元</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项目资金用于开展劳模、工匠等先进事迹的宣传，弘扬劳模精神，提高劳动积极性。深化开展集体协商工作，推进巩固厂务公开、民主管理制度化、规范化、法治化建设，切实维护好职工合法权益，确保企业用工需求，有力助推企业稳岗。积极开展各类技能大赛，使职工在比赛中相互学习，努力提升技能技术水平，从而适应企业的快速发展，同时通过各类文体活动的开展使广大职工在工作之余建立了文艺爱好，大大丰富了职工的业余生活。</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峨眉山市总工会严格按照资金使用流程执行，梳理项目实施情况，对照制定的绩效目标来开展自评。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峨眉山市</w:t>
      </w:r>
      <w:r>
        <w:rPr>
          <w:rFonts w:hint="eastAsia" w:ascii="仿宋" w:hAnsi="仿宋" w:eastAsia="仿宋" w:cs="仿宋"/>
          <w:color w:val="auto"/>
          <w:sz w:val="32"/>
          <w:szCs w:val="32"/>
          <w:lang w:eastAsia="zh-CN"/>
        </w:rPr>
        <w:t>总工会</w:t>
      </w: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申报代扣机关事业单位工会经费</w:t>
      </w:r>
      <w:r>
        <w:rPr>
          <w:rFonts w:hint="eastAsia" w:ascii="仿宋" w:hAnsi="仿宋" w:eastAsia="仿宋" w:cs="仿宋"/>
          <w:color w:val="auto"/>
          <w:sz w:val="32"/>
          <w:szCs w:val="32"/>
          <w:lang w:val="en-US" w:eastAsia="zh-CN"/>
        </w:rPr>
        <w:t>160万元，</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实际批复</w:t>
      </w:r>
      <w:r>
        <w:rPr>
          <w:rFonts w:hint="eastAsia" w:ascii="仿宋" w:hAnsi="仿宋" w:eastAsia="仿宋" w:cs="仿宋"/>
          <w:color w:val="auto"/>
          <w:sz w:val="32"/>
          <w:szCs w:val="32"/>
          <w:lang w:val="en-US" w:eastAsia="zh-CN"/>
        </w:rPr>
        <w:t>160万元。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eastAsia="zh-CN"/>
        </w:rPr>
        <w:t>（二）</w:t>
      </w:r>
      <w:r>
        <w:rPr>
          <w:rFonts w:hint="eastAsia" w:ascii="黑体" w:hAnsi="黑体" w:eastAsia="黑体" w:cs="黑体"/>
          <w:b w:val="0"/>
          <w:bCs/>
          <w:color w:val="auto"/>
          <w:sz w:val="30"/>
          <w:szCs w:val="30"/>
          <w:lang w:val="zh-CN"/>
        </w:rPr>
        <w:t>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eastAsia="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资金计划：</w:t>
      </w:r>
      <w:r>
        <w:rPr>
          <w:rFonts w:hint="eastAsia" w:ascii="仿宋" w:hAnsi="仿宋" w:eastAsia="仿宋" w:cs="仿宋"/>
          <w:color w:val="auto"/>
          <w:kern w:val="0"/>
          <w:sz w:val="32"/>
          <w:szCs w:val="32"/>
          <w:shd w:val="clear" w:color="auto" w:fill="FFFFFF"/>
          <w:lang w:val="en-US" w:eastAsia="zh-CN"/>
        </w:rPr>
        <w:t>2022</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代扣机关事业单位工会经费预算数为</w:t>
      </w:r>
      <w:r>
        <w:rPr>
          <w:rFonts w:hint="eastAsia" w:ascii="仿宋" w:hAnsi="仿宋" w:eastAsia="仿宋" w:cs="仿宋"/>
          <w:color w:val="auto"/>
          <w:sz w:val="32"/>
          <w:szCs w:val="32"/>
          <w:lang w:val="en-US" w:eastAsia="zh-CN"/>
        </w:rPr>
        <w:t>160万</w:t>
      </w:r>
      <w:r>
        <w:rPr>
          <w:rFonts w:hint="eastAsia" w:ascii="仿宋" w:hAnsi="仿宋" w:eastAsia="仿宋" w:cs="仿宋"/>
          <w:color w:val="auto"/>
          <w:sz w:val="32"/>
          <w:szCs w:val="32"/>
        </w:rPr>
        <w:t>元，实际拨款</w:t>
      </w:r>
      <w:r>
        <w:rPr>
          <w:rFonts w:hint="eastAsia" w:ascii="仿宋" w:hAnsi="仿宋" w:eastAsia="仿宋" w:cs="仿宋"/>
          <w:color w:val="auto"/>
          <w:sz w:val="32"/>
          <w:szCs w:val="32"/>
          <w:lang w:val="en-US" w:eastAsia="zh-CN"/>
        </w:rPr>
        <w:t>87.40万</w:t>
      </w:r>
      <w:r>
        <w:rPr>
          <w:rFonts w:hint="eastAsia" w:ascii="仿宋" w:hAnsi="仿宋" w:eastAsia="仿宋" w:cs="仿宋"/>
          <w:color w:val="auto"/>
          <w:sz w:val="32"/>
          <w:szCs w:val="32"/>
        </w:rPr>
        <w:t>元。资金到位率</w:t>
      </w:r>
      <w:r>
        <w:rPr>
          <w:rFonts w:hint="eastAsia" w:ascii="仿宋" w:hAnsi="仿宋" w:eastAsia="仿宋" w:cs="仿宋"/>
          <w:color w:val="auto"/>
          <w:sz w:val="32"/>
          <w:szCs w:val="32"/>
          <w:lang w:val="en-US" w:eastAsia="zh-CN"/>
        </w:rPr>
        <w:t>54.63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2.</w:t>
      </w:r>
      <w:r>
        <w:rPr>
          <w:rFonts w:hint="eastAsia" w:ascii="仿宋" w:hAnsi="仿宋" w:eastAsia="仿宋" w:cs="仿宋"/>
          <w:color w:val="auto"/>
          <w:kern w:val="0"/>
          <w:sz w:val="32"/>
          <w:szCs w:val="32"/>
          <w:shd w:val="clear" w:color="auto" w:fill="FFFFFF"/>
          <w:lang w:val="zh-CN"/>
        </w:rPr>
        <w:t>资金使用：该资金已按要求上缴乐山市总工会</w:t>
      </w:r>
      <w:r>
        <w:rPr>
          <w:rFonts w:hint="eastAsia" w:ascii="仿宋" w:hAnsi="仿宋" w:eastAsia="仿宋" w:cs="仿宋"/>
          <w:color w:val="auto"/>
          <w:kern w:val="0"/>
          <w:sz w:val="32"/>
          <w:szCs w:val="32"/>
          <w:shd w:val="clear" w:color="auto" w:fill="FFFFFF"/>
          <w:lang w:val="en-US" w:eastAsia="zh-CN"/>
        </w:rPr>
        <w:t>70万元，其余部分均用于开展工会事务，</w:t>
      </w:r>
      <w:r>
        <w:rPr>
          <w:rFonts w:hint="eastAsia" w:ascii="仿宋" w:hAnsi="仿宋" w:eastAsia="仿宋" w:cs="仿宋"/>
          <w:color w:val="auto"/>
          <w:kern w:val="0"/>
          <w:sz w:val="32"/>
          <w:szCs w:val="32"/>
          <w:shd w:val="clear" w:color="auto" w:fill="FFFFFF"/>
          <w:lang w:val="zh-CN"/>
        </w:rPr>
        <w:t>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制定有各项财务管理制度，账务处理严格按照工会财务管理制度处理，会计核算遵循工会财务管理制度。因此，峨眉山市总工会代扣机关事业单位工会经费项目严格按照财务管理制度的要求、财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sz w:val="32"/>
          <w:szCs w:val="32"/>
        </w:rPr>
        <w:t>峨眉山市总工会在使用代扣机关事业单位工会经费时，严格执行工会财务管理制度，同时对各项资金的使用流程进行监督，定时查看财务报表检查资金使用情况，认真贯彻落实上级要求，发挥广大职工的主体作用。</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项目组织架构及实施流程：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该项目支出 </w:t>
      </w:r>
      <w:r>
        <w:rPr>
          <w:rFonts w:hint="eastAsia" w:ascii="仿宋" w:hAnsi="仿宋" w:eastAsia="仿宋" w:cs="仿宋"/>
          <w:color w:val="auto"/>
          <w:sz w:val="32"/>
          <w:szCs w:val="32"/>
          <w:lang w:val="en-US" w:eastAsia="zh-CN"/>
        </w:rPr>
        <w:t>87.40</w:t>
      </w:r>
      <w:r>
        <w:rPr>
          <w:rFonts w:hint="eastAsia" w:ascii="仿宋" w:hAnsi="仿宋" w:eastAsia="仿宋" w:cs="仿宋"/>
          <w:color w:val="auto"/>
          <w:sz w:val="32"/>
          <w:szCs w:val="32"/>
          <w:lang w:val="zh-CN"/>
        </w:rPr>
        <w:t>万元，全部为本级财政资金，我单位严格按照资金预算要求执行。实施过程中对应上缴上级工会部分全额上缴，对本级部分严格按照资金使用流程及要求执行。</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color w:val="auto"/>
          <w:sz w:val="32"/>
          <w:szCs w:val="32"/>
          <w:lang w:val="zh-CN"/>
        </w:rPr>
      </w:pPr>
      <w:r>
        <w:rPr>
          <w:rFonts w:hint="eastAsia" w:ascii="仿宋" w:hAnsi="仿宋" w:eastAsia="仿宋" w:cs="仿宋"/>
          <w:b w:val="0"/>
          <w:bCs/>
          <w:color w:val="auto"/>
          <w:sz w:val="32"/>
          <w:szCs w:val="32"/>
          <w:lang w:val="zh-CN"/>
        </w:rPr>
        <w:t>按照资金的相关制度要求，管理和使用该项目资金。</w:t>
      </w:r>
      <w:r>
        <w:rPr>
          <w:rFonts w:hint="eastAsia" w:ascii="仿宋" w:hAnsi="仿宋" w:eastAsia="仿宋" w:cs="仿宋"/>
          <w:b/>
          <w:color w:val="auto"/>
          <w:sz w:val="32"/>
          <w:szCs w:val="32"/>
          <w:lang w:val="zh-CN"/>
        </w:rPr>
        <w:t xml:space="preserve"> </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项目实施前严格按照“先有预算、后有支出”原则，结合年度工作任务，科学合理地编制项目预算，实施过程中，严格开展事中监控，采用信息公开、绩效评价等。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color w:val="auto"/>
          <w:sz w:val="32"/>
          <w:szCs w:val="32"/>
          <w:lang w:val="zh-CN"/>
        </w:rPr>
      </w:pPr>
      <w:r>
        <w:rPr>
          <w:rFonts w:hint="eastAsia" w:ascii="黑体" w:hAnsi="宋体" w:eastAsia="黑体"/>
          <w:color w:val="auto"/>
          <w:sz w:val="32"/>
          <w:szCs w:val="32"/>
        </w:rPr>
        <w:t>四、项目绩效情况</w:t>
      </w:r>
      <w:r>
        <w:rPr>
          <w:rFonts w:hint="eastAsia" w:ascii="仿宋_GB2312" w:hAnsi="宋体"/>
          <w:color w:val="auto"/>
          <w:sz w:val="32"/>
          <w:szCs w:val="32"/>
          <w:lang w:val="zh-CN"/>
        </w:rPr>
        <w:tab/>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对照项目计划，峨眉山市总工会基本完成了任务目标，任务量完成、质量标准、进度计划、成本控制目标的实现程度良好。资金依法依规拨付，无超标准开支情况。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从项目实施、评价情况来看，项目绩效目标完成良好，资金使用合法合规。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（三）相关建议。</w:t>
      </w:r>
    </w:p>
    <w:p>
      <w:pPr>
        <w:keepNext w:val="0"/>
        <w:keepLines w:val="0"/>
        <w:pageBreakBefore w:val="0"/>
        <w:kinsoku/>
        <w:wordWrap/>
        <w:overflowPunct/>
        <w:topLinePunct w:val="0"/>
        <w:autoSpaceDE/>
        <w:autoSpaceDN/>
        <w:bidi w:val="0"/>
        <w:spacing w:line="600" w:lineRule="exact"/>
        <w:ind w:firstLine="640" w:firstLineChars="200"/>
        <w:textAlignment w:val="auto"/>
        <w:rPr>
          <w:rStyle w:val="28"/>
          <w:rFonts w:hint="eastAsia" w:ascii="仿宋" w:hAnsi="仿宋" w:eastAsia="仿宋" w:cs="仿宋"/>
          <w:b w:val="0"/>
          <w:color w:val="auto"/>
        </w:rPr>
      </w:pPr>
      <w:r>
        <w:rPr>
          <w:rFonts w:hint="eastAsia" w:ascii="仿宋" w:hAnsi="仿宋" w:eastAsia="仿宋" w:cs="仿宋"/>
          <w:color w:val="auto"/>
          <w:kern w:val="0"/>
          <w:sz w:val="32"/>
          <w:szCs w:val="32"/>
          <w:shd w:val="clear" w:color="auto" w:fill="FFFFFF"/>
          <w:lang w:val="zh-CN"/>
        </w:rPr>
        <w:t>无</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方正小标宋简体" w:hAnsi="方正小标宋简体" w:eastAsia="方正小标宋简体" w:cs="方正小标宋简体"/>
          <w:color w:val="auto"/>
          <w:kern w:val="2"/>
          <w:sz w:val="32"/>
          <w:szCs w:val="32"/>
          <w:lang w:val="en-US" w:eastAsia="zh-CN"/>
        </w:rPr>
      </w:pP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方正小标宋简体" w:hAnsi="方正小标宋简体" w:eastAsia="方正小标宋简体" w:cs="方正小标宋简体"/>
          <w:color w:val="auto"/>
          <w:kern w:val="2"/>
          <w:sz w:val="32"/>
          <w:szCs w:val="32"/>
          <w:lang w:val="en-US" w:eastAsia="zh-CN"/>
        </w:rPr>
      </w:pP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黑体" w:hAnsi="黑体" w:eastAsia="黑体" w:cs="黑体"/>
          <w:color w:val="auto"/>
          <w:kern w:val="2"/>
          <w:sz w:val="36"/>
          <w:szCs w:val="36"/>
          <w:lang w:val="en-US" w:eastAsia="zh-CN"/>
        </w:rPr>
      </w:pPr>
      <w:r>
        <w:rPr>
          <w:rFonts w:hint="eastAsia" w:ascii="黑体" w:hAnsi="黑体" w:eastAsia="黑体" w:cs="黑体"/>
          <w:color w:val="auto"/>
          <w:kern w:val="2"/>
          <w:sz w:val="36"/>
          <w:szCs w:val="36"/>
          <w:lang w:val="en-US" w:eastAsia="zh-CN"/>
        </w:rPr>
        <w:t>2022年元旦春节送温暖项目绩效自评报告</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方正小标宋简体" w:hAnsi="方正小标宋简体" w:eastAsia="方正小标宋简体" w:cs="方正小标宋简体"/>
          <w:color w:val="auto"/>
          <w:kern w:val="2"/>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1．说明项目主管部门（单位）在该项目管理中的职能。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该项目资金来源为省财资金，我会按照省财资金文件的要求做好资金发放工作。</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shd w:val="clear" w:color="auto" w:fill="FFFFFF"/>
          <w:lang w:val="zh-CN"/>
        </w:rPr>
        <w:t>项目立项、资金申报的依据</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sz w:val="32"/>
          <w:szCs w:val="32"/>
          <w:lang w:eastAsia="zh-CN"/>
        </w:rPr>
        <w:t>此资金为</w:t>
      </w:r>
      <w:r>
        <w:rPr>
          <w:rFonts w:hint="eastAsia" w:ascii="仿宋" w:hAnsi="仿宋" w:eastAsia="仿宋" w:cs="仿宋"/>
          <w:color w:val="auto"/>
          <w:sz w:val="32"/>
          <w:szCs w:val="32"/>
          <w:lang w:val="en-US" w:eastAsia="zh-CN"/>
        </w:rPr>
        <w:t>2021年省财政结转资金。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eastAsia="zh-CN"/>
        </w:rPr>
      </w:pPr>
      <w:r>
        <w:rPr>
          <w:rFonts w:hint="eastAsia" w:ascii="仿宋" w:hAnsi="仿宋" w:eastAsia="仿宋" w:cs="仿宋"/>
          <w:color w:val="auto"/>
          <w:kern w:val="0"/>
          <w:sz w:val="32"/>
          <w:szCs w:val="32"/>
          <w:shd w:val="clear" w:color="auto" w:fill="FFFFFF"/>
          <w:lang w:val="zh-CN"/>
        </w:rPr>
        <w:t>3．资金</w:t>
      </w:r>
      <w:r>
        <w:rPr>
          <w:rFonts w:hint="eastAsia" w:ascii="仿宋" w:hAnsi="仿宋" w:eastAsia="仿宋" w:cs="仿宋"/>
          <w:color w:val="auto"/>
          <w:kern w:val="0"/>
          <w:sz w:val="32"/>
          <w:szCs w:val="32"/>
          <w:shd w:val="clear" w:color="auto" w:fill="FFFFFF"/>
        </w:rPr>
        <w:t>或项目</w:t>
      </w:r>
      <w:r>
        <w:rPr>
          <w:rFonts w:hint="eastAsia" w:ascii="仿宋" w:hAnsi="仿宋" w:eastAsia="仿宋" w:cs="仿宋"/>
          <w:color w:val="auto"/>
          <w:kern w:val="0"/>
          <w:sz w:val="32"/>
          <w:szCs w:val="32"/>
          <w:shd w:val="clear" w:color="auto" w:fill="FFFFFF"/>
          <w:lang w:val="zh-CN"/>
        </w:rPr>
        <w:t>管理办法制定情况，</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省财政资金</w:t>
      </w:r>
      <w:r>
        <w:rPr>
          <w:rFonts w:hint="eastAsia" w:ascii="仿宋" w:hAnsi="仿宋" w:eastAsia="仿宋" w:cs="仿宋"/>
          <w:color w:val="auto"/>
          <w:sz w:val="32"/>
          <w:szCs w:val="32"/>
        </w:rPr>
        <w:t>文件进行资金申报</w:t>
      </w:r>
      <w:r>
        <w:rPr>
          <w:rFonts w:hint="eastAsia" w:ascii="仿宋" w:hAnsi="仿宋" w:eastAsia="仿宋" w:cs="仿宋"/>
          <w:color w:val="auto"/>
          <w:sz w:val="32"/>
          <w:szCs w:val="32"/>
          <w:lang w:eastAsia="zh-CN"/>
        </w:rPr>
        <w:t>使用。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4．资金分配的原则及考虑因素，</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省财政资金</w:t>
      </w:r>
      <w:r>
        <w:rPr>
          <w:rFonts w:hint="eastAsia" w:ascii="仿宋" w:hAnsi="仿宋" w:eastAsia="仿宋" w:cs="仿宋"/>
          <w:color w:val="auto"/>
          <w:sz w:val="32"/>
          <w:szCs w:val="32"/>
        </w:rPr>
        <w:t>文件进行资金</w:t>
      </w:r>
      <w:r>
        <w:rPr>
          <w:rFonts w:hint="eastAsia" w:ascii="仿宋" w:hAnsi="仿宋" w:eastAsia="仿宋" w:cs="仿宋"/>
          <w:color w:val="auto"/>
          <w:sz w:val="32"/>
          <w:szCs w:val="32"/>
          <w:lang w:eastAsia="zh-CN"/>
        </w:rPr>
        <w:t>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1．项目主要内容：元旦春节送温暖慰问金。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zh-CN"/>
        </w:rPr>
        <w:t>2．项目应实现的具体绩效目标</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eastAsia="zh-CN"/>
        </w:rPr>
        <w:t>为全市约</w:t>
      </w:r>
      <w:r>
        <w:rPr>
          <w:rFonts w:hint="eastAsia" w:ascii="仿宋" w:hAnsi="仿宋" w:eastAsia="仿宋" w:cs="仿宋"/>
          <w:color w:val="auto"/>
          <w:kern w:val="0"/>
          <w:sz w:val="32"/>
          <w:szCs w:val="32"/>
          <w:shd w:val="clear" w:color="auto" w:fill="FFFFFF"/>
          <w:lang w:val="en-US" w:eastAsia="zh-CN"/>
        </w:rPr>
        <w:t>64名职工发放送温暖慰问资金6.40万元。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3．分析评价申报内容是否与实际相符，申报目标是否合理可行：申报内容与实际相符，申报目标合理可行，峨眉山市总工会认真组织送温暖慰问项目，资金严格按照要求管理、分配、使用。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峨眉山市总工会按照资金文件要求，梳理项目实施情况，对照制定的绩效目标来开展自评。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元旦春节送温暖慰问项目预算数为</w:t>
      </w:r>
      <w:r>
        <w:rPr>
          <w:rFonts w:hint="eastAsia" w:ascii="仿宋" w:hAnsi="仿宋" w:eastAsia="仿宋" w:cs="仿宋"/>
          <w:color w:val="auto"/>
          <w:kern w:val="0"/>
          <w:sz w:val="32"/>
          <w:szCs w:val="32"/>
          <w:shd w:val="clear" w:color="auto" w:fill="FFFFFF"/>
          <w:lang w:val="en-US" w:eastAsia="zh-CN"/>
        </w:rPr>
        <w:t>6.40万元，实际下达数为6.40万元。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（二）资金计划、到位及使用情况。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zh-CN"/>
        </w:rPr>
        <w:t>1．资金计划：该项目资金预算数为</w:t>
      </w:r>
      <w:r>
        <w:rPr>
          <w:rFonts w:hint="eastAsia" w:ascii="仿宋" w:hAnsi="仿宋" w:eastAsia="仿宋" w:cs="仿宋"/>
          <w:color w:val="auto"/>
          <w:kern w:val="0"/>
          <w:sz w:val="32"/>
          <w:szCs w:val="32"/>
          <w:shd w:val="clear" w:color="auto" w:fill="FFFFFF"/>
          <w:lang w:val="en-US" w:eastAsia="zh-CN"/>
        </w:rPr>
        <w:t>6.40万元，为省财政专项资金。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2．资金到位：按照资金计划，及时到位。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3．资金使用：该资金已使用完毕，慰问标准、范围均按照文件要求执行，与预算相符。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（三）项目财务管理情况。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峨眉山市总工会建有相关管理制度，严格执行财务管理制度，账务处理及时，会计核算规范，有效的保证了财务开支和资金使用的合法合规。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三、项目实施及管理情况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sz w:val="32"/>
          <w:szCs w:val="32"/>
          <w:lang w:val="zh-CN"/>
        </w:rPr>
      </w:pPr>
      <w:r>
        <w:rPr>
          <w:rFonts w:hint="eastAsia" w:ascii="黑体" w:hAnsi="黑体" w:eastAsia="黑体" w:cs="黑体"/>
          <w:b w:val="0"/>
          <w:bCs/>
          <w:color w:val="auto"/>
          <w:sz w:val="30"/>
          <w:szCs w:val="30"/>
          <w:lang w:val="zh-CN"/>
        </w:rPr>
        <w:t>项目组织架构及实施流程：</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该项目支出 </w:t>
      </w:r>
      <w:r>
        <w:rPr>
          <w:rFonts w:hint="eastAsia" w:ascii="仿宋" w:hAnsi="仿宋" w:eastAsia="仿宋" w:cs="仿宋"/>
          <w:color w:val="auto"/>
          <w:sz w:val="32"/>
          <w:szCs w:val="32"/>
          <w:lang w:val="en-US" w:eastAsia="zh-CN"/>
        </w:rPr>
        <w:t>6.40</w:t>
      </w:r>
      <w:r>
        <w:rPr>
          <w:rFonts w:hint="eastAsia" w:ascii="仿宋" w:hAnsi="仿宋" w:eastAsia="仿宋" w:cs="仿宋"/>
          <w:color w:val="auto"/>
          <w:sz w:val="32"/>
          <w:szCs w:val="32"/>
          <w:lang w:val="zh-CN"/>
        </w:rPr>
        <w:t xml:space="preserve"> 万元，全部为省财资金，我单位严格按照文件要求执行。实施过程中通过多种方式模底调查，为集体研究资金分配方案提供确切依据。</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color w:val="auto"/>
          <w:sz w:val="32"/>
          <w:szCs w:val="32"/>
          <w:lang w:val="zh-CN"/>
        </w:rPr>
      </w:pPr>
      <w:r>
        <w:rPr>
          <w:rFonts w:hint="eastAsia" w:ascii="仿宋" w:hAnsi="仿宋" w:eastAsia="仿宋" w:cs="仿宋"/>
          <w:b w:val="0"/>
          <w:bCs/>
          <w:color w:val="auto"/>
          <w:sz w:val="32"/>
          <w:szCs w:val="32"/>
          <w:lang w:val="zh-CN"/>
        </w:rPr>
        <w:t>按照资金文件和相关制度要求，管理和使用该项目资金。</w:t>
      </w:r>
      <w:r>
        <w:rPr>
          <w:rFonts w:hint="eastAsia" w:ascii="楷体_GB2312" w:hAnsi="宋体" w:eastAsia="楷体_GB2312"/>
          <w:b/>
          <w:color w:val="auto"/>
          <w:sz w:val="32"/>
          <w:szCs w:val="32"/>
          <w:lang w:val="zh-CN"/>
        </w:rPr>
        <w:t xml:space="preserve"> </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项目实施前严格按照“先有预算、后有支出”原则，结合年度工作任务，科学合理地编制项目预算，实施过程中，严格开展事中监控，采用信息公开、绩效评价等。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color w:val="auto"/>
          <w:sz w:val="32"/>
          <w:szCs w:val="32"/>
          <w:lang w:val="zh-CN"/>
        </w:rPr>
      </w:pPr>
      <w:r>
        <w:rPr>
          <w:rFonts w:hint="eastAsia" w:ascii="黑体" w:hAnsi="宋体" w:eastAsia="黑体"/>
          <w:color w:val="auto"/>
          <w:sz w:val="32"/>
          <w:szCs w:val="32"/>
        </w:rPr>
        <w:t>四、项目绩效情况</w:t>
      </w:r>
      <w:r>
        <w:rPr>
          <w:rFonts w:hint="eastAsia" w:ascii="仿宋_GB2312" w:hAnsi="宋体"/>
          <w:color w:val="auto"/>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（一）项目完成情况。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对照项目计划，峨眉山市总工会完成了任务目标，任务量完成、质量标准、进度计划、成本控制目标的实现程度良好。资金依法依规拨付，无超标准开支情况。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（二）项目效益情况。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eastAsia="zh-CN"/>
        </w:rPr>
        <w:t>该项目在规定时效内足额完成，服务对象为全市困难职工，服务对象满意度为</w:t>
      </w:r>
      <w:r>
        <w:rPr>
          <w:rFonts w:hint="eastAsia" w:ascii="仿宋" w:hAnsi="仿宋" w:eastAsia="仿宋" w:cs="仿宋"/>
          <w:color w:val="auto"/>
          <w:kern w:val="0"/>
          <w:sz w:val="32"/>
          <w:szCs w:val="32"/>
          <w:shd w:val="clear" w:color="auto" w:fill="FFFFFF"/>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sz w:val="32"/>
          <w:szCs w:val="32"/>
        </w:rPr>
      </w:pPr>
      <w:r>
        <w:rPr>
          <w:rFonts w:hint="eastAsia" w:ascii="黑体" w:hAnsi="宋体" w:eastAsia="黑体"/>
          <w:color w:val="auto"/>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从项目实施、评价情况来看，项目绩效目标完成良好，通过慰问有效促进职工队伍稳定、提升职工幸福感，受到职工群众拥护和社会好评。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（三）相关建议。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小标宋简体" w:hAnsi="方正小标宋简体" w:eastAsia="方正小标宋简体" w:cs="方正小标宋简体"/>
          <w:color w:val="auto"/>
          <w:kern w:val="2"/>
          <w:sz w:val="32"/>
          <w:szCs w:val="32"/>
          <w:lang w:val="en-US" w:eastAsia="zh-CN"/>
        </w:rPr>
      </w:pPr>
      <w:r>
        <w:rPr>
          <w:rFonts w:hint="eastAsia" w:ascii="仿宋" w:hAnsi="仿宋" w:eastAsia="仿宋" w:cs="仿宋"/>
          <w:color w:val="auto"/>
          <w:kern w:val="0"/>
          <w:sz w:val="32"/>
          <w:szCs w:val="32"/>
          <w:shd w:val="clear" w:color="auto" w:fill="FFFFFF"/>
          <w:lang w:val="zh-CN"/>
        </w:rPr>
        <w:t>无</w:t>
      </w:r>
    </w:p>
    <w:p>
      <w:pPr>
        <w:pStyle w:val="34"/>
        <w:keepNext w:val="0"/>
        <w:keepLines w:val="0"/>
        <w:pageBreakBefore w:val="0"/>
        <w:kinsoku/>
        <w:wordWrap/>
        <w:overflowPunct/>
        <w:topLinePunct w:val="0"/>
        <w:autoSpaceDE/>
        <w:autoSpaceDN/>
        <w:bidi w:val="0"/>
        <w:spacing w:line="600" w:lineRule="exact"/>
        <w:ind w:firstLine="640"/>
        <w:jc w:val="center"/>
        <w:textAlignment w:val="auto"/>
        <w:rPr>
          <w:rFonts w:hint="eastAsia" w:ascii="宋体" w:hAnsi="宋体" w:eastAsia="宋体"/>
          <w:color w:val="auto"/>
          <w:kern w:val="2"/>
          <w:sz w:val="32"/>
          <w:szCs w:val="32"/>
          <w:lang w:eastAsia="zh-CN"/>
        </w:rPr>
      </w:pPr>
      <w:r>
        <w:rPr>
          <w:rFonts w:hint="eastAsia" w:ascii="方正小标宋简体" w:hAnsi="方正小标宋简体" w:eastAsia="方正小标宋简体" w:cs="方正小标宋简体"/>
          <w:color w:val="auto"/>
          <w:kern w:val="2"/>
          <w:sz w:val="32"/>
          <w:szCs w:val="32"/>
          <w:lang w:val="en-US" w:eastAsia="zh-CN"/>
        </w:rPr>
        <w:t>2022年常态化送温暖项目绩效自评报告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（一）项目基本情况。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1．说明项目主管部门（单位）在该项目管理中的职能。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该项目资金来源为省财资金，我会按照省财资金文件的要求做好资金发放工作。</w:t>
      </w:r>
    </w:p>
    <w:p>
      <w:pPr>
        <w:keepNext w:val="0"/>
        <w:keepLines w:val="0"/>
        <w:pageBreakBefore w:val="0"/>
        <w:widowControl/>
        <w:numPr>
          <w:ilvl w:val="0"/>
          <w:numId w:val="8"/>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shd w:val="clear" w:color="auto" w:fill="FFFFFF"/>
          <w:lang w:val="zh-CN"/>
        </w:rPr>
        <w:t>项目立项、资金申报的依据</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sz w:val="32"/>
          <w:szCs w:val="32"/>
        </w:rPr>
        <w:t>按照川财建【20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356</w:t>
      </w:r>
      <w:r>
        <w:rPr>
          <w:rFonts w:hint="eastAsia" w:ascii="仿宋" w:hAnsi="仿宋" w:eastAsia="仿宋" w:cs="仿宋"/>
          <w:color w:val="auto"/>
          <w:sz w:val="32"/>
          <w:szCs w:val="32"/>
        </w:rPr>
        <w:t xml:space="preserve"> 号文件进行资金申报。</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eastAsia="zh-CN"/>
        </w:rPr>
      </w:pPr>
      <w:r>
        <w:rPr>
          <w:rFonts w:hint="eastAsia" w:ascii="仿宋" w:hAnsi="仿宋" w:eastAsia="仿宋" w:cs="仿宋"/>
          <w:color w:val="auto"/>
          <w:kern w:val="0"/>
          <w:sz w:val="32"/>
          <w:szCs w:val="32"/>
          <w:shd w:val="clear" w:color="auto" w:fill="FFFFFF"/>
          <w:lang w:val="zh-CN"/>
        </w:rPr>
        <w:t>3．资金</w:t>
      </w:r>
      <w:r>
        <w:rPr>
          <w:rFonts w:hint="eastAsia" w:ascii="仿宋" w:hAnsi="仿宋" w:eastAsia="仿宋" w:cs="仿宋"/>
          <w:color w:val="auto"/>
          <w:kern w:val="0"/>
          <w:sz w:val="32"/>
          <w:szCs w:val="32"/>
          <w:shd w:val="clear" w:color="auto" w:fill="FFFFFF"/>
        </w:rPr>
        <w:t>或项目</w:t>
      </w:r>
      <w:r>
        <w:rPr>
          <w:rFonts w:hint="eastAsia" w:ascii="仿宋" w:hAnsi="仿宋" w:eastAsia="仿宋" w:cs="仿宋"/>
          <w:color w:val="auto"/>
          <w:kern w:val="0"/>
          <w:sz w:val="32"/>
          <w:szCs w:val="32"/>
          <w:shd w:val="clear" w:color="auto" w:fill="FFFFFF"/>
          <w:lang w:val="zh-CN"/>
        </w:rPr>
        <w:t>管理办法制定情况，</w:t>
      </w:r>
      <w:r>
        <w:rPr>
          <w:rFonts w:hint="eastAsia" w:ascii="仿宋" w:hAnsi="仿宋" w:eastAsia="仿宋" w:cs="仿宋"/>
          <w:color w:val="auto"/>
          <w:sz w:val="32"/>
          <w:szCs w:val="32"/>
        </w:rPr>
        <w:t>按照川财建【20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356</w:t>
      </w:r>
      <w:r>
        <w:rPr>
          <w:rFonts w:hint="eastAsia" w:ascii="仿宋" w:hAnsi="仿宋" w:eastAsia="仿宋" w:cs="仿宋"/>
          <w:color w:val="auto"/>
          <w:sz w:val="32"/>
          <w:szCs w:val="32"/>
        </w:rPr>
        <w:t xml:space="preserve"> 号文件进行资金申报</w:t>
      </w:r>
      <w:r>
        <w:rPr>
          <w:rFonts w:hint="eastAsia" w:ascii="仿宋" w:hAnsi="仿宋" w:eastAsia="仿宋" w:cs="仿宋"/>
          <w:color w:val="auto"/>
          <w:sz w:val="32"/>
          <w:szCs w:val="32"/>
          <w:lang w:eastAsia="zh-CN"/>
        </w:rPr>
        <w:t>使用。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4．资金分配的原则及考虑因素，</w:t>
      </w:r>
      <w:r>
        <w:rPr>
          <w:rFonts w:hint="eastAsia" w:ascii="仿宋" w:hAnsi="仿宋" w:eastAsia="仿宋" w:cs="仿宋"/>
          <w:color w:val="auto"/>
          <w:sz w:val="32"/>
          <w:szCs w:val="32"/>
        </w:rPr>
        <w:t>按照川财建【20</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356</w:t>
      </w:r>
      <w:r>
        <w:rPr>
          <w:rFonts w:hint="eastAsia" w:ascii="仿宋" w:hAnsi="仿宋" w:eastAsia="仿宋" w:cs="仿宋"/>
          <w:color w:val="auto"/>
          <w:sz w:val="32"/>
          <w:szCs w:val="32"/>
        </w:rPr>
        <w:t xml:space="preserve"> 号文件进行资金</w:t>
      </w:r>
      <w:r>
        <w:rPr>
          <w:rFonts w:hint="eastAsia" w:ascii="仿宋" w:hAnsi="仿宋" w:eastAsia="仿宋" w:cs="仿宋"/>
          <w:color w:val="auto"/>
          <w:sz w:val="32"/>
          <w:szCs w:val="32"/>
          <w:lang w:eastAsia="zh-CN"/>
        </w:rPr>
        <w:t>分配。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（二）项目绩效目标。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1．项目主要内容：全省职工常态化送温暖慰问金。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zh-CN"/>
        </w:rPr>
        <w:t>2．项目应实现的具体绩效目标</w:t>
      </w:r>
      <w:r>
        <w:rPr>
          <w:rFonts w:hint="eastAsia"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lang w:eastAsia="zh-CN"/>
        </w:rPr>
        <w:t>为全省约</w:t>
      </w:r>
      <w:r>
        <w:rPr>
          <w:rFonts w:hint="eastAsia" w:ascii="仿宋" w:hAnsi="仿宋" w:eastAsia="仿宋" w:cs="仿宋"/>
          <w:color w:val="auto"/>
          <w:kern w:val="0"/>
          <w:sz w:val="32"/>
          <w:szCs w:val="32"/>
          <w:shd w:val="clear" w:color="auto" w:fill="FFFFFF"/>
          <w:lang w:val="en-US" w:eastAsia="zh-CN"/>
        </w:rPr>
        <w:t>170名职工发放送温暖慰问资金14.12万元。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3．分析评价申报内容是否与实际相符，申报目标是否合理可行：申报内容与实际相符，申报目标合理可行，峨眉山市总工会认真组织送温暖慰问帮扶项目，资金严格按照要求管理、分配、使用。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（三）项目自评步骤及方法。</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峨眉山市总工会按照资金文件要求，梳理项目实施情况，对照制定的绩效目标来开展自评。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（一）项目资金申报及批复情况。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常态化送温暖慰问项目预算数为</w:t>
      </w:r>
      <w:r>
        <w:rPr>
          <w:rFonts w:hint="eastAsia" w:ascii="仿宋" w:hAnsi="仿宋" w:eastAsia="仿宋" w:cs="仿宋"/>
          <w:color w:val="auto"/>
          <w:kern w:val="0"/>
          <w:sz w:val="32"/>
          <w:szCs w:val="32"/>
          <w:shd w:val="clear" w:color="auto" w:fill="FFFFFF"/>
          <w:lang w:val="en-US" w:eastAsia="zh-CN"/>
        </w:rPr>
        <w:t>14.12万元，实际下达数为14.12万元。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（二）资金计划、到位及使用情况（可用表格形式反映）。</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zh-CN"/>
        </w:rPr>
        <w:t>1．资金计划：该项目资金预算数为</w:t>
      </w:r>
      <w:r>
        <w:rPr>
          <w:rFonts w:hint="eastAsia" w:ascii="仿宋" w:hAnsi="仿宋" w:eastAsia="仿宋" w:cs="仿宋"/>
          <w:color w:val="auto"/>
          <w:kern w:val="0"/>
          <w:sz w:val="32"/>
          <w:szCs w:val="32"/>
          <w:shd w:val="clear" w:color="auto" w:fill="FFFFFF"/>
          <w:lang w:val="en-US" w:eastAsia="zh-CN"/>
        </w:rPr>
        <w:t>14.12万元，为省财政专项资金。</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2．资金到位：按照资金计划，及时到位。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3．资金使用：该资金已使用完毕，慰问标准、范围均按照文件要求执行，与预算相符。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（三）项目财务管理情况。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峨眉山市总工会建有相关管理制度，严格执行财务管理制度，账务处理及时，会计核算规范，有效的保证了财务开支和资金使用的合法合规。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三、项目实施及管理情况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项目组织架构及实施流程：</w:t>
      </w:r>
    </w:p>
    <w:p>
      <w:pPr>
        <w:pStyle w:val="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该项目支出 </w:t>
      </w:r>
      <w:r>
        <w:rPr>
          <w:rFonts w:hint="eastAsia" w:ascii="仿宋" w:hAnsi="仿宋" w:eastAsia="仿宋" w:cs="仿宋"/>
          <w:color w:val="auto"/>
          <w:sz w:val="32"/>
          <w:szCs w:val="32"/>
          <w:lang w:val="en-US" w:eastAsia="zh-CN"/>
        </w:rPr>
        <w:t>14.12</w:t>
      </w:r>
      <w:r>
        <w:rPr>
          <w:rFonts w:hint="eastAsia" w:ascii="仿宋" w:hAnsi="仿宋" w:eastAsia="仿宋" w:cs="仿宋"/>
          <w:color w:val="auto"/>
          <w:sz w:val="32"/>
          <w:szCs w:val="32"/>
          <w:lang w:val="zh-CN"/>
        </w:rPr>
        <w:t xml:space="preserve"> 万元，全部为省财资金，我单位严格按照文件要求执行。实施过程中通过多种方式模底调查，为集体研究资金分配方案提供确切依据。</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项目管理情况：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
          <w:color w:val="auto"/>
          <w:sz w:val="32"/>
          <w:szCs w:val="32"/>
          <w:lang w:val="zh-CN"/>
        </w:rPr>
      </w:pPr>
      <w:r>
        <w:rPr>
          <w:rFonts w:hint="eastAsia" w:ascii="仿宋" w:hAnsi="仿宋" w:eastAsia="仿宋" w:cs="仿宋"/>
          <w:b w:val="0"/>
          <w:bCs/>
          <w:color w:val="auto"/>
          <w:sz w:val="32"/>
          <w:szCs w:val="32"/>
          <w:lang w:val="zh-CN"/>
        </w:rPr>
        <w:t>按照资金文件和相关制度要求，管理和使用该项目资金。</w:t>
      </w:r>
      <w:r>
        <w:rPr>
          <w:rFonts w:hint="eastAsia" w:ascii="仿宋" w:hAnsi="仿宋" w:eastAsia="仿宋" w:cs="仿宋"/>
          <w:b/>
          <w:color w:val="auto"/>
          <w:sz w:val="32"/>
          <w:szCs w:val="32"/>
          <w:lang w:val="zh-CN"/>
        </w:rPr>
        <w:t xml:space="preserve"> </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项目监管情况：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项目实施前严格按照“先有预算、后有支出”原则，结合年度工作任务，科学合理地编制项目预算，实施过程中，严格开展事中监控，采用信息公开、绩效评价等。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color w:val="auto"/>
          <w:sz w:val="32"/>
          <w:szCs w:val="32"/>
          <w:lang w:val="zh-CN"/>
        </w:rPr>
      </w:pPr>
      <w:r>
        <w:rPr>
          <w:rFonts w:hint="eastAsia" w:ascii="黑体" w:hAnsi="黑体" w:eastAsia="黑体" w:cs="黑体"/>
          <w:color w:val="auto"/>
          <w:sz w:val="32"/>
          <w:szCs w:val="32"/>
        </w:rPr>
        <w:t>四、项目绩效情况</w:t>
      </w:r>
      <w:r>
        <w:rPr>
          <w:rFonts w:hint="eastAsia" w:ascii="黑体" w:hAnsi="黑体" w:eastAsia="黑体" w:cs="黑体"/>
          <w:color w:val="auto"/>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（一）项目完成情况。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对照项目计划，峨眉山市总工会完成了任务目标，任务量完成、质量标准、进度计划、成本控制目标的实现程度良好。资金依法依规拨付，无超标准开支情况。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（二）项目效益情况。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eastAsia="zh-CN"/>
        </w:rPr>
        <w:t>该项目在规定时效内足额完成，服务对象为全市困难职工，服务对象满意度为</w:t>
      </w:r>
      <w:r>
        <w:rPr>
          <w:rFonts w:hint="eastAsia" w:ascii="仿宋" w:hAnsi="仿宋" w:eastAsia="仿宋" w:cs="仿宋"/>
          <w:color w:val="auto"/>
          <w:kern w:val="0"/>
          <w:sz w:val="32"/>
          <w:szCs w:val="32"/>
          <w:shd w:val="clear" w:color="auto" w:fill="FFFFFF"/>
          <w:lang w:val="en-US" w:eastAsia="zh-CN"/>
        </w:rPr>
        <w:t>100%。</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从项目实施、评价情况来看，项目绩效目标完成良好，通过慰问有效促进职工队伍稳定、提升职工幸福感，受到职工群众拥护和社会好评。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黑体" w:eastAsia="黑体" w:cs="黑体"/>
          <w:b w:val="0"/>
          <w:bCs/>
          <w:color w:val="auto"/>
          <w:sz w:val="30"/>
          <w:szCs w:val="30"/>
          <w:lang w:val="zh-CN"/>
        </w:rPr>
      </w:pPr>
      <w:r>
        <w:rPr>
          <w:rFonts w:hint="eastAsia" w:ascii="黑体" w:hAnsi="黑体" w:eastAsia="黑体" w:cs="黑体"/>
          <w:b w:val="0"/>
          <w:bCs/>
          <w:color w:val="auto"/>
          <w:sz w:val="30"/>
          <w:szCs w:val="30"/>
          <w:lang w:val="zh-CN"/>
        </w:rPr>
        <w:t>（二）存在的问题。</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zh-CN"/>
        </w:rPr>
        <w:t>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color w:val="auto"/>
          <w:sz w:val="32"/>
          <w:szCs w:val="32"/>
          <w:lang w:val="zh-CN"/>
        </w:rPr>
      </w:pPr>
      <w:r>
        <w:rPr>
          <w:rFonts w:hint="eastAsia" w:ascii="黑体" w:hAnsi="黑体" w:eastAsia="黑体" w:cs="黑体"/>
          <w:b w:val="0"/>
          <w:bCs/>
          <w:color w:val="auto"/>
          <w:sz w:val="30"/>
          <w:szCs w:val="30"/>
          <w:lang w:val="zh-CN"/>
        </w:rPr>
        <w:t>（三）相关建议</w:t>
      </w:r>
      <w:r>
        <w:rPr>
          <w:rFonts w:hint="eastAsia" w:ascii="楷体_GB2312" w:hAnsi="宋体" w:eastAsia="楷体_GB2312"/>
          <w:b/>
          <w:color w:val="auto"/>
          <w:sz w:val="32"/>
          <w:szCs w:val="32"/>
          <w:lang w:val="zh-CN"/>
        </w:rPr>
        <w:t>。</w:t>
      </w:r>
    </w:p>
    <w:p>
      <w:pPr>
        <w:keepNext w:val="0"/>
        <w:keepLines w:val="0"/>
        <w:pageBreakBefore w:val="0"/>
        <w:kinsoku/>
        <w:wordWrap/>
        <w:overflowPunct/>
        <w:topLinePunct w:val="0"/>
        <w:autoSpaceDE/>
        <w:autoSpaceDN/>
        <w:bidi w:val="0"/>
        <w:spacing w:line="600" w:lineRule="exact"/>
        <w:ind w:firstLine="640" w:firstLineChars="200"/>
        <w:textAlignment w:val="auto"/>
        <w:rPr>
          <w:rStyle w:val="28"/>
          <w:rFonts w:ascii="黑体" w:hAnsi="黑体" w:eastAsia="黑体"/>
          <w:b w:val="0"/>
          <w:color w:val="auto"/>
        </w:rPr>
      </w:pPr>
      <w:r>
        <w:rPr>
          <w:rFonts w:hint="eastAsia" w:ascii="仿宋" w:hAnsi="仿宋" w:eastAsia="仿宋" w:cs="仿宋"/>
          <w:color w:val="auto"/>
          <w:kern w:val="0"/>
          <w:sz w:val="32"/>
          <w:szCs w:val="32"/>
          <w:shd w:val="clear" w:color="auto" w:fill="FFFFFF"/>
          <w:lang w:val="zh-CN"/>
        </w:rPr>
        <w:t>无</w:t>
      </w:r>
    </w:p>
    <w:p>
      <w:pPr>
        <w:widowControl/>
        <w:jc w:val="left"/>
        <w:rPr>
          <w:rStyle w:val="28"/>
          <w:rFonts w:ascii="黑体" w:hAnsi="黑体" w:eastAsia="黑体"/>
          <w:b w:val="0"/>
          <w:color w:val="auto"/>
        </w:rPr>
      </w:pPr>
      <w:r>
        <w:rPr>
          <w:rStyle w:val="28"/>
          <w:rFonts w:ascii="黑体" w:hAnsi="黑体" w:eastAsia="黑体"/>
          <w:b w:val="0"/>
          <w:color w:val="auto"/>
        </w:rPr>
        <w:br w:type="page"/>
      </w:r>
    </w:p>
    <w:p>
      <w:pPr>
        <w:spacing w:line="600" w:lineRule="exact"/>
        <w:jc w:val="center"/>
        <w:outlineLvl w:val="0"/>
        <w:rPr>
          <w:rFonts w:ascii="仿宋" w:hAnsi="仿宋" w:eastAsia="仿宋"/>
          <w:color w:val="auto"/>
        </w:rPr>
      </w:pPr>
      <w:bookmarkStart w:id="53" w:name="_Toc15396618"/>
      <w:r>
        <w:rPr>
          <w:rFonts w:hint="eastAsia" w:ascii="黑体" w:hAnsi="黑体" w:eastAsia="黑体"/>
          <w:color w:val="auto"/>
          <w:sz w:val="44"/>
          <w:szCs w:val="44"/>
        </w:rPr>
        <w:t>第</w:t>
      </w:r>
      <w:r>
        <w:rPr>
          <w:rStyle w:val="28"/>
          <w:rFonts w:hint="eastAsia" w:ascii="黑体" w:hAnsi="黑体" w:eastAsia="黑体"/>
          <w:b w:val="0"/>
          <w:color w:val="auto"/>
        </w:rPr>
        <w:t>五部分 附表</w:t>
      </w:r>
      <w:bookmarkEnd w:id="51"/>
      <w:bookmarkEnd w:id="53"/>
      <w:bookmarkStart w:id="54" w:name="_Toc15396619"/>
    </w:p>
    <w:p>
      <w:pPr>
        <w:pStyle w:val="5"/>
        <w:rPr>
          <w:rFonts w:ascii="仿宋" w:hAnsi="仿宋" w:eastAsia="仿宋"/>
          <w:color w:val="auto"/>
        </w:rPr>
      </w:pPr>
      <w:r>
        <w:rPr>
          <w:rFonts w:hint="eastAsia" w:ascii="仿宋" w:hAnsi="仿宋" w:eastAsia="仿宋"/>
          <w:b w:val="0"/>
          <w:color w:val="auto"/>
        </w:rPr>
        <w:t>一、收</w:t>
      </w:r>
      <w:r>
        <w:rPr>
          <w:rStyle w:val="29"/>
          <w:rFonts w:hint="eastAsia" w:ascii="仿宋" w:hAnsi="仿宋" w:eastAsia="仿宋"/>
          <w:b w:val="0"/>
          <w:bCs w:val="0"/>
          <w:color w:val="auto"/>
        </w:rPr>
        <w:t>入支出决算总表</w:t>
      </w:r>
      <w:bookmarkEnd w:id="54"/>
    </w:p>
    <w:p>
      <w:pPr>
        <w:pStyle w:val="5"/>
        <w:rPr>
          <w:rFonts w:ascii="仿宋" w:hAnsi="仿宋" w:eastAsia="仿宋"/>
          <w:color w:val="auto"/>
        </w:rPr>
      </w:pPr>
      <w:bookmarkStart w:id="55" w:name="_Toc15396620"/>
      <w:r>
        <w:rPr>
          <w:rFonts w:hint="eastAsia" w:ascii="仿宋" w:hAnsi="仿宋" w:eastAsia="仿宋"/>
          <w:b w:val="0"/>
          <w:color w:val="auto"/>
        </w:rPr>
        <w:t>二、收</w:t>
      </w:r>
      <w:r>
        <w:rPr>
          <w:rStyle w:val="29"/>
          <w:rFonts w:hint="eastAsia" w:ascii="仿宋" w:hAnsi="仿宋" w:eastAsia="仿宋"/>
          <w:b w:val="0"/>
          <w:bCs w:val="0"/>
          <w:color w:val="auto"/>
        </w:rPr>
        <w:t>入决算表</w:t>
      </w:r>
      <w:bookmarkEnd w:id="55"/>
    </w:p>
    <w:p>
      <w:pPr>
        <w:pStyle w:val="5"/>
        <w:rPr>
          <w:rFonts w:ascii="仿宋" w:hAnsi="仿宋" w:eastAsia="仿宋"/>
          <w:color w:val="auto"/>
        </w:rPr>
      </w:pPr>
      <w:bookmarkStart w:id="56" w:name="_Toc15396621"/>
      <w:r>
        <w:rPr>
          <w:rStyle w:val="29"/>
          <w:rFonts w:hint="eastAsia" w:ascii="仿宋" w:hAnsi="仿宋" w:eastAsia="仿宋"/>
          <w:b w:val="0"/>
          <w:bCs w:val="0"/>
          <w:color w:val="auto"/>
        </w:rPr>
        <w:t>三、</w:t>
      </w:r>
      <w:r>
        <w:rPr>
          <w:rFonts w:hint="eastAsia" w:ascii="仿宋" w:hAnsi="仿宋" w:eastAsia="仿宋"/>
          <w:b w:val="0"/>
          <w:color w:val="auto"/>
        </w:rPr>
        <w:t>支</w:t>
      </w:r>
      <w:r>
        <w:rPr>
          <w:rStyle w:val="29"/>
          <w:rFonts w:hint="eastAsia" w:ascii="仿宋" w:hAnsi="仿宋" w:eastAsia="仿宋"/>
          <w:b w:val="0"/>
          <w:bCs w:val="0"/>
          <w:color w:val="auto"/>
        </w:rPr>
        <w:t>出决算表</w:t>
      </w:r>
      <w:bookmarkEnd w:id="56"/>
    </w:p>
    <w:p>
      <w:pPr>
        <w:pStyle w:val="5"/>
        <w:rPr>
          <w:rFonts w:ascii="仿宋" w:hAnsi="仿宋" w:eastAsia="仿宋"/>
          <w:b w:val="0"/>
          <w:color w:val="auto"/>
        </w:rPr>
      </w:pPr>
      <w:bookmarkStart w:id="57" w:name="_Toc15396622"/>
      <w:r>
        <w:rPr>
          <w:rStyle w:val="29"/>
          <w:rFonts w:hint="eastAsia" w:ascii="仿宋" w:hAnsi="仿宋" w:eastAsia="仿宋"/>
          <w:b w:val="0"/>
          <w:bCs w:val="0"/>
          <w:color w:val="auto"/>
        </w:rPr>
        <w:t>四、</w:t>
      </w:r>
      <w:r>
        <w:rPr>
          <w:rFonts w:hint="eastAsia" w:ascii="仿宋" w:hAnsi="仿宋" w:eastAsia="仿宋"/>
          <w:b w:val="0"/>
          <w:color w:val="auto"/>
        </w:rPr>
        <w:t>财</w:t>
      </w:r>
      <w:r>
        <w:rPr>
          <w:rStyle w:val="29"/>
          <w:rFonts w:hint="eastAsia" w:ascii="仿宋" w:hAnsi="仿宋" w:eastAsia="仿宋"/>
          <w:b w:val="0"/>
          <w:bCs w:val="0"/>
          <w:color w:val="auto"/>
        </w:rPr>
        <w:t>政拨款收入支出决算总表</w:t>
      </w:r>
      <w:bookmarkEnd w:id="57"/>
    </w:p>
    <w:p>
      <w:pPr>
        <w:pStyle w:val="5"/>
        <w:rPr>
          <w:rStyle w:val="29"/>
          <w:rFonts w:ascii="仿宋" w:hAnsi="仿宋" w:eastAsia="仿宋"/>
          <w:b w:val="0"/>
          <w:bCs w:val="0"/>
          <w:color w:val="auto"/>
        </w:rPr>
      </w:pPr>
      <w:bookmarkStart w:id="58" w:name="_Toc15396623"/>
      <w:r>
        <w:rPr>
          <w:rStyle w:val="29"/>
          <w:rFonts w:hint="eastAsia" w:ascii="仿宋" w:hAnsi="仿宋" w:eastAsia="仿宋"/>
          <w:b w:val="0"/>
          <w:bCs w:val="0"/>
          <w:color w:val="auto"/>
        </w:rPr>
        <w:t>五、</w:t>
      </w:r>
      <w:r>
        <w:rPr>
          <w:rFonts w:hint="eastAsia" w:ascii="仿宋" w:hAnsi="仿宋" w:eastAsia="仿宋"/>
          <w:b w:val="0"/>
          <w:color w:val="auto"/>
        </w:rPr>
        <w:t>财</w:t>
      </w:r>
      <w:r>
        <w:rPr>
          <w:rStyle w:val="29"/>
          <w:rFonts w:hint="eastAsia" w:ascii="仿宋" w:hAnsi="仿宋" w:eastAsia="仿宋"/>
          <w:b w:val="0"/>
          <w:bCs w:val="0"/>
          <w:color w:val="auto"/>
        </w:rPr>
        <w:t>政拨款支出决算明细表</w:t>
      </w:r>
      <w:bookmarkEnd w:id="58"/>
      <w:bookmarkStart w:id="59" w:name="_Toc15396624"/>
    </w:p>
    <w:p>
      <w:pPr>
        <w:pStyle w:val="5"/>
        <w:rPr>
          <w:rFonts w:ascii="仿宋" w:hAnsi="仿宋" w:eastAsia="仿宋"/>
          <w:color w:val="auto"/>
        </w:rPr>
      </w:pPr>
      <w:r>
        <w:rPr>
          <w:rStyle w:val="29"/>
          <w:rFonts w:hint="eastAsia" w:ascii="仿宋" w:hAnsi="仿宋" w:eastAsia="仿宋"/>
          <w:b w:val="0"/>
          <w:bCs w:val="0"/>
          <w:color w:val="auto"/>
        </w:rPr>
        <w:t>六、</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般公共预算财政拨款支出决算表</w:t>
      </w:r>
      <w:bookmarkEnd w:id="59"/>
    </w:p>
    <w:p>
      <w:pPr>
        <w:pStyle w:val="5"/>
        <w:rPr>
          <w:rFonts w:ascii="仿宋" w:hAnsi="仿宋" w:eastAsia="仿宋"/>
          <w:color w:val="auto"/>
        </w:rPr>
      </w:pPr>
      <w:bookmarkStart w:id="60" w:name="_Toc15396625"/>
      <w:r>
        <w:rPr>
          <w:rStyle w:val="29"/>
          <w:rFonts w:hint="eastAsia" w:ascii="仿宋" w:hAnsi="仿宋" w:eastAsia="仿宋"/>
          <w:b w:val="0"/>
          <w:bCs w:val="0"/>
          <w:color w:val="auto"/>
        </w:rPr>
        <w:t>七、</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般公共预算财政拨款支出决算明细表</w:t>
      </w:r>
      <w:bookmarkEnd w:id="60"/>
    </w:p>
    <w:p>
      <w:pPr>
        <w:pStyle w:val="5"/>
        <w:rPr>
          <w:rFonts w:ascii="仿宋" w:hAnsi="仿宋" w:eastAsia="仿宋"/>
          <w:color w:val="auto"/>
        </w:rPr>
      </w:pPr>
      <w:bookmarkStart w:id="61" w:name="_Toc15396626"/>
      <w:r>
        <w:rPr>
          <w:rStyle w:val="29"/>
          <w:rFonts w:hint="eastAsia" w:ascii="仿宋" w:hAnsi="仿宋" w:eastAsia="仿宋"/>
          <w:b w:val="0"/>
          <w:bCs w:val="0"/>
          <w:color w:val="auto"/>
        </w:rPr>
        <w:t>八、</w:t>
      </w:r>
      <w:r>
        <w:rPr>
          <w:rFonts w:hint="eastAsia" w:ascii="仿宋" w:hAnsi="仿宋" w:eastAsia="仿宋"/>
          <w:b w:val="0"/>
          <w:color w:val="auto"/>
        </w:rPr>
        <w:t>一</w:t>
      </w:r>
      <w:r>
        <w:rPr>
          <w:rStyle w:val="29"/>
          <w:rFonts w:hint="eastAsia" w:ascii="仿宋" w:hAnsi="仿宋" w:eastAsia="仿宋"/>
          <w:b w:val="0"/>
          <w:bCs w:val="0"/>
          <w:color w:val="auto"/>
        </w:rPr>
        <w:t>般公共预算财政拨款基本支出决算表</w:t>
      </w:r>
      <w:bookmarkEnd w:id="61"/>
    </w:p>
    <w:p>
      <w:pPr>
        <w:pStyle w:val="5"/>
        <w:rPr>
          <w:rFonts w:ascii="仿宋" w:hAnsi="仿宋" w:eastAsia="仿宋"/>
          <w:color w:val="auto"/>
        </w:rPr>
      </w:pPr>
      <w:bookmarkStart w:id="62" w:name="_Toc15396627"/>
      <w:r>
        <w:rPr>
          <w:rStyle w:val="29"/>
          <w:rFonts w:hint="eastAsia" w:ascii="仿宋" w:hAnsi="仿宋" w:eastAsia="仿宋"/>
          <w:b w:val="0"/>
          <w:bCs w:val="0"/>
          <w:color w:val="auto"/>
        </w:rPr>
        <w:t>九、</w:t>
      </w:r>
      <w:r>
        <w:rPr>
          <w:rFonts w:hint="eastAsia" w:ascii="仿宋" w:hAnsi="仿宋" w:eastAsia="仿宋"/>
          <w:b w:val="0"/>
          <w:color w:val="auto"/>
        </w:rPr>
        <w:t>一</w:t>
      </w:r>
      <w:r>
        <w:rPr>
          <w:rStyle w:val="29"/>
          <w:rFonts w:hint="eastAsia" w:ascii="仿宋" w:hAnsi="仿宋" w:eastAsia="仿宋"/>
          <w:b w:val="0"/>
          <w:bCs w:val="0"/>
          <w:color w:val="auto"/>
        </w:rPr>
        <w:t>般公共预算财政拨款项目支出决算表</w:t>
      </w:r>
      <w:bookmarkEnd w:id="62"/>
    </w:p>
    <w:p>
      <w:pPr>
        <w:pStyle w:val="5"/>
        <w:rPr>
          <w:rFonts w:ascii="仿宋" w:hAnsi="仿宋" w:eastAsia="仿宋"/>
          <w:color w:val="auto"/>
        </w:rPr>
      </w:pPr>
      <w:bookmarkStart w:id="63" w:name="_Toc15396628"/>
      <w:r>
        <w:rPr>
          <w:rStyle w:val="29"/>
          <w:rFonts w:hint="eastAsia" w:ascii="仿宋" w:hAnsi="仿宋" w:eastAsia="仿宋"/>
          <w:b w:val="0"/>
          <w:bCs w:val="0"/>
          <w:color w:val="auto"/>
        </w:rPr>
        <w:t>十、</w:t>
      </w:r>
      <w:bookmarkEnd w:id="63"/>
      <w:r>
        <w:rPr>
          <w:rFonts w:hint="eastAsia" w:ascii="仿宋" w:hAnsi="仿宋" w:eastAsia="仿宋"/>
          <w:b w:val="0"/>
          <w:color w:val="auto"/>
        </w:rPr>
        <w:t>政</w:t>
      </w:r>
      <w:r>
        <w:rPr>
          <w:rStyle w:val="29"/>
          <w:rFonts w:hint="eastAsia" w:ascii="仿宋" w:hAnsi="仿宋" w:eastAsia="仿宋"/>
          <w:b w:val="0"/>
          <w:bCs w:val="0"/>
          <w:color w:val="auto"/>
        </w:rPr>
        <w:t>府性基金预算财政拨款收入支出决算表</w:t>
      </w:r>
    </w:p>
    <w:p>
      <w:pPr>
        <w:pStyle w:val="5"/>
        <w:rPr>
          <w:rFonts w:ascii="仿宋" w:hAnsi="仿宋" w:eastAsia="仿宋"/>
          <w:color w:val="auto"/>
        </w:rPr>
      </w:pPr>
      <w:bookmarkStart w:id="64" w:name="_Toc15396629"/>
      <w:r>
        <w:rPr>
          <w:rStyle w:val="29"/>
          <w:rFonts w:hint="eastAsia" w:ascii="仿宋" w:hAnsi="仿宋" w:eastAsia="仿宋"/>
          <w:b w:val="0"/>
          <w:bCs w:val="0"/>
          <w:color w:val="auto"/>
        </w:rPr>
        <w:t>十一、</w:t>
      </w:r>
      <w:bookmarkEnd w:id="64"/>
      <w:r>
        <w:rPr>
          <w:rFonts w:hint="eastAsia" w:ascii="仿宋" w:hAnsi="仿宋" w:eastAsia="仿宋"/>
          <w:b w:val="0"/>
          <w:color w:val="auto"/>
        </w:rPr>
        <w:t>国</w:t>
      </w:r>
      <w:r>
        <w:rPr>
          <w:rStyle w:val="29"/>
          <w:rFonts w:hint="eastAsia" w:ascii="仿宋" w:hAnsi="仿宋" w:eastAsia="仿宋"/>
          <w:b w:val="0"/>
          <w:bCs w:val="0"/>
          <w:color w:val="auto"/>
        </w:rPr>
        <w:t>有资本经营预算财政拨款收入支出决算表</w:t>
      </w:r>
    </w:p>
    <w:p>
      <w:pPr>
        <w:pStyle w:val="5"/>
        <w:rPr>
          <w:rFonts w:ascii="仿宋" w:hAnsi="仿宋" w:eastAsia="仿宋"/>
          <w:color w:val="auto"/>
        </w:rPr>
      </w:pPr>
      <w:bookmarkStart w:id="65" w:name="_Toc15396630"/>
      <w:r>
        <w:rPr>
          <w:rStyle w:val="29"/>
          <w:rFonts w:hint="eastAsia" w:ascii="仿宋" w:hAnsi="仿宋" w:eastAsia="仿宋"/>
          <w:b w:val="0"/>
          <w:bCs w:val="0"/>
          <w:color w:val="auto"/>
        </w:rPr>
        <w:t>十二、</w:t>
      </w:r>
      <w:bookmarkEnd w:id="65"/>
      <w:r>
        <w:rPr>
          <w:rStyle w:val="29"/>
          <w:rFonts w:hint="eastAsia" w:ascii="仿宋" w:hAnsi="仿宋" w:eastAsia="仿宋"/>
          <w:b w:val="0"/>
          <w:bCs w:val="0"/>
          <w:color w:val="auto"/>
        </w:rPr>
        <w:t>国有资本经营预算财政拨款支出决算表</w:t>
      </w:r>
    </w:p>
    <w:p>
      <w:pPr>
        <w:pStyle w:val="5"/>
        <w:rPr>
          <w:rFonts w:eastAsia="仿宋"/>
          <w:color w:val="auto"/>
        </w:rPr>
      </w:pPr>
      <w:bookmarkStart w:id="66" w:name="_Toc15396631"/>
      <w:r>
        <w:rPr>
          <w:rStyle w:val="29"/>
          <w:rFonts w:hint="eastAsia" w:ascii="仿宋" w:hAnsi="仿宋" w:eastAsia="仿宋"/>
          <w:b w:val="0"/>
          <w:bCs w:val="0"/>
          <w:color w:val="auto"/>
        </w:rPr>
        <w:t>十三、</w:t>
      </w:r>
      <w:bookmarkEnd w:id="66"/>
      <w:r>
        <w:rPr>
          <w:rStyle w:val="29"/>
          <w:rFonts w:hint="eastAsia" w:ascii="仿宋" w:hAnsi="仿宋" w:eastAsia="仿宋"/>
          <w:b w:val="0"/>
          <w:bCs w:val="0"/>
          <w:color w:val="auto"/>
        </w:rPr>
        <w:t>财政拨款“三公”经费支出决算表</w:t>
      </w:r>
    </w:p>
    <w:sectPr>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val="en-US" w:eastAsia="zh-CN"/>
      </w:rPr>
    </w:pP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8306"/>
      </w:tabs>
      <w:rPr>
        <w:rFonts w:hint="eastAsia" w:eastAsia="宋体"/>
        <w:lang w:val="en-US" w:eastAsia="zh-CN"/>
      </w:rPr>
    </w:pPr>
    <w:r>
      <w:rPr>
        <w:rFonts w:hint="eastAsia"/>
        <w:lang w:val="en-US" w:eastAsia="zh-CN"/>
      </w:rPr>
      <w:tab/>
    </w:r>
    <w:r>
      <w:rPr>
        <w:rFonts w:hint="eastAsia"/>
        <w:lang w:val="en-US"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5E0661F"/>
    <w:multiLevelType w:val="singleLevel"/>
    <w:tmpl w:val="F5E0661F"/>
    <w:lvl w:ilvl="0" w:tentative="0">
      <w:start w:val="1"/>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880C7D9"/>
    <w:multiLevelType w:val="singleLevel"/>
    <w:tmpl w:val="1880C7D9"/>
    <w:lvl w:ilvl="0" w:tentative="0">
      <w:start w:val="1"/>
      <w:numFmt w:val="chineseCounting"/>
      <w:suff w:val="nothing"/>
      <w:lvlText w:val="（%1）"/>
      <w:lvlJc w:val="left"/>
      <w:rPr>
        <w:rFonts w:hint="eastAsia"/>
      </w:rPr>
    </w:lvl>
  </w:abstractNum>
  <w:abstractNum w:abstractNumId="7">
    <w:nsid w:val="3096B135"/>
    <w:multiLevelType w:val="singleLevel"/>
    <w:tmpl w:val="3096B135"/>
    <w:lvl w:ilvl="0" w:tentative="0">
      <w:start w:val="2"/>
      <w:numFmt w:val="decimal"/>
      <w:suff w:val="nothing"/>
      <w:lvlText w:val="%1．"/>
      <w:lvlJc w:val="left"/>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28DE"/>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8D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29C4"/>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6E5688"/>
    <w:rsid w:val="01AB3AD6"/>
    <w:rsid w:val="02143E91"/>
    <w:rsid w:val="021951FF"/>
    <w:rsid w:val="025340DF"/>
    <w:rsid w:val="0298517F"/>
    <w:rsid w:val="02C24393"/>
    <w:rsid w:val="031F6CAB"/>
    <w:rsid w:val="032D6EBB"/>
    <w:rsid w:val="03482973"/>
    <w:rsid w:val="03F4380B"/>
    <w:rsid w:val="042B6520"/>
    <w:rsid w:val="04734CF3"/>
    <w:rsid w:val="04847877"/>
    <w:rsid w:val="04963629"/>
    <w:rsid w:val="04D80079"/>
    <w:rsid w:val="04E0470D"/>
    <w:rsid w:val="04FE23A5"/>
    <w:rsid w:val="050B6856"/>
    <w:rsid w:val="051303DF"/>
    <w:rsid w:val="051F7A75"/>
    <w:rsid w:val="058B242B"/>
    <w:rsid w:val="059A197A"/>
    <w:rsid w:val="05B66CEF"/>
    <w:rsid w:val="061B46EB"/>
    <w:rsid w:val="061C6693"/>
    <w:rsid w:val="06572FF5"/>
    <w:rsid w:val="065B1F66"/>
    <w:rsid w:val="066E0107"/>
    <w:rsid w:val="0759191E"/>
    <w:rsid w:val="07996F6E"/>
    <w:rsid w:val="07AB2622"/>
    <w:rsid w:val="08D6430E"/>
    <w:rsid w:val="08DA2D14"/>
    <w:rsid w:val="09342EB2"/>
    <w:rsid w:val="099519E5"/>
    <w:rsid w:val="09C36515"/>
    <w:rsid w:val="09ED0EE7"/>
    <w:rsid w:val="09FB4D4C"/>
    <w:rsid w:val="0A17271C"/>
    <w:rsid w:val="0A2032A3"/>
    <w:rsid w:val="0A436A63"/>
    <w:rsid w:val="0A7D11C6"/>
    <w:rsid w:val="0A7E5203"/>
    <w:rsid w:val="0AAB7FE4"/>
    <w:rsid w:val="0AFD1714"/>
    <w:rsid w:val="0B1F63F1"/>
    <w:rsid w:val="0B3B6FFB"/>
    <w:rsid w:val="0B94518E"/>
    <w:rsid w:val="0BC23D3D"/>
    <w:rsid w:val="0BDE406C"/>
    <w:rsid w:val="0BEC6E1F"/>
    <w:rsid w:val="0C5C6C65"/>
    <w:rsid w:val="0CB905C7"/>
    <w:rsid w:val="0D205F17"/>
    <w:rsid w:val="0D46511A"/>
    <w:rsid w:val="0D55756C"/>
    <w:rsid w:val="0D845C3B"/>
    <w:rsid w:val="0D86113E"/>
    <w:rsid w:val="0DA1776A"/>
    <w:rsid w:val="0E6D0592"/>
    <w:rsid w:val="0EA0510E"/>
    <w:rsid w:val="0F42576D"/>
    <w:rsid w:val="0F7F6CFB"/>
    <w:rsid w:val="0F8E1513"/>
    <w:rsid w:val="0F98263C"/>
    <w:rsid w:val="0FE644D8"/>
    <w:rsid w:val="0FEA3E2B"/>
    <w:rsid w:val="0FEE2832"/>
    <w:rsid w:val="101860EC"/>
    <w:rsid w:val="1036294B"/>
    <w:rsid w:val="103C03B2"/>
    <w:rsid w:val="10B25DF3"/>
    <w:rsid w:val="10C055FF"/>
    <w:rsid w:val="117C56BD"/>
    <w:rsid w:val="118107EC"/>
    <w:rsid w:val="118C6962"/>
    <w:rsid w:val="11BC4318"/>
    <w:rsid w:val="123D337B"/>
    <w:rsid w:val="127A5EAD"/>
    <w:rsid w:val="127C66E3"/>
    <w:rsid w:val="1317051C"/>
    <w:rsid w:val="13333E4C"/>
    <w:rsid w:val="1345032A"/>
    <w:rsid w:val="136E36ED"/>
    <w:rsid w:val="13836400"/>
    <w:rsid w:val="13CE4A0B"/>
    <w:rsid w:val="13D50BC4"/>
    <w:rsid w:val="14043157"/>
    <w:rsid w:val="152F114F"/>
    <w:rsid w:val="15491CF9"/>
    <w:rsid w:val="156567B0"/>
    <w:rsid w:val="15686D2B"/>
    <w:rsid w:val="15C43062"/>
    <w:rsid w:val="15D254EE"/>
    <w:rsid w:val="16127DF3"/>
    <w:rsid w:val="16273400"/>
    <w:rsid w:val="16943AE7"/>
    <w:rsid w:val="16BB723D"/>
    <w:rsid w:val="16DA633E"/>
    <w:rsid w:val="16E524CF"/>
    <w:rsid w:val="16FA74C1"/>
    <w:rsid w:val="16FB21FE"/>
    <w:rsid w:val="171C2EF9"/>
    <w:rsid w:val="175C099D"/>
    <w:rsid w:val="17665015"/>
    <w:rsid w:val="17D548A6"/>
    <w:rsid w:val="182C48E3"/>
    <w:rsid w:val="18884C1A"/>
    <w:rsid w:val="18962766"/>
    <w:rsid w:val="18B74E99"/>
    <w:rsid w:val="18D11F5A"/>
    <w:rsid w:val="18E118C9"/>
    <w:rsid w:val="19193C38"/>
    <w:rsid w:val="19552348"/>
    <w:rsid w:val="195B698E"/>
    <w:rsid w:val="19736EC8"/>
    <w:rsid w:val="19C65056"/>
    <w:rsid w:val="19DE77BA"/>
    <w:rsid w:val="19F86B2A"/>
    <w:rsid w:val="1A143B59"/>
    <w:rsid w:val="1A5439C0"/>
    <w:rsid w:val="1A7651FA"/>
    <w:rsid w:val="1AA24B43"/>
    <w:rsid w:val="1AA753C0"/>
    <w:rsid w:val="1AE17956"/>
    <w:rsid w:val="1AE73302"/>
    <w:rsid w:val="1AF26D42"/>
    <w:rsid w:val="1B03673C"/>
    <w:rsid w:val="1B042A07"/>
    <w:rsid w:val="1B1D0E8B"/>
    <w:rsid w:val="1BB22770"/>
    <w:rsid w:val="1BB42683"/>
    <w:rsid w:val="1BBD7E75"/>
    <w:rsid w:val="1BBE0A14"/>
    <w:rsid w:val="1BE8440E"/>
    <w:rsid w:val="1C2415D1"/>
    <w:rsid w:val="1C3337B9"/>
    <w:rsid w:val="1CA3450A"/>
    <w:rsid w:val="1CD01614"/>
    <w:rsid w:val="1CDE5139"/>
    <w:rsid w:val="1CED5103"/>
    <w:rsid w:val="1D047A26"/>
    <w:rsid w:val="1D155CEE"/>
    <w:rsid w:val="1D581F12"/>
    <w:rsid w:val="1D7B5C0A"/>
    <w:rsid w:val="1E0508CE"/>
    <w:rsid w:val="1E0E6FDF"/>
    <w:rsid w:val="1E1643EB"/>
    <w:rsid w:val="1E266EA0"/>
    <w:rsid w:val="1E654612"/>
    <w:rsid w:val="1EB33EEA"/>
    <w:rsid w:val="1F1808FB"/>
    <w:rsid w:val="1F2E35E7"/>
    <w:rsid w:val="1F543A73"/>
    <w:rsid w:val="1F8547A3"/>
    <w:rsid w:val="1FD2749C"/>
    <w:rsid w:val="1FF35744"/>
    <w:rsid w:val="208B11F0"/>
    <w:rsid w:val="20B60F71"/>
    <w:rsid w:val="20F61D01"/>
    <w:rsid w:val="212F207F"/>
    <w:rsid w:val="213B06DA"/>
    <w:rsid w:val="216462AE"/>
    <w:rsid w:val="22221AA2"/>
    <w:rsid w:val="225F1390"/>
    <w:rsid w:val="22A576AB"/>
    <w:rsid w:val="22A72B65"/>
    <w:rsid w:val="22EC475E"/>
    <w:rsid w:val="22F53F69"/>
    <w:rsid w:val="23061C85"/>
    <w:rsid w:val="23106D12"/>
    <w:rsid w:val="2318553D"/>
    <w:rsid w:val="23440B01"/>
    <w:rsid w:val="235B2A1C"/>
    <w:rsid w:val="23780236"/>
    <w:rsid w:val="23780CBF"/>
    <w:rsid w:val="238415E0"/>
    <w:rsid w:val="23860B96"/>
    <w:rsid w:val="239B5464"/>
    <w:rsid w:val="23AF3398"/>
    <w:rsid w:val="240371BF"/>
    <w:rsid w:val="242F39F2"/>
    <w:rsid w:val="24335B6F"/>
    <w:rsid w:val="24D857CC"/>
    <w:rsid w:val="24E84399"/>
    <w:rsid w:val="25156162"/>
    <w:rsid w:val="253A322E"/>
    <w:rsid w:val="257E5B91"/>
    <w:rsid w:val="25D07BEE"/>
    <w:rsid w:val="2609307B"/>
    <w:rsid w:val="260A5775"/>
    <w:rsid w:val="260B392E"/>
    <w:rsid w:val="263E274C"/>
    <w:rsid w:val="267A2300"/>
    <w:rsid w:val="26916953"/>
    <w:rsid w:val="269243D5"/>
    <w:rsid w:val="26A3466F"/>
    <w:rsid w:val="273C364F"/>
    <w:rsid w:val="28256D6A"/>
    <w:rsid w:val="286E4815"/>
    <w:rsid w:val="28E02362"/>
    <w:rsid w:val="290B5D62"/>
    <w:rsid w:val="294A10CA"/>
    <w:rsid w:val="296B6BBA"/>
    <w:rsid w:val="29DB1BE7"/>
    <w:rsid w:val="29FD04D3"/>
    <w:rsid w:val="2A1D6494"/>
    <w:rsid w:val="2A2B0D39"/>
    <w:rsid w:val="2A4525E7"/>
    <w:rsid w:val="2A4C71DA"/>
    <w:rsid w:val="2A770838"/>
    <w:rsid w:val="2AA53905"/>
    <w:rsid w:val="2B5C6B16"/>
    <w:rsid w:val="2B6F6A0F"/>
    <w:rsid w:val="2BA45A27"/>
    <w:rsid w:val="2BAD433A"/>
    <w:rsid w:val="2BDA3DE8"/>
    <w:rsid w:val="2BE05071"/>
    <w:rsid w:val="2C8A61B5"/>
    <w:rsid w:val="2CD46962"/>
    <w:rsid w:val="2D2A2BE8"/>
    <w:rsid w:val="2DF04E50"/>
    <w:rsid w:val="2DF80479"/>
    <w:rsid w:val="2E2D764F"/>
    <w:rsid w:val="2E65302C"/>
    <w:rsid w:val="2E8C546A"/>
    <w:rsid w:val="2EC639EA"/>
    <w:rsid w:val="2EF74B19"/>
    <w:rsid w:val="2EF9389F"/>
    <w:rsid w:val="2F00322A"/>
    <w:rsid w:val="2F040D46"/>
    <w:rsid w:val="2F074DB3"/>
    <w:rsid w:val="2F191106"/>
    <w:rsid w:val="2F1F59C4"/>
    <w:rsid w:val="2F262724"/>
    <w:rsid w:val="2F92601C"/>
    <w:rsid w:val="2FEF063D"/>
    <w:rsid w:val="2FF104B5"/>
    <w:rsid w:val="30640AF8"/>
    <w:rsid w:val="30A070D3"/>
    <w:rsid w:val="30BC55FB"/>
    <w:rsid w:val="30EF52D7"/>
    <w:rsid w:val="319F7F4E"/>
    <w:rsid w:val="31B37E3C"/>
    <w:rsid w:val="31CB082C"/>
    <w:rsid w:val="31D574D0"/>
    <w:rsid w:val="324C0413"/>
    <w:rsid w:val="32545820"/>
    <w:rsid w:val="32565D7D"/>
    <w:rsid w:val="328D1B43"/>
    <w:rsid w:val="32DC69FE"/>
    <w:rsid w:val="3304709D"/>
    <w:rsid w:val="331F61ED"/>
    <w:rsid w:val="3351624C"/>
    <w:rsid w:val="335D3B57"/>
    <w:rsid w:val="338C3B7D"/>
    <w:rsid w:val="33D46F96"/>
    <w:rsid w:val="33F97425"/>
    <w:rsid w:val="34044E0D"/>
    <w:rsid w:val="348E76C9"/>
    <w:rsid w:val="3509378F"/>
    <w:rsid w:val="35D97593"/>
    <w:rsid w:val="3612772E"/>
    <w:rsid w:val="36374201"/>
    <w:rsid w:val="367F5FD5"/>
    <w:rsid w:val="36983186"/>
    <w:rsid w:val="36AA5135"/>
    <w:rsid w:val="36AF21EA"/>
    <w:rsid w:val="36C158C1"/>
    <w:rsid w:val="376D39B2"/>
    <w:rsid w:val="37B315EE"/>
    <w:rsid w:val="37BC5AD7"/>
    <w:rsid w:val="37DC53E8"/>
    <w:rsid w:val="37E16F03"/>
    <w:rsid w:val="37E81E34"/>
    <w:rsid w:val="38173168"/>
    <w:rsid w:val="381C311D"/>
    <w:rsid w:val="38371749"/>
    <w:rsid w:val="38D469F0"/>
    <w:rsid w:val="38E43BAC"/>
    <w:rsid w:val="391F4686"/>
    <w:rsid w:val="3956276E"/>
    <w:rsid w:val="39D61D1E"/>
    <w:rsid w:val="39DF07FF"/>
    <w:rsid w:val="3A0E134F"/>
    <w:rsid w:val="3AC5607D"/>
    <w:rsid w:val="3AD65514"/>
    <w:rsid w:val="3AFD3B2E"/>
    <w:rsid w:val="3AFF0D6C"/>
    <w:rsid w:val="3C104F43"/>
    <w:rsid w:val="3C8C6EBC"/>
    <w:rsid w:val="3CB13B21"/>
    <w:rsid w:val="3CEE3985"/>
    <w:rsid w:val="3D32428F"/>
    <w:rsid w:val="3D5D1410"/>
    <w:rsid w:val="3D924493"/>
    <w:rsid w:val="3D98207C"/>
    <w:rsid w:val="3DC73669"/>
    <w:rsid w:val="3DD424F2"/>
    <w:rsid w:val="3DDD580C"/>
    <w:rsid w:val="3E186F76"/>
    <w:rsid w:val="3E78745D"/>
    <w:rsid w:val="3E7E7594"/>
    <w:rsid w:val="3E906080"/>
    <w:rsid w:val="3EAF5B65"/>
    <w:rsid w:val="3F4C3465"/>
    <w:rsid w:val="3F5D1180"/>
    <w:rsid w:val="3F5F4684"/>
    <w:rsid w:val="3FA21491"/>
    <w:rsid w:val="3FCC263D"/>
    <w:rsid w:val="400E3886"/>
    <w:rsid w:val="401D15BF"/>
    <w:rsid w:val="402176B6"/>
    <w:rsid w:val="40433F40"/>
    <w:rsid w:val="404913D0"/>
    <w:rsid w:val="405A1423"/>
    <w:rsid w:val="40903AFC"/>
    <w:rsid w:val="40E20083"/>
    <w:rsid w:val="414F1CAB"/>
    <w:rsid w:val="415E238D"/>
    <w:rsid w:val="41673C9E"/>
    <w:rsid w:val="41911676"/>
    <w:rsid w:val="41994793"/>
    <w:rsid w:val="41E57350"/>
    <w:rsid w:val="41EA2E34"/>
    <w:rsid w:val="420444ED"/>
    <w:rsid w:val="42504434"/>
    <w:rsid w:val="429E5DDA"/>
    <w:rsid w:val="42C6151D"/>
    <w:rsid w:val="42D65F34"/>
    <w:rsid w:val="43071F86"/>
    <w:rsid w:val="434765EB"/>
    <w:rsid w:val="44683714"/>
    <w:rsid w:val="449A756D"/>
    <w:rsid w:val="44BC438E"/>
    <w:rsid w:val="44C3117F"/>
    <w:rsid w:val="44C84166"/>
    <w:rsid w:val="44DA5705"/>
    <w:rsid w:val="44E268DA"/>
    <w:rsid w:val="44E32678"/>
    <w:rsid w:val="453A088B"/>
    <w:rsid w:val="457436D1"/>
    <w:rsid w:val="45C27C01"/>
    <w:rsid w:val="462508E8"/>
    <w:rsid w:val="462B7D2E"/>
    <w:rsid w:val="46AA57A4"/>
    <w:rsid w:val="46AB4AE4"/>
    <w:rsid w:val="46DE70D4"/>
    <w:rsid w:val="470E4DF8"/>
    <w:rsid w:val="47417871"/>
    <w:rsid w:val="48205161"/>
    <w:rsid w:val="48552138"/>
    <w:rsid w:val="4872031D"/>
    <w:rsid w:val="48DC3316"/>
    <w:rsid w:val="48E716A7"/>
    <w:rsid w:val="48FE3FFB"/>
    <w:rsid w:val="4919662F"/>
    <w:rsid w:val="49750012"/>
    <w:rsid w:val="4984282A"/>
    <w:rsid w:val="49A751E0"/>
    <w:rsid w:val="49BA2D04"/>
    <w:rsid w:val="49E360C7"/>
    <w:rsid w:val="49ED4C28"/>
    <w:rsid w:val="4A1632B8"/>
    <w:rsid w:val="4A2674B1"/>
    <w:rsid w:val="4A2A53BA"/>
    <w:rsid w:val="4A2F4538"/>
    <w:rsid w:val="4A446121"/>
    <w:rsid w:val="4A627F82"/>
    <w:rsid w:val="4AB4537F"/>
    <w:rsid w:val="4AB873A4"/>
    <w:rsid w:val="4AE25FEA"/>
    <w:rsid w:val="4AE414ED"/>
    <w:rsid w:val="4AFF76F6"/>
    <w:rsid w:val="4B0E749A"/>
    <w:rsid w:val="4B4F25DA"/>
    <w:rsid w:val="4B523D1F"/>
    <w:rsid w:val="4B8D6483"/>
    <w:rsid w:val="4BE068DB"/>
    <w:rsid w:val="4C063CDF"/>
    <w:rsid w:val="4C103999"/>
    <w:rsid w:val="4C244078"/>
    <w:rsid w:val="4CB613E8"/>
    <w:rsid w:val="4CB701C3"/>
    <w:rsid w:val="4D073B1F"/>
    <w:rsid w:val="4D183E14"/>
    <w:rsid w:val="4D2B391B"/>
    <w:rsid w:val="4D33374C"/>
    <w:rsid w:val="4D577224"/>
    <w:rsid w:val="4D5E08FC"/>
    <w:rsid w:val="4D8D29C9"/>
    <w:rsid w:val="4E0439E7"/>
    <w:rsid w:val="4E0F5F32"/>
    <w:rsid w:val="4E4A08F5"/>
    <w:rsid w:val="4EAB630A"/>
    <w:rsid w:val="4ECE2238"/>
    <w:rsid w:val="4EEF00E8"/>
    <w:rsid w:val="4F4B70C0"/>
    <w:rsid w:val="4F6A47B3"/>
    <w:rsid w:val="500243D3"/>
    <w:rsid w:val="500C26BE"/>
    <w:rsid w:val="50175272"/>
    <w:rsid w:val="50267A8B"/>
    <w:rsid w:val="50587360"/>
    <w:rsid w:val="50640BF4"/>
    <w:rsid w:val="50D5692A"/>
    <w:rsid w:val="515E7689"/>
    <w:rsid w:val="51914ADE"/>
    <w:rsid w:val="51D00CA3"/>
    <w:rsid w:val="51E02400"/>
    <w:rsid w:val="51ED06F5"/>
    <w:rsid w:val="52383FF3"/>
    <w:rsid w:val="52796FDA"/>
    <w:rsid w:val="52B471BF"/>
    <w:rsid w:val="537E6D0A"/>
    <w:rsid w:val="53917AA7"/>
    <w:rsid w:val="539B3C3A"/>
    <w:rsid w:val="53BE7672"/>
    <w:rsid w:val="53CA0F06"/>
    <w:rsid w:val="53CF2C75"/>
    <w:rsid w:val="53D22156"/>
    <w:rsid w:val="54000620"/>
    <w:rsid w:val="54ED7D64"/>
    <w:rsid w:val="55147C23"/>
    <w:rsid w:val="551B3FE8"/>
    <w:rsid w:val="551F7522"/>
    <w:rsid w:val="55394034"/>
    <w:rsid w:val="553F42EB"/>
    <w:rsid w:val="556357A4"/>
    <w:rsid w:val="557434C0"/>
    <w:rsid w:val="557914C7"/>
    <w:rsid w:val="55D831E4"/>
    <w:rsid w:val="55F85EF6"/>
    <w:rsid w:val="5626557A"/>
    <w:rsid w:val="56902993"/>
    <w:rsid w:val="56A16EA8"/>
    <w:rsid w:val="56F426B7"/>
    <w:rsid w:val="56F42C1B"/>
    <w:rsid w:val="56FF0A48"/>
    <w:rsid w:val="573D7F9D"/>
    <w:rsid w:val="575D6863"/>
    <w:rsid w:val="57822B16"/>
    <w:rsid w:val="57F528D4"/>
    <w:rsid w:val="5815278F"/>
    <w:rsid w:val="5864707E"/>
    <w:rsid w:val="58782833"/>
    <w:rsid w:val="587C21B3"/>
    <w:rsid w:val="58D512BC"/>
    <w:rsid w:val="58EE7DB3"/>
    <w:rsid w:val="59A5419F"/>
    <w:rsid w:val="59CC37D3"/>
    <w:rsid w:val="59F55223"/>
    <w:rsid w:val="5A802C08"/>
    <w:rsid w:val="5A9B01BE"/>
    <w:rsid w:val="5ADE51A0"/>
    <w:rsid w:val="5AEA013B"/>
    <w:rsid w:val="5AF92295"/>
    <w:rsid w:val="5B042033"/>
    <w:rsid w:val="5B042563"/>
    <w:rsid w:val="5B0B05EE"/>
    <w:rsid w:val="5B2D739D"/>
    <w:rsid w:val="5B30122D"/>
    <w:rsid w:val="5B322F9D"/>
    <w:rsid w:val="5B5F6850"/>
    <w:rsid w:val="5C0E3314"/>
    <w:rsid w:val="5CD71FC4"/>
    <w:rsid w:val="5CDD26E7"/>
    <w:rsid w:val="5CE65575"/>
    <w:rsid w:val="5D1E47D6"/>
    <w:rsid w:val="5D1E5A83"/>
    <w:rsid w:val="5D6C6AD3"/>
    <w:rsid w:val="5E0D6CD8"/>
    <w:rsid w:val="5E0E40DE"/>
    <w:rsid w:val="5E3D13AA"/>
    <w:rsid w:val="5E753102"/>
    <w:rsid w:val="5EDC5A30"/>
    <w:rsid w:val="5F06153B"/>
    <w:rsid w:val="5F195E17"/>
    <w:rsid w:val="5F2E6734"/>
    <w:rsid w:val="5F4131D6"/>
    <w:rsid w:val="5F7239A5"/>
    <w:rsid w:val="60702E3A"/>
    <w:rsid w:val="609E0870"/>
    <w:rsid w:val="60BD774A"/>
    <w:rsid w:val="60CA600A"/>
    <w:rsid w:val="60D26DE5"/>
    <w:rsid w:val="611F6EE4"/>
    <w:rsid w:val="612A6E3D"/>
    <w:rsid w:val="616014B3"/>
    <w:rsid w:val="61A34F3F"/>
    <w:rsid w:val="61BF6F04"/>
    <w:rsid w:val="61E6342A"/>
    <w:rsid w:val="62127771"/>
    <w:rsid w:val="62A47136"/>
    <w:rsid w:val="62B06A9B"/>
    <w:rsid w:val="63200533"/>
    <w:rsid w:val="634C7776"/>
    <w:rsid w:val="634E308D"/>
    <w:rsid w:val="63715C78"/>
    <w:rsid w:val="63D761CD"/>
    <w:rsid w:val="63E23270"/>
    <w:rsid w:val="63EB287A"/>
    <w:rsid w:val="63EC1709"/>
    <w:rsid w:val="644E43F4"/>
    <w:rsid w:val="649725E6"/>
    <w:rsid w:val="64B07140"/>
    <w:rsid w:val="64CD14A7"/>
    <w:rsid w:val="64F36545"/>
    <w:rsid w:val="652E72A6"/>
    <w:rsid w:val="652E7A0E"/>
    <w:rsid w:val="6591642E"/>
    <w:rsid w:val="65985D94"/>
    <w:rsid w:val="660776F2"/>
    <w:rsid w:val="663F0B50"/>
    <w:rsid w:val="67E9104B"/>
    <w:rsid w:val="67F07212"/>
    <w:rsid w:val="68350126"/>
    <w:rsid w:val="68377A30"/>
    <w:rsid w:val="68685BD7"/>
    <w:rsid w:val="686D58E2"/>
    <w:rsid w:val="68AC55FF"/>
    <w:rsid w:val="68BD6966"/>
    <w:rsid w:val="68E0459C"/>
    <w:rsid w:val="694A3FCB"/>
    <w:rsid w:val="69A31C4C"/>
    <w:rsid w:val="69FA2AEA"/>
    <w:rsid w:val="6A06437E"/>
    <w:rsid w:val="6A7946BD"/>
    <w:rsid w:val="6AA516C4"/>
    <w:rsid w:val="6B085226"/>
    <w:rsid w:val="6B3218ED"/>
    <w:rsid w:val="6B670EB3"/>
    <w:rsid w:val="6B7F44DB"/>
    <w:rsid w:val="6BCE1C35"/>
    <w:rsid w:val="6BE1298B"/>
    <w:rsid w:val="6C032A25"/>
    <w:rsid w:val="6C492DBB"/>
    <w:rsid w:val="6C4A05C8"/>
    <w:rsid w:val="6C6F12F5"/>
    <w:rsid w:val="6C9846B8"/>
    <w:rsid w:val="6CDC7B2E"/>
    <w:rsid w:val="6CFA3457"/>
    <w:rsid w:val="6D6917DB"/>
    <w:rsid w:val="6DA97D78"/>
    <w:rsid w:val="6DF46B4F"/>
    <w:rsid w:val="6E317B76"/>
    <w:rsid w:val="6E3A5F0F"/>
    <w:rsid w:val="6E5B561D"/>
    <w:rsid w:val="6E7E3605"/>
    <w:rsid w:val="6ED461E0"/>
    <w:rsid w:val="6EEF3665"/>
    <w:rsid w:val="6F283A6C"/>
    <w:rsid w:val="6F4B4F26"/>
    <w:rsid w:val="6F5E40CF"/>
    <w:rsid w:val="6F70709D"/>
    <w:rsid w:val="6FB07A4A"/>
    <w:rsid w:val="6FF07C32"/>
    <w:rsid w:val="6FF5CC65"/>
    <w:rsid w:val="708D0DB5"/>
    <w:rsid w:val="70B15AF2"/>
    <w:rsid w:val="70E34339"/>
    <w:rsid w:val="7121548D"/>
    <w:rsid w:val="712424D4"/>
    <w:rsid w:val="715C0E4B"/>
    <w:rsid w:val="71967069"/>
    <w:rsid w:val="71BF0D70"/>
    <w:rsid w:val="71E103E2"/>
    <w:rsid w:val="71FB0F8C"/>
    <w:rsid w:val="71FC5EFE"/>
    <w:rsid w:val="7252741C"/>
    <w:rsid w:val="725470F4"/>
    <w:rsid w:val="7266678A"/>
    <w:rsid w:val="72734D90"/>
    <w:rsid w:val="72740323"/>
    <w:rsid w:val="73850A93"/>
    <w:rsid w:val="73AD73D5"/>
    <w:rsid w:val="73B14241"/>
    <w:rsid w:val="73B64AE5"/>
    <w:rsid w:val="73B6EB34"/>
    <w:rsid w:val="742D0BE7"/>
    <w:rsid w:val="744731E5"/>
    <w:rsid w:val="74B34483"/>
    <w:rsid w:val="74DB0B06"/>
    <w:rsid w:val="7506045D"/>
    <w:rsid w:val="750A7995"/>
    <w:rsid w:val="750D34EE"/>
    <w:rsid w:val="756A3176"/>
    <w:rsid w:val="75E509CE"/>
    <w:rsid w:val="75F407B2"/>
    <w:rsid w:val="75F45394"/>
    <w:rsid w:val="761459A6"/>
    <w:rsid w:val="761D2CD5"/>
    <w:rsid w:val="766C04D6"/>
    <w:rsid w:val="76B10FCA"/>
    <w:rsid w:val="76CA582B"/>
    <w:rsid w:val="76E3355F"/>
    <w:rsid w:val="771E02F9"/>
    <w:rsid w:val="77677EBC"/>
    <w:rsid w:val="778769C8"/>
    <w:rsid w:val="77BC3CB3"/>
    <w:rsid w:val="77E14E6D"/>
    <w:rsid w:val="77EE09D2"/>
    <w:rsid w:val="784A2326"/>
    <w:rsid w:val="784C2F6A"/>
    <w:rsid w:val="785F1F8A"/>
    <w:rsid w:val="786F5A37"/>
    <w:rsid w:val="78B17A38"/>
    <w:rsid w:val="78CE6C82"/>
    <w:rsid w:val="797A548E"/>
    <w:rsid w:val="799A068D"/>
    <w:rsid w:val="79D319C8"/>
    <w:rsid w:val="79EE5BA4"/>
    <w:rsid w:val="79F60EFB"/>
    <w:rsid w:val="7A566842"/>
    <w:rsid w:val="7A726172"/>
    <w:rsid w:val="7A7725FA"/>
    <w:rsid w:val="7A894339"/>
    <w:rsid w:val="7A9F24BA"/>
    <w:rsid w:val="7B4D1359"/>
    <w:rsid w:val="7B4F0A70"/>
    <w:rsid w:val="7B5C26F1"/>
    <w:rsid w:val="7B694604"/>
    <w:rsid w:val="7B954FD0"/>
    <w:rsid w:val="7C0C7AC5"/>
    <w:rsid w:val="7C777B41"/>
    <w:rsid w:val="7C7D1A4A"/>
    <w:rsid w:val="7C877DDC"/>
    <w:rsid w:val="7C896B62"/>
    <w:rsid w:val="7CDD2D69"/>
    <w:rsid w:val="7D106A3B"/>
    <w:rsid w:val="7D25315D"/>
    <w:rsid w:val="7D662703"/>
    <w:rsid w:val="7DDB60A9"/>
    <w:rsid w:val="7E0E607F"/>
    <w:rsid w:val="7E5E004E"/>
    <w:rsid w:val="7E6B47E6"/>
    <w:rsid w:val="7EB23BE8"/>
    <w:rsid w:val="7EEF11D3"/>
    <w:rsid w:val="7F153F59"/>
    <w:rsid w:val="7F1B1110"/>
    <w:rsid w:val="7F2A6C54"/>
    <w:rsid w:val="7F466D9F"/>
    <w:rsid w:val="7F492E62"/>
    <w:rsid w:val="7F63180E"/>
    <w:rsid w:val="7F7229C6"/>
    <w:rsid w:val="7F862CC7"/>
    <w:rsid w:val="7FA30C79"/>
    <w:rsid w:val="7FB7269E"/>
    <w:rsid w:val="7FC96657"/>
    <w:rsid w:val="7FD91B5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3"/>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91"/>
    <w:basedOn w:val="16"/>
    <w:qFormat/>
    <w:uiPriority w:val="0"/>
    <w:rPr>
      <w:rFonts w:hint="eastAsia" w:ascii="宋体" w:hAnsi="宋体" w:eastAsia="宋体" w:cs="宋体"/>
      <w:i/>
      <w:iCs/>
      <w:color w:val="000000"/>
      <w:sz w:val="16"/>
      <w:szCs w:val="16"/>
      <w:u w:val="none"/>
    </w:rPr>
  </w:style>
  <w:style w:type="character" w:customStyle="1" w:styleId="36">
    <w:name w:val="font111"/>
    <w:basedOn w:val="16"/>
    <w:qFormat/>
    <w:uiPriority w:val="0"/>
    <w:rPr>
      <w:rFonts w:hint="eastAsia" w:ascii="宋体" w:hAnsi="宋体" w:eastAsia="宋体" w:cs="宋体"/>
      <w:i/>
      <w:iCs/>
      <w:strike/>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7754;&#27754;\&#39044;&#31639;&#20915;&#31639;\&#36130;&#25919;\2022&#24180;&#36130;&#25919;&#20915;&#31639;\&#20915;&#31639;&#20844;&#24320;&#36164;&#26009;2023.11.21\2022&#24180;&#20915;&#31639;&#20844;&#24320;&#36741;&#21161;&#36164;&#26009;\2022&#24180;&#20915;&#31639;&#35828;&#26126;&#20013;&#30340;&#25968;&#25454;&#23545;&#27604;&#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7754;&#27754;\&#39044;&#31639;&#20915;&#31639;\&#36130;&#25919;\2022&#24180;&#36130;&#25919;&#20915;&#31639;\&#20915;&#31639;&#20844;&#24320;&#36164;&#26009;2023.11.21\2022&#24180;&#20915;&#31639;&#20844;&#24320;&#36741;&#21161;&#36164;&#26009;\2022&#24180;&#20915;&#31639;&#35828;&#26126;&#20013;&#30340;&#25968;&#25454;&#23545;&#27604;&#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7754;&#27754;\&#39044;&#31639;&#20915;&#31639;\&#36130;&#25919;\2022&#24180;&#36130;&#25919;&#20915;&#31639;\&#20915;&#31639;&#20844;&#24320;&#36164;&#26009;2023.11.21\2022&#24180;&#20915;&#31639;&#20844;&#24320;&#36741;&#21161;&#36164;&#26009;\2022&#24180;&#20915;&#31639;&#35828;&#26126;&#20013;&#30340;&#25968;&#25454;&#23545;&#27604;&#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7754;&#27754;\&#39044;&#31639;&#20915;&#31639;\&#36130;&#25919;\2022&#24180;&#36130;&#25919;&#20915;&#31639;\&#20915;&#31639;&#20844;&#24320;&#36164;&#26009;2023.11.21\2022&#24180;&#20915;&#31639;&#20844;&#24320;&#36741;&#21161;&#36164;&#26009;\2022&#24180;&#20915;&#31639;&#35828;&#26126;&#20013;&#30340;&#25968;&#25454;&#23545;&#27604;&#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7754;&#27754;\&#39044;&#31639;&#20915;&#31639;\&#36130;&#25919;\2022&#24180;&#36130;&#25919;&#20915;&#31639;\&#20915;&#31639;&#20844;&#24320;&#36164;&#26009;2023.11.21\2022&#24180;&#20915;&#31639;&#20844;&#24320;&#36741;&#21161;&#36164;&#26009;\2022&#24180;&#20915;&#31639;&#35828;&#26126;&#20013;&#30340;&#25968;&#25454;&#23545;&#27604;&#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7754;&#27754;\&#39044;&#31639;&#20915;&#31639;\&#36130;&#25919;\2022&#24180;&#36130;&#25919;&#20915;&#31639;\&#20915;&#31639;&#20844;&#24320;&#36164;&#26009;2023.11.21\2022&#24180;&#20915;&#31639;&#20844;&#24320;&#36741;&#21161;&#36164;&#26009;\2022&#24180;&#20915;&#31639;&#35828;&#26126;&#20013;&#30340;&#25968;&#25454;&#23545;&#2760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'[2022年决算说明中的数据对比图表.xlsx]（图1）收支决算总计变动情况图'!$A$3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'[2022年决算说明中的数据对比图表.xlsx]（图1）收支决算总计变动情况图'!$B$1:$E$2</c:f>
              <c:multiLvlStrCache>
                <c:ptCount val="4"/>
                <c:lvl>
                  <c:pt idx="0">
                    <c:v>收入</c:v>
                  </c:pt>
                  <c:pt idx="1">
                    <c:v>支出</c:v>
                  </c:pt>
                  <c:pt idx="2">
                    <c:v>2022年收入增加</c:v>
                  </c:pt>
                  <c:pt idx="3">
                    <c:v>2022年支出增加</c:v>
                  </c:pt>
                </c:lvl>
                <c:lvl/>
              </c:multiLvlStrCache>
            </c:multiLvlStrRef>
          </c:cat>
          <c:val>
            <c:numRef>
              <c:f>'[2022年决算说明中的数据对比图表.xlsx]（图1）收支决算总计变动情况图'!$B$3:$E$3</c:f>
              <c:numCache>
                <c:formatCode>General</c:formatCode>
                <c:ptCount val="4"/>
                <c:pt idx="0">
                  <c:v>95.2</c:v>
                </c:pt>
                <c:pt idx="1">
                  <c:v>86.15</c:v>
                </c:pt>
              </c:numCache>
            </c:numRef>
          </c:val>
        </c:ser>
        <c:ser>
          <c:idx val="1"/>
          <c:order val="1"/>
          <c:tx>
            <c:strRef>
              <c:f>'[2022年决算说明中的数据对比图表.xlsx]（图1）收支决算总计变动情况图'!$A$4</c:f>
              <c:strCache>
                <c:ptCount val="1"/>
                <c:pt idx="0">
                  <c:v>2022年  单位：万元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'[2022年决算说明中的数据对比图表.xlsx]（图1）收支决算总计变动情况图'!$B$1:$E$2</c:f>
              <c:multiLvlStrCache>
                <c:ptCount val="4"/>
                <c:lvl>
                  <c:pt idx="0">
                    <c:v>收入</c:v>
                  </c:pt>
                  <c:pt idx="1">
                    <c:v>支出</c:v>
                  </c:pt>
                  <c:pt idx="2">
                    <c:v>2022年收入增加</c:v>
                  </c:pt>
                  <c:pt idx="3">
                    <c:v>2022年支出增加</c:v>
                  </c:pt>
                </c:lvl>
                <c:lvl/>
              </c:multiLvlStrCache>
            </c:multiLvlStrRef>
          </c:cat>
          <c:val>
            <c:numRef>
              <c:f>'[2022年决算说明中的数据对比图表.xlsx]（图1）收支决算总计变动情况图'!$B$4:$E$4</c:f>
              <c:numCache>
                <c:formatCode>General</c:formatCode>
                <c:ptCount val="4"/>
                <c:pt idx="0">
                  <c:v>222.73</c:v>
                </c:pt>
                <c:pt idx="1">
                  <c:v>229.13</c:v>
                </c:pt>
                <c:pt idx="2">
                  <c:v>127.53</c:v>
                </c:pt>
                <c:pt idx="3">
                  <c:v>142.98</c:v>
                </c:pt>
              </c:numCache>
            </c:numRef>
          </c:val>
        </c:ser>
        <c:dLbls>
          <c:showLegendKey val="0"/>
          <c:showVal val="1"/>
          <c:showCatName val="0"/>
          <c:showSerName val="0"/>
          <c:showPercent val="0"/>
          <c:showBubbleSize val="0"/>
        </c:dLbls>
        <c:gapWidth val="219"/>
        <c:overlap val="-27"/>
        <c:axId val="995075265"/>
        <c:axId val="933951548"/>
      </c:barChart>
      <c:catAx>
        <c:axId val="9950752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3951548"/>
        <c:crosses val="autoZero"/>
        <c:auto val="1"/>
        <c:lblAlgn val="ctr"/>
        <c:lblOffset val="100"/>
        <c:noMultiLvlLbl val="0"/>
      </c:catAx>
      <c:valAx>
        <c:axId val="9339515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50752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'[2022年决算说明中的数据对比图表.xlsx]（图2）收入决算结构图'!$A$2</c:f>
              <c:strCache>
                <c:ptCount val="1"/>
                <c:pt idx="0">
                  <c:v>财政拨款收入  单位：万元</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'[2022年决算说明中的数据对比图表.xlsx]（图2）收入决算结构图'!$B$2</c:f>
              <c:numCache>
                <c:formatCode>General</c:formatCode>
                <c:ptCount val="1"/>
                <c:pt idx="0">
                  <c:v>222.73</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 202</a:t>
            </a:r>
            <a:r>
              <a:rPr lang="en-US" altLang="zh-CN"/>
              <a:t>2</a:t>
            </a:r>
            <a:r>
              <a:t>年</a:t>
            </a:r>
          </a:p>
        </c:rich>
      </c:tx>
      <c:layout/>
      <c:overlay val="0"/>
      <c:spPr>
        <a:noFill/>
        <a:ln>
          <a:noFill/>
        </a:ln>
        <a:effectLst/>
      </c:spPr>
    </c:title>
    <c:autoTitleDeleted val="0"/>
    <c:plotArea>
      <c:layout/>
      <c:pieChart>
        <c:varyColors val="1"/>
        <c:ser>
          <c:idx val="0"/>
          <c:order val="0"/>
          <c:tx>
            <c:strRef>
              <c:f>'[2022年决算说明中的数据对比图表.xlsx]（图3）支出决算结构图  '!$B$1:$B$2</c:f>
              <c:strCache>
                <c:ptCount val="1"/>
                <c:pt idx="0">
                  <c:v>支出决算结构图 2022年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'[2022年决算说明中的数据对比图表.xlsx]（图3）支出决算结构图  '!$A$3:$A$4</c:f>
              <c:strCache>
                <c:ptCount val="2"/>
                <c:pt idx="0">
                  <c:v>基本支出</c:v>
                </c:pt>
                <c:pt idx="1">
                  <c:v>项目支出  单位：万元</c:v>
                </c:pt>
              </c:strCache>
            </c:strRef>
          </c:cat>
          <c:val>
            <c:numRef>
              <c:f>'[2022年决算说明中的数据对比图表.xlsx]（图3）支出决算结构图  '!$B$3:$B$4</c:f>
              <c:numCache>
                <c:formatCode>0%</c:formatCode>
                <c:ptCount val="2"/>
                <c:pt idx="0">
                  <c:v>0.3712</c:v>
                </c:pt>
                <c:pt idx="1" c:formatCode="0.00%">
                  <c:v>0.6288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'[2022年决算说明中的数据对比图表.xlsx]（图4）财政拨款收支决算总计变动情况图'!$A$3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'[2022年决算说明中的数据对比图表.xlsx]（图4）财政拨款收支决算总计变动情况图'!$B$1:$E$2</c:f>
              <c:multiLvlStrCache>
                <c:ptCount val="4"/>
                <c:lvl>
                  <c:pt idx="0">
                    <c:v>收入</c:v>
                  </c:pt>
                  <c:pt idx="1">
                    <c:v>支出</c:v>
                  </c:pt>
                  <c:pt idx="2">
                    <c:v>2022年收入增加</c:v>
                  </c:pt>
                  <c:pt idx="3">
                    <c:v>2022年支出增加</c:v>
                  </c:pt>
                </c:lvl>
                <c:lvl/>
              </c:multiLvlStrCache>
            </c:multiLvlStrRef>
          </c:cat>
          <c:val>
            <c:numRef>
              <c:f>'[2022年决算说明中的数据对比图表.xlsx]（图4）财政拨款收支决算总计变动情况图'!$B$3:$E$3</c:f>
              <c:numCache>
                <c:formatCode>General</c:formatCode>
                <c:ptCount val="4"/>
                <c:pt idx="0">
                  <c:v>95.2</c:v>
                </c:pt>
                <c:pt idx="1">
                  <c:v>86.15</c:v>
                </c:pt>
              </c:numCache>
            </c:numRef>
          </c:val>
        </c:ser>
        <c:ser>
          <c:idx val="1"/>
          <c:order val="1"/>
          <c:tx>
            <c:strRef>
              <c:f>'[2022年决算说明中的数据对比图表.xlsx]（图4）财政拨款收支决算总计变动情况图'!$A$4</c:f>
              <c:strCache>
                <c:ptCount val="1"/>
                <c:pt idx="0">
                  <c:v>2022年   单位：万元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'[2022年决算说明中的数据对比图表.xlsx]（图4）财政拨款收支决算总计变动情况图'!$B$1:$E$2</c:f>
              <c:multiLvlStrCache>
                <c:ptCount val="4"/>
                <c:lvl>
                  <c:pt idx="0">
                    <c:v>收入</c:v>
                  </c:pt>
                  <c:pt idx="1">
                    <c:v>支出</c:v>
                  </c:pt>
                  <c:pt idx="2">
                    <c:v>2022年收入增加</c:v>
                  </c:pt>
                  <c:pt idx="3">
                    <c:v>2022年支出增加</c:v>
                  </c:pt>
                </c:lvl>
                <c:lvl/>
              </c:multiLvlStrCache>
            </c:multiLvlStrRef>
          </c:cat>
          <c:val>
            <c:numRef>
              <c:f>'[2022年决算说明中的数据对比图表.xlsx]（图4）财政拨款收支决算总计变动情况图'!$B$4:$E$4</c:f>
              <c:numCache>
                <c:formatCode>General</c:formatCode>
                <c:ptCount val="4"/>
                <c:pt idx="0">
                  <c:v>222.73</c:v>
                </c:pt>
                <c:pt idx="1">
                  <c:v>229.13</c:v>
                </c:pt>
                <c:pt idx="2">
                  <c:v>127.53</c:v>
                </c:pt>
                <c:pt idx="3">
                  <c:v>142.98</c:v>
                </c:pt>
              </c:numCache>
            </c:numRef>
          </c:val>
        </c:ser>
        <c:dLbls>
          <c:showLegendKey val="0"/>
          <c:showVal val="1"/>
          <c:showCatName val="0"/>
          <c:showSerName val="0"/>
          <c:showPercent val="0"/>
          <c:showBubbleSize val="0"/>
        </c:dLbls>
        <c:gapWidth val="219"/>
        <c:overlap val="-27"/>
        <c:axId val="153379017"/>
        <c:axId val="559816748"/>
      </c:barChart>
      <c:catAx>
        <c:axId val="1533790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9816748"/>
        <c:crosses val="autoZero"/>
        <c:auto val="1"/>
        <c:lblAlgn val="ctr"/>
        <c:lblOffset val="100"/>
        <c:noMultiLvlLbl val="0"/>
      </c:catAx>
      <c:valAx>
        <c:axId val="5598167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3790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'[2022年决算说明中的数据对比图表.xlsx]（图5）一般公共预算财政拨款支出决算变动情况'!$A$3</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'[2022年决算说明中的数据对比图表.xlsx]（图5）一般公共预算财政拨款支出决算变动情况'!$B$1:$C$2</c:f>
              <c:multiLvlStrCache>
                <c:ptCount val="2"/>
                <c:lvl>
                  <c:pt idx="0">
                    <c:v>支出</c:v>
                  </c:pt>
                  <c:pt idx="1">
                    <c:v>2022年支出增加</c:v>
                  </c:pt>
                </c:lvl>
                <c:lvl/>
              </c:multiLvlStrCache>
            </c:multiLvlStrRef>
          </c:cat>
          <c:val>
            <c:numRef>
              <c:f>'[2022年决算说明中的数据对比图表.xlsx]（图5）一般公共预算财政拨款支出决算变动情况'!$B$3:$C$3</c:f>
              <c:numCache>
                <c:formatCode>General</c:formatCode>
                <c:ptCount val="2"/>
                <c:pt idx="0">
                  <c:v>86.15</c:v>
                </c:pt>
              </c:numCache>
            </c:numRef>
          </c:val>
        </c:ser>
        <c:ser>
          <c:idx val="1"/>
          <c:order val="1"/>
          <c:tx>
            <c:strRef>
              <c:f>'[2022年决算说明中的数据对比图表.xlsx]（图5）一般公共预算财政拨款支出决算变动情况'!$A$4</c:f>
              <c:strCache>
                <c:ptCount val="1"/>
                <c:pt idx="0">
                  <c:v>2022年  单位：万元</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'[2022年决算说明中的数据对比图表.xlsx]（图5）一般公共预算财政拨款支出决算变动情况'!$B$1:$C$2</c:f>
              <c:multiLvlStrCache>
                <c:ptCount val="2"/>
                <c:lvl>
                  <c:pt idx="0">
                    <c:v>支出</c:v>
                  </c:pt>
                  <c:pt idx="1">
                    <c:v>2022年支出增加</c:v>
                  </c:pt>
                </c:lvl>
                <c:lvl/>
              </c:multiLvlStrCache>
            </c:multiLvlStrRef>
          </c:cat>
          <c:val>
            <c:numRef>
              <c:f>'[2022年决算说明中的数据对比图表.xlsx]（图5）一般公共预算财政拨款支出决算变动情况'!$B$4:$C$4</c:f>
              <c:numCache>
                <c:formatCode>General</c:formatCode>
                <c:ptCount val="2"/>
                <c:pt idx="0">
                  <c:v>229.13</c:v>
                </c:pt>
                <c:pt idx="1">
                  <c:v>142.98</c:v>
                </c:pt>
              </c:numCache>
            </c:numRef>
          </c:val>
        </c:ser>
        <c:dLbls>
          <c:showLegendKey val="0"/>
          <c:showVal val="1"/>
          <c:showCatName val="0"/>
          <c:showSerName val="0"/>
          <c:showPercent val="0"/>
          <c:showBubbleSize val="0"/>
        </c:dLbls>
        <c:gapWidth val="219"/>
        <c:overlap val="-27"/>
        <c:axId val="153379017"/>
        <c:axId val="559816748"/>
      </c:barChart>
      <c:catAx>
        <c:axId val="1533790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9816748"/>
        <c:crosses val="autoZero"/>
        <c:auto val="1"/>
        <c:lblAlgn val="ctr"/>
        <c:lblOffset val="100"/>
        <c:noMultiLvlLbl val="0"/>
      </c:catAx>
      <c:valAx>
        <c:axId val="5598167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337901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'[2022年决算说明中的数据对比图表.xlsx]（图6）一般公共预算财政拨款支出决算结构'!$B$1:$B$2</c:f>
              <c:strCache>
                <c:ptCount val="1"/>
                <c:pt idx="0">
                  <c:v>一般公共预算财政拨款支出决算结构 2022年</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'[2022年决算说明中的数据对比图表.xlsx]（图6）一般公共预算财政拨款支出决算结构'!$A$3:$A$6</c:f>
              <c:strCache>
                <c:ptCount val="4"/>
                <c:pt idx="0">
                  <c:v>一般公共服务支出</c:v>
                </c:pt>
                <c:pt idx="1">
                  <c:v>社会保障和就业支出</c:v>
                </c:pt>
                <c:pt idx="2">
                  <c:v>卫生健康支出    单位：万元</c:v>
                </c:pt>
              </c:strCache>
            </c:strRef>
          </c:cat>
          <c:val>
            <c:numRef>
              <c:f>'[2022年决算说明中的数据对比图表.xlsx]（图6）一般公共预算财政拨款支出决算结构'!$B$3:$B$6</c:f>
              <c:numCache>
                <c:formatCode>0%</c:formatCode>
                <c:ptCount val="4"/>
                <c:pt idx="0">
                  <c:v>0.8282</c:v>
                </c:pt>
                <c:pt idx="1" c:formatCode="0.00%">
                  <c:v>0.1477</c:v>
                </c:pt>
                <c:pt idx="2">
                  <c:v>0.0241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1239</Words>
  <Characters>7065</Characters>
  <Lines>58</Lines>
  <Paragraphs>16</Paragraphs>
  <TotalTime>28</TotalTime>
  <ScaleCrop>false</ScaleCrop>
  <LinksUpToDate>false</LinksUpToDate>
  <CharactersWithSpaces>8288</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2023-12-13T03:24:00Z</cp:lastPrinted>
  <dcterms:modified xsi:type="dcterms:W3CDTF">2023-12-13T06:59:18Z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2C35FB6031F64A0AA44F5F49C91B74FE</vt:lpwstr>
  </property>
</Properties>
</file>