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425"/>
      <w:bookmarkStart w:id="4" w:name="_Toc15377193"/>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06268"/>
      <w:bookmarkStart w:id="9" w:name="_Toc15396598"/>
      <w:bookmarkStart w:id="10" w:name="_Toc15377426"/>
      <w:bookmarkStart w:id="11" w:name="_Toc15378442"/>
      <w:r>
        <w:rPr>
          <w:rFonts w:hint="eastAsia" w:ascii="方正小标宋简体" w:hAnsi="方正小标宋简体" w:eastAsia="方正小标宋简体" w:cs="方正小标宋简体"/>
          <w:sz w:val="72"/>
          <w:szCs w:val="72"/>
          <w:lang w:eastAsia="zh-CN"/>
        </w:rPr>
        <w:t>峨眉山市退役军人事务局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outlineLvl w:val="1"/>
        <w:rPr>
          <w:rFonts w:ascii="黑体" w:hAnsi="黑体" w:eastAsia="黑体" w:cstheme="minorBidi"/>
          <w:sz w:val="28"/>
          <w:szCs w:val="28"/>
        </w:rPr>
      </w:pPr>
    </w:p>
    <w:p>
      <w:pPr>
        <w:pStyle w:val="10"/>
        <w:keepNext w:val="0"/>
        <w:keepLines w:val="0"/>
        <w:pageBreakBefore w:val="0"/>
        <w:kinsoku/>
        <w:wordWrap/>
        <w:overflowPunct/>
        <w:topLinePunct w:val="0"/>
        <w:autoSpaceDE/>
        <w:autoSpaceDN/>
        <w:bidi w:val="0"/>
        <w:spacing w:line="600" w:lineRule="exact"/>
        <w:textAlignment w:val="auto"/>
        <w:rPr>
          <w:color w:val="auto"/>
        </w:rPr>
      </w:pPr>
      <w:r>
        <w:rPr>
          <w:rFonts w:hint="eastAsia"/>
          <w:color w:val="auto"/>
        </w:rPr>
        <w:t>公开时间：2023年</w:t>
      </w:r>
      <w:r>
        <w:rPr>
          <w:rFonts w:hint="eastAsia"/>
          <w:color w:val="auto"/>
          <w:lang w:val="en-US" w:eastAsia="zh-CN"/>
        </w:rPr>
        <w:t>12</w:t>
      </w:r>
      <w:r>
        <w:rPr>
          <w:rFonts w:hint="eastAsia"/>
          <w:color w:val="auto"/>
        </w:rPr>
        <w:t>月</w:t>
      </w:r>
      <w:r>
        <w:rPr>
          <w:rFonts w:hint="eastAsia"/>
          <w:color w:val="auto"/>
          <w:lang w:val="en-US" w:eastAsia="zh-CN"/>
        </w:rPr>
        <w:t>11</w:t>
      </w:r>
      <w:r>
        <w:rPr>
          <w:rFonts w:hint="eastAsia"/>
          <w:color w:val="auto"/>
        </w:rPr>
        <w:t>日</w:t>
      </w:r>
      <w:bookmarkStart w:id="70" w:name="_GoBack"/>
      <w:bookmarkEnd w:id="70"/>
    </w:p>
    <w:p>
      <w:pPr>
        <w:keepNext w:val="0"/>
        <w:keepLines w:val="0"/>
        <w:pageBreakBefore w:val="0"/>
        <w:kinsoku/>
        <w:wordWrap/>
        <w:overflowPunct/>
        <w:topLinePunct w:val="0"/>
        <w:autoSpaceDE/>
        <w:autoSpaceDN/>
        <w:bidi w:val="0"/>
        <w:spacing w:line="600" w:lineRule="exact"/>
        <w:textAlignment w:val="auto"/>
        <w:rPr>
          <w:color w:val="auto"/>
        </w:rPr>
      </w:pP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第一部分 部门概况</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一、部门职责</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二、机构设置</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6</w:t>
      </w: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第二部分 2022年度部门决算情况说明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kern w:val="2"/>
          <w:sz w:val="32"/>
          <w:szCs w:val="32"/>
          <w:lang w:val="en-US" w:eastAsia="zh-CN" w:bidi="ar-SA"/>
        </w:rPr>
        <w:t>8</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一、收入支出决算总体情况说明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8</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二、收入决算情况说明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8</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9</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四、财政拨款收入支出决算总体情况说明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9</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五、一般公共预算财政拨款支出决算情况说明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六、一般公共预算财政拨款基本支出决算情况说明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七、财政拨款“三公”经费支出决算情况说明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八、政府性基金预算支出决算情况说明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14</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九、国有资本经营预算支出决算情况说明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14</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heme="minorEastAsia" w:hAnsiTheme="minorEastAsia" w:eastAsiaTheme="minorEastAsia" w:cstheme="minorEastAsia"/>
          <w:color w:val="auto"/>
          <w:sz w:val="24"/>
          <w:lang w:val="en-US"/>
        </w:rPr>
      </w:pPr>
      <w:r>
        <w:rPr>
          <w:rFonts w:hint="eastAsia" w:ascii="仿宋_GB2312" w:hAnsi="仿宋_GB2312" w:eastAsia="仿宋_GB2312" w:cs="仿宋_GB2312"/>
          <w:color w:val="auto"/>
          <w:sz w:val="32"/>
          <w:szCs w:val="32"/>
        </w:rPr>
        <w:t>十、其他重要事项的情况说明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14</w:t>
      </w: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第三部分 名词解释</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15</w:t>
      </w: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cs="仿宋_GB2312" w:eastAsiaTheme="minorEastAsia"/>
          <w:color w:val="auto"/>
          <w:sz w:val="32"/>
          <w:szCs w:val="32"/>
          <w:lang w:val="en-US" w:eastAsia="zh-CN"/>
        </w:rPr>
      </w:pPr>
      <w:r>
        <w:rPr>
          <w:rFonts w:hint="eastAsia" w:ascii="黑体" w:hAnsi="黑体" w:eastAsia="黑体" w:cs="黑体"/>
          <w:color w:val="auto"/>
          <w:sz w:val="32"/>
          <w:szCs w:val="32"/>
        </w:rPr>
        <w:t>第四部分 附件</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18</w:t>
      </w: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cs="仿宋_GB2312" w:eastAsiaTheme="minorEastAsia"/>
          <w:color w:val="auto"/>
          <w:sz w:val="32"/>
          <w:szCs w:val="32"/>
          <w:lang w:val="en-US" w:eastAsia="zh-CN"/>
        </w:rPr>
      </w:pPr>
      <w:r>
        <w:rPr>
          <w:rFonts w:hint="eastAsia" w:ascii="黑体" w:hAnsi="黑体" w:eastAsia="黑体" w:cs="黑体"/>
          <w:color w:val="auto"/>
          <w:sz w:val="32"/>
          <w:szCs w:val="32"/>
        </w:rPr>
        <w:t>第五部分 附表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Theme="minorEastAsia" w:hAnsiTheme="minorEastAsia" w:eastAsiaTheme="minorEastAsia" w:cstheme="minorEastAsia"/>
          <w:color w:val="auto"/>
          <w:sz w:val="24"/>
        </w:rPr>
      </w:pPr>
      <w:r>
        <w:rPr>
          <w:rFonts w:hint="eastAsia" w:ascii="仿宋_GB2312" w:hAnsi="仿宋_GB2312" w:eastAsia="仿宋_GB2312" w:cs="仿宋_GB2312"/>
          <w:color w:val="auto"/>
          <w:sz w:val="32"/>
          <w:szCs w:val="32"/>
        </w:rPr>
        <w:t>一、收入支出决算总表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二、收入决算表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四、财政拨款收入支出决算总表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、一般公共预算财政拨款支出决算表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、一般公共预算财政拨款基本支出决算明细表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、一般公共预算财政拨款项目支出决算表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、政府性基金预算财政拨款收入支出决算表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、国有资本经营预算财政拨款收入支出决算表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十、国有资本经营预算财政拨款支出决算表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、财政拨款“三公”经费支出决算表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30</w:t>
      </w:r>
    </w:p>
    <w:p>
      <w:pPr>
        <w:keepNext w:val="0"/>
        <w:keepLines w:val="0"/>
        <w:pageBreakBefore w:val="0"/>
        <w:widowControl/>
        <w:kinsoku/>
        <w:wordWrap/>
        <w:overflowPunct/>
        <w:topLinePunct w:val="0"/>
        <w:autoSpaceDE/>
        <w:autoSpaceDN/>
        <w:bidi w:val="0"/>
        <w:adjustRightInd w:val="0"/>
        <w:snapToGrid w:val="0"/>
        <w:spacing w:line="600" w:lineRule="exact"/>
        <w:ind w:firstLine="1320" w:firstLineChars="550"/>
        <w:jc w:val="left"/>
        <w:textAlignment w:val="auto"/>
        <w:rPr>
          <w:rFonts w:ascii="仿宋" w:hAnsi="仿宋" w:eastAsia="仿宋"/>
          <w:color w:val="auto"/>
          <w:sz w:val="24"/>
        </w:rPr>
      </w:pPr>
    </w:p>
    <w:p>
      <w:pPr>
        <w:pStyle w:val="10"/>
      </w:pP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spacing w:after="0" w:afterAutospacing="0"/>
        <w:jc w:val="center"/>
        <w:rPr>
          <w:rStyle w:val="25"/>
          <w:rFonts w:ascii="黑体" w:hAnsi="黑体" w:eastAsia="黑体"/>
          <w:b/>
          <w:bCs w:val="0"/>
        </w:rPr>
      </w:pPr>
      <w:bookmarkStart w:id="14" w:name="_Hlk146544157"/>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spacing w:beforeAutospacing="0" w:afterAutospacing="0"/>
        <w:jc w:val="left"/>
        <w:rPr>
          <w:rFonts w:ascii="黑体" w:eastAsia="黑体"/>
          <w:sz w:val="32"/>
          <w:szCs w:val="32"/>
        </w:rPr>
      </w:pPr>
    </w:p>
    <w:p>
      <w:pPr>
        <w:pStyle w:val="4"/>
        <w:numPr>
          <w:ilvl w:val="0"/>
          <w:numId w:val="1"/>
        </w:numPr>
        <w:spacing w:before="0" w:beforeAutospacing="0" w:after="0" w:afterAutospacing="0"/>
        <w:rPr>
          <w:rStyle w:val="26"/>
          <w:rFonts w:ascii="黑体" w:hAnsi="黑体" w:eastAsia="黑体"/>
          <w:b w:val="0"/>
          <w:bCs w:val="0"/>
        </w:rPr>
      </w:pPr>
      <w:bookmarkStart w:id="15" w:name="_Toc15377197"/>
      <w:bookmarkStart w:id="16" w:name="_Toc15396600"/>
      <w:r>
        <w:rPr>
          <w:rStyle w:val="26"/>
          <w:rFonts w:hint="eastAsia" w:ascii="黑体" w:hAnsi="黑体" w:eastAsia="黑体"/>
          <w:b w:val="0"/>
          <w:bCs w:val="0"/>
        </w:rPr>
        <w:t>主要职责</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17" w:name="_Toc15377198"/>
      <w:bookmarkStart w:id="18" w:name="_Toc15378445"/>
      <w:r>
        <w:rPr>
          <w:rFonts w:hint="eastAsia" w:ascii="楷体_GB2312" w:hAnsi="楷体_GB2312" w:eastAsia="楷体_GB2312" w:cs="楷体_GB2312"/>
          <w:b w:val="0"/>
          <w:bCs w:val="0"/>
          <w:color w:val="auto"/>
          <w:sz w:val="32"/>
          <w:szCs w:val="32"/>
          <w:highlight w:val="none"/>
          <w:lang w:eastAsia="zh-CN"/>
        </w:rPr>
        <w:t>（一）主要职能。</w:t>
      </w:r>
      <w:bookmarkEnd w:id="17"/>
      <w:bookmarkEnd w:id="18"/>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涉密</w:t>
      </w:r>
      <w:r>
        <w:rPr>
          <w:rFonts w:hint="eastAsia" w:ascii="楷体_GB2312" w:hAnsi="楷体_GB2312" w:eastAsia="楷体_GB2312" w:cs="楷体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19" w:name="_Toc15377199"/>
      <w:bookmarkStart w:id="20" w:name="_Toc15378446"/>
      <w:r>
        <w:rPr>
          <w:rFonts w:hint="eastAsia" w:ascii="楷体_GB2312" w:hAnsi="楷体_GB2312" w:eastAsia="楷体_GB2312" w:cs="楷体_GB2312"/>
          <w:b w:val="0"/>
          <w:bCs w:val="0"/>
          <w:color w:val="auto"/>
          <w:sz w:val="32"/>
          <w:szCs w:val="32"/>
          <w:highlight w:val="none"/>
          <w:lang w:eastAsia="zh-CN"/>
        </w:rPr>
        <w:t>（二）202</w:t>
      </w:r>
      <w:r>
        <w:rPr>
          <w:rFonts w:hint="eastAsia" w:ascii="楷体_GB2312" w:hAnsi="楷体_GB2312" w:eastAsia="楷体_GB2312" w:cs="楷体_GB2312"/>
          <w:b w:val="0"/>
          <w:bCs w:val="0"/>
          <w:color w:val="auto"/>
          <w:sz w:val="32"/>
          <w:szCs w:val="32"/>
          <w:highlight w:val="none"/>
          <w:lang w:val="en-US" w:eastAsia="zh-CN"/>
        </w:rPr>
        <w:t>2</w:t>
      </w:r>
      <w:r>
        <w:rPr>
          <w:rFonts w:hint="eastAsia" w:ascii="楷体_GB2312" w:hAnsi="楷体_GB2312" w:eastAsia="楷体_GB2312" w:cs="楷体_GB2312"/>
          <w:b w:val="0"/>
          <w:bCs w:val="0"/>
          <w:color w:val="auto"/>
          <w:sz w:val="32"/>
          <w:szCs w:val="32"/>
          <w:highlight w:val="none"/>
          <w:lang w:eastAsia="zh-CN"/>
        </w:rPr>
        <w:t>年重点工作完成情况。</w:t>
      </w:r>
      <w:bookmarkEnd w:id="19"/>
      <w:bookmarkEnd w:id="20"/>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聚焦特色亮点，多项重点工作</w:t>
      </w:r>
      <w:r>
        <w:rPr>
          <w:rFonts w:hint="eastAsia" w:ascii="仿宋_GB2312" w:hAnsi="仿宋_GB2312" w:eastAsia="仿宋_GB2312" w:cs="仿宋_GB2312"/>
          <w:b w:val="0"/>
          <w:bCs w:val="0"/>
          <w:color w:val="auto"/>
          <w:sz w:val="32"/>
          <w:szCs w:val="32"/>
          <w:lang w:val="en-US" w:eastAsia="zh-CN"/>
        </w:rPr>
        <w:t>实现新突破</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持续深化双拥共建。优化力量构建军供“星级服务”，高质量完成军供保障任务，向省厅争取到专项资金，用于军供站提质改造项目建设。积极开展社会化拥军工作，与峨眉山市农商银行等3家优秀企业签订拥军优属协议，初步拟定军人军属及退役军人优待清单33条。进一步推动军地共建发展，</w:t>
      </w:r>
      <w:r>
        <w:rPr>
          <w:rFonts w:hint="eastAsia" w:ascii="仿宋_GB2312" w:hAnsi="仿宋_GB2312" w:eastAsia="仿宋_GB2312" w:cs="仿宋_GB2312"/>
          <w:b w:val="0"/>
          <w:bCs w:val="0"/>
          <w:color w:val="auto"/>
          <w:sz w:val="32"/>
          <w:szCs w:val="32"/>
        </w:rPr>
        <w:t>春节</w:t>
      </w:r>
      <w:r>
        <w:rPr>
          <w:rFonts w:hint="eastAsia" w:ascii="仿宋_GB2312" w:hAnsi="仿宋_GB2312" w:eastAsia="仿宋_GB2312" w:cs="仿宋_GB2312"/>
          <w:b w:val="0"/>
          <w:bCs w:val="0"/>
          <w:color w:val="auto"/>
          <w:sz w:val="32"/>
          <w:szCs w:val="32"/>
          <w:lang w:eastAsia="zh-CN"/>
        </w:rPr>
        <w:t>、“八一”全覆盖</w:t>
      </w:r>
      <w:r>
        <w:rPr>
          <w:rFonts w:hint="eastAsia" w:ascii="仿宋_GB2312" w:hAnsi="仿宋_GB2312" w:eastAsia="仿宋_GB2312" w:cs="仿宋_GB2312"/>
          <w:b w:val="0"/>
          <w:bCs w:val="0"/>
          <w:color w:val="auto"/>
          <w:sz w:val="32"/>
          <w:szCs w:val="32"/>
        </w:rPr>
        <w:t>慰问驻峨部队</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常态化开展“送政策”进军营，为入伍新兵进行政策宣讲</w:t>
      </w:r>
      <w:r>
        <w:rPr>
          <w:rFonts w:hint="eastAsia" w:ascii="仿宋_GB2312" w:hAnsi="仿宋_GB2312" w:eastAsia="仿宋_GB2312" w:cs="仿宋_GB2312"/>
          <w:b w:val="0"/>
          <w:bCs w:val="0"/>
          <w:color w:val="auto"/>
          <w:sz w:val="32"/>
          <w:szCs w:val="32"/>
          <w:lang w:val="en-US" w:eastAsia="zh-CN"/>
        </w:rPr>
        <w:t>2场，顺利通过全国双拥模范城届中考评。</w:t>
      </w:r>
    </w:p>
    <w:p>
      <w:pPr>
        <w:pStyle w:val="10"/>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二是大力开展褒扬纪念。</w:t>
      </w:r>
      <w:r>
        <w:rPr>
          <w:rFonts w:hint="eastAsia" w:ascii="仿宋_GB2312" w:hAnsi="仿宋_GB2312" w:eastAsia="仿宋_GB2312" w:cs="仿宋_GB2312"/>
          <w:b w:val="0"/>
          <w:bCs w:val="0"/>
          <w:color w:val="auto"/>
          <w:kern w:val="2"/>
          <w:sz w:val="32"/>
          <w:szCs w:val="32"/>
          <w:lang w:val="en-US" w:eastAsia="zh-CN" w:bidi="ar-SA"/>
        </w:rPr>
        <w:t>开展先进模范评选活动，全市</w:t>
      </w:r>
      <w:r>
        <w:rPr>
          <w:rFonts w:hint="eastAsia" w:ascii="仿宋_GB2312" w:hAnsi="仿宋_GB2312" w:eastAsia="仿宋_GB2312" w:cs="仿宋_GB2312"/>
          <w:b w:val="0"/>
          <w:bCs w:val="0"/>
          <w:color w:val="auto"/>
          <w:sz w:val="32"/>
          <w:szCs w:val="32"/>
          <w:lang w:val="en-US" w:eastAsia="zh-CN"/>
        </w:rPr>
        <w:t>共评选7个退役军人工作先进集体、16名退役军人工作先进个人、9名模范退役军人、9名退役军人就业创业之星及10名最美军属。</w:t>
      </w:r>
      <w:r>
        <w:rPr>
          <w:rFonts w:hint="eastAsia" w:ascii="仿宋_GB2312" w:hAnsi="仿宋_GB2312" w:eastAsia="仿宋_GB2312" w:cs="仿宋_GB2312"/>
          <w:b w:val="0"/>
          <w:bCs w:val="0"/>
          <w:color w:val="auto"/>
          <w:kern w:val="2"/>
          <w:sz w:val="32"/>
          <w:szCs w:val="32"/>
          <w:lang w:val="en-US" w:eastAsia="zh-CN" w:bidi="ar-SA"/>
        </w:rPr>
        <w:t>多措并举弘扬英烈精神，今年来峨眉山烈士陵园已接待31批次3400余人参加现场</w:t>
      </w:r>
      <w:r>
        <w:rPr>
          <w:rFonts w:hint="eastAsia" w:ascii="仿宋_GB2312" w:hAnsi="仿宋_GB2312" w:eastAsia="仿宋_GB2312" w:cs="仿宋_GB2312"/>
          <w:b w:val="0"/>
          <w:bCs w:val="0"/>
          <w:i w:val="0"/>
          <w:caps w:val="0"/>
          <w:color w:val="auto"/>
          <w:spacing w:val="0"/>
          <w:w w:val="100"/>
          <w:sz w:val="32"/>
          <w:szCs w:val="32"/>
          <w:lang w:val="en-US" w:eastAsia="zh-CN"/>
        </w:rPr>
        <w:t>祭扫，成功</w:t>
      </w:r>
      <w:r>
        <w:rPr>
          <w:rFonts w:hint="eastAsia" w:ascii="仿宋_GB2312" w:hAnsi="仿宋_GB2312" w:eastAsia="仿宋_GB2312" w:cs="仿宋_GB2312"/>
          <w:b w:val="0"/>
          <w:bCs w:val="0"/>
          <w:color w:val="auto"/>
          <w:kern w:val="2"/>
          <w:sz w:val="32"/>
          <w:szCs w:val="32"/>
          <w:lang w:val="en-US" w:eastAsia="zh-CN" w:bidi="ar-SA"/>
        </w:rPr>
        <w:t>举办“9.30”烈士公祭活动，引导广大党员干部致敬革命先烈，传承英烈精神；</w:t>
      </w:r>
      <w:r>
        <w:rPr>
          <w:rFonts w:hint="eastAsia" w:ascii="仿宋_GB2312" w:hAnsi="仿宋_GB2312" w:eastAsia="仿宋_GB2312" w:cs="仿宋_GB2312"/>
          <w:b w:val="0"/>
          <w:bCs w:val="0"/>
          <w:i w:val="0"/>
          <w:caps w:val="0"/>
          <w:color w:val="auto"/>
          <w:spacing w:val="0"/>
          <w:w w:val="100"/>
          <w:sz w:val="32"/>
          <w:szCs w:val="32"/>
          <w:lang w:val="en-US" w:eastAsia="zh-CN"/>
        </w:rPr>
        <w:t>充分利用红色资源，凸显爱国主义教育基地作用，联合团市委培养红领巾讲解员10名。持续</w:t>
      </w:r>
      <w:r>
        <w:rPr>
          <w:rFonts w:hint="eastAsia" w:ascii="仿宋_GB2312" w:hAnsi="仿宋_GB2312" w:eastAsia="仿宋_GB2312" w:cs="仿宋_GB2312"/>
          <w:b w:val="0"/>
          <w:bCs w:val="0"/>
          <w:color w:val="auto"/>
          <w:sz w:val="32"/>
          <w:szCs w:val="32"/>
          <w:lang w:eastAsia="zh-CN"/>
        </w:rPr>
        <w:t>推动</w:t>
      </w:r>
      <w:r>
        <w:rPr>
          <w:rFonts w:hint="eastAsia" w:ascii="仿宋_GB2312" w:hAnsi="仿宋_GB2312" w:eastAsia="仿宋_GB2312" w:cs="仿宋_GB2312"/>
          <w:b w:val="0"/>
          <w:bCs w:val="0"/>
          <w:color w:val="auto"/>
          <w:sz w:val="32"/>
          <w:szCs w:val="32"/>
        </w:rPr>
        <w:t>烈士纪念设施整修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完成140个烈士墓，1个纪念碑</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1个纪念广场等设施整修</w:t>
      </w:r>
      <w:r>
        <w:rPr>
          <w:rFonts w:hint="eastAsia" w:ascii="仿宋_GB2312" w:hAnsi="仿宋_GB2312" w:eastAsia="仿宋_GB2312" w:cs="仿宋_GB2312"/>
          <w:b w:val="0"/>
          <w:bCs w:val="0"/>
          <w:color w:val="auto"/>
          <w:sz w:val="32"/>
          <w:szCs w:val="32"/>
          <w:lang w:eastAsia="zh-CN"/>
        </w:rPr>
        <w:t>维护</w:t>
      </w:r>
      <w:r>
        <w:rPr>
          <w:rFonts w:hint="eastAsia" w:ascii="仿宋_GB2312" w:hAnsi="仿宋_GB2312" w:eastAsia="仿宋_GB2312" w:cs="仿宋_GB2312"/>
          <w:b w:val="0"/>
          <w:bCs w:val="0"/>
          <w:color w:val="auto"/>
          <w:sz w:val="32"/>
          <w:szCs w:val="32"/>
        </w:rPr>
        <w:t>，新建烈士英名墙</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纪念亭，</w:t>
      </w:r>
      <w:r>
        <w:rPr>
          <w:rFonts w:hint="eastAsia" w:ascii="仿宋_GB2312" w:hAnsi="仿宋_GB2312" w:eastAsia="仿宋_GB2312" w:cs="仿宋_GB2312"/>
          <w:b w:val="0"/>
          <w:bCs w:val="0"/>
          <w:color w:val="auto"/>
          <w:sz w:val="32"/>
          <w:szCs w:val="32"/>
          <w:highlight w:val="none"/>
          <w:lang w:eastAsia="zh-CN"/>
        </w:rPr>
        <w:t>推进</w:t>
      </w:r>
      <w:r>
        <w:rPr>
          <w:rFonts w:hint="eastAsia" w:ascii="仿宋_GB2312" w:hAnsi="仿宋_GB2312" w:eastAsia="仿宋_GB2312" w:cs="仿宋_GB2312"/>
          <w:b w:val="0"/>
          <w:bCs w:val="0"/>
          <w:color w:val="auto"/>
          <w:sz w:val="32"/>
          <w:szCs w:val="32"/>
          <w:highlight w:val="none"/>
        </w:rPr>
        <w:t>烈士纪念馆</w:t>
      </w:r>
      <w:r>
        <w:rPr>
          <w:rFonts w:hint="eastAsia" w:ascii="仿宋_GB2312" w:hAnsi="仿宋_GB2312" w:eastAsia="仿宋_GB2312" w:cs="仿宋_GB2312"/>
          <w:b w:val="0"/>
          <w:bCs w:val="0"/>
          <w:color w:val="auto"/>
          <w:sz w:val="32"/>
          <w:szCs w:val="32"/>
          <w:highlight w:val="none"/>
          <w:lang w:eastAsia="zh-CN"/>
        </w:rPr>
        <w:t>改陈布展。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三是创新志愿服务机制。创建志愿服务品牌，</w:t>
      </w:r>
      <w:r>
        <w:rPr>
          <w:rFonts w:hint="eastAsia" w:ascii="仿宋_GB2312" w:hAnsi="仿宋_GB2312" w:eastAsia="仿宋_GB2312" w:cs="仿宋_GB2312"/>
          <w:b w:val="0"/>
          <w:bCs w:val="0"/>
          <w:color w:val="auto"/>
          <w:kern w:val="2"/>
          <w:sz w:val="32"/>
          <w:szCs w:val="32"/>
          <w:lang w:val="en-US" w:eastAsia="zh-CN" w:bidi="ar-SA"/>
        </w:rPr>
        <w:t>今年5月，峨眉山市志愿服务队“四支队伍”被正式授名为“军号响”，拥有了正式品牌名称。广泛开展志愿服务，全市13个乡镇（街道）及154个村（社区）全覆盖成立“老兵志愿服务队”和“尖兵突击队”，今年共</w:t>
      </w:r>
      <w:r>
        <w:rPr>
          <w:rFonts w:hint="eastAsia" w:ascii="仿宋_GB2312" w:hAnsi="仿宋_GB2312" w:eastAsia="仿宋_GB2312" w:cs="仿宋_GB2312"/>
          <w:b w:val="0"/>
          <w:bCs w:val="0"/>
          <w:color w:val="auto"/>
          <w:kern w:val="2"/>
          <w:sz w:val="32"/>
          <w:szCs w:val="32"/>
          <w:highlight w:val="none"/>
          <w:lang w:val="en-US" w:eastAsia="zh-CN" w:bidi="ar-SA"/>
        </w:rPr>
        <w:t>有1000余人次</w:t>
      </w:r>
      <w:r>
        <w:rPr>
          <w:rFonts w:hint="eastAsia" w:ascii="仿宋_GB2312" w:hAnsi="仿宋_GB2312" w:eastAsia="仿宋_GB2312" w:cs="仿宋_GB2312"/>
          <w:b w:val="0"/>
          <w:bCs w:val="0"/>
          <w:color w:val="auto"/>
          <w:kern w:val="2"/>
          <w:sz w:val="32"/>
          <w:szCs w:val="32"/>
          <w:lang w:val="en-US" w:eastAsia="zh-CN" w:bidi="ar-SA"/>
        </w:rPr>
        <w:t>参与到抢险救灾、疫情防控、乡村振兴、“五清行动”等一线工作中，充分彰显退役军人先锋模范作用。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2.紧扣主责主业，服务保障水平实现新提升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一是推进建档立卡和优待证办理。今年4月启动工作以来，共在13个乡镇（街道）设立点位60个，参与工作人员共128人，接待政策咨询2000余人，处理疑难问题300余条。</w:t>
      </w:r>
      <w:r>
        <w:rPr>
          <w:rFonts w:hint="eastAsia" w:ascii="仿宋_GB2312" w:hAnsi="仿宋_GB2312" w:eastAsia="仿宋_GB2312" w:cs="仿宋_GB2312"/>
          <w:b w:val="0"/>
          <w:bCs w:val="0"/>
          <w:color w:val="auto"/>
          <w:sz w:val="32"/>
          <w:szCs w:val="32"/>
          <w:lang w:eastAsia="zh-CN"/>
        </w:rPr>
        <w:t>截至</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eastAsia="zh-CN"/>
        </w:rPr>
        <w:t>底</w:t>
      </w:r>
      <w:r>
        <w:rPr>
          <w:rFonts w:hint="eastAsia" w:ascii="仿宋_GB2312" w:hAnsi="仿宋_GB2312" w:eastAsia="仿宋_GB2312" w:cs="仿宋_GB2312"/>
          <w:b w:val="0"/>
          <w:bCs w:val="0"/>
          <w:color w:val="auto"/>
          <w:sz w:val="32"/>
          <w:szCs w:val="32"/>
        </w:rPr>
        <w:t>，全市累计建档立卡</w:t>
      </w:r>
      <w:r>
        <w:rPr>
          <w:rFonts w:hint="eastAsia" w:ascii="仿宋_GB2312" w:hAnsi="仿宋_GB2312" w:eastAsia="仿宋_GB2312" w:cs="仿宋_GB2312"/>
          <w:b w:val="0"/>
          <w:bCs w:val="0"/>
          <w:color w:val="auto"/>
          <w:sz w:val="32"/>
          <w:szCs w:val="32"/>
          <w:lang w:val="en-US" w:eastAsia="zh-CN"/>
        </w:rPr>
        <w:t>2.07万</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eastAsia="zh-CN"/>
        </w:rPr>
        <w:t>受理优待证申请</w:t>
      </w:r>
      <w:r>
        <w:rPr>
          <w:rFonts w:hint="eastAsia" w:ascii="仿宋_GB2312" w:hAnsi="仿宋_GB2312" w:eastAsia="仿宋_GB2312" w:cs="仿宋_GB2312"/>
          <w:b w:val="0"/>
          <w:bCs w:val="0"/>
          <w:color w:val="auto"/>
          <w:sz w:val="32"/>
          <w:szCs w:val="32"/>
          <w:lang w:val="en-US" w:eastAsia="zh-CN"/>
        </w:rPr>
        <w:t>1.75万人</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受理率</w:t>
      </w:r>
      <w:r>
        <w:rPr>
          <w:rFonts w:hint="eastAsia" w:ascii="仿宋_GB2312" w:hAnsi="仿宋_GB2312" w:eastAsia="仿宋_GB2312" w:cs="仿宋_GB2312"/>
          <w:b w:val="0"/>
          <w:bCs w:val="0"/>
          <w:color w:val="auto"/>
          <w:sz w:val="32"/>
          <w:szCs w:val="32"/>
          <w:lang w:val="en-US" w:eastAsia="zh-CN"/>
        </w:rPr>
        <w:t>85</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圆满完成攻坚阶段的目标任务。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二是优抚资金按时足额发放。截至10月底，</w:t>
      </w:r>
      <w:r>
        <w:rPr>
          <w:rFonts w:hint="eastAsia" w:ascii="仿宋_GB2312" w:hAnsi="仿宋_GB2312" w:eastAsia="仿宋_GB2312" w:cs="仿宋_GB2312"/>
          <w:b w:val="0"/>
          <w:bCs w:val="0"/>
          <w:color w:val="auto"/>
          <w:sz w:val="32"/>
          <w:szCs w:val="32"/>
          <w:lang w:eastAsia="zh-CN"/>
        </w:rPr>
        <w:t>对全市</w:t>
      </w:r>
      <w:r>
        <w:rPr>
          <w:rFonts w:hint="eastAsia" w:ascii="仿宋_GB2312" w:hAnsi="仿宋_GB2312" w:eastAsia="仿宋_GB2312" w:cs="仿宋_GB2312"/>
          <w:b w:val="0"/>
          <w:bCs w:val="0"/>
          <w:color w:val="auto"/>
          <w:sz w:val="32"/>
          <w:szCs w:val="32"/>
        </w:rPr>
        <w:t>优抚对象发放</w:t>
      </w:r>
      <w:r>
        <w:rPr>
          <w:rFonts w:hint="eastAsia" w:ascii="仿宋_GB2312" w:hAnsi="仿宋_GB2312" w:eastAsia="仿宋_GB2312" w:cs="仿宋_GB2312"/>
          <w:b w:val="0"/>
          <w:bCs w:val="0"/>
          <w:color w:val="auto"/>
          <w:sz w:val="32"/>
          <w:szCs w:val="32"/>
          <w:lang w:eastAsia="zh-CN"/>
        </w:rPr>
        <w:t>优抚</w:t>
      </w:r>
      <w:r>
        <w:rPr>
          <w:rFonts w:hint="eastAsia" w:ascii="仿宋_GB2312" w:hAnsi="仿宋_GB2312" w:eastAsia="仿宋_GB2312" w:cs="仿宋_GB2312"/>
          <w:b w:val="0"/>
          <w:bCs w:val="0"/>
          <w:color w:val="auto"/>
          <w:sz w:val="32"/>
          <w:szCs w:val="32"/>
        </w:rPr>
        <w:t>资金</w:t>
      </w:r>
      <w:r>
        <w:rPr>
          <w:rFonts w:hint="eastAsia" w:ascii="仿宋_GB2312" w:hAnsi="仿宋_GB2312" w:eastAsia="仿宋_GB2312" w:cs="仿宋_GB2312"/>
          <w:b w:val="0"/>
          <w:bCs w:val="0"/>
          <w:color w:val="auto"/>
          <w:sz w:val="32"/>
          <w:szCs w:val="32"/>
          <w:lang w:eastAsia="zh-CN"/>
        </w:rPr>
        <w:t>，为全市</w:t>
      </w:r>
      <w:r>
        <w:rPr>
          <w:rFonts w:hint="eastAsia" w:ascii="仿宋_GB2312" w:hAnsi="仿宋_GB2312" w:eastAsia="仿宋_GB2312" w:cs="仿宋_GB2312"/>
          <w:b w:val="0"/>
          <w:bCs w:val="0"/>
          <w:color w:val="auto"/>
          <w:sz w:val="32"/>
          <w:szCs w:val="32"/>
          <w:lang w:val="en-US" w:eastAsia="zh-CN"/>
        </w:rPr>
        <w:t>重点优抚对象落实了医疗保险和医疗补助资金</w:t>
      </w:r>
      <w:r>
        <w:rPr>
          <w:rFonts w:hint="eastAsia" w:ascii="仿宋_GB2312" w:hAnsi="仿宋_GB2312" w:eastAsia="仿宋_GB2312" w:cs="仿宋_GB2312"/>
          <w:b w:val="0"/>
          <w:bCs w:val="0"/>
          <w:color w:val="auto"/>
          <w:sz w:val="32"/>
          <w:szCs w:val="32"/>
          <w:lang w:eastAsia="zh-CN"/>
        </w:rPr>
        <w:t>。按时足额发放义务兵家庭奖励金</w:t>
      </w:r>
      <w:r>
        <w:rPr>
          <w:rFonts w:hint="eastAsia" w:ascii="仿宋_GB2312" w:hAnsi="仿宋_GB2312" w:eastAsia="仿宋_GB2312" w:cs="仿宋_GB2312"/>
          <w:b w:val="0"/>
          <w:bCs w:val="0"/>
          <w:color w:val="auto"/>
          <w:sz w:val="32"/>
          <w:szCs w:val="32"/>
          <w:lang w:val="en-US" w:eastAsia="zh-CN"/>
        </w:rPr>
        <w:t>、大学生入伍奖励金、艰苦地区奖励金、</w:t>
      </w:r>
      <w:r>
        <w:rPr>
          <w:rFonts w:hint="eastAsia" w:ascii="仿宋_GB2312" w:hAnsi="仿宋_GB2312" w:eastAsia="仿宋_GB2312" w:cs="仿宋_GB2312"/>
          <w:b w:val="0"/>
          <w:bCs w:val="0"/>
          <w:color w:val="auto"/>
          <w:sz w:val="32"/>
          <w:szCs w:val="32"/>
        </w:rPr>
        <w:t>自主就业退役士兵一次性地方经济补助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立功奖励金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慰问</w:t>
      </w:r>
      <w:r>
        <w:rPr>
          <w:rFonts w:hint="eastAsia" w:ascii="仿宋_GB2312" w:hAnsi="仿宋_GB2312" w:eastAsia="仿宋_GB2312" w:cs="仿宋_GB2312"/>
          <w:b w:val="0"/>
          <w:bCs w:val="0"/>
          <w:color w:val="auto"/>
          <w:sz w:val="32"/>
          <w:szCs w:val="32"/>
          <w:lang w:eastAsia="zh-CN"/>
        </w:rPr>
        <w:t>全市</w:t>
      </w:r>
      <w:r>
        <w:rPr>
          <w:rFonts w:hint="eastAsia" w:ascii="仿宋_GB2312" w:hAnsi="仿宋_GB2312" w:eastAsia="仿宋_GB2312" w:cs="仿宋_GB2312"/>
          <w:b w:val="0"/>
          <w:bCs w:val="0"/>
          <w:color w:val="auto"/>
          <w:sz w:val="32"/>
          <w:szCs w:val="32"/>
          <w:lang w:val="en-US" w:eastAsia="zh-CN"/>
        </w:rPr>
        <w:t>重点</w:t>
      </w:r>
      <w:r>
        <w:rPr>
          <w:rFonts w:hint="eastAsia" w:ascii="仿宋_GB2312" w:hAnsi="仿宋_GB2312" w:eastAsia="仿宋_GB2312" w:cs="仿宋_GB2312"/>
          <w:b w:val="0"/>
          <w:bCs w:val="0"/>
          <w:color w:val="auto"/>
          <w:sz w:val="32"/>
          <w:szCs w:val="32"/>
        </w:rPr>
        <w:t>优抚对象</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lang w:val="en-US" w:eastAsia="zh-CN"/>
        </w:rPr>
        <w:t>困难退役军人。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 w:val="0"/>
          <w:bCs w:val="0"/>
          <w:color w:val="auto"/>
          <w:sz w:val="32"/>
          <w:szCs w:val="32"/>
          <w:lang w:eastAsia="zh-CN"/>
        </w:rPr>
        <w:t>圆满完成移交安置任务。全年安置军队计划分配军转干部</w:t>
      </w:r>
      <w:r>
        <w:rPr>
          <w:rFonts w:hint="eastAsia" w:ascii="仿宋_GB2312" w:hAnsi="仿宋_GB2312" w:eastAsia="仿宋_GB2312" w:cs="仿宋_GB2312"/>
          <w:b w:val="0"/>
          <w:bCs w:val="0"/>
          <w:color w:val="auto"/>
          <w:sz w:val="32"/>
          <w:szCs w:val="32"/>
          <w:lang w:val="en-US" w:eastAsia="zh-CN"/>
        </w:rPr>
        <w:t>2人及随军就业家属1人，安置符合政府安排工作退役士兵15人，接收军队离休干部1人，自主就业退役士兵135人。</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四是积极拓宽就业创业渠道。全年</w:t>
      </w:r>
      <w:r>
        <w:rPr>
          <w:rFonts w:hint="eastAsia" w:ascii="仿宋_GB2312" w:hAnsi="仿宋_GB2312" w:eastAsia="仿宋_GB2312" w:cs="仿宋_GB2312"/>
          <w:b w:val="0"/>
          <w:bCs w:val="0"/>
          <w:color w:val="auto"/>
          <w:sz w:val="32"/>
          <w:szCs w:val="32"/>
        </w:rPr>
        <w:t>接待就业创业政策咨询500余人次，发放宣传资料1000余份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共</w:t>
      </w:r>
      <w:r>
        <w:rPr>
          <w:rFonts w:hint="eastAsia" w:ascii="仿宋_GB2312" w:hAnsi="仿宋_GB2312" w:eastAsia="仿宋_GB2312" w:cs="仿宋_GB2312"/>
          <w:b w:val="0"/>
          <w:bCs w:val="0"/>
          <w:color w:val="auto"/>
          <w:sz w:val="32"/>
          <w:szCs w:val="32"/>
          <w:lang w:eastAsia="zh-CN"/>
        </w:rPr>
        <w:t>举办</w:t>
      </w:r>
      <w:r>
        <w:rPr>
          <w:rFonts w:hint="eastAsia" w:ascii="仿宋_GB2312" w:hAnsi="仿宋_GB2312" w:eastAsia="仿宋_GB2312" w:cs="仿宋_GB2312"/>
          <w:b w:val="0"/>
          <w:bCs w:val="0"/>
          <w:color w:val="auto"/>
          <w:sz w:val="32"/>
          <w:szCs w:val="32"/>
        </w:rPr>
        <w:t>退役军人专场招聘会</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提供招聘岗位</w:t>
      </w:r>
      <w:r>
        <w:rPr>
          <w:rFonts w:hint="eastAsia" w:ascii="仿宋_GB2312" w:hAnsi="仿宋_GB2312" w:eastAsia="仿宋_GB2312" w:cs="仿宋_GB2312"/>
          <w:b w:val="0"/>
          <w:bCs w:val="0"/>
          <w:color w:val="auto"/>
          <w:sz w:val="32"/>
          <w:szCs w:val="32"/>
          <w:lang w:val="en-US" w:eastAsia="zh-CN"/>
        </w:rPr>
        <w:t>3000</w:t>
      </w:r>
      <w:r>
        <w:rPr>
          <w:rFonts w:hint="eastAsia" w:ascii="仿宋_GB2312" w:hAnsi="仿宋_GB2312" w:eastAsia="仿宋_GB2312" w:cs="仿宋_GB2312"/>
          <w:b w:val="0"/>
          <w:bCs w:val="0"/>
          <w:color w:val="auto"/>
          <w:sz w:val="32"/>
          <w:szCs w:val="32"/>
        </w:rPr>
        <w:t>余个</w:t>
      </w:r>
      <w:r>
        <w:rPr>
          <w:rFonts w:hint="eastAsia" w:ascii="仿宋_GB2312" w:hAnsi="仿宋_GB2312" w:eastAsia="仿宋_GB2312" w:cs="仿宋_GB2312"/>
          <w:b w:val="0"/>
          <w:bCs w:val="0"/>
          <w:color w:val="auto"/>
          <w:sz w:val="32"/>
          <w:szCs w:val="32"/>
          <w:lang w:eastAsia="zh-CN"/>
        </w:rPr>
        <w:t>，帮助</w:t>
      </w:r>
      <w:r>
        <w:rPr>
          <w:rFonts w:hint="eastAsia" w:ascii="仿宋_GB2312" w:hAnsi="仿宋_GB2312" w:eastAsia="仿宋_GB2312" w:cs="仿宋_GB2312"/>
          <w:b w:val="0"/>
          <w:bCs w:val="0"/>
          <w:color w:val="auto"/>
          <w:sz w:val="32"/>
          <w:szCs w:val="32"/>
          <w:lang w:val="en-US" w:eastAsia="zh-CN"/>
        </w:rPr>
        <w:t>100余名退役军人实现就业</w:t>
      </w:r>
      <w:r>
        <w:rPr>
          <w:rFonts w:hint="eastAsia" w:ascii="仿宋_GB2312" w:hAnsi="仿宋_GB2312" w:eastAsia="仿宋_GB2312" w:cs="仿宋_GB2312"/>
          <w:b w:val="0"/>
          <w:bCs w:val="0"/>
          <w:color w:val="auto"/>
          <w:sz w:val="32"/>
          <w:szCs w:val="32"/>
          <w:lang w:eastAsia="zh-CN"/>
        </w:rPr>
        <w:t>。协调农商银行</w:t>
      </w:r>
      <w:r>
        <w:rPr>
          <w:rFonts w:hint="eastAsia" w:ascii="仿宋_GB2312" w:hAnsi="仿宋_GB2312" w:eastAsia="仿宋_GB2312" w:cs="仿宋_GB2312"/>
          <w:b w:val="0"/>
          <w:bCs w:val="0"/>
          <w:color w:val="auto"/>
          <w:sz w:val="32"/>
          <w:szCs w:val="32"/>
        </w:rPr>
        <w:t>为退役军人提供</w:t>
      </w:r>
      <w:r>
        <w:rPr>
          <w:rFonts w:hint="eastAsia" w:ascii="仿宋_GB2312" w:hAnsi="仿宋_GB2312" w:eastAsia="仿宋_GB2312" w:cs="仿宋_GB2312"/>
          <w:b w:val="0"/>
          <w:bCs w:val="0"/>
          <w:color w:val="auto"/>
          <w:sz w:val="32"/>
          <w:szCs w:val="32"/>
          <w:lang w:eastAsia="zh-CN"/>
        </w:rPr>
        <w:t>“惠军贷”，今年共为</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lang w:eastAsia="zh-CN"/>
        </w:rPr>
        <w:t>名退役军人提供贷款。</w:t>
      </w:r>
    </w:p>
    <w:p>
      <w:pPr>
        <w:pStyle w:val="10"/>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五是夯实服务保障体系建设。</w:t>
      </w:r>
      <w:r>
        <w:rPr>
          <w:rFonts w:hint="eastAsia" w:ascii="仿宋_GB2312" w:hAnsi="仿宋_GB2312" w:eastAsia="仿宋_GB2312" w:cs="仿宋_GB2312"/>
          <w:b w:val="0"/>
          <w:bCs w:val="0"/>
          <w:color w:val="auto"/>
          <w:sz w:val="32"/>
          <w:szCs w:val="32"/>
          <w:highlight w:val="none"/>
          <w:lang w:eastAsia="zh-CN"/>
        </w:rPr>
        <w:t>因地制宜推动</w:t>
      </w:r>
      <w:r>
        <w:rPr>
          <w:rFonts w:hint="eastAsia" w:ascii="仿宋_GB2312" w:hAnsi="仿宋_GB2312" w:eastAsia="仿宋_GB2312" w:cs="仿宋_GB2312"/>
          <w:b w:val="0"/>
          <w:bCs w:val="0"/>
          <w:color w:val="auto"/>
          <w:sz w:val="32"/>
          <w:szCs w:val="32"/>
          <w:highlight w:val="none"/>
        </w:rPr>
        <w:t>中心镇（村）退役军人服务站</w:t>
      </w:r>
      <w:r>
        <w:rPr>
          <w:rFonts w:hint="eastAsia" w:ascii="仿宋_GB2312" w:hAnsi="仿宋_GB2312" w:eastAsia="仿宋_GB2312" w:cs="仿宋_GB2312"/>
          <w:b w:val="0"/>
          <w:bCs w:val="0"/>
          <w:color w:val="auto"/>
          <w:sz w:val="32"/>
          <w:szCs w:val="32"/>
          <w:highlight w:val="none"/>
          <w:lang w:eastAsia="zh-CN"/>
        </w:rPr>
        <w:t>样板站建设和</w:t>
      </w:r>
      <w:r>
        <w:rPr>
          <w:rFonts w:hint="eastAsia" w:ascii="仿宋_GB2312" w:hAnsi="仿宋_GB2312" w:eastAsia="仿宋_GB2312" w:cs="仿宋_GB2312"/>
          <w:b w:val="0"/>
          <w:bCs w:val="0"/>
          <w:color w:val="auto"/>
          <w:sz w:val="32"/>
          <w:szCs w:val="32"/>
          <w:highlight w:val="none"/>
        </w:rPr>
        <w:t>阵地提档升级，</w:t>
      </w:r>
      <w:r>
        <w:rPr>
          <w:rFonts w:hint="eastAsia" w:ascii="仿宋_GB2312" w:hAnsi="仿宋_GB2312" w:eastAsia="仿宋_GB2312" w:cs="仿宋_GB2312"/>
          <w:b w:val="0"/>
          <w:bCs w:val="0"/>
          <w:color w:val="auto"/>
          <w:kern w:val="2"/>
          <w:sz w:val="32"/>
          <w:szCs w:val="32"/>
          <w:lang w:val="en-US" w:eastAsia="zh-CN" w:bidi="ar-SA"/>
        </w:rPr>
        <w:t>九里镇、龙池镇（中心镇）服务站样板站主体已基本建成，</w:t>
      </w:r>
      <w:r>
        <w:rPr>
          <w:rFonts w:hint="eastAsia" w:ascii="仿宋_GB2312" w:hAnsi="仿宋_GB2312" w:eastAsia="仿宋_GB2312" w:cs="仿宋_GB2312"/>
          <w:b w:val="0"/>
          <w:bCs w:val="0"/>
          <w:color w:val="auto"/>
          <w:sz w:val="32"/>
          <w:szCs w:val="32"/>
          <w:highlight w:val="none"/>
          <w:lang w:eastAsia="zh-CN"/>
        </w:rPr>
        <w:t>推动滨河路社区和城西村退役军人服务站政治文化氛围升级改造，实现</w:t>
      </w:r>
      <w:r>
        <w:rPr>
          <w:rFonts w:hint="eastAsia" w:ascii="仿宋_GB2312" w:hAnsi="仿宋_GB2312" w:eastAsia="仿宋_GB2312" w:cs="仿宋_GB2312"/>
          <w:b w:val="0"/>
          <w:bCs w:val="0"/>
          <w:color w:val="auto"/>
          <w:sz w:val="32"/>
          <w:szCs w:val="32"/>
          <w:highlight w:val="none"/>
          <w:lang w:val="en-US" w:eastAsia="zh-CN"/>
        </w:rPr>
        <w:t>“服务超市”建设品牌化规范化，实现实体化运转。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六是全面提升军休服务水平。</w:t>
      </w:r>
      <w:r>
        <w:rPr>
          <w:rFonts w:hint="eastAsia" w:ascii="仿宋_GB2312" w:hAnsi="仿宋_GB2312" w:eastAsia="仿宋_GB2312" w:cs="仿宋_GB2312"/>
          <w:b w:val="0"/>
          <w:bCs w:val="0"/>
          <w:color w:val="auto"/>
          <w:sz w:val="32"/>
          <w:szCs w:val="32"/>
          <w:highlight w:val="none"/>
          <w:lang w:val="en-US" w:eastAsia="zh-CN"/>
        </w:rPr>
        <w:t>升级改造军休所基础设施，军休食堂正式运转，圆满承办乐山市军休干部趣味运动会，</w:t>
      </w:r>
      <w:r>
        <w:rPr>
          <w:rFonts w:hint="eastAsia" w:ascii="仿宋_GB2312" w:hAnsi="仿宋_GB2312" w:eastAsia="仿宋_GB2312" w:cs="仿宋_GB2312"/>
          <w:b w:val="0"/>
          <w:bCs w:val="0"/>
          <w:color w:val="auto"/>
          <w:sz w:val="32"/>
          <w:szCs w:val="32"/>
          <w:lang w:eastAsia="zh-CN"/>
        </w:rPr>
        <w:t>出版</w:t>
      </w:r>
      <w:r>
        <w:rPr>
          <w:rFonts w:hint="eastAsia" w:ascii="仿宋_GB2312" w:hAnsi="仿宋_GB2312" w:eastAsia="仿宋_GB2312" w:cs="仿宋_GB2312"/>
          <w:b w:val="0"/>
          <w:bCs w:val="0"/>
          <w:color w:val="auto"/>
          <w:sz w:val="32"/>
          <w:szCs w:val="32"/>
          <w:lang w:val="en-US" w:eastAsia="zh-CN"/>
        </w:rPr>
        <w:t>军休干部回忆录《军旅人生》，</w:t>
      </w:r>
      <w:r>
        <w:rPr>
          <w:rFonts w:hint="eastAsia" w:ascii="仿宋_GB2312" w:hAnsi="仿宋_GB2312" w:eastAsia="仿宋_GB2312" w:cs="仿宋_GB2312"/>
          <w:b w:val="0"/>
          <w:bCs w:val="0"/>
          <w:color w:val="auto"/>
          <w:sz w:val="32"/>
          <w:szCs w:val="32"/>
          <w:highlight w:val="none"/>
          <w:lang w:val="en-US" w:eastAsia="zh-CN"/>
        </w:rPr>
        <w:t>确保军休老干部“两项待遇”得到有力保障。</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立足权益维护，矛盾纠纷化解实现新成效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一是建立司法援助机制。联合市司</w:t>
      </w:r>
      <w:r>
        <w:rPr>
          <w:rFonts w:hint="eastAsia" w:ascii="仿宋_GB2312" w:hAnsi="仿宋_GB2312" w:eastAsia="仿宋_GB2312" w:cs="仿宋_GB2312"/>
          <w:b w:val="0"/>
          <w:bCs w:val="0"/>
          <w:color w:val="auto"/>
          <w:kern w:val="2"/>
          <w:sz w:val="32"/>
          <w:szCs w:val="32"/>
          <w:highlight w:val="none"/>
          <w:lang w:val="en-US" w:eastAsia="zh-CN" w:bidi="ar-SA"/>
        </w:rPr>
        <w:t>法局成立峨眉山市退役军人法律援助工作站，指导13个乡镇（街道）</w:t>
      </w:r>
      <w:r>
        <w:rPr>
          <w:rFonts w:hint="eastAsia" w:ascii="仿宋_GB2312" w:hAnsi="仿宋_GB2312" w:eastAsia="仿宋_GB2312" w:cs="仿宋_GB2312"/>
          <w:b w:val="0"/>
          <w:bCs w:val="0"/>
          <w:color w:val="auto"/>
          <w:sz w:val="32"/>
          <w:szCs w:val="32"/>
          <w:lang w:val="en-US" w:eastAsia="zh-CN"/>
        </w:rPr>
        <w:t>退役军人服务站成立法律援助站，引导退役军人依法维护合法权益，为退役军人提供普惠、精准、及时的优质公共法律服务。</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二是大力推动矛盾化解。扎实推进退役军人重大涉稳风险化解和信访积案难案化解百日攻坚行动</w:t>
      </w:r>
      <w:r>
        <w:rPr>
          <w:rFonts w:hint="eastAsia" w:ascii="仿宋_GB2312" w:hAnsi="仿宋_GB2312" w:eastAsia="仿宋_GB2312" w:cs="仿宋_GB2312"/>
          <w:b w:val="0"/>
          <w:bCs w:val="0"/>
          <w:color w:val="auto"/>
          <w:sz w:val="32"/>
          <w:szCs w:val="32"/>
          <w:lang w:eastAsia="zh-CN"/>
        </w:rPr>
        <w:t>，着力解决信访难题。</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二、机构设置</w:t>
      </w:r>
    </w:p>
    <w:bookmarkEnd w:id="14"/>
    <w:bookmarkEnd w:id="15"/>
    <w:bookmarkEnd w:id="16"/>
    <w:p>
      <w:pPr>
        <w:pStyle w:val="10"/>
        <w:pageBreakBefore w:val="0"/>
        <w:widowControl w:val="0"/>
        <w:kinsoku/>
        <w:wordWrap/>
        <w:overflowPunct/>
        <w:topLinePunct w:val="0"/>
        <w:autoSpaceDE/>
        <w:autoSpaceDN/>
        <w:bidi w:val="0"/>
        <w:adjustRightInd/>
        <w:snapToGrid/>
        <w:spacing w:before="0" w:beforeAutospacing="0" w:line="60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color w:val="auto"/>
          <w:sz w:val="32"/>
          <w:szCs w:val="32"/>
          <w:lang w:eastAsia="zh-CN"/>
        </w:rPr>
        <w:t>峨眉山市退役军人事务局（本级）属于峨眉山市退役军人事务局下属的二级预算单位，下设独立编制机构</w:t>
      </w:r>
      <w:r>
        <w:rPr>
          <w:rFonts w:hint="eastAsia" w:ascii="仿宋_GB2312" w:hAnsi="仿宋_GB2312" w:eastAsia="仿宋_GB2312" w:cs="仿宋_GB2312"/>
          <w:color w:val="auto"/>
          <w:sz w:val="32"/>
          <w:szCs w:val="32"/>
          <w:lang w:val="en-US" w:eastAsia="zh-CN"/>
        </w:rPr>
        <w:t>1个，其中行政机构1个，参照公务员法管理的事业机构0个，其他事业机构0个；设有4个科（股）室，截止2022年12月31日人员编制数为12个，其中行政编制12个，事业编制0个。</w:t>
      </w:r>
    </w:p>
    <w:p>
      <w:pPr>
        <w:pStyle w:val="1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纳入2021年度单位决算编制范围的独立编制机构包括：</w:t>
      </w:r>
    </w:p>
    <w:p>
      <w:pPr>
        <w:widowControl/>
        <w:ind w:firstLine="640" w:firstLineChars="200"/>
        <w:jc w:val="left"/>
        <w:rPr>
          <w:rFonts w:ascii="仿宋" w:hAnsi="仿宋" w:eastAsia="仿宋"/>
          <w:b w:val="0"/>
          <w:bCs w:val="0"/>
          <w:sz w:val="32"/>
          <w:szCs w:val="32"/>
        </w:rPr>
      </w:pPr>
      <w:r>
        <w:rPr>
          <w:rFonts w:hint="eastAsia" w:ascii="仿宋_GB2312" w:hAnsi="仿宋_GB2312" w:eastAsia="仿宋_GB2312" w:cs="仿宋_GB2312"/>
          <w:color w:val="auto"/>
          <w:kern w:val="2"/>
          <w:sz w:val="32"/>
          <w:szCs w:val="32"/>
          <w:lang w:val="en-US" w:eastAsia="zh-CN" w:bidi="ar-SA"/>
        </w:rPr>
        <w:t>1.峨眉山市退役军人事务局（本级）</w:t>
      </w:r>
      <w:r>
        <w:rPr>
          <w:rFonts w:ascii="仿宋" w:hAnsi="仿宋" w:eastAsia="仿宋"/>
          <w:b w:val="0"/>
          <w:bCs w:val="0"/>
          <w:sz w:val="32"/>
          <w:szCs w:val="32"/>
        </w:rPr>
        <w:br w:type="page"/>
      </w:r>
    </w:p>
    <w:p>
      <w:pPr>
        <w:pStyle w:val="3"/>
        <w:ind w:right="440"/>
        <w:jc w:val="center"/>
        <w:rPr>
          <w:rStyle w:val="25"/>
          <w:rFonts w:ascii="黑体" w:hAnsi="黑体" w:eastAsia="黑体"/>
          <w:b w:val="0"/>
          <w:bCs w:val="0"/>
          <w:color w:val="auto"/>
        </w:rPr>
      </w:pPr>
      <w:bookmarkStart w:id="21" w:name="_Toc15377204"/>
      <w:bookmarkStart w:id="22" w:name="_Toc15396602"/>
      <w:r>
        <w:rPr>
          <w:rFonts w:hint="eastAsia" w:ascii="黑体" w:hAnsi="黑体" w:eastAsia="黑体"/>
          <w:b w:val="0"/>
          <w:bCs w:val="0"/>
          <w:color w:val="auto"/>
        </w:rPr>
        <w:t>第二部分 2022年度</w:t>
      </w:r>
      <w:r>
        <w:rPr>
          <w:rStyle w:val="25"/>
          <w:rFonts w:hint="eastAsia" w:ascii="黑体" w:hAnsi="黑体" w:eastAsia="黑体"/>
          <w:b w:val="0"/>
          <w:bCs w:val="0"/>
          <w:color w:val="auto"/>
        </w:rPr>
        <w:t>单位决算情况说明</w:t>
      </w:r>
      <w:bookmarkEnd w:id="21"/>
      <w:bookmarkEnd w:id="22"/>
    </w:p>
    <w:p>
      <w:pPr>
        <w:rPr>
          <w:b w:val="0"/>
          <w:bCs w:val="0"/>
          <w:color w:val="auto"/>
        </w:rPr>
      </w:pPr>
    </w:p>
    <w:p>
      <w:pPr>
        <w:pStyle w:val="24"/>
        <w:numPr>
          <w:ilvl w:val="0"/>
          <w:numId w:val="2"/>
        </w:numPr>
        <w:spacing w:line="600" w:lineRule="exact"/>
        <w:ind w:firstLineChars="0"/>
        <w:outlineLvl w:val="1"/>
        <w:rPr>
          <w:rStyle w:val="26"/>
          <w:rFonts w:ascii="黑体" w:hAnsi="黑体" w:eastAsia="黑体"/>
          <w:b w:val="0"/>
          <w:bCs w:val="0"/>
          <w:color w:val="auto"/>
        </w:rPr>
      </w:pPr>
      <w:bookmarkStart w:id="23" w:name="_Toc15396603"/>
      <w:bookmarkStart w:id="24" w:name="_Toc15377205"/>
      <w:r>
        <w:rPr>
          <w:rFonts w:hint="eastAsia" w:ascii="黑体" w:hAnsi="黑体" w:eastAsia="黑体"/>
          <w:b w:val="0"/>
          <w:bCs w:val="0"/>
          <w:color w:val="auto"/>
          <w:sz w:val="32"/>
          <w:szCs w:val="32"/>
        </w:rPr>
        <w:t>收</w:t>
      </w:r>
      <w:r>
        <w:rPr>
          <w:rStyle w:val="26"/>
          <w:rFonts w:hint="eastAsia" w:ascii="黑体" w:hAnsi="黑体" w:eastAsia="黑体"/>
          <w:b w:val="0"/>
          <w:bCs w:val="0"/>
          <w:color w:val="auto"/>
        </w:rPr>
        <w:t>入支出决算总体情况说明</w:t>
      </w:r>
      <w:bookmarkEnd w:id="23"/>
      <w:bookmarkEnd w:id="24"/>
    </w:p>
    <w:p>
      <w:pPr>
        <w:spacing w:line="600" w:lineRule="exact"/>
        <w:ind w:firstLine="640" w:firstLineChars="200"/>
        <w:rPr>
          <w:rFonts w:hint="eastAsia" w:ascii="仿宋" w:hAnsi="仿宋" w:eastAsia="仿宋"/>
          <w:b w:val="0"/>
          <w:bCs w:val="0"/>
          <w:color w:val="auto"/>
          <w:sz w:val="32"/>
          <w:szCs w:val="32"/>
        </w:rPr>
      </w:pPr>
      <w:r>
        <w:rPr>
          <w:rFonts w:hint="eastAsia" w:ascii="仿宋" w:hAnsi="仿宋" w:eastAsia="仿宋"/>
          <w:b w:val="0"/>
          <w:bCs w:val="0"/>
          <w:color w:val="auto"/>
          <w:sz w:val="32"/>
          <w:szCs w:val="32"/>
        </w:rPr>
        <w:t>2022年度收、支总计</w:t>
      </w:r>
      <w:r>
        <w:rPr>
          <w:rFonts w:hint="eastAsia" w:ascii="仿宋" w:hAnsi="仿宋" w:eastAsia="仿宋"/>
          <w:b w:val="0"/>
          <w:bCs w:val="0"/>
          <w:color w:val="auto"/>
          <w:sz w:val="32"/>
          <w:szCs w:val="32"/>
          <w:lang w:val="en-US" w:eastAsia="zh-CN"/>
        </w:rPr>
        <w:t>7470.29</w:t>
      </w:r>
      <w:r>
        <w:rPr>
          <w:rFonts w:hint="eastAsia" w:ascii="仿宋" w:hAnsi="仿宋" w:eastAsia="仿宋"/>
          <w:b w:val="0"/>
          <w:bCs w:val="0"/>
          <w:color w:val="auto"/>
          <w:sz w:val="32"/>
          <w:szCs w:val="32"/>
        </w:rPr>
        <w:t>万元。与2021年相比，收、支总计各减少</w:t>
      </w:r>
      <w:r>
        <w:rPr>
          <w:rFonts w:hint="eastAsia" w:ascii="仿宋" w:hAnsi="仿宋" w:eastAsia="仿宋"/>
          <w:b w:val="0"/>
          <w:bCs w:val="0"/>
          <w:color w:val="auto"/>
          <w:sz w:val="32"/>
          <w:szCs w:val="32"/>
          <w:lang w:val="en-US" w:eastAsia="zh-CN"/>
        </w:rPr>
        <w:t>23.58</w:t>
      </w:r>
      <w:r>
        <w:rPr>
          <w:rFonts w:hint="eastAsia" w:ascii="仿宋" w:hAnsi="仿宋" w:eastAsia="仿宋"/>
          <w:b w:val="0"/>
          <w:bCs w:val="0"/>
          <w:color w:val="auto"/>
          <w:sz w:val="32"/>
          <w:szCs w:val="32"/>
        </w:rPr>
        <w:t>万元，下降</w:t>
      </w:r>
      <w:r>
        <w:rPr>
          <w:rFonts w:hint="eastAsia" w:ascii="仿宋" w:hAnsi="仿宋" w:eastAsia="仿宋"/>
          <w:b w:val="0"/>
          <w:bCs w:val="0"/>
          <w:color w:val="auto"/>
          <w:sz w:val="32"/>
          <w:szCs w:val="32"/>
          <w:lang w:val="en-US" w:eastAsia="zh-CN"/>
        </w:rPr>
        <w:t>0.31</w:t>
      </w:r>
      <w:r>
        <w:rPr>
          <w:rFonts w:ascii="仿宋" w:hAnsi="仿宋" w:eastAsia="仿宋"/>
          <w:b w:val="0"/>
          <w:bCs w:val="0"/>
          <w:color w:val="auto"/>
          <w:sz w:val="32"/>
          <w:szCs w:val="32"/>
        </w:rPr>
        <w:t>%</w:t>
      </w:r>
      <w:r>
        <w:rPr>
          <w:rFonts w:hint="eastAsia" w:ascii="仿宋" w:hAnsi="仿宋" w:eastAsia="仿宋"/>
          <w:b w:val="0"/>
          <w:bCs w:val="0"/>
          <w:color w:val="auto"/>
          <w:sz w:val="32"/>
          <w:szCs w:val="32"/>
        </w:rPr>
        <w:t>。主主要变动原因</w:t>
      </w:r>
      <w:r>
        <w:rPr>
          <w:rFonts w:hint="eastAsia" w:ascii="仿宋" w:hAnsi="仿宋" w:eastAsia="仿宋"/>
          <w:b w:val="0"/>
          <w:bCs w:val="0"/>
          <w:color w:val="auto"/>
          <w:sz w:val="32"/>
          <w:szCs w:val="32"/>
          <w:lang w:eastAsia="zh-CN"/>
        </w:rPr>
        <w:t>是</w:t>
      </w:r>
      <w:r>
        <w:rPr>
          <w:rFonts w:hint="eastAsia" w:ascii="仿宋_GB2312" w:hAnsi="仿宋_GB2312" w:eastAsia="仿宋_GB2312" w:cs="仿宋_GB2312"/>
          <w:b w:val="0"/>
          <w:bCs w:val="0"/>
          <w:color w:val="auto"/>
          <w:sz w:val="32"/>
          <w:szCs w:val="32"/>
          <w:highlight w:val="none"/>
          <w:lang w:eastAsia="zh-CN"/>
        </w:rPr>
        <w:t>受疫情及部分享受定补退役军人死亡的影响，部分项目预算减少</w:t>
      </w:r>
      <w:r>
        <w:rPr>
          <w:rFonts w:hint="eastAsia" w:ascii="仿宋" w:hAnsi="仿宋" w:eastAsia="仿宋"/>
          <w:b w:val="0"/>
          <w:bCs w:val="0"/>
          <w:color w:val="auto"/>
          <w:sz w:val="32"/>
          <w:szCs w:val="32"/>
        </w:rPr>
        <w:t>。</w:t>
      </w:r>
    </w:p>
    <w:p>
      <w:pPr>
        <w:pStyle w:val="10"/>
        <w:rPr>
          <w:rFonts w:hint="eastAsia"/>
          <w:b w:val="0"/>
          <w:bCs w:val="0"/>
          <w:color w:val="auto"/>
        </w:rPr>
      </w:pPr>
      <w:r>
        <w:rPr>
          <w:color w:val="auto"/>
        </w:rP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2"/>
        </w:numPr>
        <w:spacing w:line="600" w:lineRule="exact"/>
        <w:ind w:firstLineChars="0"/>
        <w:outlineLvl w:val="1"/>
        <w:rPr>
          <w:rStyle w:val="26"/>
          <w:rFonts w:ascii="黑体" w:hAnsi="黑体" w:eastAsia="黑体"/>
          <w:b w:val="0"/>
          <w:bCs w:val="0"/>
          <w:color w:val="auto"/>
        </w:rPr>
      </w:pPr>
      <w:bookmarkStart w:id="25" w:name="_Toc15396604"/>
      <w:bookmarkStart w:id="26" w:name="_Toc15377206"/>
      <w:r>
        <w:rPr>
          <w:rFonts w:hint="eastAsia" w:ascii="黑体" w:hAnsi="黑体" w:eastAsia="黑体"/>
          <w:b w:val="0"/>
          <w:bCs w:val="0"/>
          <w:color w:val="auto"/>
          <w:sz w:val="32"/>
          <w:szCs w:val="32"/>
        </w:rPr>
        <w:t>收</w:t>
      </w:r>
      <w:r>
        <w:rPr>
          <w:rStyle w:val="26"/>
          <w:rFonts w:hint="eastAsia" w:ascii="黑体" w:hAnsi="黑体" w:eastAsia="黑体"/>
          <w:b w:val="0"/>
          <w:bCs w:val="0"/>
          <w:color w:val="auto"/>
        </w:rPr>
        <w:t>入决算情况说明</w:t>
      </w:r>
      <w:bookmarkEnd w:id="25"/>
      <w:bookmarkEnd w:id="26"/>
    </w:p>
    <w:p>
      <w:pPr>
        <w:spacing w:line="600" w:lineRule="exact"/>
        <w:ind w:firstLine="640" w:firstLineChars="200"/>
        <w:outlineLvl w:val="1"/>
        <w:rPr>
          <w:rFonts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22年本年收入合计</w:t>
      </w:r>
      <w:r>
        <w:rPr>
          <w:rFonts w:hint="eastAsia" w:ascii="仿宋" w:hAnsi="仿宋" w:eastAsia="仿宋"/>
          <w:b w:val="0"/>
          <w:bCs w:val="0"/>
          <w:color w:val="auto"/>
          <w:sz w:val="32"/>
          <w:szCs w:val="32"/>
          <w:lang w:val="en-US" w:eastAsia="zh-CN"/>
        </w:rPr>
        <w:t>6918.80</w:t>
      </w:r>
      <w:r>
        <w:rPr>
          <w:rFonts w:hint="eastAsia" w:ascii="仿宋" w:hAnsi="仿宋" w:eastAsia="仿宋"/>
          <w:b w:val="0"/>
          <w:bCs w:val="0"/>
          <w:color w:val="auto"/>
          <w:sz w:val="32"/>
          <w:szCs w:val="32"/>
        </w:rPr>
        <w:t>万元，其中：一般公共预算财政拨款收入</w:t>
      </w:r>
      <w:r>
        <w:rPr>
          <w:rFonts w:hint="eastAsia" w:ascii="仿宋" w:hAnsi="仿宋" w:eastAsia="仿宋"/>
          <w:b w:val="0"/>
          <w:bCs w:val="0"/>
          <w:color w:val="auto"/>
          <w:sz w:val="32"/>
          <w:szCs w:val="32"/>
          <w:lang w:val="en-US" w:eastAsia="zh-CN"/>
        </w:rPr>
        <w:t>6834.30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98.78</w:t>
      </w:r>
      <w:r>
        <w:rPr>
          <w:rFonts w:ascii="仿宋" w:hAnsi="仿宋" w:eastAsia="仿宋"/>
          <w:b w:val="0"/>
          <w:bCs w:val="0"/>
          <w:color w:val="auto"/>
          <w:sz w:val="32"/>
          <w:szCs w:val="32"/>
        </w:rPr>
        <w:t>%</w:t>
      </w:r>
      <w:r>
        <w:rPr>
          <w:rFonts w:hint="eastAsia" w:ascii="仿宋" w:hAnsi="仿宋" w:eastAsia="仿宋"/>
          <w:b w:val="0"/>
          <w:bCs w:val="0"/>
          <w:color w:val="auto"/>
          <w:sz w:val="32"/>
          <w:szCs w:val="32"/>
        </w:rPr>
        <w:t>；政府性基金预算财政拨款收入</w:t>
      </w:r>
      <w:r>
        <w:rPr>
          <w:rFonts w:hint="eastAsia" w:ascii="仿宋" w:hAnsi="仿宋" w:eastAsia="仿宋"/>
          <w:b w:val="0"/>
          <w:bCs w:val="0"/>
          <w:color w:val="auto"/>
          <w:sz w:val="32"/>
          <w:szCs w:val="32"/>
          <w:lang w:val="en-US" w:eastAsia="zh-CN"/>
        </w:rPr>
        <w:t>84.5</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1.22</w:t>
      </w:r>
      <w:r>
        <w:rPr>
          <w:rFonts w:ascii="仿宋" w:hAnsi="仿宋" w:eastAsia="仿宋"/>
          <w:b w:val="0"/>
          <w:bCs w:val="0"/>
          <w:color w:val="auto"/>
          <w:sz w:val="32"/>
          <w:szCs w:val="32"/>
        </w:rPr>
        <w:t>%</w:t>
      </w:r>
      <w:r>
        <w:rPr>
          <w:rFonts w:hint="eastAsia" w:ascii="仿宋" w:hAnsi="仿宋" w:eastAsia="仿宋"/>
          <w:b w:val="0"/>
          <w:bCs w:val="0"/>
          <w:color w:val="auto"/>
          <w:sz w:val="32"/>
          <w:szCs w:val="32"/>
        </w:rPr>
        <w:t>；国有资本经营预算财政拨款收入</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万元；上级补助收入</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万元；事业收入</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；经营收入</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万元；附属单位上缴收入</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万元；其他收入</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w:t>
      </w:r>
    </w:p>
    <w:p>
      <w:pPr>
        <w:spacing w:line="600" w:lineRule="exact"/>
        <w:ind w:firstLine="640" w:firstLineChars="200"/>
        <w:outlineLvl w:val="1"/>
        <w:rPr>
          <w:rFonts w:ascii="仿宋" w:hAnsi="仿宋" w:eastAsia="仿宋"/>
          <w:b w:val="0"/>
          <w:bCs w:val="0"/>
          <w:color w:val="auto"/>
          <w:sz w:val="32"/>
          <w:szCs w:val="32"/>
        </w:rPr>
      </w:pPr>
    </w:p>
    <w:p>
      <w:pPr>
        <w:pStyle w:val="10"/>
        <w:rPr>
          <w:color w:val="auto"/>
        </w:rPr>
      </w:pPr>
      <w:r>
        <w:rPr>
          <w:color w:val="auto"/>
        </w:rP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2"/>
        </w:numPr>
        <w:spacing w:line="600" w:lineRule="exact"/>
        <w:ind w:firstLineChars="0"/>
        <w:outlineLvl w:val="1"/>
        <w:rPr>
          <w:rStyle w:val="26"/>
          <w:rFonts w:ascii="黑体" w:hAnsi="黑体" w:eastAsia="黑体"/>
          <w:b w:val="0"/>
          <w:bCs w:val="0"/>
          <w:color w:val="auto"/>
        </w:rPr>
      </w:pPr>
      <w:bookmarkStart w:id="27" w:name="_Toc15377207"/>
      <w:bookmarkStart w:id="28" w:name="_Toc15396605"/>
      <w:r>
        <w:rPr>
          <w:rFonts w:hint="eastAsia" w:ascii="黑体" w:hAnsi="黑体" w:eastAsia="黑体"/>
          <w:b w:val="0"/>
          <w:bCs w:val="0"/>
          <w:color w:val="auto"/>
          <w:sz w:val="32"/>
          <w:szCs w:val="32"/>
        </w:rPr>
        <w:t>支</w:t>
      </w:r>
      <w:r>
        <w:rPr>
          <w:rStyle w:val="26"/>
          <w:rFonts w:hint="eastAsia" w:ascii="黑体" w:hAnsi="黑体" w:eastAsia="黑体"/>
          <w:b w:val="0"/>
          <w:bCs w:val="0"/>
          <w:color w:val="auto"/>
        </w:rPr>
        <w:t>出决算情况说明</w:t>
      </w:r>
      <w:bookmarkEnd w:id="27"/>
      <w:bookmarkEnd w:id="28"/>
    </w:p>
    <w:p>
      <w:pPr>
        <w:spacing w:line="600" w:lineRule="exact"/>
        <w:ind w:firstLine="640" w:firstLineChars="200"/>
        <w:outlineLvl w:val="1"/>
        <w:rPr>
          <w:rFonts w:ascii="仿宋" w:hAnsi="仿宋" w:eastAsia="仿宋"/>
          <w:b w:val="0"/>
          <w:bCs w:val="0"/>
          <w:color w:val="auto"/>
          <w:sz w:val="32"/>
          <w:szCs w:val="32"/>
          <w:shd w:val="pct10" w:color="auto" w:fill="FFFFFF"/>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22年本年支出合计</w:t>
      </w:r>
      <w:r>
        <w:rPr>
          <w:rFonts w:hint="eastAsia" w:ascii="仿宋" w:hAnsi="仿宋" w:eastAsia="仿宋"/>
          <w:b w:val="0"/>
          <w:bCs w:val="0"/>
          <w:color w:val="auto"/>
          <w:sz w:val="32"/>
          <w:szCs w:val="32"/>
          <w:lang w:val="en-US" w:eastAsia="zh-CN"/>
        </w:rPr>
        <w:t>7075.45</w:t>
      </w:r>
      <w:r>
        <w:rPr>
          <w:rFonts w:hint="eastAsia" w:ascii="仿宋" w:hAnsi="仿宋" w:eastAsia="仿宋"/>
          <w:b w:val="0"/>
          <w:bCs w:val="0"/>
          <w:color w:val="auto"/>
          <w:sz w:val="32"/>
          <w:szCs w:val="32"/>
        </w:rPr>
        <w:t>万元，其中：基本支出</w:t>
      </w:r>
      <w:r>
        <w:rPr>
          <w:rFonts w:hint="eastAsia" w:ascii="仿宋" w:hAnsi="仿宋" w:eastAsia="仿宋"/>
          <w:b w:val="0"/>
          <w:bCs w:val="0"/>
          <w:color w:val="auto"/>
          <w:sz w:val="32"/>
          <w:szCs w:val="32"/>
          <w:lang w:val="en-US" w:eastAsia="zh-CN"/>
        </w:rPr>
        <w:t>304.42</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4.30</w:t>
      </w:r>
      <w:r>
        <w:rPr>
          <w:rFonts w:ascii="仿宋" w:hAnsi="仿宋" w:eastAsia="仿宋"/>
          <w:b w:val="0"/>
          <w:bCs w:val="0"/>
          <w:color w:val="auto"/>
          <w:sz w:val="32"/>
          <w:szCs w:val="32"/>
        </w:rPr>
        <w:t>%</w:t>
      </w:r>
      <w:r>
        <w:rPr>
          <w:rFonts w:hint="eastAsia" w:ascii="仿宋" w:hAnsi="仿宋" w:eastAsia="仿宋"/>
          <w:b w:val="0"/>
          <w:bCs w:val="0"/>
          <w:color w:val="auto"/>
          <w:sz w:val="32"/>
          <w:szCs w:val="32"/>
        </w:rPr>
        <w:t>；项目支出</w:t>
      </w:r>
      <w:r>
        <w:rPr>
          <w:rFonts w:hint="eastAsia" w:ascii="仿宋" w:hAnsi="仿宋" w:eastAsia="仿宋"/>
          <w:b w:val="0"/>
          <w:bCs w:val="0"/>
          <w:color w:val="auto"/>
          <w:sz w:val="32"/>
          <w:szCs w:val="32"/>
          <w:lang w:val="en-US" w:eastAsia="zh-CN"/>
        </w:rPr>
        <w:t>6771.03</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95.70</w:t>
      </w:r>
      <w:r>
        <w:rPr>
          <w:rFonts w:ascii="仿宋" w:hAnsi="仿宋" w:eastAsia="仿宋"/>
          <w:b w:val="0"/>
          <w:bCs w:val="0"/>
          <w:color w:val="auto"/>
          <w:sz w:val="32"/>
          <w:szCs w:val="32"/>
        </w:rPr>
        <w:t>%</w:t>
      </w:r>
      <w:r>
        <w:rPr>
          <w:rFonts w:hint="eastAsia" w:ascii="仿宋" w:hAnsi="仿宋" w:eastAsia="仿宋"/>
          <w:b w:val="0"/>
          <w:bCs w:val="0"/>
          <w:color w:val="auto"/>
          <w:sz w:val="32"/>
          <w:szCs w:val="32"/>
        </w:rPr>
        <w:t>；上缴上级支出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万元；经营支出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万元；对附属单位补助支出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w:t>
      </w:r>
    </w:p>
    <w:p>
      <w:pPr>
        <w:pStyle w:val="10"/>
        <w:rPr>
          <w:color w:val="auto"/>
        </w:rPr>
      </w:pPr>
      <w:r>
        <w:rPr>
          <w:color w:val="auto"/>
        </w:rP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bCs w:val="0"/>
          <w:color w:val="auto"/>
        </w:rPr>
      </w:pPr>
      <w:bookmarkStart w:id="29" w:name="_Toc15377208"/>
      <w:bookmarkStart w:id="30" w:name="_Toc15396606"/>
      <w:r>
        <w:rPr>
          <w:rFonts w:hint="eastAsia" w:ascii="黑体" w:hAnsi="黑体" w:eastAsia="黑体"/>
          <w:b w:val="0"/>
          <w:bCs w:val="0"/>
          <w:color w:val="auto"/>
          <w:sz w:val="32"/>
          <w:szCs w:val="32"/>
        </w:rPr>
        <w:t>四、财</w:t>
      </w:r>
      <w:r>
        <w:rPr>
          <w:rStyle w:val="26"/>
          <w:rFonts w:hint="eastAsia" w:ascii="黑体" w:hAnsi="黑体" w:eastAsia="黑体"/>
          <w:b w:val="0"/>
          <w:bCs w:val="0"/>
          <w:color w:val="auto"/>
        </w:rPr>
        <w:t>政拨款收入支出决算总体情况说明</w:t>
      </w:r>
      <w:bookmarkEnd w:id="29"/>
      <w:bookmarkEnd w:id="30"/>
    </w:p>
    <w:p>
      <w:pPr>
        <w:spacing w:line="600" w:lineRule="exact"/>
        <w:ind w:firstLine="640" w:firstLineChars="200"/>
        <w:rPr>
          <w:rFonts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22年财政拨款收、支总计</w:t>
      </w:r>
      <w:r>
        <w:rPr>
          <w:rFonts w:hint="eastAsia" w:ascii="仿宋" w:hAnsi="仿宋" w:eastAsia="仿宋"/>
          <w:b w:val="0"/>
          <w:bCs w:val="0"/>
          <w:color w:val="auto"/>
          <w:sz w:val="32"/>
          <w:szCs w:val="32"/>
          <w:lang w:val="en-US" w:eastAsia="zh-CN"/>
        </w:rPr>
        <w:t>7470.29</w:t>
      </w:r>
      <w:r>
        <w:rPr>
          <w:rFonts w:hint="eastAsia" w:ascii="仿宋" w:hAnsi="仿宋" w:eastAsia="仿宋"/>
          <w:b w:val="0"/>
          <w:bCs w:val="0"/>
          <w:color w:val="auto"/>
          <w:sz w:val="32"/>
          <w:szCs w:val="32"/>
        </w:rPr>
        <w:t>万元。与</w:t>
      </w:r>
      <w:r>
        <w:rPr>
          <w:rFonts w:ascii="仿宋" w:hAnsi="仿宋" w:eastAsia="仿宋"/>
          <w:b w:val="0"/>
          <w:bCs w:val="0"/>
          <w:color w:val="auto"/>
          <w:sz w:val="32"/>
          <w:szCs w:val="32"/>
        </w:rPr>
        <w:t>20</w:t>
      </w:r>
      <w:r>
        <w:rPr>
          <w:rFonts w:hint="eastAsia" w:ascii="仿宋" w:hAnsi="仿宋" w:eastAsia="仿宋"/>
          <w:b w:val="0"/>
          <w:bCs w:val="0"/>
          <w:color w:val="auto"/>
          <w:sz w:val="32"/>
          <w:szCs w:val="32"/>
        </w:rPr>
        <w:t>21年相比，财政拨款收、支总计各减少</w:t>
      </w:r>
      <w:r>
        <w:rPr>
          <w:rFonts w:hint="eastAsia" w:ascii="仿宋" w:hAnsi="仿宋" w:eastAsia="仿宋"/>
          <w:b w:val="0"/>
          <w:bCs w:val="0"/>
          <w:color w:val="auto"/>
          <w:sz w:val="32"/>
          <w:szCs w:val="32"/>
          <w:lang w:val="en-US" w:eastAsia="zh-CN"/>
        </w:rPr>
        <w:t>23.58</w:t>
      </w:r>
      <w:r>
        <w:rPr>
          <w:rFonts w:hint="eastAsia" w:ascii="仿宋" w:hAnsi="仿宋" w:eastAsia="仿宋"/>
          <w:b w:val="0"/>
          <w:bCs w:val="0"/>
          <w:color w:val="auto"/>
          <w:sz w:val="32"/>
          <w:szCs w:val="32"/>
        </w:rPr>
        <w:t>万元，下降</w:t>
      </w:r>
      <w:r>
        <w:rPr>
          <w:rFonts w:hint="eastAsia" w:ascii="仿宋" w:hAnsi="仿宋" w:eastAsia="仿宋"/>
          <w:b w:val="0"/>
          <w:bCs w:val="0"/>
          <w:color w:val="auto"/>
          <w:sz w:val="32"/>
          <w:szCs w:val="32"/>
          <w:lang w:val="en-US" w:eastAsia="zh-CN"/>
        </w:rPr>
        <w:t>0.31</w:t>
      </w:r>
      <w:r>
        <w:rPr>
          <w:rFonts w:ascii="仿宋" w:hAnsi="仿宋" w:eastAsia="仿宋"/>
          <w:b w:val="0"/>
          <w:bCs w:val="0"/>
          <w:color w:val="auto"/>
          <w:sz w:val="32"/>
          <w:szCs w:val="32"/>
        </w:rPr>
        <w:t>%</w:t>
      </w:r>
      <w:r>
        <w:rPr>
          <w:rFonts w:hint="eastAsia" w:ascii="仿宋" w:hAnsi="仿宋" w:eastAsia="仿宋"/>
          <w:b w:val="0"/>
          <w:bCs w:val="0"/>
          <w:color w:val="auto"/>
          <w:sz w:val="32"/>
          <w:szCs w:val="32"/>
        </w:rPr>
        <w:t>。主要变动原因</w:t>
      </w:r>
      <w:r>
        <w:rPr>
          <w:rFonts w:hint="eastAsia" w:ascii="仿宋" w:hAnsi="仿宋" w:eastAsia="仿宋"/>
          <w:b w:val="0"/>
          <w:bCs w:val="0"/>
          <w:color w:val="auto"/>
          <w:sz w:val="32"/>
          <w:szCs w:val="32"/>
          <w:lang w:eastAsia="zh-CN"/>
        </w:rPr>
        <w:t>是</w:t>
      </w:r>
      <w:r>
        <w:rPr>
          <w:rFonts w:hint="eastAsia" w:ascii="仿宋_GB2312" w:hAnsi="仿宋_GB2312" w:eastAsia="仿宋_GB2312" w:cs="仿宋_GB2312"/>
          <w:b w:val="0"/>
          <w:bCs w:val="0"/>
          <w:color w:val="auto"/>
          <w:sz w:val="32"/>
          <w:szCs w:val="32"/>
          <w:highlight w:val="none"/>
          <w:lang w:eastAsia="zh-CN"/>
        </w:rPr>
        <w:t>受疫情及部分享受定补退役军人死亡的影响，部分项目预算减少</w:t>
      </w:r>
      <w:r>
        <w:rPr>
          <w:rFonts w:hint="eastAsia" w:ascii="仿宋" w:hAnsi="仿宋" w:eastAsia="仿宋"/>
          <w:b w:val="0"/>
          <w:bCs w:val="0"/>
          <w:color w:val="auto"/>
          <w:sz w:val="32"/>
          <w:szCs w:val="32"/>
        </w:rPr>
        <w:t>。</w:t>
      </w:r>
    </w:p>
    <w:p>
      <w:pPr>
        <w:pStyle w:val="10"/>
        <w:rPr>
          <w:b w:val="0"/>
          <w:bCs w:val="0"/>
          <w:color w:val="auto"/>
        </w:rPr>
      </w:pPr>
      <w:r>
        <w:rPr>
          <w:color w:val="auto"/>
        </w:rP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bCs w:val="0"/>
          <w:color w:val="auto"/>
        </w:rPr>
      </w:pPr>
      <w:bookmarkStart w:id="31" w:name="_Toc15396607"/>
      <w:bookmarkStart w:id="32" w:name="_Toc15377209"/>
      <w:r>
        <w:rPr>
          <w:rFonts w:hint="eastAsia" w:ascii="黑体" w:hAnsi="黑体" w:eastAsia="黑体"/>
          <w:b w:val="0"/>
          <w:bCs w:val="0"/>
          <w:color w:val="auto"/>
          <w:sz w:val="32"/>
          <w:szCs w:val="32"/>
        </w:rPr>
        <w:t>五、一</w:t>
      </w:r>
      <w:r>
        <w:rPr>
          <w:rStyle w:val="26"/>
          <w:rFonts w:hint="eastAsia" w:ascii="黑体" w:hAnsi="黑体" w:eastAsia="黑体"/>
          <w:b w:val="0"/>
          <w:bCs w:val="0"/>
          <w:color w:val="auto"/>
        </w:rPr>
        <w:t>般公共预算财政拨款支出决算情况说明</w:t>
      </w:r>
      <w:bookmarkEnd w:id="31"/>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33" w:name="_Toc15377210"/>
      <w:r>
        <w:rPr>
          <w:rFonts w:hint="eastAsia" w:ascii="楷体_GB2312" w:hAnsi="楷体_GB2312" w:eastAsia="楷体_GB2312" w:cs="楷体_GB2312"/>
          <w:b w:val="0"/>
          <w:bCs w:val="0"/>
          <w:color w:val="auto"/>
          <w:sz w:val="32"/>
          <w:szCs w:val="32"/>
          <w:highlight w:val="none"/>
          <w:lang w:eastAsia="zh-CN"/>
        </w:rPr>
        <w:t>（一）一般公共预算财政拨款支出决算总体情况</w:t>
      </w:r>
      <w:bookmarkEnd w:id="33"/>
    </w:p>
    <w:p>
      <w:pPr>
        <w:spacing w:line="600" w:lineRule="exact"/>
        <w:ind w:firstLine="640" w:firstLineChars="200"/>
        <w:rPr>
          <w:rFonts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22年一般公共预算财政拨款支出</w:t>
      </w:r>
      <w:r>
        <w:rPr>
          <w:rFonts w:hint="eastAsia" w:ascii="仿宋" w:hAnsi="仿宋" w:eastAsia="仿宋"/>
          <w:b w:val="0"/>
          <w:bCs w:val="0"/>
          <w:color w:val="auto"/>
          <w:sz w:val="32"/>
          <w:szCs w:val="32"/>
          <w:lang w:val="en-US" w:eastAsia="zh-CN"/>
        </w:rPr>
        <w:t>6990.95</w:t>
      </w:r>
      <w:r>
        <w:rPr>
          <w:rFonts w:hint="eastAsia" w:ascii="仿宋" w:hAnsi="仿宋" w:eastAsia="仿宋"/>
          <w:b w:val="0"/>
          <w:bCs w:val="0"/>
          <w:color w:val="auto"/>
          <w:sz w:val="32"/>
          <w:szCs w:val="32"/>
        </w:rPr>
        <w:t>万元，占本年支出合计的</w:t>
      </w:r>
      <w:r>
        <w:rPr>
          <w:rFonts w:hint="eastAsia" w:ascii="仿宋" w:hAnsi="仿宋" w:eastAsia="仿宋"/>
          <w:b w:val="0"/>
          <w:bCs w:val="0"/>
          <w:color w:val="auto"/>
          <w:sz w:val="32"/>
          <w:szCs w:val="32"/>
          <w:lang w:val="en-US" w:eastAsia="zh-CN"/>
        </w:rPr>
        <w:t>98.80</w:t>
      </w:r>
      <w:r>
        <w:rPr>
          <w:rFonts w:ascii="仿宋" w:hAnsi="仿宋" w:eastAsia="仿宋"/>
          <w:b w:val="0"/>
          <w:bCs w:val="0"/>
          <w:color w:val="auto"/>
          <w:sz w:val="32"/>
          <w:szCs w:val="32"/>
        </w:rPr>
        <w:t>%</w:t>
      </w:r>
      <w:r>
        <w:rPr>
          <w:rFonts w:hint="eastAsia" w:ascii="仿宋" w:hAnsi="仿宋" w:eastAsia="仿宋"/>
          <w:b w:val="0"/>
          <w:bCs w:val="0"/>
          <w:color w:val="auto"/>
          <w:sz w:val="32"/>
          <w:szCs w:val="32"/>
        </w:rPr>
        <w:t>。与</w:t>
      </w:r>
      <w:r>
        <w:rPr>
          <w:rFonts w:ascii="仿宋" w:hAnsi="仿宋" w:eastAsia="仿宋"/>
          <w:b w:val="0"/>
          <w:bCs w:val="0"/>
          <w:color w:val="auto"/>
          <w:sz w:val="32"/>
          <w:szCs w:val="32"/>
        </w:rPr>
        <w:t>20</w:t>
      </w:r>
      <w:r>
        <w:rPr>
          <w:rFonts w:hint="eastAsia" w:ascii="仿宋" w:hAnsi="仿宋" w:eastAsia="仿宋"/>
          <w:b w:val="0"/>
          <w:bCs w:val="0"/>
          <w:color w:val="auto"/>
          <w:sz w:val="32"/>
          <w:szCs w:val="32"/>
        </w:rPr>
        <w:t>21年相比，一般公共预算财政拨款支出增加</w:t>
      </w:r>
      <w:r>
        <w:rPr>
          <w:rFonts w:hint="eastAsia" w:ascii="仿宋" w:hAnsi="仿宋" w:eastAsia="仿宋"/>
          <w:b w:val="0"/>
          <w:bCs w:val="0"/>
          <w:color w:val="auto"/>
          <w:sz w:val="32"/>
          <w:szCs w:val="32"/>
          <w:lang w:val="en-US" w:eastAsia="zh-CN"/>
        </w:rPr>
        <w:t>48.05</w:t>
      </w:r>
      <w:r>
        <w:rPr>
          <w:rFonts w:hint="eastAsia" w:ascii="仿宋" w:hAnsi="仿宋" w:eastAsia="仿宋"/>
          <w:b w:val="0"/>
          <w:bCs w:val="0"/>
          <w:color w:val="auto"/>
          <w:sz w:val="32"/>
          <w:szCs w:val="32"/>
        </w:rPr>
        <w:t>万元，增长</w:t>
      </w:r>
      <w:r>
        <w:rPr>
          <w:rFonts w:hint="eastAsia" w:ascii="仿宋" w:hAnsi="仿宋" w:eastAsia="仿宋"/>
          <w:b w:val="0"/>
          <w:bCs w:val="0"/>
          <w:color w:val="auto"/>
          <w:sz w:val="32"/>
          <w:szCs w:val="32"/>
          <w:lang w:val="en-US" w:eastAsia="zh-CN"/>
        </w:rPr>
        <w:t>0.69</w:t>
      </w:r>
      <w:r>
        <w:rPr>
          <w:rFonts w:ascii="仿宋" w:hAnsi="仿宋" w:eastAsia="仿宋"/>
          <w:b w:val="0"/>
          <w:bCs w:val="0"/>
          <w:color w:val="auto"/>
          <w:sz w:val="32"/>
          <w:szCs w:val="32"/>
        </w:rPr>
        <w:t>%</w:t>
      </w:r>
      <w:r>
        <w:rPr>
          <w:rFonts w:hint="eastAsia" w:ascii="仿宋" w:hAnsi="仿宋" w:eastAsia="仿宋"/>
          <w:b w:val="0"/>
          <w:bCs w:val="0"/>
          <w:color w:val="auto"/>
          <w:sz w:val="32"/>
          <w:szCs w:val="32"/>
        </w:rPr>
        <w:t>。主要变动原因是</w:t>
      </w:r>
      <w:r>
        <w:rPr>
          <w:rFonts w:hint="eastAsia" w:ascii="仿宋" w:hAnsi="仿宋" w:eastAsia="仿宋"/>
          <w:b w:val="0"/>
          <w:bCs w:val="0"/>
          <w:color w:val="auto"/>
          <w:sz w:val="32"/>
          <w:szCs w:val="32"/>
          <w:lang w:eastAsia="zh-CN"/>
        </w:rPr>
        <w:t>部分项目政策性调标造成预算增加。</w:t>
      </w:r>
    </w:p>
    <w:p>
      <w:pPr>
        <w:pStyle w:val="10"/>
        <w:rPr>
          <w:color w:val="auto"/>
        </w:rPr>
      </w:pPr>
      <w:r>
        <w:rPr>
          <w:color w:val="auto"/>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34" w:name="_Toc15377211"/>
      <w:r>
        <w:rPr>
          <w:rFonts w:hint="eastAsia" w:ascii="楷体_GB2312" w:hAnsi="楷体_GB2312" w:eastAsia="楷体_GB2312" w:cs="楷体_GB2312"/>
          <w:b w:val="0"/>
          <w:bCs w:val="0"/>
          <w:color w:val="auto"/>
          <w:sz w:val="32"/>
          <w:szCs w:val="32"/>
          <w:highlight w:val="none"/>
          <w:lang w:eastAsia="zh-CN"/>
        </w:rPr>
        <w:t>（二）一般公共预算财政拨款支出决算结构情况</w:t>
      </w:r>
      <w:bookmarkEnd w:id="34"/>
    </w:p>
    <w:p>
      <w:pPr>
        <w:spacing w:line="600" w:lineRule="exact"/>
        <w:ind w:firstLine="640"/>
        <w:rPr>
          <w:rFonts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22年一般公共预算财政拨款支出</w:t>
      </w:r>
      <w:r>
        <w:rPr>
          <w:rFonts w:hint="eastAsia" w:ascii="仿宋" w:hAnsi="仿宋" w:eastAsia="仿宋"/>
          <w:b w:val="0"/>
          <w:bCs w:val="0"/>
          <w:color w:val="auto"/>
          <w:sz w:val="32"/>
          <w:szCs w:val="32"/>
          <w:lang w:val="en-US" w:eastAsia="zh-CN"/>
        </w:rPr>
        <w:t>6990.95</w:t>
      </w:r>
      <w:r>
        <w:rPr>
          <w:rFonts w:hint="eastAsia" w:ascii="仿宋" w:hAnsi="仿宋" w:eastAsia="仿宋"/>
          <w:b w:val="0"/>
          <w:bCs w:val="0"/>
          <w:color w:val="auto"/>
          <w:sz w:val="32"/>
          <w:szCs w:val="32"/>
        </w:rPr>
        <w:t>万元，主要用于以下方面</w:t>
      </w:r>
      <w:r>
        <w:rPr>
          <w:rFonts w:ascii="仿宋" w:hAnsi="仿宋" w:eastAsia="仿宋"/>
          <w:b w:val="0"/>
          <w:bCs w:val="0"/>
          <w:color w:val="auto"/>
          <w:sz w:val="32"/>
          <w:szCs w:val="32"/>
        </w:rPr>
        <w:t>:</w:t>
      </w:r>
      <w:r>
        <w:rPr>
          <w:rFonts w:hint="eastAsia" w:ascii="仿宋" w:hAnsi="仿宋" w:eastAsia="仿宋"/>
          <w:b w:val="0"/>
          <w:bCs w:val="0"/>
          <w:color w:val="auto"/>
          <w:sz w:val="32"/>
          <w:szCs w:val="32"/>
        </w:rPr>
        <w:t>一般公共服务支出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万元；教育支出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万元；科学技术支出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万元；文化旅游体育与传媒支出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万元；社会保障和就业支出</w:t>
      </w:r>
      <w:r>
        <w:rPr>
          <w:rFonts w:hint="eastAsia" w:ascii="仿宋" w:hAnsi="仿宋" w:eastAsia="仿宋"/>
          <w:b w:val="0"/>
          <w:bCs w:val="0"/>
          <w:color w:val="auto"/>
          <w:sz w:val="32"/>
          <w:szCs w:val="32"/>
          <w:lang w:val="en-US" w:eastAsia="zh-CN"/>
        </w:rPr>
        <w:t>6914.35</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98.90</w:t>
      </w:r>
      <w:r>
        <w:rPr>
          <w:rFonts w:ascii="仿宋" w:hAnsi="仿宋" w:eastAsia="仿宋"/>
          <w:b w:val="0"/>
          <w:bCs w:val="0"/>
          <w:color w:val="auto"/>
          <w:sz w:val="32"/>
          <w:szCs w:val="32"/>
        </w:rPr>
        <w:t>%</w:t>
      </w:r>
      <w:r>
        <w:rPr>
          <w:rFonts w:hint="eastAsia" w:ascii="仿宋" w:hAnsi="仿宋" w:eastAsia="仿宋"/>
          <w:b w:val="0"/>
          <w:bCs w:val="0"/>
          <w:color w:val="auto"/>
          <w:sz w:val="32"/>
          <w:szCs w:val="32"/>
        </w:rPr>
        <w:t>；卫生健康支出</w:t>
      </w:r>
      <w:r>
        <w:rPr>
          <w:rFonts w:hint="eastAsia" w:ascii="仿宋" w:hAnsi="仿宋" w:eastAsia="仿宋"/>
          <w:b w:val="0"/>
          <w:bCs w:val="0"/>
          <w:color w:val="auto"/>
          <w:sz w:val="32"/>
          <w:szCs w:val="32"/>
          <w:lang w:val="en-US" w:eastAsia="zh-CN"/>
        </w:rPr>
        <w:t>51.34</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0.74</w:t>
      </w:r>
      <w:r>
        <w:rPr>
          <w:rFonts w:ascii="仿宋" w:hAnsi="仿宋" w:eastAsia="仿宋"/>
          <w:b w:val="0"/>
          <w:bCs w:val="0"/>
          <w:color w:val="auto"/>
          <w:sz w:val="32"/>
          <w:szCs w:val="32"/>
        </w:rPr>
        <w:t>*%</w:t>
      </w:r>
      <w:r>
        <w:rPr>
          <w:rFonts w:hint="eastAsia" w:ascii="仿宋" w:hAnsi="仿宋" w:eastAsia="仿宋"/>
          <w:b w:val="0"/>
          <w:bCs w:val="0"/>
          <w:color w:val="auto"/>
          <w:sz w:val="32"/>
          <w:szCs w:val="32"/>
        </w:rPr>
        <w:t>；住房保障支出</w:t>
      </w:r>
      <w:r>
        <w:rPr>
          <w:rFonts w:hint="eastAsia" w:ascii="仿宋" w:hAnsi="仿宋" w:eastAsia="仿宋"/>
          <w:b w:val="0"/>
          <w:bCs w:val="0"/>
          <w:color w:val="auto"/>
          <w:sz w:val="32"/>
          <w:szCs w:val="32"/>
          <w:lang w:val="en-US" w:eastAsia="zh-CN"/>
        </w:rPr>
        <w:t>25.26</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0.36</w:t>
      </w:r>
      <w:r>
        <w:rPr>
          <w:rFonts w:ascii="仿宋" w:hAnsi="仿宋" w:eastAsia="仿宋"/>
          <w:b w:val="0"/>
          <w:bCs w:val="0"/>
          <w:color w:val="auto"/>
          <w:sz w:val="32"/>
          <w:szCs w:val="32"/>
        </w:rPr>
        <w:t>%</w:t>
      </w:r>
      <w:r>
        <w:rPr>
          <w:rFonts w:hint="eastAsia" w:ascii="仿宋" w:hAnsi="仿宋" w:eastAsia="仿宋"/>
          <w:b w:val="0"/>
          <w:bCs w:val="0"/>
          <w:color w:val="auto"/>
          <w:sz w:val="32"/>
          <w:szCs w:val="32"/>
        </w:rPr>
        <w:t>。</w:t>
      </w:r>
    </w:p>
    <w:p>
      <w:pPr>
        <w:pStyle w:val="10"/>
        <w:rPr>
          <w:color w:val="auto"/>
        </w:rPr>
      </w:pPr>
      <w:r>
        <w:rPr>
          <w:color w:val="auto"/>
        </w:rPr>
        <w:drawing>
          <wp:inline distT="0" distB="0" distL="114300" distR="114300">
            <wp:extent cx="4572000" cy="2743200"/>
            <wp:effectExtent l="4445" t="4445" r="14605" b="1460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35" w:name="_Toc15377212"/>
      <w:r>
        <w:rPr>
          <w:rFonts w:hint="eastAsia" w:ascii="楷体_GB2312" w:hAnsi="楷体_GB2312" w:eastAsia="楷体_GB2312" w:cs="楷体_GB2312"/>
          <w:b w:val="0"/>
          <w:bCs w:val="0"/>
          <w:color w:val="auto"/>
          <w:sz w:val="32"/>
          <w:szCs w:val="32"/>
          <w:highlight w:val="none"/>
          <w:lang w:eastAsia="zh-CN"/>
        </w:rPr>
        <w:t>（三）一般公共预算财政拨款支出决算具体情况</w:t>
      </w:r>
      <w:bookmarkEnd w:id="35"/>
    </w:p>
    <w:p>
      <w:pPr>
        <w:spacing w:line="600" w:lineRule="exact"/>
        <w:ind w:firstLine="640" w:firstLineChars="200"/>
        <w:outlineLvl w:val="2"/>
        <w:rPr>
          <w:rFonts w:ascii="仿宋" w:hAnsi="仿宋" w:eastAsia="仿宋"/>
          <w:b w:val="0"/>
          <w:bCs w:val="0"/>
          <w:color w:val="auto"/>
          <w:sz w:val="32"/>
          <w:szCs w:val="32"/>
        </w:rPr>
      </w:pPr>
      <w:bookmarkStart w:id="36" w:name="_Toc15378460"/>
      <w:bookmarkStart w:id="37" w:name="_Toc15377444"/>
      <w:bookmarkStart w:id="38" w:name="_Toc15377213"/>
      <w:r>
        <w:rPr>
          <w:rFonts w:hint="eastAsia" w:ascii="仿宋" w:hAnsi="仿宋" w:eastAsia="仿宋"/>
          <w:b w:val="0"/>
          <w:bCs w:val="0"/>
          <w:color w:val="auto"/>
          <w:sz w:val="32"/>
          <w:szCs w:val="32"/>
        </w:rPr>
        <w:t>2022年一般公共预算支出决算数为</w:t>
      </w:r>
      <w:r>
        <w:rPr>
          <w:rFonts w:hint="eastAsia" w:ascii="仿宋" w:hAnsi="仿宋" w:eastAsia="仿宋"/>
          <w:b w:val="0"/>
          <w:bCs w:val="0"/>
          <w:color w:val="auto"/>
          <w:sz w:val="32"/>
          <w:szCs w:val="32"/>
          <w:lang w:val="en-US" w:eastAsia="zh-CN"/>
        </w:rPr>
        <w:t>6990.95</w:t>
      </w:r>
      <w:r>
        <w:rPr>
          <w:rFonts w:hint="eastAsia" w:ascii="仿宋" w:hAnsi="仿宋" w:eastAsia="仿宋"/>
          <w:b w:val="0"/>
          <w:bCs w:val="0"/>
          <w:color w:val="auto"/>
          <w:sz w:val="32"/>
          <w:szCs w:val="32"/>
        </w:rPr>
        <w:t>，</w:t>
      </w:r>
      <w:r>
        <w:rPr>
          <w:rStyle w:val="15"/>
          <w:rFonts w:hint="eastAsia" w:ascii="仿宋" w:hAnsi="仿宋" w:eastAsia="仿宋"/>
          <w:b w:val="0"/>
          <w:bCs w:val="0"/>
          <w:color w:val="auto"/>
          <w:sz w:val="32"/>
          <w:szCs w:val="32"/>
        </w:rPr>
        <w:t>完成预算</w:t>
      </w:r>
      <w:r>
        <w:rPr>
          <w:rStyle w:val="15"/>
          <w:rFonts w:hint="eastAsia" w:ascii="仿宋" w:hAnsi="仿宋" w:eastAsia="仿宋"/>
          <w:b w:val="0"/>
          <w:bCs w:val="0"/>
          <w:color w:val="auto"/>
          <w:sz w:val="32"/>
          <w:szCs w:val="32"/>
          <w:lang w:val="en-US" w:eastAsia="zh-CN"/>
        </w:rPr>
        <w:t>100</w:t>
      </w:r>
      <w:r>
        <w:rPr>
          <w:rStyle w:val="15"/>
          <w:rFonts w:ascii="仿宋" w:hAnsi="仿宋" w:eastAsia="仿宋"/>
          <w:b w:val="0"/>
          <w:bCs w:val="0"/>
          <w:color w:val="auto"/>
          <w:sz w:val="32"/>
          <w:szCs w:val="32"/>
        </w:rPr>
        <w:t>%</w:t>
      </w:r>
      <w:r>
        <w:rPr>
          <w:rStyle w:val="15"/>
          <w:rFonts w:hint="eastAsia" w:ascii="仿宋" w:hAnsi="仿宋" w:eastAsia="仿宋"/>
          <w:b w:val="0"/>
          <w:bCs w:val="0"/>
          <w:color w:val="auto"/>
          <w:sz w:val="32"/>
          <w:szCs w:val="32"/>
        </w:rPr>
        <w:t>。其中：</w:t>
      </w:r>
      <w:bookmarkEnd w:id="36"/>
      <w:bookmarkEnd w:id="37"/>
      <w:bookmarkEnd w:id="38"/>
    </w:p>
    <w:p>
      <w:pPr>
        <w:pageBreakBefore w:val="0"/>
        <w:numPr>
          <w:ilvl w:val="0"/>
          <w:numId w:val="0"/>
        </w:numPr>
        <w:kinsoku/>
        <w:wordWrap/>
        <w:overflowPunct/>
        <w:topLinePunct w:val="0"/>
        <w:bidi w:val="0"/>
        <w:spacing w:line="600" w:lineRule="exact"/>
        <w:ind w:firstLine="640" w:firstLineChars="20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1.</w:t>
      </w:r>
      <w:r>
        <w:rPr>
          <w:rStyle w:val="15"/>
          <w:rFonts w:hint="eastAsia" w:ascii="仿宋_GB2312" w:hAnsi="仿宋_GB2312" w:eastAsia="仿宋_GB2312" w:cs="仿宋_GB2312"/>
          <w:b w:val="0"/>
          <w:bCs w:val="0"/>
          <w:color w:val="auto"/>
          <w:sz w:val="32"/>
          <w:szCs w:val="32"/>
          <w:highlight w:val="none"/>
        </w:rPr>
        <w:t>社会保障和就业（类）支出决算为</w:t>
      </w:r>
      <w:r>
        <w:rPr>
          <w:rStyle w:val="15"/>
          <w:rFonts w:hint="eastAsia" w:ascii="仿宋_GB2312" w:hAnsi="仿宋_GB2312" w:eastAsia="仿宋_GB2312" w:cs="仿宋_GB2312"/>
          <w:b w:val="0"/>
          <w:bCs w:val="0"/>
          <w:color w:val="auto"/>
          <w:sz w:val="32"/>
          <w:szCs w:val="32"/>
          <w:highlight w:val="none"/>
          <w:lang w:val="en-US" w:eastAsia="zh-CN"/>
        </w:rPr>
        <w:t>6914.35</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r>
        <w:rPr>
          <w:rStyle w:val="15"/>
          <w:rFonts w:hint="eastAsia" w:ascii="仿宋_GB2312" w:hAnsi="仿宋_GB2312" w:eastAsia="仿宋_GB2312" w:cs="仿宋_GB2312"/>
          <w:b w:val="0"/>
          <w:bCs w:val="0"/>
          <w:color w:val="auto"/>
          <w:sz w:val="32"/>
          <w:szCs w:val="32"/>
          <w:highlight w:val="none"/>
          <w:lang w:eastAsia="zh-CN"/>
        </w:rPr>
        <w:t>其中</w:t>
      </w:r>
      <w:r>
        <w:rPr>
          <w:rStyle w:val="15"/>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 w:val="0"/>
          <w:bCs w:val="0"/>
          <w:color w:val="auto"/>
          <w:spacing w:val="0"/>
          <w:position w:val="0"/>
          <w:sz w:val="30"/>
          <w:szCs w:val="30"/>
          <w:highlight w:val="none"/>
          <w:shd w:val="clear" w:color="auto" w:fill="auto"/>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2080505（机关事业单位基本养老保险缴费支出）决算数为17.58万元；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2080506（机关事业单位职业年金缴费支出）决算数为8.79万元；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2082801（行政运行）决算数为168.18万元；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2082802（一般行政管理事务）决算数为427.67万元；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2082850（事业运行）决算数为76.51万元；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5"/>
          <w:rFonts w:hint="default"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2082899（其他退役军人事务管理支出）决算数为36.48万元；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5"/>
          <w:rFonts w:hint="default"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2089999（其他社会保障和就业支出）决算数为6179.14万元；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2.卫生健康（类）支出决算为51.34万元，完成预算100%。其中：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2101101（行政单位医疗）决算数为4.66万元；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2101102（事业单位医疗）决算数为2.66万元；</w:t>
      </w:r>
    </w:p>
    <w:p>
      <w:pPr>
        <w:pStyle w:val="10"/>
        <w:jc w:val="both"/>
        <w:rPr>
          <w:rFonts w:hint="default"/>
          <w:b w:val="0"/>
          <w:bCs w:val="0"/>
          <w:color w:val="auto"/>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 xml:space="preserve">    2109901（其他卫生健康支出）决算数为44.02万元；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color w:val="auto"/>
          <w:sz w:val="32"/>
          <w:szCs w:val="32"/>
          <w:highlight w:val="none"/>
          <w:lang w:val="en-US" w:eastAsia="zh-CN"/>
        </w:rPr>
        <w:t>3.住房保障（类）支出决算为25.26万元，完成预算100%。其中：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Style w:val="15"/>
          <w:rFonts w:hint="eastAsia" w:ascii="仿宋_GB2312" w:hAnsi="仿宋_GB2312" w:eastAsia="仿宋_GB2312" w:cs="仿宋_GB2312"/>
          <w:b w:val="0"/>
          <w:bCs w:val="0"/>
          <w:color w:val="auto"/>
          <w:kern w:val="2"/>
          <w:sz w:val="32"/>
          <w:szCs w:val="32"/>
          <w:highlight w:val="none"/>
          <w:lang w:val="en-US" w:eastAsia="zh-CN" w:bidi="ar-SA"/>
        </w:rPr>
      </w:pPr>
      <w:r>
        <w:rPr>
          <w:rFonts w:hint="eastAsia"/>
          <w:b w:val="0"/>
          <w:bCs w:val="0"/>
          <w:color w:val="auto"/>
          <w:highlight w:val="none"/>
          <w:lang w:val="en-US" w:eastAsia="zh-CN"/>
        </w:rPr>
        <w:t xml:space="preserve">  </w:t>
      </w:r>
      <w:r>
        <w:rPr>
          <w:rStyle w:val="15"/>
          <w:rFonts w:hint="eastAsia" w:ascii="仿宋_GB2312" w:hAnsi="仿宋_GB2312" w:eastAsia="仿宋_GB2312" w:cs="仿宋_GB2312"/>
          <w:b w:val="0"/>
          <w:bCs w:val="0"/>
          <w:color w:val="auto"/>
          <w:kern w:val="2"/>
          <w:sz w:val="32"/>
          <w:szCs w:val="32"/>
          <w:highlight w:val="none"/>
          <w:lang w:val="en-US" w:eastAsia="zh-CN" w:bidi="ar-SA"/>
        </w:rPr>
        <w:t>2210201（住房公积金）决算数为25.06万元</w:t>
      </w:r>
    </w:p>
    <w:p>
      <w:pPr>
        <w:tabs>
          <w:tab w:val="right" w:pos="8306"/>
        </w:tabs>
        <w:spacing w:line="600" w:lineRule="exact"/>
        <w:ind w:firstLine="640"/>
        <w:outlineLvl w:val="1"/>
        <w:rPr>
          <w:rStyle w:val="26"/>
          <w:b w:val="0"/>
          <w:bCs w:val="0"/>
          <w:color w:val="auto"/>
        </w:rPr>
      </w:pPr>
      <w:bookmarkStart w:id="39" w:name="_Toc15396608"/>
      <w:bookmarkStart w:id="40" w:name="_Toc15377214"/>
      <w:r>
        <w:rPr>
          <w:rFonts w:hint="eastAsia" w:ascii="黑体" w:eastAsia="黑体"/>
          <w:b w:val="0"/>
          <w:bCs w:val="0"/>
          <w:color w:val="auto"/>
          <w:sz w:val="32"/>
          <w:szCs w:val="32"/>
        </w:rPr>
        <w:t>六、</w:t>
      </w:r>
      <w:r>
        <w:rPr>
          <w:rFonts w:hint="eastAsia" w:ascii="黑体" w:hAnsi="黑体" w:eastAsia="黑体"/>
          <w:b w:val="0"/>
          <w:bCs w:val="0"/>
          <w:color w:val="auto"/>
          <w:sz w:val="32"/>
          <w:szCs w:val="32"/>
        </w:rPr>
        <w:t>一</w:t>
      </w:r>
      <w:r>
        <w:rPr>
          <w:rStyle w:val="26"/>
          <w:rFonts w:hint="eastAsia" w:ascii="黑体" w:hAnsi="黑体" w:eastAsia="黑体"/>
          <w:b w:val="0"/>
          <w:bCs w:val="0"/>
          <w:color w:val="auto"/>
        </w:rPr>
        <w:t>般公共预算财政拨款基本支出决算情况说明</w:t>
      </w:r>
      <w:bookmarkEnd w:id="39"/>
      <w:bookmarkEnd w:id="40"/>
      <w:r>
        <w:rPr>
          <w:rStyle w:val="26"/>
          <w:rFonts w:ascii="黑体" w:hAnsi="黑体" w:eastAsia="黑体"/>
          <w:b w:val="0"/>
          <w:bCs w:val="0"/>
          <w:color w:val="auto"/>
        </w:rPr>
        <w:tab/>
      </w:r>
    </w:p>
    <w:p>
      <w:pPr>
        <w:spacing w:line="600" w:lineRule="exact"/>
        <w:ind w:firstLine="645"/>
        <w:rPr>
          <w:rFonts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22年一般公共预算财政拨款基本支出</w:t>
      </w:r>
      <w:r>
        <w:rPr>
          <w:rFonts w:hint="eastAsia" w:ascii="仿宋" w:hAnsi="仿宋" w:eastAsia="仿宋"/>
          <w:b w:val="0"/>
          <w:bCs w:val="0"/>
          <w:color w:val="auto"/>
          <w:sz w:val="32"/>
          <w:szCs w:val="32"/>
          <w:lang w:val="en-US" w:eastAsia="zh-CN"/>
        </w:rPr>
        <w:t>304.41</w:t>
      </w:r>
      <w:r>
        <w:rPr>
          <w:rFonts w:hint="eastAsia" w:ascii="仿宋" w:hAnsi="仿宋" w:eastAsia="仿宋"/>
          <w:b w:val="0"/>
          <w:bCs w:val="0"/>
          <w:color w:val="auto"/>
          <w:sz w:val="32"/>
          <w:szCs w:val="32"/>
        </w:rPr>
        <w:t>万元，其中：</w:t>
      </w:r>
    </w:p>
    <w:p>
      <w:pPr>
        <w:keepNext w:val="0"/>
        <w:keepLines w:val="0"/>
        <w:pageBreakBefore w:val="0"/>
        <w:kinsoku/>
        <w:wordWrap/>
        <w:overflowPunct/>
        <w:topLinePunct w:val="0"/>
        <w:bidi w:val="0"/>
        <w:snapToGrid/>
        <w:spacing w:line="600" w:lineRule="exact"/>
        <w:ind w:firstLine="645"/>
        <w:textAlignment w:val="auto"/>
        <w:rPr>
          <w:rFonts w:ascii="仿宋" w:hAnsi="仿宋" w:eastAsia="仿宋"/>
          <w:b w:val="0"/>
          <w:bCs w:val="0"/>
          <w:color w:val="auto"/>
          <w:sz w:val="32"/>
          <w:szCs w:val="32"/>
        </w:rPr>
      </w:pPr>
      <w:r>
        <w:rPr>
          <w:rFonts w:hint="eastAsia" w:ascii="仿宋_GB2312" w:hAnsi="仿宋_GB2312" w:eastAsia="仿宋_GB2312" w:cs="仿宋_GB2312"/>
          <w:b w:val="0"/>
          <w:bCs w:val="0"/>
          <w:color w:val="auto"/>
          <w:sz w:val="32"/>
          <w:szCs w:val="32"/>
          <w:highlight w:val="none"/>
        </w:rPr>
        <w:t>人员经费</w:t>
      </w:r>
      <w:r>
        <w:rPr>
          <w:rFonts w:hint="eastAsia" w:ascii="仿宋_GB2312" w:hAnsi="仿宋_GB2312" w:eastAsia="仿宋_GB2312" w:cs="仿宋_GB2312"/>
          <w:b w:val="0"/>
          <w:bCs w:val="0"/>
          <w:color w:val="auto"/>
          <w:sz w:val="32"/>
          <w:szCs w:val="32"/>
          <w:highlight w:val="none"/>
          <w:lang w:val="en-US" w:eastAsia="zh-CN"/>
        </w:rPr>
        <w:t>253.27</w:t>
      </w:r>
      <w:r>
        <w:rPr>
          <w:rFonts w:hint="eastAsia" w:ascii="仿宋_GB2312" w:hAnsi="仿宋_GB2312" w:eastAsia="仿宋_GB2312" w:cs="仿宋_GB2312"/>
          <w:b w:val="0"/>
          <w:bCs w:val="0"/>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b w:val="0"/>
          <w:bCs w:val="0"/>
          <w:color w:val="auto"/>
          <w:sz w:val="32"/>
          <w:szCs w:val="32"/>
          <w:highlight w:val="none"/>
          <w:lang w:val="en-US" w:eastAsia="zh-CN"/>
        </w:rPr>
        <w:t>职工基本医疗保险缴费、公务员医疗补助缴费、其他社会保障缴费、</w:t>
      </w:r>
      <w:r>
        <w:rPr>
          <w:rFonts w:hint="eastAsia" w:ascii="仿宋_GB2312" w:hAnsi="仿宋_GB2312" w:eastAsia="仿宋_GB2312" w:cs="仿宋_GB2312"/>
          <w:b w:val="0"/>
          <w:bCs w:val="0"/>
          <w:color w:val="auto"/>
          <w:sz w:val="32"/>
          <w:szCs w:val="32"/>
          <w:highlight w:val="none"/>
        </w:rPr>
        <w:t>奖励金、住房公积金、其他对个人和家庭的补助支出等。</w:t>
      </w:r>
      <w:r>
        <w:rPr>
          <w:rFonts w:hint="eastAsia" w:ascii="仿宋_GB2312" w:hAnsi="仿宋_GB2312" w:eastAsia="仿宋_GB2312" w:cs="仿宋_GB2312"/>
          <w:b w:val="0"/>
          <w:bCs w:val="0"/>
          <w:color w:val="auto"/>
          <w:sz w:val="32"/>
          <w:szCs w:val="32"/>
          <w:highlight w:val="none"/>
        </w:rPr>
        <w:br w:type="textWrapping"/>
      </w:r>
      <w:r>
        <w:rPr>
          <w:rFonts w:hint="eastAsia" w:ascii="仿宋_GB2312" w:hAnsi="仿宋_GB2312" w:eastAsia="仿宋_GB2312" w:cs="仿宋_GB2312"/>
          <w:b w:val="0"/>
          <w:bCs w:val="0"/>
          <w:color w:val="auto"/>
          <w:sz w:val="32"/>
          <w:szCs w:val="32"/>
          <w:highlight w:val="none"/>
        </w:rPr>
        <w:t>　　公用经费</w:t>
      </w:r>
      <w:r>
        <w:rPr>
          <w:rFonts w:hint="eastAsia" w:ascii="仿宋_GB2312" w:hAnsi="仿宋_GB2312" w:eastAsia="仿宋_GB2312" w:cs="仿宋_GB2312"/>
          <w:b w:val="0"/>
          <w:bCs w:val="0"/>
          <w:color w:val="auto"/>
          <w:sz w:val="32"/>
          <w:szCs w:val="32"/>
          <w:highlight w:val="none"/>
          <w:lang w:val="en-US" w:eastAsia="zh-CN"/>
        </w:rPr>
        <w:t>51.14</w:t>
      </w:r>
      <w:r>
        <w:rPr>
          <w:rFonts w:hint="eastAsia" w:ascii="仿宋_GB2312" w:hAnsi="仿宋_GB2312" w:eastAsia="仿宋_GB2312" w:cs="仿宋_GB2312"/>
          <w:b w:val="0"/>
          <w:bCs w:val="0"/>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bCs w:val="0"/>
          <w:color w:val="auto"/>
        </w:rPr>
      </w:pPr>
      <w:bookmarkStart w:id="41" w:name="_Toc15396609"/>
      <w:bookmarkStart w:id="42" w:name="_Toc15377215"/>
      <w:r>
        <w:rPr>
          <w:rFonts w:hint="eastAsia" w:ascii="黑体" w:eastAsia="黑体"/>
          <w:b w:val="0"/>
          <w:bCs w:val="0"/>
          <w:color w:val="auto"/>
          <w:sz w:val="32"/>
          <w:szCs w:val="32"/>
        </w:rPr>
        <w:t>七、</w:t>
      </w:r>
      <w:r>
        <w:rPr>
          <w:rStyle w:val="26"/>
          <w:rFonts w:hint="eastAsia" w:ascii="黑体" w:hAnsi="黑体" w:eastAsia="黑体"/>
          <w:b w:val="0"/>
          <w:bCs w:val="0"/>
          <w:color w:val="auto"/>
        </w:rPr>
        <w:t>财政拨款“三公”经费支出决算情况说明</w:t>
      </w:r>
      <w:bookmarkEnd w:id="41"/>
      <w:bookmarkEnd w:id="42"/>
    </w:p>
    <w:p>
      <w:pPr>
        <w:keepNext w:val="0"/>
        <w:keepLines w:val="0"/>
        <w:pageBreakBefore w:val="0"/>
        <w:kinsoku/>
        <w:wordWrap/>
        <w:overflowPunct/>
        <w:topLinePunct w:val="0"/>
        <w:bidi w:val="0"/>
        <w:snapToGrid/>
        <w:spacing w:line="600" w:lineRule="exact"/>
        <w:ind w:firstLine="640"/>
        <w:textAlignment w:val="auto"/>
        <w:outlineLvl w:val="2"/>
        <w:rPr>
          <w:rFonts w:hint="eastAsia" w:ascii="楷体_GB2312" w:hAnsi="楷体_GB2312" w:eastAsia="楷体_GB2312" w:cs="楷体_GB2312"/>
          <w:b w:val="0"/>
          <w:bCs w:val="0"/>
          <w:color w:val="auto"/>
          <w:sz w:val="32"/>
          <w:szCs w:val="32"/>
          <w:highlight w:val="none"/>
        </w:rPr>
      </w:pPr>
      <w:bookmarkStart w:id="43" w:name="_Toc15377216"/>
      <w:bookmarkStart w:id="44" w:name="_Toc15377218"/>
      <w:bookmarkStart w:id="45" w:name="_Toc15396610"/>
      <w:r>
        <w:rPr>
          <w:rFonts w:hint="eastAsia" w:ascii="楷体_GB2312" w:hAnsi="楷体_GB2312" w:eastAsia="楷体_GB2312" w:cs="楷体_GB2312"/>
          <w:b w:val="0"/>
          <w:bCs w:val="0"/>
          <w:color w:val="auto"/>
          <w:sz w:val="32"/>
          <w:szCs w:val="32"/>
          <w:highlight w:val="none"/>
        </w:rPr>
        <w:t>（一）“三公”经费财政拨款支出决算总体情况说明</w:t>
      </w:r>
      <w:bookmarkEnd w:id="43"/>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年“三公”经费财政拨款支出决算为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val="en-US" w:eastAsia="zh-CN"/>
        </w:rPr>
        <w:t>厉行节约，降低机关运行成本</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bidi w:val="0"/>
        <w:snapToGrid/>
        <w:spacing w:line="600" w:lineRule="exact"/>
        <w:ind w:firstLine="640"/>
        <w:textAlignment w:val="auto"/>
        <w:outlineLvl w:val="2"/>
        <w:rPr>
          <w:rFonts w:hint="eastAsia" w:ascii="楷体_GB2312" w:hAnsi="楷体_GB2312" w:eastAsia="楷体_GB2312" w:cs="楷体_GB2312"/>
          <w:b w:val="0"/>
          <w:bCs w:val="0"/>
          <w:color w:val="auto"/>
          <w:sz w:val="32"/>
          <w:szCs w:val="32"/>
          <w:highlight w:val="none"/>
        </w:rPr>
      </w:pPr>
      <w:bookmarkStart w:id="46" w:name="_Toc15377217"/>
      <w:r>
        <w:rPr>
          <w:rFonts w:hint="eastAsia" w:ascii="楷体_GB2312" w:hAnsi="楷体_GB2312" w:eastAsia="楷体_GB2312" w:cs="楷体_GB2312"/>
          <w:b w:val="0"/>
          <w:bCs w:val="0"/>
          <w:color w:val="auto"/>
          <w:sz w:val="32"/>
          <w:szCs w:val="32"/>
          <w:highlight w:val="none"/>
        </w:rPr>
        <w:t>（二）“三公”经费财政拨款支出决算具体情况说明</w:t>
      </w:r>
      <w:bookmarkEnd w:id="46"/>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年“三公”经费财政拨款支出决算中，因公出国（境）费支出决算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万元；公务接待费支出决算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万元。具体情况如下：</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1．因公出国（境）经费支出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Style w:val="15"/>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全年安排因公出国（境）团组</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次，出国（境）</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人。因公出国（境）支出决算</w:t>
      </w:r>
      <w:r>
        <w:rPr>
          <w:rFonts w:hint="eastAsia" w:ascii="仿宋_GB2312" w:hAnsi="仿宋_GB2312" w:eastAsia="仿宋_GB2312" w:cs="仿宋_GB2312"/>
          <w:b w:val="0"/>
          <w:bCs w:val="0"/>
          <w:color w:val="auto"/>
          <w:sz w:val="32"/>
          <w:szCs w:val="32"/>
          <w:highlight w:val="none"/>
          <w:lang w:val="en-US" w:eastAsia="zh-CN"/>
        </w:rPr>
        <w:t>与</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一致。</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2．公务用车购置及运行维护费支出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Style w:val="15"/>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val="en-US" w:eastAsia="zh-CN"/>
        </w:rPr>
        <w:t>与2021年一致。</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3．公务接待费支出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val="en-US" w:eastAsia="zh-CN"/>
        </w:rPr>
        <w:t>厉行节约，降低机关运行成本</w:t>
      </w:r>
      <w:r>
        <w:rPr>
          <w:rFonts w:hint="eastAsia" w:ascii="仿宋_GB2312" w:hAnsi="仿宋_GB2312" w:eastAsia="仿宋_GB2312" w:cs="仿宋_GB2312"/>
          <w:b w:val="0"/>
          <w:bCs w:val="0"/>
          <w:color w:val="auto"/>
          <w:sz w:val="32"/>
          <w:szCs w:val="32"/>
          <w:highlight w:val="none"/>
        </w:rPr>
        <w:t>。其中：</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国内公务接待支出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国内公务接待</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批次，</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人次（不包括陪同人员），共计支出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p>
    <w:p>
      <w:pPr>
        <w:keepNext w:val="0"/>
        <w:keepLines w:val="0"/>
        <w:pageBreakBefore w:val="0"/>
        <w:kinsoku/>
        <w:wordWrap/>
        <w:overflowPunct/>
        <w:topLinePunct w:val="0"/>
        <w:bidi w:val="0"/>
        <w:snapToGrid/>
        <w:spacing w:line="600" w:lineRule="exact"/>
        <w:ind w:firstLine="640" w:firstLineChars="200"/>
        <w:textAlignment w:val="auto"/>
        <w:rPr>
          <w:rFonts w:ascii="黑体" w:eastAsia="黑体"/>
          <w:b w:val="0"/>
          <w:bCs w:val="0"/>
          <w:color w:val="auto"/>
          <w:sz w:val="32"/>
          <w:szCs w:val="32"/>
        </w:rPr>
      </w:pPr>
      <w:r>
        <w:rPr>
          <w:rFonts w:hint="eastAsia" w:ascii="仿宋_GB2312" w:hAnsi="仿宋_GB2312" w:eastAsia="仿宋_GB2312" w:cs="仿宋_GB2312"/>
          <w:b w:val="0"/>
          <w:bCs w:val="0"/>
          <w:color w:val="auto"/>
          <w:sz w:val="32"/>
          <w:szCs w:val="32"/>
          <w:highlight w:val="none"/>
        </w:rPr>
        <w:t>外事接待支出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万元，外事接待</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批次，</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人，共计支出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outlineLvl w:val="1"/>
        <w:rPr>
          <w:rStyle w:val="26"/>
          <w:rFonts w:ascii="黑体" w:hAnsi="黑体" w:eastAsia="黑体"/>
          <w:b w:val="0"/>
          <w:bCs w:val="0"/>
          <w:color w:val="auto"/>
        </w:rPr>
      </w:pPr>
      <w:r>
        <w:rPr>
          <w:rFonts w:hint="eastAsia" w:ascii="黑体" w:eastAsia="黑体"/>
          <w:b w:val="0"/>
          <w:bCs w:val="0"/>
          <w:color w:val="auto"/>
          <w:sz w:val="32"/>
          <w:szCs w:val="32"/>
        </w:rPr>
        <w:t>八、</w:t>
      </w:r>
      <w:r>
        <w:rPr>
          <w:rStyle w:val="26"/>
          <w:rFonts w:hint="eastAsia" w:ascii="黑体" w:hAnsi="黑体" w:eastAsia="黑体"/>
          <w:b w:val="0"/>
          <w:bCs w:val="0"/>
          <w:color w:val="auto"/>
        </w:rPr>
        <w:t>政府性基金预算支出决算情况说明</w:t>
      </w:r>
      <w:bookmarkEnd w:id="44"/>
      <w:bookmarkEnd w:id="45"/>
    </w:p>
    <w:p>
      <w:pPr>
        <w:spacing w:line="600" w:lineRule="exact"/>
        <w:ind w:firstLine="640"/>
        <w:rPr>
          <w:rFonts w:ascii="仿宋_GB2312" w:eastAsia="仿宋_GB2312"/>
          <w:b w:val="0"/>
          <w:bCs w:val="0"/>
          <w:color w:val="auto"/>
          <w:sz w:val="32"/>
          <w:szCs w:val="32"/>
        </w:rPr>
      </w:pPr>
      <w:r>
        <w:rPr>
          <w:rFonts w:ascii="仿宋_GB2312" w:eastAsia="仿宋_GB2312"/>
          <w:b w:val="0"/>
          <w:bCs w:val="0"/>
          <w:color w:val="auto"/>
          <w:sz w:val="32"/>
          <w:szCs w:val="32"/>
        </w:rPr>
        <w:t>20</w:t>
      </w:r>
      <w:r>
        <w:rPr>
          <w:rFonts w:hint="eastAsia" w:ascii="仿宋_GB2312" w:eastAsia="仿宋_GB2312"/>
          <w:b w:val="0"/>
          <w:bCs w:val="0"/>
          <w:color w:val="auto"/>
          <w:sz w:val="32"/>
          <w:szCs w:val="32"/>
        </w:rPr>
        <w:t>22年政府性基金预算财政拨款支出</w:t>
      </w:r>
      <w:r>
        <w:rPr>
          <w:rFonts w:hint="eastAsia" w:ascii="仿宋_GB2312" w:eastAsia="仿宋_GB2312"/>
          <w:b w:val="0"/>
          <w:bCs w:val="0"/>
          <w:color w:val="auto"/>
          <w:sz w:val="32"/>
          <w:szCs w:val="32"/>
          <w:lang w:val="en-US" w:eastAsia="zh-CN"/>
        </w:rPr>
        <w:t>0</w:t>
      </w:r>
      <w:r>
        <w:rPr>
          <w:rFonts w:hint="eastAsia" w:ascii="仿宋_GB2312" w:eastAsia="仿宋_GB2312"/>
          <w:b w:val="0"/>
          <w:bCs w:val="0"/>
          <w:color w:val="auto"/>
          <w:sz w:val="32"/>
          <w:szCs w:val="32"/>
        </w:rPr>
        <w:t>万元。</w:t>
      </w:r>
    </w:p>
    <w:p>
      <w:pPr>
        <w:numPr>
          <w:ilvl w:val="0"/>
          <w:numId w:val="3"/>
        </w:numPr>
        <w:spacing w:line="600" w:lineRule="exact"/>
        <w:ind w:firstLine="640"/>
        <w:outlineLvl w:val="1"/>
        <w:rPr>
          <w:rStyle w:val="26"/>
          <w:rFonts w:ascii="黑体" w:hAnsi="黑体" w:eastAsia="黑体"/>
          <w:b w:val="0"/>
          <w:bCs w:val="0"/>
          <w:color w:val="auto"/>
        </w:rPr>
      </w:pPr>
      <w:bookmarkStart w:id="47" w:name="_Toc15396611"/>
      <w:bookmarkStart w:id="48" w:name="_Toc15377219"/>
      <w:r>
        <w:rPr>
          <w:rStyle w:val="26"/>
          <w:rFonts w:hint="eastAsia" w:ascii="黑体" w:hAnsi="黑体" w:eastAsia="黑体"/>
          <w:b w:val="0"/>
          <w:bCs w:val="0"/>
          <w:color w:val="auto"/>
        </w:rPr>
        <w:t>国有资本经营预算支出决算情况说明</w:t>
      </w:r>
      <w:bookmarkEnd w:id="47"/>
      <w:bookmarkEnd w:id="48"/>
    </w:p>
    <w:p>
      <w:pPr>
        <w:spacing w:line="600" w:lineRule="exact"/>
        <w:ind w:firstLine="640"/>
        <w:rPr>
          <w:rFonts w:ascii="方正小标宋简体" w:hAnsi="方正小标宋简体" w:eastAsia="方正小标宋简体" w:cs="方正小标宋简体"/>
          <w:b w:val="0"/>
          <w:bCs w:val="0"/>
          <w:color w:val="auto"/>
          <w:sz w:val="44"/>
          <w:szCs w:val="44"/>
        </w:rPr>
      </w:pPr>
      <w:r>
        <w:rPr>
          <w:rFonts w:ascii="仿宋_GB2312" w:eastAsia="仿宋_GB2312"/>
          <w:b w:val="0"/>
          <w:bCs w:val="0"/>
          <w:color w:val="auto"/>
          <w:sz w:val="32"/>
          <w:szCs w:val="32"/>
        </w:rPr>
        <w:t>20</w:t>
      </w:r>
      <w:r>
        <w:rPr>
          <w:rFonts w:hint="eastAsia" w:ascii="仿宋_GB2312" w:eastAsia="仿宋_GB2312"/>
          <w:b w:val="0"/>
          <w:bCs w:val="0"/>
          <w:color w:val="auto"/>
          <w:sz w:val="32"/>
          <w:szCs w:val="32"/>
        </w:rPr>
        <w:t>22年国有资本经营预算财政拨款支出</w:t>
      </w:r>
      <w:r>
        <w:rPr>
          <w:rFonts w:hint="eastAsia" w:ascii="仿宋_GB2312" w:eastAsia="仿宋_GB2312"/>
          <w:b w:val="0"/>
          <w:bCs w:val="0"/>
          <w:color w:val="auto"/>
          <w:sz w:val="32"/>
          <w:szCs w:val="32"/>
          <w:lang w:val="en-US" w:eastAsia="zh-CN"/>
        </w:rPr>
        <w:t>0</w:t>
      </w:r>
      <w:r>
        <w:rPr>
          <w:rFonts w:hint="eastAsia" w:ascii="仿宋_GB2312" w:eastAsia="仿宋_GB2312"/>
          <w:b w:val="0"/>
          <w:bCs w:val="0"/>
          <w:color w:val="auto"/>
          <w:sz w:val="32"/>
          <w:szCs w:val="32"/>
        </w:rPr>
        <w:t>万元。</w:t>
      </w:r>
    </w:p>
    <w:p>
      <w:pPr>
        <w:numPr>
          <w:ilvl w:val="0"/>
          <w:numId w:val="3"/>
        </w:numPr>
        <w:spacing w:line="600" w:lineRule="exact"/>
        <w:ind w:firstLine="640"/>
        <w:outlineLvl w:val="1"/>
        <w:rPr>
          <w:rStyle w:val="26"/>
          <w:rFonts w:ascii="黑体" w:hAnsi="黑体" w:eastAsia="黑体"/>
          <w:b w:val="0"/>
          <w:bCs w:val="0"/>
          <w:color w:val="auto"/>
        </w:rPr>
      </w:pPr>
      <w:bookmarkStart w:id="49" w:name="_Toc15396612"/>
      <w:bookmarkStart w:id="50" w:name="_Toc15377221"/>
      <w:r>
        <w:rPr>
          <w:rStyle w:val="26"/>
          <w:rFonts w:hint="eastAsia" w:ascii="黑体" w:hAnsi="黑体" w:eastAsia="黑体"/>
          <w:b w:val="0"/>
          <w:bCs w:val="0"/>
          <w:color w:val="auto"/>
        </w:rPr>
        <w:t>其他重要事项的情况说明</w:t>
      </w:r>
      <w:bookmarkEnd w:id="49"/>
      <w:bookmarkEnd w:id="50"/>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rPr>
      </w:pPr>
      <w:bookmarkStart w:id="51" w:name="_Toc15377222"/>
      <w:r>
        <w:rPr>
          <w:rFonts w:hint="eastAsia" w:ascii="楷体_GB2312" w:hAnsi="楷体_GB2312" w:eastAsia="楷体_GB2312" w:cs="楷体_GB2312"/>
          <w:b w:val="0"/>
          <w:bCs w:val="0"/>
          <w:color w:val="auto"/>
          <w:sz w:val="32"/>
          <w:szCs w:val="32"/>
          <w:highlight w:val="none"/>
        </w:rPr>
        <w:t>（一）机关运行经费支出情况</w:t>
      </w:r>
      <w:bookmarkEnd w:id="51"/>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ascii="仿宋_GB2312" w:eastAsia="仿宋_GB2312"/>
          <w:b w:val="0"/>
          <w:bCs w:val="0"/>
          <w:color w:val="auto"/>
          <w:sz w:val="32"/>
          <w:szCs w:val="32"/>
        </w:rPr>
        <w:t>20</w:t>
      </w:r>
      <w:r>
        <w:rPr>
          <w:rFonts w:hint="eastAsia" w:ascii="仿宋_GB2312" w:eastAsia="仿宋_GB2312"/>
          <w:b w:val="0"/>
          <w:bCs w:val="0"/>
          <w:color w:val="auto"/>
          <w:sz w:val="32"/>
          <w:szCs w:val="32"/>
        </w:rPr>
        <w:t>22年，</w:t>
      </w:r>
      <w:r>
        <w:rPr>
          <w:rFonts w:hint="eastAsia" w:ascii="仿宋_GB2312" w:eastAsia="仿宋_GB2312"/>
          <w:b w:val="0"/>
          <w:bCs w:val="0"/>
          <w:color w:val="auto"/>
          <w:sz w:val="32"/>
          <w:szCs w:val="32"/>
          <w:lang w:eastAsia="zh-CN"/>
        </w:rPr>
        <w:t>行政单位</w:t>
      </w:r>
      <w:r>
        <w:rPr>
          <w:rFonts w:hint="eastAsia" w:ascii="仿宋_GB2312" w:eastAsia="仿宋_GB2312"/>
          <w:b w:val="0"/>
          <w:bCs w:val="0"/>
          <w:color w:val="auto"/>
          <w:sz w:val="32"/>
          <w:szCs w:val="32"/>
        </w:rPr>
        <w:t>机关运行经费支出</w:t>
      </w:r>
      <w:r>
        <w:rPr>
          <w:rFonts w:hint="eastAsia" w:ascii="仿宋_GB2312" w:eastAsia="仿宋_GB2312"/>
          <w:b w:val="0"/>
          <w:bCs w:val="0"/>
          <w:color w:val="auto"/>
          <w:sz w:val="32"/>
          <w:szCs w:val="32"/>
          <w:lang w:val="en-US" w:eastAsia="zh-CN"/>
        </w:rPr>
        <w:t>51.14</w:t>
      </w:r>
      <w:r>
        <w:rPr>
          <w:rFonts w:hint="eastAsia" w:ascii="仿宋_GB2312" w:eastAsia="仿宋_GB2312"/>
          <w:b w:val="0"/>
          <w:bCs w:val="0"/>
          <w:color w:val="auto"/>
          <w:sz w:val="32"/>
          <w:szCs w:val="32"/>
        </w:rPr>
        <w:t>万元，比</w:t>
      </w:r>
      <w:r>
        <w:rPr>
          <w:rFonts w:ascii="仿宋_GB2312" w:eastAsia="仿宋_GB2312"/>
          <w:b w:val="0"/>
          <w:bCs w:val="0"/>
          <w:color w:val="auto"/>
          <w:sz w:val="32"/>
          <w:szCs w:val="32"/>
        </w:rPr>
        <w:t>20</w:t>
      </w:r>
      <w:r>
        <w:rPr>
          <w:rFonts w:hint="eastAsia" w:ascii="仿宋_GB2312" w:eastAsia="仿宋_GB2312"/>
          <w:b w:val="0"/>
          <w:bCs w:val="0"/>
          <w:color w:val="auto"/>
          <w:sz w:val="32"/>
          <w:szCs w:val="32"/>
        </w:rPr>
        <w:t>21年增加</w:t>
      </w:r>
      <w:r>
        <w:rPr>
          <w:rFonts w:hint="eastAsia" w:ascii="仿宋_GB2312" w:eastAsia="仿宋_GB2312"/>
          <w:b w:val="0"/>
          <w:bCs w:val="0"/>
          <w:color w:val="auto"/>
          <w:sz w:val="32"/>
          <w:szCs w:val="32"/>
          <w:lang w:val="en-US" w:eastAsia="zh-CN"/>
        </w:rPr>
        <w:t>14.18</w:t>
      </w:r>
      <w:r>
        <w:rPr>
          <w:rFonts w:hint="eastAsia" w:ascii="仿宋_GB2312" w:eastAsia="仿宋_GB2312"/>
          <w:b w:val="0"/>
          <w:bCs w:val="0"/>
          <w:color w:val="auto"/>
          <w:sz w:val="32"/>
          <w:szCs w:val="32"/>
        </w:rPr>
        <w:t>万元，增长</w:t>
      </w:r>
      <w:r>
        <w:rPr>
          <w:rFonts w:hint="eastAsia" w:ascii="仿宋_GB2312" w:eastAsia="仿宋_GB2312"/>
          <w:b w:val="0"/>
          <w:bCs w:val="0"/>
          <w:color w:val="auto"/>
          <w:sz w:val="32"/>
          <w:szCs w:val="32"/>
          <w:lang w:val="en-US" w:eastAsia="zh-CN"/>
        </w:rPr>
        <w:t>38.37</w:t>
      </w:r>
      <w:r>
        <w:rPr>
          <w:rFonts w:ascii="仿宋_GB2312" w:eastAsia="仿宋_GB2312"/>
          <w:b w:val="0"/>
          <w:bCs w:val="0"/>
          <w:color w:val="auto"/>
          <w:sz w:val="32"/>
          <w:szCs w:val="32"/>
        </w:rPr>
        <w:t>%</w:t>
      </w:r>
      <w:r>
        <w:rPr>
          <w:rFonts w:hint="eastAsia" w:ascii="仿宋_GB2312" w:eastAsia="仿宋_GB2312"/>
          <w:b w:val="0"/>
          <w:bCs w:val="0"/>
          <w:color w:val="auto"/>
          <w:sz w:val="32"/>
          <w:szCs w:val="32"/>
        </w:rPr>
        <w:t>。</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人员增加引起的劳务费增加。</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val="0"/>
          <w:color w:val="auto"/>
          <w:sz w:val="32"/>
          <w:szCs w:val="32"/>
          <w:highlight w:val="none"/>
        </w:rPr>
      </w:pPr>
      <w:bookmarkStart w:id="52" w:name="_Toc15377223"/>
      <w:r>
        <w:rPr>
          <w:rFonts w:hint="eastAsia" w:ascii="楷体_GB2312" w:hAnsi="楷体_GB2312" w:eastAsia="楷体_GB2312" w:cs="楷体_GB2312"/>
          <w:b w:val="0"/>
          <w:bCs w:val="0"/>
          <w:color w:val="auto"/>
          <w:sz w:val="32"/>
          <w:szCs w:val="32"/>
          <w:highlight w:val="none"/>
        </w:rPr>
        <w:t>（二）政府采购支出情况</w:t>
      </w:r>
      <w:bookmarkEnd w:id="52"/>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2021年，政府采购支出总额</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val="0"/>
          <w:color w:val="auto"/>
          <w:sz w:val="32"/>
          <w:szCs w:val="32"/>
          <w:highlight w:val="none"/>
        </w:rPr>
      </w:pPr>
      <w:bookmarkStart w:id="53" w:name="_Toc15377224"/>
      <w:r>
        <w:rPr>
          <w:rFonts w:hint="eastAsia" w:ascii="楷体_GB2312" w:hAnsi="楷体_GB2312" w:eastAsia="楷体_GB2312" w:cs="楷体_GB2312"/>
          <w:b w:val="0"/>
          <w:bCs w:val="0"/>
          <w:color w:val="auto"/>
          <w:sz w:val="32"/>
          <w:szCs w:val="32"/>
          <w:highlight w:val="none"/>
        </w:rPr>
        <w:t>（三）国有资产占有使用情况</w:t>
      </w:r>
      <w:bookmarkEnd w:id="53"/>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截至202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年12月31日，</w:t>
      </w:r>
      <w:r>
        <w:rPr>
          <w:rFonts w:hint="eastAsia" w:ascii="仿宋_GB2312" w:hAnsi="仿宋_GB2312" w:eastAsia="仿宋_GB2312" w:cs="仿宋_GB2312"/>
          <w:b w:val="0"/>
          <w:bCs w:val="0"/>
          <w:color w:val="auto"/>
          <w:sz w:val="32"/>
          <w:szCs w:val="32"/>
          <w:highlight w:val="none"/>
          <w:lang w:val="en-US" w:eastAsia="zh-CN"/>
        </w:rPr>
        <w:t>局机关</w:t>
      </w:r>
      <w:r>
        <w:rPr>
          <w:rFonts w:hint="eastAsia" w:ascii="仿宋_GB2312" w:hAnsi="仿宋_GB2312" w:eastAsia="仿宋_GB2312" w:cs="仿宋_GB2312"/>
          <w:b w:val="0"/>
          <w:bCs w:val="0"/>
          <w:color w:val="auto"/>
          <w:sz w:val="32"/>
          <w:szCs w:val="32"/>
          <w:highlight w:val="none"/>
        </w:rPr>
        <w:t>共有车辆</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辆，</w:t>
      </w:r>
      <w:r>
        <w:rPr>
          <w:rFonts w:hint="eastAsia" w:ascii="仿宋_GB2312" w:hAnsi="仿宋_GB2312" w:eastAsia="仿宋_GB2312" w:cs="仿宋_GB2312"/>
          <w:b w:val="0"/>
          <w:bCs w:val="0"/>
          <w:color w:val="auto"/>
          <w:sz w:val="32"/>
          <w:szCs w:val="32"/>
          <w:highlight w:val="none"/>
          <w:lang w:val="en-US" w:eastAsia="zh-CN"/>
        </w:rPr>
        <w:t>由市政府统一管理。</w:t>
      </w:r>
      <w:r>
        <w:rPr>
          <w:rFonts w:hint="eastAsia" w:ascii="仿宋_GB2312" w:hAnsi="仿宋_GB2312" w:eastAsia="仿宋_GB2312" w:cs="仿宋_GB2312"/>
          <w:b w:val="0"/>
          <w:bCs w:val="0"/>
          <w:color w:val="auto"/>
          <w:sz w:val="32"/>
          <w:szCs w:val="32"/>
          <w:highlight w:val="none"/>
        </w:rPr>
        <w:t>单价50万元以上通用设备</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台（套），单价100万元以上专用设备</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台（套）。</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b w:val="0"/>
          <w:bCs w:val="0"/>
          <w:color w:val="auto"/>
          <w:sz w:val="32"/>
          <w:szCs w:val="32"/>
          <w:highlight w:val="yellow"/>
        </w:rPr>
      </w:pPr>
      <w:r>
        <w:rPr>
          <w:rFonts w:hint="eastAsia" w:ascii="仿宋_GB2312" w:hAnsi="仿宋_GB2312" w:eastAsia="仿宋_GB2312" w:cs="仿宋_GB2312"/>
          <w:b w:val="0"/>
          <w:bCs w:val="0"/>
          <w:color w:val="auto"/>
          <w:sz w:val="32"/>
          <w:szCs w:val="32"/>
        </w:rPr>
        <w:t>根据预算绩效管理要求，本单位在2022年度预算编制阶段，组织对烈士陵园管理经费及活动经费</w:t>
      </w:r>
      <w:r>
        <w:rPr>
          <w:rFonts w:hint="eastAsia" w:ascii="仿宋_GB2312" w:hAnsi="仿宋_GB2312" w:eastAsia="仿宋_GB2312" w:cs="仿宋_GB2312"/>
          <w:b w:val="0"/>
          <w:bCs w:val="0"/>
          <w:color w:val="auto"/>
          <w:sz w:val="32"/>
          <w:szCs w:val="32"/>
          <w:lang w:eastAsia="zh-CN"/>
        </w:rPr>
        <w:t>、双拥工作经费、退役军人事务工作经费</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rPr>
        <w:t>个项目开展了预算事前绩效评估，对</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rPr>
        <w:t>个项目编制了绩效目标，预算执行过程中，选取</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rPr>
        <w:t>个项目开展绩效监控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绩效自评表详见第四部分附件。</w:t>
      </w:r>
    </w:p>
    <w:p>
      <w:pPr>
        <w:widowControl/>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br w:type="page"/>
      </w:r>
    </w:p>
    <w:p>
      <w:pPr>
        <w:keepNext w:val="0"/>
        <w:keepLines w:val="0"/>
        <w:pageBreakBefore w:val="0"/>
        <w:numPr>
          <w:ilvl w:val="0"/>
          <w:numId w:val="0"/>
        </w:numPr>
        <w:kinsoku/>
        <w:wordWrap/>
        <w:overflowPunct/>
        <w:topLinePunct w:val="0"/>
        <w:bidi w:val="0"/>
        <w:snapToGrid/>
        <w:spacing w:line="600" w:lineRule="exact"/>
        <w:jc w:val="center"/>
        <w:textAlignment w:val="auto"/>
        <w:outlineLvl w:val="0"/>
        <w:rPr>
          <w:rStyle w:val="25"/>
          <w:rFonts w:hint="eastAsia" w:ascii="方正小标宋_GBK" w:hAnsi="方正小标宋_GBK" w:eastAsia="方正小标宋_GBK" w:cs="方正小标宋_GBK"/>
          <w:b w:val="0"/>
          <w:bCs w:val="0"/>
          <w:color w:val="auto"/>
          <w:highlight w:val="none"/>
        </w:rPr>
      </w:pPr>
      <w:bookmarkStart w:id="54" w:name="_Toc15396613"/>
      <w:bookmarkStart w:id="55" w:name="_Toc15377225"/>
      <w:bookmarkStart w:id="56" w:name="_Toc15396614"/>
      <w:bookmarkStart w:id="57" w:name="_Toc15377226"/>
      <w:r>
        <w:rPr>
          <w:rFonts w:hint="eastAsia" w:ascii="方正小标宋_GBK" w:hAnsi="方正小标宋_GBK" w:eastAsia="方正小标宋_GBK" w:cs="方正小标宋_GBK"/>
          <w:b w:val="0"/>
          <w:bCs w:val="0"/>
          <w:color w:val="auto"/>
          <w:sz w:val="44"/>
          <w:szCs w:val="44"/>
          <w:highlight w:val="none"/>
          <w:lang w:eastAsia="zh-CN"/>
        </w:rPr>
        <w:t>第三部分</w:t>
      </w:r>
      <w:r>
        <w:rPr>
          <w:rFonts w:hint="eastAsia" w:ascii="方正小标宋_GBK" w:hAnsi="方正小标宋_GBK" w:eastAsia="方正小标宋_GBK" w:cs="方正小标宋_GBK"/>
          <w:b w:val="0"/>
          <w:bCs w:val="0"/>
          <w:color w:val="auto"/>
          <w:sz w:val="44"/>
          <w:szCs w:val="44"/>
          <w:highlight w:val="none"/>
          <w:lang w:val="en-US" w:eastAsia="zh-CN"/>
        </w:rPr>
        <w:t xml:space="preserve"> </w:t>
      </w:r>
      <w:r>
        <w:rPr>
          <w:rFonts w:hint="eastAsia" w:ascii="方正小标宋_GBK" w:hAnsi="方正小标宋_GBK" w:eastAsia="方正小标宋_GBK" w:cs="方正小标宋_GBK"/>
          <w:b w:val="0"/>
          <w:bCs w:val="0"/>
          <w:color w:val="auto"/>
          <w:sz w:val="44"/>
          <w:szCs w:val="44"/>
          <w:highlight w:val="none"/>
        </w:rPr>
        <w:t>名</w:t>
      </w:r>
      <w:r>
        <w:rPr>
          <w:rStyle w:val="25"/>
          <w:rFonts w:hint="eastAsia" w:ascii="方正小标宋_GBK" w:hAnsi="方正小标宋_GBK" w:eastAsia="方正小标宋_GBK" w:cs="方正小标宋_GBK"/>
          <w:b w:val="0"/>
          <w:bCs w:val="0"/>
          <w:color w:val="auto"/>
          <w:highlight w:val="none"/>
        </w:rPr>
        <w:t>词解释</w:t>
      </w:r>
      <w:bookmarkEnd w:id="54"/>
      <w:bookmarkEnd w:id="55"/>
    </w:p>
    <w:p>
      <w:pPr>
        <w:keepNext w:val="0"/>
        <w:keepLines w:val="0"/>
        <w:pageBreakBefore w:val="0"/>
        <w:kinsoku/>
        <w:wordWrap/>
        <w:overflowPunct/>
        <w:topLinePunct w:val="0"/>
        <w:bidi w:val="0"/>
        <w:snapToGrid/>
        <w:spacing w:line="600" w:lineRule="exact"/>
        <w:jc w:val="left"/>
        <w:textAlignment w:val="auto"/>
        <w:rPr>
          <w:rFonts w:ascii="宋体"/>
          <w:b w:val="0"/>
          <w:bCs w:val="0"/>
          <w:color w:val="auto"/>
          <w:sz w:val="44"/>
          <w:szCs w:val="44"/>
          <w:highlight w:val="none"/>
        </w:rPr>
      </w:pP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一、</w:t>
      </w:r>
      <w:r>
        <w:rPr>
          <w:rFonts w:hint="eastAsia" w:ascii="仿宋_GB2312" w:eastAsia="仿宋_GB2312"/>
          <w:b w:val="0"/>
          <w:bCs w:val="0"/>
          <w:color w:val="auto"/>
          <w:sz w:val="32"/>
          <w:szCs w:val="32"/>
          <w:highlight w:val="none"/>
        </w:rPr>
        <w:t>财政拨款收入：指单位从同级财政</w:t>
      </w:r>
      <w:r>
        <w:rPr>
          <w:rFonts w:hint="eastAsia" w:ascii="仿宋_GB2312" w:eastAsia="仿宋_GB2312"/>
          <w:b w:val="0"/>
          <w:bCs w:val="0"/>
          <w:color w:val="auto"/>
          <w:sz w:val="32"/>
          <w:szCs w:val="32"/>
          <w:highlight w:val="none"/>
          <w:lang w:eastAsia="zh-CN"/>
        </w:rPr>
        <w:t>单位</w:t>
      </w:r>
      <w:r>
        <w:rPr>
          <w:rFonts w:hint="eastAsia" w:ascii="仿宋_GB2312" w:eastAsia="仿宋_GB2312"/>
          <w:b w:val="0"/>
          <w:bCs w:val="0"/>
          <w:color w:val="auto"/>
          <w:sz w:val="32"/>
          <w:szCs w:val="32"/>
          <w:highlight w:val="none"/>
        </w:rPr>
        <w:t>取得的财政预算资金。</w:t>
      </w: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二、</w:t>
      </w:r>
      <w:r>
        <w:rPr>
          <w:rFonts w:hint="eastAsia" w:ascii="仿宋_GB2312" w:eastAsia="仿宋_GB2312"/>
          <w:b w:val="0"/>
          <w:bCs w:val="0"/>
          <w:color w:val="auto"/>
          <w:sz w:val="32"/>
          <w:szCs w:val="32"/>
          <w:highlight w:val="none"/>
        </w:rPr>
        <w:t>事业收入：指事业单位开展专业业务活动及辅助活动取得的收入。</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三、</w:t>
      </w:r>
      <w:r>
        <w:rPr>
          <w:rFonts w:hint="eastAsia" w:ascii="仿宋_GB2312" w:eastAsia="仿宋_GB2312"/>
          <w:b w:val="0"/>
          <w:bCs w:val="0"/>
          <w:color w:val="auto"/>
          <w:sz w:val="32"/>
          <w:szCs w:val="32"/>
          <w:highlight w:val="none"/>
        </w:rPr>
        <w:t>经营收入：指事业单位在专业业务活动及其辅助活动之外开展非独立核算经营活动取得的收入。</w:t>
      </w: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四、</w:t>
      </w:r>
      <w:r>
        <w:rPr>
          <w:rFonts w:hint="eastAsia" w:ascii="仿宋_GB2312" w:eastAsia="仿宋_GB2312"/>
          <w:b w:val="0"/>
          <w:bCs w:val="0"/>
          <w:color w:val="auto"/>
          <w:sz w:val="32"/>
          <w:szCs w:val="32"/>
          <w:highlight w:val="none"/>
        </w:rPr>
        <w:t>其他收入：指单位取得的除上述收入以外的各项收入。</w:t>
      </w:r>
      <w:r>
        <w:rPr>
          <w:rFonts w:ascii="仿宋_GB2312" w:eastAsia="仿宋_GB2312"/>
          <w:b w:val="0"/>
          <w:bCs w:val="0"/>
          <w:color w:val="auto"/>
          <w:sz w:val="32"/>
          <w:szCs w:val="32"/>
          <w:highlight w:val="none"/>
        </w:rPr>
        <w:t xml:space="preserve"> </w:t>
      </w: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lang w:eastAsia="zh-CN"/>
        </w:rPr>
        <w:t>五、</w:t>
      </w:r>
      <w:r>
        <w:rPr>
          <w:rFonts w:hint="eastAsia" w:ascii="仿宋_GB2312" w:eastAsia="仿宋_GB2312"/>
          <w:b w:val="0"/>
          <w:bCs w:val="0"/>
          <w:sz w:val="32"/>
          <w:szCs w:val="32"/>
          <w:highlight w:val="none"/>
        </w:rPr>
        <w:t>使用非财政拨款结余：指事业单位使用以前年度积累的非财政拨款结余弥补当年收支差额的金额。</w:t>
      </w:r>
      <w:r>
        <w:rPr>
          <w:rFonts w:ascii="仿宋_GB2312" w:eastAsia="仿宋_GB2312"/>
          <w:b w:val="0"/>
          <w:bCs w:val="0"/>
          <w:sz w:val="32"/>
          <w:szCs w:val="32"/>
          <w:highlight w:val="none"/>
        </w:rPr>
        <w:t xml:space="preserve"> </w:t>
      </w: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lang w:eastAsia="zh-CN"/>
        </w:rPr>
        <w:t>六、</w:t>
      </w:r>
      <w:r>
        <w:rPr>
          <w:rFonts w:hint="eastAsia" w:ascii="仿宋_GB2312" w:eastAsia="仿宋_GB2312"/>
          <w:b w:val="0"/>
          <w:bCs w:val="0"/>
          <w:sz w:val="32"/>
          <w:szCs w:val="32"/>
          <w:highlight w:val="none"/>
        </w:rPr>
        <w:t>年初结转和结余：指以前年度尚未完成、结转到本年按有关规定继续使用的资金。</w:t>
      </w:r>
      <w:r>
        <w:rPr>
          <w:rFonts w:ascii="仿宋_GB2312" w:eastAsia="仿宋_GB2312"/>
          <w:b w:val="0"/>
          <w:bCs w:val="0"/>
          <w:sz w:val="32"/>
          <w:szCs w:val="32"/>
          <w:highlight w:val="none"/>
        </w:rPr>
        <w:t xml:space="preserve"> </w:t>
      </w: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lang w:eastAsia="zh-CN"/>
        </w:rPr>
        <w:t>七、</w:t>
      </w:r>
      <w:r>
        <w:rPr>
          <w:rFonts w:hint="eastAsia" w:ascii="仿宋_GB2312" w:eastAsia="仿宋_GB2312"/>
          <w:b w:val="0"/>
          <w:bCs w:val="0"/>
          <w:sz w:val="32"/>
          <w:szCs w:val="32"/>
          <w:highlight w:val="none"/>
        </w:rPr>
        <w:t>结余分配：指事业单位按照会计制度规定缴纳的所得税、提取的专用结余以及转入非财政拨款结余的金额等。</w:t>
      </w:r>
    </w:p>
    <w:p>
      <w:pPr>
        <w:pStyle w:val="2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lang w:eastAsia="zh-CN"/>
        </w:rPr>
        <w:t>八、</w:t>
      </w:r>
      <w:r>
        <w:rPr>
          <w:rFonts w:hint="eastAsia" w:ascii="仿宋_GB2312" w:eastAsia="仿宋_GB2312"/>
          <w:b w:val="0"/>
          <w:bCs w:val="0"/>
          <w:sz w:val="32"/>
          <w:szCs w:val="32"/>
          <w:highlight w:val="none"/>
        </w:rPr>
        <w:t>年末结转和结余：指单位按有关规定结转到下年或以后年度继续使用的资金。</w:t>
      </w:r>
    </w:p>
    <w:p>
      <w:pPr>
        <w:pageBreakBefore w:val="0"/>
        <w:numPr>
          <w:ilvl w:val="0"/>
          <w:numId w:val="0"/>
        </w:numPr>
        <w:kinsoku/>
        <w:wordWrap/>
        <w:overflowPunct/>
        <w:topLinePunct w:val="0"/>
        <w:bidi w:val="0"/>
        <w:spacing w:line="600" w:lineRule="exact"/>
        <w:ind w:firstLine="640"/>
        <w:textAlignment w:val="auto"/>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000000"/>
          <w:sz w:val="32"/>
          <w:szCs w:val="32"/>
          <w:highlight w:val="none"/>
          <w:lang w:eastAsia="zh-CN"/>
        </w:rPr>
        <w:t>九、</w:t>
      </w:r>
      <w:r>
        <w:rPr>
          <w:rFonts w:hint="eastAsia" w:ascii="仿宋_GB2312" w:eastAsia="仿宋_GB2312"/>
          <w:b w:val="0"/>
          <w:bCs w:val="0"/>
          <w:color w:val="000000"/>
          <w:sz w:val="32"/>
          <w:szCs w:val="32"/>
          <w:highlight w:val="none"/>
        </w:rPr>
        <w:t>社会保障和就业</w:t>
      </w:r>
      <w:r>
        <w:rPr>
          <w:rFonts w:hint="eastAsia" w:ascii="仿宋_GB2312" w:eastAsia="仿宋_GB2312"/>
          <w:b w:val="0"/>
          <w:bCs w:val="0"/>
          <w:color w:val="000000"/>
          <w:sz w:val="32"/>
          <w:szCs w:val="32"/>
          <w:highlight w:val="none"/>
          <w:lang w:eastAsia="zh-CN"/>
        </w:rPr>
        <w:t>（类）支出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2080505指机关事业单位基本养老保险缴费支出；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2080506指机关事业单位职业年金缴费支出；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2082801指行政运行支出；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2082802指一般行政管理事务支出；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2082850指事业运行支出；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2082899指其他退役军人事务管理支出；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2089999指其他社会保障和就业支出；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rPr>
      </w:pPr>
      <w:r>
        <w:rPr>
          <w:rFonts w:hint="eastAsia" w:ascii="仿宋_GB2312" w:hAnsi="Times New Roman" w:eastAsia="仿宋_GB2312"/>
          <w:b w:val="0"/>
          <w:bCs w:val="0"/>
          <w:sz w:val="32"/>
          <w:szCs w:val="32"/>
          <w:highlight w:val="none"/>
          <w:lang w:eastAsia="zh-CN"/>
        </w:rPr>
        <w:t>十、</w:t>
      </w:r>
      <w:r>
        <w:rPr>
          <w:rFonts w:hint="eastAsia" w:ascii="仿宋_GB2312" w:hAnsi="Times New Roman" w:eastAsia="仿宋_GB2312"/>
          <w:b w:val="0"/>
          <w:bCs w:val="0"/>
          <w:sz w:val="32"/>
          <w:szCs w:val="32"/>
          <w:highlight w:val="none"/>
        </w:rPr>
        <w:t>卫生健康（类）支出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2101101指行政单位医疗支出；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2101102指事业单位医疗支出；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2101103指公务员医疗补助支出；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Times New Roman"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lang w:val="en-US" w:eastAsia="zh-CN"/>
        </w:rPr>
        <w:t>2109901指其他卫生健康支出；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rPr>
      </w:pPr>
      <w:r>
        <w:rPr>
          <w:rFonts w:hint="eastAsia" w:ascii="仿宋_GB2312" w:hAnsi="Times New Roman" w:eastAsia="仿宋_GB2312"/>
          <w:b w:val="0"/>
          <w:bCs w:val="0"/>
          <w:sz w:val="32"/>
          <w:szCs w:val="32"/>
          <w:highlight w:val="none"/>
          <w:lang w:eastAsia="zh-CN"/>
        </w:rPr>
        <w:t>十一、</w:t>
      </w:r>
      <w:r>
        <w:rPr>
          <w:rFonts w:hint="eastAsia" w:ascii="仿宋_GB2312" w:hAnsi="Times New Roman" w:eastAsia="仿宋_GB2312"/>
          <w:b w:val="0"/>
          <w:bCs w:val="0"/>
          <w:sz w:val="32"/>
          <w:szCs w:val="32"/>
          <w:highlight w:val="none"/>
        </w:rPr>
        <w:t>住房保障</w:t>
      </w:r>
      <w:r>
        <w:rPr>
          <w:rFonts w:hint="eastAsia" w:ascii="仿宋_GB2312" w:hAnsi="Times New Roman" w:eastAsia="仿宋_GB2312"/>
          <w:b w:val="0"/>
          <w:bCs w:val="0"/>
          <w:sz w:val="32"/>
          <w:szCs w:val="32"/>
          <w:highlight w:val="none"/>
          <w:lang w:eastAsia="zh-CN"/>
        </w:rPr>
        <w:t>类</w:t>
      </w:r>
      <w:r>
        <w:rPr>
          <w:rFonts w:hint="eastAsia" w:ascii="仿宋_GB2312" w:hAnsi="Times New Roman" w:eastAsia="仿宋_GB2312"/>
          <w:b w:val="0"/>
          <w:bCs w:val="0"/>
          <w:sz w:val="32"/>
          <w:szCs w:val="32"/>
          <w:highlight w:val="none"/>
        </w:rPr>
        <w:t>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b w:val="0"/>
          <w:bCs w:val="0"/>
          <w:sz w:val="32"/>
          <w:szCs w:val="32"/>
          <w:highlight w:val="none"/>
        </w:rPr>
      </w:pPr>
      <w:r>
        <w:rPr>
          <w:rFonts w:hint="eastAsia" w:ascii="仿宋_GB2312" w:hAnsi="Times New Roman" w:eastAsia="仿宋_GB2312"/>
          <w:b w:val="0"/>
          <w:bCs w:val="0"/>
          <w:sz w:val="32"/>
          <w:szCs w:val="32"/>
          <w:highlight w:val="none"/>
          <w:lang w:val="en-US" w:eastAsia="zh-CN"/>
        </w:rPr>
        <w:t>2210201</w:t>
      </w:r>
      <w:r>
        <w:rPr>
          <w:rFonts w:hint="eastAsia" w:ascii="仿宋_GB2312" w:hAnsi="Times New Roman" w:eastAsia="仿宋_GB2312"/>
          <w:b w:val="0"/>
          <w:bCs w:val="0"/>
          <w:sz w:val="32"/>
          <w:szCs w:val="32"/>
          <w:highlight w:val="none"/>
          <w:lang w:eastAsia="zh-CN"/>
        </w:rPr>
        <w:t>指住房公积金支出</w:t>
      </w:r>
      <w:r>
        <w:rPr>
          <w:rFonts w:hint="eastAsia" w:ascii="仿宋_GB2312" w:hAnsi="Times New Roman" w:eastAsia="仿宋_GB2312"/>
          <w:b w:val="0"/>
          <w:bCs w:val="0"/>
          <w:sz w:val="32"/>
          <w:szCs w:val="32"/>
          <w:highlight w:val="none"/>
        </w:rPr>
        <w:t>。</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Times New Roman" w:eastAsia="仿宋_GB2312"/>
          <w:b w:val="0"/>
          <w:bCs w:val="0"/>
          <w:sz w:val="32"/>
          <w:szCs w:val="32"/>
          <w:highlight w:val="none"/>
          <w:lang w:eastAsia="zh-CN"/>
        </w:rPr>
        <w:t>十二、</w:t>
      </w:r>
      <w:r>
        <w:rPr>
          <w:rFonts w:hint="eastAsia" w:ascii="仿宋_GB2312" w:hAnsi="Times New Roman" w:eastAsia="仿宋_GB2312"/>
          <w:b w:val="0"/>
          <w:bCs w:val="0"/>
          <w:sz w:val="32"/>
          <w:szCs w:val="32"/>
          <w:highlight w:val="none"/>
        </w:rPr>
        <w:t>基本支出：指为保障机构正常运转、完成日常工作任</w:t>
      </w:r>
      <w:r>
        <w:rPr>
          <w:rFonts w:hint="eastAsia" w:ascii="仿宋_GB2312" w:hAnsi="仿宋_GB2312" w:eastAsia="仿宋_GB2312" w:cs="仿宋_GB2312"/>
          <w:b w:val="0"/>
          <w:bCs w:val="0"/>
          <w:color w:val="000000"/>
          <w:sz w:val="32"/>
          <w:szCs w:val="32"/>
          <w:highlight w:val="none"/>
        </w:rPr>
        <w:t>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十三、</w:t>
      </w:r>
      <w:r>
        <w:rPr>
          <w:rFonts w:hint="eastAsia" w:ascii="仿宋_GB2312" w:hAnsi="仿宋_GB2312" w:eastAsia="仿宋_GB2312" w:cs="仿宋_GB2312"/>
          <w:b w:val="0"/>
          <w:bCs w:val="0"/>
          <w:color w:val="000000"/>
          <w:sz w:val="32"/>
          <w:szCs w:val="32"/>
          <w:highlight w:val="none"/>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十四、</w:t>
      </w:r>
      <w:r>
        <w:rPr>
          <w:rFonts w:hint="eastAsia" w:ascii="仿宋_GB2312" w:hAnsi="仿宋_GB2312" w:eastAsia="仿宋_GB2312" w:cs="仿宋_GB2312"/>
          <w:b w:val="0"/>
          <w:bCs w:val="0"/>
          <w:color w:val="000000"/>
          <w:sz w:val="32"/>
          <w:szCs w:val="32"/>
          <w:highlight w:val="none"/>
        </w:rPr>
        <w:t>经营支出：指事业单位在专业业务活动及其辅助活动之外开展非独立核算经营活动发生的支出。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十五、</w:t>
      </w:r>
      <w:r>
        <w:rPr>
          <w:rFonts w:hint="eastAsia" w:ascii="仿宋_GB2312" w:hAnsi="仿宋_GB2312" w:eastAsia="仿宋_GB2312" w:cs="仿宋_GB2312"/>
          <w:b w:val="0"/>
          <w:bCs w:val="0"/>
          <w:sz w:val="32"/>
          <w:szCs w:val="32"/>
          <w:highlight w:val="none"/>
        </w:rPr>
        <w:t>“三公”经费：指</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b w:val="0"/>
          <w:bCs w:val="0"/>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十六、</w:t>
      </w:r>
      <w:r>
        <w:rPr>
          <w:rFonts w:hint="eastAsia" w:ascii="仿宋_GB2312" w:hAnsi="仿宋_GB2312" w:eastAsia="仿宋_GB2312" w:cs="仿宋_GB2312"/>
          <w:b w:val="0"/>
          <w:bCs w:val="0"/>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val="0"/>
        <w:snapToGrid w:val="0"/>
        <w:spacing w:line="400" w:lineRule="exact"/>
        <w:ind w:firstLine="880" w:firstLineChars="200"/>
        <w:contextualSpacing/>
        <w:jc w:val="left"/>
        <w:textAlignment w:val="auto"/>
        <w:rPr>
          <w:b w:val="0"/>
          <w:bCs w:val="0"/>
          <w:sz w:val="28"/>
          <w:szCs w:val="28"/>
          <w:highlight w:val="none"/>
        </w:rPr>
      </w:pPr>
      <w:r>
        <w:rPr>
          <w:rFonts w:ascii="宋体"/>
          <w:b w:val="0"/>
          <w:bCs w:val="0"/>
          <w:sz w:val="44"/>
          <w:szCs w:val="44"/>
          <w:highlight w:val="none"/>
        </w:rPr>
        <w:br w:type="page"/>
      </w:r>
    </w:p>
    <w:p>
      <w:pPr>
        <w:spacing w:line="600" w:lineRule="exact"/>
        <w:jc w:val="center"/>
        <w:outlineLvl w:val="0"/>
        <w:rPr>
          <w:rFonts w:ascii="仿宋_GB2312" w:hAnsi="Calibri" w:eastAsia="仿宋_GB2312" w:cs="仿宋"/>
          <w:color w:val="auto"/>
          <w:kern w:val="0"/>
          <w:sz w:val="32"/>
          <w:szCs w:val="32"/>
        </w:rPr>
      </w:pPr>
      <w:r>
        <w:rPr>
          <w:rFonts w:hint="eastAsia" w:ascii="黑体" w:hAnsi="黑体" w:eastAsia="黑体"/>
          <w:color w:val="auto"/>
          <w:sz w:val="44"/>
          <w:szCs w:val="44"/>
        </w:rPr>
        <w:t>第</w:t>
      </w:r>
      <w:r>
        <w:rPr>
          <w:rStyle w:val="25"/>
          <w:rFonts w:hint="eastAsia" w:ascii="黑体" w:hAnsi="黑体" w:eastAsia="黑体"/>
          <w:b w:val="0"/>
          <w:color w:val="auto"/>
        </w:rPr>
        <w:t>四部分 附件</w:t>
      </w:r>
      <w:bookmarkEnd w:id="56"/>
      <w:bookmarkStart w:id="58" w:name="_Toc15396618"/>
    </w:p>
    <w:tbl>
      <w:tblPr>
        <w:tblStyle w:val="13"/>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060"/>
        <w:gridCol w:w="769"/>
        <w:gridCol w:w="1308"/>
        <w:gridCol w:w="398"/>
        <w:gridCol w:w="833"/>
        <w:gridCol w:w="395"/>
        <w:gridCol w:w="861"/>
        <w:gridCol w:w="490"/>
        <w:gridCol w:w="487"/>
        <w:gridCol w:w="1346"/>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904" w:hRule="atLeast"/>
        </w:trPr>
        <w:tc>
          <w:tcPr>
            <w:tcW w:w="499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317"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51118121T000000058255-烈士陵园管理经费及活动经费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50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褒扬烈士，加强烈士纪念设施保护管理，弘扬爱国主义、集体主义精神和社会主义道德风尚，促进社会主义精神文明建设</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褒扬烈士，加强了烈士纪念设施保护管理，弘扬了爱国主义、集体主义精神和社会主义道德风尚，促进社会主义精神文明建设，预算执行率100%。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保护管理烈士纪念设施，进行烈士陵园日常维护、修理，举办公祭活动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由于防疫要求，活动规模减小，追减资金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清明、公祭日开展祭扫活动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经费足额拨付率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开展烈士史料征集研究、事迹编纂和陈列展示工作，组织烈士纪念活动，宣传烈士的英雄事迹、献身精神和高尚品质。充分发挥红色资源优势，发挥爱国主义教育基地作用。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弘扬爱国主义、集体主义精神和社会主义道德风尚，促进社会主义精神文明建设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烈士家属满意度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弘扬爱国主义、集体主义精神和社会主义道德风尚，促进社会主义精神文明建设，预算执行率达到100%，目标完成良好。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7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63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25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
      <w:pPr>
        <w:pStyle w:val="10"/>
      </w:pPr>
    </w:p>
    <w:p/>
    <w:p>
      <w:pPr>
        <w:pStyle w:val="10"/>
      </w:pPr>
    </w:p>
    <w:p/>
    <w:p>
      <w:pPr>
        <w:pStyle w:val="10"/>
      </w:pPr>
    </w:p>
    <w:p/>
    <w:p>
      <w:pPr>
        <w:pStyle w:val="10"/>
      </w:pPr>
    </w:p>
    <w:p/>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743"/>
        <w:gridCol w:w="775"/>
        <w:gridCol w:w="1980"/>
        <w:gridCol w:w="446"/>
        <w:gridCol w:w="545"/>
        <w:gridCol w:w="446"/>
        <w:gridCol w:w="930"/>
        <w:gridCol w:w="494"/>
        <w:gridCol w:w="494"/>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51118121T000000058338-双拥工作经费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促进双拥工作和部队稳定，维护双拥模范城称号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促进双拥工作和部队稳定，顺利完成双拥模范城届中考评，预算执行率100%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促进双拥工作和部队稳定，维护双拥模范城称号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受疫情影响，各类活动规模减小，追减预算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节日期间对全市涉军群体发送慰问短信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4万条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广泛进行全民国防教育，增强全民国防拥军观念；为军队选送优质兵员，协助人民解放军建设强大的国防；支持军队的改革和建设，帮助军队完成作战和训练任务；维护双拥模范城称号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主要为慰问部队和重点优抚对象支出。项目支出预算年末执行率≧95%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保障工作正常运转，慰问部队效果良好，体现了党和国家对优抚对象的关心和对部队广大官兵的慰问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发挥“双拥”宣传作用，保持省级双拥模范城称号。密切军政军民关系，增进军政军民团结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军人和军属满意度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促进双拥工作和部队稳定，顺利完成双拥模范城届中考评，预算执行率100%，目标完成良好。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Pr>
        <w:pStyle w:val="10"/>
      </w:pPr>
    </w:p>
    <w:p/>
    <w:p>
      <w:pPr>
        <w:pStyle w:val="10"/>
      </w:pPr>
    </w:p>
    <w:p/>
    <w:p/>
    <w:p>
      <w:pPr>
        <w:pStyle w:val="10"/>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686"/>
        <w:gridCol w:w="776"/>
        <w:gridCol w:w="1468"/>
        <w:gridCol w:w="449"/>
        <w:gridCol w:w="464"/>
        <w:gridCol w:w="449"/>
        <w:gridCol w:w="1121"/>
        <w:gridCol w:w="564"/>
        <w:gridCol w:w="56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51118121T000000058369-退役军人事务工作经费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创建全国示范型退役军人服务中心（站）、创业就业扶持、迎接退役军人返乡、立功受奖、优抚年审、光荣牌悬挂和权益维护经费，建立健全异地祭扫长效工作机制，规范组织服务工作，在全社会树立缅怀英烈、尊重烈属的良好风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创建全国示范型退役军人服务中心（站）、创业就业扶持、迎接退役军人返乡、立功受奖、优抚年审、光荣牌悬挂和权益维护经费，建立健全异地祭扫长效工作机制，规范组织服务工作，在全社会树立缅怀英烈、尊重烈属的良好风尚，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创建全国示范型退役军人服务中心（站）、创业就业扶持、迎接退役军人返乡、立功受奖、优抚年审、光荣牌悬挂和权益维护经费，建立健全异地祭扫长效工作机制，规范组织服务工作。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受疫情影响，各类活动规模减小，追减预算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祭扫时间从“每三年一次”调整为“每年一次”， 同行人员不超过三人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切实加强烈士亲属异地祭扫组织服务工作的组织领导，强化政治责任和使命担当，经费保障落实率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通过常态性走访慰问、创业就业扶持、迎接退役军人返乡、光荣牌悬挂和权益维护经费等活动，提升服务意识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加大服务中心对退役军人帮扶解困、荣誉褒奖、走访慰问等方面工作力度，密切服务对象关系，促进工作良性发展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烈士家属满意度和返乡军人满意度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创建全国示范型退役军人服务中心（站）、创业就业扶持、迎接退役军人返乡、立功受奖、优抚年审、光荣牌悬挂和权益维护经费，建立健全异地祭扫长效工作机制，规范组织服务工作，在全社会树立缅怀英烈、尊重烈属的良好风尚，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
    <w:p>
      <w:pPr>
        <w:pStyle w:val="10"/>
      </w:pPr>
    </w:p>
    <w:p/>
    <w:p>
      <w:pPr>
        <w:pStyle w:val="10"/>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894"/>
        <w:gridCol w:w="873"/>
        <w:gridCol w:w="1117"/>
        <w:gridCol w:w="491"/>
        <w:gridCol w:w="597"/>
        <w:gridCol w:w="491"/>
        <w:gridCol w:w="1005"/>
        <w:gridCol w:w="502"/>
        <w:gridCol w:w="502"/>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51118121T000000058842-退役士兵技能培训配套经费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保障部分退役士兵培训补助落实到位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保障部分退役士兵培训补助落实到位，预算执行率100%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保障部分退役士兵培训补助落实到位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受疫情影响，培训活动规模减小，追减预算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培训补助标准按规定执行率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经费的申请和使用按需申请并及时足额发放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对退役士兵安置的权益保障作用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受培训对象满意度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保障部分退役士兵培训补助落实到位，预算执行率100%，目标完成良好。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751"/>
        <w:gridCol w:w="780"/>
        <w:gridCol w:w="1748"/>
        <w:gridCol w:w="448"/>
        <w:gridCol w:w="547"/>
        <w:gridCol w:w="448"/>
        <w:gridCol w:w="1091"/>
        <w:gridCol w:w="547"/>
        <w:gridCol w:w="547"/>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51118122T000000263984-县级以下英雄烈士纪念设施整修经费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对县级以下烈士纪念设施应修尽修，范围包括烈士墓修整、其他烈士纪念设施整修和烈士纪念堂馆改陈布展。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对县级以下烈士纪念设施应修尽修，范围包括烈士墓修整、其他烈士纪念设施整修和烈士纪念堂馆改陈布展，预算执行率100%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对县级以下烈士纪念设施应修尽修，范围包括烈士墓修整、其他烈士纪念设施整修和烈士纪念堂馆改陈布展。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依据时间整修情况追减预算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民生工程资金足额拨付率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按上级要求完成对英雄烈士纪念设施整修工程的项目验收工作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据实拟定整修计划，明确整修内容、资金投入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充分挖掘英烈事迹和陈列展示工作，组织烈士纪念活动，宣传烈士的英雄事迹、献身精神和高尚品质。充分发挥红色资源优势，发挥爱国主义教育基地作用。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烈士家属满意度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对县级以下烈士纪念设施应修尽修，范围包括烈士墓修整、其他烈士纪念设施整修和烈士纪念堂馆改陈布展，预算执行率100%，目标完成良好。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
      <w:pPr>
        <w:pStyle w:val="10"/>
      </w:pPr>
    </w:p>
    <w:p/>
    <w:p>
      <w:pPr>
        <w:pStyle w:val="10"/>
      </w:pPr>
    </w:p>
    <w:p/>
    <w:p>
      <w:pPr>
        <w:pStyle w:val="10"/>
      </w:pPr>
    </w:p>
    <w:p/>
    <w:p>
      <w:pPr>
        <w:pStyle w:val="10"/>
      </w:pPr>
    </w:p>
    <w:p/>
    <w:p>
      <w:pPr>
        <w:pStyle w:val="10"/>
      </w:pPr>
    </w:p>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1088"/>
        <w:gridCol w:w="678"/>
        <w:gridCol w:w="910"/>
        <w:gridCol w:w="550"/>
        <w:gridCol w:w="563"/>
        <w:gridCol w:w="550"/>
        <w:gridCol w:w="1105"/>
        <w:gridCol w:w="512"/>
        <w:gridCol w:w="512"/>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51118122T000005208948-上级拨双拥经费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促进双拥工作和部队稳定，营造拥军优属氛围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促进双拥工作和部队稳定，营造拥军优属氛围，预算执行率100%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促进双拥工作和部队稳定，营造拥军优属氛围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依据实际工作需要追加预算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促进双拥工作和部队稳定，营造拥军优属氛围，预算执行率100%，目标完成良好。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Pr>
        <w:pStyle w:val="10"/>
      </w:pPr>
    </w:p>
    <w:p/>
    <w:p>
      <w:pPr>
        <w:pStyle w:val="10"/>
      </w:pPr>
    </w:p>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103"/>
        <w:gridCol w:w="681"/>
        <w:gridCol w:w="914"/>
        <w:gridCol w:w="554"/>
        <w:gridCol w:w="565"/>
        <w:gridCol w:w="554"/>
        <w:gridCol w:w="1046"/>
        <w:gridCol w:w="512"/>
        <w:gridCol w:w="512"/>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51118122T000005730708-中省拨军休经费和自主就业培训管理经费等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保障部分退役士兵培训补助落实到位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保障部分退役士兵培训补助落实到位，预算执行率100%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保障部分退役士兵培训补助落实到位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依据实际工作需要追加预算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保障部分退役士兵培训补助落实到位，预算执行率100%，目标完成良好。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财务负责人：管晓菲</w:t>
            </w:r>
          </w:p>
        </w:tc>
      </w:tr>
    </w:tbl>
    <w:p>
      <w:pPr>
        <w:pStyle w:val="10"/>
      </w:pPr>
    </w:p>
    <w:p/>
    <w:p>
      <w:pPr>
        <w:pStyle w:val="10"/>
      </w:pPr>
    </w:p>
    <w:p/>
    <w:p/>
    <w:p>
      <w:pPr>
        <w:spacing w:line="600" w:lineRule="exact"/>
        <w:jc w:val="center"/>
        <w:outlineLvl w:val="0"/>
        <w:rPr>
          <w:rFonts w:ascii="仿宋" w:hAnsi="仿宋" w:eastAsia="仿宋"/>
          <w:color w:val="auto"/>
        </w:rPr>
      </w:pPr>
      <w:r>
        <w:rPr>
          <w:rFonts w:hint="eastAsia" w:ascii="黑体" w:hAnsi="黑体" w:eastAsia="黑体"/>
          <w:color w:val="auto"/>
          <w:sz w:val="44"/>
          <w:szCs w:val="44"/>
        </w:rPr>
        <w:t>第</w:t>
      </w:r>
      <w:r>
        <w:rPr>
          <w:rStyle w:val="25"/>
          <w:rFonts w:hint="eastAsia" w:ascii="黑体" w:hAnsi="黑体" w:eastAsia="黑体"/>
          <w:b w:val="0"/>
          <w:color w:val="auto"/>
        </w:rPr>
        <w:t>五部分 附表</w:t>
      </w:r>
      <w:bookmarkEnd w:id="57"/>
      <w:bookmarkEnd w:id="58"/>
      <w:bookmarkStart w:id="59" w:name="_Toc15396619"/>
    </w:p>
    <w:p>
      <w:pPr>
        <w:pStyle w:val="4"/>
        <w:rPr>
          <w:rFonts w:ascii="仿宋" w:hAnsi="仿宋" w:eastAsia="仿宋"/>
          <w:color w:val="auto"/>
        </w:rPr>
      </w:pPr>
      <w:r>
        <w:rPr>
          <w:rFonts w:hint="eastAsia" w:ascii="仿宋" w:hAnsi="仿宋" w:eastAsia="仿宋"/>
          <w:b w:val="0"/>
          <w:color w:val="auto"/>
        </w:rPr>
        <w:t>一、收</w:t>
      </w:r>
      <w:r>
        <w:rPr>
          <w:rStyle w:val="26"/>
          <w:rFonts w:hint="eastAsia" w:ascii="仿宋" w:hAnsi="仿宋" w:eastAsia="仿宋"/>
          <w:b w:val="0"/>
          <w:bCs w:val="0"/>
          <w:color w:val="auto"/>
        </w:rPr>
        <w:t>入支出决算总表</w:t>
      </w:r>
      <w:bookmarkEnd w:id="59"/>
    </w:p>
    <w:p>
      <w:pPr>
        <w:pStyle w:val="4"/>
        <w:rPr>
          <w:rFonts w:ascii="仿宋" w:hAnsi="仿宋" w:eastAsia="仿宋"/>
          <w:color w:val="auto"/>
        </w:rPr>
      </w:pPr>
      <w:bookmarkStart w:id="60" w:name="_Toc15396620"/>
      <w:r>
        <w:rPr>
          <w:rFonts w:hint="eastAsia" w:ascii="仿宋" w:hAnsi="仿宋" w:eastAsia="仿宋"/>
          <w:b w:val="0"/>
          <w:color w:val="auto"/>
        </w:rPr>
        <w:t>二、收</w:t>
      </w:r>
      <w:r>
        <w:rPr>
          <w:rStyle w:val="26"/>
          <w:rFonts w:hint="eastAsia" w:ascii="仿宋" w:hAnsi="仿宋" w:eastAsia="仿宋"/>
          <w:b w:val="0"/>
          <w:bCs w:val="0"/>
          <w:color w:val="auto"/>
        </w:rPr>
        <w:t>入决算表</w:t>
      </w:r>
      <w:bookmarkEnd w:id="60"/>
    </w:p>
    <w:p>
      <w:pPr>
        <w:pStyle w:val="4"/>
        <w:rPr>
          <w:rFonts w:ascii="仿宋" w:hAnsi="仿宋" w:eastAsia="仿宋"/>
          <w:color w:val="auto"/>
        </w:rPr>
      </w:pPr>
      <w:bookmarkStart w:id="61" w:name="_Toc15396621"/>
      <w:r>
        <w:rPr>
          <w:rStyle w:val="26"/>
          <w:rFonts w:hint="eastAsia" w:ascii="仿宋" w:hAnsi="仿宋" w:eastAsia="仿宋"/>
          <w:b w:val="0"/>
          <w:bCs w:val="0"/>
          <w:color w:val="auto"/>
        </w:rPr>
        <w:t>三、</w:t>
      </w:r>
      <w:r>
        <w:rPr>
          <w:rFonts w:hint="eastAsia" w:ascii="仿宋" w:hAnsi="仿宋" w:eastAsia="仿宋"/>
          <w:b w:val="0"/>
          <w:color w:val="auto"/>
        </w:rPr>
        <w:t>支</w:t>
      </w:r>
      <w:r>
        <w:rPr>
          <w:rStyle w:val="26"/>
          <w:rFonts w:hint="eastAsia" w:ascii="仿宋" w:hAnsi="仿宋" w:eastAsia="仿宋"/>
          <w:b w:val="0"/>
          <w:bCs w:val="0"/>
          <w:color w:val="auto"/>
        </w:rPr>
        <w:t>出决算表</w:t>
      </w:r>
      <w:bookmarkEnd w:id="61"/>
    </w:p>
    <w:p>
      <w:pPr>
        <w:pStyle w:val="4"/>
        <w:rPr>
          <w:rFonts w:ascii="仿宋" w:hAnsi="仿宋" w:eastAsia="仿宋"/>
          <w:b w:val="0"/>
          <w:color w:val="auto"/>
        </w:rPr>
      </w:pPr>
      <w:bookmarkStart w:id="62" w:name="_Toc15396622"/>
      <w:r>
        <w:rPr>
          <w:rStyle w:val="26"/>
          <w:rFonts w:hint="eastAsia" w:ascii="仿宋" w:hAnsi="仿宋" w:eastAsia="仿宋"/>
          <w:b w:val="0"/>
          <w:bCs w:val="0"/>
          <w:color w:val="auto"/>
        </w:rPr>
        <w:t>四、</w:t>
      </w:r>
      <w:r>
        <w:rPr>
          <w:rFonts w:hint="eastAsia" w:ascii="仿宋" w:hAnsi="仿宋" w:eastAsia="仿宋"/>
          <w:b w:val="0"/>
          <w:color w:val="auto"/>
        </w:rPr>
        <w:t>财</w:t>
      </w:r>
      <w:r>
        <w:rPr>
          <w:rStyle w:val="26"/>
          <w:rFonts w:hint="eastAsia" w:ascii="仿宋" w:hAnsi="仿宋" w:eastAsia="仿宋"/>
          <w:b w:val="0"/>
          <w:bCs w:val="0"/>
          <w:color w:val="auto"/>
        </w:rPr>
        <w:t>政拨款收入支出决算总表</w:t>
      </w:r>
      <w:bookmarkEnd w:id="62"/>
    </w:p>
    <w:p>
      <w:pPr>
        <w:pStyle w:val="4"/>
        <w:rPr>
          <w:rFonts w:ascii="仿宋" w:hAnsi="仿宋" w:eastAsia="仿宋"/>
          <w:color w:val="auto"/>
        </w:rPr>
      </w:pPr>
      <w:bookmarkStart w:id="63" w:name="_Toc15396624"/>
      <w:r>
        <w:rPr>
          <w:rStyle w:val="26"/>
          <w:rFonts w:hint="eastAsia" w:ascii="仿宋" w:hAnsi="仿宋" w:eastAsia="仿宋"/>
          <w:b w:val="0"/>
          <w:bCs w:val="0"/>
          <w:color w:val="auto"/>
          <w:lang w:eastAsia="zh-CN"/>
        </w:rPr>
        <w:t>五</w:t>
      </w:r>
      <w:r>
        <w:rPr>
          <w:rStyle w:val="26"/>
          <w:rFonts w:hint="eastAsia" w:ascii="仿宋" w:hAnsi="仿宋" w:eastAsia="仿宋"/>
          <w:b w:val="0"/>
          <w:bCs w:val="0"/>
          <w:color w:val="auto"/>
        </w:rPr>
        <w:t>、</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般公共预算财政拨款支出决算表</w:t>
      </w:r>
      <w:bookmarkEnd w:id="63"/>
    </w:p>
    <w:p>
      <w:pPr>
        <w:pStyle w:val="4"/>
        <w:rPr>
          <w:rFonts w:ascii="仿宋" w:hAnsi="仿宋" w:eastAsia="仿宋"/>
          <w:color w:val="auto"/>
        </w:rPr>
      </w:pPr>
      <w:bookmarkStart w:id="64" w:name="_Toc15396626"/>
      <w:r>
        <w:rPr>
          <w:rStyle w:val="26"/>
          <w:rFonts w:hint="eastAsia" w:ascii="仿宋" w:hAnsi="仿宋" w:eastAsia="仿宋"/>
          <w:b w:val="0"/>
          <w:bCs w:val="0"/>
          <w:color w:val="auto"/>
          <w:lang w:eastAsia="zh-CN"/>
        </w:rPr>
        <w:t>六</w:t>
      </w:r>
      <w:r>
        <w:rPr>
          <w:rStyle w:val="26"/>
          <w:rFonts w:hint="eastAsia" w:ascii="仿宋" w:hAnsi="仿宋" w:eastAsia="仿宋"/>
          <w:b w:val="0"/>
          <w:bCs w:val="0"/>
          <w:color w:val="auto"/>
        </w:rPr>
        <w:t>、</w:t>
      </w:r>
      <w:r>
        <w:rPr>
          <w:rFonts w:hint="eastAsia" w:ascii="仿宋" w:hAnsi="仿宋" w:eastAsia="仿宋"/>
          <w:b w:val="0"/>
          <w:color w:val="auto"/>
        </w:rPr>
        <w:t>一</w:t>
      </w:r>
      <w:r>
        <w:rPr>
          <w:rStyle w:val="26"/>
          <w:rFonts w:hint="eastAsia" w:ascii="仿宋" w:hAnsi="仿宋" w:eastAsia="仿宋"/>
          <w:b w:val="0"/>
          <w:bCs w:val="0"/>
          <w:color w:val="auto"/>
        </w:rPr>
        <w:t>般公共预算财政拨款基本支出决算表</w:t>
      </w:r>
      <w:bookmarkEnd w:id="64"/>
    </w:p>
    <w:p>
      <w:pPr>
        <w:pStyle w:val="4"/>
        <w:rPr>
          <w:rFonts w:ascii="仿宋" w:hAnsi="仿宋" w:eastAsia="仿宋"/>
          <w:color w:val="auto"/>
        </w:rPr>
      </w:pPr>
      <w:bookmarkStart w:id="65" w:name="_Toc15396627"/>
      <w:r>
        <w:rPr>
          <w:rStyle w:val="26"/>
          <w:rFonts w:hint="eastAsia" w:ascii="仿宋" w:hAnsi="仿宋" w:eastAsia="仿宋"/>
          <w:b w:val="0"/>
          <w:bCs w:val="0"/>
          <w:color w:val="auto"/>
          <w:lang w:eastAsia="zh-CN"/>
        </w:rPr>
        <w:t>七</w:t>
      </w:r>
      <w:r>
        <w:rPr>
          <w:rStyle w:val="26"/>
          <w:rFonts w:hint="eastAsia" w:ascii="仿宋" w:hAnsi="仿宋" w:eastAsia="仿宋"/>
          <w:b w:val="0"/>
          <w:bCs w:val="0"/>
          <w:color w:val="auto"/>
        </w:rPr>
        <w:t>、</w:t>
      </w:r>
      <w:r>
        <w:rPr>
          <w:rFonts w:hint="eastAsia" w:ascii="仿宋" w:hAnsi="仿宋" w:eastAsia="仿宋"/>
          <w:b w:val="0"/>
          <w:color w:val="auto"/>
        </w:rPr>
        <w:t>一</w:t>
      </w:r>
      <w:r>
        <w:rPr>
          <w:rStyle w:val="26"/>
          <w:rFonts w:hint="eastAsia" w:ascii="仿宋" w:hAnsi="仿宋" w:eastAsia="仿宋"/>
          <w:b w:val="0"/>
          <w:bCs w:val="0"/>
          <w:color w:val="auto"/>
        </w:rPr>
        <w:t>般公共预算财政拨款项目支出决算表</w:t>
      </w:r>
      <w:bookmarkEnd w:id="65"/>
    </w:p>
    <w:p>
      <w:pPr>
        <w:pStyle w:val="4"/>
        <w:rPr>
          <w:rFonts w:ascii="仿宋" w:hAnsi="仿宋" w:eastAsia="仿宋"/>
          <w:color w:val="auto"/>
        </w:rPr>
      </w:pPr>
      <w:bookmarkStart w:id="66" w:name="_Toc15396628"/>
      <w:r>
        <w:rPr>
          <w:rStyle w:val="26"/>
          <w:rFonts w:hint="eastAsia" w:ascii="仿宋" w:hAnsi="仿宋" w:eastAsia="仿宋"/>
          <w:b w:val="0"/>
          <w:bCs w:val="0"/>
          <w:color w:val="auto"/>
          <w:lang w:eastAsia="zh-CN"/>
        </w:rPr>
        <w:t>八</w:t>
      </w:r>
      <w:r>
        <w:rPr>
          <w:rStyle w:val="26"/>
          <w:rFonts w:hint="eastAsia" w:ascii="仿宋" w:hAnsi="仿宋" w:eastAsia="仿宋"/>
          <w:b w:val="0"/>
          <w:bCs w:val="0"/>
          <w:color w:val="auto"/>
        </w:rPr>
        <w:t>、</w:t>
      </w:r>
      <w:bookmarkEnd w:id="66"/>
      <w:r>
        <w:rPr>
          <w:rFonts w:hint="eastAsia" w:ascii="仿宋" w:hAnsi="仿宋" w:eastAsia="仿宋"/>
          <w:b w:val="0"/>
          <w:color w:val="auto"/>
        </w:rPr>
        <w:t>政</w:t>
      </w:r>
      <w:r>
        <w:rPr>
          <w:rStyle w:val="26"/>
          <w:rFonts w:hint="eastAsia" w:ascii="仿宋" w:hAnsi="仿宋" w:eastAsia="仿宋"/>
          <w:b w:val="0"/>
          <w:bCs w:val="0"/>
          <w:color w:val="auto"/>
        </w:rPr>
        <w:t>府性基金预算财政拨款收入支出决算表</w:t>
      </w:r>
    </w:p>
    <w:p>
      <w:pPr>
        <w:pStyle w:val="4"/>
        <w:rPr>
          <w:rFonts w:ascii="仿宋" w:hAnsi="仿宋" w:eastAsia="仿宋"/>
          <w:color w:val="auto"/>
        </w:rPr>
      </w:pPr>
      <w:bookmarkStart w:id="67" w:name="_Toc15396629"/>
      <w:r>
        <w:rPr>
          <w:rStyle w:val="26"/>
          <w:rFonts w:hint="eastAsia" w:ascii="仿宋" w:hAnsi="仿宋" w:eastAsia="仿宋"/>
          <w:b w:val="0"/>
          <w:bCs w:val="0"/>
          <w:color w:val="auto"/>
          <w:lang w:eastAsia="zh-CN"/>
        </w:rPr>
        <w:t>九</w:t>
      </w:r>
      <w:r>
        <w:rPr>
          <w:rStyle w:val="26"/>
          <w:rFonts w:hint="eastAsia" w:ascii="仿宋" w:hAnsi="仿宋" w:eastAsia="仿宋"/>
          <w:b w:val="0"/>
          <w:bCs w:val="0"/>
          <w:color w:val="auto"/>
        </w:rPr>
        <w:t>、</w:t>
      </w:r>
      <w:bookmarkEnd w:id="67"/>
      <w:r>
        <w:rPr>
          <w:rFonts w:hint="eastAsia" w:ascii="仿宋" w:hAnsi="仿宋" w:eastAsia="仿宋"/>
          <w:b w:val="0"/>
          <w:color w:val="auto"/>
        </w:rPr>
        <w:t>国</w:t>
      </w:r>
      <w:r>
        <w:rPr>
          <w:rStyle w:val="26"/>
          <w:rFonts w:hint="eastAsia" w:ascii="仿宋" w:hAnsi="仿宋" w:eastAsia="仿宋"/>
          <w:b w:val="0"/>
          <w:bCs w:val="0"/>
          <w:color w:val="auto"/>
        </w:rPr>
        <w:t>有资本经营预算财政拨款收入支出决算表</w:t>
      </w:r>
    </w:p>
    <w:p>
      <w:pPr>
        <w:pStyle w:val="4"/>
        <w:rPr>
          <w:rFonts w:ascii="仿宋" w:hAnsi="仿宋" w:eastAsia="仿宋"/>
          <w:color w:val="auto"/>
        </w:rPr>
      </w:pPr>
      <w:bookmarkStart w:id="68" w:name="_Toc15396630"/>
      <w:r>
        <w:rPr>
          <w:rStyle w:val="26"/>
          <w:rFonts w:hint="eastAsia" w:ascii="仿宋" w:hAnsi="仿宋" w:eastAsia="仿宋"/>
          <w:b w:val="0"/>
          <w:bCs w:val="0"/>
          <w:color w:val="auto"/>
        </w:rPr>
        <w:t>十、</w:t>
      </w:r>
      <w:bookmarkEnd w:id="68"/>
      <w:r>
        <w:rPr>
          <w:rStyle w:val="26"/>
          <w:rFonts w:hint="eastAsia" w:ascii="仿宋" w:hAnsi="仿宋" w:eastAsia="仿宋"/>
          <w:b w:val="0"/>
          <w:bCs w:val="0"/>
          <w:color w:val="auto"/>
        </w:rPr>
        <w:t>国有资本经营预算财政拨款支出决算表</w:t>
      </w:r>
    </w:p>
    <w:p>
      <w:pPr>
        <w:pStyle w:val="4"/>
        <w:rPr>
          <w:rFonts w:eastAsia="仿宋"/>
          <w:color w:val="auto"/>
        </w:rPr>
      </w:pPr>
      <w:bookmarkStart w:id="69" w:name="_Toc15396631"/>
      <w:r>
        <w:rPr>
          <w:rStyle w:val="26"/>
          <w:rFonts w:hint="eastAsia" w:ascii="仿宋" w:hAnsi="仿宋" w:eastAsia="仿宋"/>
          <w:b w:val="0"/>
          <w:bCs w:val="0"/>
          <w:color w:val="auto"/>
        </w:rPr>
        <w:t>十</w:t>
      </w:r>
      <w:r>
        <w:rPr>
          <w:rStyle w:val="26"/>
          <w:rFonts w:hint="eastAsia" w:ascii="仿宋" w:hAnsi="仿宋" w:eastAsia="仿宋"/>
          <w:b w:val="0"/>
          <w:bCs w:val="0"/>
          <w:color w:val="auto"/>
          <w:lang w:eastAsia="zh-CN"/>
        </w:rPr>
        <w:t>一</w:t>
      </w:r>
      <w:r>
        <w:rPr>
          <w:rStyle w:val="26"/>
          <w:rFonts w:hint="eastAsia" w:ascii="仿宋" w:hAnsi="仿宋" w:eastAsia="仿宋"/>
          <w:b w:val="0"/>
          <w:bCs w:val="0"/>
          <w:color w:val="auto"/>
        </w:rPr>
        <w:t>、</w:t>
      </w:r>
      <w:bookmarkEnd w:id="69"/>
      <w:r>
        <w:rPr>
          <w:rStyle w:val="26"/>
          <w:rFonts w:hint="eastAsia" w:ascii="仿宋" w:hAnsi="仿宋" w:eastAsia="仿宋"/>
          <w:b w:val="0"/>
          <w:bCs w:val="0"/>
          <w:color w:val="auto"/>
        </w:rPr>
        <w:t>财政拨款“三公”经费支出决算表</w:t>
      </w:r>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GFiNmZkMzUyZDkwYTc2ZTUzMjYzZmNkMGI2Mzc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3A7671E"/>
    <w:rsid w:val="05096488"/>
    <w:rsid w:val="053A62B5"/>
    <w:rsid w:val="0A0E1844"/>
    <w:rsid w:val="0A2032A3"/>
    <w:rsid w:val="0B2E1D53"/>
    <w:rsid w:val="0B8A37D8"/>
    <w:rsid w:val="0EC46B18"/>
    <w:rsid w:val="0EC60599"/>
    <w:rsid w:val="10C055FF"/>
    <w:rsid w:val="118107EC"/>
    <w:rsid w:val="11DD6519"/>
    <w:rsid w:val="15724B7B"/>
    <w:rsid w:val="16BB723D"/>
    <w:rsid w:val="17232836"/>
    <w:rsid w:val="18015F3F"/>
    <w:rsid w:val="19CE4F26"/>
    <w:rsid w:val="1BE8440E"/>
    <w:rsid w:val="1D144F6C"/>
    <w:rsid w:val="1D155CEE"/>
    <w:rsid w:val="20205277"/>
    <w:rsid w:val="20F57F95"/>
    <w:rsid w:val="22194EC7"/>
    <w:rsid w:val="240371BF"/>
    <w:rsid w:val="25711CC6"/>
    <w:rsid w:val="25C741E6"/>
    <w:rsid w:val="27842671"/>
    <w:rsid w:val="29FD04D3"/>
    <w:rsid w:val="2ABE7A3E"/>
    <w:rsid w:val="2CA234A8"/>
    <w:rsid w:val="2D844A9C"/>
    <w:rsid w:val="2EFA178C"/>
    <w:rsid w:val="30B46D73"/>
    <w:rsid w:val="319F7F4E"/>
    <w:rsid w:val="326733BE"/>
    <w:rsid w:val="36324675"/>
    <w:rsid w:val="383D272C"/>
    <w:rsid w:val="39AE70AB"/>
    <w:rsid w:val="3C0C0783"/>
    <w:rsid w:val="3CAC1E91"/>
    <w:rsid w:val="3CE77152"/>
    <w:rsid w:val="3F9F3A96"/>
    <w:rsid w:val="44AC627A"/>
    <w:rsid w:val="46FA7833"/>
    <w:rsid w:val="48BF60AB"/>
    <w:rsid w:val="493C27E9"/>
    <w:rsid w:val="496F39ED"/>
    <w:rsid w:val="49FF41D3"/>
    <w:rsid w:val="4BE068DB"/>
    <w:rsid w:val="4BF6002B"/>
    <w:rsid w:val="4D723D6E"/>
    <w:rsid w:val="4ECE2238"/>
    <w:rsid w:val="51DB4B86"/>
    <w:rsid w:val="55333C3E"/>
    <w:rsid w:val="56C708EE"/>
    <w:rsid w:val="5BC90321"/>
    <w:rsid w:val="5D8F0D14"/>
    <w:rsid w:val="60FE5287"/>
    <w:rsid w:val="61F902F7"/>
    <w:rsid w:val="64CA39A1"/>
    <w:rsid w:val="676E0B72"/>
    <w:rsid w:val="69630ADE"/>
    <w:rsid w:val="696C5F4B"/>
    <w:rsid w:val="6C4A05C8"/>
    <w:rsid w:val="6D3B1A89"/>
    <w:rsid w:val="70F44934"/>
    <w:rsid w:val="71564DB9"/>
    <w:rsid w:val="71BF4EC2"/>
    <w:rsid w:val="72734D90"/>
    <w:rsid w:val="736D371F"/>
    <w:rsid w:val="7412278C"/>
    <w:rsid w:val="79E7B28D"/>
    <w:rsid w:val="7D6509A9"/>
    <w:rsid w:val="7F631EC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next w:val="1"/>
    <w:qFormat/>
    <w:uiPriority w:val="0"/>
    <w:pPr>
      <w:spacing w:before="240" w:after="60"/>
      <w:jc w:val="center"/>
      <w:outlineLvl w:val="0"/>
    </w:pPr>
    <w:rPr>
      <w:rFonts w:ascii="Arial" w:hAnsi="Arial" w:cs="Arial"/>
      <w:b/>
      <w:bCs/>
      <w:sz w:val="32"/>
      <w:szCs w:val="3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USERFILES\Desktop\2022&#23616;&#26412;&#32423;&#20915;&#31639;&#20844;&#24320;&#26609;&#29366;&#12289;&#25159;&#24418;&#32479;&#35745;&#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USERFILES\Desktop\2022&#23616;&#26412;&#32423;&#20915;&#31639;&#20844;&#24320;&#32479;&#35745;&#22270;&#33609;&#312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USERFILES\Desktop\2022&#23616;&#26412;&#32423;&#20915;&#31639;&#20844;&#24320;&#32479;&#35745;&#22270;&#33609;&#312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USERFILES\Desktop\2022&#23616;&#26412;&#32423;&#20915;&#31639;&#20844;&#24320;&#32479;&#35745;&#22270;&#33609;&#312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USERFILES\Desktop\2022&#23616;&#26412;&#32423;&#20915;&#31639;&#20844;&#24320;&#32479;&#35745;&#22270;&#33609;&#312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USERFILES\Desktop\2022&#23616;&#26412;&#32423;&#20915;&#31639;&#20844;&#24320;&#32479;&#35745;&#22270;&#33609;&#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收、支决算总计变动情况图（单位：万元）</a:t>
            </a:r>
          </a:p>
        </c:rich>
      </c:tx>
      <c:layout/>
      <c:overlay val="0"/>
      <c:spPr>
        <a:noFill/>
        <a:ln>
          <a:noFill/>
        </a:ln>
        <a:effectLst/>
      </c:spPr>
    </c:title>
    <c:autoTitleDeleted val="0"/>
    <c:plotArea>
      <c:layout/>
      <c:barChart>
        <c:barDir val="col"/>
        <c:grouping val="clustered"/>
        <c:varyColors val="0"/>
        <c:ser>
          <c:idx val="0"/>
          <c:order val="0"/>
          <c:tx>
            <c:strRef>
              <c:f>[2022局本级决算公开柱状、扇形统计图.xlsx]Sheet1!$A$2</c:f>
              <c:strCache>
                <c:ptCount val="1"/>
                <c:pt idx="0">
                  <c:v>2021年</c:v>
                </c:pt>
              </c:strCache>
            </c:strRef>
          </c:tx>
          <c:spPr>
            <a:solidFill>
              <a:schemeClr val="accent1"/>
            </a:solidFill>
            <a:ln>
              <a:noFill/>
            </a:ln>
            <a:effectLst/>
          </c:spPr>
          <c:invertIfNegative val="0"/>
          <c:dLbls>
            <c:delete val="1"/>
          </c:dLbls>
          <c:cat>
            <c:strRef>
              <c:f>[2022局本级决算公开柱状、扇形统计图.xlsx]Sheet1!$B$1:$C$1</c:f>
              <c:strCache>
                <c:ptCount val="2"/>
                <c:pt idx="0">
                  <c:v>收入总计</c:v>
                </c:pt>
                <c:pt idx="1">
                  <c:v>支出总计</c:v>
                </c:pt>
              </c:strCache>
            </c:strRef>
          </c:cat>
          <c:val>
            <c:numRef>
              <c:f>[2022局本级决算公开柱状、扇形统计图.xlsx]Sheet1!$B$2:$C$2</c:f>
              <c:numCache>
                <c:formatCode>General</c:formatCode>
                <c:ptCount val="2"/>
                <c:pt idx="0">
                  <c:v>7493.87</c:v>
                </c:pt>
                <c:pt idx="1">
                  <c:v>7493.87</c:v>
                </c:pt>
              </c:numCache>
            </c:numRef>
          </c:val>
        </c:ser>
        <c:ser>
          <c:idx val="1"/>
          <c:order val="1"/>
          <c:tx>
            <c:strRef>
              <c:f>[2022局本级决算公开柱状、扇形统计图.xlsx]Sheet1!$A$3</c:f>
              <c:strCache>
                <c:ptCount val="1"/>
                <c:pt idx="0">
                  <c:v>2022年</c:v>
                </c:pt>
              </c:strCache>
            </c:strRef>
          </c:tx>
          <c:spPr>
            <a:solidFill>
              <a:schemeClr val="accent2"/>
            </a:solidFill>
            <a:ln>
              <a:noFill/>
            </a:ln>
            <a:effectLst/>
          </c:spPr>
          <c:invertIfNegative val="0"/>
          <c:dLbls>
            <c:delete val="1"/>
          </c:dLbls>
          <c:cat>
            <c:strRef>
              <c:f>[2022局本级决算公开柱状、扇形统计图.xlsx]Sheet1!$B$1:$C$1</c:f>
              <c:strCache>
                <c:ptCount val="2"/>
                <c:pt idx="0">
                  <c:v>收入总计</c:v>
                </c:pt>
                <c:pt idx="1">
                  <c:v>支出总计</c:v>
                </c:pt>
              </c:strCache>
            </c:strRef>
          </c:cat>
          <c:val>
            <c:numRef>
              <c:f>[2022局本级决算公开柱状、扇形统计图.xlsx]Sheet1!$B$3:$C$3</c:f>
              <c:numCache>
                <c:formatCode>General</c:formatCode>
                <c:ptCount val="2"/>
                <c:pt idx="0">
                  <c:v>7470.29</c:v>
                </c:pt>
                <c:pt idx="1">
                  <c:v>7470.29</c:v>
                </c:pt>
              </c:numCache>
            </c:numRef>
          </c:val>
        </c:ser>
        <c:dLbls>
          <c:showLegendKey val="0"/>
          <c:showVal val="0"/>
          <c:showCatName val="0"/>
          <c:showSerName val="0"/>
          <c:showPercent val="0"/>
          <c:showBubbleSize val="0"/>
        </c:dLbls>
        <c:gapWidth val="219"/>
        <c:overlap val="-27"/>
        <c:axId val="494276294"/>
        <c:axId val="491770594"/>
      </c:barChart>
      <c:catAx>
        <c:axId val="4942762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770594"/>
        <c:crosses val="autoZero"/>
        <c:auto val="1"/>
        <c:lblAlgn val="ctr"/>
        <c:lblOffset val="100"/>
        <c:noMultiLvlLbl val="0"/>
      </c:catAx>
      <c:valAx>
        <c:axId val="491770594"/>
        <c:scaling>
          <c:orientation val="minMax"/>
          <c:min val="7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427629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[2022局本级决算公开统计图草稿.xlsx]Sheet1!$G$1:$G$8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[2022局本级决算公开统计图草稿.xlsx]Sheet1!$H$1:$H$8</c:f>
              <c:numCache>
                <c:formatCode>General</c:formatCode>
                <c:ptCount val="8"/>
                <c:pt idx="0">
                  <c:v>6834.3</c:v>
                </c:pt>
                <c:pt idx="1">
                  <c:v>84.5</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[2022局本级决算公开统计图草稿.xlsx]Sheet1!$G$28:$G$32</c:f>
              <c:strCache>
                <c:ptCount val="5"/>
                <c:pt idx="0">
                  <c:v>基本支出</c:v>
                </c:pt>
                <c:pt idx="1">
                  <c:v>项目支出</c:v>
                </c:pt>
                <c:pt idx="2">
                  <c:v>上缴上级支出</c:v>
                </c:pt>
                <c:pt idx="3">
                  <c:v>经营支出</c:v>
                </c:pt>
                <c:pt idx="4">
                  <c:v>对附属单位补助支出</c:v>
                </c:pt>
              </c:strCache>
            </c:strRef>
          </c:cat>
          <c:val>
            <c:numRef>
              <c:f>[2022局本级决算公开统计图草稿.xlsx]Sheet1!$H$28:$H$32</c:f>
              <c:numCache>
                <c:formatCode>General</c:formatCode>
                <c:ptCount val="5"/>
                <c:pt idx="0">
                  <c:v>304.42</c:v>
                </c:pt>
                <c:pt idx="1">
                  <c:v>6771</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barChart>
        <c:barDir val="col"/>
        <c:grouping val="clustered"/>
        <c:varyColors val="0"/>
        <c:ser>
          <c:idx val="0"/>
          <c:order val="0"/>
          <c:tx>
            <c:strRef>
              <c:f>[2022局本级决算公开统计图草稿.xlsx]Sheet1!$A$23</c:f>
              <c:strCache>
                <c:ptCount val="1"/>
                <c:pt idx="0">
                  <c:v>2021年</c:v>
                </c:pt>
              </c:strCache>
            </c:strRef>
          </c:tx>
          <c:spPr>
            <a:solidFill>
              <a:schemeClr val="accent1"/>
            </a:solidFill>
            <a:ln>
              <a:noFill/>
            </a:ln>
            <a:effectLst/>
          </c:spPr>
          <c:invertIfNegative val="0"/>
          <c:dLbls>
            <c:delete val="1"/>
          </c:dLbls>
          <c:cat>
            <c:strRef>
              <c:f>[2022局本级决算公开统计图草稿.xlsx]Sheet1!$B$22:$C$22</c:f>
              <c:strCache>
                <c:ptCount val="2"/>
                <c:pt idx="0">
                  <c:v>财政拨款收入总计</c:v>
                </c:pt>
                <c:pt idx="1">
                  <c:v>财政拨款支出总计</c:v>
                </c:pt>
              </c:strCache>
            </c:strRef>
          </c:cat>
          <c:val>
            <c:numRef>
              <c:f>[2022局本级决算公开统计图草稿.xlsx]Sheet1!$B$23:$C$23</c:f>
              <c:numCache>
                <c:formatCode>General</c:formatCode>
                <c:ptCount val="2"/>
                <c:pt idx="0">
                  <c:v>7493.87</c:v>
                </c:pt>
                <c:pt idx="1">
                  <c:v>7493.87</c:v>
                </c:pt>
              </c:numCache>
            </c:numRef>
          </c:val>
        </c:ser>
        <c:ser>
          <c:idx val="1"/>
          <c:order val="1"/>
          <c:tx>
            <c:strRef>
              <c:f>[2022局本级决算公开统计图草稿.xlsx]Sheet1!$A$24</c:f>
              <c:strCache>
                <c:ptCount val="1"/>
                <c:pt idx="0">
                  <c:v>2022年</c:v>
                </c:pt>
              </c:strCache>
            </c:strRef>
          </c:tx>
          <c:spPr>
            <a:solidFill>
              <a:schemeClr val="accent2"/>
            </a:solidFill>
            <a:ln>
              <a:noFill/>
            </a:ln>
            <a:effectLst/>
          </c:spPr>
          <c:invertIfNegative val="0"/>
          <c:dLbls>
            <c:delete val="1"/>
          </c:dLbls>
          <c:cat>
            <c:strRef>
              <c:f>[2022局本级决算公开统计图草稿.xlsx]Sheet1!$B$22:$C$22</c:f>
              <c:strCache>
                <c:ptCount val="2"/>
                <c:pt idx="0">
                  <c:v>财政拨款收入总计</c:v>
                </c:pt>
                <c:pt idx="1">
                  <c:v>财政拨款支出总计</c:v>
                </c:pt>
              </c:strCache>
            </c:strRef>
          </c:cat>
          <c:val>
            <c:numRef>
              <c:f>[2022局本级决算公开统计图草稿.xlsx]Sheet1!$B$24:$C$24</c:f>
              <c:numCache>
                <c:formatCode>General</c:formatCode>
                <c:ptCount val="2"/>
                <c:pt idx="0">
                  <c:v>7470.29</c:v>
                </c:pt>
                <c:pt idx="1">
                  <c:v>7470.29</c:v>
                </c:pt>
              </c:numCache>
            </c:numRef>
          </c:val>
        </c:ser>
        <c:dLbls>
          <c:showLegendKey val="0"/>
          <c:showVal val="0"/>
          <c:showCatName val="0"/>
          <c:showSerName val="0"/>
          <c:showPercent val="0"/>
          <c:showBubbleSize val="0"/>
        </c:dLbls>
        <c:gapWidth val="219"/>
        <c:overlap val="-27"/>
        <c:axId val="981312242"/>
        <c:axId val="615660961"/>
      </c:barChart>
      <c:catAx>
        <c:axId val="9813122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660961"/>
        <c:crosses val="autoZero"/>
        <c:auto val="1"/>
        <c:lblAlgn val="ctr"/>
        <c:lblOffset val="100"/>
        <c:noMultiLvlLbl val="0"/>
      </c:catAx>
      <c:valAx>
        <c:axId val="615660961"/>
        <c:scaling>
          <c:orientation val="minMax"/>
          <c:min val="7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3122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ysClr val="windowText" lastClr="000000"/>
                </a:solidFill>
              </a:rPr>
              <a:t>一般公共预算财政拨款支出决算变动情况</a:t>
            </a:r>
            <a:r>
              <a:rPr lang="en-US" altLang="zh-CN">
                <a:solidFill>
                  <a:sysClr val="windowText" lastClr="000000"/>
                </a:solidFill>
              </a:rPr>
              <a:t> </a:t>
            </a:r>
            <a:r>
              <a:rPr>
                <a:solidFill>
                  <a:sysClr val="windowText" lastClr="000000"/>
                </a:solidFill>
              </a:rPr>
              <a:t>（单位：万元）</a:t>
            </a:r>
            <a:endParaRPr>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[2022局本级决算公开统计图草稿.xlsx]Sheet1!$B$42</c:f>
              <c:strCache>
                <c:ptCount val="1"/>
                <c:pt idx="0">
                  <c:v>一般公共预算财政拨款支出决算变动情况</c:v>
                </c:pt>
              </c:strCache>
            </c:strRef>
          </c:tx>
          <c:spPr>
            <a:solidFill>
              <a:schemeClr val="accent1"/>
            </a:solidFill>
            <a:ln>
              <a:noFill/>
            </a:ln>
            <a:effectLst/>
          </c:spPr>
          <c:invertIfNegative val="0"/>
          <c:dLbls>
            <c:delete val="1"/>
          </c:dLbls>
          <c:cat>
            <c:strRef>
              <c:f>[2022局本级决算公开统计图草稿.xlsx]Sheet1!$A$43:$A$44</c:f>
              <c:strCache>
                <c:ptCount val="2"/>
                <c:pt idx="0">
                  <c:v>2021年</c:v>
                </c:pt>
                <c:pt idx="1">
                  <c:v>2022年</c:v>
                </c:pt>
              </c:strCache>
            </c:strRef>
          </c:cat>
          <c:val>
            <c:numRef>
              <c:f>[2022局本级决算公开统计图草稿.xlsx]Sheet1!$B$43:$B$44</c:f>
              <c:numCache>
                <c:formatCode>General</c:formatCode>
                <c:ptCount val="2"/>
                <c:pt idx="0">
                  <c:v>6942.9</c:v>
                </c:pt>
                <c:pt idx="1">
                  <c:v>6990.95</c:v>
                </c:pt>
              </c:numCache>
            </c:numRef>
          </c:val>
        </c:ser>
        <c:dLbls>
          <c:showLegendKey val="0"/>
          <c:showVal val="0"/>
          <c:showCatName val="0"/>
          <c:showSerName val="0"/>
          <c:showPercent val="0"/>
          <c:showBubbleSize val="0"/>
        </c:dLbls>
        <c:gapWidth val="219"/>
        <c:overlap val="-27"/>
        <c:axId val="178371337"/>
        <c:axId val="343230695"/>
      </c:barChart>
      <c:catAx>
        <c:axId val="1783713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230695"/>
        <c:crosses val="autoZero"/>
        <c:auto val="1"/>
        <c:lblAlgn val="ctr"/>
        <c:lblOffset val="100"/>
        <c:noMultiLvlLbl val="0"/>
      </c:catAx>
      <c:valAx>
        <c:axId val="343230695"/>
        <c:scaling>
          <c:orientation val="minMax"/>
          <c:min val="6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37133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[2022局本级决算公开统计图草稿.xlsx]Sheet1!$G$52:$G$58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[2022局本级决算公开统计图草稿.xlsx]Sheet1!$H$52:$H$58</c:f>
              <c:numCache>
                <c:formatCode>General</c:formatCode>
                <c:ptCount val="7"/>
                <c:pt idx="0">
                  <c:v>0</c:v>
                </c:pt>
                <c:pt idx="1">
                  <c:v>0</c:v>
                </c:pt>
                <c:pt idx="2">
                  <c:v>0</c:v>
                </c:pt>
                <c:pt idx="3">
                  <c:v>0</c:v>
                </c:pt>
                <c:pt idx="4">
                  <c:v>6914.35</c:v>
                </c:pt>
                <c:pt idx="5">
                  <c:v>51.34</c:v>
                </c:pt>
                <c:pt idx="6">
                  <c:v>25.26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1496</Words>
  <Characters>8531</Characters>
  <Lines>71</Lines>
  <Paragraphs>20</Paragraphs>
  <TotalTime>52</TotalTime>
  <ScaleCrop>false</ScaleCrop>
  <LinksUpToDate>false</LinksUpToDate>
  <CharactersWithSpaces>10007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林二娃</cp:lastModifiedBy>
  <cp:lastPrinted>2023-12-08T08:24:00Z</cp:lastPrinted>
  <dcterms:modified xsi:type="dcterms:W3CDTF">2023-12-11T08:18:26Z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23671E78ECBC4DC7908F85EDF4FE005C_12</vt:lpwstr>
  </property>
</Properties>
</file>