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96597"/>
      <w:bookmarkStart w:id="3" w:name="_Toc15378441"/>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598"/>
      <w:bookmarkStart w:id="8" w:name="_Toc15377426"/>
      <w:bookmarkStart w:id="9" w:name="_Toc15396476"/>
      <w:bookmarkStart w:id="10" w:name="_Toc15306268"/>
      <w:bookmarkStart w:id="11" w:name="_Toc15378442"/>
      <w:r>
        <w:rPr>
          <w:rFonts w:hint="eastAsia" w:ascii="方正小标宋简体" w:hAnsi="方正小标宋简体" w:eastAsia="方正小标宋简体" w:cs="方正小标宋简体"/>
          <w:sz w:val="72"/>
          <w:szCs w:val="72"/>
          <w:lang w:eastAsia="zh-CN"/>
        </w:rPr>
        <w:t>峨眉山市退役军人事务局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hint="eastAsia" w:ascii="黑体" w:hAnsi="黑体" w:eastAsia="黑体"/>
          <w:sz w:val="48"/>
          <w:szCs w:val="48"/>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outlineLvl w:val="1"/>
        <w:rPr>
          <w:rFonts w:ascii="黑体" w:hAnsi="黑体" w:eastAsia="黑体" w:cstheme="minorBidi"/>
          <w:sz w:val="28"/>
          <w:szCs w:val="28"/>
        </w:rPr>
      </w:pPr>
    </w:p>
    <w:p>
      <w:pPr>
        <w:pStyle w:val="2"/>
        <w:keepNext w:val="0"/>
        <w:keepLines w:val="0"/>
        <w:pageBreakBefore w:val="0"/>
        <w:kinsoku/>
        <w:wordWrap/>
        <w:overflowPunct/>
        <w:topLinePunct w:val="0"/>
        <w:autoSpaceDE/>
        <w:autoSpaceDN/>
        <w:bidi w:val="0"/>
        <w:spacing w:line="600" w:lineRule="exact"/>
        <w:textAlignment w:val="auto"/>
        <w:rPr>
          <w:color w:val="auto"/>
        </w:rPr>
      </w:pPr>
      <w:r>
        <w:rPr>
          <w:rFonts w:hint="eastAsia"/>
          <w:color w:val="auto"/>
        </w:rPr>
        <w:t>公开时间：2023年</w:t>
      </w:r>
      <w:r>
        <w:rPr>
          <w:rFonts w:hint="eastAsia"/>
          <w:color w:val="auto"/>
          <w:lang w:val="en-US" w:eastAsia="zh-CN"/>
        </w:rPr>
        <w:t>12</w:t>
      </w:r>
      <w:r>
        <w:rPr>
          <w:rFonts w:hint="eastAsia"/>
          <w:color w:val="auto"/>
        </w:rPr>
        <w:t>月</w:t>
      </w:r>
      <w:r>
        <w:rPr>
          <w:rFonts w:hint="eastAsia"/>
          <w:color w:val="auto"/>
          <w:lang w:val="en-US" w:eastAsia="zh-CN"/>
        </w:rPr>
        <w:t>11</w:t>
      </w:r>
      <w:r>
        <w:rPr>
          <w:rFonts w:hint="eastAsia"/>
          <w:color w:val="auto"/>
        </w:rPr>
        <w:t>日</w:t>
      </w:r>
    </w:p>
    <w:p>
      <w:pPr>
        <w:keepNext w:val="0"/>
        <w:keepLines w:val="0"/>
        <w:pageBreakBefore w:val="0"/>
        <w:kinsoku/>
        <w:wordWrap/>
        <w:overflowPunct/>
        <w:topLinePunct w:val="0"/>
        <w:autoSpaceDE/>
        <w:autoSpaceDN/>
        <w:bidi w:val="0"/>
        <w:spacing w:line="600" w:lineRule="exact"/>
        <w:textAlignment w:val="auto"/>
        <w:rPr>
          <w:color w:val="auto"/>
        </w:rPr>
      </w:pPr>
    </w:p>
    <w:p>
      <w:pPr>
        <w:pStyle w:val="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第一部分 部门概况</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一、部门职责</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二、机构设置</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6</w:t>
      </w:r>
    </w:p>
    <w:p>
      <w:pPr>
        <w:pStyle w:val="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第二部分 2022年度部门决算情况说明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kern w:val="2"/>
          <w:sz w:val="32"/>
          <w:szCs w:val="32"/>
          <w:lang w:val="en-US" w:eastAsia="zh-CN" w:bidi="ar-SA"/>
        </w:rPr>
        <w:t>8</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一、收入支出决算总体情况说明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8</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8</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9</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四、财政拨款收入支出决算总体情况说明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9</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五、一般公共预算财政拨款支出决算情况说明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六、一般公共预算财政拨款基本支出决算情况说明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12</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七、财政拨款“三公”经费支出决算情况说明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13</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八、政府性基金预算支出决算情况说明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15</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九、国有资本经营预算支出决算情况说明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15</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asciiTheme="minorEastAsia" w:hAnsiTheme="minorEastAsia" w:eastAsiaTheme="minorEastAsia" w:cstheme="minorEastAsia"/>
          <w:color w:val="auto"/>
          <w:sz w:val="24"/>
        </w:rPr>
      </w:pPr>
      <w:r>
        <w:rPr>
          <w:rFonts w:hint="eastAsia" w:ascii="仿宋_GB2312" w:hAnsi="仿宋_GB2312" w:eastAsia="仿宋_GB2312" w:cs="仿宋_GB2312"/>
          <w:color w:val="auto"/>
          <w:sz w:val="32"/>
          <w:szCs w:val="32"/>
        </w:rPr>
        <w:t>十、其他重要事项的情况说明</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15</w:t>
      </w:r>
    </w:p>
    <w:p>
      <w:pPr>
        <w:pStyle w:val="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第三部分 名词解释</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18</w:t>
      </w:r>
    </w:p>
    <w:p>
      <w:pPr>
        <w:pStyle w:val="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第四部分 附件</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21</w:t>
      </w:r>
    </w:p>
    <w:p>
      <w:pPr>
        <w:pStyle w:val="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第五部分 附表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一、收入支出决算总表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二、收入决算表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四、财政拨款收入支出决算总表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、一般公共预算财政拨款支出决算表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、一般公共预算财政拨款基本支出决算明细表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、一般公共预算财政拨款项目支出决算表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、政府性基金预算财政拨款收入支出决算表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、国有资本经营预算财政拨款收入支出决算表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十、国有资本经营预算财政拨款支出决算表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pStyle w:val="9"/>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、财政拨款“三公”经费支出决算表</w:t>
      </w:r>
      <w:r>
        <w:rPr>
          <w:rFonts w:hint="eastAsia" w:asciiTheme="minorEastAsia" w:hAnsiTheme="minorEastAsia" w:eastAsiaTheme="minorEastAsia" w:cstheme="minorEastAsia"/>
          <w:color w:val="auto"/>
          <w:sz w:val="24"/>
        </w:rPr>
        <w:tab/>
      </w:r>
      <w:r>
        <w:rPr>
          <w:rFonts w:hint="eastAsia" w:ascii="仿宋_GB2312" w:hAnsi="仿宋_GB2312" w:eastAsia="仿宋_GB2312" w:cs="仿宋_GB2312"/>
          <w:color w:val="auto"/>
          <w:sz w:val="32"/>
          <w:szCs w:val="32"/>
          <w:lang w:val="en-US" w:eastAsia="zh-CN"/>
        </w:rPr>
        <w:t>40</w:t>
      </w:r>
    </w:p>
    <w:p>
      <w:pPr>
        <w:keepNext w:val="0"/>
        <w:keepLines w:val="0"/>
        <w:pageBreakBefore w:val="0"/>
        <w:widowControl/>
        <w:kinsoku/>
        <w:wordWrap/>
        <w:overflowPunct/>
        <w:topLinePunct w:val="0"/>
        <w:autoSpaceDE/>
        <w:autoSpaceDN/>
        <w:bidi w:val="0"/>
        <w:adjustRightInd w:val="0"/>
        <w:snapToGrid w:val="0"/>
        <w:spacing w:line="600" w:lineRule="exact"/>
        <w:ind w:firstLine="1320" w:firstLineChars="550"/>
        <w:jc w:val="left"/>
        <w:textAlignment w:val="auto"/>
        <w:rPr>
          <w:rFonts w:ascii="仿宋" w:hAnsi="仿宋" w:eastAsia="仿宋"/>
          <w:color w:val="auto"/>
          <w:sz w:val="24"/>
        </w:rPr>
      </w:pPr>
    </w:p>
    <w:p>
      <w:pPr>
        <w:pStyle w:val="2"/>
      </w:pPr>
    </w:p>
    <w:p>
      <w:pPr>
        <w:widowControl/>
        <w:spacing w:line="440" w:lineRule="exact"/>
        <w:jc w:val="left"/>
        <w:rPr>
          <w:rFonts w:hint="default" w:ascii="仿宋" w:hAnsi="仿宋" w:eastAsia="仿宋"/>
          <w:bCs/>
          <w:color w:val="0000FF"/>
          <w:kern w:val="44"/>
          <w:sz w:val="24"/>
          <w:lang w:val="en-US" w:eastAsia="zh-CN"/>
        </w:rPr>
      </w:pPr>
      <w:bookmarkStart w:id="12" w:name="_Toc15396599"/>
      <w:bookmarkStart w:id="13" w:name="_Toc15377196"/>
      <w:r>
        <w:rPr>
          <w:rFonts w:ascii="仿宋" w:hAnsi="仿宋" w:eastAsia="仿宋"/>
          <w:b/>
          <w:color w:val="0000FF"/>
          <w:sz w:val="24"/>
        </w:rPr>
        <w:br w:type="page"/>
      </w:r>
      <w:r>
        <w:rPr>
          <w:rFonts w:hint="eastAsia" w:ascii="仿宋" w:hAnsi="仿宋" w:eastAsia="仿宋"/>
          <w:b/>
          <w:color w:val="0000FF"/>
          <w:sz w:val="24"/>
          <w:lang w:val="en-US" w:eastAsia="zh-CN"/>
        </w:rPr>
        <w:t xml:space="preserve">      </w:t>
      </w:r>
    </w:p>
    <w:p>
      <w:pPr>
        <w:pStyle w:val="3"/>
        <w:spacing w:after="0" w:afterAutospacing="0"/>
        <w:jc w:val="center"/>
        <w:rPr>
          <w:rStyle w:val="15"/>
          <w:rFonts w:ascii="黑体" w:hAnsi="黑体" w:eastAsia="黑体"/>
          <w:b/>
          <w:bCs w:val="0"/>
          <w:color w:val="auto"/>
        </w:rPr>
      </w:pPr>
      <w:r>
        <w:rPr>
          <w:rFonts w:hint="eastAsia" w:ascii="黑体" w:hAnsi="黑体" w:eastAsia="黑体"/>
          <w:b w:val="0"/>
          <w:color w:val="auto"/>
        </w:rPr>
        <w:t xml:space="preserve">第一部分 </w:t>
      </w:r>
      <w:r>
        <w:rPr>
          <w:rStyle w:val="15"/>
          <w:rFonts w:hint="eastAsia" w:ascii="黑体" w:hAnsi="黑体" w:eastAsia="黑体"/>
          <w:b w:val="0"/>
          <w:bCs w:val="0"/>
          <w:color w:val="auto"/>
        </w:rPr>
        <w:t>部门概况</w:t>
      </w:r>
      <w:bookmarkEnd w:id="12"/>
      <w:bookmarkEnd w:id="13"/>
    </w:p>
    <w:p>
      <w:pPr>
        <w:widowControl/>
        <w:spacing w:beforeAutospacing="0" w:afterAutospacing="0"/>
        <w:jc w:val="left"/>
        <w:rPr>
          <w:rFonts w:ascii="黑体" w:eastAsia="黑体"/>
          <w:color w:val="auto"/>
          <w:sz w:val="32"/>
          <w:szCs w:val="32"/>
        </w:rPr>
      </w:pPr>
    </w:p>
    <w:p>
      <w:pPr>
        <w:pStyle w:val="4"/>
        <w:numPr>
          <w:ilvl w:val="0"/>
          <w:numId w:val="1"/>
        </w:numPr>
        <w:spacing w:before="0" w:beforeAutospacing="0" w:after="0" w:afterAutospacing="0"/>
        <w:rPr>
          <w:rFonts w:hint="eastAsia" w:ascii="黑体" w:hAnsi="黑体" w:eastAsia="黑体"/>
          <w:b w:val="0"/>
          <w:color w:val="auto"/>
        </w:rPr>
      </w:pPr>
      <w:r>
        <w:rPr>
          <w:rFonts w:hint="eastAsia" w:ascii="黑体" w:hAnsi="黑体" w:eastAsia="黑体"/>
          <w:b w:val="0"/>
          <w:color w:val="auto"/>
        </w:rPr>
        <w:t>部门职责</w:t>
      </w:r>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4" w:name="_Toc15377198"/>
      <w:bookmarkStart w:id="15" w:name="_Toc15378445"/>
      <w:r>
        <w:rPr>
          <w:rFonts w:hint="eastAsia" w:ascii="楷体_GB2312" w:hAnsi="楷体_GB2312" w:eastAsia="楷体_GB2312" w:cs="楷体_GB2312"/>
          <w:b w:val="0"/>
          <w:bCs w:val="0"/>
          <w:color w:val="auto"/>
          <w:sz w:val="32"/>
          <w:szCs w:val="32"/>
          <w:highlight w:val="none"/>
          <w:lang w:eastAsia="zh-CN"/>
        </w:rPr>
        <w:t>（一）主要职能。</w:t>
      </w:r>
      <w:bookmarkEnd w:id="14"/>
      <w:bookmarkEnd w:id="15"/>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涉密</w:t>
      </w:r>
      <w:r>
        <w:rPr>
          <w:rFonts w:hint="eastAsia" w:ascii="楷体_GB2312" w:hAnsi="楷体_GB2312" w:eastAsia="楷体_GB2312" w:cs="楷体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bookmarkStart w:id="16" w:name="_Toc15377199"/>
      <w:bookmarkStart w:id="17" w:name="_Toc15378446"/>
      <w:r>
        <w:rPr>
          <w:rFonts w:hint="eastAsia" w:ascii="楷体_GB2312" w:hAnsi="楷体_GB2312" w:eastAsia="楷体_GB2312" w:cs="楷体_GB2312"/>
          <w:b w:val="0"/>
          <w:bCs w:val="0"/>
          <w:color w:val="auto"/>
          <w:sz w:val="32"/>
          <w:szCs w:val="32"/>
          <w:highlight w:val="none"/>
          <w:lang w:eastAsia="zh-CN"/>
        </w:rPr>
        <w:t>（二）202</w:t>
      </w:r>
      <w:r>
        <w:rPr>
          <w:rFonts w:hint="eastAsia" w:ascii="楷体_GB2312" w:hAnsi="楷体_GB2312" w:eastAsia="楷体_GB2312" w:cs="楷体_GB2312"/>
          <w:b w:val="0"/>
          <w:bCs w:val="0"/>
          <w:color w:val="auto"/>
          <w:sz w:val="32"/>
          <w:szCs w:val="32"/>
          <w:highlight w:val="none"/>
          <w:lang w:val="en-US" w:eastAsia="zh-CN"/>
        </w:rPr>
        <w:t>2</w:t>
      </w:r>
      <w:r>
        <w:rPr>
          <w:rFonts w:hint="eastAsia" w:ascii="楷体_GB2312" w:hAnsi="楷体_GB2312" w:eastAsia="楷体_GB2312" w:cs="楷体_GB2312"/>
          <w:b w:val="0"/>
          <w:bCs w:val="0"/>
          <w:color w:val="auto"/>
          <w:sz w:val="32"/>
          <w:szCs w:val="32"/>
          <w:highlight w:val="none"/>
          <w:lang w:eastAsia="zh-CN"/>
        </w:rPr>
        <w:t>年重点工作完成情况。</w:t>
      </w:r>
      <w:bookmarkEnd w:id="16"/>
      <w:bookmarkEnd w:id="17"/>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聚焦特色亮点，多项重点工作</w:t>
      </w:r>
      <w:r>
        <w:rPr>
          <w:rFonts w:hint="eastAsia" w:ascii="仿宋_GB2312" w:hAnsi="仿宋_GB2312" w:eastAsia="仿宋_GB2312" w:cs="仿宋_GB2312"/>
          <w:b w:val="0"/>
          <w:bCs/>
          <w:color w:val="auto"/>
          <w:sz w:val="32"/>
          <w:szCs w:val="32"/>
          <w:lang w:val="en-US" w:eastAsia="zh-CN"/>
        </w:rPr>
        <w:t>实现新突破</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一是持续深化双拥共建。优化力量构建军供“星级服务”，高质量完成军供保障任务</w:t>
      </w:r>
      <w:r>
        <w:rPr>
          <w:rFonts w:hint="eastAsia" w:ascii="仿宋_GB2312" w:hAnsi="仿宋_GB2312" w:eastAsia="仿宋_GB2312" w:cs="仿宋_GB2312"/>
          <w:color w:val="auto"/>
          <w:sz w:val="32"/>
          <w:szCs w:val="32"/>
          <w:lang w:val="en-US" w:eastAsia="zh-CN"/>
        </w:rPr>
        <w:t>，向省厅争取到专项资金，用于军供站提质改造项目建设。</w:t>
      </w:r>
      <w:r>
        <w:rPr>
          <w:rFonts w:hint="eastAsia" w:ascii="仿宋_GB2312" w:hAnsi="仿宋_GB2312" w:eastAsia="仿宋_GB2312" w:cs="仿宋_GB2312"/>
          <w:b w:val="0"/>
          <w:bCs w:val="0"/>
          <w:color w:val="auto"/>
          <w:sz w:val="32"/>
          <w:szCs w:val="32"/>
          <w:lang w:val="en-US" w:eastAsia="zh-CN"/>
        </w:rPr>
        <w:t>积极开展社会化拥军工作，</w:t>
      </w:r>
      <w:r>
        <w:rPr>
          <w:rFonts w:hint="eastAsia" w:ascii="仿宋_GB2312" w:hAnsi="仿宋_GB2312" w:eastAsia="仿宋_GB2312" w:cs="仿宋_GB2312"/>
          <w:color w:val="auto"/>
          <w:sz w:val="32"/>
          <w:szCs w:val="32"/>
          <w:lang w:val="en-US" w:eastAsia="zh-CN"/>
        </w:rPr>
        <w:t>与峨眉山市农商银行等3家优秀企业签订拥军优属协议，初步拟定军人军属及退役军人优待清单33条。进一步推动军地共建发展，</w:t>
      </w:r>
      <w:r>
        <w:rPr>
          <w:rFonts w:hint="eastAsia" w:ascii="仿宋_GB2312" w:hAnsi="仿宋_GB2312" w:eastAsia="仿宋_GB2312" w:cs="仿宋_GB2312"/>
          <w:color w:val="auto"/>
          <w:sz w:val="32"/>
          <w:szCs w:val="32"/>
        </w:rPr>
        <w:t>春节</w:t>
      </w:r>
      <w:r>
        <w:rPr>
          <w:rFonts w:hint="eastAsia" w:ascii="仿宋_GB2312" w:hAnsi="仿宋_GB2312" w:eastAsia="仿宋_GB2312" w:cs="仿宋_GB2312"/>
          <w:color w:val="auto"/>
          <w:sz w:val="32"/>
          <w:szCs w:val="32"/>
          <w:lang w:eastAsia="zh-CN"/>
        </w:rPr>
        <w:t>、“八一”全覆盖</w:t>
      </w:r>
      <w:r>
        <w:rPr>
          <w:rFonts w:hint="eastAsia" w:ascii="仿宋_GB2312" w:hAnsi="仿宋_GB2312" w:eastAsia="仿宋_GB2312" w:cs="仿宋_GB2312"/>
          <w:color w:val="auto"/>
          <w:sz w:val="32"/>
          <w:szCs w:val="32"/>
        </w:rPr>
        <w:t>慰问驻峨部队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常态化开展“送政策”进军营，为入伍新兵进行政策宣讲</w:t>
      </w:r>
      <w:r>
        <w:rPr>
          <w:rFonts w:hint="eastAsia" w:ascii="仿宋_GB2312" w:hAnsi="仿宋_GB2312" w:eastAsia="仿宋_GB2312" w:cs="仿宋_GB2312"/>
          <w:color w:val="auto"/>
          <w:sz w:val="32"/>
          <w:szCs w:val="32"/>
          <w:lang w:val="en-US" w:eastAsia="zh-CN"/>
        </w:rPr>
        <w:t>2场，顺利通过全国双拥模范城届中考评。</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二是大力开展褒扬纪念。</w:t>
      </w:r>
      <w:r>
        <w:rPr>
          <w:rFonts w:hint="eastAsia" w:ascii="仿宋_GB2312" w:hAnsi="仿宋_GB2312" w:eastAsia="仿宋_GB2312" w:cs="仿宋_GB2312"/>
          <w:b w:val="0"/>
          <w:bCs w:val="0"/>
          <w:color w:val="auto"/>
          <w:kern w:val="2"/>
          <w:sz w:val="32"/>
          <w:szCs w:val="32"/>
          <w:lang w:val="en-US" w:eastAsia="zh-CN" w:bidi="ar-SA"/>
        </w:rPr>
        <w:t>开展先进模范评选活动，全市</w:t>
      </w:r>
      <w:r>
        <w:rPr>
          <w:rFonts w:hint="eastAsia" w:ascii="仿宋_GB2312" w:hAnsi="仿宋_GB2312" w:eastAsia="仿宋_GB2312" w:cs="仿宋_GB2312"/>
          <w:color w:val="auto"/>
          <w:sz w:val="32"/>
          <w:szCs w:val="32"/>
          <w:lang w:val="en-US" w:eastAsia="zh-CN"/>
        </w:rPr>
        <w:t>共评选7个退役军人工作先进集体、16名退役军人工作先进个人、9名模范退役军人、9名退役军人就业创业之星及10名最美军属。</w:t>
      </w:r>
      <w:r>
        <w:rPr>
          <w:rFonts w:hint="eastAsia" w:ascii="仿宋_GB2312" w:hAnsi="仿宋_GB2312" w:eastAsia="仿宋_GB2312" w:cs="仿宋_GB2312"/>
          <w:b w:val="0"/>
          <w:bCs w:val="0"/>
          <w:color w:val="auto"/>
          <w:kern w:val="2"/>
          <w:sz w:val="32"/>
          <w:szCs w:val="32"/>
          <w:lang w:val="en-US" w:eastAsia="zh-CN" w:bidi="ar-SA"/>
        </w:rPr>
        <w:t>多措并举弘扬英烈精神，今年来峨眉山烈士陵园已接待31批次3400余人参加现场</w:t>
      </w:r>
      <w:r>
        <w:rPr>
          <w:rFonts w:hint="eastAsia" w:ascii="仿宋_GB2312" w:hAnsi="仿宋_GB2312" w:eastAsia="仿宋_GB2312" w:cs="仿宋_GB2312"/>
          <w:b w:val="0"/>
          <w:bCs w:val="0"/>
          <w:i w:val="0"/>
          <w:caps w:val="0"/>
          <w:color w:val="auto"/>
          <w:spacing w:val="0"/>
          <w:w w:val="100"/>
          <w:sz w:val="32"/>
          <w:szCs w:val="32"/>
          <w:lang w:val="en-US" w:eastAsia="zh-CN"/>
        </w:rPr>
        <w:t>祭扫，成功</w:t>
      </w:r>
      <w:r>
        <w:rPr>
          <w:rFonts w:hint="eastAsia" w:ascii="仿宋_GB2312" w:hAnsi="仿宋_GB2312" w:eastAsia="仿宋_GB2312" w:cs="仿宋_GB2312"/>
          <w:b w:val="0"/>
          <w:bCs w:val="0"/>
          <w:color w:val="auto"/>
          <w:kern w:val="2"/>
          <w:sz w:val="32"/>
          <w:szCs w:val="32"/>
          <w:lang w:val="en-US" w:eastAsia="zh-CN" w:bidi="ar-SA"/>
        </w:rPr>
        <w:t>举办“9.30”烈士公祭活动，引导广大党员干部致敬革命先烈，传承英烈精神；</w:t>
      </w:r>
      <w:r>
        <w:rPr>
          <w:rFonts w:hint="eastAsia" w:ascii="仿宋_GB2312" w:hAnsi="仿宋_GB2312" w:eastAsia="仿宋_GB2312" w:cs="仿宋_GB2312"/>
          <w:b w:val="0"/>
          <w:bCs w:val="0"/>
          <w:i w:val="0"/>
          <w:caps w:val="0"/>
          <w:color w:val="auto"/>
          <w:spacing w:val="0"/>
          <w:w w:val="100"/>
          <w:sz w:val="32"/>
          <w:szCs w:val="32"/>
          <w:lang w:val="en-US" w:eastAsia="zh-CN"/>
        </w:rPr>
        <w:t>充分利用红色资源，凸显爱国主义教育基地作用，联合团市委培养红领巾讲解员10名。持续</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烈士纪念设施整修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完成140个烈士墓，1个纪念碑</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1个纪念广场等设施整修</w:t>
      </w:r>
      <w:r>
        <w:rPr>
          <w:rFonts w:hint="eastAsia" w:ascii="仿宋_GB2312" w:hAnsi="仿宋_GB2312" w:eastAsia="仿宋_GB2312" w:cs="仿宋_GB2312"/>
          <w:color w:val="auto"/>
          <w:sz w:val="32"/>
          <w:szCs w:val="32"/>
          <w:lang w:eastAsia="zh-CN"/>
        </w:rPr>
        <w:t>维护</w:t>
      </w:r>
      <w:r>
        <w:rPr>
          <w:rFonts w:hint="eastAsia" w:ascii="仿宋_GB2312" w:hAnsi="仿宋_GB2312" w:eastAsia="仿宋_GB2312" w:cs="仿宋_GB2312"/>
          <w:color w:val="auto"/>
          <w:sz w:val="32"/>
          <w:szCs w:val="32"/>
        </w:rPr>
        <w:t>，新建烈士英名墙</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纪念亭，</w:t>
      </w:r>
      <w:r>
        <w:rPr>
          <w:rFonts w:hint="eastAsia" w:ascii="仿宋_GB2312" w:hAnsi="仿宋_GB2312" w:eastAsia="仿宋_GB2312" w:cs="仿宋_GB2312"/>
          <w:color w:val="auto"/>
          <w:sz w:val="32"/>
          <w:szCs w:val="32"/>
          <w:highlight w:val="none"/>
          <w:lang w:eastAsia="zh-CN"/>
        </w:rPr>
        <w:t>推进</w:t>
      </w:r>
      <w:r>
        <w:rPr>
          <w:rFonts w:hint="eastAsia" w:ascii="仿宋_GB2312" w:hAnsi="仿宋_GB2312" w:eastAsia="仿宋_GB2312" w:cs="仿宋_GB2312"/>
          <w:color w:val="auto"/>
          <w:sz w:val="32"/>
          <w:szCs w:val="32"/>
          <w:highlight w:val="none"/>
        </w:rPr>
        <w:t>烈士纪念馆</w:t>
      </w:r>
      <w:r>
        <w:rPr>
          <w:rFonts w:hint="eastAsia" w:ascii="仿宋_GB2312" w:hAnsi="仿宋_GB2312" w:eastAsia="仿宋_GB2312" w:cs="仿宋_GB2312"/>
          <w:color w:val="auto"/>
          <w:sz w:val="32"/>
          <w:szCs w:val="32"/>
          <w:highlight w:val="none"/>
          <w:lang w:eastAsia="zh-CN"/>
        </w:rPr>
        <w:t>改陈布展。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三是创新志愿服务机制。创建志愿服务品牌，</w:t>
      </w:r>
      <w:r>
        <w:rPr>
          <w:rFonts w:hint="eastAsia" w:ascii="仿宋_GB2312" w:hAnsi="仿宋_GB2312" w:eastAsia="仿宋_GB2312" w:cs="仿宋_GB2312"/>
          <w:color w:val="auto"/>
          <w:kern w:val="2"/>
          <w:sz w:val="32"/>
          <w:szCs w:val="32"/>
          <w:lang w:val="en-US" w:eastAsia="zh-CN" w:bidi="ar-SA"/>
        </w:rPr>
        <w:t>今年5月，峨眉山市志愿服务队“四支队伍”被正式授名为“军号响”，拥有了正式品牌名称。广泛开展志愿服务，全市13个乡镇（街道）及154个村（社区）全覆盖成立“老兵志愿服务队”和“尖兵突击队”，今年共</w:t>
      </w:r>
      <w:r>
        <w:rPr>
          <w:rFonts w:hint="eastAsia" w:ascii="仿宋_GB2312" w:hAnsi="仿宋_GB2312" w:eastAsia="仿宋_GB2312" w:cs="仿宋_GB2312"/>
          <w:color w:val="auto"/>
          <w:kern w:val="2"/>
          <w:sz w:val="32"/>
          <w:szCs w:val="32"/>
          <w:highlight w:val="none"/>
          <w:lang w:val="en-US" w:eastAsia="zh-CN" w:bidi="ar-SA"/>
        </w:rPr>
        <w:t>有1000余人次</w:t>
      </w:r>
      <w:r>
        <w:rPr>
          <w:rFonts w:hint="eastAsia" w:ascii="仿宋_GB2312" w:hAnsi="仿宋_GB2312" w:eastAsia="仿宋_GB2312" w:cs="仿宋_GB2312"/>
          <w:color w:val="auto"/>
          <w:kern w:val="2"/>
          <w:sz w:val="32"/>
          <w:szCs w:val="32"/>
          <w:lang w:val="en-US" w:eastAsia="zh-CN" w:bidi="ar-SA"/>
        </w:rPr>
        <w:t>参与到抢险救灾、疫情防控、乡村振兴、“五清行动”等一线工作中，充分彰显退役军人先锋模范作用。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2.紧扣主责主业，服务保障水平实现新提升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一是推进建档立卡和优待证办理。今年4月启动工作以来，共在13个乡镇（街道）设立点位60个，参与工作人员共128人，接待政策咨询2000余人，处理疑难问题300余条。</w:t>
      </w:r>
      <w:r>
        <w:rPr>
          <w:rFonts w:hint="eastAsia" w:ascii="仿宋_GB2312" w:hAnsi="仿宋_GB2312" w:eastAsia="仿宋_GB2312" w:cs="仿宋_GB2312"/>
          <w:color w:val="auto"/>
          <w:sz w:val="32"/>
          <w:szCs w:val="32"/>
          <w:lang w:eastAsia="zh-CN"/>
        </w:rPr>
        <w:t>截至</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底</w:t>
      </w:r>
      <w:r>
        <w:rPr>
          <w:rFonts w:hint="eastAsia" w:ascii="仿宋_GB2312" w:hAnsi="仿宋_GB2312" w:eastAsia="仿宋_GB2312" w:cs="仿宋_GB2312"/>
          <w:color w:val="auto"/>
          <w:sz w:val="32"/>
          <w:szCs w:val="32"/>
        </w:rPr>
        <w:t>，全市累计建档立卡</w:t>
      </w:r>
      <w:r>
        <w:rPr>
          <w:rFonts w:hint="eastAsia" w:ascii="仿宋_GB2312" w:hAnsi="仿宋_GB2312" w:eastAsia="仿宋_GB2312" w:cs="仿宋_GB2312"/>
          <w:color w:val="auto"/>
          <w:sz w:val="32"/>
          <w:szCs w:val="32"/>
          <w:lang w:val="en-US" w:eastAsia="zh-CN"/>
        </w:rPr>
        <w:t>2.07万</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受理优待证申请</w:t>
      </w:r>
      <w:r>
        <w:rPr>
          <w:rFonts w:hint="eastAsia" w:ascii="仿宋_GB2312" w:hAnsi="仿宋_GB2312" w:eastAsia="仿宋_GB2312" w:cs="仿宋_GB2312"/>
          <w:color w:val="auto"/>
          <w:sz w:val="32"/>
          <w:szCs w:val="32"/>
          <w:lang w:val="en-US" w:eastAsia="zh-CN"/>
        </w:rPr>
        <w:t>1.75万人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受理率</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lang w:val="en-US" w:eastAsia="zh-CN"/>
        </w:rPr>
        <w:t>圆满完成攻坚阶段的目标任务。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二是优抚资金按时足额发放。截至10月底，</w:t>
      </w:r>
      <w:r>
        <w:rPr>
          <w:rFonts w:hint="eastAsia" w:ascii="仿宋_GB2312" w:hAnsi="仿宋_GB2312" w:eastAsia="仿宋_GB2312" w:cs="仿宋_GB2312"/>
          <w:color w:val="auto"/>
          <w:sz w:val="32"/>
          <w:szCs w:val="32"/>
          <w:lang w:eastAsia="zh-CN"/>
        </w:rPr>
        <w:t>对全市</w:t>
      </w:r>
      <w:r>
        <w:rPr>
          <w:rFonts w:hint="eastAsia" w:ascii="仿宋_GB2312" w:hAnsi="仿宋_GB2312" w:eastAsia="仿宋_GB2312" w:cs="仿宋_GB2312"/>
          <w:color w:val="auto"/>
          <w:sz w:val="32"/>
          <w:szCs w:val="32"/>
        </w:rPr>
        <w:t>优抚对象发放</w:t>
      </w:r>
      <w:r>
        <w:rPr>
          <w:rFonts w:hint="eastAsia" w:ascii="仿宋_GB2312" w:hAnsi="仿宋_GB2312" w:eastAsia="仿宋_GB2312" w:cs="仿宋_GB2312"/>
          <w:color w:val="auto"/>
          <w:sz w:val="32"/>
          <w:szCs w:val="32"/>
          <w:lang w:eastAsia="zh-CN"/>
        </w:rPr>
        <w:t>优抚</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，为全市</w:t>
      </w:r>
      <w:r>
        <w:rPr>
          <w:rFonts w:hint="eastAsia" w:ascii="仿宋_GB2312" w:hAnsi="仿宋_GB2312" w:eastAsia="仿宋_GB2312" w:cs="仿宋_GB2312"/>
          <w:color w:val="auto"/>
          <w:sz w:val="32"/>
          <w:szCs w:val="32"/>
          <w:lang w:val="en-US" w:eastAsia="zh-CN"/>
        </w:rPr>
        <w:t>重点优抚对象落实了医疗保险和医疗补助资金</w:t>
      </w:r>
      <w:r>
        <w:rPr>
          <w:rFonts w:hint="eastAsia" w:ascii="仿宋_GB2312" w:hAnsi="仿宋_GB2312" w:eastAsia="仿宋_GB2312" w:cs="仿宋_GB2312"/>
          <w:color w:val="auto"/>
          <w:sz w:val="32"/>
          <w:szCs w:val="32"/>
          <w:lang w:eastAsia="zh-CN"/>
        </w:rPr>
        <w:t>。按时足额发放义务兵家庭奖励金</w:t>
      </w:r>
      <w:r>
        <w:rPr>
          <w:rFonts w:hint="eastAsia" w:ascii="仿宋_GB2312" w:hAnsi="仿宋_GB2312" w:eastAsia="仿宋_GB2312" w:cs="仿宋_GB2312"/>
          <w:color w:val="auto"/>
          <w:sz w:val="32"/>
          <w:szCs w:val="32"/>
          <w:lang w:val="en-US" w:eastAsia="zh-CN"/>
        </w:rPr>
        <w:t>、大学生入伍奖励金、艰苦地区奖励金、</w:t>
      </w:r>
      <w:r>
        <w:rPr>
          <w:rFonts w:hint="eastAsia" w:ascii="仿宋_GB2312" w:hAnsi="仿宋_GB2312" w:eastAsia="仿宋_GB2312" w:cs="仿宋_GB2312"/>
          <w:color w:val="auto"/>
          <w:sz w:val="32"/>
          <w:szCs w:val="32"/>
        </w:rPr>
        <w:t>自主就业退役士兵一次性地方经济补助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立功奖励金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慰问</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优抚对象</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困难退役军人。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w:t>
      </w:r>
      <w:r>
        <w:rPr>
          <w:rFonts w:hint="eastAsia" w:ascii="仿宋_GB2312" w:hAnsi="仿宋_GB2312" w:eastAsia="仿宋_GB2312" w:cs="仿宋_GB2312"/>
          <w:b w:val="0"/>
          <w:bCs w:val="0"/>
          <w:color w:val="auto"/>
          <w:sz w:val="32"/>
          <w:szCs w:val="32"/>
          <w:lang w:eastAsia="zh-CN"/>
        </w:rPr>
        <w:t>圆满完成移交安置任务。</w:t>
      </w:r>
      <w:r>
        <w:rPr>
          <w:rFonts w:hint="eastAsia" w:ascii="仿宋_GB2312" w:hAnsi="仿宋_GB2312" w:eastAsia="仿宋_GB2312" w:cs="仿宋_GB2312"/>
          <w:color w:val="auto"/>
          <w:sz w:val="32"/>
          <w:szCs w:val="32"/>
          <w:lang w:eastAsia="zh-CN"/>
        </w:rPr>
        <w:t>全年安置军队计划分配军转干部</w:t>
      </w:r>
      <w:r>
        <w:rPr>
          <w:rFonts w:hint="eastAsia" w:ascii="仿宋_GB2312" w:hAnsi="仿宋_GB2312" w:eastAsia="仿宋_GB2312" w:cs="仿宋_GB2312"/>
          <w:color w:val="auto"/>
          <w:sz w:val="32"/>
          <w:szCs w:val="32"/>
          <w:lang w:val="en-US" w:eastAsia="zh-CN"/>
        </w:rPr>
        <w:t>2人及随军就业家属1人，安置符合政府安排工作退役士兵15人，接收军队离休干部1人，自主就业退役士兵135人。</w:t>
      </w: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四是积极拓宽就业创业渠道。</w:t>
      </w:r>
      <w:r>
        <w:rPr>
          <w:rFonts w:hint="eastAsia" w:ascii="仿宋_GB2312" w:hAnsi="仿宋_GB2312" w:eastAsia="仿宋_GB2312" w:cs="仿宋_GB2312"/>
          <w:color w:val="auto"/>
          <w:sz w:val="32"/>
          <w:szCs w:val="32"/>
          <w:lang w:val="en-US" w:eastAsia="zh-CN"/>
        </w:rPr>
        <w:t>全年</w:t>
      </w:r>
      <w:r>
        <w:rPr>
          <w:rFonts w:hint="eastAsia" w:ascii="仿宋_GB2312" w:hAnsi="仿宋_GB2312" w:eastAsia="仿宋_GB2312" w:cs="仿宋_GB2312"/>
          <w:color w:val="auto"/>
          <w:sz w:val="32"/>
          <w:szCs w:val="32"/>
        </w:rPr>
        <w:t>接待就业创业政策咨询500余人次，发放宣传资料1000余份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共</w:t>
      </w:r>
      <w:r>
        <w:rPr>
          <w:rFonts w:hint="eastAsia" w:ascii="仿宋_GB2312" w:hAnsi="仿宋_GB2312" w:eastAsia="仿宋_GB2312" w:cs="仿宋_GB2312"/>
          <w:color w:val="auto"/>
          <w:sz w:val="32"/>
          <w:szCs w:val="32"/>
          <w:lang w:eastAsia="zh-CN"/>
        </w:rPr>
        <w:t>举办</w:t>
      </w:r>
      <w:r>
        <w:rPr>
          <w:rFonts w:hint="eastAsia" w:ascii="仿宋_GB2312" w:hAnsi="仿宋_GB2312" w:eastAsia="仿宋_GB2312" w:cs="仿宋_GB2312"/>
          <w:color w:val="auto"/>
          <w:sz w:val="32"/>
          <w:szCs w:val="32"/>
        </w:rPr>
        <w:t>退役军人专场招聘会</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提供招聘岗位</w:t>
      </w:r>
      <w:r>
        <w:rPr>
          <w:rFonts w:hint="eastAsia" w:ascii="仿宋_GB2312" w:hAnsi="仿宋_GB2312" w:eastAsia="仿宋_GB2312" w:cs="仿宋_GB2312"/>
          <w:color w:val="auto"/>
          <w:sz w:val="32"/>
          <w:szCs w:val="32"/>
          <w:lang w:val="en-US" w:eastAsia="zh-CN"/>
        </w:rPr>
        <w:t>3000</w:t>
      </w:r>
      <w:r>
        <w:rPr>
          <w:rFonts w:hint="eastAsia" w:ascii="仿宋_GB2312" w:hAnsi="仿宋_GB2312" w:eastAsia="仿宋_GB2312" w:cs="仿宋_GB2312"/>
          <w:color w:val="auto"/>
          <w:sz w:val="32"/>
          <w:szCs w:val="32"/>
        </w:rPr>
        <w:t>余个</w:t>
      </w:r>
      <w:r>
        <w:rPr>
          <w:rFonts w:hint="eastAsia" w:ascii="仿宋_GB2312" w:hAnsi="仿宋_GB2312" w:eastAsia="仿宋_GB2312" w:cs="仿宋_GB2312"/>
          <w:color w:val="auto"/>
          <w:sz w:val="32"/>
          <w:szCs w:val="32"/>
          <w:lang w:eastAsia="zh-CN"/>
        </w:rPr>
        <w:t>，帮助</w:t>
      </w:r>
      <w:r>
        <w:rPr>
          <w:rFonts w:hint="eastAsia" w:ascii="仿宋_GB2312" w:hAnsi="仿宋_GB2312" w:eastAsia="仿宋_GB2312" w:cs="仿宋_GB2312"/>
          <w:color w:val="auto"/>
          <w:sz w:val="32"/>
          <w:szCs w:val="32"/>
          <w:lang w:val="en-US" w:eastAsia="zh-CN"/>
        </w:rPr>
        <w:t>100余名退役军人实现就业</w:t>
      </w:r>
      <w:r>
        <w:rPr>
          <w:rFonts w:hint="eastAsia" w:ascii="仿宋_GB2312" w:hAnsi="仿宋_GB2312" w:eastAsia="仿宋_GB2312" w:cs="仿宋_GB2312"/>
          <w:color w:val="auto"/>
          <w:sz w:val="32"/>
          <w:szCs w:val="32"/>
          <w:lang w:eastAsia="zh-CN"/>
        </w:rPr>
        <w:t>。协调农商银行</w:t>
      </w:r>
      <w:r>
        <w:rPr>
          <w:rFonts w:hint="eastAsia" w:ascii="仿宋_GB2312" w:hAnsi="仿宋_GB2312" w:eastAsia="仿宋_GB2312" w:cs="仿宋_GB2312"/>
          <w:color w:val="auto"/>
          <w:sz w:val="32"/>
          <w:szCs w:val="32"/>
        </w:rPr>
        <w:t>为退役军人提供</w:t>
      </w:r>
      <w:r>
        <w:rPr>
          <w:rFonts w:hint="eastAsia" w:ascii="仿宋_GB2312" w:hAnsi="仿宋_GB2312" w:eastAsia="仿宋_GB2312" w:cs="仿宋_GB2312"/>
          <w:color w:val="auto"/>
          <w:sz w:val="32"/>
          <w:szCs w:val="32"/>
          <w:lang w:eastAsia="zh-CN"/>
        </w:rPr>
        <w:t>“惠军贷”，今年共为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名退役军人提供贷款。</w:t>
      </w:r>
    </w:p>
    <w:p>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五是夯实服务保障体系建设。</w:t>
      </w:r>
      <w:r>
        <w:rPr>
          <w:rFonts w:hint="eastAsia" w:ascii="仿宋_GB2312" w:hAnsi="仿宋_GB2312" w:eastAsia="仿宋_GB2312" w:cs="仿宋_GB2312"/>
          <w:color w:val="auto"/>
          <w:sz w:val="32"/>
          <w:szCs w:val="32"/>
          <w:highlight w:val="none"/>
          <w:lang w:eastAsia="zh-CN"/>
        </w:rPr>
        <w:t>因地制宜推动</w:t>
      </w:r>
      <w:r>
        <w:rPr>
          <w:rFonts w:hint="eastAsia" w:ascii="仿宋_GB2312" w:hAnsi="仿宋_GB2312" w:eastAsia="仿宋_GB2312" w:cs="仿宋_GB2312"/>
          <w:color w:val="auto"/>
          <w:sz w:val="32"/>
          <w:szCs w:val="32"/>
          <w:highlight w:val="none"/>
        </w:rPr>
        <w:t>中心镇（村）退役军人服务站</w:t>
      </w:r>
      <w:r>
        <w:rPr>
          <w:rFonts w:hint="eastAsia" w:ascii="仿宋_GB2312" w:hAnsi="仿宋_GB2312" w:eastAsia="仿宋_GB2312" w:cs="仿宋_GB2312"/>
          <w:color w:val="auto"/>
          <w:sz w:val="32"/>
          <w:szCs w:val="32"/>
          <w:highlight w:val="none"/>
          <w:lang w:eastAsia="zh-CN"/>
        </w:rPr>
        <w:t>样板站建设和</w:t>
      </w:r>
      <w:r>
        <w:rPr>
          <w:rFonts w:hint="eastAsia" w:ascii="仿宋_GB2312" w:hAnsi="仿宋_GB2312" w:eastAsia="仿宋_GB2312" w:cs="仿宋_GB2312"/>
          <w:color w:val="auto"/>
          <w:sz w:val="32"/>
          <w:szCs w:val="32"/>
          <w:highlight w:val="none"/>
        </w:rPr>
        <w:t>阵地提档升级，</w:t>
      </w:r>
      <w:r>
        <w:rPr>
          <w:rFonts w:hint="eastAsia" w:ascii="仿宋_GB2312" w:hAnsi="仿宋_GB2312" w:eastAsia="仿宋_GB2312" w:cs="仿宋_GB2312"/>
          <w:b w:val="0"/>
          <w:bCs/>
          <w:color w:val="auto"/>
          <w:kern w:val="2"/>
          <w:sz w:val="32"/>
          <w:szCs w:val="32"/>
          <w:lang w:val="en-US" w:eastAsia="zh-CN" w:bidi="ar-SA"/>
        </w:rPr>
        <w:t>九里镇、龙池镇（中心镇）服务站样板站主体已基本建成，</w:t>
      </w:r>
      <w:r>
        <w:rPr>
          <w:rFonts w:hint="eastAsia" w:ascii="仿宋_GB2312" w:hAnsi="仿宋_GB2312" w:eastAsia="仿宋_GB2312" w:cs="仿宋_GB2312"/>
          <w:color w:val="auto"/>
          <w:sz w:val="32"/>
          <w:szCs w:val="32"/>
          <w:highlight w:val="none"/>
          <w:lang w:eastAsia="zh-CN"/>
        </w:rPr>
        <w:t>推动滨河路社区和城西村退役军人服务站政治文化氛围升级改造，实现</w:t>
      </w:r>
      <w:r>
        <w:rPr>
          <w:rFonts w:hint="eastAsia" w:ascii="仿宋_GB2312" w:hAnsi="仿宋_GB2312" w:eastAsia="仿宋_GB2312" w:cs="仿宋_GB2312"/>
          <w:color w:val="auto"/>
          <w:sz w:val="32"/>
          <w:szCs w:val="32"/>
          <w:highlight w:val="none"/>
          <w:lang w:val="en-US" w:eastAsia="zh-CN"/>
        </w:rPr>
        <w:t>“服务超市”建设品牌化规范化，实现实体化运转。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六是全面提升军休服务水平。</w:t>
      </w:r>
      <w:r>
        <w:rPr>
          <w:rFonts w:hint="eastAsia" w:ascii="仿宋_GB2312" w:hAnsi="仿宋_GB2312" w:eastAsia="仿宋_GB2312" w:cs="仿宋_GB2312"/>
          <w:color w:val="auto"/>
          <w:sz w:val="32"/>
          <w:szCs w:val="32"/>
          <w:highlight w:val="none"/>
          <w:lang w:val="en-US" w:eastAsia="zh-CN"/>
        </w:rPr>
        <w:t>升级改造军休所基础设施，军休食堂正式运转，圆满承办乐山市军休干部趣味运动会，</w:t>
      </w:r>
      <w:r>
        <w:rPr>
          <w:rFonts w:hint="eastAsia" w:ascii="仿宋_GB2312" w:hAnsi="仿宋_GB2312" w:eastAsia="仿宋_GB2312" w:cs="仿宋_GB2312"/>
          <w:color w:val="auto"/>
          <w:sz w:val="32"/>
          <w:szCs w:val="32"/>
          <w:lang w:eastAsia="zh-CN"/>
        </w:rPr>
        <w:t>出版</w:t>
      </w:r>
      <w:r>
        <w:rPr>
          <w:rFonts w:hint="eastAsia" w:ascii="仿宋_GB2312" w:hAnsi="仿宋_GB2312" w:eastAsia="仿宋_GB2312" w:cs="仿宋_GB2312"/>
          <w:color w:val="auto"/>
          <w:sz w:val="32"/>
          <w:szCs w:val="32"/>
          <w:lang w:val="en-US" w:eastAsia="zh-CN"/>
        </w:rPr>
        <w:t>军休干部回忆录《军旅人生》，</w:t>
      </w:r>
      <w:r>
        <w:rPr>
          <w:rFonts w:hint="eastAsia" w:ascii="仿宋_GB2312" w:hAnsi="仿宋_GB2312" w:eastAsia="仿宋_GB2312" w:cs="仿宋_GB2312"/>
          <w:color w:val="auto"/>
          <w:sz w:val="32"/>
          <w:szCs w:val="32"/>
          <w:highlight w:val="none"/>
          <w:lang w:val="en-US" w:eastAsia="zh-CN"/>
        </w:rPr>
        <w:t>确保军休老干部“两项待遇”得到有力保障。</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立足权益维护，矛盾纠纷化解实现新成效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一是建立司法援助机制。联合市司</w:t>
      </w:r>
      <w:r>
        <w:rPr>
          <w:rFonts w:hint="eastAsia" w:ascii="仿宋_GB2312" w:hAnsi="仿宋_GB2312" w:eastAsia="仿宋_GB2312" w:cs="仿宋_GB2312"/>
          <w:color w:val="auto"/>
          <w:kern w:val="2"/>
          <w:sz w:val="32"/>
          <w:szCs w:val="32"/>
          <w:highlight w:val="none"/>
          <w:lang w:val="en-US" w:eastAsia="zh-CN" w:bidi="ar-SA"/>
        </w:rPr>
        <w:t>法局成立峨眉山市退役军人法律援助工作站，指导13个乡镇（街道）</w:t>
      </w:r>
      <w:r>
        <w:rPr>
          <w:rFonts w:hint="eastAsia" w:ascii="仿宋_GB2312" w:hAnsi="仿宋_GB2312" w:eastAsia="仿宋_GB2312" w:cs="仿宋_GB2312"/>
          <w:color w:val="auto"/>
          <w:sz w:val="32"/>
          <w:szCs w:val="32"/>
          <w:lang w:val="en-US" w:eastAsia="zh-CN"/>
        </w:rPr>
        <w:t>退役军人服务站成立法律援助站，引导退役军人依法维护合法权益，为退役军人提供普惠、精准、及时的优质公共法律服务。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二是大力推动矛盾化解。扎实推进退役军人重大涉稳风险化解和信访积案难案化解百日攻坚行动</w:t>
      </w:r>
      <w:r>
        <w:rPr>
          <w:rFonts w:hint="eastAsia" w:ascii="仿宋_GB2312" w:hAnsi="仿宋_GB2312" w:eastAsia="仿宋_GB2312" w:cs="仿宋_GB2312"/>
          <w:color w:val="auto"/>
          <w:sz w:val="32"/>
          <w:szCs w:val="32"/>
          <w:lang w:eastAsia="zh-CN"/>
        </w:rPr>
        <w:t>，着力解决信访难题。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峨眉山市退役军人事务局</w:t>
      </w:r>
      <w:r>
        <w:rPr>
          <w:rFonts w:hint="eastAsia" w:ascii="仿宋_GB2312" w:hAnsi="仿宋_GB2312" w:eastAsia="仿宋_GB2312" w:cs="仿宋_GB2312"/>
          <w:color w:val="auto"/>
          <w:sz w:val="32"/>
          <w:szCs w:val="32"/>
          <w:highlight w:val="none"/>
        </w:rPr>
        <w:t>下属二级单位</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个，其中行政单位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个，参照公务员法管理的事业单位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个，其他事业单位</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lang w:eastAsia="zh-CN"/>
        </w:rPr>
        <w:t>峨眉山市退役军人事务局</w:t>
      </w:r>
      <w:r>
        <w:rPr>
          <w:rFonts w:hint="eastAsia" w:ascii="仿宋_GB2312" w:hAnsi="仿宋_GB2312" w:eastAsia="仿宋_GB2312" w:cs="仿宋_GB2312"/>
          <w:color w:val="auto"/>
          <w:sz w:val="32"/>
          <w:szCs w:val="32"/>
          <w:highlight w:val="none"/>
        </w:rPr>
        <w:t>2021年度部门决算编制范围的二级预算单位包括：</w:t>
      </w:r>
    </w:p>
    <w:p>
      <w:pPr>
        <w:pStyle w:val="5"/>
        <w:pageBreakBefore w:val="0"/>
        <w:numPr>
          <w:ilvl w:val="0"/>
          <w:numId w:val="0"/>
        </w:numPr>
        <w:kinsoku/>
        <w:wordWrap/>
        <w:overflowPunct/>
        <w:topLinePunct w:val="0"/>
        <w:bidi w:val="0"/>
        <w:adjustRightInd w:val="0"/>
        <w:snapToGrid w:val="0"/>
        <w:spacing w:before="93" w:line="600" w:lineRule="exact"/>
        <w:ind w:left="672" w:leftChars="0"/>
        <w:textAlignment w:val="auto"/>
        <w:outlineLvl w:val="2"/>
        <w:rPr>
          <w:rFonts w:hint="eastAsia" w:ascii="仿宋_GB2312" w:hAnsi="仿宋_GB2312" w:eastAsia="仿宋_GB2312" w:cs="仿宋_GB2312"/>
          <w:color w:val="auto"/>
          <w:sz w:val="32"/>
          <w:szCs w:val="32"/>
          <w:highlight w:val="none"/>
        </w:rPr>
      </w:pPr>
      <w:r>
        <w:rPr>
          <w:rFonts w:hint="eastAsia"/>
          <w:color w:val="auto"/>
          <w:sz w:val="32"/>
          <w:szCs w:val="32"/>
          <w:highlight w:val="none"/>
          <w:lang w:val="en-US" w:eastAsia="zh-CN"/>
        </w:rPr>
        <w:t>1.</w:t>
      </w:r>
      <w:r>
        <w:rPr>
          <w:rFonts w:hint="eastAsia" w:ascii="仿宋_GB2312" w:eastAsia="仿宋_GB2312"/>
          <w:color w:val="auto"/>
          <w:sz w:val="32"/>
          <w:szCs w:val="32"/>
          <w:highlight w:val="none"/>
          <w:lang w:val="en-US" w:eastAsia="zh-CN"/>
        </w:rPr>
        <w:t>峨眉山市军队离退休干部干休所</w:t>
      </w:r>
    </w:p>
    <w:p>
      <w:pPr>
        <w:numPr>
          <w:ilvl w:val="0"/>
          <w:numId w:val="0"/>
        </w:num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2.峨眉山军供站</w:t>
      </w:r>
    </w:p>
    <w:p>
      <w:pPr>
        <w:numPr>
          <w:ilvl w:val="0"/>
          <w:numId w:val="0"/>
        </w:numPr>
        <w:ind w:firstLine="640" w:firstLineChars="200"/>
        <w:rPr>
          <w:color w:val="auto"/>
        </w:rPr>
      </w:pPr>
      <w:r>
        <w:rPr>
          <w:rFonts w:ascii="仿宋" w:hAnsi="仿宋" w:eastAsia="仿宋"/>
          <w:color w:val="auto"/>
          <w:sz w:val="32"/>
          <w:szCs w:val="32"/>
          <w:highlight w:val="none"/>
        </w:rPr>
        <w:br w:type="page"/>
      </w:r>
    </w:p>
    <w:p>
      <w:pPr>
        <w:pStyle w:val="3"/>
        <w:ind w:right="440"/>
        <w:jc w:val="center"/>
        <w:rPr>
          <w:rStyle w:val="15"/>
          <w:rFonts w:ascii="黑体" w:hAnsi="黑体" w:eastAsia="黑体"/>
          <w:b w:val="0"/>
          <w:bCs/>
          <w:color w:val="auto"/>
        </w:rPr>
      </w:pPr>
      <w:bookmarkStart w:id="18" w:name="_Toc15377204"/>
      <w:bookmarkStart w:id="19" w:name="_Toc15396602"/>
      <w:r>
        <w:rPr>
          <w:rFonts w:hint="eastAsia" w:ascii="黑体" w:hAnsi="黑体" w:eastAsia="黑体"/>
          <w:b w:val="0"/>
          <w:color w:val="auto"/>
        </w:rPr>
        <w:t>第二部分 2022年度</w:t>
      </w:r>
      <w:r>
        <w:rPr>
          <w:rStyle w:val="15"/>
          <w:rFonts w:hint="eastAsia" w:ascii="黑体" w:hAnsi="黑体" w:eastAsia="黑体"/>
          <w:b w:val="0"/>
          <w:bCs/>
          <w:color w:val="auto"/>
        </w:rPr>
        <w:t>部门决算情况说明</w:t>
      </w:r>
      <w:bookmarkEnd w:id="18"/>
      <w:bookmarkEnd w:id="19"/>
    </w:p>
    <w:p>
      <w:pPr>
        <w:rPr>
          <w:color w:val="0000FF"/>
        </w:rPr>
      </w:pPr>
    </w:p>
    <w:p>
      <w:pPr>
        <w:pStyle w:val="16"/>
        <w:numPr>
          <w:ilvl w:val="0"/>
          <w:numId w:val="2"/>
        </w:numPr>
        <w:spacing w:line="600" w:lineRule="exact"/>
        <w:ind w:firstLineChars="0"/>
        <w:outlineLvl w:val="1"/>
        <w:rPr>
          <w:rStyle w:val="17"/>
          <w:rFonts w:ascii="黑体" w:hAnsi="黑体" w:eastAsia="黑体"/>
          <w:b w:val="0"/>
          <w:color w:val="auto"/>
        </w:rPr>
      </w:pPr>
      <w:bookmarkStart w:id="20" w:name="_Toc15396603"/>
      <w:bookmarkStart w:id="21" w:name="_Toc15377205"/>
      <w:r>
        <w:rPr>
          <w:rFonts w:hint="eastAsia" w:ascii="黑体" w:hAnsi="黑体" w:eastAsia="黑体"/>
          <w:color w:val="auto"/>
          <w:sz w:val="32"/>
          <w:szCs w:val="32"/>
        </w:rPr>
        <w:t>收</w:t>
      </w:r>
      <w:r>
        <w:rPr>
          <w:rStyle w:val="17"/>
          <w:rFonts w:hint="eastAsia" w:ascii="黑体" w:hAnsi="黑体" w:eastAsia="黑体"/>
          <w:b w:val="0"/>
          <w:color w:val="auto"/>
        </w:rPr>
        <w:t>入支出决算总体情况说明</w:t>
      </w:r>
      <w:bookmarkEnd w:id="20"/>
      <w:bookmarkEnd w:id="21"/>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2022年度收、支总计</w:t>
      </w:r>
      <w:r>
        <w:rPr>
          <w:rFonts w:hint="eastAsia" w:ascii="仿宋" w:hAnsi="仿宋" w:eastAsia="仿宋"/>
          <w:color w:val="auto"/>
          <w:sz w:val="32"/>
          <w:szCs w:val="32"/>
          <w:lang w:val="en-US" w:eastAsia="zh-CN"/>
        </w:rPr>
        <w:t>9190.31</w:t>
      </w:r>
      <w:r>
        <w:rPr>
          <w:rFonts w:hint="eastAsia" w:ascii="仿宋" w:hAnsi="仿宋" w:eastAsia="仿宋"/>
          <w:color w:val="auto"/>
          <w:sz w:val="32"/>
          <w:szCs w:val="32"/>
        </w:rPr>
        <w:t>万元。与2021年相比，收、支总计各减少</w:t>
      </w:r>
      <w:r>
        <w:rPr>
          <w:rFonts w:hint="eastAsia" w:ascii="仿宋" w:hAnsi="仿宋" w:eastAsia="仿宋"/>
          <w:color w:val="auto"/>
          <w:sz w:val="32"/>
          <w:szCs w:val="32"/>
          <w:lang w:val="en-US" w:eastAsia="zh-CN"/>
        </w:rPr>
        <w:t>189.59</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2.02</w:t>
      </w:r>
      <w:r>
        <w:rPr>
          <w:rFonts w:ascii="仿宋" w:hAnsi="仿宋" w:eastAsia="仿宋"/>
          <w:color w:val="auto"/>
          <w:sz w:val="32"/>
          <w:szCs w:val="32"/>
        </w:rPr>
        <w:t>%</w:t>
      </w:r>
      <w:r>
        <w:rPr>
          <w:rFonts w:hint="eastAsia" w:ascii="仿宋" w:hAnsi="仿宋" w:eastAsia="仿宋"/>
          <w:color w:val="auto"/>
          <w:sz w:val="32"/>
          <w:szCs w:val="32"/>
        </w:rPr>
        <w:t>。主要变动原因</w:t>
      </w:r>
      <w:r>
        <w:rPr>
          <w:rFonts w:hint="eastAsia" w:ascii="仿宋" w:hAnsi="仿宋" w:eastAsia="仿宋"/>
          <w:color w:val="auto"/>
          <w:sz w:val="32"/>
          <w:szCs w:val="32"/>
          <w:lang w:eastAsia="zh-CN"/>
        </w:rPr>
        <w:t>是</w:t>
      </w:r>
      <w:r>
        <w:rPr>
          <w:rFonts w:hint="eastAsia" w:ascii="仿宋_GB2312" w:hAnsi="仿宋_GB2312" w:eastAsia="仿宋_GB2312" w:cs="仿宋_GB2312"/>
          <w:color w:val="auto"/>
          <w:sz w:val="32"/>
          <w:szCs w:val="32"/>
          <w:highlight w:val="none"/>
          <w:lang w:eastAsia="zh-CN"/>
        </w:rPr>
        <w:t>受疫情及部分享受定补退役军人死亡的影响，部分项目预算减少</w:t>
      </w:r>
      <w:r>
        <w:rPr>
          <w:rFonts w:hint="eastAsia" w:ascii="仿宋" w:hAnsi="仿宋" w:eastAsia="仿宋"/>
          <w:color w:val="auto"/>
          <w:sz w:val="32"/>
          <w:szCs w:val="32"/>
        </w:rPr>
        <w:t>。</w:t>
      </w:r>
    </w:p>
    <w:p>
      <w:pPr>
        <w:pStyle w:val="2"/>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16"/>
        <w:numPr>
          <w:ilvl w:val="0"/>
          <w:numId w:val="2"/>
        </w:numPr>
        <w:spacing w:line="600" w:lineRule="exact"/>
        <w:ind w:firstLineChars="0"/>
        <w:outlineLvl w:val="1"/>
        <w:rPr>
          <w:rStyle w:val="17"/>
          <w:rFonts w:ascii="黑体" w:hAnsi="黑体" w:eastAsia="黑体"/>
          <w:b w:val="0"/>
          <w:color w:val="auto"/>
        </w:rPr>
      </w:pPr>
      <w:bookmarkStart w:id="22" w:name="_Toc15377206"/>
      <w:bookmarkStart w:id="23" w:name="_Toc15396604"/>
      <w:r>
        <w:rPr>
          <w:rFonts w:hint="eastAsia" w:ascii="黑体" w:hAnsi="黑体" w:eastAsia="黑体"/>
          <w:color w:val="auto"/>
          <w:sz w:val="32"/>
          <w:szCs w:val="32"/>
        </w:rPr>
        <w:t>收</w:t>
      </w:r>
      <w:r>
        <w:rPr>
          <w:rStyle w:val="17"/>
          <w:rFonts w:hint="eastAsia" w:ascii="黑体" w:hAnsi="黑体" w:eastAsia="黑体"/>
          <w:b w:val="0"/>
          <w:color w:val="auto"/>
        </w:rPr>
        <w:t>入决算情况说明</w:t>
      </w:r>
      <w:bookmarkEnd w:id="22"/>
      <w:bookmarkEnd w:id="23"/>
    </w:p>
    <w:p>
      <w:pPr>
        <w:spacing w:line="600" w:lineRule="exact"/>
        <w:ind w:firstLine="640" w:firstLineChars="200"/>
        <w:outlineLvl w:val="1"/>
        <w:rPr>
          <w:rFonts w:ascii="仿宋" w:hAnsi="仿宋" w:eastAsia="仿宋"/>
          <w:color w:val="0000FF"/>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22年本年收入合计</w:t>
      </w:r>
      <w:r>
        <w:rPr>
          <w:rFonts w:hint="eastAsia" w:ascii="仿宋" w:hAnsi="仿宋" w:eastAsia="仿宋"/>
          <w:color w:val="auto"/>
          <w:sz w:val="32"/>
          <w:szCs w:val="32"/>
          <w:lang w:val="en-US" w:eastAsia="zh-CN"/>
        </w:rPr>
        <w:t>8006.80</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7922.30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98.94</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84.50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1.06</w:t>
      </w:r>
      <w:r>
        <w:rPr>
          <w:rFonts w:ascii="仿宋" w:hAnsi="仿宋" w:eastAsia="仿宋"/>
          <w:color w:val="auto"/>
          <w:sz w:val="32"/>
          <w:szCs w:val="32"/>
        </w:rPr>
        <w:t>%</w:t>
      </w:r>
      <w:r>
        <w:rPr>
          <w:rFonts w:hint="eastAsia" w:ascii="仿宋" w:hAnsi="仿宋" w:eastAsia="仿宋"/>
          <w:color w:val="auto"/>
          <w:sz w:val="32"/>
          <w:szCs w:val="32"/>
        </w:rPr>
        <w:t>；国有资本经营预算财政拨款收入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万元；上级补助收入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万元；事业收入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万元；经营收入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万元；附属单位上缴收入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p>
    <w:p>
      <w:pPr>
        <w:pStyle w:val="2"/>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6"/>
        <w:numPr>
          <w:ilvl w:val="0"/>
          <w:numId w:val="2"/>
        </w:numPr>
        <w:spacing w:line="600" w:lineRule="exact"/>
        <w:ind w:firstLineChars="0"/>
        <w:outlineLvl w:val="1"/>
        <w:rPr>
          <w:rStyle w:val="17"/>
          <w:rFonts w:ascii="黑体" w:hAnsi="黑体" w:eastAsia="黑体"/>
          <w:b w:val="0"/>
          <w:color w:val="auto"/>
        </w:rPr>
      </w:pPr>
      <w:bookmarkStart w:id="24" w:name="_Toc15396605"/>
      <w:bookmarkStart w:id="25" w:name="_Toc15377207"/>
      <w:r>
        <w:rPr>
          <w:rFonts w:hint="eastAsia" w:ascii="黑体" w:hAnsi="黑体" w:eastAsia="黑体"/>
          <w:color w:val="auto"/>
          <w:sz w:val="32"/>
          <w:szCs w:val="32"/>
        </w:rPr>
        <w:t>支</w:t>
      </w:r>
      <w:r>
        <w:rPr>
          <w:rStyle w:val="17"/>
          <w:rFonts w:hint="eastAsia" w:ascii="黑体" w:hAnsi="黑体" w:eastAsia="黑体"/>
          <w:b w:val="0"/>
          <w:color w:val="auto"/>
        </w:rPr>
        <w:t>出决算情况说明</w:t>
      </w:r>
      <w:bookmarkEnd w:id="24"/>
      <w:bookmarkEnd w:id="25"/>
    </w:p>
    <w:p>
      <w:pPr>
        <w:spacing w:line="600" w:lineRule="exact"/>
        <w:ind w:firstLine="640" w:firstLineChars="200"/>
        <w:outlineLvl w:val="1"/>
        <w:rPr>
          <w:rFonts w:ascii="仿宋" w:hAnsi="仿宋" w:eastAsia="仿宋"/>
          <w:color w:val="0000FF"/>
          <w:sz w:val="32"/>
          <w:szCs w:val="32"/>
          <w:shd w:val="pct10" w:color="auto" w:fill="FFFFFF"/>
        </w:rPr>
      </w:pPr>
      <w:r>
        <w:rPr>
          <w:rFonts w:ascii="仿宋" w:hAnsi="仿宋" w:eastAsia="仿宋"/>
          <w:color w:val="auto"/>
          <w:sz w:val="32"/>
          <w:szCs w:val="32"/>
        </w:rPr>
        <w:t>20</w:t>
      </w:r>
      <w:r>
        <w:rPr>
          <w:rFonts w:hint="eastAsia" w:ascii="仿宋" w:hAnsi="仿宋" w:eastAsia="仿宋"/>
          <w:color w:val="auto"/>
          <w:sz w:val="32"/>
          <w:szCs w:val="32"/>
        </w:rPr>
        <w:t>22年本年支出合计</w:t>
      </w:r>
      <w:r>
        <w:rPr>
          <w:rFonts w:hint="eastAsia" w:ascii="仿宋" w:hAnsi="仿宋" w:eastAsia="仿宋"/>
          <w:color w:val="auto"/>
          <w:sz w:val="32"/>
          <w:szCs w:val="32"/>
          <w:lang w:val="en-US" w:eastAsia="zh-CN"/>
        </w:rPr>
        <w:t>8272.51</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563.97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6.82</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7708.54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93.18</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w:t>
      </w:r>
    </w:p>
    <w:p>
      <w:pPr>
        <w:pStyle w:val="2"/>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17"/>
          <w:rFonts w:ascii="黑体" w:hAnsi="黑体" w:eastAsia="黑体"/>
          <w:b w:val="0"/>
          <w:color w:val="auto"/>
        </w:rPr>
      </w:pPr>
      <w:bookmarkStart w:id="26" w:name="_Toc15377208"/>
      <w:bookmarkStart w:id="27" w:name="_Toc15396606"/>
      <w:r>
        <w:rPr>
          <w:rFonts w:hint="eastAsia" w:ascii="黑体" w:hAnsi="黑体" w:eastAsia="黑体"/>
          <w:color w:val="auto"/>
          <w:sz w:val="32"/>
          <w:szCs w:val="32"/>
        </w:rPr>
        <w:t>四、财</w:t>
      </w:r>
      <w:r>
        <w:rPr>
          <w:rStyle w:val="17"/>
          <w:rFonts w:hint="eastAsia" w:ascii="黑体" w:hAnsi="黑体" w:eastAsia="黑体"/>
          <w:b w:val="0"/>
          <w:color w:val="auto"/>
        </w:rPr>
        <w:t>政拨款收入支出决算总体情况说明</w:t>
      </w:r>
      <w:bookmarkEnd w:id="26"/>
      <w:bookmarkEnd w:id="27"/>
    </w:p>
    <w:p>
      <w:pPr>
        <w:keepNext w:val="0"/>
        <w:keepLines w:val="0"/>
        <w:pageBreakBefore w:val="0"/>
        <w:kinsoku/>
        <w:wordWrap/>
        <w:overflowPunct/>
        <w:topLinePunct w:val="0"/>
        <w:bidi w:val="0"/>
        <w:spacing w:line="600" w:lineRule="exact"/>
        <w:ind w:firstLine="640"/>
        <w:textAlignment w:val="auto"/>
        <w:rPr>
          <w:rFonts w:hint="eastAsia" w:ascii="仿宋" w:hAnsi="仿宋" w:eastAsia="仿宋"/>
          <w:color w:val="0000FF"/>
          <w:sz w:val="32"/>
          <w:szCs w:val="32"/>
        </w:rPr>
      </w:pPr>
      <w:r>
        <w:rPr>
          <w:rFonts w:ascii="仿宋" w:hAnsi="仿宋" w:eastAsia="仿宋"/>
          <w:color w:val="auto"/>
          <w:sz w:val="32"/>
          <w:szCs w:val="32"/>
        </w:rPr>
        <w:t>20</w:t>
      </w:r>
      <w:r>
        <w:rPr>
          <w:rFonts w:hint="eastAsia" w:ascii="仿宋" w:hAnsi="仿宋" w:eastAsia="仿宋"/>
          <w:color w:val="auto"/>
          <w:sz w:val="32"/>
          <w:szCs w:val="32"/>
        </w:rPr>
        <w:t>22年财政拨款收、支总计</w:t>
      </w:r>
      <w:r>
        <w:rPr>
          <w:rFonts w:hint="eastAsia" w:ascii="仿宋" w:hAnsi="仿宋" w:eastAsia="仿宋"/>
          <w:color w:val="auto"/>
          <w:sz w:val="32"/>
          <w:szCs w:val="32"/>
          <w:lang w:val="en-US" w:eastAsia="zh-CN"/>
        </w:rPr>
        <w:t>8813.45</w:t>
      </w:r>
      <w:r>
        <w:rPr>
          <w:rFonts w:hint="eastAsia" w:ascii="仿宋" w:hAnsi="仿宋" w:eastAsia="仿宋"/>
          <w:color w:val="auto"/>
          <w:sz w:val="32"/>
          <w:szCs w:val="32"/>
        </w:rPr>
        <w:t>万元。与</w:t>
      </w:r>
      <w:r>
        <w:rPr>
          <w:rFonts w:ascii="仿宋" w:hAnsi="仿宋" w:eastAsia="仿宋"/>
          <w:color w:val="auto"/>
          <w:sz w:val="32"/>
          <w:szCs w:val="32"/>
        </w:rPr>
        <w:t>20</w:t>
      </w:r>
      <w:r>
        <w:rPr>
          <w:rFonts w:hint="eastAsia" w:ascii="仿宋" w:hAnsi="仿宋" w:eastAsia="仿宋"/>
          <w:color w:val="auto"/>
          <w:sz w:val="32"/>
          <w:szCs w:val="32"/>
        </w:rPr>
        <w:t>21年相比，财政拨款收、支总计各减少</w:t>
      </w:r>
      <w:r>
        <w:rPr>
          <w:rFonts w:hint="eastAsia" w:ascii="仿宋" w:hAnsi="仿宋" w:eastAsia="仿宋"/>
          <w:color w:val="auto"/>
          <w:sz w:val="32"/>
          <w:szCs w:val="32"/>
          <w:lang w:val="en-US" w:eastAsia="zh-CN"/>
        </w:rPr>
        <w:t>108.24</w:t>
      </w:r>
      <w:r>
        <w:rPr>
          <w:rFonts w:hint="eastAsia" w:ascii="仿宋" w:hAnsi="仿宋" w:eastAsia="仿宋"/>
          <w:color w:val="auto"/>
          <w:sz w:val="32"/>
          <w:szCs w:val="32"/>
        </w:rPr>
        <w:t>万元，下降</w:t>
      </w:r>
      <w:r>
        <w:rPr>
          <w:rFonts w:hint="eastAsia" w:ascii="仿宋" w:hAnsi="仿宋" w:eastAsia="仿宋"/>
          <w:color w:val="auto"/>
          <w:sz w:val="32"/>
          <w:szCs w:val="32"/>
          <w:lang w:val="en-US" w:eastAsia="zh-CN"/>
        </w:rPr>
        <w:t>1.21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_GB2312" w:hAnsi="仿宋_GB2312" w:eastAsia="仿宋_GB2312" w:cs="仿宋_GB2312"/>
          <w:b w:val="0"/>
          <w:bCs w:val="0"/>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受疫情及部分享受定补退役军人死亡的影响，部分项目预算减少。</w:t>
      </w:r>
    </w:p>
    <w:p>
      <w:pPr>
        <w:pStyle w:val="2"/>
        <w:rPr>
          <w:rFonts w:hint="eastAsia"/>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7"/>
          <w:rFonts w:ascii="黑体" w:hAnsi="黑体" w:eastAsia="黑体"/>
          <w:b w:val="0"/>
          <w:color w:val="auto"/>
        </w:rPr>
      </w:pPr>
      <w:bookmarkStart w:id="28" w:name="_Toc15396607"/>
      <w:bookmarkStart w:id="29"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17"/>
          <w:rFonts w:hint="eastAsia" w:ascii="黑体" w:hAnsi="黑体" w:eastAsia="黑体"/>
          <w:b w:val="0"/>
          <w:color w:val="auto"/>
        </w:rPr>
        <w:t>般公共预算财政拨款支出决算情况说明</w:t>
      </w:r>
      <w:bookmarkEnd w:id="28"/>
      <w:bookmarkEnd w:id="29"/>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30" w:name="_Toc15377210"/>
      <w:r>
        <w:rPr>
          <w:rFonts w:hint="eastAsia" w:ascii="楷体_GB2312" w:hAnsi="楷体_GB2312" w:eastAsia="楷体_GB2312" w:cs="楷体_GB2312"/>
          <w:b w:val="0"/>
          <w:bCs/>
          <w:color w:val="auto"/>
          <w:sz w:val="32"/>
          <w:szCs w:val="32"/>
        </w:rPr>
        <w:t>（一）一般公共预算财政拨款支出决算总体情况</w:t>
      </w:r>
      <w:bookmarkEnd w:id="30"/>
    </w:p>
    <w:p>
      <w:pPr>
        <w:spacing w:line="600" w:lineRule="exact"/>
        <w:ind w:firstLine="640" w:firstLineChars="200"/>
        <w:rPr>
          <w:rFonts w:hint="eastAsia" w:ascii="仿宋" w:hAnsi="仿宋" w:eastAsia="仿宋"/>
          <w:color w:val="0000FF"/>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8121.25</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98.17</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21年相比，一般公共预算财政拨款支出增加</w:t>
      </w:r>
      <w:r>
        <w:rPr>
          <w:rFonts w:hint="eastAsia" w:ascii="仿宋" w:hAnsi="仿宋" w:eastAsia="仿宋"/>
          <w:color w:val="auto"/>
          <w:sz w:val="32"/>
          <w:szCs w:val="32"/>
          <w:lang w:val="en-US" w:eastAsia="zh-CN"/>
        </w:rPr>
        <w:t>19.93</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0.25</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部分项目政策性调标造成预算增加。</w:t>
      </w:r>
    </w:p>
    <w:p>
      <w:pPr>
        <w:pStyle w:val="2"/>
        <w:rPr>
          <w:rFonts w:hint="eastAsia"/>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31" w:name="_Toc15377211"/>
      <w:r>
        <w:rPr>
          <w:rFonts w:hint="eastAsia" w:ascii="楷体_GB2312" w:hAnsi="楷体_GB2312" w:eastAsia="楷体_GB2312" w:cs="楷体_GB2312"/>
          <w:b w:val="0"/>
          <w:bCs/>
          <w:color w:val="auto"/>
          <w:sz w:val="32"/>
          <w:szCs w:val="32"/>
        </w:rPr>
        <w:t>（二）一般公共预算财政拨款支出决算结构情况</w:t>
      </w:r>
      <w:bookmarkEnd w:id="31"/>
    </w:p>
    <w:p>
      <w:pPr>
        <w:spacing w:line="600" w:lineRule="exact"/>
        <w:ind w:firstLine="640"/>
        <w:rPr>
          <w:rFonts w:ascii="仿宋" w:hAnsi="仿宋" w:eastAsia="仿宋"/>
          <w:b w:val="0"/>
          <w:bCs w:val="0"/>
          <w:color w:val="0000FF"/>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22年一般公共预算财政拨款支出</w:t>
      </w:r>
      <w:r>
        <w:rPr>
          <w:rFonts w:hint="eastAsia" w:ascii="仿宋" w:hAnsi="仿宋" w:eastAsia="仿宋"/>
          <w:b w:val="0"/>
          <w:bCs w:val="0"/>
          <w:color w:val="auto"/>
          <w:sz w:val="32"/>
          <w:szCs w:val="32"/>
          <w:lang w:val="en-US" w:eastAsia="zh-CN"/>
        </w:rPr>
        <w:t>8121.25</w:t>
      </w:r>
      <w:r>
        <w:rPr>
          <w:rFonts w:hint="eastAsia" w:ascii="仿宋" w:hAnsi="仿宋" w:eastAsia="仿宋"/>
          <w:b w:val="0"/>
          <w:bCs w:val="0"/>
          <w:color w:val="auto"/>
          <w:sz w:val="32"/>
          <w:szCs w:val="32"/>
        </w:rPr>
        <w:t>万元，主要用于以下方面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一般公共服务支出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万元；教育支出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万元；科学技术支出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万元；文化旅游体育与传媒支出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万元；社会保障和就业支出</w:t>
      </w:r>
      <w:r>
        <w:rPr>
          <w:rFonts w:hint="eastAsia" w:ascii="仿宋" w:hAnsi="仿宋" w:eastAsia="仿宋"/>
          <w:b w:val="0"/>
          <w:bCs w:val="0"/>
          <w:color w:val="auto"/>
          <w:sz w:val="32"/>
          <w:szCs w:val="32"/>
          <w:lang w:val="en-US" w:eastAsia="zh-CN"/>
        </w:rPr>
        <w:t>8027.65</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98.85</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w:t>
      </w:r>
      <w:r>
        <w:rPr>
          <w:rFonts w:hint="eastAsia" w:ascii="仿宋" w:hAnsi="仿宋" w:eastAsia="仿宋"/>
          <w:b w:val="0"/>
          <w:bCs w:val="0"/>
          <w:color w:val="auto"/>
          <w:sz w:val="32"/>
          <w:szCs w:val="32"/>
          <w:lang w:val="en-US" w:eastAsia="zh-CN"/>
        </w:rPr>
        <w:t>55.60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0.68</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w:t>
      </w:r>
      <w:r>
        <w:rPr>
          <w:rFonts w:hint="eastAsia" w:ascii="仿宋" w:hAnsi="仿宋" w:eastAsia="仿宋"/>
          <w:b w:val="0"/>
          <w:bCs w:val="0"/>
          <w:color w:val="auto"/>
          <w:sz w:val="32"/>
          <w:szCs w:val="32"/>
          <w:lang w:val="en-US" w:eastAsia="zh-CN"/>
        </w:rPr>
        <w:t>38.00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0.47</w:t>
      </w:r>
      <w:r>
        <w:rPr>
          <w:rFonts w:ascii="仿宋" w:hAnsi="仿宋" w:eastAsia="仿宋"/>
          <w:b w:val="0"/>
          <w:bCs w:val="0"/>
          <w:color w:val="auto"/>
          <w:sz w:val="32"/>
          <w:szCs w:val="32"/>
        </w:rPr>
        <w:t>%</w:t>
      </w:r>
      <w:r>
        <w:rPr>
          <w:rFonts w:hint="eastAsia" w:ascii="仿宋" w:hAnsi="仿宋" w:eastAsia="仿宋"/>
          <w:b w:val="0"/>
          <w:bCs w:val="0"/>
          <w:color w:val="auto"/>
          <w:sz w:val="32"/>
          <w:szCs w:val="32"/>
        </w:rPr>
        <w:t>。</w:t>
      </w:r>
    </w:p>
    <w:p>
      <w:pPr>
        <w:pStyle w:val="2"/>
      </w:pPr>
      <w:r>
        <w:drawing>
          <wp:inline distT="0" distB="0" distL="114300" distR="114300">
            <wp:extent cx="4572000" cy="2743200"/>
            <wp:effectExtent l="4445" t="4445" r="14605" b="1460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32" w:name="_Toc15377212"/>
      <w:r>
        <w:rPr>
          <w:rFonts w:hint="eastAsia" w:ascii="楷体_GB2312" w:hAnsi="楷体_GB2312" w:eastAsia="楷体_GB2312" w:cs="楷体_GB2312"/>
          <w:b w:val="0"/>
          <w:bCs/>
          <w:color w:val="auto"/>
          <w:sz w:val="32"/>
          <w:szCs w:val="32"/>
        </w:rPr>
        <w:t>（三）一般公共预算财政拨款支出决算具体情况</w:t>
      </w:r>
      <w:bookmarkEnd w:id="32"/>
    </w:p>
    <w:p>
      <w:pPr>
        <w:spacing w:line="600" w:lineRule="exact"/>
        <w:ind w:firstLine="643" w:firstLineChars="200"/>
        <w:outlineLvl w:val="2"/>
        <w:rPr>
          <w:rFonts w:ascii="仿宋" w:hAnsi="仿宋" w:eastAsia="仿宋"/>
          <w:color w:val="auto"/>
          <w:sz w:val="32"/>
          <w:szCs w:val="32"/>
        </w:rPr>
      </w:pPr>
      <w:bookmarkStart w:id="33" w:name="_Toc15377213"/>
      <w:bookmarkStart w:id="34" w:name="_Toc15377444"/>
      <w:bookmarkStart w:id="35" w:name="_Toc15378460"/>
      <w:r>
        <w:rPr>
          <w:rFonts w:hint="eastAsia" w:ascii="仿宋" w:hAnsi="仿宋" w:eastAsia="仿宋"/>
          <w:b/>
          <w:color w:val="auto"/>
          <w:sz w:val="32"/>
          <w:szCs w:val="32"/>
        </w:rPr>
        <w:t>2022年一般公共预算支出决算数为</w:t>
      </w:r>
      <w:r>
        <w:rPr>
          <w:rFonts w:hint="eastAsia" w:ascii="仿宋" w:hAnsi="仿宋" w:eastAsia="仿宋"/>
          <w:color w:val="auto"/>
          <w:sz w:val="32"/>
          <w:szCs w:val="32"/>
          <w:lang w:val="en-US" w:eastAsia="zh-CN"/>
        </w:rPr>
        <w:t>8121.25万元</w:t>
      </w:r>
      <w:r>
        <w:rPr>
          <w:rFonts w:hint="eastAsia" w:ascii="仿宋" w:hAnsi="仿宋" w:eastAsia="仿宋"/>
          <w:color w:val="auto"/>
          <w:sz w:val="32"/>
          <w:szCs w:val="32"/>
        </w:rPr>
        <w:t>，</w:t>
      </w:r>
      <w:r>
        <w:rPr>
          <w:rStyle w:val="14"/>
          <w:rFonts w:hint="eastAsia" w:ascii="仿宋" w:hAnsi="仿宋" w:eastAsia="仿宋"/>
          <w:bCs/>
          <w:color w:val="auto"/>
          <w:sz w:val="32"/>
          <w:szCs w:val="32"/>
        </w:rPr>
        <w:t>完成预算</w:t>
      </w:r>
      <w:r>
        <w:rPr>
          <w:rStyle w:val="14"/>
          <w:rFonts w:hint="eastAsia" w:ascii="仿宋" w:hAnsi="仿宋" w:eastAsia="仿宋"/>
          <w:bCs/>
          <w:color w:val="auto"/>
          <w:sz w:val="32"/>
          <w:szCs w:val="32"/>
          <w:lang w:val="en-US" w:eastAsia="zh-CN"/>
        </w:rPr>
        <w:t>100</w:t>
      </w:r>
      <w:r>
        <w:rPr>
          <w:rStyle w:val="14"/>
          <w:rFonts w:ascii="仿宋" w:hAnsi="仿宋" w:eastAsia="仿宋"/>
          <w:bCs/>
          <w:color w:val="auto"/>
          <w:sz w:val="32"/>
          <w:szCs w:val="32"/>
        </w:rPr>
        <w:t>%</w:t>
      </w:r>
      <w:r>
        <w:rPr>
          <w:rStyle w:val="14"/>
          <w:rFonts w:hint="eastAsia" w:ascii="仿宋" w:hAnsi="仿宋" w:eastAsia="仿宋"/>
          <w:bCs/>
          <w:color w:val="auto"/>
          <w:sz w:val="32"/>
          <w:szCs w:val="32"/>
        </w:rPr>
        <w:t>。其中：</w:t>
      </w:r>
      <w:bookmarkEnd w:id="33"/>
      <w:bookmarkEnd w:id="34"/>
      <w:bookmarkEnd w:id="35"/>
    </w:p>
    <w:p>
      <w:pPr>
        <w:pageBreakBefore w:val="0"/>
        <w:numPr>
          <w:ilvl w:val="0"/>
          <w:numId w:val="0"/>
        </w:numPr>
        <w:kinsoku/>
        <w:wordWrap/>
        <w:overflowPunct/>
        <w:topLinePunct w:val="0"/>
        <w:bidi w:val="0"/>
        <w:spacing w:line="600" w:lineRule="exact"/>
        <w:ind w:firstLine="640" w:firstLineChars="20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1.</w:t>
      </w:r>
      <w:r>
        <w:rPr>
          <w:rStyle w:val="14"/>
          <w:rFonts w:hint="eastAsia" w:ascii="仿宋_GB2312" w:hAnsi="仿宋_GB2312" w:eastAsia="仿宋_GB2312" w:cs="仿宋_GB2312"/>
          <w:b w:val="0"/>
          <w:bCs/>
          <w:color w:val="auto"/>
          <w:sz w:val="32"/>
          <w:szCs w:val="32"/>
          <w:highlight w:val="none"/>
        </w:rPr>
        <w:t>社会保障和就业（类）支出决算为</w:t>
      </w:r>
      <w:r>
        <w:rPr>
          <w:rStyle w:val="14"/>
          <w:rFonts w:hint="eastAsia" w:ascii="仿宋_GB2312" w:hAnsi="仿宋_GB2312" w:eastAsia="仿宋_GB2312" w:cs="仿宋_GB2312"/>
          <w:b w:val="0"/>
          <w:bCs/>
          <w:color w:val="auto"/>
          <w:sz w:val="32"/>
          <w:szCs w:val="32"/>
          <w:highlight w:val="none"/>
          <w:lang w:val="en-US" w:eastAsia="zh-CN"/>
        </w:rPr>
        <w:t>8027.65</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其中</w:t>
      </w:r>
      <w:r>
        <w:rPr>
          <w:rStyle w:val="14"/>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color w:val="auto"/>
          <w:spacing w:val="0"/>
          <w:position w:val="0"/>
          <w:sz w:val="30"/>
          <w:szCs w:val="30"/>
          <w:highlight w:val="none"/>
          <w:shd w:val="clear" w:color="auto" w:fill="auto"/>
          <w:lang w:val="en-US" w:eastAsia="zh-CN"/>
        </w:rPr>
      </w:pPr>
      <w:r>
        <w:rPr>
          <w:rStyle w:val="14"/>
          <w:rFonts w:hint="eastAsia" w:ascii="仿宋_GB2312" w:hAnsi="仿宋_GB2312" w:eastAsia="仿宋_GB2312" w:cs="仿宋_GB2312"/>
          <w:b w:val="0"/>
          <w:bCs/>
          <w:color w:val="auto"/>
          <w:sz w:val="32"/>
          <w:szCs w:val="32"/>
          <w:highlight w:val="none"/>
          <w:lang w:val="en-US" w:eastAsia="zh-CN"/>
        </w:rPr>
        <w:t>2080505（机关事业单位基本养老保险缴费支出）决算数为28.14万元；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2080506（机关事业单位职业年金缴费支出）决算数为14.08万元；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2082801（行政运行）决算数为168.18万元；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color w:val="auto"/>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 xml:space="preserve">2082802（一般行政管理事务）决算数为427.67万元；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2082850（事业运行）决算数为99.24万元；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4"/>
          <w:rFonts w:hint="default"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2082899（其他退役军人事务管理支出）决算数为170.25万元；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color w:val="auto"/>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2089999（其他社会保障和就业支出）决算数为7120.09万元；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2.卫生健康（类）支出决算为55.60万元，完成预算100%。其中：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2101101（行政单位医疗）决算数为4.66万元；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2101102（事业单位医疗）决算数为6.92万元；</w:t>
      </w:r>
    </w:p>
    <w:p>
      <w:pPr>
        <w:pStyle w:val="2"/>
        <w:jc w:val="both"/>
        <w:rPr>
          <w:rFonts w:hint="default"/>
          <w:color w:val="auto"/>
          <w:highlight w:val="yellow"/>
          <w:lang w:val="en-US" w:eastAsia="zh-CN"/>
        </w:rPr>
      </w:pPr>
      <w:r>
        <w:rPr>
          <w:rStyle w:val="14"/>
          <w:rFonts w:hint="eastAsia" w:ascii="仿宋_GB2312" w:hAnsi="仿宋_GB2312" w:eastAsia="仿宋_GB2312" w:cs="仿宋_GB2312"/>
          <w:b w:val="0"/>
          <w:bCs/>
          <w:color w:val="auto"/>
          <w:sz w:val="32"/>
          <w:szCs w:val="32"/>
          <w:highlight w:val="none"/>
          <w:lang w:val="en-US" w:eastAsia="zh-CN"/>
        </w:rPr>
        <w:t xml:space="preserve">    2109901（其他卫生健康支出）决算数为44.02万元；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rPr>
          <w:rStyle w:val="14"/>
          <w:rFonts w:hint="eastAsia"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lang w:val="en-US" w:eastAsia="zh-CN"/>
        </w:rPr>
        <w:t>3.住房保障（类）支出决算为38.00万元，完成预算100%。</w:t>
      </w:r>
    </w:p>
    <w:p>
      <w:pPr>
        <w:pStyle w:val="2"/>
        <w:numPr>
          <w:ilvl w:val="0"/>
          <w:numId w:val="0"/>
        </w:numPr>
        <w:jc w:val="both"/>
        <w:rPr>
          <w:rStyle w:val="14"/>
          <w:rFonts w:hint="eastAsia" w:ascii="仿宋_GB2312" w:hAnsi="仿宋_GB2312" w:eastAsia="仿宋_GB2312" w:cs="仿宋_GB2312"/>
          <w:b w:val="0"/>
          <w:bCs/>
          <w:color w:val="auto"/>
          <w:kern w:val="2"/>
          <w:sz w:val="32"/>
          <w:szCs w:val="32"/>
          <w:highlight w:val="none"/>
          <w:lang w:val="en-US" w:eastAsia="zh-CN" w:bidi="ar-SA"/>
        </w:rPr>
      </w:pPr>
      <w:r>
        <w:rPr>
          <w:rStyle w:val="14"/>
          <w:rFonts w:hint="eastAsia" w:ascii="仿宋_GB2312" w:hAnsi="仿宋_GB2312" w:eastAsia="仿宋_GB2312" w:cs="仿宋_GB2312"/>
          <w:b w:val="0"/>
          <w:bCs/>
          <w:color w:val="auto"/>
          <w:kern w:val="2"/>
          <w:sz w:val="32"/>
          <w:szCs w:val="32"/>
          <w:highlight w:val="none"/>
          <w:lang w:val="en-US" w:eastAsia="zh-CN" w:bidi="ar-SA"/>
        </w:rPr>
        <w:t>其中：</w:t>
      </w:r>
    </w:p>
    <w:p>
      <w:pPr>
        <w:pStyle w:val="2"/>
        <w:numPr>
          <w:ilvl w:val="0"/>
          <w:numId w:val="0"/>
        </w:numPr>
        <w:ind w:firstLine="640" w:firstLineChars="200"/>
        <w:jc w:val="both"/>
        <w:rPr>
          <w:rFonts w:ascii="仿宋" w:hAnsi="仿宋" w:eastAsia="仿宋"/>
          <w:b/>
          <w:color w:val="0000FF"/>
          <w:sz w:val="32"/>
          <w:szCs w:val="32"/>
        </w:rPr>
      </w:pPr>
      <w:r>
        <w:rPr>
          <w:rStyle w:val="14"/>
          <w:rFonts w:hint="eastAsia" w:ascii="仿宋_GB2312" w:hAnsi="仿宋_GB2312" w:eastAsia="仿宋_GB2312" w:cs="仿宋_GB2312"/>
          <w:b w:val="0"/>
          <w:bCs/>
          <w:color w:val="auto"/>
          <w:kern w:val="2"/>
          <w:sz w:val="32"/>
          <w:szCs w:val="32"/>
          <w:highlight w:val="none"/>
          <w:lang w:val="en-US" w:eastAsia="zh-CN" w:bidi="ar-SA"/>
        </w:rPr>
        <w:t>2210201（住房公积金）决算数为38.00万元。</w:t>
      </w:r>
    </w:p>
    <w:p>
      <w:pPr>
        <w:tabs>
          <w:tab w:val="right" w:pos="8306"/>
        </w:tabs>
        <w:spacing w:line="600" w:lineRule="exact"/>
        <w:ind w:firstLine="640"/>
        <w:outlineLvl w:val="1"/>
        <w:rPr>
          <w:rStyle w:val="17"/>
          <w:color w:val="auto"/>
        </w:rPr>
      </w:pPr>
      <w:bookmarkStart w:id="36" w:name="_Toc15377214"/>
      <w:bookmarkStart w:id="37"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17"/>
          <w:rFonts w:hint="eastAsia" w:ascii="黑体" w:hAnsi="黑体" w:eastAsia="黑体"/>
          <w:b w:val="0"/>
          <w:color w:val="auto"/>
        </w:rPr>
        <w:t>般公共预算财政拨款基本支出决算情况说明</w:t>
      </w:r>
      <w:bookmarkEnd w:id="36"/>
      <w:bookmarkEnd w:id="37"/>
      <w:r>
        <w:rPr>
          <w:rStyle w:val="17"/>
          <w:rFonts w:ascii="黑体" w:hAnsi="黑体" w:eastAsia="黑体"/>
          <w:b w:val="0"/>
          <w:color w:val="auto"/>
        </w:rPr>
        <w:tab/>
      </w:r>
    </w:p>
    <w:p>
      <w:pPr>
        <w:spacing w:line="600" w:lineRule="exact"/>
        <w:ind w:firstLine="645"/>
        <w:rPr>
          <w:rFonts w:ascii="仿宋" w:hAnsi="仿宋" w:eastAsia="仿宋"/>
          <w:b w:val="0"/>
          <w:bCs w:val="0"/>
          <w:color w:val="auto"/>
          <w:sz w:val="32"/>
          <w:szCs w:val="32"/>
        </w:rPr>
      </w:pPr>
      <w:r>
        <w:rPr>
          <w:rFonts w:ascii="仿宋" w:hAnsi="仿宋" w:eastAsia="仿宋"/>
          <w:b w:val="0"/>
          <w:bCs w:val="0"/>
          <w:color w:val="auto"/>
          <w:sz w:val="32"/>
          <w:szCs w:val="32"/>
        </w:rPr>
        <w:t>20</w:t>
      </w:r>
      <w:r>
        <w:rPr>
          <w:rFonts w:hint="eastAsia" w:ascii="仿宋" w:hAnsi="仿宋" w:eastAsia="仿宋"/>
          <w:b w:val="0"/>
          <w:bCs w:val="0"/>
          <w:color w:val="auto"/>
          <w:sz w:val="32"/>
          <w:szCs w:val="32"/>
        </w:rPr>
        <w:t>22年一般公共预算财政拨款基本支出</w:t>
      </w:r>
      <w:r>
        <w:rPr>
          <w:rFonts w:hint="eastAsia" w:ascii="仿宋" w:hAnsi="仿宋" w:eastAsia="仿宋"/>
          <w:b w:val="0"/>
          <w:bCs w:val="0"/>
          <w:color w:val="auto"/>
          <w:sz w:val="32"/>
          <w:szCs w:val="32"/>
          <w:lang w:val="en-US" w:eastAsia="zh-CN"/>
        </w:rPr>
        <w:t>556.93</w:t>
      </w:r>
      <w:r>
        <w:rPr>
          <w:rFonts w:hint="eastAsia" w:ascii="仿宋" w:hAnsi="仿宋" w:eastAsia="仿宋"/>
          <w:b w:val="0"/>
          <w:bCs w:val="0"/>
          <w:color w:val="auto"/>
          <w:sz w:val="32"/>
          <w:szCs w:val="32"/>
        </w:rPr>
        <w:t>万元，其中：</w:t>
      </w:r>
    </w:p>
    <w:p>
      <w:pPr>
        <w:spacing w:line="600" w:lineRule="exact"/>
        <w:ind w:firstLine="640"/>
        <w:rPr>
          <w:rFonts w:ascii="仿宋" w:hAnsi="仿宋" w:eastAsia="仿宋"/>
          <w:b w:val="0"/>
          <w:bCs w:val="0"/>
          <w:color w:val="0000FF"/>
          <w:sz w:val="32"/>
          <w:szCs w:val="32"/>
        </w:rPr>
      </w:pPr>
      <w:r>
        <w:rPr>
          <w:rFonts w:hint="eastAsia" w:ascii="仿宋_GB2312" w:hAnsi="仿宋_GB2312" w:eastAsia="仿宋_GB2312" w:cs="仿宋_GB2312"/>
          <w:b w:val="0"/>
          <w:bCs w:val="0"/>
          <w:color w:val="auto"/>
          <w:sz w:val="32"/>
          <w:szCs w:val="32"/>
          <w:highlight w:val="none"/>
        </w:rPr>
        <w:t>人员经费</w:t>
      </w:r>
      <w:r>
        <w:rPr>
          <w:rFonts w:hint="eastAsia" w:ascii="仿宋_GB2312" w:hAnsi="仿宋_GB2312" w:eastAsia="仿宋_GB2312" w:cs="仿宋_GB2312"/>
          <w:b w:val="0"/>
          <w:bCs w:val="0"/>
          <w:color w:val="auto"/>
          <w:sz w:val="32"/>
          <w:szCs w:val="32"/>
          <w:highlight w:val="none"/>
          <w:lang w:val="en-US" w:eastAsia="zh-CN"/>
        </w:rPr>
        <w:t>485.40</w:t>
      </w:r>
      <w:r>
        <w:rPr>
          <w:rFonts w:hint="eastAsia" w:ascii="仿宋_GB2312" w:hAnsi="仿宋_GB2312" w:eastAsia="仿宋_GB2312" w:cs="仿宋_GB2312"/>
          <w:b w:val="0"/>
          <w:bCs w:val="0"/>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auto"/>
          <w:sz w:val="32"/>
          <w:szCs w:val="32"/>
          <w:highlight w:val="none"/>
        </w:rPr>
        <w:br w:type="textWrapping"/>
      </w:r>
      <w:r>
        <w:rPr>
          <w:rFonts w:hint="eastAsia" w:ascii="仿宋_GB2312" w:hAnsi="仿宋_GB2312" w:eastAsia="仿宋_GB2312" w:cs="仿宋_GB2312"/>
          <w:b w:val="0"/>
          <w:bCs w:val="0"/>
          <w:color w:val="auto"/>
          <w:sz w:val="32"/>
          <w:szCs w:val="32"/>
          <w:highlight w:val="none"/>
        </w:rPr>
        <w:t>　　公用经费</w:t>
      </w:r>
      <w:r>
        <w:rPr>
          <w:rFonts w:hint="eastAsia" w:ascii="仿宋_GB2312" w:hAnsi="仿宋_GB2312" w:eastAsia="仿宋_GB2312" w:cs="仿宋_GB2312"/>
          <w:b w:val="0"/>
          <w:bCs w:val="0"/>
          <w:color w:val="auto"/>
          <w:sz w:val="32"/>
          <w:szCs w:val="32"/>
          <w:highlight w:val="none"/>
          <w:lang w:val="en-US" w:eastAsia="zh-CN"/>
        </w:rPr>
        <w:t>71.53</w:t>
      </w:r>
      <w:r>
        <w:rPr>
          <w:rFonts w:hint="eastAsia" w:ascii="仿宋_GB2312" w:hAnsi="仿宋_GB2312" w:eastAsia="仿宋_GB2312" w:cs="仿宋_GB2312"/>
          <w:b w:val="0"/>
          <w:bCs w:val="0"/>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w:t>
      </w:r>
      <w:r>
        <w:rPr>
          <w:rFonts w:hint="eastAsia" w:ascii="仿宋_GB2312" w:hAnsi="仿宋_GB2312" w:eastAsia="仿宋_GB2312" w:cs="仿宋_GB2312"/>
          <w:b w:val="0"/>
          <w:bCs w:val="0"/>
          <w:sz w:val="32"/>
          <w:szCs w:val="32"/>
          <w:highlight w:val="none"/>
        </w:rPr>
        <w:t>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ascii="黑体" w:hAnsi="黑体" w:eastAsia="黑体"/>
          <w:b w:val="0"/>
          <w:color w:val="auto"/>
        </w:rPr>
      </w:pPr>
      <w:bookmarkStart w:id="38" w:name="_Toc15396609"/>
      <w:bookmarkStart w:id="39" w:name="_Toc15377215"/>
      <w:r>
        <w:rPr>
          <w:rFonts w:hint="eastAsia" w:ascii="黑体" w:eastAsia="黑体"/>
          <w:color w:val="auto"/>
          <w:sz w:val="32"/>
          <w:szCs w:val="32"/>
        </w:rPr>
        <w:t>七、</w:t>
      </w:r>
      <w:r>
        <w:rPr>
          <w:rStyle w:val="17"/>
          <w:rFonts w:hint="eastAsia" w:ascii="黑体" w:hAnsi="黑体" w:eastAsia="黑体"/>
          <w:b w:val="0"/>
          <w:color w:val="auto"/>
        </w:rPr>
        <w:t>财政拨款</w:t>
      </w:r>
      <w:r>
        <w:rPr>
          <w:rStyle w:val="17"/>
          <w:rFonts w:hint="eastAsia" w:ascii="黑体" w:hAnsi="黑体" w:eastAsia="黑体"/>
          <w:color w:val="auto"/>
        </w:rPr>
        <w:t>“</w:t>
      </w:r>
      <w:r>
        <w:rPr>
          <w:rStyle w:val="17"/>
          <w:rFonts w:hint="eastAsia" w:ascii="黑体" w:hAnsi="黑体" w:eastAsia="黑体"/>
          <w:b w:val="0"/>
          <w:color w:val="auto"/>
        </w:rPr>
        <w:t>三公”经费支出决算情况说明</w:t>
      </w:r>
      <w:bookmarkEnd w:id="38"/>
      <w:bookmarkEnd w:id="39"/>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40" w:name="_Toc15377216"/>
      <w:r>
        <w:rPr>
          <w:rFonts w:hint="eastAsia" w:ascii="楷体_GB2312" w:hAnsi="楷体_GB2312" w:eastAsia="楷体_GB2312" w:cs="楷体_GB2312"/>
          <w:b w:val="0"/>
          <w:bCs/>
          <w:color w:val="auto"/>
          <w:sz w:val="32"/>
          <w:szCs w:val="32"/>
        </w:rPr>
        <w:t>（一）“三公”经费财政拨款支出决算总体情况说明</w:t>
      </w:r>
      <w:bookmarkEnd w:id="40"/>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5.95</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96.59</w:t>
      </w:r>
      <w:r>
        <w:rPr>
          <w:rFonts w:ascii="仿宋" w:hAnsi="仿宋" w:eastAsia="仿宋"/>
          <w:color w:val="auto"/>
          <w:sz w:val="32"/>
          <w:szCs w:val="32"/>
        </w:rPr>
        <w:t>%</w:t>
      </w:r>
      <w:r>
        <w:rPr>
          <w:rFonts w:hint="eastAsia" w:ascii="仿宋" w:hAnsi="仿宋" w:eastAsia="仿宋"/>
          <w:color w:val="auto"/>
          <w:sz w:val="32"/>
          <w:szCs w:val="32"/>
        </w:rPr>
        <w:t>，较上年增加</w:t>
      </w:r>
      <w:r>
        <w:rPr>
          <w:rFonts w:hint="eastAsia" w:ascii="仿宋" w:hAnsi="仿宋" w:eastAsia="仿宋"/>
          <w:color w:val="auto"/>
          <w:sz w:val="32"/>
          <w:szCs w:val="32"/>
          <w:lang w:val="en-US" w:eastAsia="zh-CN"/>
        </w:rPr>
        <w:t>0.33</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5.87</w:t>
      </w:r>
      <w:r>
        <w:rPr>
          <w:rFonts w:hint="eastAsia" w:ascii="仿宋" w:hAnsi="仿宋" w:eastAsia="仿宋"/>
          <w:color w:val="auto"/>
          <w:sz w:val="32"/>
          <w:szCs w:val="32"/>
        </w:rPr>
        <w:t>%。决算数小于预算数的主要原因是</w:t>
      </w:r>
      <w:r>
        <w:rPr>
          <w:rFonts w:hint="eastAsia" w:ascii="仿宋" w:hAnsi="仿宋" w:eastAsia="仿宋"/>
          <w:color w:val="auto"/>
          <w:sz w:val="32"/>
          <w:szCs w:val="32"/>
          <w:lang w:eastAsia="zh-CN"/>
        </w:rPr>
        <w:t>公车维护和接待需求增加，但为</w:t>
      </w:r>
      <w:r>
        <w:rPr>
          <w:rFonts w:hint="eastAsia" w:ascii="仿宋_GB2312" w:hAnsi="仿宋_GB2312" w:eastAsia="仿宋_GB2312" w:cs="仿宋_GB2312"/>
          <w:b w:val="0"/>
          <w:bCs w:val="0"/>
          <w:color w:val="auto"/>
          <w:sz w:val="32"/>
          <w:szCs w:val="32"/>
          <w:highlight w:val="none"/>
          <w:lang w:eastAsia="zh-CN"/>
        </w:rPr>
        <w:t>严格执行国家严控三公经费政策，我部门尽力缩减三公经费开支</w:t>
      </w:r>
      <w:r>
        <w:rPr>
          <w:rFonts w:hint="eastAsia" w:ascii="仿宋" w:hAnsi="仿宋" w:eastAsia="仿宋"/>
          <w:color w:val="auto"/>
          <w:sz w:val="32"/>
          <w:szCs w:val="32"/>
        </w:rPr>
        <w:t>。</w:t>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41" w:name="_Toc15377217"/>
      <w:r>
        <w:rPr>
          <w:rFonts w:hint="eastAsia" w:ascii="楷体_GB2312" w:hAnsi="楷体_GB2312" w:eastAsia="楷体_GB2312" w:cs="楷体_GB2312"/>
          <w:b w:val="0"/>
          <w:bCs/>
          <w:color w:val="auto"/>
          <w:sz w:val="32"/>
          <w:szCs w:val="32"/>
        </w:rPr>
        <w:t>（二）“三公”经费财政拨款支出决算具体情况说明</w:t>
      </w:r>
      <w:bookmarkEnd w:id="41"/>
    </w:p>
    <w:p>
      <w:pPr>
        <w:spacing w:line="600"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22年“三公”经费财政拨款支出决算中，因公出国（境）费支出决算</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万元；公务用车购置及运行维护费支出决算</w:t>
      </w:r>
      <w:r>
        <w:rPr>
          <w:rFonts w:hint="eastAsia" w:ascii="仿宋" w:hAnsi="仿宋" w:eastAsia="仿宋"/>
          <w:color w:val="auto"/>
          <w:sz w:val="32"/>
          <w:szCs w:val="32"/>
          <w:lang w:val="en-US" w:eastAsia="zh-CN"/>
        </w:rPr>
        <w:t>5.86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98.49</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0.09</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1.51</w:t>
      </w:r>
      <w:r>
        <w:rPr>
          <w:rFonts w:ascii="仿宋" w:hAnsi="仿宋" w:eastAsia="仿宋"/>
          <w:color w:val="auto"/>
          <w:sz w:val="32"/>
          <w:szCs w:val="32"/>
        </w:rPr>
        <w:t>%</w:t>
      </w:r>
      <w:r>
        <w:rPr>
          <w:rFonts w:hint="eastAsia" w:ascii="仿宋" w:hAnsi="仿宋" w:eastAsia="仿宋"/>
          <w:color w:val="auto"/>
          <w:sz w:val="32"/>
          <w:szCs w:val="32"/>
        </w:rPr>
        <w:t>。具体情况如下：</w:t>
      </w:r>
    </w:p>
    <w:p>
      <w:pPr>
        <w:pStyle w:val="2"/>
        <w:rPr>
          <w:rFonts w:ascii="仿宋" w:hAnsi="仿宋" w:eastAsia="仿宋"/>
          <w:color w:val="0000FF"/>
          <w:sz w:val="32"/>
          <w:szCs w:val="32"/>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1.因公出国（境）经费支出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万元</w:t>
      </w:r>
      <w:r>
        <w:rPr>
          <w:rStyle w:val="14"/>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rPr>
        <w:t>全年安排因公出国（境）团组</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次，出国（境）</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人。因公出国（境）支出决算</w:t>
      </w:r>
      <w:r>
        <w:rPr>
          <w:rFonts w:hint="eastAsia" w:ascii="仿宋_GB2312" w:hAnsi="仿宋_GB2312" w:eastAsia="仿宋_GB2312" w:cs="仿宋_GB2312"/>
          <w:b w:val="0"/>
          <w:bCs/>
          <w:color w:val="auto"/>
          <w:sz w:val="32"/>
          <w:szCs w:val="32"/>
          <w:lang w:eastAsia="zh-CN"/>
        </w:rPr>
        <w:t>与</w:t>
      </w:r>
      <w:r>
        <w:rPr>
          <w:rFonts w:hint="eastAsia" w:ascii="仿宋_GB2312" w:hAnsi="仿宋_GB2312" w:eastAsia="仿宋_GB2312" w:cs="仿宋_GB2312"/>
          <w:b w:val="0"/>
          <w:bCs/>
          <w:color w:val="auto"/>
          <w:sz w:val="32"/>
          <w:szCs w:val="32"/>
        </w:rPr>
        <w:t>2021年</w:t>
      </w:r>
      <w:r>
        <w:rPr>
          <w:rFonts w:hint="eastAsia" w:ascii="仿宋_GB2312" w:hAnsi="仿宋_GB2312" w:eastAsia="仿宋_GB2312" w:cs="仿宋_GB2312"/>
          <w:b w:val="0"/>
          <w:bCs/>
          <w:color w:val="auto"/>
          <w:sz w:val="32"/>
          <w:szCs w:val="32"/>
          <w:lang w:eastAsia="zh-CN"/>
        </w:rPr>
        <w:t>一致</w:t>
      </w:r>
      <w:r>
        <w:rPr>
          <w:rFonts w:hint="eastAsia" w:ascii="仿宋_GB2312" w:hAnsi="仿宋_GB2312" w:eastAsia="仿宋_GB2312" w:cs="仿宋_GB2312"/>
          <w:b w:val="0"/>
          <w:bCs/>
          <w:color w:val="auto"/>
          <w:sz w:val="32"/>
          <w:szCs w:val="32"/>
        </w:rPr>
        <w:t>。</w:t>
      </w:r>
    </w:p>
    <w:p>
      <w:pPr>
        <w:spacing w:line="600" w:lineRule="exact"/>
        <w:ind w:firstLine="64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2.公务用车购置及运行维护费支出</w:t>
      </w:r>
      <w:r>
        <w:rPr>
          <w:rFonts w:hint="eastAsia" w:ascii="仿宋_GB2312" w:hAnsi="仿宋_GB2312" w:eastAsia="仿宋_GB2312" w:cs="仿宋_GB2312"/>
          <w:b w:val="0"/>
          <w:bCs/>
          <w:color w:val="auto"/>
          <w:sz w:val="32"/>
          <w:szCs w:val="32"/>
          <w:lang w:val="en-US" w:eastAsia="zh-CN"/>
        </w:rPr>
        <w:t>5.86</w:t>
      </w:r>
      <w:r>
        <w:rPr>
          <w:rFonts w:hint="eastAsia" w:ascii="仿宋_GB2312" w:hAnsi="仿宋_GB2312" w:eastAsia="仿宋_GB2312" w:cs="仿宋_GB2312"/>
          <w:b w:val="0"/>
          <w:bCs/>
          <w:color w:val="auto"/>
          <w:sz w:val="32"/>
          <w:szCs w:val="32"/>
        </w:rPr>
        <w:t>万元,</w:t>
      </w:r>
      <w:r>
        <w:rPr>
          <w:rStyle w:val="14"/>
          <w:rFonts w:hint="eastAsia" w:ascii="仿宋_GB2312" w:hAnsi="仿宋_GB2312" w:eastAsia="仿宋_GB2312" w:cs="仿宋_GB2312"/>
          <w:b w:val="0"/>
          <w:bCs/>
          <w:color w:val="auto"/>
          <w:sz w:val="32"/>
          <w:szCs w:val="32"/>
        </w:rPr>
        <w:t>完成预算</w:t>
      </w:r>
      <w:r>
        <w:rPr>
          <w:rStyle w:val="14"/>
          <w:rFonts w:hint="eastAsia" w:ascii="仿宋_GB2312" w:hAnsi="仿宋_GB2312" w:eastAsia="仿宋_GB2312" w:cs="仿宋_GB2312"/>
          <w:b w:val="0"/>
          <w:bCs/>
          <w:color w:val="auto"/>
          <w:sz w:val="32"/>
          <w:szCs w:val="32"/>
          <w:lang w:val="en-US" w:eastAsia="zh-CN"/>
        </w:rPr>
        <w:t>98.99</w:t>
      </w:r>
      <w:r>
        <w:rPr>
          <w:rStyle w:val="14"/>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rPr>
        <w:t>公务用车购置及运行维护费支出决算比2021年增加</w:t>
      </w:r>
      <w:r>
        <w:rPr>
          <w:rFonts w:hint="eastAsia" w:ascii="仿宋_GB2312" w:hAnsi="仿宋_GB2312" w:eastAsia="仿宋_GB2312" w:cs="仿宋_GB2312"/>
          <w:b w:val="0"/>
          <w:bCs/>
          <w:color w:val="auto"/>
          <w:sz w:val="32"/>
          <w:szCs w:val="32"/>
          <w:lang w:val="en-US" w:eastAsia="zh-CN"/>
        </w:rPr>
        <w:t>0.48</w:t>
      </w:r>
      <w:r>
        <w:rPr>
          <w:rFonts w:hint="eastAsia" w:ascii="仿宋_GB2312" w:hAnsi="仿宋_GB2312" w:eastAsia="仿宋_GB2312" w:cs="仿宋_GB2312"/>
          <w:b w:val="0"/>
          <w:bCs/>
          <w:color w:val="auto"/>
          <w:sz w:val="32"/>
          <w:szCs w:val="32"/>
        </w:rPr>
        <w:t>万元，增长</w:t>
      </w:r>
      <w:r>
        <w:rPr>
          <w:rFonts w:hint="eastAsia" w:ascii="仿宋_GB2312" w:hAnsi="仿宋_GB2312" w:eastAsia="仿宋_GB2312" w:cs="仿宋_GB2312"/>
          <w:b w:val="0"/>
          <w:bCs/>
          <w:color w:val="auto"/>
          <w:sz w:val="32"/>
          <w:szCs w:val="32"/>
          <w:lang w:val="en-US" w:eastAsia="zh-CN"/>
        </w:rPr>
        <w:t>8.92</w:t>
      </w:r>
      <w:r>
        <w:rPr>
          <w:rFonts w:hint="eastAsia" w:ascii="仿宋_GB2312" w:hAnsi="仿宋_GB2312" w:eastAsia="仿宋_GB2312" w:cs="仿宋_GB2312"/>
          <w:b w:val="0"/>
          <w:bCs/>
          <w:color w:val="auto"/>
          <w:sz w:val="32"/>
          <w:szCs w:val="32"/>
        </w:rPr>
        <w:t>%。主要原因是</w:t>
      </w:r>
      <w:r>
        <w:rPr>
          <w:rFonts w:hint="eastAsia" w:ascii="仿宋_GB2312" w:hAnsi="仿宋_GB2312" w:eastAsia="仿宋_GB2312" w:cs="仿宋_GB2312"/>
          <w:b w:val="0"/>
          <w:bCs/>
          <w:color w:val="auto"/>
          <w:sz w:val="32"/>
          <w:szCs w:val="32"/>
          <w:highlight w:val="none"/>
          <w:lang w:eastAsia="zh-CN"/>
        </w:rPr>
        <w:t>下属事业单位因公务用车车龄较长维修费用增加</w:t>
      </w:r>
      <w:r>
        <w:rPr>
          <w:rFonts w:hint="eastAsia" w:ascii="仿宋_GB2312" w:hAnsi="仿宋_GB2312" w:eastAsia="仿宋_GB2312" w:cs="仿宋_GB2312"/>
          <w:b w:val="0"/>
          <w:bCs/>
          <w:color w:val="auto"/>
          <w:sz w:val="32"/>
          <w:szCs w:val="32"/>
        </w:rPr>
        <w:t>。</w:t>
      </w:r>
    </w:p>
    <w:p>
      <w:pPr>
        <w:spacing w:line="60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其中：公务用车购置支出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万元。</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公务用车运行维护费支出</w:t>
      </w:r>
      <w:r>
        <w:rPr>
          <w:rFonts w:hint="eastAsia" w:ascii="仿宋_GB2312" w:hAnsi="仿宋_GB2312" w:eastAsia="仿宋_GB2312" w:cs="仿宋_GB2312"/>
          <w:b w:val="0"/>
          <w:bCs/>
          <w:color w:val="auto"/>
          <w:sz w:val="32"/>
          <w:szCs w:val="32"/>
          <w:lang w:val="en-US" w:eastAsia="zh-CN"/>
        </w:rPr>
        <w:t>5.86</w:t>
      </w:r>
      <w:r>
        <w:rPr>
          <w:rFonts w:hint="eastAsia" w:ascii="仿宋_GB2312" w:hAnsi="仿宋_GB2312" w:eastAsia="仿宋_GB2312" w:cs="仿宋_GB2312"/>
          <w:b w:val="0"/>
          <w:bCs/>
          <w:color w:val="auto"/>
          <w:sz w:val="32"/>
          <w:szCs w:val="32"/>
        </w:rPr>
        <w:t>万元。</w:t>
      </w:r>
      <w:r>
        <w:rPr>
          <w:rFonts w:hint="eastAsia" w:ascii="仿宋_GB2312" w:hAnsi="仿宋_GB2312" w:eastAsia="仿宋_GB2312" w:cs="仿宋_GB2312"/>
          <w:b w:val="0"/>
          <w:bCs/>
          <w:color w:val="auto"/>
          <w:sz w:val="32"/>
          <w:szCs w:val="32"/>
          <w:highlight w:val="none"/>
        </w:rPr>
        <w:t>主要用于</w:t>
      </w:r>
      <w:r>
        <w:rPr>
          <w:rFonts w:hint="eastAsia" w:ascii="仿宋_GB2312" w:hAnsi="仿宋_GB2312" w:eastAsia="仿宋_GB2312" w:cs="仿宋_GB2312"/>
          <w:b w:val="0"/>
          <w:bCs/>
          <w:color w:val="auto"/>
          <w:sz w:val="32"/>
          <w:szCs w:val="32"/>
          <w:highlight w:val="none"/>
          <w:lang w:eastAsia="zh-CN"/>
        </w:rPr>
        <w:t>军供送餐、军供采购、服务保障军休干部、日常运转等所需的公务用车燃料费、维修费、过路过桥费、保险费等支出。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rPr>
        <w:t>3.公务接待费支出</w:t>
      </w:r>
      <w:r>
        <w:rPr>
          <w:rFonts w:hint="eastAsia" w:ascii="仿宋_GB2312" w:hAnsi="仿宋_GB2312" w:eastAsia="仿宋_GB2312" w:cs="仿宋_GB2312"/>
          <w:b w:val="0"/>
          <w:bCs/>
          <w:color w:val="auto"/>
          <w:sz w:val="32"/>
          <w:szCs w:val="32"/>
          <w:lang w:val="en-US" w:eastAsia="zh-CN"/>
        </w:rPr>
        <w:t>0.09</w:t>
      </w:r>
      <w:r>
        <w:rPr>
          <w:rFonts w:hint="eastAsia" w:ascii="仿宋_GB2312" w:hAnsi="仿宋_GB2312" w:eastAsia="仿宋_GB2312" w:cs="仿宋_GB2312"/>
          <w:b w:val="0"/>
          <w:bCs/>
          <w:color w:val="auto"/>
          <w:sz w:val="32"/>
          <w:szCs w:val="32"/>
        </w:rPr>
        <w:t>万元，</w:t>
      </w:r>
      <w:r>
        <w:rPr>
          <w:rStyle w:val="14"/>
          <w:rFonts w:hint="eastAsia" w:ascii="仿宋_GB2312" w:hAnsi="仿宋_GB2312" w:eastAsia="仿宋_GB2312" w:cs="仿宋_GB2312"/>
          <w:b w:val="0"/>
          <w:bCs/>
          <w:color w:val="auto"/>
          <w:sz w:val="32"/>
          <w:szCs w:val="32"/>
        </w:rPr>
        <w:t>完成预算</w:t>
      </w:r>
      <w:r>
        <w:rPr>
          <w:rStyle w:val="14"/>
          <w:rFonts w:hint="eastAsia" w:ascii="仿宋_GB2312" w:hAnsi="仿宋_GB2312" w:eastAsia="仿宋_GB2312" w:cs="仿宋_GB2312"/>
          <w:b w:val="0"/>
          <w:bCs/>
          <w:color w:val="auto"/>
          <w:sz w:val="32"/>
          <w:szCs w:val="32"/>
          <w:lang w:val="en-US" w:eastAsia="zh-CN"/>
        </w:rPr>
        <w:t>37.5</w:t>
      </w:r>
      <w:r>
        <w:rPr>
          <w:rStyle w:val="14"/>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rPr>
        <w:t>公务接待费支出决算比2021年减少</w:t>
      </w:r>
      <w:r>
        <w:rPr>
          <w:rFonts w:hint="eastAsia" w:ascii="仿宋_GB2312" w:hAnsi="仿宋_GB2312" w:eastAsia="仿宋_GB2312" w:cs="仿宋_GB2312"/>
          <w:b w:val="0"/>
          <w:bCs/>
          <w:color w:val="auto"/>
          <w:sz w:val="32"/>
          <w:szCs w:val="32"/>
          <w:lang w:val="en-US" w:eastAsia="zh-CN"/>
        </w:rPr>
        <w:t>0.15</w:t>
      </w:r>
      <w:r>
        <w:rPr>
          <w:rFonts w:hint="eastAsia" w:ascii="仿宋_GB2312" w:hAnsi="仿宋_GB2312" w:eastAsia="仿宋_GB2312" w:cs="仿宋_GB2312"/>
          <w:b w:val="0"/>
          <w:bCs/>
          <w:color w:val="auto"/>
          <w:sz w:val="32"/>
          <w:szCs w:val="32"/>
        </w:rPr>
        <w:t>万元，下降</w:t>
      </w:r>
      <w:r>
        <w:rPr>
          <w:rFonts w:hint="eastAsia" w:ascii="仿宋_GB2312" w:hAnsi="仿宋_GB2312" w:eastAsia="仿宋_GB2312" w:cs="仿宋_GB2312"/>
          <w:b w:val="0"/>
          <w:bCs/>
          <w:color w:val="auto"/>
          <w:sz w:val="32"/>
          <w:szCs w:val="32"/>
          <w:lang w:val="en-US" w:eastAsia="zh-CN"/>
        </w:rPr>
        <w:t>62.5</w:t>
      </w:r>
      <w:r>
        <w:rPr>
          <w:rFonts w:hint="eastAsia" w:ascii="仿宋_GB2312" w:hAnsi="仿宋_GB2312" w:eastAsia="仿宋_GB2312" w:cs="仿宋_GB2312"/>
          <w:b w:val="0"/>
          <w:bCs/>
          <w:color w:val="auto"/>
          <w:sz w:val="32"/>
          <w:szCs w:val="32"/>
        </w:rPr>
        <w:t>%</w:t>
      </w:r>
      <w:bookmarkStart w:id="42" w:name="_Toc15377218"/>
      <w:bookmarkStart w:id="43" w:name="_Toc15396610"/>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eastAsia="zh-CN"/>
        </w:rPr>
        <w:t>受疫情影响，公务接待减少</w:t>
      </w:r>
      <w:r>
        <w:rPr>
          <w:rFonts w:hint="eastAsia" w:ascii="仿宋_GB2312" w:hAnsi="仿宋_GB2312" w:eastAsia="仿宋_GB2312" w:cs="仿宋_GB2312"/>
          <w:b w:val="0"/>
          <w:bCs/>
          <w:color w:val="auto"/>
          <w:sz w:val="32"/>
          <w:szCs w:val="32"/>
          <w:highlight w:val="none"/>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0.09</w:t>
      </w:r>
      <w:r>
        <w:rPr>
          <w:rFonts w:hint="eastAsia" w:ascii="仿宋_GB2312" w:hAnsi="仿宋_GB2312" w:eastAsia="仿宋_GB2312" w:cs="仿宋_GB2312"/>
          <w:b w:val="0"/>
          <w:bCs/>
          <w:color w:val="auto"/>
          <w:sz w:val="32"/>
          <w:szCs w:val="32"/>
          <w:highlight w:val="none"/>
        </w:rPr>
        <w:t>万元，主要用于执行公务、开展业务活动开支的交通费、住宿费、用餐费等。</w:t>
      </w:r>
      <w:r>
        <w:rPr>
          <w:rFonts w:hint="eastAsia" w:ascii="仿宋_GB2312" w:hAnsi="仿宋_GB2312" w:eastAsia="仿宋_GB2312" w:cs="仿宋_GB2312"/>
          <w:b w:val="0"/>
          <w:bCs/>
          <w:color w:val="auto"/>
          <w:sz w:val="32"/>
          <w:szCs w:val="32"/>
          <w:highlight w:val="none"/>
          <w:lang w:eastAsia="zh-CN"/>
        </w:rPr>
        <w:t>国内公务接待</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15</w:t>
      </w:r>
      <w:r>
        <w:rPr>
          <w:rFonts w:hint="eastAsia" w:ascii="仿宋_GB2312" w:hAnsi="仿宋_GB2312" w:eastAsia="仿宋_GB2312" w:cs="仿宋_GB2312"/>
          <w:b w:val="0"/>
          <w:bCs/>
          <w:color w:val="auto"/>
          <w:sz w:val="32"/>
          <w:szCs w:val="32"/>
          <w:highlight w:val="none"/>
        </w:rPr>
        <w:t>人次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共计支出</w:t>
      </w:r>
      <w:r>
        <w:rPr>
          <w:rFonts w:hint="eastAsia" w:ascii="仿宋_GB2312" w:hAnsi="仿宋_GB2312" w:eastAsia="仿宋_GB2312" w:cs="仿宋_GB2312"/>
          <w:b w:val="0"/>
          <w:bCs/>
          <w:color w:val="auto"/>
          <w:sz w:val="32"/>
          <w:szCs w:val="32"/>
          <w:highlight w:val="none"/>
          <w:lang w:val="en-US" w:eastAsia="zh-CN"/>
        </w:rPr>
        <w:t>0.09</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，具体内容：包括乐山市、眉山市退役军人事务局调研军休工作接待费</w:t>
      </w:r>
      <w:r>
        <w:rPr>
          <w:rFonts w:hint="eastAsia" w:ascii="仿宋_GB2312" w:hAnsi="仿宋_GB2312" w:eastAsia="仿宋_GB2312" w:cs="仿宋_GB2312"/>
          <w:b w:val="0"/>
          <w:bCs/>
          <w:color w:val="auto"/>
          <w:sz w:val="32"/>
          <w:szCs w:val="32"/>
          <w:highlight w:val="none"/>
          <w:lang w:val="en-US" w:eastAsia="zh-CN"/>
        </w:rPr>
        <w:t>0.09万元，2批次人员</w:t>
      </w:r>
      <w:r>
        <w:rPr>
          <w:rFonts w:hint="eastAsia" w:ascii="仿宋_GB2312" w:hAnsi="仿宋_GB2312" w:eastAsia="仿宋_GB2312" w:cs="仿宋_GB2312"/>
          <w:b w:val="0"/>
          <w:bCs/>
          <w:color w:val="auto"/>
          <w:sz w:val="32"/>
          <w:szCs w:val="32"/>
          <w:highlight w:val="none"/>
          <w:lang w:eastAsia="zh-CN"/>
        </w:rPr>
        <w:t>同时到达、同时接待。</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万元，外事接待</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人，共计支出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outlineLvl w:val="1"/>
        <w:rPr>
          <w:rStyle w:val="17"/>
          <w:rFonts w:ascii="黑体" w:hAnsi="黑体" w:eastAsia="黑体"/>
          <w:color w:val="auto"/>
        </w:rPr>
      </w:pPr>
      <w:r>
        <w:rPr>
          <w:rFonts w:hint="eastAsia" w:ascii="黑体" w:eastAsia="黑体"/>
          <w:color w:val="auto"/>
          <w:sz w:val="32"/>
          <w:szCs w:val="32"/>
        </w:rPr>
        <w:t>八、</w:t>
      </w:r>
      <w:r>
        <w:rPr>
          <w:rStyle w:val="17"/>
          <w:rFonts w:hint="eastAsia" w:ascii="黑体" w:hAnsi="黑体" w:eastAsia="黑体"/>
          <w:b w:val="0"/>
          <w:color w:val="auto"/>
        </w:rPr>
        <w:t>政府性基金预算支出决算情况说明</w:t>
      </w:r>
      <w:bookmarkEnd w:id="42"/>
      <w:bookmarkEnd w:id="43"/>
    </w:p>
    <w:p>
      <w:pPr>
        <w:spacing w:line="600" w:lineRule="exact"/>
        <w:ind w:firstLine="640"/>
        <w:rPr>
          <w:rFonts w:ascii="仿宋_GB2312" w:eastAsia="仿宋_GB2312"/>
          <w:color w:val="0000FF"/>
          <w:sz w:val="32"/>
          <w:szCs w:val="32"/>
        </w:rPr>
      </w:pPr>
      <w:r>
        <w:rPr>
          <w:rFonts w:ascii="仿宋_GB2312" w:eastAsia="仿宋_GB2312"/>
          <w:color w:val="auto"/>
          <w:sz w:val="32"/>
          <w:szCs w:val="32"/>
        </w:rPr>
        <w:t>20</w:t>
      </w:r>
      <w:r>
        <w:rPr>
          <w:rFonts w:hint="eastAsia" w:ascii="仿宋_GB2312" w:eastAsia="仿宋_GB2312"/>
          <w:color w:val="auto"/>
          <w:sz w:val="32"/>
          <w:szCs w:val="32"/>
        </w:rPr>
        <w:t>22年政府性基金预算财政拨款支出</w:t>
      </w:r>
      <w:r>
        <w:rPr>
          <w:rFonts w:hint="eastAsia" w:ascii="仿宋_GB2312" w:eastAsia="仿宋_GB2312"/>
          <w:color w:val="auto"/>
          <w:sz w:val="32"/>
          <w:szCs w:val="32"/>
          <w:lang w:val="en-US" w:eastAsia="zh-CN"/>
        </w:rPr>
        <w:t>84.50</w:t>
      </w:r>
      <w:r>
        <w:rPr>
          <w:rFonts w:hint="eastAsia" w:ascii="仿宋_GB2312" w:eastAsia="仿宋_GB2312"/>
          <w:color w:val="auto"/>
          <w:sz w:val="32"/>
          <w:szCs w:val="32"/>
        </w:rPr>
        <w:t>万元。</w:t>
      </w:r>
    </w:p>
    <w:p>
      <w:pPr>
        <w:numPr>
          <w:ilvl w:val="0"/>
          <w:numId w:val="3"/>
        </w:numPr>
        <w:spacing w:line="600" w:lineRule="exact"/>
        <w:ind w:firstLine="640"/>
        <w:outlineLvl w:val="1"/>
        <w:rPr>
          <w:rStyle w:val="17"/>
          <w:rFonts w:ascii="黑体" w:hAnsi="黑体" w:eastAsia="黑体"/>
          <w:b w:val="0"/>
          <w:color w:val="auto"/>
        </w:rPr>
      </w:pPr>
      <w:bookmarkStart w:id="44" w:name="_Toc15377219"/>
      <w:bookmarkStart w:id="45" w:name="_Toc15396611"/>
      <w:r>
        <w:rPr>
          <w:rStyle w:val="17"/>
          <w:rFonts w:hint="eastAsia" w:ascii="黑体" w:hAnsi="黑体" w:eastAsia="黑体"/>
          <w:b w:val="0"/>
          <w:color w:val="auto"/>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color w:val="auto"/>
          <w:sz w:val="44"/>
          <w:szCs w:val="44"/>
        </w:rPr>
      </w:pPr>
      <w:r>
        <w:rPr>
          <w:rFonts w:ascii="仿宋_GB2312" w:eastAsia="仿宋_GB2312"/>
          <w:color w:val="auto"/>
          <w:sz w:val="32"/>
          <w:szCs w:val="32"/>
        </w:rPr>
        <w:t>20</w:t>
      </w:r>
      <w:r>
        <w:rPr>
          <w:rFonts w:hint="eastAsia" w:ascii="仿宋_GB2312" w:eastAsia="仿宋_GB2312"/>
          <w:color w:val="auto"/>
          <w:sz w:val="32"/>
          <w:szCs w:val="32"/>
        </w:rPr>
        <w:t>22年国有资本经营预算财政拨款支出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numPr>
          <w:ilvl w:val="0"/>
          <w:numId w:val="3"/>
        </w:numPr>
        <w:spacing w:line="600" w:lineRule="exact"/>
        <w:ind w:firstLine="640"/>
        <w:outlineLvl w:val="1"/>
        <w:rPr>
          <w:rStyle w:val="17"/>
          <w:rFonts w:ascii="黑体" w:hAnsi="黑体" w:eastAsia="黑体"/>
          <w:b w:val="0"/>
          <w:color w:val="auto"/>
        </w:rPr>
      </w:pPr>
      <w:bookmarkStart w:id="46" w:name="_Toc15377221"/>
      <w:bookmarkStart w:id="47" w:name="_Toc15396612"/>
      <w:r>
        <w:rPr>
          <w:rStyle w:val="17"/>
          <w:rFonts w:hint="eastAsia" w:ascii="黑体" w:hAnsi="黑体" w:eastAsia="黑体"/>
          <w:b w:val="0"/>
          <w:color w:val="auto"/>
        </w:rPr>
        <w:t>其他重要事项的情况说明</w:t>
      </w:r>
      <w:bookmarkEnd w:id="46"/>
      <w:bookmarkEnd w:id="47"/>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48" w:name="_Toc15377222"/>
      <w:r>
        <w:rPr>
          <w:rFonts w:hint="eastAsia" w:ascii="楷体_GB2312" w:hAnsi="楷体_GB2312" w:eastAsia="楷体_GB2312" w:cs="楷体_GB2312"/>
          <w:b w:val="0"/>
          <w:bCs/>
          <w:color w:val="auto"/>
          <w:sz w:val="32"/>
          <w:szCs w:val="32"/>
        </w:rPr>
        <w:t>（一）机关运行经费支出情况</w:t>
      </w:r>
      <w:bookmarkEnd w:id="48"/>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行政单位</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51.14</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21年增加</w:t>
      </w:r>
      <w:r>
        <w:rPr>
          <w:rFonts w:hint="eastAsia" w:ascii="仿宋_GB2312" w:eastAsia="仿宋_GB2312"/>
          <w:color w:val="auto"/>
          <w:sz w:val="32"/>
          <w:szCs w:val="32"/>
          <w:lang w:val="en-US" w:eastAsia="zh-CN"/>
        </w:rPr>
        <w:t>14.18</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38.37</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highlight w:val="none"/>
        </w:rPr>
        <w:t>主要原因是</w:t>
      </w:r>
      <w:r>
        <w:rPr>
          <w:rFonts w:hint="eastAsia" w:ascii="仿宋_GB2312" w:hAnsi="仿宋_GB2312" w:eastAsia="仿宋_GB2312" w:cs="仿宋_GB2312"/>
          <w:b w:val="0"/>
          <w:bCs w:val="0"/>
          <w:color w:val="auto"/>
          <w:sz w:val="32"/>
          <w:szCs w:val="32"/>
          <w:highlight w:val="none"/>
          <w:lang w:eastAsia="zh-CN"/>
        </w:rPr>
        <w:t>人员增加引起的劳务费增加。</w:t>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49" w:name="_Toc15377223"/>
      <w:r>
        <w:rPr>
          <w:rFonts w:hint="eastAsia" w:ascii="楷体_GB2312" w:hAnsi="楷体_GB2312" w:eastAsia="楷体_GB2312" w:cs="楷体_GB2312"/>
          <w:b w:val="0"/>
          <w:bCs/>
          <w:color w:val="auto"/>
          <w:sz w:val="32"/>
          <w:szCs w:val="32"/>
        </w:rPr>
        <w:t>（二）政府采购支出情况</w:t>
      </w:r>
      <w:bookmarkEnd w:id="49"/>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22年，政府采购支出总额</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万元，其中：政府采购货物支出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万元、政府采购工程支出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万元、政府采购服务支出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2"/>
        <w:rPr>
          <w:rFonts w:hint="eastAsia" w:ascii="楷体_GB2312" w:hAnsi="楷体_GB2312" w:eastAsia="楷体_GB2312" w:cs="楷体_GB2312"/>
          <w:b w:val="0"/>
          <w:bCs/>
          <w:color w:val="auto"/>
          <w:sz w:val="32"/>
          <w:szCs w:val="32"/>
        </w:rPr>
      </w:pPr>
      <w:bookmarkStart w:id="50" w:name="_Toc15377224"/>
      <w:r>
        <w:rPr>
          <w:rFonts w:hint="eastAsia" w:ascii="楷体_GB2312" w:hAnsi="楷体_GB2312" w:eastAsia="楷体_GB2312" w:cs="楷体_GB2312"/>
          <w:b w:val="0"/>
          <w:bCs/>
          <w:color w:val="auto"/>
          <w:sz w:val="32"/>
          <w:szCs w:val="32"/>
        </w:rPr>
        <w:t>（三）国有资产占有使用情况</w:t>
      </w:r>
      <w:bookmarkEnd w:id="50"/>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局机关和下属单位</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共有车辆</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辆，其中：</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特种专业技术用车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1辆，离退休干部用车2辆，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其他用车</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其他用车主要是用于</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军供保障的送餐和采购、军休干部服务保障和日常公务活动。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单价50万元以上通用设备</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台（套），单价100万元以上专用设备</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台（套）。</w:t>
      </w:r>
    </w:p>
    <w:p>
      <w:pPr>
        <w:spacing w:line="600" w:lineRule="exact"/>
        <w:ind w:firstLine="640" w:firstLineChars="200"/>
        <w:outlineLvl w:val="2"/>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（四）预算绩效管理情况</w:t>
      </w:r>
    </w:p>
    <w:p>
      <w:pPr>
        <w:widowControl/>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根据预算绩效管理要求，本部门在2022年度预算编制阶段，组织对烈士陵园管理经费及活动经费</w:t>
      </w:r>
      <w:r>
        <w:rPr>
          <w:rFonts w:hint="eastAsia" w:ascii="仿宋_GB2312" w:hAnsi="仿宋_GB2312" w:eastAsia="仿宋_GB2312" w:cs="仿宋_GB2312"/>
          <w:color w:val="auto"/>
          <w:sz w:val="32"/>
          <w:szCs w:val="32"/>
          <w:lang w:eastAsia="zh-CN"/>
        </w:rPr>
        <w:t>、双拥工作经费、退役军人事务工作经费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个项目开展绩效监控。</w:t>
      </w:r>
    </w:p>
    <w:p>
      <w:pPr>
        <w:widowControl/>
        <w:ind w:firstLine="640" w:firstLineChars="200"/>
        <w:jc w:val="left"/>
        <w:rPr>
          <w:rFonts w:ascii="仿宋_GB2312" w:eastAsia="仿宋_GB2312"/>
          <w:b/>
          <w:color w:val="auto"/>
          <w:sz w:val="32"/>
          <w:szCs w:val="32"/>
        </w:rPr>
      </w:pPr>
      <w:r>
        <w:rPr>
          <w:rFonts w:hint="eastAsia" w:ascii="仿宋_GB2312" w:hAnsi="仿宋_GB2312" w:eastAsia="仿宋_GB2312" w:cs="仿宋_GB2312"/>
          <w:color w:val="auto"/>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lang w:eastAsia="zh-CN"/>
        </w:rPr>
        <w:t>峨眉山市退役军人事务局</w:t>
      </w:r>
      <w:r>
        <w:rPr>
          <w:rFonts w:hint="eastAsia" w:ascii="仿宋_GB2312" w:hAnsi="仿宋_GB2312" w:eastAsia="仿宋_GB2312" w:cs="仿宋_GB2312"/>
          <w:color w:val="auto"/>
          <w:sz w:val="32"/>
          <w:szCs w:val="32"/>
        </w:rPr>
        <w:t>部门整体（含部门预算项目）绩效自评报告、专项预算项目绩效自评报告</w:t>
      </w:r>
      <w:r>
        <w:rPr>
          <w:rFonts w:hint="eastAsia" w:ascii="仿宋_GB2312" w:hAnsi="仿宋_GB2312" w:eastAsia="仿宋_GB2312" w:cs="仿宋_GB2312"/>
          <w:color w:val="auto"/>
          <w:sz w:val="32"/>
          <w:szCs w:val="32"/>
          <w:lang w:eastAsia="zh-CN"/>
        </w:rPr>
        <w:t>（涉密）</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峨眉山市退役军人事务局</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bCs/>
          <w:color w:val="auto"/>
          <w:kern w:val="0"/>
          <w:sz w:val="32"/>
          <w:szCs w:val="32"/>
          <w:lang w:val="en-US" w:eastAsia="zh-CN" w:bidi="ar-SA"/>
        </w:rPr>
        <w:t>按照预算管理有关规定，目前部门预算的编制实行综合预算制度，即全部收入和支出都反映在预算中。2022年，本部门按要求实行绩效目标管理，部门整体支出绩效目标内容完整，年度主要任务指向明确，符合国民经济和社会发展规划、部门职能及事业发展规划等要求，项目绩效目标内容完整。按数量、质量、成本、时效等分类细化、标准合理</w:t>
      </w:r>
      <w:r>
        <w:rPr>
          <w:rFonts w:hint="eastAsia" w:ascii="仿宋_GB2312" w:hAnsi="仿宋_GB2312" w:eastAsia="仿宋_GB2312" w:cs="仿宋_GB2312"/>
          <w:color w:val="auto"/>
          <w:sz w:val="32"/>
          <w:szCs w:val="32"/>
        </w:rPr>
        <w:t>；专项预算项目绩效自评得分为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kern w:val="2"/>
          <w:sz w:val="32"/>
          <w:szCs w:val="32"/>
          <w:lang w:val="zh-CN"/>
        </w:rPr>
        <w:t>项目坚持依法行政，按照公开、公平、公正的原则，程序清晰，操作规范。按时提出用款计划，财政部门负责资金审核拨付，加强对资金的管理和监督检查。各部门之间密切协作，严格按照规定标准执行，做到不错发、不漏发、不少发、不多发、不拖延，确保了相关工作顺利开展，</w:t>
      </w:r>
      <w:r>
        <w:rPr>
          <w:rFonts w:hint="eastAsia" w:ascii="仿宋_GB2312" w:hAnsi="仿宋_GB2312" w:eastAsia="仿宋_GB2312" w:cs="仿宋_GB2312"/>
          <w:color w:val="auto"/>
          <w:sz w:val="32"/>
          <w:szCs w:val="32"/>
        </w:rPr>
        <w:t>绩效自评报告详见</w:t>
      </w:r>
      <w:r>
        <w:rPr>
          <w:rFonts w:hint="eastAsia" w:ascii="仿宋_GB2312" w:hAnsi="仿宋_GB2312" w:eastAsia="仿宋_GB2312" w:cs="仿宋_GB2312"/>
          <w:color w:val="auto"/>
          <w:sz w:val="32"/>
          <w:szCs w:val="32"/>
          <w:lang w:eastAsia="zh-CN"/>
        </w:rPr>
        <w:t>第四部分</w:t>
      </w:r>
      <w:r>
        <w:rPr>
          <w:rFonts w:hint="eastAsia" w:ascii="仿宋_GB2312" w:hAnsi="仿宋_GB2312" w:eastAsia="仿宋_GB2312" w:cs="仿宋_GB2312"/>
          <w:color w:val="auto"/>
          <w:sz w:val="32"/>
          <w:szCs w:val="32"/>
        </w:rPr>
        <w:t>附件。</w:t>
      </w: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bookmarkStart w:id="51" w:name="_Toc15377225"/>
      <w:bookmarkStart w:id="52" w:name="_Toc15396613"/>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Fonts w:hint="eastAsia" w:ascii="方正小标宋_GBK" w:hAnsi="方正小标宋_GBK" w:eastAsia="方正小标宋_GBK" w:cs="方正小标宋_GBK"/>
          <w:sz w:val="44"/>
          <w:szCs w:val="44"/>
          <w:lang w:eastAsia="zh-CN"/>
        </w:rPr>
      </w:pP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15"/>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15"/>
          <w:rFonts w:hint="eastAsia" w:ascii="方正小标宋_GBK" w:hAnsi="方正小标宋_GBK" w:eastAsia="方正小标宋_GBK" w:cs="方正小标宋_GBK"/>
          <w:b w:val="0"/>
        </w:rPr>
        <w:t>词解释</w:t>
      </w:r>
      <w:bookmarkEnd w:id="51"/>
      <w:bookmarkEnd w:id="52"/>
    </w:p>
    <w:p>
      <w:pPr>
        <w:keepNext w:val="0"/>
        <w:keepLines w:val="0"/>
        <w:pageBreakBefore w:val="0"/>
        <w:kinsoku/>
        <w:wordWrap/>
        <w:overflowPunct/>
        <w:topLinePunct w:val="0"/>
        <w:bidi w:val="0"/>
        <w:spacing w:line="600" w:lineRule="exact"/>
        <w:jc w:val="both"/>
        <w:textAlignment w:val="auto"/>
        <w:rPr>
          <w:rFonts w:ascii="宋体"/>
          <w:b/>
          <w:sz w:val="44"/>
          <w:szCs w:val="44"/>
        </w:rPr>
      </w:pP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财政拨款收入：指单位从同级财政部门取得的财政预算资金。</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事业收入：指事业单位开展专业业务活动及辅助活动取得的收入。</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三、</w:t>
      </w:r>
      <w:r>
        <w:rPr>
          <w:rFonts w:hint="eastAsia" w:ascii="仿宋_GB2312" w:eastAsia="仿宋_GB2312"/>
          <w:sz w:val="32"/>
          <w:szCs w:val="32"/>
          <w:highlight w:val="none"/>
        </w:rPr>
        <w:t>经营收入：指事业单位在专业业务活动及其辅助活动之外开展非独立核算经营活动取得的收入。</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四、</w:t>
      </w:r>
      <w:r>
        <w:rPr>
          <w:rFonts w:hint="eastAsia" w:ascii="仿宋_GB2312" w:eastAsia="仿宋_GB2312"/>
          <w:sz w:val="32"/>
          <w:szCs w:val="32"/>
          <w:highlight w:val="none"/>
        </w:rPr>
        <w:t>其他收入：指单位取得的除上述收入以外的各项收入。</w:t>
      </w:r>
      <w:r>
        <w:rPr>
          <w:rFonts w:ascii="仿宋_GB2312" w:eastAsia="仿宋_GB2312"/>
          <w:sz w:val="32"/>
          <w:szCs w:val="32"/>
          <w:highlight w:val="none"/>
        </w:rPr>
        <w:t xml:space="preserve"> </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五、</w:t>
      </w:r>
      <w:r>
        <w:rPr>
          <w:rFonts w:hint="eastAsia" w:ascii="仿宋_GB2312" w:eastAsia="仿宋_GB2312"/>
          <w:sz w:val="32"/>
          <w:szCs w:val="32"/>
          <w:highlight w:val="none"/>
        </w:rPr>
        <w:t>使用非财政拨款结余：指事业单位使用以前年度积累的非财政拨款结余弥补当年收支差额的金额。</w:t>
      </w:r>
      <w:r>
        <w:rPr>
          <w:rFonts w:ascii="仿宋_GB2312" w:eastAsia="仿宋_GB2312"/>
          <w:sz w:val="32"/>
          <w:szCs w:val="32"/>
          <w:highlight w:val="none"/>
        </w:rPr>
        <w:t xml:space="preserve"> </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六、</w:t>
      </w:r>
      <w:r>
        <w:rPr>
          <w:rFonts w:hint="eastAsia" w:ascii="仿宋_GB2312" w:eastAsia="仿宋_GB2312"/>
          <w:sz w:val="32"/>
          <w:szCs w:val="32"/>
          <w:highlight w:val="none"/>
        </w:rPr>
        <w:t>年初结转和结余：指以前年度尚未完成、结转到本年按有关规定继续使用的资金。</w:t>
      </w:r>
      <w:r>
        <w:rPr>
          <w:rFonts w:ascii="仿宋_GB2312" w:eastAsia="仿宋_GB2312"/>
          <w:sz w:val="32"/>
          <w:szCs w:val="32"/>
          <w:highlight w:val="none"/>
        </w:rPr>
        <w:t xml:space="preserve"> </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七、</w:t>
      </w:r>
      <w:r>
        <w:rPr>
          <w:rFonts w:hint="eastAsia" w:ascii="仿宋_GB2312" w:eastAsia="仿宋_GB2312"/>
          <w:sz w:val="32"/>
          <w:szCs w:val="32"/>
          <w:highlight w:val="none"/>
        </w:rPr>
        <w:t>结余分配：指事业单位按照会计制度规定缴纳的所得税、提取的专用结余以及转入非财政拨款结余的金额等。</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eastAsia="zh-CN"/>
        </w:rPr>
        <w:t>八、</w:t>
      </w:r>
      <w:r>
        <w:rPr>
          <w:rFonts w:hint="eastAsia" w:ascii="仿宋_GB2312" w:eastAsia="仿宋_GB2312"/>
          <w:sz w:val="32"/>
          <w:szCs w:val="32"/>
          <w:highlight w:val="none"/>
        </w:rPr>
        <w:t>年末结转和结余：指单位按有关规定结转到下年或以后年度继续使用的资金。</w:t>
      </w:r>
    </w:p>
    <w:p>
      <w:pPr>
        <w:pageBreakBefore w:val="0"/>
        <w:numPr>
          <w:ilvl w:val="0"/>
          <w:numId w:val="0"/>
        </w:numPr>
        <w:kinsoku/>
        <w:wordWrap/>
        <w:overflowPunct/>
        <w:topLinePunct w:val="0"/>
        <w:bidi w:val="0"/>
        <w:spacing w:line="600" w:lineRule="exact"/>
        <w:ind w:firstLine="640"/>
        <w:jc w:val="both"/>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九、</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（类）支出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2080199指其他人力资源和社会保障管理事务支出；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2080505指机关事业单位基本养老保险缴费支出；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2080506指机关事业单位职业年金缴费支出；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2082801指行政运行支出；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2082802指一般行政管理事务支出；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2082850指事业运行支出；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2082899指其他退役军人事务管理支出；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2089999指其他社会保障和就业支出；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十、</w:t>
      </w:r>
      <w:r>
        <w:rPr>
          <w:rFonts w:hint="eastAsia" w:ascii="仿宋_GB2312" w:hAnsi="Times New Roman" w:eastAsia="仿宋_GB2312"/>
          <w:sz w:val="32"/>
          <w:szCs w:val="32"/>
          <w:highlight w:val="none"/>
        </w:rPr>
        <w:t>卫生健康（类）支出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2101101指行政单位医疗支出；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2101102指事业单位医疗支出；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default" w:ascii="仿宋_GB2312" w:hAnsi="Times New Roman" w:eastAsia="仿宋_GB2312"/>
          <w:sz w:val="32"/>
          <w:szCs w:val="32"/>
          <w:highlight w:val="none"/>
          <w:lang w:val="en-US" w:eastAsia="zh-CN"/>
        </w:rPr>
      </w:pPr>
      <w:r>
        <w:rPr>
          <w:rFonts w:hint="eastAsia" w:ascii="仿宋_GB2312" w:hAnsi="Times New Roman" w:eastAsia="仿宋_GB2312"/>
          <w:sz w:val="32"/>
          <w:szCs w:val="32"/>
          <w:highlight w:val="none"/>
          <w:lang w:val="en-US" w:eastAsia="zh-CN"/>
        </w:rPr>
        <w:t>2109901指其他卫生健康支出；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十一、</w:t>
      </w:r>
      <w:r>
        <w:rPr>
          <w:rFonts w:hint="eastAsia" w:ascii="仿宋_GB2312" w:hAnsi="Times New Roman" w:eastAsia="仿宋_GB2312"/>
          <w:sz w:val="32"/>
          <w:szCs w:val="32"/>
          <w:highlight w:val="none"/>
        </w:rPr>
        <w:t>住房保障</w:t>
      </w:r>
      <w:r>
        <w:rPr>
          <w:rFonts w:hint="eastAsia" w:ascii="仿宋_GB2312" w:hAnsi="Times New Roman" w:eastAsia="仿宋_GB2312"/>
          <w:sz w:val="32"/>
          <w:szCs w:val="32"/>
          <w:highlight w:val="none"/>
          <w:lang w:eastAsia="zh-CN"/>
        </w:rPr>
        <w:t>类</w:t>
      </w:r>
      <w:r>
        <w:rPr>
          <w:rFonts w:hint="eastAsia" w:ascii="仿宋_GB2312" w:hAnsi="Times New Roman" w:eastAsia="仿宋_GB2312"/>
          <w:sz w:val="32"/>
          <w:szCs w:val="32"/>
          <w:highlight w:val="none"/>
        </w:rPr>
        <w:t>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2210201</w:t>
      </w:r>
      <w:r>
        <w:rPr>
          <w:rFonts w:hint="eastAsia" w:ascii="仿宋_GB2312" w:hAnsi="Times New Roman" w:eastAsia="仿宋_GB2312"/>
          <w:sz w:val="32"/>
          <w:szCs w:val="32"/>
          <w:highlight w:val="none"/>
          <w:lang w:eastAsia="zh-CN"/>
        </w:rPr>
        <w:t>指住房公积金支出</w:t>
      </w:r>
      <w:r>
        <w:rPr>
          <w:rFonts w:hint="eastAsia" w:ascii="仿宋_GB2312" w:hAnsi="Times New Roman" w:eastAsia="仿宋_GB2312"/>
          <w:sz w:val="32"/>
          <w:szCs w:val="32"/>
          <w:highlight w:val="none"/>
        </w:rPr>
        <w:t>。</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Times New Roman" w:eastAsia="仿宋_GB2312"/>
          <w:sz w:val="32"/>
          <w:szCs w:val="32"/>
          <w:highlight w:val="none"/>
          <w:lang w:eastAsia="zh-CN"/>
        </w:rPr>
        <w:t>十二、</w:t>
      </w:r>
      <w:r>
        <w:rPr>
          <w:rFonts w:hint="eastAsia" w:ascii="仿宋_GB2312" w:hAnsi="Times New Roman" w:eastAsia="仿宋_GB2312"/>
          <w:sz w:val="32"/>
          <w:szCs w:val="32"/>
          <w:highlight w:val="none"/>
        </w:rPr>
        <w:t>基本支出：指为保障机构正常运转、完成日常工作任</w:t>
      </w:r>
      <w:r>
        <w:rPr>
          <w:rFonts w:hint="eastAsia" w:ascii="仿宋_GB2312" w:hAnsi="仿宋_GB2312" w:eastAsia="仿宋_GB2312" w:cs="仿宋_GB2312"/>
          <w:b w:val="0"/>
          <w:bCs/>
          <w:color w:val="000000"/>
          <w:sz w:val="32"/>
          <w:szCs w:val="32"/>
          <w:highlight w:val="none"/>
        </w:rPr>
        <w:t>务而发生的人员支出和公用支出。</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eastAsia="zh-CN"/>
        </w:rPr>
        <w:t>十三、</w:t>
      </w:r>
      <w:r>
        <w:rPr>
          <w:rFonts w:hint="eastAsia" w:ascii="仿宋_GB2312" w:hAnsi="仿宋_GB2312" w:eastAsia="仿宋_GB2312" w:cs="仿宋_GB2312"/>
          <w:b w:val="0"/>
          <w:bCs/>
          <w:color w:val="000000"/>
          <w:sz w:val="32"/>
          <w:szCs w:val="32"/>
          <w:highlight w:val="none"/>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lang w:eastAsia="zh-CN"/>
        </w:rPr>
        <w:t>十四、</w:t>
      </w:r>
      <w:r>
        <w:rPr>
          <w:rFonts w:hint="eastAsia" w:ascii="仿宋_GB2312" w:hAnsi="仿宋_GB2312" w:eastAsia="仿宋_GB2312" w:cs="仿宋_GB2312"/>
          <w:b w:val="0"/>
          <w:bCs/>
          <w:color w:val="000000"/>
          <w:sz w:val="32"/>
          <w:szCs w:val="32"/>
          <w:highlight w:val="none"/>
        </w:rPr>
        <w:t>经营支出：指事业单位在专业业务活动及其辅助活动之外开展非独立核算经营活动发生的支出。</w:t>
      </w:r>
    </w:p>
    <w:p>
      <w:pPr>
        <w:pStyle w:val="18"/>
        <w:keepNext w:val="0"/>
        <w:keepLines w:val="0"/>
        <w:pageBreakBefore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lang w:eastAsia="zh-CN"/>
        </w:rPr>
        <w:t>十五、</w:t>
      </w:r>
      <w:r>
        <w:rPr>
          <w:rFonts w:hint="eastAsia" w:ascii="仿宋_GB2312" w:hAnsi="仿宋_GB2312" w:eastAsia="仿宋_GB2312" w:cs="仿宋_GB2312"/>
          <w:b w:val="0"/>
          <w:bCs/>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jc w:val="both"/>
        <w:outlineLvl w:val="0"/>
        <w:rPr>
          <w:rStyle w:val="15"/>
          <w:rFonts w:ascii="黑体" w:hAnsi="黑体" w:eastAsia="黑体"/>
          <w:b w:val="0"/>
          <w:color w:val="0000FF"/>
        </w:rPr>
      </w:pPr>
      <w:r>
        <w:rPr>
          <w:rFonts w:hint="eastAsia" w:ascii="仿宋_GB2312" w:hAnsi="仿宋_GB2312" w:eastAsia="仿宋_GB2312" w:cs="仿宋_GB2312"/>
          <w:b w:val="0"/>
          <w:bCs/>
          <w:sz w:val="32"/>
          <w:szCs w:val="32"/>
          <w:highlight w:val="none"/>
          <w:lang w:eastAsia="zh-CN"/>
        </w:rPr>
        <w:t>十六、</w:t>
      </w:r>
      <w:r>
        <w:rPr>
          <w:rFonts w:hint="eastAsia" w:ascii="仿宋_GB2312" w:hAnsi="仿宋_GB2312" w:eastAsia="仿宋_GB2312" w:cs="仿宋_GB2312"/>
          <w:b w:val="0"/>
          <w:bCs/>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0000FF"/>
          <w:sz w:val="44"/>
          <w:szCs w:val="44"/>
        </w:rPr>
        <w:br w:type="page"/>
      </w:r>
      <w:bookmarkStart w:id="53" w:name="_Toc15396614"/>
      <w:r>
        <w:rPr>
          <w:rFonts w:hint="eastAsia" w:ascii="方正小标宋_GBK" w:hAnsi="方正小标宋_GBK" w:eastAsia="方正小标宋_GBK" w:cs="方正小标宋_GBK"/>
          <w:sz w:val="44"/>
          <w:szCs w:val="44"/>
          <w:lang w:eastAsia="zh-CN"/>
        </w:rPr>
        <w:t>第四部分 附件</w:t>
      </w:r>
      <w:bookmarkEnd w:id="53"/>
    </w:p>
    <w:p>
      <w:pPr>
        <w:spacing w:line="572" w:lineRule="exact"/>
        <w:jc w:val="left"/>
        <w:outlineLvl w:val="0"/>
        <w:rPr>
          <w:rFonts w:hint="eastAsia" w:ascii="方正小标宋简体" w:hAnsi="方正小标宋简体" w:eastAsia="黑体" w:cs="方正小标宋简体"/>
          <w:color w:val="FF000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700" w:lineRule="exact"/>
        <w:ind w:firstLine="880" w:firstLineChars="200"/>
        <w:contextualSpacing/>
        <w:jc w:val="center"/>
        <w:textAlignment w:val="auto"/>
        <w:rPr>
          <w:rFonts w:hint="eastAsia" w:ascii="方正小标宋简体" w:hAnsi="方正小标宋简体" w:eastAsia="方正小标宋简体" w:cs="方正小标宋简体"/>
          <w:b w:val="0"/>
          <w:bCs w:val="0"/>
          <w:color w:val="auto"/>
          <w:sz w:val="44"/>
          <w:szCs w:val="44"/>
          <w:shd w:val="clear" w:color="auto" w:fill="FFFFFF"/>
          <w:lang w:eastAsia="zh-CN"/>
        </w:rPr>
      </w:pPr>
      <w:r>
        <w:rPr>
          <w:rFonts w:hint="eastAsia" w:ascii="方正小标宋简体" w:hAnsi="方正小标宋简体" w:eastAsia="方正小标宋简体" w:cs="方正小标宋简体"/>
          <w:b w:val="0"/>
          <w:bCs w:val="0"/>
          <w:color w:val="auto"/>
          <w:sz w:val="44"/>
          <w:szCs w:val="44"/>
          <w:shd w:val="clear" w:color="auto" w:fill="FFFFFF"/>
          <w:lang w:eastAsia="zh-CN"/>
        </w:rPr>
        <w:t>峨眉山市退役军人事务局</w:t>
      </w:r>
    </w:p>
    <w:p>
      <w:pPr>
        <w:keepNext w:val="0"/>
        <w:keepLines w:val="0"/>
        <w:pageBreakBefore w:val="0"/>
        <w:widowControl/>
        <w:kinsoku/>
        <w:wordWrap/>
        <w:overflowPunct/>
        <w:topLinePunct w:val="0"/>
        <w:autoSpaceDE/>
        <w:autoSpaceDN/>
        <w:bidi w:val="0"/>
        <w:adjustRightInd/>
        <w:snapToGrid/>
        <w:spacing w:line="700" w:lineRule="exact"/>
        <w:ind w:firstLine="880" w:firstLineChars="200"/>
        <w:contextualSpacing/>
        <w:jc w:val="center"/>
        <w:textAlignment w:val="auto"/>
        <w:rPr>
          <w:rFonts w:hint="eastAsia" w:ascii="方正小标宋简体" w:hAnsi="方正小标宋简体" w:eastAsia="方正小标宋简体" w:cs="方正小标宋简体"/>
          <w:b w:val="0"/>
          <w:bCs w:val="0"/>
          <w:color w:val="0000FF"/>
          <w:sz w:val="44"/>
          <w:szCs w:val="44"/>
          <w:shd w:val="clear" w:color="auto" w:fill="FFFFFF"/>
          <w:lang w:eastAsia="zh-CN"/>
        </w:rPr>
      </w:pPr>
      <w:r>
        <w:rPr>
          <w:rFonts w:hint="eastAsia" w:ascii="方正小标宋简体" w:hAnsi="方正小标宋简体" w:eastAsia="方正小标宋简体" w:cs="方正小标宋简体"/>
          <w:b w:val="0"/>
          <w:bCs w:val="0"/>
          <w:color w:val="auto"/>
          <w:sz w:val="44"/>
          <w:szCs w:val="44"/>
          <w:shd w:val="clear" w:color="auto" w:fill="FFFFFF"/>
        </w:rPr>
        <w:t>20</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shd w:val="clear" w:color="auto" w:fill="FFFFFF"/>
        </w:rPr>
        <w:t>年部门整体支出绩效评价报告</w:t>
      </w:r>
    </w:p>
    <w:p>
      <w:pPr>
        <w:keepNext w:val="0"/>
        <w:keepLines w:val="0"/>
        <w:pageBreakBefore w:val="0"/>
        <w:widowControl/>
        <w:kinsoku/>
        <w:wordWrap/>
        <w:overflowPunct/>
        <w:topLinePunct w:val="0"/>
        <w:autoSpaceDE/>
        <w:autoSpaceDN/>
        <w:bidi w:val="0"/>
        <w:adjustRightInd w:val="0"/>
        <w:snapToGrid w:val="0"/>
        <w:spacing w:line="700" w:lineRule="exact"/>
        <w:ind w:firstLine="420" w:firstLineChars="200"/>
        <w:contextualSpacing/>
        <w:jc w:val="left"/>
        <w:textAlignment w:val="auto"/>
        <w:rPr>
          <w:rFonts w:hint="eastAsia" w:ascii="黑体" w:hAnsi="宋体" w:eastAsia="黑体" w:cs="宋体"/>
          <w:b w:val="0"/>
          <w:bCs w:val="0"/>
          <w:color w:val="0000FF"/>
          <w:kern w:val="0"/>
          <w:sz w:val="24"/>
          <w:szCs w:val="32"/>
          <w:shd w:val="clear" w:color="auto" w:fill="FFFFFF"/>
          <w:lang w:eastAsia="zh-CN"/>
        </w:rPr>
      </w:pPr>
      <w:r>
        <w:rPr>
          <w:rFonts w:hint="eastAsia" w:ascii="仿宋_GB2312" w:hAnsi="宋体" w:eastAsia="黑体"/>
          <w:b w:val="0"/>
          <w:bCs w:val="0"/>
          <w:color w:val="0000FF"/>
          <w:szCs w:val="32"/>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contextualSpacing/>
        <w:jc w:val="both"/>
        <w:textAlignment w:val="auto"/>
        <w:rPr>
          <w:rFonts w:hint="eastAsia" w:ascii="黑体" w:hAnsi="黑体" w:eastAsia="黑体" w:cs="黑体"/>
          <w:b w:val="0"/>
          <w:bCs w:val="0"/>
          <w:color w:val="auto"/>
          <w:kern w:val="0"/>
          <w:sz w:val="32"/>
          <w:szCs w:val="32"/>
          <w:shd w:val="clear" w:color="auto" w:fill="FFFFFF"/>
          <w:lang w:val="zh-CN"/>
        </w:rPr>
      </w:pPr>
      <w:r>
        <w:rPr>
          <w:rFonts w:hint="eastAsia" w:ascii="黑体" w:hAnsi="黑体" w:eastAsia="黑体" w:cs="黑体"/>
          <w:b w:val="0"/>
          <w:bCs w:val="0"/>
          <w:color w:val="auto"/>
          <w:kern w:val="0"/>
          <w:sz w:val="32"/>
          <w:szCs w:val="32"/>
          <w:shd w:val="clear" w:color="auto" w:fill="FFFFFF"/>
        </w:rPr>
        <w:t>一、</w:t>
      </w:r>
      <w:r>
        <w:rPr>
          <w:rFonts w:hint="eastAsia" w:ascii="黑体" w:hAnsi="黑体" w:eastAsia="黑体" w:cs="黑体"/>
          <w:b w:val="0"/>
          <w:bCs w:val="0"/>
          <w:color w:val="auto"/>
          <w:kern w:val="0"/>
          <w:sz w:val="32"/>
          <w:szCs w:val="32"/>
          <w:shd w:val="clear" w:color="auto" w:fill="FFFFFF"/>
          <w:lang w:val="zh-CN"/>
        </w:rPr>
        <w:t>部门概况</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kern w:val="0"/>
          <w:sz w:val="32"/>
          <w:szCs w:val="32"/>
          <w:lang w:val="zh-CN" w:eastAsia="zh-CN" w:bidi="ar-SA"/>
        </w:rPr>
        <w:t>（一）</w:t>
      </w:r>
      <w:r>
        <w:rPr>
          <w:rFonts w:hint="eastAsia" w:ascii="楷体_GB2312" w:hAnsi="楷体_GB2312" w:eastAsia="楷体_GB2312" w:cs="楷体_GB2312"/>
          <w:bCs/>
          <w:color w:val="auto"/>
          <w:sz w:val="32"/>
          <w:szCs w:val="32"/>
          <w:lang w:val="en-US" w:eastAsia="zh-CN"/>
        </w:rPr>
        <w:t>机构设置</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局机关内设三股一室，即安置工作股、优抚工作股、双拥工作股和办公室。下属单位3个，分别是峨眉山市军队离退休干部干休所、峨眉山军供站、峨眉山市退役军人服务中心（其中：峨眉山市军队离退休干部干休所和峨眉山军供站均为财政补助全额事业单位，执行政府会计制度，为一级预算单位），并在13个乡镇（街道）、167个村（社区）分别设置退役军人服务站。</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（二）主要职能</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仿宋_GB2312" w:hAnsi="仿宋_GB2312" w:eastAsia="仿宋_GB2312" w:cs="仿宋_GB2312"/>
          <w:b w:val="0"/>
          <w:bCs w:val="0"/>
          <w:color w:val="auto"/>
          <w:kern w:val="0"/>
          <w:sz w:val="32"/>
          <w:szCs w:val="32"/>
          <w:shd w:val="clear" w:color="auto" w:fill="FFFFFF"/>
          <w:lang w:val="en-US"/>
        </w:rPr>
      </w:pPr>
      <w:r>
        <w:rPr>
          <w:rFonts w:hint="eastAsia" w:ascii="仿宋_GB2312" w:hAnsi="仿宋_GB2312" w:eastAsia="仿宋_GB2312" w:cs="仿宋_GB2312"/>
          <w:bCs/>
          <w:color w:val="auto"/>
          <w:sz w:val="32"/>
          <w:szCs w:val="32"/>
          <w:lang w:val="en-US" w:eastAsia="zh-CN"/>
        </w:rPr>
        <w:t>贯彻落实党中央、省委及乐山市委关于退役</w:t>
      </w:r>
      <w:r>
        <w:rPr>
          <w:rFonts w:hint="eastAsia" w:hAnsi="仿宋_GB2312" w:cs="仿宋_GB2312"/>
          <w:bCs/>
          <w:color w:val="auto"/>
          <w:sz w:val="32"/>
          <w:szCs w:val="32"/>
          <w:lang w:val="en-US" w:eastAsia="zh-CN"/>
        </w:rPr>
        <w:t>军</w:t>
      </w:r>
      <w:r>
        <w:rPr>
          <w:rFonts w:hint="eastAsia" w:ascii="仿宋_GB2312" w:hAnsi="仿宋_GB2312" w:eastAsia="仿宋_GB2312" w:cs="仿宋_GB2312"/>
          <w:bCs/>
          <w:color w:val="auto"/>
          <w:sz w:val="32"/>
          <w:szCs w:val="32"/>
          <w:lang w:val="en-US" w:eastAsia="zh-CN"/>
        </w:rPr>
        <w:t>人</w:t>
      </w:r>
      <w:bookmarkStart w:id="65" w:name="_GoBack"/>
      <w:bookmarkEnd w:id="65"/>
      <w:r>
        <w:rPr>
          <w:rFonts w:hint="eastAsia" w:ascii="仿宋_GB2312" w:hAnsi="仿宋_GB2312" w:eastAsia="仿宋_GB2312" w:cs="仿宋_GB2312"/>
          <w:bCs/>
          <w:color w:val="auto"/>
          <w:sz w:val="32"/>
          <w:szCs w:val="32"/>
          <w:lang w:val="en-US" w:eastAsia="zh-CN"/>
        </w:rPr>
        <w:t>工作的方针政策和峨眉山市委的决策部署，坚持和加强党对退役军人工作的集中统一领导，切实做好退役军人思想政治建设、转业接收安置、就业创业帮扶、服务管理、教育培训、拥军优属、优待抚恤、褒扬激励等工作，维护好军人军属合法权益。组织、指导退役军人综合服务体系建设，建立健全集中统一、职责清晰的退役军人管理保障机制，协调各方力量更好为军人军属服务，褒扬彰显退役军人为党、国家和人民牺牲奉献的精神风范和价值导向，让军人成为全社会尊崇的职业，更好地为增强部队战斗力和凝聚力做好组织保障。</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（三）人员概况</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Cs/>
          <w:color w:val="auto"/>
          <w:kern w:val="0"/>
          <w:sz w:val="32"/>
          <w:szCs w:val="32"/>
          <w:lang w:val="zh-CN" w:eastAsia="zh-CN" w:bidi="ar-SA"/>
        </w:rPr>
      </w:pPr>
      <w:r>
        <w:rPr>
          <w:rFonts w:hint="eastAsia" w:ascii="仿宋_GB2312" w:hAnsi="仿宋_GB2312" w:eastAsia="仿宋_GB2312" w:cs="仿宋_GB2312"/>
          <w:bCs/>
          <w:color w:val="auto"/>
          <w:kern w:val="0"/>
          <w:sz w:val="32"/>
          <w:szCs w:val="32"/>
          <w:lang w:val="en-US" w:eastAsia="zh-CN" w:bidi="ar-SA"/>
        </w:rPr>
        <w:t>2022年峨眉山市退役军人事务局共计12个行政编制（含1个机关工勤岗），年末从业人数13人（其中在编人员11人，劳务派遣2人）；退役军人服务中心7个事业编制，年末在职人员7人；峨眉山市军队离退休干部干休所7个事业编制，年末实有人数5人（其中在编人员4人，其他聘用人员1人）；峨眉山军供站12个事业编制，年末从业人数12人（其中在编人员8人，劳务派遣2人，其他聘用人员2人）。</w:t>
      </w:r>
    </w:p>
    <w:p>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contextualSpacing/>
        <w:jc w:val="both"/>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二、部门财政资金收支情况</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（一）部门财政资金收入情况</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2022年峨眉山市退役军人事务部门收入总计9190</w:t>
      </w:r>
      <w:r>
        <w:rPr>
          <w:rFonts w:hint="eastAsia" w:hAnsi="仿宋_GB2312" w:cs="仿宋_GB2312"/>
          <w:bCs/>
          <w:color w:val="auto"/>
          <w:kern w:val="0"/>
          <w:sz w:val="32"/>
          <w:szCs w:val="32"/>
          <w:lang w:val="en-US" w:eastAsia="zh-CN" w:bidi="ar-SA"/>
        </w:rPr>
        <w:t>.</w:t>
      </w:r>
      <w:r>
        <w:rPr>
          <w:rFonts w:hint="eastAsia" w:ascii="仿宋_GB2312" w:hAnsi="仿宋_GB2312" w:eastAsia="仿宋_GB2312" w:cs="仿宋_GB2312"/>
          <w:bCs/>
          <w:color w:val="auto"/>
          <w:kern w:val="0"/>
          <w:sz w:val="32"/>
          <w:szCs w:val="32"/>
          <w:lang w:val="en-US" w:eastAsia="zh-CN" w:bidi="ar-SA"/>
        </w:rPr>
        <w:t>3</w:t>
      </w:r>
      <w:r>
        <w:rPr>
          <w:rFonts w:hint="eastAsia" w:hAnsi="仿宋_GB2312" w:cs="仿宋_GB2312"/>
          <w:bCs/>
          <w:color w:val="auto"/>
          <w:kern w:val="0"/>
          <w:sz w:val="32"/>
          <w:szCs w:val="32"/>
          <w:lang w:val="en-US" w:eastAsia="zh-CN" w:bidi="ar-SA"/>
        </w:rPr>
        <w:t>1万</w:t>
      </w:r>
      <w:r>
        <w:rPr>
          <w:rFonts w:hint="eastAsia" w:ascii="仿宋_GB2312" w:hAnsi="仿宋_GB2312" w:eastAsia="仿宋_GB2312" w:cs="仿宋_GB2312"/>
          <w:bCs/>
          <w:color w:val="auto"/>
          <w:kern w:val="0"/>
          <w:sz w:val="32"/>
          <w:szCs w:val="32"/>
          <w:lang w:val="en-US" w:eastAsia="zh-CN" w:bidi="ar-SA"/>
        </w:rPr>
        <w:t>元，本年收入合计8006</w:t>
      </w:r>
      <w:r>
        <w:rPr>
          <w:rFonts w:hint="eastAsia" w:hAnsi="仿宋_GB2312" w:cs="仿宋_GB2312"/>
          <w:bCs/>
          <w:color w:val="auto"/>
          <w:kern w:val="0"/>
          <w:sz w:val="32"/>
          <w:szCs w:val="32"/>
          <w:lang w:val="en-US" w:eastAsia="zh-CN" w:bidi="ar-SA"/>
        </w:rPr>
        <w:t>.80万</w:t>
      </w:r>
      <w:r>
        <w:rPr>
          <w:rFonts w:hint="eastAsia" w:ascii="仿宋_GB2312" w:hAnsi="仿宋_GB2312" w:eastAsia="仿宋_GB2312" w:cs="仿宋_GB2312"/>
          <w:bCs/>
          <w:color w:val="auto"/>
          <w:kern w:val="0"/>
          <w:sz w:val="32"/>
          <w:szCs w:val="32"/>
          <w:lang w:val="en-US" w:eastAsia="zh-CN" w:bidi="ar-SA"/>
        </w:rPr>
        <w:t>元，其中：一般公共预算财政拨款收入7922</w:t>
      </w:r>
      <w:r>
        <w:rPr>
          <w:rFonts w:hint="eastAsia" w:hAnsi="仿宋_GB2312" w:cs="仿宋_GB2312"/>
          <w:bCs/>
          <w:color w:val="auto"/>
          <w:kern w:val="0"/>
          <w:sz w:val="32"/>
          <w:szCs w:val="32"/>
          <w:lang w:val="en-US" w:eastAsia="zh-CN" w:bidi="ar-SA"/>
        </w:rPr>
        <w:t>.30万</w:t>
      </w:r>
      <w:r>
        <w:rPr>
          <w:rFonts w:hint="eastAsia" w:ascii="仿宋_GB2312" w:hAnsi="仿宋_GB2312" w:eastAsia="仿宋_GB2312" w:cs="仿宋_GB2312"/>
          <w:bCs/>
          <w:color w:val="auto"/>
          <w:kern w:val="0"/>
          <w:sz w:val="32"/>
          <w:szCs w:val="32"/>
          <w:lang w:val="en-US" w:eastAsia="zh-CN" w:bidi="ar-SA"/>
        </w:rPr>
        <w:t>元，占98.94%，政府性基金预算财政拨款收入84</w:t>
      </w:r>
      <w:r>
        <w:rPr>
          <w:rFonts w:hint="eastAsia" w:hAnsi="仿宋_GB2312" w:cs="仿宋_GB2312"/>
          <w:bCs/>
          <w:color w:val="auto"/>
          <w:kern w:val="0"/>
          <w:sz w:val="32"/>
          <w:szCs w:val="32"/>
          <w:lang w:val="en-US" w:eastAsia="zh-CN" w:bidi="ar-SA"/>
        </w:rPr>
        <w:t>.50万</w:t>
      </w:r>
      <w:r>
        <w:rPr>
          <w:rFonts w:hint="eastAsia" w:ascii="仿宋_GB2312" w:hAnsi="仿宋_GB2312" w:eastAsia="仿宋_GB2312" w:cs="仿宋_GB2312"/>
          <w:bCs/>
          <w:color w:val="auto"/>
          <w:kern w:val="0"/>
          <w:sz w:val="32"/>
          <w:szCs w:val="32"/>
          <w:lang w:val="en-US" w:eastAsia="zh-CN" w:bidi="ar-SA"/>
        </w:rPr>
        <w:t>元，占1.06%；年初财政拨款结转和结余1183</w:t>
      </w:r>
      <w:r>
        <w:rPr>
          <w:rFonts w:hint="eastAsia" w:hAnsi="仿宋_GB2312" w:cs="仿宋_GB2312"/>
          <w:bCs/>
          <w:color w:val="auto"/>
          <w:kern w:val="0"/>
          <w:sz w:val="32"/>
          <w:szCs w:val="32"/>
          <w:lang w:val="en-US" w:eastAsia="zh-CN" w:bidi="ar-SA"/>
        </w:rPr>
        <w:t>.51万</w:t>
      </w:r>
      <w:r>
        <w:rPr>
          <w:rFonts w:hint="eastAsia" w:ascii="仿宋_GB2312" w:hAnsi="仿宋_GB2312" w:eastAsia="仿宋_GB2312" w:cs="仿宋_GB2312"/>
          <w:bCs/>
          <w:color w:val="auto"/>
          <w:kern w:val="0"/>
          <w:sz w:val="32"/>
          <w:szCs w:val="32"/>
          <w:lang w:val="en-US" w:eastAsia="zh-CN" w:bidi="ar-SA"/>
        </w:rPr>
        <w:t>元。</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en-US" w:eastAsia="zh-CN" w:bidi="ar-SA"/>
        </w:rPr>
        <w:t>（二）</w:t>
      </w:r>
      <w:r>
        <w:rPr>
          <w:rFonts w:hint="eastAsia" w:ascii="楷体_GB2312" w:hAnsi="楷体_GB2312" w:eastAsia="楷体_GB2312" w:cs="楷体_GB2312"/>
          <w:bCs/>
          <w:color w:val="auto"/>
          <w:kern w:val="0"/>
          <w:sz w:val="32"/>
          <w:szCs w:val="32"/>
          <w:lang w:val="zh-CN" w:eastAsia="zh-CN" w:bidi="ar-SA"/>
        </w:rPr>
        <w:t>部门财政资金支出情况</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line="600" w:lineRule="exact"/>
        <w:ind w:firstLine="640" w:firstLineChars="200"/>
        <w:jc w:val="both"/>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kern w:val="0"/>
          <w:sz w:val="32"/>
          <w:szCs w:val="32"/>
          <w:lang w:val="en-US" w:eastAsia="zh-CN" w:bidi="ar-SA"/>
        </w:rPr>
        <w:t>2022年峨眉山市退役军人事务部门支出总计9190</w:t>
      </w:r>
      <w:r>
        <w:rPr>
          <w:rFonts w:hint="eastAsia" w:hAnsi="仿宋_GB2312" w:cs="仿宋_GB2312"/>
          <w:bCs/>
          <w:color w:val="auto"/>
          <w:kern w:val="0"/>
          <w:sz w:val="32"/>
          <w:szCs w:val="32"/>
          <w:lang w:val="en-US" w:eastAsia="zh-CN" w:bidi="ar-SA"/>
        </w:rPr>
        <w:t>.31</w:t>
      </w:r>
      <w:r>
        <w:rPr>
          <w:rFonts w:hint="eastAsia" w:ascii="仿宋_GB2312" w:hAnsi="仿宋_GB2312" w:eastAsia="仿宋_GB2312" w:cs="仿宋_GB2312"/>
          <w:bCs/>
          <w:color w:val="auto"/>
          <w:kern w:val="0"/>
          <w:sz w:val="32"/>
          <w:szCs w:val="32"/>
          <w:lang w:val="en-US" w:eastAsia="zh-CN" w:bidi="ar-SA"/>
        </w:rPr>
        <w:t>元，本年支出合计8272</w:t>
      </w:r>
      <w:r>
        <w:rPr>
          <w:rFonts w:hint="eastAsia" w:hAnsi="仿宋_GB2312" w:cs="仿宋_GB2312"/>
          <w:bCs/>
          <w:color w:val="auto"/>
          <w:kern w:val="0"/>
          <w:sz w:val="32"/>
          <w:szCs w:val="32"/>
          <w:lang w:val="en-US" w:eastAsia="zh-CN" w:bidi="ar-SA"/>
        </w:rPr>
        <w:t>.51万</w:t>
      </w:r>
      <w:r>
        <w:rPr>
          <w:rFonts w:hint="eastAsia" w:ascii="仿宋_GB2312" w:hAnsi="仿宋_GB2312" w:eastAsia="仿宋_GB2312" w:cs="仿宋_GB2312"/>
          <w:bCs/>
          <w:color w:val="auto"/>
          <w:kern w:val="0"/>
          <w:sz w:val="32"/>
          <w:szCs w:val="32"/>
          <w:lang w:val="en-US" w:eastAsia="zh-CN" w:bidi="ar-SA"/>
        </w:rPr>
        <w:t>元，其中：基本支出563</w:t>
      </w:r>
      <w:r>
        <w:rPr>
          <w:rFonts w:hint="eastAsia" w:hAnsi="仿宋_GB2312" w:cs="仿宋_GB2312"/>
          <w:bCs/>
          <w:color w:val="auto"/>
          <w:kern w:val="0"/>
          <w:sz w:val="32"/>
          <w:szCs w:val="32"/>
          <w:lang w:val="en-US" w:eastAsia="zh-CN" w:bidi="ar-SA"/>
        </w:rPr>
        <w:t>97万</w:t>
      </w:r>
      <w:r>
        <w:rPr>
          <w:rFonts w:hint="eastAsia" w:ascii="仿宋_GB2312" w:hAnsi="仿宋_GB2312" w:eastAsia="仿宋_GB2312" w:cs="仿宋_GB2312"/>
          <w:bCs/>
          <w:color w:val="auto"/>
          <w:kern w:val="0"/>
          <w:sz w:val="32"/>
          <w:szCs w:val="32"/>
          <w:lang w:val="en-US" w:eastAsia="zh-CN" w:bidi="ar-SA"/>
        </w:rPr>
        <w:t>元，占6.82%；项目支出7708</w:t>
      </w:r>
      <w:r>
        <w:rPr>
          <w:rFonts w:hint="eastAsia" w:hAnsi="仿宋_GB2312" w:cs="仿宋_GB2312"/>
          <w:bCs/>
          <w:color w:val="auto"/>
          <w:kern w:val="0"/>
          <w:sz w:val="32"/>
          <w:szCs w:val="32"/>
          <w:lang w:val="en-US" w:eastAsia="zh-CN" w:bidi="ar-SA"/>
        </w:rPr>
        <w:t>.54万</w:t>
      </w:r>
      <w:r>
        <w:rPr>
          <w:rFonts w:hint="eastAsia" w:ascii="仿宋_GB2312" w:hAnsi="仿宋_GB2312" w:eastAsia="仿宋_GB2312" w:cs="仿宋_GB2312"/>
          <w:bCs/>
          <w:color w:val="auto"/>
          <w:kern w:val="0"/>
          <w:sz w:val="32"/>
          <w:szCs w:val="32"/>
          <w:lang w:val="en-US" w:eastAsia="zh-CN" w:bidi="ar-SA"/>
        </w:rPr>
        <w:t>元，占93.18%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bidi="ar-SA"/>
        </w:rPr>
        <w:t>年末财政拨款结转和结余</w:t>
      </w:r>
      <w:r>
        <w:rPr>
          <w:rFonts w:hint="eastAsia" w:hAnsi="仿宋_GB2312" w:cs="仿宋_GB2312"/>
          <w:bCs/>
          <w:color w:val="auto"/>
          <w:kern w:val="0"/>
          <w:sz w:val="32"/>
          <w:szCs w:val="32"/>
          <w:lang w:val="en-US" w:eastAsia="zh-CN" w:bidi="ar-SA"/>
        </w:rPr>
        <w:t>607.70万元</w:t>
      </w:r>
      <w:r>
        <w:rPr>
          <w:rFonts w:hint="eastAsia" w:ascii="仿宋_GB2312" w:hAnsi="仿宋_GB2312" w:eastAsia="仿宋_GB2312" w:cs="仿宋_GB2312"/>
          <w:bCs/>
          <w:color w:val="auto"/>
          <w:kern w:val="0"/>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contextualSpacing/>
        <w:jc w:val="both"/>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lang w:eastAsia="zh-CN"/>
        </w:rPr>
        <w:t>三、</w:t>
      </w:r>
      <w:r>
        <w:rPr>
          <w:rFonts w:hint="eastAsia" w:ascii="黑体" w:hAnsi="黑体" w:eastAsia="黑体" w:cs="黑体"/>
          <w:b w:val="0"/>
          <w:bCs w:val="0"/>
          <w:color w:val="auto"/>
          <w:kern w:val="0"/>
          <w:sz w:val="32"/>
          <w:szCs w:val="32"/>
          <w:shd w:val="clear" w:color="auto" w:fill="FFFFFF"/>
        </w:rPr>
        <w:t>部门整体预算绩效管理</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（一）部门预算项目绩效管理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按照预算管理有关规定，目前部门预算的编制实行综合预算制度，即全部收入和支出都反映在预算中。2022年，本部门按要求实行绩效目标管理，部门整体支出绩效目标内容完整，年度主要任务指向明确，符合国民经济和社会发展规划、部门职能及事业发展规划等要求，项目绩效目标内容完整。按数量、质量、成本、时效等分类细化、标准合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部门整体综合绩效目标涉及预算安排9190.31万元，主要用于保障本部门机构正常运转、完成日常工作任务以及承担退役军人服务事业发展相关工作。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1.基本支出612.40万元。其中人员经费533.83万元，主要包括：基本工资、津贴补贴、绩效工资、奖金、各类社会保险缴费、住房公积金、其他社会保障和就业支出等；公用经费78.57万元，主要包括：办公费、印刷费、手续费、水费、电费、邮电费、工会费、其他交通费等。</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jc w:val="both"/>
        <w:textAlignment w:val="auto"/>
        <w:outlineLvl w:val="1"/>
        <w:rPr>
          <w:rFonts w:hint="eastAsia" w:ascii="仿宋_GB2312" w:hAnsi="仿宋_GB2312" w:eastAsia="仿宋_GB2312" w:cs="仿宋_GB2312"/>
          <w:bCs/>
          <w:color w:val="0070C0"/>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2.项目支出8577.91万元，主要为退役军人事务工作经费（含异地扫墓）、烈士陵园管理经费及活动经费、双拥工作经费、退役士兵技能配套经费、县级以下英雄烈士纪念设施整修经费等。</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（二）结果应用情况</w:t>
      </w:r>
    </w:p>
    <w:p>
      <w:pPr>
        <w:keepNext w:val="0"/>
        <w:keepLines w:val="0"/>
        <w:pageBreakBefore w:val="0"/>
        <w:kinsoku/>
        <w:wordWrap/>
        <w:overflowPunct/>
        <w:topLinePunct w:val="0"/>
        <w:autoSpaceDE/>
        <w:autoSpaceDN/>
        <w:bidi w:val="0"/>
        <w:spacing w:afterAutospacing="0" w:line="600" w:lineRule="exact"/>
        <w:ind w:left="12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严格执行财务管理制度，严控“三公经费”等支出。利用财政资金保障了单位的正常运转、履行好了职能职责。</w:t>
      </w:r>
      <w:r>
        <w:rPr>
          <w:rFonts w:hint="eastAsia" w:ascii="仿宋_GB2312" w:hAnsi="仿宋_GB2312" w:eastAsia="仿宋_GB2312" w:cs="仿宋_GB2312"/>
          <w:color w:val="auto"/>
          <w:sz w:val="32"/>
          <w:szCs w:val="32"/>
          <w:lang w:eastAsia="zh-CN"/>
        </w:rPr>
        <w:t>通过整体支出绩效自评，一是增强了退役军人事务部门的绩效评价主体责任意识；二是制定了部门绩效管理办法及项目工作实施方案，建立了长效机制；三是促进下属各单位规范使用项目资金；四是绩效评价结果作为分配上级财政预算项目资金的重要依据。</w:t>
      </w:r>
    </w:p>
    <w:p>
      <w:pPr>
        <w:pStyle w:val="5"/>
        <w:keepNext w:val="0"/>
        <w:keepLines w:val="0"/>
        <w:pageBreakBefore w:val="0"/>
        <w:numPr>
          <w:ilvl w:val="0"/>
          <w:numId w:val="0"/>
        </w:numPr>
        <w:kinsoku/>
        <w:wordWrap/>
        <w:overflowPunct/>
        <w:topLinePunct w:val="0"/>
        <w:autoSpaceDE/>
        <w:autoSpaceDN/>
        <w:bidi w:val="0"/>
        <w:adjustRightInd w:val="0"/>
        <w:snapToGrid w:val="0"/>
        <w:spacing w:beforeLines="0" w:beforeAutospacing="0" w:afterAutospacing="0" w:line="600" w:lineRule="exact"/>
        <w:ind w:firstLine="640" w:firstLineChars="200"/>
        <w:jc w:val="both"/>
        <w:textAlignment w:val="auto"/>
        <w:outlineLvl w:val="2"/>
        <w:rPr>
          <w:rFonts w:hint="eastAsia" w:ascii="楷体_GB2312" w:hAnsi="楷体_GB2312" w:eastAsia="楷体_GB2312" w:cs="楷体_GB2312"/>
          <w:bCs/>
          <w:color w:val="auto"/>
          <w:kern w:val="0"/>
          <w:sz w:val="32"/>
          <w:szCs w:val="32"/>
          <w:lang w:val="zh-CN" w:eastAsia="zh-CN" w:bidi="ar-SA"/>
        </w:rPr>
      </w:pPr>
      <w:r>
        <w:rPr>
          <w:rFonts w:hint="eastAsia" w:ascii="楷体_GB2312" w:hAnsi="楷体_GB2312" w:eastAsia="楷体_GB2312" w:cs="楷体_GB2312"/>
          <w:bCs/>
          <w:color w:val="auto"/>
          <w:kern w:val="0"/>
          <w:sz w:val="32"/>
          <w:szCs w:val="32"/>
          <w:lang w:val="zh-CN" w:eastAsia="zh-CN" w:bidi="ar-SA"/>
        </w:rPr>
        <w:t>（三）自评质量</w:t>
      </w:r>
    </w:p>
    <w:p>
      <w:pPr>
        <w:pStyle w:val="2"/>
        <w:keepNext w:val="0"/>
        <w:keepLines w:val="0"/>
        <w:pageBreakBefore w:val="0"/>
        <w:kinsoku/>
        <w:wordWrap/>
        <w:overflowPunct/>
        <w:topLinePunct w:val="0"/>
        <w:autoSpaceDE/>
        <w:autoSpaceDN/>
        <w:bidi w:val="0"/>
        <w:spacing w:before="0" w:before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2023年度整体绩效评价指标根据部门2022年实际收支情况所做决算，单位预算管理制度健全合规、公开及时，通过实地走访调查及社会调查收集反馈意见。</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黑体" w:hAnsi="黑体" w:eastAsia="黑体" w:cs="黑体"/>
          <w:b w:val="0"/>
          <w:bCs w:val="0"/>
          <w:color w:val="auto"/>
          <w:kern w:val="0"/>
          <w:sz w:val="32"/>
          <w:szCs w:val="32"/>
          <w:shd w:val="clear" w:color="auto" w:fill="FFFFFF"/>
        </w:rPr>
      </w:pPr>
      <w:r>
        <w:rPr>
          <w:rFonts w:hint="eastAsia" w:ascii="黑体" w:hAnsi="黑体" w:eastAsia="黑体" w:cs="黑体"/>
          <w:b w:val="0"/>
          <w:bCs w:val="0"/>
          <w:color w:val="auto"/>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auto"/>
          <w:sz w:val="32"/>
          <w:szCs w:val="32"/>
          <w:lang w:val="zh-CN"/>
        </w:rPr>
      </w:pPr>
      <w:r>
        <w:rPr>
          <w:rFonts w:hint="eastAsia" w:ascii="楷体_GB2312" w:hAnsi="楷体_GB2312" w:eastAsia="楷体_GB2312" w:cs="楷体_GB2312"/>
          <w:b w:val="0"/>
          <w:bCs w:val="0"/>
          <w:color w:val="auto"/>
          <w:kern w:val="0"/>
          <w:sz w:val="32"/>
          <w:szCs w:val="32"/>
          <w:shd w:val="clear" w:color="auto" w:fill="FFFFFF"/>
          <w:lang w:val="zh-CN"/>
        </w:rPr>
        <w:t>（一）评价结论</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在20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年认真编制预算，严格预算执行，完整、准确、及时编制决算，真实反映单位财务状况；建立健全财务管理制度，加强对行政单位财务活动的控制和监督；定期编制财务报告，进行财务活动分析</w:t>
      </w:r>
      <w:r>
        <w:rPr>
          <w:rFonts w:hint="eastAsia" w:ascii="仿宋_GB2312" w:hAnsi="仿宋_GB2312" w:eastAsia="仿宋_GB2312" w:cs="仿宋_GB2312"/>
          <w:color w:val="auto"/>
          <w:sz w:val="32"/>
          <w:szCs w:val="32"/>
          <w:lang w:eastAsia="zh-CN"/>
        </w:rPr>
        <w:t>。预算资金支出符合部门预算批复的用途，按国家财经法规和财务管理制度的规定使用，重大开支执行“三重一大”集体决策程序，资金拨付有完整的审批程序和手续，基础信息和会计资料真实、完整、准确，</w:t>
      </w:r>
      <w:r>
        <w:rPr>
          <w:rFonts w:hint="eastAsia" w:ascii="仿宋_GB2312" w:hAnsi="仿宋_GB2312" w:eastAsia="仿宋_GB2312" w:cs="仿宋_GB2312"/>
          <w:bCs/>
          <w:color w:val="auto"/>
          <w:kern w:val="0"/>
          <w:sz w:val="32"/>
          <w:szCs w:val="32"/>
          <w:lang w:val="en-US" w:eastAsia="zh-CN" w:bidi="ar-SA"/>
        </w:rPr>
        <w:t>及时足额拨付各类项目经费，按政策落实补助标准，较好的完成了绩效目标。</w:t>
      </w:r>
      <w:r>
        <w:rPr>
          <w:rFonts w:hint="eastAsia" w:ascii="仿宋_GB2312" w:hAnsi="仿宋_GB2312" w:eastAsia="仿宋_GB2312" w:cs="仿宋_GB2312"/>
          <w:color w:val="auto"/>
          <w:sz w:val="32"/>
          <w:szCs w:val="32"/>
          <w:lang w:eastAsia="zh-CN"/>
        </w:rPr>
        <w:t>预决算信息已按规定时限和内容在峨眉山市人民政府网站上公开。</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shd w:val="clear" w:color="auto" w:fill="FFFFFF"/>
          <w:lang w:val="zh-CN"/>
        </w:rPr>
      </w:pPr>
      <w:r>
        <w:rPr>
          <w:rFonts w:hint="eastAsia" w:ascii="楷体_GB2312" w:hAnsi="楷体_GB2312" w:eastAsia="楷体_GB2312" w:cs="楷体_GB2312"/>
          <w:b w:val="0"/>
          <w:bCs w:val="0"/>
          <w:color w:val="auto"/>
          <w:kern w:val="0"/>
          <w:sz w:val="32"/>
          <w:szCs w:val="32"/>
          <w:shd w:val="clear" w:color="auto" w:fill="FFFFFF"/>
          <w:lang w:val="zh-CN"/>
        </w:rPr>
        <w:t>（</w:t>
      </w:r>
      <w:r>
        <w:rPr>
          <w:rFonts w:hint="eastAsia" w:ascii="楷体_GB2312" w:hAnsi="楷体_GB2312" w:eastAsia="楷体_GB2312" w:cs="楷体_GB2312"/>
          <w:b w:val="0"/>
          <w:bCs w:val="0"/>
          <w:color w:val="auto"/>
          <w:kern w:val="0"/>
          <w:sz w:val="32"/>
          <w:szCs w:val="32"/>
          <w:shd w:val="clear" w:color="auto" w:fill="FFFFFF"/>
          <w:lang w:val="en-US" w:eastAsia="zh-CN"/>
        </w:rPr>
        <w:t>二</w:t>
      </w:r>
      <w:r>
        <w:rPr>
          <w:rFonts w:hint="eastAsia" w:ascii="楷体_GB2312" w:hAnsi="楷体_GB2312" w:eastAsia="楷体_GB2312" w:cs="楷体_GB2312"/>
          <w:b w:val="0"/>
          <w:bCs w:val="0"/>
          <w:color w:val="auto"/>
          <w:kern w:val="0"/>
          <w:sz w:val="32"/>
          <w:szCs w:val="32"/>
          <w:shd w:val="clear" w:color="auto" w:fill="FFFFFF"/>
          <w:lang w:val="zh-CN"/>
        </w:rPr>
        <w:t>）</w:t>
      </w:r>
      <w:r>
        <w:rPr>
          <w:rFonts w:hint="eastAsia" w:ascii="楷体_GB2312" w:hAnsi="楷体_GB2312" w:eastAsia="楷体_GB2312" w:cs="楷体_GB2312"/>
          <w:b w:val="0"/>
          <w:bCs w:val="0"/>
          <w:color w:val="auto"/>
          <w:kern w:val="0"/>
          <w:sz w:val="32"/>
          <w:szCs w:val="32"/>
          <w:shd w:val="clear" w:color="auto" w:fill="FFFFFF"/>
          <w:lang w:val="en-US" w:eastAsia="zh-CN"/>
        </w:rPr>
        <w:t>存在问题</w:t>
      </w:r>
      <w:r>
        <w:rPr>
          <w:rFonts w:hint="eastAsia" w:ascii="楷体_GB2312" w:hAnsi="楷体_GB2312" w:eastAsia="楷体_GB2312" w:cs="楷体_GB2312"/>
          <w:b w:val="0"/>
          <w:bCs w:val="0"/>
          <w:color w:val="auto"/>
          <w:kern w:val="0"/>
          <w:sz w:val="32"/>
          <w:szCs w:val="32"/>
          <w:shd w:val="clear" w:color="auto" w:fill="FFFFFF"/>
          <w:lang w:val="zh-CN"/>
        </w:rPr>
        <w:t>。</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b w:val="0"/>
          <w:bCs w:val="0"/>
          <w:color w:val="auto"/>
          <w:kern w:val="0"/>
          <w:sz w:val="32"/>
          <w:szCs w:val="32"/>
          <w:shd w:val="clear" w:color="auto" w:fill="FFFFFF"/>
          <w:lang w:val="zh-CN"/>
        </w:rPr>
      </w:pPr>
      <w:r>
        <w:rPr>
          <w:rFonts w:hint="eastAsia" w:ascii="楷体_GB2312" w:hAnsi="楷体_GB2312" w:eastAsia="楷体_GB2312" w:cs="楷体_GB2312"/>
          <w:b w:val="0"/>
          <w:bCs w:val="0"/>
          <w:color w:val="auto"/>
          <w:kern w:val="0"/>
          <w:sz w:val="32"/>
          <w:szCs w:val="32"/>
          <w:shd w:val="clear" w:color="auto" w:fill="FFFFFF"/>
          <w:lang w:val="zh-CN" w:eastAsia="zh-CN"/>
        </w:rPr>
        <w:t>（</w:t>
      </w:r>
      <w:r>
        <w:rPr>
          <w:rFonts w:hint="eastAsia" w:ascii="楷体_GB2312" w:hAnsi="楷体_GB2312" w:eastAsia="楷体_GB2312" w:cs="楷体_GB2312"/>
          <w:b w:val="0"/>
          <w:bCs w:val="0"/>
          <w:color w:val="auto"/>
          <w:kern w:val="0"/>
          <w:sz w:val="32"/>
          <w:szCs w:val="32"/>
          <w:shd w:val="clear" w:color="auto" w:fill="FFFFFF"/>
          <w:lang w:val="en-US" w:eastAsia="zh-CN"/>
        </w:rPr>
        <w:t>三</w:t>
      </w:r>
      <w:r>
        <w:rPr>
          <w:rFonts w:hint="eastAsia" w:ascii="楷体_GB2312" w:hAnsi="楷体_GB2312" w:eastAsia="楷体_GB2312" w:cs="楷体_GB2312"/>
          <w:b w:val="0"/>
          <w:bCs w:val="0"/>
          <w:color w:val="auto"/>
          <w:kern w:val="0"/>
          <w:sz w:val="32"/>
          <w:szCs w:val="32"/>
          <w:shd w:val="clear" w:color="auto" w:fill="FFFFFF"/>
          <w:lang w:val="zh-CN" w:eastAsia="zh-CN"/>
        </w:rPr>
        <w:t>）</w:t>
      </w:r>
      <w:r>
        <w:rPr>
          <w:rFonts w:hint="eastAsia" w:ascii="楷体_GB2312" w:hAnsi="楷体_GB2312" w:eastAsia="楷体_GB2312" w:cs="楷体_GB2312"/>
          <w:b w:val="0"/>
          <w:bCs w:val="0"/>
          <w:color w:val="auto"/>
          <w:kern w:val="0"/>
          <w:sz w:val="32"/>
          <w:szCs w:val="32"/>
          <w:shd w:val="clear" w:color="auto" w:fill="FFFFFF"/>
          <w:lang w:val="zh-CN"/>
        </w:rPr>
        <w:t>改进建议</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z w:val="32"/>
          <w:szCs w:val="32"/>
        </w:rPr>
        <w:t>无</w:t>
      </w:r>
    </w:p>
    <w:p>
      <w:pPr>
        <w:pStyle w:val="11"/>
        <w:spacing w:after="0" w:afterAutospacing="0" w:line="560" w:lineRule="exact"/>
        <w:ind w:left="0" w:leftChars="0" w:firstLine="640"/>
        <w:jc w:val="both"/>
        <w:rPr>
          <w:rFonts w:hint="eastAsia" w:ascii="仿宋_GB2312" w:hAnsi="仿宋_GB2312" w:eastAsia="仿宋_GB2312" w:cs="仿宋_GB2312"/>
          <w:color w:val="0000FF"/>
          <w:sz w:val="32"/>
          <w:szCs w:val="32"/>
          <w:lang w:val="zh-CN"/>
        </w:rPr>
      </w:pPr>
    </w:p>
    <w:p>
      <w:pPr>
        <w:pStyle w:val="11"/>
        <w:spacing w:beforeAutospacing="0" w:after="0" w:afterAutospacing="0" w:line="560" w:lineRule="exact"/>
        <w:ind w:left="638" w:leftChars="304" w:firstLine="0" w:firstLineChars="0"/>
        <w:rPr>
          <w:rFonts w:hint="eastAsia" w:hAnsi="仿宋_GB2312" w:eastAsia="仿宋_GB2312" w:cs="仿宋_GB2312"/>
          <w:color w:val="auto"/>
          <w:sz w:val="32"/>
          <w:lang w:val="en-US" w:eastAsia="zh-CN"/>
        </w:rPr>
      </w:pPr>
      <w:r>
        <w:rPr>
          <w:rFonts w:hint="eastAsia" w:hAnsi="仿宋_GB2312" w:eastAsia="仿宋_GB2312" w:cs="仿宋_GB2312"/>
          <w:color w:val="auto"/>
          <w:sz w:val="32"/>
          <w:lang w:val="zh-CN"/>
        </w:rPr>
        <w:t>附表：</w:t>
      </w:r>
      <w:r>
        <w:rPr>
          <w:rFonts w:hint="eastAsia" w:hAnsi="仿宋_GB2312" w:eastAsia="仿宋_GB2312" w:cs="仿宋_GB2312"/>
          <w:color w:val="auto"/>
          <w:sz w:val="32"/>
        </w:rPr>
        <w:t>部门预算项目支出绩效自评表（2022年度）</w:t>
      </w:r>
      <w:r>
        <w:rPr>
          <w:rFonts w:hint="eastAsia" w:hAnsi="仿宋_GB2312" w:eastAsia="仿宋_GB2312" w:cs="仿宋_GB2312"/>
          <w:color w:val="auto"/>
          <w:sz w:val="32"/>
          <w:lang w:val="en-US" w:eastAsia="zh-CN"/>
        </w:rPr>
        <w:t xml:space="preserve">     </w:t>
      </w:r>
    </w:p>
    <w:p>
      <w:pPr>
        <w:pStyle w:val="11"/>
        <w:spacing w:beforeAutospacing="0" w:after="0" w:afterAutospacing="0" w:line="560" w:lineRule="exact"/>
        <w:ind w:left="638" w:leftChars="304" w:firstLine="0" w:firstLineChars="0"/>
        <w:rPr>
          <w:rFonts w:hint="default" w:hAnsi="仿宋_GB2312" w:eastAsia="仿宋_GB2312" w:cs="仿宋_GB2312"/>
          <w:color w:val="auto"/>
          <w:sz w:val="32"/>
          <w:lang w:val="en-US" w:eastAsia="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Ansi="宋体" w:cs="宋体"/>
          <w:color w:val="0000FF"/>
          <w:sz w:val="32"/>
          <w:szCs w:val="32"/>
          <w:shd w:val="clear" w:color="auto" w:fill="FFFFFF"/>
          <w:lang w:val="zh-CN"/>
        </w:rPr>
      </w:pPr>
    </w:p>
    <w:p>
      <w:pPr>
        <w:pStyle w:val="5"/>
        <w:spacing w:beforeLines="0" w:beforeAutospacing="0" w:afterAutospacing="0"/>
        <w:rPr>
          <w:rFonts w:hint="eastAsia" w:ascii="黑体" w:hAnsi="黑体" w:eastAsia="黑体" w:cs="黑体"/>
          <w:color w:val="auto"/>
          <w:sz w:val="32"/>
          <w:szCs w:val="32"/>
          <w:shd w:val="clear" w:color="auto" w:fill="FFFFFF"/>
          <w:lang w:val="zh-CN"/>
        </w:rPr>
      </w:pPr>
      <w:r>
        <w:rPr>
          <w:rFonts w:hint="eastAsia" w:ascii="黑体" w:hAnsi="黑体" w:eastAsia="黑体" w:cs="黑体"/>
          <w:color w:val="auto"/>
          <w:sz w:val="32"/>
          <w:szCs w:val="32"/>
          <w:shd w:val="clear" w:color="auto" w:fill="FFFFFF"/>
          <w:lang w:val="zh-CN"/>
        </w:rPr>
        <w:t>附表</w:t>
      </w:r>
    </w:p>
    <w:tbl>
      <w:tblPr>
        <w:tblStyle w:val="12"/>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060"/>
        <w:gridCol w:w="769"/>
        <w:gridCol w:w="1308"/>
        <w:gridCol w:w="398"/>
        <w:gridCol w:w="833"/>
        <w:gridCol w:w="395"/>
        <w:gridCol w:w="861"/>
        <w:gridCol w:w="490"/>
        <w:gridCol w:w="487"/>
        <w:gridCol w:w="1346"/>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pct"/>
          <w:trHeight w:val="904" w:hRule="atLeast"/>
        </w:trPr>
        <w:tc>
          <w:tcPr>
            <w:tcW w:w="499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17"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51118121T000000058255-烈士陵园管理经费及活动经费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12" w:hRule="atLeast"/>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50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13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6"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708"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褒扬烈士，加强烈士纪念设施保护管理，弘扬爱国主义、集体主义精神和社会主义道德风尚，促进社会主义精神文明建设</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褒扬烈士，加强了烈士纪念设施保护管理，弘扬了爱国主义、集体主义精神和社会主义道德风尚，促进社会主义精神文明建设，预算执行率100%。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93"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保护管理烈士纪念设施，进行烈士陵园日常维护、修理，举办公祭活动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7.24</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7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由于防疫要求，活动规模减小，追减资金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7.24</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清明、公祭日开展祭扫活动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场次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经费足额拨付率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开展烈士史料征集研究、事迹编纂和陈列展示工作，组织烈士纪念活动，宣传烈士的英雄事迹、献身精神和高尚品质。充分发挥红色资源优势，发挥爱国主义教育基地作用。</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可持续影响指标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弘扬爱国主义、集体主义精神和社会主义道德风尚，促进社会主义精神文明建设</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烈士家属满意度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0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弘扬爱国主义、集体主义精神和社会主义道德风尚，促进社会主义精神文明建设，预算执行率达到100%，目标完成良好。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72"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33"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465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25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rPr>
          <w:sz w:val="22"/>
          <w:szCs w:val="28"/>
        </w:rPr>
      </w:pPr>
    </w:p>
    <w:p>
      <w:pPr>
        <w:pStyle w:val="2"/>
        <w:rPr>
          <w:sz w:val="32"/>
          <w:szCs w:val="32"/>
        </w:rPr>
      </w:pPr>
    </w:p>
    <w:p>
      <w:pPr>
        <w:rPr>
          <w:sz w:val="22"/>
          <w:szCs w:val="28"/>
        </w:rPr>
      </w:pPr>
    </w:p>
    <w:p>
      <w:pPr>
        <w:pStyle w:val="2"/>
        <w:jc w:val="both"/>
        <w:rPr>
          <w:sz w:val="32"/>
          <w:szCs w:val="32"/>
        </w:rPr>
      </w:pPr>
    </w:p>
    <w:p>
      <w:pPr>
        <w:rPr>
          <w:sz w:val="22"/>
          <w:szCs w:val="28"/>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752"/>
        <w:gridCol w:w="805"/>
        <w:gridCol w:w="1788"/>
        <w:gridCol w:w="457"/>
        <w:gridCol w:w="564"/>
        <w:gridCol w:w="457"/>
        <w:gridCol w:w="984"/>
        <w:gridCol w:w="523"/>
        <w:gridCol w:w="523"/>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51118121T000000058338-双拥工作经费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促进双拥工作和部队稳定，维护双拥模范城称号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促进双拥工作和部队稳定，顺利完成双拥模范城届中考评，预算执行率100%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促进双拥工作和部队稳定，维护双拥模范城称号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受疫情影响，各类活动规模减小，追减预算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节日期间对全市涉军群体发送慰问短信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4万条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广泛进行全民国防教育，增强全民国防拥军观念；为军队选送优质兵员，协助人民解放军建设强大的国防；支持军队的改革和建设，帮助军队完成作战和训练任务；维护双拥模范城称号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主要为慰问部队和重点优抚对象支出。项目支出预算年末执行率≧95%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保障工作正常运转，慰问部队效果良好，体现了党和国家对优抚对象的关心和对部队广大官兵的慰问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发挥“双拥”宣传作用，保持省级双拥模范城称号。密切军政军民关系，增进军政军民团结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军人和军属满意度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促进双拥工作和部队稳定，顺利完成双拥模范城届中考评，预算执行率100%，目标完成良好。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pStyle w:val="2"/>
        <w:jc w:val="both"/>
        <w:rPr>
          <w:sz w:val="32"/>
          <w:szCs w:val="32"/>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705"/>
        <w:gridCol w:w="806"/>
        <w:gridCol w:w="1398"/>
        <w:gridCol w:w="459"/>
        <w:gridCol w:w="471"/>
        <w:gridCol w:w="459"/>
        <w:gridCol w:w="1141"/>
        <w:gridCol w:w="578"/>
        <w:gridCol w:w="578"/>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51118121T000000058369-退役军人事务工作经费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创建全国示范型退役军人服务中心（站）、创业就业扶持、迎接退役军人返乡、立功受奖、优抚年审、光荣牌悬挂和权益维护经费，建立健全异地祭扫长效工作机制，规范组织服务工作，在全社会树立缅怀英烈、尊重烈属的良好风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创建全国示范型退役军人服务中心（站）、创业就业扶持、迎接退役军人返乡、立功受奖、优抚年审、光荣牌悬挂和权益维护经费，建立健全异地祭扫长效工作机制，规范组织服务工作，在全社会树立缅怀英烈、尊重烈属的良好风尚，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创建全国示范型退役军人服务中心（站）、创业就业扶持、迎接退役军人返乡、立功受奖、优抚年审、光荣牌悬挂和权益维护经费，建立健全异地祭扫长效工作机制，规范组织服务工作。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受疫情影响，各类活动规模减小，追减预算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祭扫时间从“每三年一次”调整为“每年一次”， 同行人员不超过三人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20户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切实加强烈士亲属异地祭扫组织服务工作的组织领导，强化政治责任和使命担当，经费保障落实率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通过常态性走访慰问、创业就业扶持、迎接退役军人返乡、光荣牌悬挂和权益维护经费等活动，提升服务意识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加大服务中心对退役军人帮扶解困、荣誉褒奖、走访慰问等方面工作力度，密切服务对象关系，促进工作良性发展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烈士家属满意度和返乡军人满意度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创建全国示范型退役军人服务中心（站）、创业就业扶持、迎接退役军人返乡、立功受奖、优抚年审、光荣牌悬挂和权益维护经费，建立健全异地祭扫长效工作机制，规范组织服务工作，在全社会树立缅怀英烈、尊重烈属的良好风尚，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rPr>
          <w:sz w:val="22"/>
          <w:szCs w:val="28"/>
        </w:rPr>
      </w:pPr>
    </w:p>
    <w:p>
      <w:pPr>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rPr>
          <w:sz w:val="22"/>
          <w:szCs w:val="28"/>
        </w:rPr>
      </w:pPr>
    </w:p>
    <w:p>
      <w:pPr>
        <w:rPr>
          <w:sz w:val="22"/>
          <w:szCs w:val="28"/>
        </w:rPr>
      </w:pPr>
    </w:p>
    <w:p>
      <w:pPr>
        <w:pStyle w:val="2"/>
      </w:pPr>
    </w:p>
    <w:p>
      <w:pPr>
        <w:pStyle w:val="2"/>
        <w:rPr>
          <w:sz w:val="32"/>
          <w:szCs w:val="32"/>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879"/>
        <w:gridCol w:w="887"/>
        <w:gridCol w:w="1063"/>
        <w:gridCol w:w="495"/>
        <w:gridCol w:w="608"/>
        <w:gridCol w:w="495"/>
        <w:gridCol w:w="1048"/>
        <w:gridCol w:w="529"/>
        <w:gridCol w:w="529"/>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51118121T000000058842-退役士兵技能培训配套经费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保障部分退役士兵培训补助落实到位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保障部分退役士兵培训补助落实到位，预算执行率100%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保障部分退役士兵培训补助落实到位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受疫情影响，培训活动规模减小，追减预算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培训政策落实率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培训补助标准按规定执行率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经费的申请和使用按需申请并及时足额发放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对退役士兵安置的权益保障作用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受培训对象满意度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保障部分退役士兵培训补助落实到位，预算执行率100%，目标完成良好。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64"/>
        <w:gridCol w:w="812"/>
        <w:gridCol w:w="1606"/>
        <w:gridCol w:w="460"/>
        <w:gridCol w:w="568"/>
        <w:gridCol w:w="460"/>
        <w:gridCol w:w="1125"/>
        <w:gridCol w:w="567"/>
        <w:gridCol w:w="567"/>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51118122T000000263984-县级以下英雄烈士纪念设施整修经费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对县级以下烈士纪念设施应修尽修，范围包括烈士墓修整、其他烈士纪念设施整修和烈士纪念堂馆改陈布展。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对县级以下烈士纪念设施应修尽修，范围包括烈士墓修整、其他烈士纪念设施整修和烈士纪念堂馆改陈布展，预算执行率100%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对县级以下烈士纪念设施应修尽修，范围包括烈士墓修整、其他烈士纪念设施整修和烈士纪念堂馆改陈布展。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依据时间整修情况追减预算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民生工程资金足额拨付率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按上级要求完成对英雄烈士纪念设施整修工程的项目验收工作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据实拟定整修计划，明确整修内容、资金投入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充分挖掘英烈事迹和陈列展示工作，组织烈士纪念活动，宣传烈士的英雄事迹、献身精神和高尚品质。充分发挥红色资源优势，发挥爱国主义教育基地作用。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烈士家属满意度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对县级以下烈士纪念设施应修尽修，范围包括烈士墓修整、其他烈士纪念设施整修和烈士纪念堂馆改陈布展，预算执行率100%，目标完成良好。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rPr>
          <w:sz w:val="32"/>
          <w:szCs w:val="32"/>
        </w:rPr>
      </w:pPr>
    </w:p>
    <w:p>
      <w:pPr>
        <w:rPr>
          <w:sz w:val="22"/>
          <w:szCs w:val="28"/>
        </w:rPr>
      </w:pPr>
    </w:p>
    <w:p>
      <w:pPr>
        <w:pStyle w:val="2"/>
        <w:jc w:val="both"/>
        <w:rPr>
          <w:sz w:val="32"/>
          <w:szCs w:val="32"/>
        </w:rPr>
      </w:pPr>
    </w:p>
    <w:p>
      <w:pPr>
        <w:rPr>
          <w:sz w:val="22"/>
          <w:szCs w:val="28"/>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6"/>
        <w:gridCol w:w="1040"/>
        <w:gridCol w:w="701"/>
        <w:gridCol w:w="944"/>
        <w:gridCol w:w="544"/>
        <w:gridCol w:w="580"/>
        <w:gridCol w:w="544"/>
        <w:gridCol w:w="1136"/>
        <w:gridCol w:w="540"/>
        <w:gridCol w:w="540"/>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51118122T000005208948-上级拨双拥经费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促进双拥工作和部队稳定，营造拥军优属氛围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促进双拥工作和部队稳定，营造拥军优属氛围，预算执行率100%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促进双拥工作和部队稳定，营造拥军优属氛围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179.91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依据实际工作需要追加预算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179.91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179.91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促进双拥工作和部队稳定，营造拥军优属氛围，预算执行率100%，目标完成良好。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pStyle w:val="2"/>
        <w:rPr>
          <w:sz w:val="32"/>
          <w:szCs w:val="32"/>
        </w:rPr>
      </w:pPr>
    </w:p>
    <w:p>
      <w:pPr>
        <w:rPr>
          <w:sz w:val="22"/>
          <w:szCs w:val="28"/>
        </w:rPr>
      </w:pPr>
    </w:p>
    <w:p>
      <w:pPr>
        <w:pStyle w:val="2"/>
        <w:rPr>
          <w:sz w:val="32"/>
          <w:szCs w:val="32"/>
        </w:rPr>
      </w:pPr>
    </w:p>
    <w:p>
      <w:pPr>
        <w:rPr>
          <w:sz w:val="22"/>
          <w:szCs w:val="28"/>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
        <w:gridCol w:w="1062"/>
        <w:gridCol w:w="705"/>
        <w:gridCol w:w="950"/>
        <w:gridCol w:w="550"/>
        <w:gridCol w:w="583"/>
        <w:gridCol w:w="550"/>
        <w:gridCol w:w="1061"/>
        <w:gridCol w:w="538"/>
        <w:gridCol w:w="538"/>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51118122T000005730708-中省拨军休经费和自主就业培训管理经费等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退役军人事务局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峨眉山市退役军人事务局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保障部分退役士兵培训补助落实到位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保障部分退役士兵培训补助落实到位，预算执行率100%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保障部分退役士兵培训补助落实到位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135.45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依据实际工作需要追加预算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135.45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68.83%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保障部分退役士兵培训补助落实到位，预算执行率100%，目标完成良好。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项目负责人：沈力军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财务负责人：管晓菲</w:t>
            </w:r>
          </w:p>
        </w:tc>
      </w:tr>
    </w:tbl>
    <w:p>
      <w:pPr>
        <w:pStyle w:val="2"/>
        <w:rPr>
          <w:sz w:val="32"/>
          <w:szCs w:val="32"/>
        </w:rPr>
      </w:pPr>
    </w:p>
    <w:p>
      <w:pPr>
        <w:rPr>
          <w:sz w:val="22"/>
          <w:szCs w:val="28"/>
        </w:rPr>
      </w:pPr>
    </w:p>
    <w:p>
      <w:pPr>
        <w:pStyle w:val="2"/>
        <w:rPr>
          <w:sz w:val="32"/>
          <w:szCs w:val="32"/>
        </w:rPr>
      </w:pPr>
    </w:p>
    <w:p>
      <w:pPr>
        <w:rPr>
          <w:sz w:val="22"/>
          <w:szCs w:val="28"/>
        </w:rPr>
      </w:pP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984"/>
        <w:gridCol w:w="595"/>
        <w:gridCol w:w="1022"/>
        <w:gridCol w:w="595"/>
        <w:gridCol w:w="545"/>
        <w:gridCol w:w="595"/>
        <w:gridCol w:w="1078"/>
        <w:gridCol w:w="554"/>
        <w:gridCol w:w="554"/>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51118122T000005613829-军休管理机构经费（用房经费、维修改造资金）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峨眉山市军队离退休干部干休所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落实军休干部“政治待遇”、“生活待遇”，保障军休服务管理机构正常运行。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落实军休干部“政治待遇”、“生活待遇”，保障军休服务管理机构正常运行。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保障军休干部政治、生活待遇有效落实，保障军休服务管理机构正常运行。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依据实际维修维护需要追加预算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107.35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iCs/>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项目自评总分100分，保障军休干部政治、生活待遇有效落实，保障军休服务管理机构正常运行。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项目负责人：陈锐</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财务负责人：徐刚</w:t>
            </w:r>
          </w:p>
        </w:tc>
      </w:tr>
    </w:tbl>
    <w:p>
      <w:pPr>
        <w:pStyle w:val="2"/>
        <w:jc w:val="both"/>
        <w:rPr>
          <w:sz w:val="32"/>
          <w:szCs w:val="32"/>
        </w:rPr>
      </w:pPr>
    </w:p>
    <w:p>
      <w:pPr>
        <w:spacing w:line="600" w:lineRule="exact"/>
        <w:jc w:val="center"/>
        <w:outlineLvl w:val="0"/>
        <w:rPr>
          <w:rFonts w:ascii="仿宋" w:hAnsi="仿宋" w:eastAsia="仿宋"/>
          <w:color w:val="auto"/>
        </w:rPr>
      </w:pPr>
      <w:bookmarkStart w:id="54" w:name="_Toc15396618"/>
      <w:r>
        <w:rPr>
          <w:rFonts w:hint="eastAsia" w:ascii="黑体" w:hAnsi="黑体" w:eastAsia="黑体"/>
          <w:color w:val="auto"/>
          <w:sz w:val="44"/>
          <w:szCs w:val="44"/>
        </w:rPr>
        <w:t>第</w:t>
      </w:r>
      <w:r>
        <w:rPr>
          <w:rStyle w:val="15"/>
          <w:rFonts w:hint="eastAsia" w:ascii="黑体" w:hAnsi="黑体" w:eastAsia="黑体"/>
          <w:b w:val="0"/>
          <w:color w:val="auto"/>
        </w:rPr>
        <w:t>五部分 附表</w:t>
      </w:r>
      <w:bookmarkEnd w:id="54"/>
      <w:bookmarkStart w:id="55" w:name="_Toc15396619"/>
    </w:p>
    <w:p>
      <w:pPr>
        <w:pStyle w:val="4"/>
        <w:rPr>
          <w:rFonts w:ascii="仿宋" w:hAnsi="仿宋" w:eastAsia="仿宋"/>
          <w:color w:val="auto"/>
        </w:rPr>
      </w:pPr>
      <w:r>
        <w:rPr>
          <w:rFonts w:hint="eastAsia" w:ascii="仿宋" w:hAnsi="仿宋" w:eastAsia="仿宋"/>
          <w:b w:val="0"/>
          <w:color w:val="auto"/>
        </w:rPr>
        <w:t>一、收</w:t>
      </w:r>
      <w:r>
        <w:rPr>
          <w:rStyle w:val="17"/>
          <w:rFonts w:hint="eastAsia" w:ascii="仿宋" w:hAnsi="仿宋" w:eastAsia="仿宋"/>
          <w:b w:val="0"/>
          <w:bCs w:val="0"/>
          <w:color w:val="auto"/>
        </w:rPr>
        <w:t>入支出决算总表</w:t>
      </w:r>
      <w:bookmarkEnd w:id="55"/>
    </w:p>
    <w:p>
      <w:pPr>
        <w:pStyle w:val="4"/>
        <w:rPr>
          <w:rFonts w:ascii="仿宋" w:hAnsi="仿宋" w:eastAsia="仿宋"/>
          <w:color w:val="auto"/>
        </w:rPr>
      </w:pPr>
      <w:bookmarkStart w:id="56" w:name="_Toc15396620"/>
      <w:r>
        <w:rPr>
          <w:rFonts w:hint="eastAsia" w:ascii="仿宋" w:hAnsi="仿宋" w:eastAsia="仿宋"/>
          <w:b w:val="0"/>
          <w:color w:val="auto"/>
        </w:rPr>
        <w:t>二、收</w:t>
      </w:r>
      <w:r>
        <w:rPr>
          <w:rStyle w:val="17"/>
          <w:rFonts w:hint="eastAsia" w:ascii="仿宋" w:hAnsi="仿宋" w:eastAsia="仿宋"/>
          <w:b w:val="0"/>
          <w:bCs w:val="0"/>
          <w:color w:val="auto"/>
        </w:rPr>
        <w:t>入决算表</w:t>
      </w:r>
      <w:bookmarkEnd w:id="56"/>
    </w:p>
    <w:p>
      <w:pPr>
        <w:pStyle w:val="4"/>
        <w:rPr>
          <w:rFonts w:ascii="仿宋" w:hAnsi="仿宋" w:eastAsia="仿宋"/>
          <w:color w:val="auto"/>
        </w:rPr>
      </w:pPr>
      <w:bookmarkStart w:id="57" w:name="_Toc15396621"/>
      <w:r>
        <w:rPr>
          <w:rStyle w:val="17"/>
          <w:rFonts w:hint="eastAsia" w:ascii="仿宋" w:hAnsi="仿宋" w:eastAsia="仿宋"/>
          <w:b w:val="0"/>
          <w:bCs w:val="0"/>
          <w:color w:val="auto"/>
        </w:rPr>
        <w:t>三、</w:t>
      </w:r>
      <w:r>
        <w:rPr>
          <w:rFonts w:hint="eastAsia" w:ascii="仿宋" w:hAnsi="仿宋" w:eastAsia="仿宋"/>
          <w:b w:val="0"/>
          <w:color w:val="auto"/>
        </w:rPr>
        <w:t>支</w:t>
      </w:r>
      <w:r>
        <w:rPr>
          <w:rStyle w:val="17"/>
          <w:rFonts w:hint="eastAsia" w:ascii="仿宋" w:hAnsi="仿宋" w:eastAsia="仿宋"/>
          <w:b w:val="0"/>
          <w:bCs w:val="0"/>
          <w:color w:val="auto"/>
        </w:rPr>
        <w:t>出决算表</w:t>
      </w:r>
      <w:bookmarkEnd w:id="57"/>
    </w:p>
    <w:p>
      <w:pPr>
        <w:pStyle w:val="4"/>
        <w:rPr>
          <w:rStyle w:val="17"/>
          <w:rFonts w:ascii="仿宋" w:hAnsi="仿宋" w:eastAsia="仿宋"/>
          <w:b w:val="0"/>
          <w:bCs w:val="0"/>
          <w:color w:val="auto"/>
        </w:rPr>
      </w:pPr>
      <w:bookmarkStart w:id="58" w:name="_Toc15396622"/>
      <w:r>
        <w:rPr>
          <w:rStyle w:val="17"/>
          <w:rFonts w:hint="eastAsia" w:ascii="仿宋" w:hAnsi="仿宋" w:eastAsia="仿宋"/>
          <w:b w:val="0"/>
          <w:bCs w:val="0"/>
          <w:color w:val="auto"/>
        </w:rPr>
        <w:t>四、</w:t>
      </w:r>
      <w:r>
        <w:rPr>
          <w:rFonts w:hint="eastAsia" w:ascii="仿宋" w:hAnsi="仿宋" w:eastAsia="仿宋"/>
          <w:b w:val="0"/>
          <w:color w:val="auto"/>
        </w:rPr>
        <w:t>财</w:t>
      </w:r>
      <w:r>
        <w:rPr>
          <w:rStyle w:val="17"/>
          <w:rFonts w:hint="eastAsia" w:ascii="仿宋" w:hAnsi="仿宋" w:eastAsia="仿宋"/>
          <w:b w:val="0"/>
          <w:bCs w:val="0"/>
          <w:color w:val="auto"/>
        </w:rPr>
        <w:t>政拨款收入支出决算总表</w:t>
      </w:r>
      <w:bookmarkEnd w:id="58"/>
      <w:bookmarkStart w:id="59" w:name="_Toc15396624"/>
    </w:p>
    <w:p>
      <w:pPr>
        <w:pStyle w:val="4"/>
        <w:rPr>
          <w:rFonts w:ascii="仿宋" w:hAnsi="仿宋" w:eastAsia="仿宋"/>
          <w:color w:val="auto"/>
        </w:rPr>
      </w:pPr>
      <w:r>
        <w:rPr>
          <w:rStyle w:val="17"/>
          <w:rFonts w:hint="eastAsia" w:ascii="仿宋" w:hAnsi="仿宋" w:eastAsia="仿宋"/>
          <w:b w:val="0"/>
          <w:bCs w:val="0"/>
          <w:color w:val="auto"/>
          <w:lang w:eastAsia="zh-CN"/>
        </w:rPr>
        <w:t>五</w:t>
      </w:r>
      <w:r>
        <w:rPr>
          <w:rStyle w:val="17"/>
          <w:rFonts w:hint="eastAsia" w:ascii="仿宋" w:hAnsi="仿宋" w:eastAsia="仿宋"/>
          <w:b w:val="0"/>
          <w:bCs w:val="0"/>
          <w:color w:val="auto"/>
        </w:rPr>
        <w:t>、</w:t>
      </w:r>
      <w:r>
        <w:rPr>
          <w:rFonts w:hint="eastAsia" w:ascii="仿宋" w:hAnsi="仿宋" w:eastAsia="仿宋"/>
          <w:b w:val="0"/>
          <w:color w:val="auto"/>
        </w:rPr>
        <w:t>一</w:t>
      </w:r>
      <w:r>
        <w:rPr>
          <w:rStyle w:val="17"/>
          <w:rFonts w:hint="eastAsia" w:ascii="仿宋" w:hAnsi="仿宋" w:eastAsia="仿宋"/>
          <w:b w:val="0"/>
          <w:bCs w:val="0"/>
          <w:color w:val="auto"/>
        </w:rPr>
        <w:t>般公共预算财政拨款支出决算表</w:t>
      </w:r>
      <w:bookmarkEnd w:id="59"/>
    </w:p>
    <w:p>
      <w:pPr>
        <w:pStyle w:val="4"/>
        <w:rPr>
          <w:rFonts w:ascii="仿宋" w:hAnsi="仿宋" w:eastAsia="仿宋"/>
          <w:color w:val="auto"/>
        </w:rPr>
      </w:pPr>
      <w:bookmarkStart w:id="60" w:name="_Toc15396626"/>
      <w:r>
        <w:rPr>
          <w:rStyle w:val="17"/>
          <w:rFonts w:hint="eastAsia" w:ascii="仿宋" w:hAnsi="仿宋" w:eastAsia="仿宋"/>
          <w:b w:val="0"/>
          <w:bCs w:val="0"/>
          <w:color w:val="auto"/>
          <w:lang w:eastAsia="zh-CN"/>
        </w:rPr>
        <w:t>六</w:t>
      </w:r>
      <w:r>
        <w:rPr>
          <w:rStyle w:val="17"/>
          <w:rFonts w:hint="eastAsia" w:ascii="仿宋" w:hAnsi="仿宋" w:eastAsia="仿宋"/>
          <w:b w:val="0"/>
          <w:bCs w:val="0"/>
          <w:color w:val="auto"/>
        </w:rPr>
        <w:t>、</w:t>
      </w:r>
      <w:r>
        <w:rPr>
          <w:rFonts w:hint="eastAsia" w:ascii="仿宋" w:hAnsi="仿宋" w:eastAsia="仿宋"/>
          <w:b w:val="0"/>
          <w:color w:val="auto"/>
        </w:rPr>
        <w:t>一</w:t>
      </w:r>
      <w:r>
        <w:rPr>
          <w:rStyle w:val="17"/>
          <w:rFonts w:hint="eastAsia" w:ascii="仿宋" w:hAnsi="仿宋" w:eastAsia="仿宋"/>
          <w:b w:val="0"/>
          <w:bCs w:val="0"/>
          <w:color w:val="auto"/>
        </w:rPr>
        <w:t>般公共预算财政拨款基本支出决算表</w:t>
      </w:r>
      <w:bookmarkEnd w:id="60"/>
    </w:p>
    <w:p>
      <w:pPr>
        <w:pStyle w:val="4"/>
        <w:rPr>
          <w:rFonts w:ascii="仿宋" w:hAnsi="仿宋" w:eastAsia="仿宋"/>
          <w:color w:val="auto"/>
        </w:rPr>
      </w:pPr>
      <w:bookmarkStart w:id="61" w:name="_Toc15396627"/>
      <w:r>
        <w:rPr>
          <w:rStyle w:val="17"/>
          <w:rFonts w:hint="eastAsia" w:ascii="仿宋" w:hAnsi="仿宋" w:eastAsia="仿宋"/>
          <w:b w:val="0"/>
          <w:bCs w:val="0"/>
          <w:color w:val="auto"/>
          <w:lang w:eastAsia="zh-CN"/>
        </w:rPr>
        <w:t>七</w:t>
      </w:r>
      <w:r>
        <w:rPr>
          <w:rStyle w:val="17"/>
          <w:rFonts w:hint="eastAsia" w:ascii="仿宋" w:hAnsi="仿宋" w:eastAsia="仿宋"/>
          <w:b w:val="0"/>
          <w:bCs w:val="0"/>
          <w:color w:val="auto"/>
        </w:rPr>
        <w:t>、</w:t>
      </w:r>
      <w:r>
        <w:rPr>
          <w:rFonts w:hint="eastAsia" w:ascii="仿宋" w:hAnsi="仿宋" w:eastAsia="仿宋"/>
          <w:b w:val="0"/>
          <w:color w:val="auto"/>
        </w:rPr>
        <w:t>一</w:t>
      </w:r>
      <w:r>
        <w:rPr>
          <w:rStyle w:val="17"/>
          <w:rFonts w:hint="eastAsia" w:ascii="仿宋" w:hAnsi="仿宋" w:eastAsia="仿宋"/>
          <w:b w:val="0"/>
          <w:bCs w:val="0"/>
          <w:color w:val="auto"/>
        </w:rPr>
        <w:t>般公共预算财政拨款项目支出决算表</w:t>
      </w:r>
      <w:bookmarkEnd w:id="61"/>
    </w:p>
    <w:p>
      <w:pPr>
        <w:pStyle w:val="4"/>
        <w:rPr>
          <w:rFonts w:ascii="仿宋" w:hAnsi="仿宋" w:eastAsia="仿宋"/>
          <w:color w:val="auto"/>
        </w:rPr>
      </w:pPr>
      <w:bookmarkStart w:id="62" w:name="_Toc15396629"/>
      <w:r>
        <w:rPr>
          <w:rStyle w:val="17"/>
          <w:rFonts w:hint="eastAsia" w:ascii="仿宋" w:hAnsi="仿宋" w:eastAsia="仿宋"/>
          <w:b w:val="0"/>
          <w:bCs w:val="0"/>
          <w:color w:val="auto"/>
          <w:lang w:eastAsia="zh-CN"/>
        </w:rPr>
        <w:t>九</w:t>
      </w:r>
      <w:r>
        <w:rPr>
          <w:rStyle w:val="17"/>
          <w:rFonts w:hint="eastAsia" w:ascii="仿宋" w:hAnsi="仿宋" w:eastAsia="仿宋"/>
          <w:b w:val="0"/>
          <w:bCs w:val="0"/>
          <w:color w:val="auto"/>
        </w:rPr>
        <w:t>、</w:t>
      </w:r>
      <w:bookmarkEnd w:id="62"/>
      <w:r>
        <w:rPr>
          <w:rFonts w:hint="eastAsia" w:ascii="仿宋" w:hAnsi="仿宋" w:eastAsia="仿宋"/>
          <w:b w:val="0"/>
          <w:color w:val="auto"/>
        </w:rPr>
        <w:t>国</w:t>
      </w:r>
      <w:r>
        <w:rPr>
          <w:rStyle w:val="17"/>
          <w:rFonts w:hint="eastAsia" w:ascii="仿宋" w:hAnsi="仿宋" w:eastAsia="仿宋"/>
          <w:b w:val="0"/>
          <w:bCs w:val="0"/>
          <w:color w:val="auto"/>
        </w:rPr>
        <w:t>有资本经营预算财政拨款收入支出决算表</w:t>
      </w:r>
    </w:p>
    <w:p>
      <w:pPr>
        <w:pStyle w:val="4"/>
        <w:rPr>
          <w:rFonts w:ascii="仿宋" w:hAnsi="仿宋" w:eastAsia="仿宋"/>
          <w:color w:val="auto"/>
        </w:rPr>
      </w:pPr>
      <w:bookmarkStart w:id="63" w:name="_Toc15396630"/>
      <w:r>
        <w:rPr>
          <w:rStyle w:val="17"/>
          <w:rFonts w:hint="eastAsia" w:ascii="仿宋" w:hAnsi="仿宋" w:eastAsia="仿宋"/>
          <w:b w:val="0"/>
          <w:bCs w:val="0"/>
          <w:color w:val="auto"/>
        </w:rPr>
        <w:t>十、</w:t>
      </w:r>
      <w:bookmarkEnd w:id="63"/>
      <w:r>
        <w:rPr>
          <w:rStyle w:val="17"/>
          <w:rFonts w:hint="eastAsia" w:ascii="仿宋" w:hAnsi="仿宋" w:eastAsia="仿宋"/>
          <w:b w:val="0"/>
          <w:bCs w:val="0"/>
          <w:color w:val="auto"/>
        </w:rPr>
        <w:t>国有资本经营预算财政拨款支出决算表</w:t>
      </w:r>
    </w:p>
    <w:p>
      <w:pPr>
        <w:pStyle w:val="4"/>
        <w:rPr>
          <w:rFonts w:eastAsia="仿宋"/>
          <w:color w:val="auto"/>
        </w:rPr>
      </w:pPr>
      <w:bookmarkStart w:id="64" w:name="_Toc15396631"/>
      <w:r>
        <w:rPr>
          <w:rStyle w:val="17"/>
          <w:rFonts w:hint="eastAsia" w:ascii="仿宋" w:hAnsi="仿宋" w:eastAsia="仿宋"/>
          <w:b w:val="0"/>
          <w:bCs w:val="0"/>
          <w:color w:val="auto"/>
        </w:rPr>
        <w:t>十</w:t>
      </w:r>
      <w:r>
        <w:rPr>
          <w:rStyle w:val="17"/>
          <w:rFonts w:hint="eastAsia" w:ascii="仿宋" w:hAnsi="仿宋" w:eastAsia="仿宋"/>
          <w:b w:val="0"/>
          <w:bCs w:val="0"/>
          <w:color w:val="auto"/>
          <w:lang w:eastAsia="zh-CN"/>
        </w:rPr>
        <w:t>一</w:t>
      </w:r>
      <w:r>
        <w:rPr>
          <w:rStyle w:val="17"/>
          <w:rFonts w:hint="eastAsia" w:ascii="仿宋" w:hAnsi="仿宋" w:eastAsia="仿宋"/>
          <w:b w:val="0"/>
          <w:bCs w:val="0"/>
          <w:color w:val="auto"/>
        </w:rPr>
        <w:t>、</w:t>
      </w:r>
      <w:bookmarkEnd w:id="64"/>
      <w:r>
        <w:rPr>
          <w:rStyle w:val="17"/>
          <w:rFonts w:hint="eastAsia" w:ascii="仿宋" w:hAnsi="仿宋" w:eastAsia="仿宋"/>
          <w:b w:val="0"/>
          <w:bCs w:val="0"/>
          <w:color w:val="auto"/>
        </w:rPr>
        <w:t>财政拨款“三公”经费支出决算表</w:t>
      </w:r>
    </w:p>
    <w:p>
      <w:pPr>
        <w:pStyle w:val="2"/>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1DCCE"/>
    <w:multiLevelType w:val="singleLevel"/>
    <w:tmpl w:val="AF11DCC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5B775B"/>
    <w:rsid w:val="02720C9E"/>
    <w:rsid w:val="0E1474E6"/>
    <w:rsid w:val="1F9A53DF"/>
    <w:rsid w:val="20863145"/>
    <w:rsid w:val="235A4576"/>
    <w:rsid w:val="2D5B775B"/>
    <w:rsid w:val="346717BC"/>
    <w:rsid w:val="4DB57804"/>
    <w:rsid w:val="526C12AD"/>
    <w:rsid w:val="541600DA"/>
    <w:rsid w:val="5CA77019"/>
    <w:rsid w:val="5E2673F3"/>
    <w:rsid w:val="690C5D8E"/>
    <w:rsid w:val="7C262E65"/>
    <w:rsid w:val="7E44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5">
    <w:name w:val="Body Text"/>
    <w:basedOn w:val="1"/>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toc 2"/>
    <w:basedOn w:val="1"/>
    <w:next w:val="1"/>
    <w:unhideWhenUsed/>
    <w:qFormat/>
    <w:uiPriority w:val="39"/>
    <w:pPr>
      <w:tabs>
        <w:tab w:val="right" w:leader="dot" w:pos="8296"/>
      </w:tabs>
      <w:ind w:left="420" w:leftChars="200"/>
    </w:pPr>
  </w:style>
  <w:style w:type="paragraph" w:styleId="10">
    <w:name w:val="Title"/>
    <w:basedOn w:val="1"/>
    <w:next w:val="1"/>
    <w:qFormat/>
    <w:uiPriority w:val="0"/>
    <w:pPr>
      <w:spacing w:before="240" w:after="60"/>
      <w:jc w:val="center"/>
      <w:outlineLvl w:val="0"/>
    </w:pPr>
    <w:rPr>
      <w:rFonts w:ascii="Arial" w:hAnsi="Arial" w:cs="Arial"/>
      <w:b/>
      <w:bCs/>
      <w:sz w:val="32"/>
      <w:szCs w:val="32"/>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99"/>
    <w:rPr>
      <w:b/>
    </w:rPr>
  </w:style>
  <w:style w:type="character" w:customStyle="1" w:styleId="15">
    <w:name w:val="标题 1 字符"/>
    <w:basedOn w:val="13"/>
    <w:link w:val="3"/>
    <w:qFormat/>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2 字符"/>
    <w:basedOn w:val="13"/>
    <w:link w:val="4"/>
    <w:qFormat/>
    <w:uiPriority w:val="9"/>
    <w:rPr>
      <w:rFonts w:asciiTheme="majorHAnsi" w:hAnsiTheme="majorHAnsi" w:eastAsiaTheme="majorEastAsia" w:cstheme="majorBidi"/>
      <w:b/>
      <w:bCs/>
      <w:sz w:val="32"/>
      <w:szCs w:val="32"/>
    </w:r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USERFILES\Desktop\2022&#24180;&#24230;&#20915;&#31639;&#20844;&#24320;&#26609;&#29366;&#22270;&#12289;&#39292;&#29366;&#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USERFILES\Desktop\2022&#24180;&#24230;&#20915;&#31639;&#20844;&#24320;&#26609;&#29366;&#22270;&#12289;&#39292;&#29366;&#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USERFILES\Desktop\2022&#24180;&#24230;&#20915;&#31639;&#20844;&#24320;&#26609;&#29366;&#22270;&#12289;&#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USERFILES\Desktop\2022&#24180;&#24230;&#20915;&#31639;&#20844;&#24320;&#26609;&#29366;&#22270;&#12289;&#39292;&#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USERFILES\Desktop\2022&#24180;&#24230;&#20915;&#31639;&#20844;&#24320;&#26609;&#29366;&#22270;&#12289;&#39292;&#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USERFILES\Desktop\2022&#24180;&#24230;&#20915;&#31639;&#20844;&#24320;&#26609;&#29366;&#22270;&#12289;&#39292;&#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USERFILES\Desktop\2022&#24180;&#24230;&#20915;&#31639;&#20844;&#24320;&#26609;&#29366;&#22270;&#12289;&#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tx>
            <c:strRef>
              <c:f>[2022年度决算公开柱状图、饼状图.xlsx]Sheet1!$A$2</c:f>
              <c:strCache>
                <c:ptCount val="1"/>
                <c:pt idx="0">
                  <c:v>2021年</c:v>
                </c:pt>
              </c:strCache>
            </c:strRef>
          </c:tx>
          <c:spPr>
            <a:solidFill>
              <a:schemeClr val="accent1"/>
            </a:solidFill>
            <a:ln>
              <a:noFill/>
            </a:ln>
            <a:effectLst/>
          </c:spPr>
          <c:invertIfNegative val="0"/>
          <c:dLbls>
            <c:delete val="1"/>
          </c:dLbls>
          <c:cat>
            <c:strRef>
              <c:f>[2022年度决算公开柱状图、饼状图.xlsx]Sheet1!$B$1:$C$1</c:f>
              <c:strCache>
                <c:ptCount val="2"/>
                <c:pt idx="0">
                  <c:v>收入总计</c:v>
                </c:pt>
                <c:pt idx="1">
                  <c:v>支出总计</c:v>
                </c:pt>
              </c:strCache>
            </c:strRef>
          </c:cat>
          <c:val>
            <c:numRef>
              <c:f>[2022年度决算公开柱状图、饼状图.xlsx]Sheet1!$B$2:$C$2</c:f>
              <c:numCache>
                <c:formatCode>General</c:formatCode>
                <c:ptCount val="2"/>
                <c:pt idx="0">
                  <c:v>9379.9</c:v>
                </c:pt>
                <c:pt idx="1">
                  <c:v>9379.9</c:v>
                </c:pt>
              </c:numCache>
            </c:numRef>
          </c:val>
        </c:ser>
        <c:ser>
          <c:idx val="1"/>
          <c:order val="1"/>
          <c:tx>
            <c:strRef>
              <c:f>[2022年度决算公开柱状图、饼状图.xlsx]Sheet1!$A$3</c:f>
              <c:strCache>
                <c:ptCount val="1"/>
                <c:pt idx="0">
                  <c:v>2022年</c:v>
                </c:pt>
              </c:strCache>
            </c:strRef>
          </c:tx>
          <c:spPr>
            <a:solidFill>
              <a:schemeClr val="accent2"/>
            </a:solidFill>
            <a:ln>
              <a:noFill/>
            </a:ln>
            <a:effectLst/>
          </c:spPr>
          <c:invertIfNegative val="0"/>
          <c:dLbls>
            <c:delete val="1"/>
          </c:dLbls>
          <c:cat>
            <c:strRef>
              <c:f>[2022年度决算公开柱状图、饼状图.xlsx]Sheet1!$B$1:$C$1</c:f>
              <c:strCache>
                <c:ptCount val="2"/>
                <c:pt idx="0">
                  <c:v>收入总计</c:v>
                </c:pt>
                <c:pt idx="1">
                  <c:v>支出总计</c:v>
                </c:pt>
              </c:strCache>
            </c:strRef>
          </c:cat>
          <c:val>
            <c:numRef>
              <c:f>[2022年度决算公开柱状图、饼状图.xlsx]Sheet1!$B$3:$C$3</c:f>
              <c:numCache>
                <c:formatCode>General</c:formatCode>
                <c:ptCount val="2"/>
                <c:pt idx="0">
                  <c:v>9190.31</c:v>
                </c:pt>
                <c:pt idx="1">
                  <c:v>9190.31</c:v>
                </c:pt>
              </c:numCache>
            </c:numRef>
          </c:val>
        </c:ser>
        <c:dLbls>
          <c:showLegendKey val="0"/>
          <c:showVal val="0"/>
          <c:showCatName val="0"/>
          <c:showSerName val="0"/>
          <c:showPercent val="0"/>
          <c:showBubbleSize val="0"/>
        </c:dLbls>
        <c:gapWidth val="219"/>
        <c:overlap val="-27"/>
        <c:axId val="649599074"/>
        <c:axId val="392425701"/>
      </c:barChart>
      <c:catAx>
        <c:axId val="6495990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2425701"/>
        <c:crosses val="autoZero"/>
        <c:auto val="1"/>
        <c:lblAlgn val="ctr"/>
        <c:lblOffset val="100"/>
        <c:noMultiLvlLbl val="0"/>
      </c:catAx>
      <c:valAx>
        <c:axId val="392425701"/>
        <c:scaling>
          <c:orientation val="minMax"/>
          <c:min val="9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95990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[2022年度决算公开柱状图、饼状图.xlsx]Sheet1!$G$1:$G$8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[2022年度决算公开柱状图、饼状图.xlsx]Sheet1!$H$1:$H$8</c:f>
              <c:numCache>
                <c:formatCode>General</c:formatCode>
                <c:ptCount val="8"/>
                <c:pt idx="0">
                  <c:v>7922.3</c:v>
                </c:pt>
                <c:pt idx="1">
                  <c:v>84.5</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[2022年度决算公开柱状图、饼状图.xlsx]Sheet1!$G$28:$G$32</c:f>
              <c:strCache>
                <c:ptCount val="5"/>
                <c:pt idx="0">
                  <c:v>基本支出</c:v>
                </c:pt>
                <c:pt idx="1">
                  <c:v>项目支出</c:v>
                </c:pt>
                <c:pt idx="2">
                  <c:v>上缴上级支出</c:v>
                </c:pt>
                <c:pt idx="3">
                  <c:v>经营支出</c:v>
                </c:pt>
                <c:pt idx="4">
                  <c:v>对附属单位补助支出</c:v>
                </c:pt>
              </c:strCache>
            </c:strRef>
          </c:cat>
          <c:val>
            <c:numRef>
              <c:f>[2022年度决算公开柱状图、饼状图.xlsx]Sheet1!$H$28:$H$32</c:f>
              <c:numCache>
                <c:formatCode>General</c:formatCode>
                <c:ptCount val="5"/>
                <c:pt idx="0">
                  <c:v>563.97</c:v>
                </c:pt>
                <c:pt idx="1">
                  <c:v>7708.54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r>
              <a:rPr sz="1000"/>
              <a:t>（单位：万元）</a:t>
            </a:r>
            <a:endParaRPr sz="1000"/>
          </a:p>
        </c:rich>
      </c:tx>
      <c:layout/>
      <c:overlay val="0"/>
      <c:spPr>
        <a:noFill/>
        <a:ln>
          <a:noFill/>
        </a:ln>
        <a:effectLst/>
      </c:spPr>
    </c:title>
    <c:autoTitleDeleted val="0"/>
    <c:plotArea>
      <c:layout/>
      <c:barChart>
        <c:barDir val="col"/>
        <c:grouping val="clustered"/>
        <c:varyColors val="0"/>
        <c:ser>
          <c:idx val="0"/>
          <c:order val="0"/>
          <c:tx>
            <c:strRef>
              <c:f>[2022年度决算公开柱状图、饼状图.xlsx]Sheet1!$A$23</c:f>
              <c:strCache>
                <c:ptCount val="1"/>
                <c:pt idx="0">
                  <c:v>2021年</c:v>
                </c:pt>
              </c:strCache>
            </c:strRef>
          </c:tx>
          <c:spPr>
            <a:solidFill>
              <a:schemeClr val="accent1"/>
            </a:solidFill>
            <a:ln>
              <a:noFill/>
            </a:ln>
            <a:effectLst/>
          </c:spPr>
          <c:invertIfNegative val="0"/>
          <c:dLbls>
            <c:delete val="1"/>
          </c:dLbls>
          <c:cat>
            <c:strRef>
              <c:f>[2022年度决算公开柱状图、饼状图.xlsx]Sheet1!$B$22:$C$22</c:f>
              <c:strCache>
                <c:ptCount val="2"/>
                <c:pt idx="0">
                  <c:v>财政拨款收入总计</c:v>
                </c:pt>
                <c:pt idx="1">
                  <c:v>财政拨款支出总计</c:v>
                </c:pt>
              </c:strCache>
            </c:strRef>
          </c:cat>
          <c:val>
            <c:numRef>
              <c:f>[2022年度决算公开柱状图、饼状图.xlsx]Sheet1!$B$23:$C$23</c:f>
              <c:numCache>
                <c:formatCode>General</c:formatCode>
                <c:ptCount val="2"/>
                <c:pt idx="0">
                  <c:v>8921.69</c:v>
                </c:pt>
                <c:pt idx="1">
                  <c:v>8921.69</c:v>
                </c:pt>
              </c:numCache>
            </c:numRef>
          </c:val>
        </c:ser>
        <c:ser>
          <c:idx val="1"/>
          <c:order val="1"/>
          <c:tx>
            <c:strRef>
              <c:f>[2022年度决算公开柱状图、饼状图.xlsx]Sheet1!$A$24</c:f>
              <c:strCache>
                <c:ptCount val="1"/>
                <c:pt idx="0">
                  <c:v>2022年</c:v>
                </c:pt>
              </c:strCache>
            </c:strRef>
          </c:tx>
          <c:spPr>
            <a:solidFill>
              <a:schemeClr val="accent2"/>
            </a:solidFill>
            <a:ln>
              <a:noFill/>
            </a:ln>
            <a:effectLst/>
          </c:spPr>
          <c:invertIfNegative val="0"/>
          <c:dLbls>
            <c:delete val="1"/>
          </c:dLbls>
          <c:cat>
            <c:strRef>
              <c:f>[2022年度决算公开柱状图、饼状图.xlsx]Sheet1!$B$22:$C$22</c:f>
              <c:strCache>
                <c:ptCount val="2"/>
                <c:pt idx="0">
                  <c:v>财政拨款收入总计</c:v>
                </c:pt>
                <c:pt idx="1">
                  <c:v>财政拨款支出总计</c:v>
                </c:pt>
              </c:strCache>
            </c:strRef>
          </c:cat>
          <c:val>
            <c:numRef>
              <c:f>[2022年度决算公开柱状图、饼状图.xlsx]Sheet1!$B$24:$C$24</c:f>
              <c:numCache>
                <c:formatCode>General</c:formatCode>
                <c:ptCount val="2"/>
                <c:pt idx="0">
                  <c:v>8813.45</c:v>
                </c:pt>
                <c:pt idx="1">
                  <c:v>8813.45</c:v>
                </c:pt>
              </c:numCache>
            </c:numRef>
          </c:val>
        </c:ser>
        <c:dLbls>
          <c:showLegendKey val="0"/>
          <c:showVal val="0"/>
          <c:showCatName val="0"/>
          <c:showSerName val="0"/>
          <c:showPercent val="0"/>
          <c:showBubbleSize val="0"/>
        </c:dLbls>
        <c:gapWidth val="219"/>
        <c:overlap val="-27"/>
        <c:axId val="722710262"/>
        <c:axId val="576626509"/>
      </c:barChart>
      <c:catAx>
        <c:axId val="7227102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626509"/>
        <c:crosses val="autoZero"/>
        <c:auto val="1"/>
        <c:lblAlgn val="ctr"/>
        <c:lblOffset val="100"/>
        <c:noMultiLvlLbl val="0"/>
      </c:catAx>
      <c:valAx>
        <c:axId val="576626509"/>
        <c:scaling>
          <c:orientation val="minMax"/>
          <c:min val="8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7102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[2022年度决算公开柱状图、饼状图.xlsx]Sheet1!$B$42</c:f>
              <c:strCache>
                <c:ptCount val="1"/>
                <c:pt idx="0">
                  <c:v>一般公共预算财政拨款支出决算变动情况</c:v>
                </c:pt>
              </c:strCache>
            </c:strRef>
          </c:tx>
          <c:spPr>
            <a:solidFill>
              <a:schemeClr val="accent1"/>
            </a:solidFill>
            <a:ln>
              <a:noFill/>
            </a:ln>
            <a:effectLst/>
          </c:spPr>
          <c:invertIfNegative val="0"/>
          <c:dLbls>
            <c:delete val="1"/>
          </c:dLbls>
          <c:cat>
            <c:strRef>
              <c:f>[2022年度决算公开柱状图、饼状图.xlsx]Sheet1!$A$43:$A$44</c:f>
              <c:strCache>
                <c:ptCount val="2"/>
                <c:pt idx="0">
                  <c:v>2021年</c:v>
                </c:pt>
                <c:pt idx="1">
                  <c:v>2022年</c:v>
                </c:pt>
              </c:strCache>
            </c:strRef>
          </c:cat>
          <c:val>
            <c:numRef>
              <c:f>[2022年度决算公开柱状图、饼状图.xlsx]Sheet1!$B$43:$B$44</c:f>
              <c:numCache>
                <c:formatCode>General</c:formatCode>
                <c:ptCount val="2"/>
                <c:pt idx="0">
                  <c:v>8101.32</c:v>
                </c:pt>
                <c:pt idx="1">
                  <c:v>8121.25</c:v>
                </c:pt>
              </c:numCache>
            </c:numRef>
          </c:val>
        </c:ser>
        <c:dLbls>
          <c:showLegendKey val="0"/>
          <c:showVal val="0"/>
          <c:showCatName val="0"/>
          <c:showSerName val="0"/>
          <c:showPercent val="0"/>
          <c:showBubbleSize val="0"/>
        </c:dLbls>
        <c:gapWidth val="219"/>
        <c:overlap val="-27"/>
        <c:axId val="566523275"/>
        <c:axId val="780233207"/>
      </c:barChart>
      <c:catAx>
        <c:axId val="5665232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233207"/>
        <c:crosses val="autoZero"/>
        <c:auto val="1"/>
        <c:lblAlgn val="ctr"/>
        <c:lblOffset val="100"/>
        <c:noMultiLvlLbl val="0"/>
      </c:catAx>
      <c:valAx>
        <c:axId val="780233207"/>
        <c:scaling>
          <c:orientation val="minMax"/>
          <c:min val="8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5232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[2022年度决算公开柱状图、饼状图.xlsx]Sheet1!$G$52:$G$58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[2022年度决算公开柱状图、饼状图.xlsx]Sheet1!$H$52:$H$58</c:f>
              <c:numCache>
                <c:formatCode>General</c:formatCode>
                <c:ptCount val="7"/>
                <c:pt idx="0">
                  <c:v>0</c:v>
                </c:pt>
                <c:pt idx="1">
                  <c:v>0</c:v>
                </c:pt>
                <c:pt idx="2">
                  <c:v>0</c:v>
                </c:pt>
                <c:pt idx="3">
                  <c:v>0</c:v>
                </c:pt>
                <c:pt idx="4">
                  <c:v>8027.65</c:v>
                </c:pt>
                <c:pt idx="5">
                  <c:v>55.6</c:v>
                </c:pt>
                <c:pt idx="6">
                  <c:v>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[2022年度决算公开柱状图、饼状图.xlsx]Sheet1!$G$78:$G$80</c:f>
              <c:strCache>
                <c:ptCount val="3"/>
                <c:pt idx="0">
                  <c:v>因公出国（境）费支出决算</c:v>
                </c:pt>
                <c:pt idx="1">
                  <c:v>公务用车购置及运行维护费支出决算</c:v>
                </c:pt>
                <c:pt idx="2">
                  <c:v>公务接待费支出决算</c:v>
                </c:pt>
              </c:strCache>
            </c:strRef>
          </c:cat>
          <c:val>
            <c:numRef>
              <c:f>[2022年度决算公开柱状图、饼状图.xlsx]Sheet1!$H$78:$H$80</c:f>
              <c:numCache>
                <c:formatCode>General</c:formatCode>
                <c:ptCount val="3"/>
                <c:pt idx="0">
                  <c:v>0</c:v>
                </c:pt>
                <c:pt idx="1">
                  <c:v>5.86</c:v>
                </c:pt>
                <c:pt idx="2">
                  <c:v>0.09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2023-12-05T05:38:00Z</dcterms:created>
  <dc:creator>Administrator</dc:creator>
  <cp:lastModifiedBy>Administrator</cp:lastModifiedBy>
  <cp:lastPrinted>2023-12-08T09:46:00Z</cp:lastPrinted>
  <dcterms:modified xsi:type="dcterms:W3CDTF">2023-12-14T08:58:06Z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