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77194"/>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峨眉山市就业创业促进中心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月</w:t>
      </w:r>
      <w:r>
        <w:rPr>
          <w:rFonts w:hint="eastAsia"/>
          <w:lang w:val="en-US" w:eastAsia="zh-CN"/>
        </w:rPr>
        <w:t>11</w:t>
      </w:r>
      <w:r>
        <w:rPr>
          <w:rFonts w:hint="eastAsia"/>
        </w:rPr>
        <w:t>日</w:t>
      </w:r>
    </w:p>
    <w:p/>
    <w:p>
      <w:pPr>
        <w:pStyle w:val="10"/>
        <w:adjustRightInd w:val="0"/>
        <w:snapToGrid w:val="0"/>
        <w:spacing w:before="0" w:line="440" w:lineRule="exact"/>
        <w:jc w:val="left"/>
        <w:outlineLvl w:val="0"/>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pPr>
        <w:pStyle w:val="11"/>
        <w:adjustRightInd w:val="0"/>
        <w:snapToGrid w:val="0"/>
        <w:spacing w:line="440" w:lineRule="exact"/>
        <w:jc w:val="left"/>
        <w:outlineLvl w:val="0"/>
        <w:rPr>
          <w:rFonts w:hint="default" w:eastAsia="宋体"/>
          <w:sz w:val="24"/>
          <w:lang w:val="en-US" w:eastAsia="zh-CN"/>
        </w:rPr>
      </w:pPr>
      <w:r>
        <w:rPr>
          <w:rFonts w:hint="eastAsia"/>
          <w:sz w:val="24"/>
        </w:rPr>
        <w:t>一、主要职责</w:t>
      </w:r>
      <w:r>
        <w:rPr>
          <w:rFonts w:hint="eastAsia"/>
          <w:sz w:val="24"/>
          <w:lang w:val="en-US" w:eastAsia="zh-CN"/>
        </w:rPr>
        <w:t>.....................................................................................................4</w:t>
      </w:r>
    </w:p>
    <w:p>
      <w:pPr>
        <w:pStyle w:val="11"/>
        <w:adjustRightInd w:val="0"/>
        <w:snapToGrid w:val="0"/>
        <w:spacing w:line="440" w:lineRule="exact"/>
        <w:jc w:val="left"/>
        <w:outlineLvl w:val="0"/>
        <w:rPr>
          <w:rFonts w:hint="default" w:eastAsia="宋体"/>
          <w:lang w:val="en-US" w:eastAsia="zh-CN"/>
        </w:rPr>
      </w:pPr>
      <w:r>
        <w:rPr>
          <w:rFonts w:hint="eastAsia"/>
          <w:sz w:val="24"/>
        </w:rPr>
        <w:t>二、机构设置</w:t>
      </w:r>
      <w:r>
        <w:rPr>
          <w:rFonts w:hint="eastAsia"/>
          <w:sz w:val="24"/>
          <w:lang w:val="en-US" w:eastAsia="zh-CN"/>
        </w:rPr>
        <w:t>.....................................................................................................4</w:t>
      </w:r>
    </w:p>
    <w:p>
      <w:pPr>
        <w:pStyle w:val="10"/>
        <w:adjustRightInd w:val="0"/>
        <w:snapToGrid w:val="0"/>
        <w:spacing w:before="0" w:line="440" w:lineRule="exact"/>
        <w:jc w:val="left"/>
        <w:outlineLvl w:val="0"/>
        <w:rPr>
          <w:rFonts w:hint="default" w:eastAsia="仿宋"/>
          <w:sz w:val="24"/>
          <w:szCs w:val="24"/>
          <w:lang w:val="en-US" w:eastAsia="zh-CN"/>
        </w:rPr>
      </w:pPr>
      <w:r>
        <w:rPr>
          <w:rFonts w:hint="eastAsia"/>
          <w:sz w:val="24"/>
        </w:rPr>
        <w:t>第二部分 2022年度单位决算情况说明</w:t>
      </w:r>
      <w:r>
        <w:rPr>
          <w:rFonts w:hint="eastAsia"/>
          <w:sz w:val="24"/>
          <w:lang w:val="en-US" w:eastAsia="zh-CN"/>
        </w:rPr>
        <w:t>.................................5</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......................................9</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pPr>
        <w:pStyle w:val="11"/>
        <w:adjustRightInd w:val="0"/>
        <w:snapToGrid w:val="0"/>
        <w:spacing w:line="440" w:lineRule="exact"/>
        <w:jc w:val="left"/>
        <w:outlineLvl w:val="0"/>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pPr>
        <w:pStyle w:val="11"/>
        <w:adjustRightInd w:val="0"/>
        <w:snapToGrid w:val="0"/>
        <w:spacing w:line="440" w:lineRule="exact"/>
        <w:jc w:val="left"/>
        <w:outlineLvl w:val="0"/>
        <w:rPr>
          <w:rFonts w:hint="default" w:eastAsia="宋体"/>
          <w:sz w:val="24"/>
          <w:lang w:val="en-US" w:eastAsia="zh-CN"/>
        </w:rPr>
      </w:pPr>
      <w:r>
        <w:rPr>
          <w:rFonts w:hint="eastAsia"/>
          <w:sz w:val="24"/>
        </w:rPr>
        <w:t>九、国有资本经营预算支出决算情况说明</w:t>
      </w:r>
      <w:r>
        <w:rPr>
          <w:rFonts w:hint="eastAsia"/>
          <w:sz w:val="24"/>
          <w:lang w:val="en-US" w:eastAsia="zh-CN"/>
        </w:rPr>
        <w:t>.....................................................11</w:t>
      </w:r>
    </w:p>
    <w:p>
      <w:pPr>
        <w:pStyle w:val="11"/>
        <w:adjustRightInd w:val="0"/>
        <w:snapToGrid w:val="0"/>
        <w:spacing w:line="440" w:lineRule="exact"/>
        <w:jc w:val="left"/>
        <w:outlineLvl w:val="0"/>
        <w:rPr>
          <w:rFonts w:hint="default" w:eastAsia="宋体"/>
          <w:sz w:val="24"/>
          <w:lang w:val="en-US" w:eastAsia="zh-CN"/>
        </w:rPr>
      </w:pPr>
      <w:r>
        <w:rPr>
          <w:rFonts w:hint="eastAsia"/>
          <w:sz w:val="24"/>
        </w:rPr>
        <w:t>十、其他重要事项的情况说明</w:t>
      </w:r>
      <w:r>
        <w:rPr>
          <w:rFonts w:hint="eastAsia"/>
          <w:sz w:val="24"/>
          <w:lang w:val="en-US" w:eastAsia="zh-CN"/>
        </w:rPr>
        <w:t>.........................................................................11</w:t>
      </w:r>
    </w:p>
    <w:p>
      <w:pPr>
        <w:pStyle w:val="10"/>
        <w:adjustRightInd w:val="0"/>
        <w:snapToGrid w:val="0"/>
        <w:spacing w:before="0" w:line="440" w:lineRule="exact"/>
        <w:jc w:val="left"/>
        <w:outlineLvl w:val="0"/>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.................................................13</w:t>
      </w:r>
    </w:p>
    <w:p>
      <w:pPr>
        <w:pStyle w:val="10"/>
        <w:adjustRightInd w:val="0"/>
        <w:snapToGrid w:val="0"/>
        <w:spacing w:before="0" w:line="440" w:lineRule="exact"/>
        <w:jc w:val="left"/>
        <w:outlineLvl w:val="0"/>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.....................................................16</w:t>
      </w:r>
    </w:p>
    <w:p>
      <w:pPr>
        <w:pStyle w:val="10"/>
        <w:adjustRightInd w:val="0"/>
        <w:snapToGrid w:val="0"/>
        <w:spacing w:before="0" w:line="440" w:lineRule="exact"/>
        <w:jc w:val="left"/>
        <w:outlineLvl w:val="0"/>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.....................................................21</w:t>
      </w:r>
    </w:p>
    <w:p>
      <w:pPr>
        <w:pStyle w:val="11"/>
        <w:adjustRightInd w:val="0"/>
        <w:snapToGrid w:val="0"/>
        <w:spacing w:line="440" w:lineRule="exact"/>
        <w:jc w:val="left"/>
        <w:outlineLvl w:val="0"/>
        <w:rPr>
          <w:sz w:val="24"/>
        </w:rPr>
      </w:pPr>
      <w:r>
        <w:rPr>
          <w:rFonts w:hint="eastAsia"/>
          <w:sz w:val="24"/>
        </w:rPr>
        <w:t>一、收入支出决算总表</w:t>
      </w:r>
    </w:p>
    <w:p>
      <w:pPr>
        <w:pStyle w:val="11"/>
        <w:adjustRightInd w:val="0"/>
        <w:snapToGrid w:val="0"/>
        <w:spacing w:line="440" w:lineRule="exact"/>
        <w:jc w:val="left"/>
        <w:outlineLvl w:val="0"/>
        <w:rPr>
          <w:sz w:val="24"/>
        </w:rPr>
      </w:pPr>
      <w:r>
        <w:rPr>
          <w:rFonts w:hint="eastAsia"/>
          <w:sz w:val="24"/>
        </w:rPr>
        <w:t>二、收入决算表</w:t>
      </w:r>
    </w:p>
    <w:p>
      <w:pPr>
        <w:pStyle w:val="11"/>
        <w:adjustRightInd w:val="0"/>
        <w:snapToGrid w:val="0"/>
        <w:spacing w:line="440" w:lineRule="exact"/>
        <w:jc w:val="left"/>
        <w:outlineLvl w:val="0"/>
        <w:rPr>
          <w:sz w:val="24"/>
        </w:rPr>
      </w:pPr>
      <w:r>
        <w:rPr>
          <w:rFonts w:hint="eastAsia"/>
          <w:sz w:val="24"/>
        </w:rPr>
        <w:t>三、支出决算表</w:t>
      </w:r>
    </w:p>
    <w:p>
      <w:pPr>
        <w:pStyle w:val="11"/>
        <w:adjustRightInd w:val="0"/>
        <w:snapToGrid w:val="0"/>
        <w:spacing w:line="440" w:lineRule="exact"/>
        <w:jc w:val="left"/>
        <w:outlineLvl w:val="0"/>
        <w:rPr>
          <w:sz w:val="24"/>
        </w:rPr>
      </w:pPr>
      <w:r>
        <w:rPr>
          <w:rFonts w:hint="eastAsia"/>
          <w:sz w:val="24"/>
        </w:rPr>
        <w:t>四、财政拨款收入支出决算总表</w:t>
      </w:r>
    </w:p>
    <w:p>
      <w:pPr>
        <w:pStyle w:val="11"/>
        <w:adjustRightInd w:val="0"/>
        <w:snapToGrid w:val="0"/>
        <w:spacing w:line="440" w:lineRule="exact"/>
        <w:jc w:val="left"/>
        <w:outlineLvl w:val="0"/>
        <w:rPr>
          <w:sz w:val="24"/>
        </w:rPr>
      </w:pPr>
      <w:r>
        <w:rPr>
          <w:rFonts w:hint="eastAsia"/>
          <w:sz w:val="24"/>
        </w:rPr>
        <w:t>五、财政拨款支出决算明细表</w:t>
      </w:r>
    </w:p>
    <w:p>
      <w:pPr>
        <w:pStyle w:val="11"/>
        <w:adjustRightInd w:val="0"/>
        <w:snapToGrid w:val="0"/>
        <w:spacing w:line="440" w:lineRule="exact"/>
        <w:jc w:val="left"/>
        <w:outlineLvl w:val="0"/>
        <w:rPr>
          <w:sz w:val="24"/>
        </w:rPr>
      </w:pPr>
      <w:r>
        <w:rPr>
          <w:rFonts w:hint="eastAsia"/>
          <w:sz w:val="24"/>
        </w:rPr>
        <w:t>六、一般公共预算财政拨款支出决算表</w:t>
      </w:r>
    </w:p>
    <w:p>
      <w:pPr>
        <w:pStyle w:val="11"/>
        <w:adjustRightInd w:val="0"/>
        <w:snapToGrid w:val="0"/>
        <w:spacing w:line="440" w:lineRule="exact"/>
        <w:jc w:val="left"/>
        <w:outlineLvl w:val="0"/>
        <w:rPr>
          <w:sz w:val="24"/>
        </w:rPr>
      </w:pPr>
      <w:r>
        <w:rPr>
          <w:rFonts w:hint="eastAsia"/>
          <w:sz w:val="24"/>
        </w:rPr>
        <w:t>七、一般公共预算财政拨款支出决算明细表</w:t>
      </w:r>
    </w:p>
    <w:p>
      <w:pPr>
        <w:pStyle w:val="11"/>
        <w:adjustRightInd w:val="0"/>
        <w:snapToGrid w:val="0"/>
        <w:spacing w:line="440" w:lineRule="exact"/>
        <w:jc w:val="left"/>
        <w:outlineLvl w:val="0"/>
        <w:rPr>
          <w:sz w:val="24"/>
        </w:rPr>
      </w:pPr>
      <w:r>
        <w:rPr>
          <w:rFonts w:hint="eastAsia"/>
          <w:sz w:val="24"/>
        </w:rPr>
        <w:t>八、一般公共预算财政拨款基本支出决算明细表</w:t>
      </w:r>
    </w:p>
    <w:p>
      <w:pPr>
        <w:pStyle w:val="11"/>
        <w:adjustRightInd w:val="0"/>
        <w:snapToGrid w:val="0"/>
        <w:spacing w:line="440" w:lineRule="exact"/>
        <w:jc w:val="left"/>
        <w:outlineLvl w:val="0"/>
        <w:rPr>
          <w:sz w:val="24"/>
        </w:rPr>
      </w:pPr>
      <w:r>
        <w:rPr>
          <w:rFonts w:hint="eastAsia"/>
          <w:sz w:val="24"/>
        </w:rPr>
        <w:t>九、一般公共预算财政拨款项目支出决算表</w:t>
      </w:r>
    </w:p>
    <w:p>
      <w:pPr>
        <w:pStyle w:val="11"/>
        <w:adjustRightInd w:val="0"/>
        <w:snapToGrid w:val="0"/>
        <w:spacing w:line="440" w:lineRule="exact"/>
        <w:jc w:val="left"/>
        <w:outlineLvl w:val="0"/>
        <w:rPr>
          <w:sz w:val="24"/>
        </w:rPr>
      </w:pPr>
      <w:r>
        <w:rPr>
          <w:rFonts w:hint="eastAsia"/>
          <w:sz w:val="24"/>
        </w:rPr>
        <w:t>十、政府性基金预算财政拨款收入支出决算表</w:t>
      </w:r>
    </w:p>
    <w:p>
      <w:pPr>
        <w:pStyle w:val="11"/>
        <w:adjustRightInd w:val="0"/>
        <w:snapToGrid w:val="0"/>
        <w:spacing w:line="440" w:lineRule="exact"/>
        <w:jc w:val="left"/>
        <w:outlineLvl w:val="0"/>
        <w:rPr>
          <w:sz w:val="24"/>
        </w:rPr>
      </w:pPr>
      <w:r>
        <w:rPr>
          <w:rFonts w:hint="eastAsia"/>
          <w:sz w:val="24"/>
        </w:rPr>
        <w:t>十一、国有资本经营预算财政拨款收入支出决算表</w:t>
      </w:r>
    </w:p>
    <w:p>
      <w:pPr>
        <w:pStyle w:val="11"/>
        <w:adjustRightInd w:val="0"/>
        <w:snapToGrid w:val="0"/>
        <w:spacing w:line="440" w:lineRule="exact"/>
        <w:jc w:val="left"/>
        <w:outlineLvl w:val="0"/>
        <w:rPr>
          <w:sz w:val="24"/>
        </w:rPr>
      </w:pPr>
      <w:r>
        <w:rPr>
          <w:rFonts w:hint="eastAsia"/>
          <w:sz w:val="24"/>
        </w:rPr>
        <w:t>十二、国有资本经营预算财政拨款支出决算表</w:t>
      </w:r>
    </w:p>
    <w:p>
      <w:pPr>
        <w:pStyle w:val="11"/>
        <w:adjustRightInd w:val="0"/>
        <w:snapToGrid w:val="0"/>
        <w:spacing w:line="440" w:lineRule="exact"/>
        <w:jc w:val="left"/>
        <w:outlineLvl w:val="0"/>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68" w:name="_GoBack"/>
      <w:bookmarkEnd w:id="68"/>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bookmarkStart w:id="14" w:name="_Hlk146544157"/>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3"/>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w:t>
      </w:r>
    </w:p>
    <w:p>
      <w:pPr>
        <w:pStyle w:val="5"/>
        <w:adjustRightInd w:val="0"/>
        <w:snapToGrid w:val="0"/>
        <w:spacing w:before="93"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我中心主要负责就业再就业工作、失业保险稳岗补贴、大学生就业创业工作、小额担保创业贷款工作、农民工工作、职业培训、劳动力市场管理以及其他职能工作。我中心一直把就业创业工作作为全部工作的重点，当作重中之重来抓，立足实际，开拓创新，积极进取，按进度圆满完成了上级下达的各项目标任务。</w:t>
      </w:r>
      <w:r>
        <w:rPr>
          <w:rFonts w:hint="eastAsia" w:ascii="仿宋" w:hAnsi="仿宋" w:eastAsia="仿宋"/>
          <w:sz w:val="32"/>
          <w:szCs w:val="32"/>
          <w:lang w:val="en-US" w:eastAsia="zh-CN"/>
        </w:rPr>
        <w:tab/>
      </w:r>
    </w:p>
    <w:p>
      <w:pPr>
        <w:pStyle w:val="3"/>
        <w:rPr>
          <w:rFonts w:ascii="黑体" w:hAnsi="黑体" w:eastAsia="黑体"/>
          <w:b w:val="0"/>
        </w:rPr>
      </w:pPr>
      <w:r>
        <w:rPr>
          <w:rFonts w:hint="eastAsia" w:ascii="黑体" w:hAnsi="黑体" w:eastAsia="黑体"/>
          <w:b w:val="0"/>
        </w:rPr>
        <w:t>二、机构设置</w:t>
      </w:r>
    </w:p>
    <w:p>
      <w:pPr>
        <w:pStyle w:val="5"/>
        <w:spacing w:before="93"/>
        <w:ind w:firstLine="707" w:firstLineChars="221"/>
        <w:rPr>
          <w:rFonts w:ascii="仿宋" w:hAnsi="仿宋" w:eastAsia="仿宋"/>
          <w:kern w:val="2"/>
          <w:sz w:val="32"/>
          <w:szCs w:val="32"/>
          <w:shd w:val="clear" w:color="auto" w:fill="FFFF00"/>
        </w:rPr>
      </w:pPr>
      <w:r>
        <w:rPr>
          <w:rFonts w:hint="eastAsia" w:ascii="仿宋" w:hAnsi="仿宋" w:eastAsia="仿宋"/>
          <w:sz w:val="32"/>
          <w:szCs w:val="32"/>
          <w:lang w:eastAsia="zh-CN"/>
        </w:rPr>
        <w:t>峨眉山市就业创业促进中心</w:t>
      </w:r>
      <w:r>
        <w:rPr>
          <w:rFonts w:hint="eastAsia" w:ascii="仿宋" w:hAnsi="仿宋" w:eastAsia="仿宋"/>
          <w:sz w:val="32"/>
          <w:szCs w:val="32"/>
        </w:rPr>
        <w:t>属于</w:t>
      </w: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，下设</w:t>
      </w:r>
      <w:r>
        <w:rPr>
          <w:rFonts w:hint="eastAsia" w:ascii="仿宋" w:hAnsi="仿宋" w:eastAsia="仿宋"/>
          <w:sz w:val="32"/>
          <w:szCs w:val="32"/>
          <w:lang w:val="en-US" w:eastAsia="zh-CN"/>
        </w:rPr>
        <w:t>3个股室，在编在职人员12人。</w:t>
      </w:r>
    </w:p>
    <w:p>
      <w:pPr>
        <w:pStyle w:val="5"/>
        <w:spacing w:before="93"/>
        <w:ind w:firstLine="707" w:firstLineChars="221"/>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p>
      <w:pPr>
        <w:pStyle w:val="5"/>
        <w:spacing w:before="93"/>
        <w:ind w:firstLine="707" w:firstLineChars="221"/>
        <w:rPr>
          <w:rFonts w:hint="eastAsia" w:ascii="仿宋" w:hAnsi="仿宋" w:eastAsia="仿宋"/>
          <w:kern w:val="2"/>
          <w:sz w:val="32"/>
          <w:szCs w:val="32"/>
          <w:lang w:eastAsia="zh-CN"/>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 w:hAnsi="仿宋" w:eastAsia="仿宋"/>
          <w:kern w:val="2"/>
          <w:sz w:val="32"/>
          <w:szCs w:val="32"/>
          <w:lang w:eastAsia="zh-CN"/>
        </w:rPr>
        <w:t>峨眉山市就业创业促进中心</w:t>
      </w:r>
    </w:p>
    <w:bookmarkEnd w:id="14"/>
    <w:bookmarkEnd w:id="15"/>
    <w:bookmarkEnd w:id="16"/>
    <w:p>
      <w:pPr>
        <w:widowControl/>
        <w:jc w:val="left"/>
        <w:rPr>
          <w:rFonts w:ascii="仿宋" w:hAnsi="仿宋" w:eastAsia="仿宋"/>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eastAsia="zh-CN"/>
        </w:rPr>
        <w:t>各</w:t>
      </w:r>
      <w:r>
        <w:rPr>
          <w:rFonts w:hint="eastAsia" w:ascii="仿宋" w:hAnsi="仿宋" w:eastAsia="仿宋"/>
          <w:sz w:val="32"/>
          <w:szCs w:val="32"/>
          <w:lang w:val="en-US" w:eastAsia="zh-CN"/>
        </w:rPr>
        <w:t>1466.58</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274.41</w:t>
      </w:r>
      <w:r>
        <w:rPr>
          <w:rFonts w:hint="eastAsia" w:ascii="仿宋" w:hAnsi="仿宋" w:eastAsia="仿宋"/>
          <w:sz w:val="32"/>
          <w:szCs w:val="32"/>
        </w:rPr>
        <w:t>万元，增长</w:t>
      </w:r>
      <w:r>
        <w:rPr>
          <w:rFonts w:hint="eastAsia" w:ascii="仿宋" w:hAnsi="仿宋" w:eastAsia="仿宋"/>
          <w:sz w:val="32"/>
          <w:szCs w:val="32"/>
          <w:lang w:val="en-US" w:eastAsia="zh-CN"/>
        </w:rPr>
        <w:t>23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就业补助支出增加</w:t>
      </w:r>
      <w:r>
        <w:rPr>
          <w:rFonts w:hint="eastAsia" w:ascii="仿宋" w:hAnsi="仿宋" w:eastAsia="仿宋"/>
          <w:sz w:val="32"/>
          <w:szCs w:val="32"/>
        </w:rPr>
        <w:t>。</w:t>
      </w:r>
    </w:p>
    <w:p>
      <w:pPr>
        <w:pStyle w:val="5"/>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eastAsia="zh-CN"/>
        </w:rPr>
        <w:t>（</w:t>
      </w:r>
      <w:r>
        <w:rPr>
          <w:rFonts w:hint="eastAsia" w:ascii="仿宋" w:hAnsi="仿宋" w:eastAsia="仿宋"/>
          <w:sz w:val="32"/>
          <w:szCs w:val="32"/>
          <w:lang w:val="en-US" w:eastAsia="zh-CN"/>
        </w:rPr>
        <w:t>单位：万元）</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858.97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858.97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outlineLvl w:val="1"/>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165100</wp:posOffset>
            </wp:positionH>
            <wp:positionV relativeFrom="paragraph">
              <wp:posOffset>444500</wp:posOffset>
            </wp:positionV>
            <wp:extent cx="4826000" cy="2743200"/>
            <wp:effectExtent l="4445" t="4445" r="825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2240" w:firstLineChars="700"/>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1466.58</w:t>
      </w:r>
      <w:r>
        <w:rPr>
          <w:rFonts w:hint="eastAsia" w:ascii="仿宋" w:hAnsi="仿宋" w:eastAsia="仿宋"/>
          <w:sz w:val="32"/>
          <w:szCs w:val="32"/>
        </w:rPr>
        <w:t>万元，其中：基本支出</w:t>
      </w:r>
      <w:r>
        <w:rPr>
          <w:rFonts w:hint="eastAsia" w:ascii="仿宋" w:hAnsi="仿宋" w:eastAsia="仿宋"/>
          <w:sz w:val="32"/>
          <w:szCs w:val="32"/>
          <w:lang w:val="en-US" w:eastAsia="zh-CN"/>
        </w:rPr>
        <w:t>225.77</w:t>
      </w:r>
      <w:r>
        <w:rPr>
          <w:rFonts w:hint="eastAsia" w:ascii="仿宋" w:hAnsi="仿宋" w:eastAsia="仿宋"/>
          <w:sz w:val="32"/>
          <w:szCs w:val="32"/>
        </w:rPr>
        <w:t>万元，占</w:t>
      </w:r>
      <w:r>
        <w:rPr>
          <w:rFonts w:hint="eastAsia" w:ascii="仿宋" w:hAnsi="仿宋" w:eastAsia="仿宋"/>
          <w:sz w:val="32"/>
          <w:szCs w:val="32"/>
          <w:lang w:val="en-US" w:eastAsia="zh-CN"/>
        </w:rPr>
        <w:t>15.40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1240.81</w:t>
      </w:r>
      <w:r>
        <w:rPr>
          <w:rFonts w:hint="eastAsia" w:ascii="仿宋" w:hAnsi="仿宋" w:eastAsia="仿宋"/>
          <w:sz w:val="32"/>
          <w:szCs w:val="32"/>
        </w:rPr>
        <w:t>万元，占</w:t>
      </w:r>
      <w:r>
        <w:rPr>
          <w:rFonts w:hint="eastAsia" w:ascii="仿宋" w:hAnsi="仿宋" w:eastAsia="仿宋"/>
          <w:sz w:val="32"/>
          <w:szCs w:val="32"/>
          <w:lang w:val="en-US" w:eastAsia="zh-CN"/>
        </w:rPr>
        <w:t>84.60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5"/>
      </w:pPr>
      <w:r>
        <w:drawing>
          <wp:inline distT="0" distB="0" distL="114300" distR="114300">
            <wp:extent cx="4730115" cy="2726055"/>
            <wp:effectExtent l="4445" t="5080" r="8890" b="1206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eastAsia="zh-CN"/>
        </w:rPr>
        <w:t>各</w:t>
      </w:r>
      <w:r>
        <w:rPr>
          <w:rFonts w:hint="eastAsia" w:ascii="仿宋" w:hAnsi="仿宋" w:eastAsia="仿宋"/>
          <w:sz w:val="32"/>
          <w:szCs w:val="32"/>
          <w:lang w:val="en-US" w:eastAsia="zh-CN"/>
        </w:rPr>
        <w:t>1466.58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274.41</w:t>
      </w:r>
      <w:r>
        <w:rPr>
          <w:rFonts w:hint="eastAsia" w:ascii="仿宋" w:hAnsi="仿宋" w:eastAsia="仿宋"/>
          <w:sz w:val="32"/>
          <w:szCs w:val="32"/>
        </w:rPr>
        <w:t>万元，增长</w:t>
      </w:r>
      <w:r>
        <w:rPr>
          <w:rFonts w:hint="eastAsia" w:ascii="仿宋" w:hAnsi="仿宋" w:eastAsia="仿宋"/>
          <w:sz w:val="32"/>
          <w:szCs w:val="32"/>
          <w:lang w:val="en-US" w:eastAsia="zh-CN"/>
        </w:rPr>
        <w:t>23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就业补助支出增加。</w:t>
      </w:r>
    </w:p>
    <w:p>
      <w:pPr>
        <w:spacing w:line="600" w:lineRule="exact"/>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141605</wp:posOffset>
            </wp:positionH>
            <wp:positionV relativeFrom="paragraph">
              <wp:posOffset>224790</wp:posOffset>
            </wp:positionV>
            <wp:extent cx="4826000" cy="2743200"/>
            <wp:effectExtent l="4445" t="4445" r="8255" b="1460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rPr>
          <w:rFonts w:ascii="仿宋" w:hAnsi="仿宋" w:eastAsia="仿宋"/>
          <w:sz w:val="32"/>
          <w:szCs w:val="32"/>
        </w:rPr>
      </w:pPr>
    </w:p>
    <w:p>
      <w:pPr>
        <w:pStyle w:val="5"/>
      </w:pPr>
    </w:p>
    <w:p/>
    <w:p/>
    <w:p>
      <w:pPr>
        <w:spacing w:line="600" w:lineRule="exact"/>
        <w:rPr>
          <w:rFonts w:hint="default" w:ascii="仿宋" w:hAnsi="仿宋" w:eastAsia="仿宋"/>
          <w:sz w:val="32"/>
          <w:szCs w:val="32"/>
          <w:lang w:val="en-US" w:eastAsia="zh-CN"/>
        </w:rPr>
      </w:pPr>
      <w:r>
        <w:rPr>
          <w:rFonts w:hint="eastAsia" w:ascii="仿宋" w:hAnsi="仿宋" w:eastAsia="仿宋"/>
          <w:sz w:val="32"/>
          <w:szCs w:val="32"/>
        </w:rPr>
        <w:t>（图4：财政拨款收、支决算总计变动情况）</w:t>
      </w:r>
      <w:r>
        <w:rPr>
          <w:rFonts w:hint="eastAsia" w:ascii="仿宋" w:hAnsi="仿宋" w:eastAsia="仿宋"/>
          <w:sz w:val="32"/>
          <w:szCs w:val="32"/>
          <w:lang w:eastAsia="zh-CN"/>
        </w:rPr>
        <w:t>（</w:t>
      </w:r>
      <w:r>
        <w:rPr>
          <w:rFonts w:hint="eastAsia" w:ascii="仿宋" w:hAnsi="仿宋" w:eastAsia="仿宋"/>
          <w:sz w:val="32"/>
          <w:szCs w:val="32"/>
          <w:lang w:val="en-US" w:eastAsia="zh-CN"/>
        </w:rPr>
        <w:t>单位：万元）</w:t>
      </w:r>
    </w:p>
    <w:p>
      <w:pPr>
        <w:pStyle w:val="5"/>
      </w:pPr>
    </w:p>
    <w:p>
      <w:pPr>
        <w:spacing w:line="600" w:lineRule="exact"/>
        <w:ind w:firstLine="640" w:firstLineChars="200"/>
        <w:outlineLvl w:val="1"/>
        <w:rPr>
          <w:rStyle w:val="25"/>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1466.58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316.49</w:t>
      </w:r>
      <w:r>
        <w:rPr>
          <w:rFonts w:hint="eastAsia" w:ascii="仿宋" w:hAnsi="仿宋" w:eastAsia="仿宋"/>
          <w:sz w:val="32"/>
          <w:szCs w:val="32"/>
        </w:rPr>
        <w:t>万元，增长</w:t>
      </w:r>
      <w:r>
        <w:rPr>
          <w:rFonts w:hint="eastAsia" w:ascii="仿宋" w:hAnsi="仿宋" w:eastAsia="仿宋"/>
          <w:sz w:val="32"/>
          <w:szCs w:val="32"/>
          <w:lang w:val="en-US" w:eastAsia="zh-CN"/>
        </w:rPr>
        <w:t>27.52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eastAsia="zh-CN"/>
        </w:rPr>
        <w:t>社会保障和就业支出</w:t>
      </w:r>
      <w:r>
        <w:rPr>
          <w:rFonts w:hint="eastAsia" w:ascii="仿宋" w:hAnsi="仿宋" w:eastAsia="仿宋"/>
          <w:sz w:val="32"/>
          <w:szCs w:val="32"/>
          <w:lang w:eastAsia="zh-CN"/>
        </w:rPr>
        <w:t>增加。</w:t>
      </w:r>
    </w:p>
    <w:p>
      <w:pPr>
        <w:pStyle w:val="5"/>
        <w:rPr>
          <w:rFonts w:hint="eastAsia" w:ascii="仿宋" w:hAnsi="仿宋" w:eastAsia="仿宋"/>
          <w:sz w:val="32"/>
          <w:szCs w:val="32"/>
          <w:lang w:eastAsia="zh-CN"/>
        </w:rPr>
      </w:pPr>
    </w:p>
    <w:p>
      <w:pPr>
        <w:rPr>
          <w:rFonts w:hint="eastAsia" w:ascii="仿宋" w:hAnsi="仿宋" w:eastAsia="仿宋"/>
          <w:sz w:val="32"/>
          <w:szCs w:val="32"/>
          <w:lang w:eastAsia="zh-CN"/>
        </w:rPr>
      </w:pPr>
    </w:p>
    <w:p>
      <w:pPr>
        <w:pStyle w:val="5"/>
        <w:rPr>
          <w:rFonts w:hint="eastAsia"/>
          <w:lang w:eastAsia="zh-CN"/>
        </w:rPr>
      </w:pPr>
      <w:r>
        <w:drawing>
          <wp:inline distT="0" distB="0" distL="114300" distR="114300">
            <wp:extent cx="4826000" cy="2743200"/>
            <wp:effectExtent l="4445" t="4445" r="825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hint="default" w:ascii="仿宋" w:hAnsi="仿宋" w:eastAsia="仿宋"/>
          <w:sz w:val="32"/>
          <w:szCs w:val="32"/>
          <w:lang w:val="en-US" w:eastAsia="zh-CN"/>
        </w:rPr>
      </w:pPr>
      <w:r>
        <w:rPr>
          <w:rFonts w:hint="eastAsia" w:ascii="仿宋" w:hAnsi="仿宋" w:eastAsia="仿宋"/>
          <w:sz w:val="32"/>
          <w:szCs w:val="32"/>
        </w:rPr>
        <w:t>（图5：一般公共预算财政拨款支出决算变动情况）</w:t>
      </w:r>
      <w:r>
        <w:rPr>
          <w:rFonts w:hint="eastAsia" w:ascii="仿宋" w:hAnsi="仿宋" w:eastAsia="仿宋"/>
          <w:sz w:val="32"/>
          <w:szCs w:val="32"/>
          <w:lang w:eastAsia="zh-CN"/>
        </w:rPr>
        <w:t>（</w:t>
      </w:r>
      <w:r>
        <w:rPr>
          <w:rFonts w:hint="eastAsia" w:ascii="仿宋" w:hAnsi="仿宋" w:eastAsia="仿宋"/>
          <w:sz w:val="32"/>
          <w:szCs w:val="32"/>
          <w:lang w:val="en-US" w:eastAsia="zh-CN"/>
        </w:rPr>
        <w:t>单位：万元）</w:t>
      </w: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1466.58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1446</w:t>
      </w:r>
      <w:r>
        <w:rPr>
          <w:rFonts w:hint="eastAsia" w:ascii="仿宋" w:hAnsi="仿宋" w:eastAsia="仿宋"/>
          <w:sz w:val="32"/>
          <w:szCs w:val="32"/>
        </w:rPr>
        <w:t>万元，占</w:t>
      </w:r>
      <w:r>
        <w:rPr>
          <w:rFonts w:hint="eastAsia" w:ascii="仿宋" w:hAnsi="仿宋" w:eastAsia="仿宋"/>
          <w:sz w:val="32"/>
          <w:szCs w:val="32"/>
          <w:lang w:val="en-US" w:eastAsia="zh-CN"/>
        </w:rPr>
        <w:t>98.6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4.97</w:t>
      </w:r>
      <w:r>
        <w:rPr>
          <w:rFonts w:hint="eastAsia" w:ascii="仿宋" w:hAnsi="仿宋" w:eastAsia="仿宋"/>
          <w:sz w:val="32"/>
          <w:szCs w:val="32"/>
        </w:rPr>
        <w:t>万元，占</w:t>
      </w:r>
      <w:r>
        <w:rPr>
          <w:rFonts w:hint="eastAsia" w:ascii="仿宋" w:hAnsi="仿宋" w:eastAsia="仿宋"/>
          <w:sz w:val="32"/>
          <w:szCs w:val="32"/>
          <w:lang w:val="en-US" w:eastAsia="zh-CN"/>
        </w:rPr>
        <w:t>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15.61</w:t>
      </w:r>
      <w:r>
        <w:rPr>
          <w:rFonts w:hint="eastAsia" w:ascii="仿宋" w:hAnsi="仿宋" w:eastAsia="仿宋"/>
          <w:sz w:val="32"/>
          <w:szCs w:val="32"/>
        </w:rPr>
        <w:t>万元，占</w:t>
      </w: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280035</wp:posOffset>
            </wp:positionH>
            <wp:positionV relativeFrom="paragraph">
              <wp:posOffset>81915</wp:posOffset>
            </wp:positionV>
            <wp:extent cx="3977640" cy="2476500"/>
            <wp:effectExtent l="4445" t="4445" r="18415" b="1460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w:t>
      </w:r>
    </w:p>
    <w:p>
      <w:pPr>
        <w:pStyle w:val="5"/>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213"/>
      <w:bookmarkStart w:id="33" w:name="_Toc15378460"/>
      <w:bookmarkStart w:id="34"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1466.58</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2"/>
      <w:bookmarkEnd w:id="33"/>
      <w:bookmarkEnd w:id="34"/>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Style w:val="14"/>
          <w:rFonts w:hint="eastAsia" w:ascii="仿宋" w:hAnsi="仿宋" w:eastAsia="仿宋"/>
          <w:bCs/>
          <w:sz w:val="32"/>
          <w:szCs w:val="32"/>
          <w:lang w:val="en-US" w:eastAsia="zh-CN"/>
        </w:rPr>
        <w:t>208</w:t>
      </w:r>
      <w:r>
        <w:rPr>
          <w:rStyle w:val="14"/>
          <w:rFonts w:hint="eastAsia" w:ascii="仿宋" w:hAnsi="仿宋" w:eastAsia="仿宋"/>
          <w:bCs/>
          <w:sz w:val="32"/>
          <w:szCs w:val="32"/>
        </w:rPr>
        <w:t>类</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1446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highlight w:val="none"/>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，决算数等于预算数的主要原因是</w:t>
      </w:r>
      <w:r>
        <w:rPr>
          <w:rFonts w:hint="eastAsia" w:ascii="仿宋_GB2312" w:hAnsi="仿宋" w:eastAsia="仿宋_GB2312"/>
          <w:sz w:val="32"/>
          <w:szCs w:val="32"/>
          <w:lang w:val="en-US" w:eastAsia="zh-CN"/>
        </w:rPr>
        <w:t>再就业人员增加，</w:t>
      </w:r>
      <w:r>
        <w:rPr>
          <w:rStyle w:val="14"/>
          <w:rFonts w:hint="eastAsia" w:ascii="仿宋" w:hAnsi="仿宋" w:eastAsia="仿宋"/>
          <w:b w:val="0"/>
          <w:bCs/>
          <w:color w:val="000000"/>
          <w:sz w:val="32"/>
          <w:szCs w:val="32"/>
          <w:lang w:eastAsia="zh-CN"/>
        </w:rPr>
        <w:t>就业创业专项资金使用</w:t>
      </w:r>
      <w:r>
        <w:rPr>
          <w:rStyle w:val="14"/>
          <w:rFonts w:hint="eastAsia" w:ascii="仿宋" w:hAnsi="仿宋" w:eastAsia="仿宋"/>
          <w:b w:val="0"/>
          <w:bCs/>
          <w:color w:val="000000"/>
          <w:sz w:val="32"/>
          <w:szCs w:val="32"/>
          <w:lang w:val="en-US" w:eastAsia="zh-CN"/>
        </w:rPr>
        <w:t>增加，</w:t>
      </w:r>
      <w:r>
        <w:rPr>
          <w:rFonts w:hint="eastAsia" w:ascii="仿宋_GB2312" w:hAnsi="仿宋" w:eastAsia="仿宋_GB2312"/>
          <w:sz w:val="32"/>
          <w:szCs w:val="32"/>
          <w:lang w:val="en-US" w:eastAsia="zh-CN"/>
        </w:rPr>
        <w:t>2021年就业补助未支付部分在2022年支付。</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210</w:t>
      </w:r>
      <w:r>
        <w:rPr>
          <w:rStyle w:val="14"/>
          <w:rFonts w:hint="eastAsia" w:ascii="仿宋" w:hAnsi="仿宋" w:eastAsia="仿宋"/>
          <w:bCs/>
          <w:sz w:val="32"/>
          <w:szCs w:val="32"/>
        </w:rPr>
        <w:t>类</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4.97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highlight w:val="none"/>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w:t>
      </w:r>
      <w:r>
        <w:rPr>
          <w:rStyle w:val="14"/>
          <w:rFonts w:hint="eastAsia" w:ascii="仿宋" w:hAnsi="仿宋" w:eastAsia="仿宋"/>
          <w:b w:val="0"/>
          <w:bCs/>
          <w:sz w:val="32"/>
          <w:szCs w:val="32"/>
          <w:lang w:val="en-US" w:eastAsia="zh-CN"/>
        </w:rPr>
        <w:t>等于</w:t>
      </w:r>
      <w:r>
        <w:rPr>
          <w:rStyle w:val="14"/>
          <w:rFonts w:hint="eastAsia" w:ascii="仿宋" w:hAnsi="仿宋" w:eastAsia="仿宋"/>
          <w:b w:val="0"/>
          <w:bCs/>
          <w:sz w:val="32"/>
          <w:szCs w:val="32"/>
        </w:rPr>
        <w:t>预算数的主要原因是</w:t>
      </w:r>
      <w:r>
        <w:rPr>
          <w:rStyle w:val="14"/>
          <w:rFonts w:hint="eastAsia" w:ascii="仿宋" w:hAnsi="仿宋" w:eastAsia="仿宋"/>
          <w:b w:val="0"/>
          <w:bCs/>
          <w:color w:val="000000"/>
          <w:sz w:val="32"/>
          <w:szCs w:val="32"/>
          <w:lang w:eastAsia="zh-CN"/>
        </w:rPr>
        <w:t>我中心厉行节约，严格执行预算</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lang w:val="en-US" w:eastAsia="zh-CN"/>
        </w:rPr>
        <w:t>住房保障支出221</w:t>
      </w:r>
      <w:r>
        <w:rPr>
          <w:rStyle w:val="14"/>
          <w:rFonts w:hint="eastAsia" w:ascii="仿宋" w:hAnsi="仿宋" w:eastAsia="仿宋"/>
          <w:bCs/>
          <w:sz w:val="32"/>
          <w:szCs w:val="32"/>
        </w:rPr>
        <w:t>类</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15.61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w:t>
      </w:r>
      <w:r>
        <w:rPr>
          <w:rStyle w:val="14"/>
          <w:rFonts w:hint="eastAsia" w:ascii="仿宋" w:hAnsi="仿宋" w:eastAsia="仿宋"/>
          <w:b w:val="0"/>
          <w:bCs/>
          <w:sz w:val="32"/>
          <w:szCs w:val="32"/>
          <w:lang w:val="en-US" w:eastAsia="zh-CN"/>
        </w:rPr>
        <w:t>等于</w:t>
      </w:r>
      <w:r>
        <w:rPr>
          <w:rStyle w:val="14"/>
          <w:rFonts w:hint="eastAsia" w:ascii="仿宋" w:hAnsi="仿宋" w:eastAsia="仿宋"/>
          <w:b w:val="0"/>
          <w:bCs/>
          <w:sz w:val="32"/>
          <w:szCs w:val="32"/>
        </w:rPr>
        <w:t>预算数的主要原因是</w:t>
      </w:r>
      <w:r>
        <w:rPr>
          <w:rStyle w:val="14"/>
          <w:rFonts w:hint="eastAsia" w:ascii="仿宋" w:hAnsi="仿宋" w:eastAsia="仿宋"/>
          <w:b w:val="0"/>
          <w:bCs/>
          <w:color w:val="000000"/>
          <w:sz w:val="32"/>
          <w:szCs w:val="32"/>
          <w:lang w:eastAsia="zh-CN"/>
        </w:rPr>
        <w:t>我中心厉行节约，严格执行预算</w:t>
      </w:r>
      <w:r>
        <w:rPr>
          <w:rStyle w:val="14"/>
          <w:rFonts w:hint="eastAsia" w:ascii="仿宋" w:hAnsi="仿宋" w:eastAsia="仿宋"/>
          <w:b w:val="0"/>
          <w:bCs/>
          <w:sz w:val="32"/>
          <w:szCs w:val="32"/>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225.77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186.32</w:t>
      </w:r>
      <w:r>
        <w:rPr>
          <w:rFonts w:hint="eastAsia" w:ascii="仿宋" w:hAnsi="仿宋" w:eastAsia="仿宋"/>
          <w:sz w:val="32"/>
          <w:szCs w:val="32"/>
        </w:rPr>
        <w:t>万元，主要包括：基本工资</w:t>
      </w:r>
      <w:r>
        <w:rPr>
          <w:rFonts w:hint="eastAsia" w:ascii="仿宋" w:hAnsi="仿宋" w:eastAsia="仿宋"/>
          <w:sz w:val="32"/>
          <w:szCs w:val="32"/>
          <w:lang w:val="en-US" w:eastAsia="zh-CN"/>
        </w:rPr>
        <w:t>50.97万元</w:t>
      </w:r>
      <w:r>
        <w:rPr>
          <w:rFonts w:hint="eastAsia" w:ascii="仿宋" w:hAnsi="仿宋" w:eastAsia="仿宋"/>
          <w:sz w:val="32"/>
          <w:szCs w:val="32"/>
        </w:rPr>
        <w:t>、津贴补贴</w:t>
      </w:r>
      <w:r>
        <w:rPr>
          <w:rFonts w:hint="eastAsia" w:ascii="仿宋" w:hAnsi="仿宋" w:eastAsia="仿宋"/>
          <w:sz w:val="32"/>
          <w:szCs w:val="32"/>
          <w:lang w:val="en-US" w:eastAsia="zh-CN"/>
        </w:rPr>
        <w:t>30.91万元</w:t>
      </w:r>
      <w:r>
        <w:rPr>
          <w:rFonts w:hint="eastAsia" w:ascii="仿宋" w:hAnsi="仿宋" w:eastAsia="仿宋"/>
          <w:sz w:val="32"/>
          <w:szCs w:val="32"/>
        </w:rPr>
        <w:t>、奖金</w:t>
      </w:r>
      <w:r>
        <w:rPr>
          <w:rFonts w:hint="eastAsia" w:ascii="仿宋" w:hAnsi="仿宋" w:eastAsia="仿宋"/>
          <w:sz w:val="32"/>
          <w:szCs w:val="32"/>
          <w:lang w:val="en-US" w:eastAsia="zh-CN"/>
        </w:rPr>
        <w:t>52.75万元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12.97万元</w:t>
      </w:r>
      <w:r>
        <w:rPr>
          <w:rFonts w:hint="eastAsia" w:ascii="仿宋" w:hAnsi="仿宋" w:eastAsia="仿宋"/>
          <w:sz w:val="32"/>
          <w:szCs w:val="32"/>
        </w:rPr>
        <w:t>、职业年金缴费</w:t>
      </w:r>
      <w:r>
        <w:rPr>
          <w:rFonts w:hint="eastAsia" w:ascii="仿宋" w:hAnsi="仿宋" w:eastAsia="仿宋"/>
          <w:sz w:val="32"/>
          <w:szCs w:val="32"/>
          <w:lang w:val="en-US" w:eastAsia="zh-CN"/>
        </w:rPr>
        <w:t>6.63万元</w:t>
      </w:r>
      <w:r>
        <w:rPr>
          <w:rFonts w:hint="eastAsia" w:ascii="仿宋" w:hAnsi="仿宋" w:eastAsia="仿宋"/>
          <w:sz w:val="32"/>
          <w:szCs w:val="32"/>
        </w:rPr>
        <w:t>、职工基本医疗保险缴费</w:t>
      </w:r>
      <w:r>
        <w:rPr>
          <w:rFonts w:hint="eastAsia" w:ascii="仿宋" w:hAnsi="仿宋" w:eastAsia="仿宋"/>
          <w:sz w:val="32"/>
          <w:szCs w:val="32"/>
          <w:lang w:val="en-US" w:eastAsia="zh-CN"/>
        </w:rPr>
        <w:t>4.97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其他社会保障缴费</w:t>
      </w:r>
      <w:r>
        <w:rPr>
          <w:rFonts w:hint="eastAsia" w:ascii="仿宋" w:hAnsi="仿宋" w:eastAsia="仿宋"/>
          <w:sz w:val="32"/>
          <w:szCs w:val="32"/>
          <w:lang w:val="en-US" w:eastAsia="zh-CN"/>
        </w:rPr>
        <w:t>1.35万元</w:t>
      </w:r>
      <w:r>
        <w:rPr>
          <w:rFonts w:hint="eastAsia" w:ascii="仿宋" w:hAnsi="仿宋" w:eastAsia="仿宋"/>
          <w:sz w:val="32"/>
          <w:szCs w:val="32"/>
        </w:rPr>
        <w:t>、住房公积金</w:t>
      </w:r>
      <w:r>
        <w:rPr>
          <w:rFonts w:hint="eastAsia" w:ascii="仿宋" w:hAnsi="仿宋" w:eastAsia="仿宋"/>
          <w:sz w:val="32"/>
          <w:szCs w:val="32"/>
          <w:lang w:val="en-US" w:eastAsia="zh-CN"/>
        </w:rPr>
        <w:t>15.61万元、生活补助9.87万元、其他个人和家庭的补助支出0.29万元</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39.45</w:t>
      </w:r>
      <w:r>
        <w:rPr>
          <w:rFonts w:hint="eastAsia" w:ascii="仿宋" w:hAnsi="仿宋" w:eastAsia="仿宋"/>
          <w:sz w:val="32"/>
          <w:szCs w:val="32"/>
        </w:rPr>
        <w:t>万元，主要包括：办公费</w:t>
      </w:r>
      <w:r>
        <w:rPr>
          <w:rFonts w:hint="eastAsia" w:ascii="仿宋" w:hAnsi="仿宋" w:eastAsia="仿宋"/>
          <w:sz w:val="32"/>
          <w:szCs w:val="32"/>
          <w:lang w:val="en-US" w:eastAsia="zh-CN"/>
        </w:rPr>
        <w:t>2.48万元</w:t>
      </w:r>
      <w:r>
        <w:rPr>
          <w:rFonts w:hint="eastAsia" w:ascii="仿宋" w:hAnsi="仿宋" w:eastAsia="仿宋"/>
          <w:sz w:val="32"/>
          <w:szCs w:val="32"/>
        </w:rPr>
        <w:t>、水费</w:t>
      </w:r>
      <w:r>
        <w:rPr>
          <w:rFonts w:hint="eastAsia" w:ascii="仿宋" w:hAnsi="仿宋" w:eastAsia="仿宋"/>
          <w:sz w:val="32"/>
          <w:szCs w:val="32"/>
          <w:lang w:val="en-US" w:eastAsia="zh-CN"/>
        </w:rPr>
        <w:t>0.31万元</w:t>
      </w:r>
      <w:r>
        <w:rPr>
          <w:rFonts w:hint="eastAsia" w:ascii="仿宋" w:hAnsi="仿宋" w:eastAsia="仿宋"/>
          <w:sz w:val="32"/>
          <w:szCs w:val="32"/>
        </w:rPr>
        <w:t>、电费</w:t>
      </w:r>
      <w:r>
        <w:rPr>
          <w:rFonts w:hint="eastAsia" w:ascii="仿宋" w:hAnsi="仿宋" w:eastAsia="仿宋"/>
          <w:sz w:val="32"/>
          <w:szCs w:val="32"/>
          <w:lang w:val="en-US" w:eastAsia="zh-CN"/>
        </w:rPr>
        <w:t>1.3万元</w:t>
      </w:r>
      <w:r>
        <w:rPr>
          <w:rFonts w:hint="eastAsia" w:ascii="仿宋" w:hAnsi="仿宋" w:eastAsia="仿宋"/>
          <w:sz w:val="32"/>
          <w:szCs w:val="32"/>
        </w:rPr>
        <w:t>、邮电费</w:t>
      </w:r>
      <w:r>
        <w:rPr>
          <w:rFonts w:hint="eastAsia" w:ascii="仿宋" w:hAnsi="仿宋" w:eastAsia="仿宋"/>
          <w:sz w:val="32"/>
          <w:szCs w:val="32"/>
          <w:lang w:val="en-US" w:eastAsia="zh-CN"/>
        </w:rPr>
        <w:t>0.03万元</w:t>
      </w:r>
      <w:r>
        <w:rPr>
          <w:rFonts w:hint="eastAsia" w:ascii="仿宋" w:hAnsi="仿宋" w:eastAsia="仿宋"/>
          <w:sz w:val="32"/>
          <w:szCs w:val="32"/>
        </w:rPr>
        <w:t>、物业管理费</w:t>
      </w:r>
      <w:r>
        <w:rPr>
          <w:rFonts w:hint="eastAsia" w:ascii="仿宋" w:hAnsi="仿宋" w:eastAsia="仿宋"/>
          <w:sz w:val="32"/>
          <w:szCs w:val="32"/>
          <w:lang w:val="en-US" w:eastAsia="zh-CN"/>
        </w:rPr>
        <w:t>3.65万元</w:t>
      </w:r>
      <w:r>
        <w:rPr>
          <w:rFonts w:hint="eastAsia" w:ascii="仿宋" w:hAnsi="仿宋" w:eastAsia="仿宋"/>
          <w:sz w:val="32"/>
          <w:szCs w:val="32"/>
        </w:rPr>
        <w:t>、差旅费</w:t>
      </w:r>
      <w:r>
        <w:rPr>
          <w:rFonts w:hint="eastAsia" w:ascii="仿宋" w:hAnsi="仿宋" w:eastAsia="仿宋"/>
          <w:sz w:val="32"/>
          <w:szCs w:val="32"/>
          <w:lang w:val="en-US" w:eastAsia="zh-CN"/>
        </w:rPr>
        <w:t>5.19万元</w:t>
      </w:r>
      <w:r>
        <w:rPr>
          <w:rFonts w:hint="eastAsia" w:ascii="仿宋" w:hAnsi="仿宋" w:eastAsia="仿宋"/>
          <w:sz w:val="32"/>
          <w:szCs w:val="32"/>
        </w:rPr>
        <w:t>、维修（护）费</w:t>
      </w:r>
      <w:r>
        <w:rPr>
          <w:rFonts w:hint="eastAsia" w:ascii="仿宋" w:hAnsi="仿宋" w:eastAsia="仿宋"/>
          <w:sz w:val="32"/>
          <w:szCs w:val="32"/>
          <w:lang w:val="en-US" w:eastAsia="zh-CN"/>
        </w:rPr>
        <w:t>0.36万元</w:t>
      </w:r>
      <w:r>
        <w:rPr>
          <w:rFonts w:hint="eastAsia" w:ascii="仿宋" w:hAnsi="仿宋" w:eastAsia="仿宋"/>
          <w:sz w:val="32"/>
          <w:szCs w:val="32"/>
        </w:rPr>
        <w:t>、会议费</w:t>
      </w:r>
      <w:r>
        <w:rPr>
          <w:rFonts w:hint="eastAsia" w:ascii="仿宋" w:hAnsi="仿宋" w:eastAsia="仿宋"/>
          <w:sz w:val="32"/>
          <w:szCs w:val="32"/>
          <w:lang w:val="en-US" w:eastAsia="zh-CN"/>
        </w:rPr>
        <w:t>0.02万元</w:t>
      </w:r>
      <w:r>
        <w:rPr>
          <w:rFonts w:hint="eastAsia" w:ascii="仿宋" w:hAnsi="仿宋" w:eastAsia="仿宋"/>
          <w:sz w:val="32"/>
          <w:szCs w:val="32"/>
        </w:rPr>
        <w:t>、公务接待费</w:t>
      </w:r>
      <w:r>
        <w:rPr>
          <w:rFonts w:hint="eastAsia" w:ascii="仿宋" w:hAnsi="仿宋" w:eastAsia="仿宋"/>
          <w:sz w:val="32"/>
          <w:szCs w:val="32"/>
          <w:lang w:val="en-US" w:eastAsia="zh-CN"/>
        </w:rPr>
        <w:t>0.08万元</w:t>
      </w:r>
      <w:r>
        <w:rPr>
          <w:rFonts w:hint="eastAsia" w:ascii="仿宋" w:hAnsi="仿宋" w:eastAsia="仿宋"/>
          <w:sz w:val="32"/>
          <w:szCs w:val="32"/>
        </w:rPr>
        <w:t>、委托业务费</w:t>
      </w:r>
      <w:r>
        <w:rPr>
          <w:rFonts w:hint="eastAsia" w:ascii="仿宋" w:hAnsi="仿宋" w:eastAsia="仿宋"/>
          <w:sz w:val="32"/>
          <w:szCs w:val="32"/>
          <w:lang w:val="en-US" w:eastAsia="zh-CN"/>
        </w:rPr>
        <w:t>0.38万元</w:t>
      </w:r>
      <w:r>
        <w:rPr>
          <w:rFonts w:hint="eastAsia" w:ascii="仿宋" w:hAnsi="仿宋" w:eastAsia="仿宋"/>
          <w:sz w:val="32"/>
          <w:szCs w:val="32"/>
        </w:rPr>
        <w:t>、工会经费</w:t>
      </w:r>
      <w:r>
        <w:rPr>
          <w:rFonts w:hint="eastAsia" w:ascii="仿宋" w:hAnsi="仿宋" w:eastAsia="仿宋"/>
          <w:sz w:val="32"/>
          <w:szCs w:val="32"/>
          <w:lang w:val="en-US" w:eastAsia="zh-CN"/>
        </w:rPr>
        <w:t>7.54万元</w:t>
      </w:r>
      <w:r>
        <w:rPr>
          <w:rFonts w:hint="eastAsia" w:ascii="仿宋" w:hAnsi="仿宋" w:eastAsia="仿宋"/>
          <w:sz w:val="32"/>
          <w:szCs w:val="32"/>
        </w:rPr>
        <w:t>、其他交通费</w:t>
      </w:r>
      <w:r>
        <w:rPr>
          <w:rFonts w:hint="eastAsia" w:ascii="仿宋" w:hAnsi="仿宋" w:eastAsia="仿宋"/>
          <w:sz w:val="32"/>
          <w:szCs w:val="32"/>
          <w:lang w:val="en-US" w:eastAsia="zh-CN"/>
        </w:rPr>
        <w:t>7.56万元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10.55万元</w:t>
      </w:r>
      <w:r>
        <w:rPr>
          <w:rFonts w:hint="eastAsia" w:ascii="仿宋" w:hAnsi="仿宋" w:eastAsia="仿宋"/>
          <w:sz w:val="32"/>
          <w:szCs w:val="32"/>
        </w:rPr>
        <w:t>。</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7" w:name="_Toc15377215"/>
      <w:bookmarkStart w:id="38"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0.08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0.08</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w:t>
      </w:r>
      <w:r>
        <w:rPr>
          <w:rFonts w:hint="eastAsia" w:ascii="仿宋" w:hAnsi="仿宋" w:eastAsia="仿宋"/>
          <w:sz w:val="32"/>
          <w:szCs w:val="32"/>
          <w:lang w:eastAsia="zh-CN"/>
        </w:rPr>
        <w:t>等于</w:t>
      </w:r>
      <w:r>
        <w:rPr>
          <w:rFonts w:hint="eastAsia" w:ascii="仿宋" w:hAnsi="仿宋" w:eastAsia="仿宋"/>
          <w:sz w:val="32"/>
          <w:szCs w:val="32"/>
        </w:rPr>
        <w:t>预算数的主要原因是</w:t>
      </w:r>
      <w:r>
        <w:rPr>
          <w:rFonts w:hint="eastAsia" w:ascii="仿宋" w:hAnsi="仿宋" w:eastAsia="仿宋" w:cs="仿宋"/>
          <w:sz w:val="32"/>
          <w:szCs w:val="32"/>
          <w:lang w:val="en-US" w:eastAsia="zh-CN"/>
        </w:rPr>
        <w:t>我单位坚决执行国家政策，严控三公经费开支。</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rPr>
      </w:pPr>
    </w:p>
    <w:p>
      <w:pPr>
        <w:rPr>
          <w:rFonts w:hint="eastAsia" w:ascii="仿宋" w:hAnsi="仿宋" w:eastAsia="仿宋"/>
          <w:sz w:val="32"/>
          <w:szCs w:val="32"/>
        </w:rPr>
      </w:pPr>
    </w:p>
    <w:p>
      <w:pPr>
        <w:pStyle w:val="5"/>
        <w:rPr>
          <w:rFonts w:hint="eastAsia" w:ascii="仿宋" w:hAnsi="仿宋" w:eastAsia="仿宋"/>
          <w:sz w:val="32"/>
          <w:szCs w:val="32"/>
        </w:rPr>
      </w:pPr>
      <w:r>
        <w:drawing>
          <wp:inline distT="0" distB="0" distL="114300" distR="114300">
            <wp:extent cx="4483100" cy="2733040"/>
            <wp:effectExtent l="4445" t="5080" r="8255" b="508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0.08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cs="仿宋"/>
          <w:sz w:val="32"/>
          <w:szCs w:val="32"/>
          <w:lang w:val="en-US" w:eastAsia="zh-CN"/>
        </w:rPr>
        <w:t>就业创业接待工作有所增加</w:t>
      </w:r>
      <w:r>
        <w:rPr>
          <w:rFonts w:hint="eastAsia" w:ascii="仿宋_GB2312" w:eastAsia="仿宋_GB2312"/>
          <w:sz w:val="32"/>
          <w:szCs w:val="32"/>
        </w:rPr>
        <w:t>。其中：</w:t>
      </w:r>
    </w:p>
    <w:p>
      <w:pPr>
        <w:spacing w:line="600" w:lineRule="exact"/>
        <w:ind w:firstLine="640"/>
        <w:jc w:val="left"/>
        <w:rPr>
          <w:rFonts w:ascii="黑体" w:eastAsia="黑体"/>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0.08</w:t>
      </w:r>
      <w:r>
        <w:rPr>
          <w:rFonts w:hint="eastAsia" w:ascii="仿宋_GB2312" w:eastAsia="仿宋_GB2312"/>
          <w:sz w:val="32"/>
          <w:szCs w:val="32"/>
        </w:rPr>
        <w:t>万元，主要用于开展业务活动开支的交通费、住宿费、用餐费等。国内公务接待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0.08</w:t>
      </w:r>
      <w:r>
        <w:rPr>
          <w:rFonts w:hint="eastAsia" w:ascii="仿宋_GB2312" w:eastAsia="仿宋_GB2312"/>
          <w:sz w:val="32"/>
          <w:szCs w:val="32"/>
        </w:rPr>
        <w:t>万元，具体内容包括：</w:t>
      </w:r>
      <w:r>
        <w:rPr>
          <w:rFonts w:hint="eastAsia" w:ascii="仿宋_GB2312" w:eastAsia="仿宋_GB2312"/>
          <w:sz w:val="32"/>
          <w:szCs w:val="32"/>
          <w:lang w:val="en-US" w:eastAsia="zh-CN"/>
        </w:rPr>
        <w:t>接待省就业局赴我市开展农村劳动力稳岗就业工作调研餐费</w:t>
      </w:r>
      <w:r>
        <w:rPr>
          <w:rFonts w:hint="eastAsia" w:ascii="仿宋_GB2312" w:eastAsia="仿宋_GB2312"/>
          <w:sz w:val="32"/>
          <w:szCs w:val="32"/>
        </w:rPr>
        <w:t>。</w:t>
      </w:r>
      <w:bookmarkStart w:id="41" w:name="_Toc15396610"/>
      <w:bookmarkStart w:id="42"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3" w:name="_Toc15396611"/>
      <w:bookmarkStart w:id="44" w:name="_Toc15377219"/>
      <w:r>
        <w:rPr>
          <w:rStyle w:val="25"/>
          <w:rFonts w:hint="eastAsia" w:ascii="黑体" w:hAnsi="黑体" w:eastAsia="黑体"/>
          <w:b w:val="0"/>
        </w:rPr>
        <w:t>国有资本经营预算支出决算情况说明</w:t>
      </w:r>
      <w:bookmarkEnd w:id="43"/>
      <w:bookmarkEnd w:id="4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5" w:name="_Toc15396612"/>
      <w:bookmarkStart w:id="46" w:name="_Toc15377221"/>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峨眉山市就业创业促进中心</w:t>
      </w:r>
      <w:r>
        <w:rPr>
          <w:rFonts w:hint="eastAsia" w:ascii="仿宋_GB2312" w:eastAsia="仿宋_GB2312"/>
          <w:sz w:val="32"/>
          <w:szCs w:val="32"/>
        </w:rPr>
        <w:t>机关运行经费支出</w:t>
      </w:r>
      <w:r>
        <w:rPr>
          <w:rFonts w:hint="eastAsia" w:ascii="仿宋_GB2312" w:eastAsia="仿宋_GB2312"/>
          <w:sz w:val="32"/>
          <w:szCs w:val="32"/>
          <w:lang w:val="en-US" w:eastAsia="zh-CN"/>
        </w:rPr>
        <w:t>39.45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24.86</w:t>
      </w:r>
      <w:r>
        <w:rPr>
          <w:rFonts w:hint="eastAsia" w:ascii="仿宋_GB2312" w:eastAsia="仿宋_GB2312"/>
          <w:sz w:val="32"/>
          <w:szCs w:val="32"/>
        </w:rPr>
        <w:t>万元，增长</w:t>
      </w:r>
      <w:r>
        <w:rPr>
          <w:rFonts w:hint="eastAsia" w:ascii="仿宋_GB2312" w:eastAsia="仿宋_GB2312"/>
          <w:sz w:val="32"/>
          <w:szCs w:val="32"/>
          <w:lang w:val="en-US" w:eastAsia="zh-CN"/>
        </w:rPr>
        <w:t>170.3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物业管理费、工会经费、其他交通费增加。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峨眉山市就业创业促进中心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峨眉山市就业创业促进中心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就业专项工作经费和劳动保障协理员绩效2</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21</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社会保障和就业支出（类）人力资源和社会保障</w:t>
      </w:r>
      <w:r>
        <w:rPr>
          <w:rFonts w:hint="eastAsia" w:ascii="仿宋_GB2312" w:eastAsia="仿宋_GB2312"/>
          <w:sz w:val="32"/>
          <w:szCs w:val="32"/>
          <w:lang w:val="en-US" w:eastAsia="zh-CN"/>
        </w:rPr>
        <w:t>管理</w:t>
      </w:r>
      <w:r>
        <w:rPr>
          <w:rFonts w:hint="eastAsia" w:ascii="仿宋_GB2312" w:eastAsia="仿宋_GB2312"/>
          <w:sz w:val="32"/>
          <w:szCs w:val="32"/>
        </w:rPr>
        <w:t>事务（款）行政运行（项）：指单位运行基本支出。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（款）机关事业单位基本养老保险缴费支出（项）：指单位在职人员缴纳机关事业单位养老保险费用支出。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社会保障和就业支出（类）行政事业单位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（款）机关事业单位职业年金缴费支出（项）：指单位在职人员缴纳机关事业单位职业年金费用支出。</w:t>
      </w:r>
    </w:p>
    <w:p>
      <w:pPr>
        <w:spacing w:line="600" w:lineRule="exact"/>
        <w:ind w:left="0" w:leftChars="0" w:firstLine="640" w:firstLineChars="200"/>
        <w:jc w:val="left"/>
        <w:outlineLvl w:val="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社会保障和就业支出（类）就业补助（款）其他就业补助支出（项）：指就业创业专项资金项目支出。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住房保障支出（类）住房改革支出（款）住房公积金（项）：指单位按国家政策为在职职工缴纳的住房公积金支出。</w:t>
      </w:r>
    </w:p>
    <w:p>
      <w:pPr>
        <w:spacing w:line="600" w:lineRule="exact"/>
        <w:ind w:left="0" w:leftChars="0" w:firstLine="640" w:firstLineChars="200"/>
        <w:jc w:val="left"/>
        <w:outlineLvl w:val="0"/>
        <w:rPr>
          <w:rFonts w:hint="default" w:ascii="仿宋_GB2312" w:eastAsia="仿宋_GB2312"/>
          <w:sz w:val="32"/>
          <w:szCs w:val="32"/>
          <w:lang w:val="en-US" w:eastAsia="zh-CN"/>
        </w:rPr>
      </w:pPr>
      <w:r>
        <w:rPr>
          <w:rFonts w:hint="eastAsia" w:ascii="仿宋_GB2312" w:eastAsia="仿宋_GB2312"/>
          <w:sz w:val="32"/>
          <w:szCs w:val="32"/>
          <w:lang w:val="en-US" w:eastAsia="zh-CN"/>
        </w:rPr>
        <w:t>14.卫生健康支出（类）行政事业单位医疗（款） 行政单位医疗（项）：指反映财政部门安排的事业单位基本医疗保险缴费经费。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8"/>
        <w:gridCol w:w="891"/>
        <w:gridCol w:w="1186"/>
        <w:gridCol w:w="396"/>
        <w:gridCol w:w="833"/>
        <w:gridCol w:w="396"/>
        <w:gridCol w:w="846"/>
        <w:gridCol w:w="486"/>
        <w:gridCol w:w="486"/>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4"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51118122T000000375862-就业专项工作经费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人力资源和社会保障局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积极完成就业创业工作目标，大力开展就业扶贫工作，开展送岗下乡，为群众提供岗位，完成上级下达各项工作目标。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积极完成就业创业工作目标，大力开展就业扶贫工作，开展送岗下乡，为群众提供岗位，完成上级下达各项工作目标。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根据实际情况调减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提供就业服务，为群众提供岗位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城镇登记失业率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资金在规定时间内下达率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职业培训补贴人均标准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失业人员再就业人数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零就业家庭帮扶率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公共就业服务满意度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就业扶持政策经办服务满意度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项目自评总分100分，预算编制科学合理，预算执行率100%，目标完成率100%。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left"/>
        <w:outlineLvl w:val="0"/>
        <w:rPr>
          <w:rFonts w:ascii="仿宋_GB2312" w:hAnsi="Calibri" w:eastAsia="仿宋_GB2312" w:cs="仿宋"/>
          <w:kern w:val="0"/>
          <w:sz w:val="32"/>
          <w:szCs w:val="32"/>
        </w:rPr>
      </w:pPr>
    </w:p>
    <w:p>
      <w:pPr>
        <w:spacing w:line="600" w:lineRule="exact"/>
        <w:ind w:firstLine="640" w:firstLineChars="200"/>
        <w:jc w:val="left"/>
        <w:outlineLvl w:val="0"/>
        <w:rPr>
          <w:rFonts w:ascii="仿宋_GB2312" w:hAnsi="Calibri" w:eastAsia="仿宋_GB2312" w:cs="仿宋"/>
          <w:kern w:val="0"/>
          <w:sz w:val="32"/>
          <w:szCs w:val="32"/>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989"/>
        <w:gridCol w:w="934"/>
        <w:gridCol w:w="1182"/>
        <w:gridCol w:w="520"/>
        <w:gridCol w:w="617"/>
        <w:gridCol w:w="520"/>
        <w:gridCol w:w="1052"/>
        <w:gridCol w:w="507"/>
        <w:gridCol w:w="507"/>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51118122T000000376024-劳动保障协理员绩效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人力资源和社会保障局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劳动保障协理员绩效工资800元/月，绩效奖2000元/年。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严格执行相关政策，根据实际需求向财政部门申请劳动保障协理员绩效，保障劳动保障协理员绩效工资及时发放、足额发放。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根据实际情况调减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享受劳动保障协理员绩效人员数量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劳动保障协理员绩效发放率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劳动保障协理员绩效人均标准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年末城镇登记失业率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公共就业服务满意度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就业扶持政策经办满意度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项目自评总分100分，预算编制科学合理，预算执行率100%，目标完成率100%。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895"/>
        <w:gridCol w:w="907"/>
        <w:gridCol w:w="1415"/>
        <w:gridCol w:w="546"/>
        <w:gridCol w:w="652"/>
        <w:gridCol w:w="546"/>
        <w:gridCol w:w="1005"/>
        <w:gridCol w:w="502"/>
        <w:gridCol w:w="502"/>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51118122T000005723172-就业创业补助资金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人力资源和社会保障局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积极完成就业创业工作目标，大力开展就业扶贫工作，开展送岗下乡，为群众提供岗位，完成上级下达各项工作目标。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积极完成就业创业工作目标，大力开展就业扶贫工作，开展送岗下乡，为群众提供岗位，完成上级下达各项工作目标。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1,187.89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根据实际情况追加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1,187.89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提供就业服务，为群众提供岗位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城镇登记失业率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职业培训补贴人均标准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失业人员再就业人数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公共就业服务满意度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就业扶持政策经办服务满意度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项目自评总分100分，预算编制科学合理，预算执行率100%，目标完成率100%。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3"/>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3"/>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3"/>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3"/>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3"/>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3"/>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3"/>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3"/>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3"/>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jA0OGZjMjdkNTJlNTQ2ZjFjYTlmM2ExMWM4ZDA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5E543BB"/>
    <w:rsid w:val="16BB723D"/>
    <w:rsid w:val="18015F3F"/>
    <w:rsid w:val="1B4534B9"/>
    <w:rsid w:val="1BE8440E"/>
    <w:rsid w:val="1D155CEE"/>
    <w:rsid w:val="20F57F95"/>
    <w:rsid w:val="234E2483"/>
    <w:rsid w:val="240371BF"/>
    <w:rsid w:val="25711CC6"/>
    <w:rsid w:val="25743AA8"/>
    <w:rsid w:val="25C741E6"/>
    <w:rsid w:val="27842671"/>
    <w:rsid w:val="29FD04D3"/>
    <w:rsid w:val="2ABE7A3E"/>
    <w:rsid w:val="2B972B89"/>
    <w:rsid w:val="2CA234A8"/>
    <w:rsid w:val="2EFA178C"/>
    <w:rsid w:val="30B46D73"/>
    <w:rsid w:val="319F7F4E"/>
    <w:rsid w:val="33640ABC"/>
    <w:rsid w:val="383D272C"/>
    <w:rsid w:val="39AE70AB"/>
    <w:rsid w:val="3A444921"/>
    <w:rsid w:val="3A4D2D8B"/>
    <w:rsid w:val="3C0C0783"/>
    <w:rsid w:val="3F2D72BA"/>
    <w:rsid w:val="3F9F3A96"/>
    <w:rsid w:val="45717BB2"/>
    <w:rsid w:val="48BF60AB"/>
    <w:rsid w:val="493C27E9"/>
    <w:rsid w:val="496F39ED"/>
    <w:rsid w:val="49FF41D3"/>
    <w:rsid w:val="4A9D5BE0"/>
    <w:rsid w:val="4BE068DB"/>
    <w:rsid w:val="4BF6002B"/>
    <w:rsid w:val="4CCF05DF"/>
    <w:rsid w:val="4EBA7275"/>
    <w:rsid w:val="4ECE2238"/>
    <w:rsid w:val="51DB4B86"/>
    <w:rsid w:val="550A17D8"/>
    <w:rsid w:val="55333C3E"/>
    <w:rsid w:val="55346855"/>
    <w:rsid w:val="616606D0"/>
    <w:rsid w:val="624768D5"/>
    <w:rsid w:val="64CA39A1"/>
    <w:rsid w:val="69630ADE"/>
    <w:rsid w:val="6C4A05C8"/>
    <w:rsid w:val="6D3B1A89"/>
    <w:rsid w:val="71BF4EC2"/>
    <w:rsid w:val="72734D90"/>
    <w:rsid w:val="7412278C"/>
    <w:rsid w:val="79C9441F"/>
    <w:rsid w:val="79E7B28D"/>
    <w:rsid w:val="7BDD1AF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50;&#35745;\&#25253;&#20237;&#25935;&#26480;\2022&#24180;&#24230;&#37096;&#38376;&#20915;&#31639;\&#23784;&#30473;&#23665;&#24066;&#36130;&#25919;&#23616;&#20851;&#20110;&#25209;&#22797;2022&#24180;&#24230;&#37096;&#38376;&#20915;&#31639;&#30340;&#36890;&#30693;\&#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236842105263158"/>
          <c:y val="0.03125"/>
        </c:manualLayout>
      </c:layout>
      <c:overlay val="0"/>
      <c:spPr>
        <a:noFill/>
        <a:ln>
          <a:noFill/>
        </a:ln>
        <a:effectLst/>
      </c:spPr>
    </c:title>
    <c:autoTitleDeleted val="0"/>
    <c:plotArea>
      <c:layout/>
      <c:barChart>
        <c:barDir val="col"/>
        <c:grouping val="clustered"/>
        <c:varyColors val="0"/>
        <c:ser>
          <c:idx val="0"/>
          <c:order val="0"/>
          <c:tx>
            <c:strRef>
              <c:f>[决算公开图表.xlsx]Sheet1!$A$4</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[决算公开图表.xlsx]Sheet1!$B$3:$C$3</c:f>
              <c:strCache>
                <c:ptCount val="2"/>
                <c:pt idx="0">
                  <c:v>收入</c:v>
                </c:pt>
                <c:pt idx="1">
                  <c:v>支出</c:v>
                </c:pt>
              </c:strCache>
            </c:strRef>
          </c:cat>
          <c:val>
            <c:numRef>
              <c:f>[决算公开图表.xlsx]Sheet1!$B$4:$C$4</c:f>
              <c:numCache>
                <c:formatCode>General</c:formatCode>
                <c:ptCount val="2"/>
                <c:pt idx="0">
                  <c:v>1192.17</c:v>
                </c:pt>
                <c:pt idx="1">
                  <c:v>1192.17</c:v>
                </c:pt>
              </c:numCache>
            </c:numRef>
          </c:val>
        </c:ser>
        <c:ser>
          <c:idx val="1"/>
          <c:order val="1"/>
          <c:tx>
            <c:strRef>
              <c:f>[决算公开图表.xlsx]Sheet1!$A$5</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[决算公开图表.xlsx]Sheet1!$B$3:$C$3</c:f>
              <c:strCache>
                <c:ptCount val="2"/>
                <c:pt idx="0">
                  <c:v>收入</c:v>
                </c:pt>
                <c:pt idx="1">
                  <c:v>支出</c:v>
                </c:pt>
              </c:strCache>
            </c:strRef>
          </c:cat>
          <c:val>
            <c:numRef>
              <c:f>[决算公开图表.xlsx]Sheet1!$B$5:$C$5</c:f>
              <c:numCache>
                <c:formatCode>General</c:formatCode>
                <c:ptCount val="2"/>
                <c:pt idx="0">
                  <c:v>1466.58</c:v>
                </c:pt>
                <c:pt idx="1">
                  <c:v>1466.58</c:v>
                </c:pt>
              </c:numCache>
            </c:numRef>
          </c:val>
        </c:ser>
        <c:dLbls>
          <c:showLegendKey val="0"/>
          <c:showVal val="1"/>
          <c:showCatName val="0"/>
          <c:showSerName val="0"/>
          <c:showPercent val="0"/>
          <c:showBubbleSize val="0"/>
        </c:dLbls>
        <c:gapWidth val="246"/>
        <c:overlap val="-28"/>
        <c:axId val="899056063"/>
        <c:axId val="128156204"/>
      </c:barChart>
      <c:catAx>
        <c:axId val="8990560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156204"/>
        <c:crosses val="autoZero"/>
        <c:auto val="1"/>
        <c:lblAlgn val="ctr"/>
        <c:lblOffset val="100"/>
        <c:noMultiLvlLbl val="0"/>
      </c:catAx>
      <c:valAx>
        <c:axId val="1281562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0560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"一般公共预算财政拨款收入"</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dLbl>
              <c:idx val="0"/>
              <c:layout>
                <c:manualLayout>
                  <c:x val="0.0157887876174762"/>
                  <c:y val="-0.2543636617358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[决算公开图表.xlsx]Sheet1!$B$22</c:f>
              <c:strCache>
                <c:ptCount val="1"/>
                <c:pt idx="0">
                  <c:v>一般公共预算财政拨款收入</c:v>
                </c:pt>
              </c:strCache>
            </c:strRef>
          </c:cat>
          <c:val>
            <c:numRef>
              <c:f>[决算公开图表.xlsx]Sheet1!$C$22</c:f>
              <c:numCache>
                <c:formatCode>General</c:formatCode>
                <c:ptCount val="1"/>
                <c:pt idx="0">
                  <c:v>1466.58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支出结算结构图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15</a:t>
                    </a:r>
                    <a:r>
                      <a:rPr lang="en-US" altLang="zh-CN"/>
                      <a:t>.4</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a:t>
                    </a:r>
                    <a:r>
                      <a:rPr lang="en-US" altLang="zh-CN"/>
                      <a:t>4.6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[决算公开图表.xlsx]Sheet1!$B$42:$B$43</c:f>
              <c:strCache>
                <c:ptCount val="2"/>
                <c:pt idx="0">
                  <c:v>基本支出</c:v>
                </c:pt>
                <c:pt idx="1">
                  <c:v>项目支出</c:v>
                </c:pt>
              </c:strCache>
            </c:strRef>
          </c:cat>
          <c:val>
            <c:numRef>
              <c:f>[决算公开图表.xlsx]Sheet1!$C$42:$C$43</c:f>
              <c:numCache>
                <c:formatCode>General</c:formatCode>
                <c:ptCount val="2"/>
                <c:pt idx="0">
                  <c:v>225.77</c:v>
                </c:pt>
                <c:pt idx="1">
                  <c:v>1240.81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09210526315789"/>
          <c:y val="0.0208333333333333"/>
        </c:manualLayout>
      </c:layout>
      <c:overlay val="0"/>
      <c:spPr>
        <a:noFill/>
        <a:ln>
          <a:noFill/>
        </a:ln>
        <a:effectLst/>
      </c:spPr>
    </c:title>
    <c:autoTitleDeleted val="0"/>
    <c:plotArea>
      <c:layout/>
      <c:barChart>
        <c:barDir val="col"/>
        <c:grouping val="clustered"/>
        <c:varyColors val="0"/>
        <c:ser>
          <c:idx val="0"/>
          <c:order val="0"/>
          <c:tx>
            <c:strRef>
              <c:f>[决算公开图表.xlsx]Sheet1!$B$59</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[决算公开图表.xlsx]Sheet1!$C$58:$D$58</c:f>
              <c:strCache>
                <c:ptCount val="2"/>
                <c:pt idx="0">
                  <c:v>收入</c:v>
                </c:pt>
                <c:pt idx="1">
                  <c:v>支出</c:v>
                </c:pt>
              </c:strCache>
            </c:strRef>
          </c:cat>
          <c:val>
            <c:numRef>
              <c:f>[决算公开图表.xlsx]Sheet1!$C$59:$D$59</c:f>
              <c:numCache>
                <c:formatCode>General</c:formatCode>
                <c:ptCount val="2"/>
                <c:pt idx="0">
                  <c:v>1192.17</c:v>
                </c:pt>
                <c:pt idx="1">
                  <c:v>1192.17</c:v>
                </c:pt>
              </c:numCache>
            </c:numRef>
          </c:val>
        </c:ser>
        <c:ser>
          <c:idx val="1"/>
          <c:order val="1"/>
          <c:tx>
            <c:strRef>
              <c:f>[决算公开图表.xlsx]Sheet1!$B$60</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[决算公开图表.xlsx]Sheet1!$C$58:$D$58</c:f>
              <c:strCache>
                <c:ptCount val="2"/>
                <c:pt idx="0">
                  <c:v>收入</c:v>
                </c:pt>
                <c:pt idx="1">
                  <c:v>支出</c:v>
                </c:pt>
              </c:strCache>
            </c:strRef>
          </c:cat>
          <c:val>
            <c:numRef>
              <c:f>[决算公开图表.xlsx]Sheet1!$C$60:$D$60</c:f>
              <c:numCache>
                <c:formatCode>General</c:formatCode>
                <c:ptCount val="2"/>
                <c:pt idx="0">
                  <c:v>1466.58</c:v>
                </c:pt>
                <c:pt idx="1">
                  <c:v>1466.58</c:v>
                </c:pt>
              </c:numCache>
            </c:numRef>
          </c:val>
        </c:ser>
        <c:dLbls>
          <c:showLegendKey val="0"/>
          <c:showVal val="1"/>
          <c:showCatName val="0"/>
          <c:showSerName val="0"/>
          <c:showPercent val="0"/>
          <c:showBubbleSize val="0"/>
        </c:dLbls>
        <c:gapWidth val="246"/>
        <c:overlap val="-28"/>
        <c:axId val="644829405"/>
        <c:axId val="147533429"/>
      </c:barChart>
      <c:catAx>
        <c:axId val="644829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533429"/>
        <c:crosses val="autoZero"/>
        <c:auto val="1"/>
        <c:lblAlgn val="ctr"/>
        <c:lblOffset val="100"/>
        <c:noMultiLvlLbl val="0"/>
      </c:catAx>
      <c:valAx>
        <c:axId val="1475334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829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53947368421053"/>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[决算公开图表.xlsx]Sheet1!$B$79:$B$80</c:f>
              <c:strCache>
                <c:ptCount val="2"/>
                <c:pt idx="0">
                  <c:v>2021年</c:v>
                </c:pt>
                <c:pt idx="1">
                  <c:v>2022年</c:v>
                </c:pt>
              </c:strCache>
            </c:strRef>
          </c:cat>
          <c:val>
            <c:numRef>
              <c:f>[决算公开图表.xlsx]Sheet1!$C$79:$C$80</c:f>
              <c:numCache>
                <c:formatCode>General</c:formatCode>
                <c:ptCount val="2"/>
                <c:pt idx="0">
                  <c:v>1192.17</c:v>
                </c:pt>
                <c:pt idx="1">
                  <c:v>1466.58</c:v>
                </c:pt>
              </c:numCache>
            </c:numRef>
          </c:val>
        </c:ser>
        <c:dLbls>
          <c:showLegendKey val="0"/>
          <c:showVal val="1"/>
          <c:showCatName val="0"/>
          <c:showSerName val="0"/>
          <c:showPercent val="0"/>
          <c:showBubbleSize val="0"/>
        </c:dLbls>
        <c:gapWidth val="246"/>
        <c:overlap val="-28"/>
        <c:axId val="175560013"/>
        <c:axId val="329120272"/>
      </c:barChart>
      <c:catAx>
        <c:axId val="1755600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120272"/>
        <c:crosses val="autoZero"/>
        <c:auto val="1"/>
        <c:lblAlgn val="ctr"/>
        <c:lblOffset val="100"/>
        <c:noMultiLvlLbl val="0"/>
      </c:catAx>
      <c:valAx>
        <c:axId val="3291202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5600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81876050278954"/>
          <c:y val="0.309385683760684"/>
          <c:w val="0.829052631578947"/>
          <c:h val="0.587685185185185"/>
        </c:manualLayout>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dLbl>
              <c:idx val="0"/>
              <c:layout>
                <c:manualLayout>
                  <c:x val="0.257358666898224"/>
                  <c:y val="-0.1421830161329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98.6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888157894736842"/>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48684210526316"/>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[决算公开图表.xlsx]Sheet1!$B$98:$B$100</c:f>
              <c:strCache>
                <c:ptCount val="3"/>
                <c:pt idx="0">
                  <c:v>社会保障和就业支出</c:v>
                </c:pt>
                <c:pt idx="1">
                  <c:v>卫生健康支出</c:v>
                </c:pt>
                <c:pt idx="2">
                  <c:v>住房保障支出</c:v>
                </c:pt>
              </c:strCache>
            </c:strRef>
          </c:cat>
          <c:val>
            <c:numRef>
              <c:f>[决算公开图表.xlsx]Sheet1!$C$98:$C$100</c:f>
              <c:numCache>
                <c:formatCode>General</c:formatCode>
                <c:ptCount val="3"/>
                <c:pt idx="0">
                  <c:v>1446</c:v>
                </c:pt>
                <c:pt idx="1">
                  <c:v>4.97</c:v>
                </c:pt>
                <c:pt idx="2">
                  <c:v>15.61</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manualLayout>
          <c:xMode val="edge"/>
          <c:yMode val="edge"/>
          <c:x val="0.214589235127479"/>
          <c:y val="0.0418215613382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[决算公开图表.xlsx]Sheet1!$B$115:$B$117</c:f>
              <c:strCache>
                <c:ptCount val="3"/>
                <c:pt idx="0">
                  <c:v>因公出国（境）费支出</c:v>
                </c:pt>
                <c:pt idx="1">
                  <c:v>公务用车购置及运行维护费支出</c:v>
                </c:pt>
                <c:pt idx="2">
                  <c:v>公务接待费支出</c:v>
                </c:pt>
              </c:strCache>
            </c:strRef>
          </c:cat>
          <c:val>
            <c:numRef>
              <c:f>[决算公开图表.xlsx]Sheet1!$C$115:$C$117</c:f>
              <c:numCache>
                <c:formatCode>General</c:formatCode>
                <c:ptCount val="3"/>
                <c:pt idx="0">
                  <c:v>0</c:v>
                </c:pt>
                <c:pt idx="1">
                  <c:v>0</c:v>
                </c:pt>
                <c:pt idx="2">
                  <c:v>0.08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1496</Words>
  <Characters>8531</Characters>
  <Lines>71</Lines>
  <Paragraphs>20</Paragraphs>
  <TotalTime>10</TotalTime>
  <ScaleCrop>false</ScaleCrop>
  <LinksUpToDate>false</LinksUpToDate>
  <CharactersWithSpaces>10007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WPS_462412120</cp:lastModifiedBy>
  <cp:lastPrinted>2023-07-31T02:35:00Z</cp:lastPrinted>
  <dcterms:modified xsi:type="dcterms:W3CDTF">2023-12-11T08:10:53Z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4FE7A029CBD14A8EA1524FE1C5A3031C_13</vt:lpwstr>
  </property>
</Properties>
</file>