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15396475"/>
      <w:bookmarkStart w:id="4" w:name="_Toc15377425"/>
      <w:bookmarkStart w:id="5" w:name="_Toc1537844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77426"/>
      <w:bookmarkStart w:id="9" w:name="_Toc15396476"/>
      <w:bookmarkStart w:id="10" w:name="_Toc15378442"/>
      <w:bookmarkStart w:id="11" w:name="_Toc15306268"/>
      <w:r>
        <w:rPr>
          <w:rFonts w:hint="eastAsia" w:ascii="方正小标宋简体" w:hAnsi="方正小标宋简体" w:eastAsia="方正小标宋简体" w:cs="方正小标宋简体"/>
          <w:sz w:val="72"/>
          <w:szCs w:val="72"/>
          <w:lang w:val="en-US" w:eastAsia="zh-CN"/>
        </w:rPr>
        <w:t>中共峨眉山市委办公室</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keepNext w:val="0"/>
        <w:keepLines w:val="0"/>
        <w:pageBreakBefore w:val="0"/>
        <w:widowControl/>
        <w:kinsoku/>
        <w:wordWrap/>
        <w:overflowPunct/>
        <w:topLinePunct w:val="0"/>
        <w:autoSpaceDE/>
        <w:autoSpaceDN/>
        <w:bidi w:val="0"/>
        <w:spacing w:line="560" w:lineRule="atLeast"/>
        <w:jc w:val="center"/>
        <w:textAlignment w:val="auto"/>
        <w:rPr>
          <w:rFonts w:ascii="黑体" w:hAnsi="黑体" w:eastAsia="黑体" w:cstheme="minorBidi"/>
          <w:sz w:val="32"/>
          <w:szCs w:val="32"/>
        </w:rPr>
      </w:pPr>
    </w:p>
    <w:p>
      <w:pPr>
        <w:pStyle w:val="10"/>
        <w:keepNext w:val="0"/>
        <w:keepLines w:val="0"/>
        <w:pageBreakBefore w:val="0"/>
        <w:kinsoku/>
        <w:wordWrap/>
        <w:overflowPunct/>
        <w:topLinePunct w:val="0"/>
        <w:autoSpaceDE/>
        <w:autoSpaceDN/>
        <w:bidi w:val="0"/>
        <w:spacing w:line="56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公开时间：2023年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spacing w:line="560" w:lineRule="atLeast"/>
        <w:textAlignment w:val="auto"/>
        <w:rPr>
          <w:rFonts w:hint="eastAsia" w:ascii="仿宋_GB2312" w:hAnsi="仿宋_GB2312" w:eastAsia="仿宋_GB2312" w:cs="仿宋_GB2312"/>
          <w:sz w:val="32"/>
          <w:szCs w:val="32"/>
        </w:rPr>
      </w:pPr>
    </w:p>
    <w:p>
      <w:pPr>
        <w:pStyle w:val="10"/>
        <w:keepNext w:val="0"/>
        <w:keepLines w:val="0"/>
        <w:pageBreakBefore w:val="0"/>
        <w:kinsoku/>
        <w:wordWrap/>
        <w:overflowPunct/>
        <w:topLinePunct w:val="0"/>
        <w:autoSpaceDE/>
        <w:autoSpaceDN/>
        <w:bidi w:val="0"/>
        <w:adjustRightInd w:val="0"/>
        <w:snapToGrid w:val="0"/>
        <w:spacing w:before="0"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单位概况</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0"/>
        <w:keepNext w:val="0"/>
        <w:keepLines w:val="0"/>
        <w:pageBreakBefore w:val="0"/>
        <w:kinsoku/>
        <w:wordWrap/>
        <w:overflowPunct/>
        <w:topLinePunct w:val="0"/>
        <w:autoSpaceDE/>
        <w:autoSpaceDN/>
        <w:bidi w:val="0"/>
        <w:adjustRightInd w:val="0"/>
        <w:snapToGrid w:val="0"/>
        <w:spacing w:before="0"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2022年度单位决算情况说明</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0"/>
        <w:keepNext w:val="0"/>
        <w:keepLines w:val="0"/>
        <w:pageBreakBefore w:val="0"/>
        <w:kinsoku/>
        <w:wordWrap/>
        <w:overflowPunct/>
        <w:topLinePunct w:val="0"/>
        <w:autoSpaceDE/>
        <w:autoSpaceDN/>
        <w:bidi w:val="0"/>
        <w:adjustRightInd w:val="0"/>
        <w:snapToGrid w:val="0"/>
        <w:spacing w:before="0"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pPr>
        <w:pStyle w:val="10"/>
        <w:keepNext w:val="0"/>
        <w:keepLines w:val="0"/>
        <w:pageBreakBefore w:val="0"/>
        <w:kinsoku/>
        <w:wordWrap/>
        <w:overflowPunct/>
        <w:topLinePunct w:val="0"/>
        <w:autoSpaceDE/>
        <w:autoSpaceDN/>
        <w:bidi w:val="0"/>
        <w:adjustRightInd w:val="0"/>
        <w:snapToGrid w:val="0"/>
        <w:spacing w:before="0"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p>
    <w:p>
      <w:pPr>
        <w:pStyle w:val="10"/>
        <w:keepNext w:val="0"/>
        <w:keepLines w:val="0"/>
        <w:pageBreakBefore w:val="0"/>
        <w:kinsoku/>
        <w:wordWrap/>
        <w:overflowPunct/>
        <w:topLinePunct w:val="0"/>
        <w:autoSpaceDE/>
        <w:autoSpaceDN/>
        <w:bidi w:val="0"/>
        <w:adjustRightInd w:val="0"/>
        <w:snapToGrid w:val="0"/>
        <w:spacing w:before="0"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pPr>
        <w:pStyle w:val="11"/>
        <w:keepNext w:val="0"/>
        <w:keepLines w:val="0"/>
        <w:pageBreakBefore w:val="0"/>
        <w:kinsoku/>
        <w:wordWrap/>
        <w:overflowPunct/>
        <w:topLinePunct w:val="0"/>
        <w:autoSpaceDE/>
        <w:autoSpaceDN/>
        <w:bidi w:val="0"/>
        <w:adjustRightInd w:val="0"/>
        <w:snapToGrid w:val="0"/>
        <w:spacing w:line="56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pPr>
        <w:keepNext w:val="0"/>
        <w:keepLines w:val="0"/>
        <w:pageBreakBefore w:val="0"/>
        <w:widowControl/>
        <w:kinsoku/>
        <w:wordWrap/>
        <w:overflowPunct/>
        <w:topLinePunct w:val="0"/>
        <w:autoSpaceDE/>
        <w:autoSpaceDN/>
        <w:bidi w:val="0"/>
        <w:spacing w:line="560" w:lineRule="atLeast"/>
        <w:jc w:val="left"/>
        <w:textAlignment w:val="auto"/>
        <w:rPr>
          <w:rFonts w:ascii="仿宋" w:hAnsi="仿宋" w:eastAsia="仿宋"/>
          <w:bCs/>
          <w:kern w:val="44"/>
          <w:sz w:val="32"/>
          <w:szCs w:val="32"/>
        </w:rPr>
      </w:pPr>
      <w:bookmarkStart w:id="12" w:name="_Toc15377196"/>
      <w:bookmarkStart w:id="13" w:name="_Toc15396599"/>
      <w:r>
        <w:rPr>
          <w:rFonts w:ascii="仿宋" w:hAnsi="仿宋" w:eastAsia="仿宋"/>
          <w:b/>
          <w:sz w:val="32"/>
          <w:szCs w:val="32"/>
        </w:rPr>
        <w:br w:type="page"/>
      </w:r>
    </w:p>
    <w:p>
      <w:pPr>
        <w:pStyle w:val="3"/>
        <w:jc w:val="center"/>
        <w:rPr>
          <w:rFonts w:ascii="黑体" w:eastAsia="黑体"/>
          <w:sz w:val="32"/>
          <w:szCs w:val="32"/>
        </w:rPr>
      </w:pPr>
      <w:bookmarkStart w:id="14" w:name="_Hlk146544157"/>
      <w:r>
        <w:rPr>
          <w:rFonts w:hint="eastAsia" w:ascii="黑体" w:hAnsi="黑体" w:eastAsia="黑体"/>
          <w:b w:val="0"/>
        </w:rPr>
        <w:t>第一部分</w:t>
      </w:r>
      <w:r>
        <w:rPr>
          <w:rFonts w:hint="eastAsia" w:ascii="黑体" w:hAnsi="黑体" w:eastAsia="黑体"/>
          <w:b w:val="0"/>
          <w:lang w:val="en-US" w:eastAsia="zh-CN"/>
        </w:rPr>
        <w:t xml:space="preserve">  </w:t>
      </w:r>
      <w:bookmarkStart w:id="70" w:name="_GoBack"/>
      <w:bookmarkEnd w:id="70"/>
      <w:r>
        <w:rPr>
          <w:rFonts w:hint="eastAsia" w:ascii="黑体" w:hAnsi="黑体" w:eastAsia="黑体"/>
          <w:b w:val="0"/>
        </w:rPr>
        <w:t>单位</w:t>
      </w:r>
      <w:r>
        <w:rPr>
          <w:rStyle w:val="24"/>
          <w:rFonts w:hint="eastAsia" w:ascii="黑体" w:hAnsi="黑体" w:eastAsia="黑体"/>
          <w:b w:val="0"/>
          <w:bCs w:val="0"/>
        </w:rPr>
        <w:t>概况</w:t>
      </w:r>
      <w:bookmarkEnd w:id="12"/>
      <w:bookmarkEnd w:id="13"/>
    </w:p>
    <w:p>
      <w:pPr>
        <w:pStyle w:val="4"/>
        <w:numPr>
          <w:ilvl w:val="0"/>
          <w:numId w:val="1"/>
        </w:numPr>
        <w:rPr>
          <w:rStyle w:val="25"/>
          <w:rFonts w:ascii="黑体" w:hAnsi="黑体" w:eastAsia="黑体"/>
          <w:b w:val="0"/>
          <w:bCs w:val="0"/>
        </w:rPr>
      </w:pPr>
      <w:bookmarkStart w:id="15" w:name="_Toc15396600"/>
      <w:bookmarkStart w:id="16" w:name="_Toc15377197"/>
      <w:r>
        <w:rPr>
          <w:rStyle w:val="25"/>
          <w:rFonts w:hint="eastAsia" w:ascii="黑体" w:hAnsi="黑体" w:eastAsia="黑体"/>
          <w:b w:val="0"/>
          <w:bCs w:val="0"/>
        </w:rPr>
        <w:t>主要职责</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textAlignment w:val="auto"/>
        <w:rPr>
          <w:rFonts w:hint="eastAsia"/>
          <w:bCs/>
          <w:color w:val="000000"/>
          <w:sz w:val="32"/>
          <w:szCs w:val="32"/>
        </w:rPr>
      </w:pPr>
      <w:bookmarkStart w:id="17" w:name="_Toc15377198"/>
      <w:bookmarkStart w:id="18" w:name="_Toc15378445"/>
      <w:r>
        <w:rPr>
          <w:rFonts w:hint="eastAsia" w:ascii="仿宋" w:hAnsi="仿宋" w:eastAsia="仿宋"/>
          <w:bCs/>
          <w:color w:val="000000"/>
          <w:sz w:val="32"/>
          <w:szCs w:val="32"/>
        </w:rPr>
        <w:t>（</w:t>
      </w:r>
      <w:r>
        <w:rPr>
          <w:rFonts w:hint="eastAsia" w:ascii="仿宋_GB2312" w:hAnsi="仿宋_GB2312" w:eastAsia="仿宋_GB2312" w:cs="仿宋_GB2312"/>
          <w:bCs/>
          <w:color w:val="000000"/>
          <w:sz w:val="32"/>
          <w:szCs w:val="32"/>
        </w:rPr>
        <w:t>一）主要职能。</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1.负责市委常委会、全会及其他全市重大会议的会务工作组；各级文件、简报等签收、分发、流转、清退及销毁工作；负责市委领导参加会议、活动的组织安排；领导批示的登记、转办与督查工作；市委、市委办的印章管理和使用；市委大事记编撰工作；群众来信来访的接待及受理工作；承担档案局日常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2.负责起草或组织起草市委文件；负责市委、市委办文件审核、制发工作；市委规范性文件报备和各乡镇党委、市委各部门、市级各部门（党委）规范性文件备案审查工作；市委规范性文件清理审查工作，组织协调全市党委系统规范性文件清理审核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3.负责全市党务信息的收集、资料、上报等；负责围绕市委中心工作和市委领导关注问题开展调查研究，撰写调研报告和专题报告；领导讲话稿的起草工作；市委重要会议的记录及纪要的起草；负责网络舆情办理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4.根据党的路线、方针、政策及市委决策部署，对全市政治、经济、文化等方面的重大问题进行调查研究，为市委决策提供依据和参考；起草或者参与起草、修改市委有关重要文稿；承担市委政研室及市委全面深化改革委员会办公室相关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5.编制下达由市委督效领导小组审定通过的各目标责任单位年度工作目标任务；负责对目标责任单位的目标任务执行情况的督促检查；配合相关部门对全市重点工作完成情况进行督查；负责对各目标责任单位全年目标任务完成情况的考核及奖励兑现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6.负责督促检查重要文件、重要会议决定或办理事项贯彻落实情况；负责省、乐山市和本级领导重要批示、交办事项的督促落实；负责督促检查需要由本级党委答复的人大代表议案、建议、批评和政协委员提案、建议案办理情况；配合市级各部门开展督查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7.负责开展党员发展、组织生活、党员教育管理等党建工作，组织机关干部开展业务培训、职业道德教育活动；负责党员组织关系管理、党务公开工作；负责党风廉政建设。</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8.负责全市密码管理、内网建设等工作，负责党政高清电视电话会议系统的技术保障。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9.负责保密宣传教育工作，国家安全宣传教育工作。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default"/>
          <w:bCs/>
          <w:color w:val="000000"/>
          <w:sz w:val="32"/>
          <w:szCs w:val="32"/>
          <w:lang w:val="en-US" w:eastAsia="zh-CN"/>
        </w:rPr>
      </w:pPr>
      <w:r>
        <w:rPr>
          <w:rFonts w:hint="eastAsia"/>
          <w:bCs/>
          <w:color w:val="000000"/>
          <w:sz w:val="32"/>
          <w:szCs w:val="32"/>
          <w:lang w:val="en-US" w:eastAsia="zh-CN"/>
        </w:rPr>
        <w:t>10.负责办公室后勤保障工作。</w:t>
      </w:r>
    </w:p>
    <w:bookmarkEnd w:id="17"/>
    <w:bookmarkEnd w:id="18"/>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年重点工作完成情况</w:t>
      </w:r>
    </w:p>
    <w:p>
      <w:pPr>
        <w:ind w:firstLine="640" w:firstLineChars="200"/>
      </w:pPr>
      <w:r>
        <w:rPr>
          <w:rFonts w:hint="eastAsia" w:ascii="仿宋_GB2312" w:hAnsi="Times New Roman" w:eastAsia="仿宋_GB2312" w:cs="Times New Roman"/>
          <w:bCs/>
          <w:color w:val="000000"/>
          <w:kern w:val="0"/>
          <w:sz w:val="32"/>
          <w:szCs w:val="32"/>
          <w:lang w:val="en-US" w:eastAsia="zh-CN" w:bidi="ar-SA"/>
        </w:rPr>
        <w:t>2022年，在市委坚强领导下，市委办公室深入学习贯彻党的二十大、省委十二届二次全会、乐山市委八届六次全会、峨眉山市委十五届四次全会精神，认真落实李良书记关于党办工作的指示要求，紧密围绕市委中心大局，充分发挥参谋助手和桥梁纽带作用，锐意进取、开拓创新、善作善成，“三服务”工作水平不断提升，有力保障市委各项工作高效有序运转，在峨眉山市部门年度考核中获“优秀”等次。</w:t>
      </w:r>
    </w:p>
    <w:p>
      <w:pPr>
        <w:pStyle w:val="4"/>
        <w:numPr>
          <w:ilvl w:val="0"/>
          <w:numId w:val="0"/>
        </w:numPr>
        <w:ind w:leftChars="0" w:firstLine="640" w:firstLineChars="200"/>
        <w:rPr>
          <w:rFonts w:hint="default" w:ascii="仿宋_GB2312" w:hAnsi="仿宋_GB2312" w:eastAsia="仿宋_GB2312" w:cs="仿宋_GB2312"/>
          <w:b w:val="0"/>
          <w:bCs w:val="0"/>
          <w:sz w:val="32"/>
          <w:szCs w:val="32"/>
          <w:lang w:val="en-US" w:eastAsia="zh-CN"/>
        </w:rPr>
      </w:pPr>
      <w:r>
        <w:rPr>
          <w:rFonts w:hint="eastAsia" w:ascii="黑体" w:hAnsi="黑体" w:eastAsia="黑体"/>
          <w:b w:val="0"/>
          <w:lang w:val="en-US" w:eastAsia="zh-CN"/>
        </w:rPr>
        <w:t>二、</w:t>
      </w:r>
      <w:r>
        <w:rPr>
          <w:rFonts w:hint="eastAsia" w:ascii="黑体" w:hAnsi="黑体" w:eastAsia="黑体"/>
          <w:b w:val="0"/>
        </w:rPr>
        <w:t>机构设置</w:t>
      </w:r>
    </w:p>
    <w:p>
      <w:pPr>
        <w:pStyle w:val="4"/>
        <w:numPr>
          <w:ilvl w:val="0"/>
          <w:numId w:val="0"/>
        </w:numPr>
        <w:ind w:leftChars="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中共峨眉山市委办公室（本级）</w:t>
      </w:r>
      <w:r>
        <w:rPr>
          <w:rFonts w:hint="eastAsia" w:ascii="仿宋_GB2312" w:hAnsi="仿宋_GB2312" w:eastAsia="仿宋_GB2312" w:cs="仿宋_GB2312"/>
          <w:b w:val="0"/>
          <w:bCs w:val="0"/>
          <w:sz w:val="32"/>
          <w:szCs w:val="32"/>
        </w:rPr>
        <w:t>属于</w:t>
      </w:r>
      <w:r>
        <w:rPr>
          <w:rFonts w:hint="eastAsia" w:ascii="仿宋_GB2312" w:hAnsi="仿宋_GB2312" w:eastAsia="仿宋_GB2312" w:cs="仿宋_GB2312"/>
          <w:b w:val="0"/>
          <w:bCs w:val="0"/>
          <w:sz w:val="32"/>
          <w:szCs w:val="32"/>
          <w:lang w:val="en-US" w:eastAsia="zh-CN"/>
        </w:rPr>
        <w:t>中共峨眉山市委办</w:t>
      </w:r>
      <w:r>
        <w:rPr>
          <w:rFonts w:hint="eastAsia" w:ascii="仿宋_GB2312" w:hAnsi="仿宋_GB2312" w:eastAsia="仿宋_GB2312" w:cs="仿宋_GB2312"/>
          <w:b w:val="0"/>
          <w:bCs w:val="0"/>
          <w:sz w:val="32"/>
          <w:szCs w:val="32"/>
        </w:rPr>
        <w:t>部门下属的二级预算单位，下设独立编制机构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个，其中行政机构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个，参照公务员法管理的事业机构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个，其他事业机构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个。</w:t>
      </w:r>
      <w:r>
        <w:rPr>
          <w:rFonts w:hint="eastAsia" w:ascii="仿宋_GB2312" w:hAnsi="仿宋_GB2312" w:eastAsia="仿宋_GB2312" w:cs="仿宋_GB2312"/>
          <w:b w:val="0"/>
          <w:bCs w:val="0"/>
          <w:sz w:val="32"/>
          <w:szCs w:val="32"/>
          <w:lang w:val="en-US" w:eastAsia="zh-CN"/>
        </w:rPr>
        <w:t>共11个股室，28个行政编制，8个工勤编制</w:t>
      </w:r>
    </w:p>
    <w:bookmarkEnd w:id="14"/>
    <w:bookmarkEnd w:id="15"/>
    <w:bookmarkEnd w:id="16"/>
    <w:p>
      <w:pPr>
        <w:widowControl/>
        <w:jc w:val="left"/>
        <w:rPr>
          <w:rFonts w:ascii="仿宋" w:hAnsi="仿宋" w:eastAsia="仿宋"/>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19" w:name="_Toc15396602"/>
      <w:bookmarkStart w:id="20"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19"/>
      <w:bookmarkEnd w:id="20"/>
    </w:p>
    <w:p/>
    <w:p>
      <w:pPr>
        <w:pStyle w:val="23"/>
        <w:numPr>
          <w:ilvl w:val="0"/>
          <w:numId w:val="2"/>
        </w:numPr>
        <w:spacing w:line="600" w:lineRule="exact"/>
        <w:ind w:firstLineChars="0"/>
        <w:outlineLvl w:val="1"/>
        <w:rPr>
          <w:rStyle w:val="25"/>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1"/>
      <w:bookmarkEnd w:id="22"/>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1499.24</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1091.9</w:t>
      </w:r>
      <w:r>
        <w:rPr>
          <w:rFonts w:hint="eastAsia" w:ascii="仿宋" w:hAnsi="仿宋" w:eastAsia="仿宋"/>
          <w:sz w:val="32"/>
          <w:szCs w:val="32"/>
        </w:rPr>
        <w:t>万元，下降</w:t>
      </w:r>
      <w:r>
        <w:rPr>
          <w:rFonts w:hint="eastAsia" w:ascii="仿宋" w:hAnsi="仿宋" w:eastAsia="仿宋"/>
          <w:sz w:val="32"/>
          <w:szCs w:val="32"/>
          <w:lang w:val="en-US" w:eastAsia="zh-CN"/>
        </w:rPr>
        <w:t>43</w:t>
      </w:r>
      <w:r>
        <w:rPr>
          <w:rFonts w:ascii="仿宋" w:hAnsi="仿宋" w:eastAsia="仿宋"/>
          <w:sz w:val="32"/>
          <w:szCs w:val="32"/>
        </w:rPr>
        <w:t>%</w:t>
      </w:r>
      <w:r>
        <w:rPr>
          <w:rFonts w:hint="eastAsia" w:ascii="仿宋" w:hAnsi="仿宋" w:eastAsia="仿宋"/>
          <w:sz w:val="32"/>
          <w:szCs w:val="32"/>
        </w:rPr>
        <w:t>。主要变动原因</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厉行节约和项目减少</w:t>
      </w:r>
      <w:r>
        <w:rPr>
          <w:rFonts w:hint="eastAsia" w:ascii="仿宋" w:hAnsi="仿宋" w:eastAsia="仿宋"/>
          <w:sz w:val="32"/>
          <w:szCs w:val="32"/>
        </w:rPr>
        <w:t>。</w:t>
      </w:r>
    </w:p>
    <w:p>
      <w:pPr>
        <w:spacing w:line="600" w:lineRule="exact"/>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8"/>
        <w:rPr>
          <w:rFonts w:hint="eastAsia" w:ascii="仿宋" w:hAnsi="仿宋" w:eastAsia="仿宋"/>
          <w:sz w:val="32"/>
          <w:szCs w:val="32"/>
        </w:rPr>
      </w:pPr>
    </w:p>
    <w:p>
      <w:pPr>
        <w:pStyle w:val="8"/>
        <w:rPr>
          <w:rFonts w:hint="eastAsia" w:ascii="仿宋" w:hAnsi="仿宋" w:eastAsia="仿宋"/>
          <w:sz w:val="32"/>
          <w:szCs w:val="32"/>
        </w:rPr>
      </w:pPr>
      <w:r>
        <w:drawing>
          <wp:inline distT="0" distB="0" distL="114300" distR="114300">
            <wp:extent cx="4562475" cy="2760345"/>
            <wp:effectExtent l="4445" t="4445" r="5080" b="16510"/>
            <wp:docPr id="131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25"/>
          <w:rFonts w:hint="eastAsia" w:ascii="黑体" w:hAnsi="黑体" w:eastAsia="黑体"/>
          <w:b w:val="0"/>
        </w:rPr>
        <w:t>入决算情况说明</w:t>
      </w:r>
      <w:bookmarkEnd w:id="23"/>
      <w:bookmarkEnd w:id="24"/>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1499.24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1421.8</w:t>
      </w:r>
      <w:r>
        <w:rPr>
          <w:rFonts w:hint="eastAsia" w:ascii="仿宋" w:hAnsi="仿宋" w:eastAsia="仿宋"/>
          <w:sz w:val="32"/>
          <w:szCs w:val="32"/>
        </w:rPr>
        <w:t>万元，占</w:t>
      </w:r>
      <w:r>
        <w:rPr>
          <w:rFonts w:hint="eastAsia" w:ascii="仿宋" w:hAnsi="仿宋" w:eastAsia="仿宋"/>
          <w:sz w:val="32"/>
          <w:szCs w:val="32"/>
          <w:lang w:val="en-US" w:eastAsia="zh-CN"/>
        </w:rPr>
        <w:t>95</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77.44</w:t>
      </w:r>
      <w:r>
        <w:rPr>
          <w:rFonts w:hint="eastAsia" w:ascii="仿宋" w:hAnsi="仿宋" w:eastAsia="仿宋"/>
          <w:sz w:val="32"/>
          <w:szCs w:val="32"/>
        </w:rPr>
        <w:t>万元，占</w:t>
      </w:r>
      <w:r>
        <w:rPr>
          <w:rFonts w:hint="eastAsia" w:ascii="仿宋" w:hAnsi="仿宋" w:eastAsia="仿宋"/>
          <w:sz w:val="32"/>
          <w:szCs w:val="32"/>
          <w:lang w:val="en-US" w:eastAsia="zh-CN"/>
        </w:rPr>
        <w:t>0.05</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r>
        <w:rPr>
          <w:rFonts w:hint="eastAsia" w:ascii="仿宋" w:hAnsi="仿宋" w:eastAsia="仿宋"/>
          <w:sz w:val="32"/>
          <w:szCs w:val="32"/>
        </w:rPr>
        <w:t>（图2：收入决算结构图）（饼状图）</w:t>
      </w:r>
    </w:p>
    <w:p>
      <w:pPr>
        <w:spacing w:line="600" w:lineRule="exact"/>
        <w:ind w:firstLine="420" w:firstLineChars="200"/>
        <w:outlineLvl w:val="1"/>
        <w:rPr>
          <w:rFonts w:ascii="仿宋" w:hAnsi="仿宋" w:eastAsia="仿宋"/>
          <w:b/>
          <w:sz w:val="32"/>
          <w:szCs w:val="32"/>
        </w:rPr>
      </w:pPr>
      <w:r>
        <w:drawing>
          <wp:anchor distT="0" distB="0" distL="114300" distR="114300" simplePos="0" relativeHeight="251659264" behindDoc="0" locked="0" layoutInCell="1" allowOverlap="1">
            <wp:simplePos x="0" y="0"/>
            <wp:positionH relativeFrom="column">
              <wp:posOffset>252095</wp:posOffset>
            </wp:positionH>
            <wp:positionV relativeFrom="paragraph">
              <wp:posOffset>360045</wp:posOffset>
            </wp:positionV>
            <wp:extent cx="4572000" cy="2743835"/>
            <wp:effectExtent l="4445" t="4445" r="14605" b="13970"/>
            <wp:wrapNone/>
            <wp:docPr id="132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outlineLvl w:val="1"/>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25"/>
          <w:rFonts w:hint="eastAsia" w:ascii="黑体" w:hAnsi="黑体" w:eastAsia="黑体"/>
          <w:b w:val="0"/>
        </w:rPr>
        <w:t>出决算情况说明</w:t>
      </w:r>
      <w:bookmarkEnd w:id="25"/>
      <w:bookmarkEnd w:id="26"/>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1499.24</w:t>
      </w:r>
      <w:r>
        <w:rPr>
          <w:rFonts w:hint="eastAsia" w:ascii="仿宋" w:hAnsi="仿宋" w:eastAsia="仿宋"/>
          <w:sz w:val="32"/>
          <w:szCs w:val="32"/>
        </w:rPr>
        <w:t>万元，其中：基本支出</w:t>
      </w:r>
      <w:r>
        <w:rPr>
          <w:rFonts w:hint="eastAsia" w:ascii="仿宋" w:hAnsi="仿宋" w:eastAsia="仿宋"/>
          <w:sz w:val="32"/>
          <w:szCs w:val="32"/>
          <w:lang w:val="en-US" w:eastAsia="zh-CN"/>
        </w:rPr>
        <w:t>950.03</w:t>
      </w:r>
      <w:r>
        <w:rPr>
          <w:rFonts w:hint="eastAsia" w:ascii="仿宋" w:hAnsi="仿宋" w:eastAsia="仿宋"/>
          <w:sz w:val="32"/>
          <w:szCs w:val="32"/>
        </w:rPr>
        <w:t>万元，占</w:t>
      </w:r>
      <w:r>
        <w:rPr>
          <w:rFonts w:hint="eastAsia" w:ascii="仿宋" w:hAnsi="仿宋" w:eastAsia="仿宋"/>
          <w:sz w:val="32"/>
          <w:szCs w:val="32"/>
          <w:lang w:val="en-US" w:eastAsia="zh-CN"/>
        </w:rPr>
        <w:t>0.64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471.77</w:t>
      </w:r>
      <w:r>
        <w:rPr>
          <w:rFonts w:hint="eastAsia" w:ascii="仿宋" w:hAnsi="仿宋" w:eastAsia="仿宋"/>
          <w:sz w:val="32"/>
          <w:szCs w:val="32"/>
        </w:rPr>
        <w:t>万元，占</w:t>
      </w:r>
      <w:r>
        <w:rPr>
          <w:rFonts w:hint="eastAsia" w:ascii="仿宋" w:hAnsi="仿宋" w:eastAsia="仿宋"/>
          <w:sz w:val="32"/>
          <w:szCs w:val="32"/>
          <w:lang w:val="en-US" w:eastAsia="zh-CN"/>
        </w:rPr>
        <w:t>32</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（图3：支出决算结构图）（饼状图）</w:t>
      </w:r>
    </w:p>
    <w:p>
      <w:pPr>
        <w:pStyle w:val="8"/>
        <w:rPr>
          <w:rFonts w:hint="eastAsia" w:ascii="仿宋" w:hAnsi="仿宋" w:eastAsia="仿宋"/>
          <w:sz w:val="32"/>
          <w:szCs w:val="32"/>
        </w:rPr>
      </w:pPr>
    </w:p>
    <w:p>
      <w:pPr>
        <w:pStyle w:val="8"/>
        <w:rPr>
          <w:rFonts w:ascii="仿宋_GB2312" w:eastAsia="仿宋_GB2312"/>
          <w:sz w:val="32"/>
          <w:szCs w:val="32"/>
        </w:rPr>
      </w:pPr>
      <w:r>
        <w:drawing>
          <wp:inline distT="0" distB="0" distL="114300" distR="114300">
            <wp:extent cx="4572000" cy="2743200"/>
            <wp:effectExtent l="4445" t="4445" r="14605" b="14605"/>
            <wp:docPr id="132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25"/>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7"/>
      <w:bookmarkEnd w:id="2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1499.24</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2591.14</w:t>
      </w:r>
      <w:r>
        <w:rPr>
          <w:rFonts w:hint="eastAsia" w:ascii="仿宋" w:hAnsi="仿宋" w:eastAsia="仿宋"/>
          <w:sz w:val="32"/>
          <w:szCs w:val="32"/>
        </w:rPr>
        <w:t>万元，下降</w:t>
      </w:r>
      <w:r>
        <w:rPr>
          <w:rFonts w:hint="eastAsia" w:ascii="仿宋" w:hAnsi="仿宋" w:eastAsia="仿宋"/>
          <w:sz w:val="32"/>
          <w:szCs w:val="32"/>
          <w:lang w:val="en-US" w:eastAsia="zh-CN"/>
        </w:rPr>
        <w:t>43</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lang w:val="en-US" w:eastAsia="zh-CN"/>
        </w:rPr>
        <w:t>厉行节约和项目减少。</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420" w:firstLineChars="200"/>
        <w:outlineLvl w:val="1"/>
        <w:rPr>
          <w:rFonts w:hint="eastAsia" w:ascii="黑体" w:hAnsi="黑体" w:eastAsia="黑体"/>
          <w:sz w:val="32"/>
          <w:szCs w:val="32"/>
        </w:rPr>
      </w:pPr>
      <w:bookmarkStart w:id="29" w:name="_Toc15377209"/>
      <w:bookmarkStart w:id="30" w:name="_Toc15396607"/>
      <w:r>
        <w:drawing>
          <wp:anchor distT="0" distB="0" distL="114300" distR="114300" simplePos="0" relativeHeight="251660288" behindDoc="0" locked="0" layoutInCell="1" allowOverlap="1">
            <wp:simplePos x="0" y="0"/>
            <wp:positionH relativeFrom="column">
              <wp:posOffset>191770</wp:posOffset>
            </wp:positionH>
            <wp:positionV relativeFrom="paragraph">
              <wp:posOffset>23495</wp:posOffset>
            </wp:positionV>
            <wp:extent cx="4591050" cy="2752090"/>
            <wp:effectExtent l="4445" t="4445" r="14605" b="5715"/>
            <wp:wrapNone/>
            <wp:docPr id="15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9"/>
      <w:bookmarkEnd w:id="30"/>
    </w:p>
    <w:p>
      <w:pPr>
        <w:spacing w:line="600" w:lineRule="exact"/>
        <w:ind w:firstLine="643" w:firstLineChars="200"/>
        <w:outlineLvl w:val="2"/>
        <w:rPr>
          <w:rFonts w:hint="eastAsia" w:ascii="仿宋" w:hAnsi="仿宋" w:eastAsia="仿宋"/>
          <w:b/>
          <w:sz w:val="32"/>
          <w:szCs w:val="32"/>
        </w:rPr>
      </w:pPr>
      <w:bookmarkStart w:id="31" w:name="_Toc15377210"/>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1421.8</w:t>
      </w:r>
      <w:r>
        <w:rPr>
          <w:rFonts w:hint="eastAsia" w:ascii="仿宋" w:hAnsi="仿宋" w:eastAsia="仿宋"/>
          <w:sz w:val="32"/>
          <w:szCs w:val="32"/>
        </w:rPr>
        <w:t>万元，占本年支出合计的</w:t>
      </w:r>
      <w:r>
        <w:rPr>
          <w:rFonts w:hint="eastAsia" w:ascii="仿宋" w:hAnsi="仿宋" w:eastAsia="仿宋"/>
          <w:sz w:val="32"/>
          <w:szCs w:val="32"/>
          <w:lang w:val="en-US" w:eastAsia="zh-CN"/>
        </w:rPr>
        <w:t>95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1136.09</w:t>
      </w:r>
      <w:r>
        <w:rPr>
          <w:rFonts w:hint="eastAsia" w:ascii="仿宋" w:hAnsi="仿宋" w:eastAsia="仿宋"/>
          <w:sz w:val="32"/>
          <w:szCs w:val="32"/>
        </w:rPr>
        <w:t>万元，下降</w:t>
      </w:r>
      <w:r>
        <w:rPr>
          <w:rFonts w:hint="eastAsia" w:ascii="仿宋" w:hAnsi="仿宋" w:eastAsia="仿宋"/>
          <w:sz w:val="32"/>
          <w:szCs w:val="32"/>
          <w:lang w:val="en-US" w:eastAsia="zh-CN"/>
        </w:rPr>
        <w:t>45</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lang w:val="en-US" w:eastAsia="zh-CN"/>
        </w:rPr>
        <w:t>厉行节约和项目减少。</w:t>
      </w: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pStyle w:val="8"/>
        <w:rPr>
          <w:rFonts w:hint="eastAsia" w:ascii="仿宋" w:hAnsi="仿宋" w:eastAsia="仿宋"/>
          <w:sz w:val="32"/>
          <w:szCs w:val="32"/>
        </w:rPr>
      </w:pPr>
    </w:p>
    <w:p>
      <w:pPr>
        <w:pStyle w:val="8"/>
        <w:rPr>
          <w:rFonts w:hint="eastAsia"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hint="eastAsia" w:ascii="仿宋" w:hAnsi="仿宋" w:eastAsia="仿宋"/>
          <w:b/>
          <w:sz w:val="32"/>
          <w:szCs w:val="32"/>
        </w:rPr>
      </w:pPr>
      <w:bookmarkStart w:id="32" w:name="_Toc15377211"/>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420" w:firstLineChars="200"/>
        <w:outlineLvl w:val="2"/>
        <w:rPr>
          <w:rFonts w:hint="eastAsia" w:ascii="仿宋" w:hAnsi="仿宋" w:eastAsia="仿宋"/>
          <w:b/>
          <w:sz w:val="32"/>
          <w:szCs w:val="32"/>
        </w:rPr>
      </w:pPr>
      <w:r>
        <w:drawing>
          <wp:anchor distT="0" distB="0" distL="114300" distR="114300" simplePos="0" relativeHeight="251661312" behindDoc="0" locked="0" layoutInCell="1" allowOverlap="1">
            <wp:simplePos x="0" y="0"/>
            <wp:positionH relativeFrom="column">
              <wp:posOffset>271145</wp:posOffset>
            </wp:positionH>
            <wp:positionV relativeFrom="paragraph">
              <wp:posOffset>-2453005</wp:posOffset>
            </wp:positionV>
            <wp:extent cx="4571365" cy="2743835"/>
            <wp:effectExtent l="4445" t="4445" r="15240" b="13970"/>
            <wp:wrapNone/>
            <wp:docPr id="131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2"/>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1421.8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1231.39</w:t>
      </w:r>
      <w:r>
        <w:rPr>
          <w:rFonts w:hint="eastAsia" w:ascii="仿宋" w:hAnsi="仿宋" w:eastAsia="仿宋"/>
          <w:sz w:val="32"/>
          <w:szCs w:val="32"/>
        </w:rPr>
        <w:t>万元，占</w:t>
      </w:r>
      <w:r>
        <w:rPr>
          <w:rFonts w:hint="eastAsia" w:ascii="仿宋" w:hAnsi="仿宋" w:eastAsia="仿宋"/>
          <w:sz w:val="32"/>
          <w:szCs w:val="32"/>
          <w:lang w:val="en-US" w:eastAsia="zh-CN"/>
        </w:rPr>
        <w:t>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114.44</w:t>
      </w:r>
      <w:r>
        <w:rPr>
          <w:rFonts w:hint="eastAsia" w:ascii="仿宋" w:hAnsi="仿宋" w:eastAsia="仿宋"/>
          <w:sz w:val="32"/>
          <w:szCs w:val="32"/>
        </w:rPr>
        <w:t>万元，占</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16.64</w:t>
      </w:r>
      <w:r>
        <w:rPr>
          <w:rFonts w:hint="eastAsia" w:ascii="仿宋" w:hAnsi="仿宋" w:eastAsia="仿宋"/>
          <w:sz w:val="32"/>
          <w:szCs w:val="32"/>
        </w:rPr>
        <w:t>万元，占</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59.32</w:t>
      </w:r>
      <w:r>
        <w:rPr>
          <w:rFonts w:hint="eastAsia" w:ascii="仿宋" w:hAnsi="仿宋" w:eastAsia="仿宋"/>
          <w:sz w:val="32"/>
          <w:szCs w:val="32"/>
        </w:rPr>
        <w:t>万元，占</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pStyle w:val="8"/>
        <w:rPr>
          <w:rFonts w:hint="eastAsia" w:ascii="仿宋" w:hAnsi="仿宋" w:eastAsia="仿宋"/>
          <w:sz w:val="32"/>
          <w:szCs w:val="32"/>
        </w:rPr>
      </w:pPr>
    </w:p>
    <w:p>
      <w:pPr>
        <w:pStyle w:val="8"/>
      </w:pPr>
      <w:r>
        <w:drawing>
          <wp:inline distT="0" distB="0" distL="114300" distR="114300">
            <wp:extent cx="4732655" cy="2971800"/>
            <wp:effectExtent l="4445" t="5080" r="6350" b="13970"/>
            <wp:docPr id="15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8"/>
      </w:pPr>
    </w:p>
    <w:p>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pPr>
        <w:spacing w:line="600" w:lineRule="exact"/>
        <w:ind w:firstLine="643" w:firstLineChars="200"/>
        <w:outlineLvl w:val="2"/>
        <w:rPr>
          <w:rStyle w:val="14"/>
          <w:rFonts w:hint="eastAsia" w:ascii="仿宋" w:hAnsi="仿宋" w:eastAsia="仿宋"/>
          <w:bCs/>
          <w:sz w:val="32"/>
          <w:szCs w:val="32"/>
        </w:rPr>
      </w:pPr>
      <w:bookmarkStart w:id="34" w:name="_Toc15378460"/>
      <w:bookmarkStart w:id="35" w:name="_Toc15377213"/>
      <w:bookmarkStart w:id="36"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1421.8</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w:t>
      </w:r>
      <w:r>
        <w:rPr>
          <w:rStyle w:val="14"/>
          <w:rFonts w:hint="eastAsia" w:ascii="仿宋_GB2312" w:hAnsi="仿宋_GB2312" w:eastAsia="仿宋_GB2312" w:cs="仿宋_GB2312"/>
          <w:b w:val="0"/>
          <w:color w:val="000000"/>
          <w:sz w:val="32"/>
          <w:szCs w:val="32"/>
          <w:lang w:eastAsia="zh-CN"/>
        </w:rPr>
        <w:t>行政运行</w:t>
      </w:r>
      <w:r>
        <w:rPr>
          <w:rStyle w:val="14"/>
          <w:rFonts w:hint="eastAsia" w:ascii="仿宋_GB2312" w:hAnsi="仿宋_GB2312" w:eastAsia="仿宋_GB2312" w:cs="仿宋_GB2312"/>
          <w:b w:val="0"/>
          <w:color w:val="000000"/>
          <w:sz w:val="32"/>
          <w:szCs w:val="32"/>
          <w:lang w:val="en-US" w:eastAsia="zh-CN"/>
        </w:rPr>
        <w:t>2013101</w:t>
      </w:r>
      <w:r>
        <w:rPr>
          <w:rStyle w:val="14"/>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759.6</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2</w:t>
      </w:r>
      <w:r>
        <w:rPr>
          <w:rStyle w:val="14"/>
          <w:rFonts w:hint="eastAsia" w:ascii="仿宋_GB2312" w:hAnsi="仿宋_GB2312" w:eastAsia="仿宋_GB2312" w:cs="仿宋_GB2312"/>
          <w:b w:val="0"/>
          <w:color w:val="000000"/>
          <w:sz w:val="32"/>
          <w:szCs w:val="32"/>
          <w:lang w:eastAsia="zh-CN"/>
        </w:rPr>
        <w:t>.</w:t>
      </w:r>
      <w:r>
        <w:rPr>
          <w:rStyle w:val="14"/>
          <w:rFonts w:hint="eastAsia" w:ascii="仿宋_GB2312" w:hAnsi="仿宋_GB2312" w:eastAsia="仿宋_GB2312" w:cs="仿宋_GB2312"/>
          <w:b w:val="0"/>
          <w:color w:val="000000"/>
          <w:sz w:val="32"/>
          <w:szCs w:val="32"/>
        </w:rPr>
        <w:t>一般行政管理事务</w:t>
      </w:r>
      <w:r>
        <w:rPr>
          <w:rStyle w:val="14"/>
          <w:rFonts w:hint="eastAsia" w:ascii="仿宋_GB2312" w:hAnsi="仿宋_GB2312" w:eastAsia="仿宋_GB2312" w:cs="仿宋_GB2312"/>
          <w:b w:val="0"/>
          <w:color w:val="000000"/>
          <w:sz w:val="32"/>
          <w:szCs w:val="32"/>
          <w:lang w:val="en-US" w:eastAsia="zh-CN"/>
        </w:rPr>
        <w:t>2013101</w:t>
      </w:r>
      <w:r>
        <w:rPr>
          <w:rStyle w:val="14"/>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471.77</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Style w:val="14"/>
          <w:rFonts w:hint="eastAsia" w:ascii="仿宋_GB2312" w:hAnsi="仿宋_GB2312" w:eastAsia="仿宋_GB2312" w:cs="仿宋_GB2312"/>
          <w:b w:val="0"/>
          <w:color w:val="000000"/>
          <w:sz w:val="32"/>
          <w:szCs w:val="32"/>
        </w:rPr>
        <w:t>机关事业单位基本养老保险缴费支出</w:t>
      </w:r>
      <w:r>
        <w:rPr>
          <w:rStyle w:val="14"/>
          <w:rFonts w:hint="eastAsia" w:ascii="仿宋_GB2312" w:hAnsi="仿宋_GB2312" w:eastAsia="仿宋_GB2312" w:cs="仿宋_GB2312"/>
          <w:b w:val="0"/>
          <w:color w:val="000000"/>
          <w:sz w:val="32"/>
          <w:szCs w:val="32"/>
          <w:lang w:val="en-US" w:eastAsia="zh-CN"/>
        </w:rPr>
        <w:t>2080505</w:t>
      </w:r>
      <w:r>
        <w:rPr>
          <w:rStyle w:val="14"/>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43.02万</w:t>
      </w:r>
      <w:r>
        <w:rPr>
          <w:rFonts w:hint="eastAsia" w:ascii="仿宋_GB2312" w:hAnsi="仿宋_GB2312" w:eastAsia="仿宋_GB2312" w:cs="仿宋_GB2312"/>
          <w:color w:val="000000"/>
          <w:sz w:val="32"/>
          <w:szCs w:val="32"/>
        </w:rPr>
        <w:t>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Style w:val="14"/>
          <w:rFonts w:hint="eastAsia" w:ascii="仿宋_GB2312" w:hAnsi="仿宋_GB2312" w:eastAsia="仿宋_GB2312" w:cs="仿宋_GB2312"/>
          <w:b w:val="0"/>
          <w:color w:val="000000"/>
          <w:sz w:val="32"/>
          <w:szCs w:val="32"/>
        </w:rPr>
        <w:t>机关事业单位职业年金缴费支出</w:t>
      </w:r>
      <w:r>
        <w:rPr>
          <w:rStyle w:val="14"/>
          <w:rFonts w:hint="eastAsia" w:ascii="仿宋_GB2312" w:hAnsi="仿宋_GB2312" w:eastAsia="仿宋_GB2312" w:cs="仿宋_GB2312"/>
          <w:b w:val="0"/>
          <w:color w:val="000000"/>
          <w:sz w:val="32"/>
          <w:szCs w:val="32"/>
          <w:lang w:val="en-US" w:eastAsia="zh-CN"/>
        </w:rPr>
        <w:t>2080506</w:t>
      </w:r>
      <w:r>
        <w:rPr>
          <w:rStyle w:val="14"/>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23.94</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5.其他社会保障和就业支出</w:t>
      </w:r>
      <w:r>
        <w:rPr>
          <w:rStyle w:val="14"/>
          <w:rFonts w:hint="eastAsia" w:ascii="仿宋_GB2312" w:hAnsi="仿宋_GB2312" w:eastAsia="仿宋_GB2312" w:cs="仿宋_GB2312"/>
          <w:b w:val="0"/>
          <w:color w:val="000000"/>
          <w:sz w:val="32"/>
          <w:szCs w:val="32"/>
          <w:lang w:val="en-US" w:eastAsia="zh-CN"/>
        </w:rPr>
        <w:t>2080801：</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Style w:val="14"/>
          <w:rFonts w:hint="eastAsia" w:ascii="仿宋_GB2312" w:hAnsi="仿宋_GB2312" w:eastAsia="仿宋_GB2312" w:cs="仿宋_GB2312"/>
          <w:b w:val="0"/>
          <w:color w:val="000000"/>
          <w:sz w:val="32"/>
          <w:szCs w:val="32"/>
        </w:rPr>
        <w:t xml:space="preserve"> 行政单位医疗</w:t>
      </w:r>
      <w:r>
        <w:rPr>
          <w:rStyle w:val="14"/>
          <w:rFonts w:hint="eastAsia" w:ascii="仿宋_GB2312" w:hAnsi="仿宋_GB2312" w:eastAsia="仿宋_GB2312" w:cs="仿宋_GB2312"/>
          <w:b w:val="0"/>
          <w:color w:val="000000"/>
          <w:sz w:val="32"/>
          <w:szCs w:val="32"/>
          <w:lang w:val="en-US" w:eastAsia="zh-CN"/>
        </w:rPr>
        <w:t>2101101</w:t>
      </w:r>
      <w:r>
        <w:rPr>
          <w:rStyle w:val="14"/>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16.64</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Style w:val="14"/>
          <w:rFonts w:hint="eastAsia" w:ascii="仿宋_GB2312" w:hAnsi="仿宋_GB2312" w:eastAsia="仿宋_GB2312" w:cs="仿宋_GB2312"/>
          <w:b w:val="0"/>
          <w:color w:val="000000"/>
          <w:sz w:val="32"/>
          <w:szCs w:val="32"/>
        </w:rPr>
        <w:t>住房公积金</w:t>
      </w:r>
      <w:r>
        <w:rPr>
          <w:rStyle w:val="14"/>
          <w:rFonts w:hint="eastAsia" w:ascii="仿宋_GB2312" w:hAnsi="仿宋_GB2312" w:eastAsia="仿宋_GB2312" w:cs="仿宋_GB2312"/>
          <w:b w:val="0"/>
          <w:color w:val="000000"/>
          <w:sz w:val="32"/>
          <w:szCs w:val="32"/>
          <w:lang w:val="en-US" w:eastAsia="zh-CN"/>
        </w:rPr>
        <w:t>2210210</w:t>
      </w:r>
      <w:r>
        <w:rPr>
          <w:rStyle w:val="14"/>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59.32</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color w:val="000000"/>
          <w:sz w:val="32"/>
          <w:szCs w:val="32"/>
          <w:highlight w:val="none"/>
          <w:lang w:val="en-US" w:eastAsia="zh-CN"/>
        </w:rPr>
        <w:t>8.死亡抚恤2080801：2022年决算数为45.59万元，</w:t>
      </w:r>
      <w:r>
        <w:rPr>
          <w:rFonts w:hint="eastAsia" w:ascii="仿宋_GB2312" w:hAnsi="仿宋_GB2312" w:eastAsia="仿宋_GB2312" w:cs="仿宋_GB2312"/>
          <w:color w:val="000000"/>
          <w:sz w:val="32"/>
          <w:szCs w:val="32"/>
        </w:rPr>
        <w:t>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lang w:val="en-US" w:eastAsia="zh-CN"/>
        </w:rPr>
        <w:t>9.组织事务2013201</w:t>
      </w:r>
      <w:r>
        <w:rPr>
          <w:rStyle w:val="14"/>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0.02</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10.土地开发支出2120802：</w:t>
      </w:r>
      <w:r>
        <w:rPr>
          <w:rFonts w:hint="eastAsia" w:ascii="仿宋_GB2312" w:hAnsi="仿宋_GB2312" w:eastAsia="仿宋_GB2312" w:cs="仿宋_GB2312"/>
          <w:b w:val="0"/>
          <w:bCs w:val="0"/>
          <w:color w:val="000000"/>
          <w:sz w:val="32"/>
          <w:szCs w:val="32"/>
        </w:rPr>
        <w:t>20</w:t>
      </w:r>
      <w:r>
        <w:rPr>
          <w:rFonts w:hint="eastAsia" w:ascii="仿宋_GB2312" w:hAnsi="仿宋_GB2312" w:eastAsia="仿宋_GB2312" w:cs="仿宋_GB2312"/>
          <w:b w:val="0"/>
          <w:bCs w:val="0"/>
          <w:color w:val="000000"/>
          <w:sz w:val="32"/>
          <w:szCs w:val="32"/>
          <w:lang w:val="en-US" w:eastAsia="zh-CN"/>
        </w:rPr>
        <w:t>22</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73.53</w:t>
      </w:r>
      <w:r>
        <w:rPr>
          <w:rFonts w:hint="eastAsia" w:ascii="仿宋_GB2312" w:hAnsi="仿宋_GB2312" w:eastAsia="仿宋_GB2312" w:cs="仿宋_GB2312"/>
          <w:b w:val="0"/>
          <w:bCs w:val="0"/>
          <w:color w:val="000000"/>
          <w:sz w:val="32"/>
          <w:szCs w:val="32"/>
        </w:rPr>
        <w:t>万元，完成预算</w:t>
      </w:r>
      <w:r>
        <w:rPr>
          <w:rFonts w:hint="eastAsia" w:ascii="仿宋_GB2312" w:hAnsi="仿宋_GB2312" w:eastAsia="仿宋_GB2312" w:cs="仿宋_GB2312"/>
          <w:b w:val="0"/>
          <w:bCs w:val="0"/>
          <w:color w:val="000000"/>
          <w:sz w:val="32"/>
          <w:szCs w:val="32"/>
          <w:lang w:val="en-US" w:eastAsia="zh-CN"/>
        </w:rPr>
        <w:t>100</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sz w:val="32"/>
          <w:szCs w:val="32"/>
        </w:rPr>
      </w:pPr>
      <w:r>
        <w:rPr>
          <w:rFonts w:hint="eastAsia" w:ascii="仿宋_GB2312" w:hAnsi="仿宋_GB2312" w:eastAsia="仿宋_GB2312" w:cs="仿宋_GB2312"/>
          <w:b w:val="0"/>
          <w:bCs w:val="0"/>
          <w:color w:val="000000"/>
          <w:sz w:val="32"/>
          <w:szCs w:val="32"/>
          <w:lang w:val="en-US" w:eastAsia="zh-CN"/>
        </w:rPr>
        <w:t>11.其他国有土地使用权出让收入安排的支出2120899：</w:t>
      </w:r>
      <w:r>
        <w:rPr>
          <w:rFonts w:hint="eastAsia" w:ascii="仿宋_GB2312" w:hAnsi="仿宋_GB2312" w:eastAsia="仿宋_GB2312" w:cs="仿宋_GB2312"/>
          <w:b w:val="0"/>
          <w:bCs w:val="0"/>
          <w:color w:val="000000"/>
          <w:sz w:val="32"/>
          <w:szCs w:val="32"/>
        </w:rPr>
        <w:t>20</w:t>
      </w:r>
      <w:r>
        <w:rPr>
          <w:rFonts w:hint="eastAsia" w:ascii="仿宋_GB2312" w:hAnsi="仿宋_GB2312" w:eastAsia="仿宋_GB2312" w:cs="仿宋_GB2312"/>
          <w:b w:val="0"/>
          <w:bCs w:val="0"/>
          <w:color w:val="000000"/>
          <w:sz w:val="32"/>
          <w:szCs w:val="32"/>
          <w:lang w:val="en-US" w:eastAsia="zh-CN"/>
        </w:rPr>
        <w:t>22</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3.91</w:t>
      </w:r>
      <w:r>
        <w:rPr>
          <w:rFonts w:hint="eastAsia" w:ascii="仿宋_GB2312" w:hAnsi="仿宋_GB2312" w:eastAsia="仿宋_GB2312" w:cs="仿宋_GB2312"/>
          <w:b w:val="0"/>
          <w:bCs w:val="0"/>
          <w:color w:val="000000"/>
          <w:sz w:val="32"/>
          <w:szCs w:val="32"/>
        </w:rPr>
        <w:t>万元，完成预算</w:t>
      </w:r>
      <w:r>
        <w:rPr>
          <w:rFonts w:hint="eastAsia" w:ascii="仿宋_GB2312" w:hAnsi="仿宋_GB2312" w:eastAsia="仿宋_GB2312" w:cs="仿宋_GB2312"/>
          <w:b w:val="0"/>
          <w:bCs w:val="0"/>
          <w:color w:val="000000"/>
          <w:sz w:val="32"/>
          <w:szCs w:val="32"/>
          <w:lang w:val="en-US" w:eastAsia="zh-CN"/>
        </w:rPr>
        <w:t>100</w:t>
      </w:r>
      <w:r>
        <w:rPr>
          <w:rFonts w:hint="eastAsia" w:ascii="仿宋_GB2312" w:hAnsi="仿宋_GB2312" w:eastAsia="仿宋_GB2312" w:cs="仿宋_GB2312"/>
          <w:b w:val="0"/>
          <w:bCs w:val="0"/>
          <w:color w:val="000000"/>
          <w:sz w:val="32"/>
          <w:szCs w:val="32"/>
        </w:rPr>
        <w:t>%。</w:t>
      </w:r>
    </w:p>
    <w:p>
      <w:pPr>
        <w:tabs>
          <w:tab w:val="right" w:pos="8306"/>
        </w:tabs>
        <w:spacing w:line="600" w:lineRule="exact"/>
        <w:ind w:firstLine="640"/>
        <w:outlineLvl w:val="1"/>
        <w:rPr>
          <w:rStyle w:val="25"/>
        </w:rPr>
      </w:pPr>
      <w:bookmarkStart w:id="37" w:name="_Toc15377214"/>
      <w:bookmarkStart w:id="38"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7"/>
      <w:bookmarkEnd w:id="38"/>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950.03</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818.53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131.5</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outlineLvl w:val="1"/>
        <w:rPr>
          <w:rStyle w:val="25"/>
          <w:rFonts w:ascii="黑体" w:hAnsi="黑体" w:eastAsia="黑体"/>
          <w:b w:val="0"/>
        </w:rPr>
      </w:pPr>
      <w:bookmarkStart w:id="39" w:name="_Toc15377215"/>
      <w:bookmarkStart w:id="40"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9"/>
      <w:bookmarkEnd w:id="40"/>
    </w:p>
    <w:p>
      <w:pPr>
        <w:spacing w:line="600" w:lineRule="exact"/>
        <w:ind w:firstLine="640"/>
        <w:outlineLvl w:val="2"/>
        <w:rPr>
          <w:rFonts w:ascii="仿宋" w:hAnsi="仿宋" w:eastAsia="仿宋"/>
          <w:b/>
          <w:sz w:val="32"/>
          <w:szCs w:val="32"/>
        </w:rPr>
      </w:pPr>
      <w:bookmarkStart w:id="41" w:name="_Toc15377216"/>
      <w:r>
        <w:rPr>
          <w:rFonts w:hint="eastAsia" w:ascii="仿宋" w:hAnsi="仿宋" w:eastAsia="仿宋"/>
          <w:b/>
          <w:sz w:val="32"/>
          <w:szCs w:val="32"/>
        </w:rPr>
        <w:t>（一）“三公”经费财政拨款支出决算总体情况说明</w:t>
      </w:r>
      <w:bookmarkEnd w:id="4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9.1</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1.56</w:t>
      </w:r>
      <w:r>
        <w:rPr>
          <w:rFonts w:hint="eastAsia" w:ascii="仿宋" w:hAnsi="仿宋" w:eastAsia="仿宋"/>
          <w:sz w:val="32"/>
          <w:szCs w:val="32"/>
        </w:rPr>
        <w:t>万元，下降</w:t>
      </w:r>
      <w:r>
        <w:rPr>
          <w:rFonts w:hint="eastAsia" w:ascii="仿宋" w:hAnsi="仿宋" w:eastAsia="仿宋"/>
          <w:sz w:val="32"/>
          <w:szCs w:val="32"/>
          <w:lang w:val="en-US" w:eastAsia="zh-CN"/>
        </w:rPr>
        <w:t>15</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2" w:name="_Toc15377217"/>
      <w:r>
        <w:rPr>
          <w:rFonts w:hint="eastAsia" w:ascii="仿宋" w:hAnsi="仿宋" w:eastAsia="仿宋"/>
          <w:b/>
          <w:sz w:val="32"/>
          <w:szCs w:val="32"/>
        </w:rPr>
        <w:t>（二）“三公”经费财政拨款支出决算具体情况说明</w:t>
      </w:r>
      <w:bookmarkEnd w:id="42"/>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7.75</w:t>
      </w:r>
      <w:r>
        <w:rPr>
          <w:rFonts w:hint="eastAsia" w:ascii="仿宋" w:hAnsi="仿宋" w:eastAsia="仿宋"/>
          <w:sz w:val="32"/>
          <w:szCs w:val="32"/>
        </w:rPr>
        <w:t>万元，占</w:t>
      </w:r>
      <w:r>
        <w:rPr>
          <w:rFonts w:hint="eastAsia" w:ascii="仿宋" w:hAnsi="仿宋" w:eastAsia="仿宋"/>
          <w:sz w:val="32"/>
          <w:szCs w:val="32"/>
          <w:lang w:val="en-US" w:eastAsia="zh-CN"/>
        </w:rPr>
        <w:t>86</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1.35</w:t>
      </w:r>
      <w:r>
        <w:rPr>
          <w:rFonts w:hint="eastAsia" w:ascii="仿宋" w:hAnsi="仿宋" w:eastAsia="仿宋"/>
          <w:sz w:val="32"/>
          <w:szCs w:val="32"/>
        </w:rPr>
        <w:t>万元，占</w:t>
      </w:r>
      <w:r>
        <w:rPr>
          <w:rFonts w:hint="eastAsia" w:ascii="仿宋" w:hAnsi="仿宋" w:eastAsia="仿宋"/>
          <w:sz w:val="32"/>
          <w:szCs w:val="32"/>
          <w:lang w:val="en-US" w:eastAsia="zh-CN"/>
        </w:rPr>
        <w:t>14</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rPr>
          <w:rFonts w:ascii="仿宋_GB2312" w:eastAsia="仿宋_GB2312"/>
          <w:b/>
          <w:sz w:val="32"/>
          <w:szCs w:val="32"/>
        </w:rPr>
      </w:pPr>
      <w:r>
        <w:drawing>
          <wp:anchor distT="0" distB="0" distL="114300" distR="114300" simplePos="0" relativeHeight="251662336" behindDoc="0" locked="0" layoutInCell="1" allowOverlap="1">
            <wp:simplePos x="0" y="0"/>
            <wp:positionH relativeFrom="column">
              <wp:posOffset>229870</wp:posOffset>
            </wp:positionH>
            <wp:positionV relativeFrom="paragraph">
              <wp:posOffset>376555</wp:posOffset>
            </wp:positionV>
            <wp:extent cx="4410075" cy="2743200"/>
            <wp:effectExtent l="4445" t="5080" r="5080" b="13970"/>
            <wp:wrapNone/>
            <wp:docPr id="15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rPr>
          <w:rFonts w:ascii="仿宋_GB2312" w:eastAsia="仿宋_GB2312"/>
          <w:b/>
          <w:sz w:val="32"/>
          <w:szCs w:val="32"/>
        </w:rPr>
      </w:pP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7.75</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7.75</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0.46</w:t>
      </w:r>
      <w:r>
        <w:rPr>
          <w:rFonts w:hint="eastAsia" w:ascii="仿宋_GB2312" w:eastAsia="仿宋_GB2312"/>
          <w:sz w:val="32"/>
          <w:szCs w:val="32"/>
        </w:rPr>
        <w:t>万元，下降</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厉行节约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10</w:t>
      </w:r>
      <w:r>
        <w:rPr>
          <w:rFonts w:hint="eastAsia" w:ascii="仿宋_GB2312" w:eastAsia="仿宋_GB2312"/>
          <w:sz w:val="32"/>
          <w:szCs w:val="32"/>
        </w:rPr>
        <w:t>辆，其中：轿车</w:t>
      </w:r>
      <w:r>
        <w:rPr>
          <w:rFonts w:hint="eastAsia" w:ascii="仿宋_GB2312" w:eastAsia="仿宋_GB2312"/>
          <w:sz w:val="32"/>
          <w:szCs w:val="32"/>
          <w:lang w:val="en-US" w:eastAsia="zh-CN"/>
        </w:rPr>
        <w:t>7</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辆、载客汽车</w:t>
      </w:r>
      <w:r>
        <w:rPr>
          <w:rFonts w:hint="eastAsia" w:ascii="仿宋_GB2312" w:eastAsia="仿宋_GB2312"/>
          <w:sz w:val="32"/>
          <w:szCs w:val="32"/>
          <w:lang w:val="en-US" w:eastAsia="zh-CN"/>
        </w:rPr>
        <w:t>1</w:t>
      </w:r>
      <w:r>
        <w:rPr>
          <w:rFonts w:hint="eastAsia" w:ascii="仿宋_GB2312" w:eastAsia="仿宋_GB2312"/>
          <w:sz w:val="32"/>
          <w:szCs w:val="32"/>
        </w:rPr>
        <w:t>辆。</w:t>
      </w:r>
    </w:p>
    <w:p>
      <w:pPr>
        <w:keepNext w:val="0"/>
        <w:keepLines w:val="0"/>
        <w:pageBreakBefore w:val="0"/>
        <w:widowControl w:val="0"/>
        <w:kinsoku/>
        <w:wordWrap/>
        <w:overflowPunct/>
        <w:topLinePunct w:val="0"/>
        <w:bidi w:val="0"/>
        <w:snapToGrid/>
        <w:spacing w:line="600" w:lineRule="atLeast"/>
        <w:ind w:left="0" w:leftChars="0" w:firstLine="643" w:firstLineChars="200"/>
        <w:textAlignment w:val="auto"/>
        <w:rPr>
          <w:rFonts w:hint="eastAsia" w:ascii="仿宋_GB2312" w:eastAsia="仿宋_GB2312"/>
          <w:color w:val="000000"/>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7.75</w:t>
      </w:r>
      <w:r>
        <w:rPr>
          <w:rFonts w:hint="eastAsia" w:ascii="仿宋_GB2312" w:eastAsia="仿宋_GB2312"/>
          <w:sz w:val="32"/>
          <w:szCs w:val="32"/>
        </w:rPr>
        <w:t>万元。</w:t>
      </w:r>
      <w:r>
        <w:rPr>
          <w:rFonts w:hint="eastAsia" w:ascii="仿宋_GB2312" w:hAnsi="仿宋_GB2312" w:eastAsia="仿宋_GB2312" w:cs="仿宋_GB2312"/>
          <w:b w:val="0"/>
          <w:bCs/>
          <w:sz w:val="32"/>
          <w:szCs w:val="32"/>
        </w:rPr>
        <w:t>于</w:t>
      </w:r>
      <w:r>
        <w:rPr>
          <w:rFonts w:hint="eastAsia" w:ascii="仿宋_GB2312" w:eastAsia="仿宋_GB2312"/>
          <w:color w:val="000000"/>
          <w:sz w:val="32"/>
          <w:szCs w:val="32"/>
        </w:rPr>
        <w:t>精准扶贫、调研用车、日常工作、应急工作、旅博会、招商引资、</w:t>
      </w:r>
      <w:r>
        <w:rPr>
          <w:rFonts w:hint="eastAsia" w:ascii="仿宋_GB2312" w:eastAsia="仿宋_GB2312"/>
          <w:color w:val="000000"/>
          <w:sz w:val="32"/>
          <w:szCs w:val="32"/>
          <w:lang w:eastAsia="zh-CN"/>
        </w:rPr>
        <w:t>茶博会、违建整治、</w:t>
      </w:r>
      <w:r>
        <w:rPr>
          <w:rFonts w:hint="eastAsia" w:ascii="仿宋_GB2312" w:eastAsia="仿宋_GB2312"/>
          <w:color w:val="000000"/>
          <w:sz w:val="32"/>
          <w:szCs w:val="32"/>
        </w:rPr>
        <w:t>调研服务等所需的公务用车燃料费、维修费、过路过桥费、保险费等支出。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1.35</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1.1</w:t>
      </w:r>
      <w:r>
        <w:rPr>
          <w:rFonts w:hint="eastAsia" w:ascii="仿宋_GB2312" w:eastAsia="仿宋_GB2312"/>
          <w:sz w:val="32"/>
          <w:szCs w:val="32"/>
        </w:rPr>
        <w:t>万元，下降</w:t>
      </w:r>
      <w:r>
        <w:rPr>
          <w:rFonts w:hint="eastAsia" w:ascii="仿宋_GB2312" w:eastAsia="仿宋_GB2312"/>
          <w:sz w:val="32"/>
          <w:szCs w:val="32"/>
          <w:lang w:val="en-US" w:eastAsia="zh-CN"/>
        </w:rPr>
        <w:t>45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厉行节约</w:t>
      </w:r>
      <w:r>
        <w:rPr>
          <w:rFonts w:hint="eastAsia" w:ascii="仿宋_GB2312" w:eastAsia="仿宋_GB2312"/>
          <w:sz w:val="32"/>
          <w:szCs w:val="32"/>
        </w:rPr>
        <w:t>。其中：</w:t>
      </w:r>
    </w:p>
    <w:p>
      <w:pPr>
        <w:keepNext w:val="0"/>
        <w:keepLines w:val="0"/>
        <w:pageBreakBefore w:val="0"/>
        <w:widowControl w:val="0"/>
        <w:kinsoku/>
        <w:wordWrap/>
        <w:overflowPunct/>
        <w:topLinePunct w:val="0"/>
        <w:bidi w:val="0"/>
        <w:snapToGrid/>
        <w:spacing w:line="600" w:lineRule="atLeast"/>
        <w:ind w:left="0" w:leftChars="0" w:firstLine="643" w:firstLineChars="200"/>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1.35</w:t>
      </w:r>
      <w:r>
        <w:rPr>
          <w:rFonts w:hint="eastAsia" w:ascii="仿宋_GB2312" w:eastAsia="仿宋_GB2312"/>
          <w:sz w:val="32"/>
          <w:szCs w:val="32"/>
        </w:rPr>
        <w:t>万元，</w:t>
      </w:r>
      <w:r>
        <w:rPr>
          <w:rFonts w:hint="eastAsia" w:ascii="仿宋_GB2312" w:eastAsia="仿宋_GB2312"/>
          <w:color w:val="000000"/>
          <w:sz w:val="32"/>
          <w:szCs w:val="32"/>
        </w:rPr>
        <w:t>主要用于执行公务、开展业务活动开支的交通费、住宿费、用餐费等。主要为招商引资、春茶博览会、武术节、四川省旅博会等活动支出，约</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170</w:t>
      </w:r>
      <w:r>
        <w:rPr>
          <w:rFonts w:hint="eastAsia" w:ascii="仿宋_GB2312" w:eastAsia="仿宋_GB2312"/>
          <w:color w:val="000000"/>
          <w:sz w:val="32"/>
          <w:szCs w:val="32"/>
        </w:rPr>
        <w:t>余人。</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3" w:name="_Toc15377218"/>
      <w:bookmarkStart w:id="44"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0.74</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5" w:name="_Toc15377219"/>
      <w:bookmarkStart w:id="46" w:name="_Toc15396611"/>
      <w:r>
        <w:rPr>
          <w:rStyle w:val="25"/>
          <w:rFonts w:hint="eastAsia" w:ascii="黑体" w:hAnsi="黑体" w:eastAsia="黑体"/>
          <w:b w:val="0"/>
        </w:rPr>
        <w:t>国有资本经营预算支出决算情况说明</w:t>
      </w:r>
      <w:bookmarkEnd w:id="45"/>
      <w:bookmarkEnd w:id="46"/>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7" w:name="_Toc15396612"/>
      <w:bookmarkStart w:id="48" w:name="_Toc15377221"/>
      <w:r>
        <w:rPr>
          <w:rStyle w:val="25"/>
          <w:rFonts w:hint="eastAsia" w:ascii="黑体" w:hAnsi="黑体" w:eastAsia="黑体"/>
          <w:b w:val="0"/>
        </w:rPr>
        <w:t>其他重要事项的情况说明</w:t>
      </w:r>
      <w:bookmarkEnd w:id="47"/>
      <w:bookmarkEnd w:id="48"/>
    </w:p>
    <w:p>
      <w:pPr>
        <w:spacing w:line="600" w:lineRule="exact"/>
        <w:ind w:firstLine="643" w:firstLineChars="200"/>
        <w:outlineLvl w:val="2"/>
        <w:rPr>
          <w:rFonts w:ascii="仿宋" w:hAnsi="仿宋" w:eastAsia="仿宋"/>
          <w:sz w:val="32"/>
          <w:szCs w:val="32"/>
        </w:rPr>
      </w:pPr>
      <w:bookmarkStart w:id="49" w:name="_Toc15377222"/>
      <w:r>
        <w:rPr>
          <w:rFonts w:hint="eastAsia" w:ascii="仿宋" w:hAnsi="仿宋" w:eastAsia="仿宋"/>
          <w:b/>
          <w:sz w:val="32"/>
          <w:szCs w:val="32"/>
        </w:rPr>
        <w:t>（一）机关运行经费支出情况</w:t>
      </w:r>
      <w:bookmarkEnd w:id="49"/>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市委办</w:t>
      </w:r>
      <w:r>
        <w:rPr>
          <w:rFonts w:hint="eastAsia" w:ascii="仿宋_GB2312" w:eastAsia="仿宋_GB2312"/>
          <w:sz w:val="32"/>
          <w:szCs w:val="32"/>
        </w:rPr>
        <w:t>机关运行经费支出</w:t>
      </w:r>
      <w:r>
        <w:rPr>
          <w:rFonts w:hint="eastAsia" w:ascii="仿宋_GB2312" w:eastAsia="仿宋_GB2312"/>
          <w:sz w:val="32"/>
          <w:szCs w:val="32"/>
          <w:lang w:val="en-US" w:eastAsia="zh-CN"/>
        </w:rPr>
        <w:t>131.5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26.4</w:t>
      </w:r>
      <w:r>
        <w:rPr>
          <w:rFonts w:hint="eastAsia" w:ascii="仿宋_GB2312" w:eastAsia="仿宋_GB2312"/>
          <w:sz w:val="32"/>
          <w:szCs w:val="32"/>
        </w:rPr>
        <w:t>万元，增长</w:t>
      </w:r>
      <w:r>
        <w:rPr>
          <w:rFonts w:hint="eastAsia" w:ascii="仿宋_GB2312" w:eastAsia="仿宋_GB2312"/>
          <w:sz w:val="32"/>
          <w:szCs w:val="32"/>
          <w:lang w:val="en-US" w:eastAsia="zh-CN"/>
        </w:rPr>
        <w:t>26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劳务人员和劳务费增加。</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3"/>
      <w:r>
        <w:rPr>
          <w:rFonts w:hint="eastAsia" w:ascii="仿宋" w:hAnsi="仿宋" w:eastAsia="仿宋"/>
          <w:b/>
          <w:sz w:val="32"/>
          <w:szCs w:val="32"/>
        </w:rPr>
        <w:t>（二）政府采购支出情况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市委办</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4"/>
      <w:r>
        <w:rPr>
          <w:rFonts w:hint="eastAsia" w:ascii="仿宋" w:hAnsi="仿宋" w:eastAsia="仿宋"/>
          <w:b/>
          <w:sz w:val="32"/>
          <w:szCs w:val="32"/>
        </w:rPr>
        <w:t>（三）国有资产占有使用情况</w:t>
      </w:r>
      <w:bookmarkEnd w:id="51"/>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市委办</w:t>
      </w:r>
      <w:r>
        <w:rPr>
          <w:rFonts w:hint="eastAsia" w:ascii="仿宋_GB2312" w:eastAsia="仿宋_GB2312"/>
          <w:sz w:val="32"/>
          <w:szCs w:val="32"/>
        </w:rPr>
        <w:t>共有车辆</w:t>
      </w:r>
      <w:r>
        <w:rPr>
          <w:rFonts w:hint="eastAsia" w:ascii="仿宋_GB2312" w:eastAsia="仿宋_GB2312"/>
          <w:sz w:val="32"/>
          <w:szCs w:val="32"/>
          <w:lang w:val="en-US" w:eastAsia="zh-CN"/>
        </w:rPr>
        <w:t>10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1</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9</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公务用车</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市委办</w:t>
      </w:r>
      <w:r>
        <w:rPr>
          <w:rFonts w:hint="eastAsia" w:hAnsi="仿宋_GB2312" w:cs="仿宋_GB2312"/>
          <w:sz w:val="32"/>
          <w:szCs w:val="32"/>
        </w:rPr>
        <w:t>项目</w:t>
      </w:r>
      <w:r>
        <w:rPr>
          <w:rFonts w:hint="eastAsia" w:hAnsi="仿宋_GB2312" w:cs="仿宋_GB2312"/>
          <w:sz w:val="32"/>
          <w:szCs w:val="32"/>
          <w:lang w:val="en-US" w:eastAsia="zh-CN"/>
        </w:rPr>
        <w:t>市委办专项经费</w:t>
      </w:r>
      <w:r>
        <w:rPr>
          <w:rFonts w:hint="eastAsia" w:hAnsi="仿宋_GB2312" w:cs="仿宋_GB2312"/>
          <w:sz w:val="32"/>
          <w:szCs w:val="32"/>
        </w:rPr>
        <w:t>等</w:t>
      </w:r>
      <w:r>
        <w:rPr>
          <w:rFonts w:hint="eastAsia" w:hAnsi="仿宋_GB2312" w:cs="仿宋_GB2312"/>
          <w:sz w:val="32"/>
          <w:szCs w:val="32"/>
          <w:lang w:val="en-US" w:eastAsia="zh-CN"/>
        </w:rPr>
        <w:t>4</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4</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4</w:t>
      </w:r>
      <w:r>
        <w:rPr>
          <w:rFonts w:hint="eastAsia" w:hAnsi="仿宋_GB2312" w:cs="仿宋_GB2312"/>
          <w:sz w:val="32"/>
          <w:szCs w:val="32"/>
        </w:rPr>
        <w:t>个项目开展绩效监控，组织对</w:t>
      </w:r>
      <w:r>
        <w:rPr>
          <w:rFonts w:hint="eastAsia" w:hAnsi="仿宋_GB2312" w:cs="仿宋_GB2312"/>
          <w:sz w:val="32"/>
          <w:szCs w:val="32"/>
          <w:lang w:val="en-US" w:eastAsia="zh-CN"/>
        </w:rPr>
        <w:t>4</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2" w:name="_Toc15377225"/>
      <w:bookmarkStart w:id="53" w:name="_Toc15396613"/>
      <w:r>
        <w:rPr>
          <w:rFonts w:hint="eastAsia" w:ascii="黑体" w:hAnsi="黑体" w:eastAsia="黑体"/>
          <w:sz w:val="44"/>
          <w:szCs w:val="44"/>
        </w:rPr>
        <w:t>名</w:t>
      </w:r>
      <w:r>
        <w:rPr>
          <w:rStyle w:val="24"/>
          <w:rFonts w:hint="eastAsia" w:ascii="黑体" w:hAnsi="黑体" w:eastAsia="黑体"/>
          <w:b w:val="0"/>
        </w:rPr>
        <w:t>词解释</w:t>
      </w:r>
      <w:bookmarkEnd w:id="52"/>
      <w:bookmarkEnd w:id="53"/>
    </w:p>
    <w:p>
      <w:pPr>
        <w:spacing w:line="600" w:lineRule="exact"/>
        <w:jc w:val="left"/>
        <w:rPr>
          <w:rFonts w:ascii="宋体"/>
          <w:b/>
          <w:sz w:val="44"/>
          <w:szCs w:val="44"/>
        </w:rPr>
      </w:pPr>
    </w:p>
    <w:p>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1.财政拨款收入：指省级财政当年拨付的资金。 </w:t>
      </w:r>
    </w:p>
    <w:p>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.其他收入：指除上述“财政拨款收入”、“事业收入”、“经营收入”等以外的收入。主要是捐赠收入、利息收入等。 </w:t>
      </w:r>
    </w:p>
    <w:p>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.年初结转和结余：指以前年度尚未完成、结转到本年按有关规定继续使用的资金。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Style w:val="14"/>
          <w:rFonts w:hint="eastAsia" w:ascii="仿宋_GB2312" w:hAnsi="仿宋_GB2312" w:eastAsia="仿宋_GB2312" w:cs="仿宋_GB2312"/>
          <w:b w:val="0"/>
          <w:color w:val="000000"/>
          <w:sz w:val="32"/>
          <w:szCs w:val="32"/>
        </w:rPr>
        <w:t>一般公共服务支出（类）群众团体事务（款）</w:t>
      </w:r>
      <w:r>
        <w:rPr>
          <w:rFonts w:hint="eastAsia" w:ascii="仿宋_GB2312" w:hAnsi="仿宋_GB2312" w:eastAsia="仿宋_GB2312" w:cs="仿宋_GB2312"/>
          <w:sz w:val="32"/>
          <w:szCs w:val="32"/>
        </w:rPr>
        <w:t>其他群众团体事务支出</w:t>
      </w:r>
      <w:r>
        <w:rPr>
          <w:rStyle w:val="14"/>
          <w:rFonts w:hint="eastAsia" w:ascii="仿宋_GB2312" w:hAnsi="仿宋_GB2312" w:eastAsia="仿宋_GB2312" w:cs="仿宋_GB2312"/>
          <w:b w:val="0"/>
          <w:color w:val="000000"/>
          <w:sz w:val="32"/>
          <w:szCs w:val="32"/>
        </w:rPr>
        <w:t>（项）</w:t>
      </w:r>
      <w:r>
        <w:rPr>
          <w:rFonts w:hint="eastAsia" w:ascii="仿宋_GB2312" w:hAnsi="仿宋_GB2312" w:eastAsia="仿宋_GB2312" w:cs="仿宋_GB2312"/>
          <w:color w:val="000000"/>
          <w:sz w:val="32"/>
          <w:szCs w:val="32"/>
        </w:rPr>
        <w:t>：指反映上述项目以外其他用于群众团体事务方面的支出。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4"/>
          <w:rFonts w:hint="eastAsia"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5</w:t>
      </w:r>
      <w:r>
        <w:rPr>
          <w:rStyle w:val="14"/>
          <w:rFonts w:hint="eastAsia" w:ascii="仿宋_GB2312" w:hAnsi="仿宋_GB2312" w:eastAsia="仿宋_GB2312" w:cs="仿宋_GB2312"/>
          <w:b w:val="0"/>
          <w:color w:val="000000"/>
          <w:sz w:val="32"/>
          <w:szCs w:val="32"/>
        </w:rPr>
        <w:t>.社会保障和就业支出（类）行政事业单位离退休（款）未归口管理的行政单位离退休（项）:指反映未实行归口管理的行政单位（包括实行公务员管理的事业单位）开支的离退休支出。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4"/>
          <w:rFonts w:hint="eastAsia"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6</w:t>
      </w:r>
      <w:r>
        <w:rPr>
          <w:rStyle w:val="14"/>
          <w:rFonts w:hint="eastAsia" w:ascii="仿宋_GB2312" w:hAnsi="仿宋_GB2312" w:eastAsia="仿宋_GB2312" w:cs="仿宋_GB2312"/>
          <w:b w:val="0"/>
          <w:color w:val="000000"/>
          <w:sz w:val="32"/>
          <w:szCs w:val="32"/>
        </w:rPr>
        <w:t>.社会保障和就业支出（类）行政事业单位离退休（款）机关事业单位基本养老保险缴费支出（项）: 指反映机关事业单位实施养老保险制度由单位缴纳的基本养老保险费支出。</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4"/>
          <w:rFonts w:hint="eastAsia"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7</w:t>
      </w:r>
      <w:r>
        <w:rPr>
          <w:rStyle w:val="14"/>
          <w:rFonts w:hint="eastAsia" w:ascii="仿宋_GB2312" w:hAnsi="仿宋_GB2312" w:eastAsia="仿宋_GB2312" w:cs="仿宋_GB2312"/>
          <w:b w:val="0"/>
          <w:color w:val="000000"/>
          <w:sz w:val="32"/>
          <w:szCs w:val="32"/>
        </w:rPr>
        <w:t>.社会保障和就业支出（类）行政事业单位离退休（款）机关事业单位职业年金缴费支出（项）: 指反映机关事业单位实施养老保险制度由单位缴纳的职业年金支出。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4"/>
          <w:rFonts w:hint="eastAsia"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8</w:t>
      </w:r>
      <w:r>
        <w:rPr>
          <w:rStyle w:val="14"/>
          <w:rFonts w:hint="eastAsia" w:ascii="仿宋_GB2312" w:hAnsi="仿宋_GB2312" w:eastAsia="仿宋_GB2312" w:cs="仿宋_GB2312"/>
          <w:b w:val="0"/>
          <w:color w:val="000000"/>
          <w:sz w:val="32"/>
          <w:szCs w:val="32"/>
        </w:rPr>
        <w:t>. 社会保障和就业支出（类）抚恤（款）死亡抚恤（项）:指反映按规定用于烈士和牺牲、病故人员家属的一次性和定期抚恤金以及丧葬补助费。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Style w:val="14"/>
          <w:rFonts w:hint="eastAsia" w:ascii="仿宋_GB2312" w:hAnsi="仿宋_GB2312" w:eastAsia="仿宋_GB2312" w:cs="仿宋_GB2312"/>
          <w:b w:val="0"/>
          <w:color w:val="000000"/>
          <w:sz w:val="32"/>
          <w:szCs w:val="32"/>
          <w:lang w:val="en-US" w:eastAsia="zh-CN"/>
        </w:rPr>
        <w:t>9</w:t>
      </w:r>
      <w:r>
        <w:rPr>
          <w:rStyle w:val="14"/>
          <w:rFonts w:hint="eastAsia" w:ascii="仿宋_GB2312" w:hAnsi="仿宋_GB2312" w:eastAsia="仿宋_GB2312" w:cs="仿宋_GB2312"/>
          <w:b w:val="0"/>
          <w:color w:val="000000"/>
          <w:sz w:val="32"/>
          <w:szCs w:val="32"/>
        </w:rPr>
        <w:t>.医疗卫生与计划生育支出（类）行政事业单位医疗（款）行政单位医疗（项）:指反映财政部门集中安排的行政单位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4"/>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rPr>
        <w:t xml:space="preserve">   </w:t>
      </w:r>
      <w:r>
        <w:rPr>
          <w:rStyle w:val="14"/>
          <w:rFonts w:hint="eastAsia" w:ascii="仿宋_GB2312" w:hAnsi="仿宋_GB2312" w:eastAsia="仿宋_GB2312" w:cs="仿宋_GB2312"/>
          <w:b w:val="0"/>
          <w:color w:val="000000"/>
          <w:sz w:val="32"/>
          <w:szCs w:val="32"/>
          <w:lang w:val="en-US" w:eastAsia="zh-CN"/>
        </w:rPr>
        <w:t>10</w:t>
      </w:r>
      <w:r>
        <w:rPr>
          <w:rStyle w:val="14"/>
          <w:rFonts w:hint="eastAsia" w:ascii="仿宋_GB2312" w:hAnsi="仿宋_GB2312" w:eastAsia="仿宋_GB2312" w:cs="仿宋_GB2312"/>
          <w:b w:val="0"/>
          <w:color w:val="000000"/>
          <w:sz w:val="32"/>
          <w:szCs w:val="32"/>
        </w:rPr>
        <w:t>.医疗卫生与计划生育支出（类）行政事业单位医疗（款）事业单位医疗（项）:指反映财政部门集中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lang w:val="en-US" w:eastAsia="zh-CN"/>
        </w:rPr>
        <w:t>11</w:t>
      </w:r>
      <w:r>
        <w:rPr>
          <w:rStyle w:val="14"/>
          <w:rFonts w:hint="eastAsia" w:ascii="仿宋_GB2312" w:hAnsi="仿宋_GB2312" w:eastAsia="仿宋_GB2312" w:cs="仿宋_GB2312"/>
          <w:b w:val="0"/>
          <w:color w:val="000000"/>
          <w:sz w:val="32"/>
          <w:szCs w:val="32"/>
        </w:rPr>
        <w:t>.住房保障支出（类）住房改革支出（款）住房公积金（项）:</w:t>
      </w:r>
      <w:r>
        <w:rPr>
          <w:rFonts w:hint="eastAsia" w:ascii="仿宋_GB2312" w:hAnsi="仿宋_GB2312" w:eastAsia="仿宋_GB2312" w:cs="仿宋_GB2312"/>
          <w:color w:val="000000"/>
          <w:sz w:val="32"/>
          <w:szCs w:val="32"/>
        </w:rPr>
        <w:t xml:space="preserve"> 指反映行政事业单位按人力资源和社会保障部、财政部规定的基本工资和津贴补贴以及规定比例为职工缴纳的住房公积金。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20"/>
        </w:rPr>
        <w:sectPr>
          <w:footerReference r:id="rId7" w:type="first"/>
          <w:headerReference r:id="rId3" w:type="default"/>
          <w:footerReference r:id="rId5" w:type="default"/>
          <w:headerReference r:id="rId4" w:type="even"/>
          <w:footerReference r:id="rId6" w:type="even"/>
          <w:pgSz w:w="11906" w:h="16838"/>
          <w:pgMar w:top="2098" w:right="1474" w:bottom="1928" w:left="1588" w:header="1134" w:footer="1474" w:gutter="0"/>
          <w:pgNumType w:fmt="decimal"/>
          <w:cols w:space="720" w:num="1"/>
          <w:docGrid w:type="lines" w:linePitch="312" w:charSpace="0"/>
        </w:sect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color w:val="auto"/>
          <w:sz w:val="32"/>
          <w:szCs w:val="32"/>
        </w:rPr>
      </w:pPr>
    </w:p>
    <w:p>
      <w:pPr>
        <w:spacing w:line="600" w:lineRule="exact"/>
        <w:ind w:firstLine="440" w:firstLineChars="100"/>
        <w:jc w:val="both"/>
        <w:outlineLvl w:val="0"/>
        <w:rPr>
          <w:rFonts w:hint="eastAsia" w:ascii="黑体" w:hAnsi="黑体" w:eastAsia="黑体"/>
          <w:sz w:val="44"/>
          <w:szCs w:val="44"/>
        </w:rPr>
      </w:pPr>
      <w:bookmarkStart w:id="54" w:name="_Toc15396614"/>
      <w:bookmarkStart w:id="55" w:name="_Toc15377226"/>
    </w:p>
    <w:p>
      <w:pPr>
        <w:spacing w:line="600" w:lineRule="exact"/>
        <w:ind w:firstLine="440" w:firstLineChars="100"/>
        <w:jc w:val="both"/>
        <w:outlineLvl w:val="0"/>
        <w:rPr>
          <w:rFonts w:hint="eastAsia" w:ascii="黑体" w:hAnsi="黑体" w:eastAsia="黑体"/>
          <w:sz w:val="44"/>
          <w:szCs w:val="44"/>
        </w:rPr>
      </w:pPr>
    </w:p>
    <w:p>
      <w:pPr>
        <w:spacing w:line="600" w:lineRule="exact"/>
        <w:ind w:firstLine="440" w:firstLineChars="100"/>
        <w:jc w:val="both"/>
        <w:outlineLvl w:val="0"/>
        <w:rPr>
          <w:rStyle w:val="24"/>
          <w:rFonts w:hint="eastAsia" w:ascii="黑体" w:hAnsi="黑体" w:eastAsia="黑体"/>
          <w:b w:val="0"/>
          <w:lang w:eastAsia="zh-CN"/>
        </w:rPr>
      </w:pPr>
      <w:r>
        <w:rPr>
          <w:rFonts w:hint="eastAsia" w:ascii="黑体" w:hAnsi="黑体" w:eastAsia="黑体"/>
          <w:sz w:val="44"/>
          <w:szCs w:val="44"/>
        </w:rPr>
        <w:t>第</w:t>
      </w:r>
      <w:r>
        <w:rPr>
          <w:rStyle w:val="24"/>
          <w:rFonts w:hint="eastAsia" w:ascii="黑体" w:hAnsi="黑体" w:eastAsia="黑体"/>
          <w:b w:val="0"/>
        </w:rPr>
        <w:t>四部分 附件</w:t>
      </w:r>
      <w:bookmarkEnd w:id="54"/>
      <w:r>
        <w:rPr>
          <w:rStyle w:val="24"/>
          <w:rFonts w:hint="eastAsia" w:ascii="黑体" w:hAnsi="黑体" w:eastAsia="黑体"/>
          <w:b w:val="0"/>
          <w:lang w:eastAsia="zh-CN"/>
        </w:rPr>
        <w:t>（</w:t>
      </w:r>
      <w:r>
        <w:rPr>
          <w:rStyle w:val="24"/>
          <w:rFonts w:hint="eastAsia" w:ascii="黑体" w:hAnsi="黑体" w:eastAsia="黑体"/>
          <w:b w:val="0"/>
          <w:lang w:val="en-US" w:eastAsia="zh-CN"/>
        </w:rPr>
        <w:t>见公开附件1</w:t>
      </w:r>
      <w:r>
        <w:rPr>
          <w:rStyle w:val="24"/>
          <w:rFonts w:hint="eastAsia" w:ascii="黑体" w:hAnsi="黑体" w:eastAsia="黑体"/>
          <w:b w:val="0"/>
          <w:lang w:eastAsia="zh-CN"/>
        </w:rPr>
        <w:t>）</w:t>
      </w:r>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黑体" w:hAnsi="黑体" w:eastAsia="黑体"/>
          <w:sz w:val="44"/>
          <w:szCs w:val="44"/>
        </w:rPr>
      </w:pPr>
      <w:bookmarkStart w:id="56" w:name="_Toc15396618"/>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ind w:firstLine="1320" w:firstLineChars="300"/>
        <w:jc w:val="both"/>
        <w:outlineLvl w:val="0"/>
        <w:rPr>
          <w:rFonts w:hint="eastAsia" w:ascii="黑体" w:hAnsi="黑体" w:eastAsia="黑体"/>
          <w:sz w:val="44"/>
          <w:szCs w:val="44"/>
        </w:rPr>
      </w:pPr>
    </w:p>
    <w:p>
      <w:pPr>
        <w:spacing w:line="600" w:lineRule="exact"/>
        <w:jc w:val="center"/>
        <w:outlineLvl w:val="0"/>
        <w:rPr>
          <w:rStyle w:val="24"/>
          <w:rFonts w:hint="eastAsia" w:ascii="黑体" w:hAnsi="黑体" w:eastAsia="黑体"/>
          <w:b w:val="0"/>
          <w:lang w:eastAsia="zh-CN"/>
        </w:rPr>
      </w:pPr>
      <w:r>
        <w:rPr>
          <w:rFonts w:hint="eastAsia" w:ascii="黑体" w:hAnsi="黑体" w:eastAsia="黑体"/>
          <w:sz w:val="44"/>
          <w:szCs w:val="44"/>
        </w:rPr>
        <w:t>第</w:t>
      </w:r>
      <w:r>
        <w:rPr>
          <w:rStyle w:val="24"/>
          <w:rFonts w:hint="eastAsia" w:ascii="黑体" w:hAnsi="黑体" w:eastAsia="黑体"/>
          <w:b w:val="0"/>
        </w:rPr>
        <w:t>五部分 附表</w:t>
      </w:r>
      <w:bookmarkEnd w:id="55"/>
      <w:bookmarkEnd w:id="56"/>
      <w:bookmarkStart w:id="57" w:name="_Toc15396619"/>
      <w:r>
        <w:rPr>
          <w:rStyle w:val="24"/>
          <w:rFonts w:hint="eastAsia" w:ascii="黑体" w:hAnsi="黑体" w:eastAsia="黑体"/>
          <w:b w:val="0"/>
          <w:lang w:eastAsia="zh-CN"/>
        </w:rPr>
        <w:t>（</w:t>
      </w:r>
      <w:r>
        <w:rPr>
          <w:rStyle w:val="24"/>
          <w:rFonts w:hint="eastAsia" w:ascii="黑体" w:hAnsi="黑体" w:eastAsia="黑体"/>
          <w:b w:val="0"/>
          <w:lang w:val="en-US" w:eastAsia="zh-CN"/>
        </w:rPr>
        <w:t>见公开附件2</w:t>
      </w:r>
      <w:r>
        <w:rPr>
          <w:rStyle w:val="24"/>
          <w:rFonts w:hint="eastAsia" w:ascii="黑体" w:hAnsi="黑体" w:eastAsia="黑体"/>
          <w:b w:val="0"/>
          <w:lang w:eastAsia="zh-CN"/>
        </w:rPr>
        <w:t>）</w:t>
      </w:r>
    </w:p>
    <w:p>
      <w:pPr>
        <w:spacing w:line="600" w:lineRule="exact"/>
        <w:ind w:firstLine="630" w:firstLineChars="300"/>
        <w:jc w:val="both"/>
        <w:outlineLvl w:val="0"/>
        <w:rPr>
          <w:rFonts w:ascii="仿宋" w:hAnsi="仿宋" w:eastAsia="仿宋"/>
        </w:rPr>
      </w:pPr>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7"/>
    </w:p>
    <w:p>
      <w:pPr>
        <w:pStyle w:val="4"/>
        <w:rPr>
          <w:rFonts w:ascii="仿宋" w:hAnsi="仿宋" w:eastAsia="仿宋"/>
        </w:rPr>
      </w:pPr>
      <w:bookmarkStart w:id="58" w:name="_Toc15396620"/>
      <w:r>
        <w:rPr>
          <w:rFonts w:hint="eastAsia" w:ascii="仿宋" w:hAnsi="仿宋" w:eastAsia="仿宋"/>
          <w:b w:val="0"/>
        </w:rPr>
        <w:t>二、收</w:t>
      </w:r>
      <w:r>
        <w:rPr>
          <w:rStyle w:val="25"/>
          <w:rFonts w:hint="eastAsia" w:ascii="仿宋" w:hAnsi="仿宋" w:eastAsia="仿宋"/>
          <w:b w:val="0"/>
          <w:bCs w:val="0"/>
        </w:rPr>
        <w:t>入决算表</w:t>
      </w:r>
      <w:bookmarkEnd w:id="58"/>
    </w:p>
    <w:p>
      <w:pPr>
        <w:pStyle w:val="4"/>
        <w:rPr>
          <w:rFonts w:ascii="仿宋" w:hAnsi="仿宋" w:eastAsia="仿宋"/>
        </w:rPr>
      </w:pPr>
      <w:bookmarkStart w:id="59"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9"/>
    </w:p>
    <w:p>
      <w:pPr>
        <w:pStyle w:val="4"/>
        <w:rPr>
          <w:rFonts w:ascii="仿宋" w:hAnsi="仿宋" w:eastAsia="仿宋"/>
          <w:b w:val="0"/>
        </w:rPr>
      </w:pPr>
      <w:bookmarkStart w:id="60"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60"/>
    </w:p>
    <w:p>
      <w:pPr>
        <w:pStyle w:val="4"/>
        <w:rPr>
          <w:rStyle w:val="25"/>
          <w:rFonts w:ascii="仿宋" w:hAnsi="仿宋" w:eastAsia="仿宋"/>
          <w:b w:val="0"/>
          <w:bCs w:val="0"/>
        </w:rPr>
      </w:pPr>
      <w:bookmarkStart w:id="61"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1"/>
      <w:bookmarkStart w:id="62"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2"/>
    </w:p>
    <w:p>
      <w:pPr>
        <w:pStyle w:val="4"/>
        <w:rPr>
          <w:rFonts w:ascii="仿宋" w:hAnsi="仿宋" w:eastAsia="仿宋"/>
        </w:rPr>
      </w:pPr>
      <w:bookmarkStart w:id="63"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3"/>
    </w:p>
    <w:p>
      <w:pPr>
        <w:pStyle w:val="4"/>
        <w:rPr>
          <w:rFonts w:ascii="仿宋" w:hAnsi="仿宋" w:eastAsia="仿宋"/>
        </w:rPr>
      </w:pPr>
      <w:bookmarkStart w:id="64"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4"/>
    </w:p>
    <w:p>
      <w:pPr>
        <w:pStyle w:val="4"/>
        <w:rPr>
          <w:rFonts w:ascii="仿宋" w:hAnsi="仿宋" w:eastAsia="仿宋"/>
        </w:rPr>
      </w:pPr>
      <w:bookmarkStart w:id="65"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5"/>
    </w:p>
    <w:p>
      <w:pPr>
        <w:pStyle w:val="4"/>
        <w:rPr>
          <w:rFonts w:ascii="仿宋" w:hAnsi="仿宋" w:eastAsia="仿宋"/>
        </w:rPr>
      </w:pPr>
      <w:bookmarkStart w:id="66" w:name="_Toc15396628"/>
      <w:r>
        <w:rPr>
          <w:rStyle w:val="25"/>
          <w:rFonts w:hint="eastAsia" w:ascii="仿宋" w:hAnsi="仿宋" w:eastAsia="仿宋"/>
          <w:b w:val="0"/>
          <w:bCs w:val="0"/>
        </w:rPr>
        <w:t>十、</w:t>
      </w:r>
      <w:bookmarkEnd w:id="66"/>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7" w:name="_Toc15396629"/>
      <w:r>
        <w:rPr>
          <w:rStyle w:val="25"/>
          <w:rFonts w:hint="eastAsia" w:ascii="仿宋" w:hAnsi="仿宋" w:eastAsia="仿宋"/>
          <w:b w:val="0"/>
          <w:bCs w:val="0"/>
        </w:rPr>
        <w:t>十一、</w:t>
      </w:r>
      <w:bookmarkEnd w:id="67"/>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8" w:name="_Toc15396630"/>
      <w:r>
        <w:rPr>
          <w:rStyle w:val="25"/>
          <w:rFonts w:hint="eastAsia" w:ascii="仿宋" w:hAnsi="仿宋" w:eastAsia="仿宋"/>
          <w:b w:val="0"/>
          <w:bCs w:val="0"/>
        </w:rPr>
        <w:t>十二、</w:t>
      </w:r>
      <w:bookmarkEnd w:id="68"/>
      <w:r>
        <w:rPr>
          <w:rStyle w:val="25"/>
          <w:rFonts w:hint="eastAsia" w:ascii="仿宋" w:hAnsi="仿宋" w:eastAsia="仿宋"/>
          <w:b w:val="0"/>
          <w:bCs w:val="0"/>
        </w:rPr>
        <w:t>国有资本经营预算财政拨款支出决算表</w:t>
      </w:r>
    </w:p>
    <w:p>
      <w:pPr>
        <w:pStyle w:val="4"/>
        <w:rPr>
          <w:rFonts w:eastAsia="仿宋"/>
        </w:rPr>
      </w:pPr>
      <w:bookmarkStart w:id="69" w:name="_Toc15396631"/>
      <w:r>
        <w:rPr>
          <w:rStyle w:val="25"/>
          <w:rFonts w:hint="eastAsia" w:ascii="仿宋" w:hAnsi="仿宋" w:eastAsia="仿宋"/>
          <w:b w:val="0"/>
          <w:bCs w:val="0"/>
        </w:rPr>
        <w:t>十三、</w:t>
      </w:r>
      <w:bookmarkEnd w:id="69"/>
      <w:r>
        <w:rPr>
          <w:rStyle w:val="25"/>
          <w:rFonts w:hint="eastAsia" w:ascii="仿宋" w:hAnsi="仿宋" w:eastAsia="仿宋"/>
          <w:b w:val="0"/>
          <w:bCs w:val="0"/>
        </w:rPr>
        <w:t>财政拨款“三公”经费支出决算表</w:t>
      </w:r>
    </w:p>
    <w:sectPr>
      <w:headerReference r:id="rId8" w:type="default"/>
      <w:footerReference r:id="rId9"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11" w:rightChars="148"/>
      <w:jc w:val="right"/>
      <w:rPr>
        <w:rFonts w:hint="eastAsia" w:ascii="宋体" w:hAnsi="宋体"/>
        <w:sz w:val="28"/>
        <w:szCs w:val="28"/>
        <w:lang w:eastAsia="zh-CN"/>
      </w:rPr>
    </w:pPr>
    <w:r>
      <w:rPr>
        <w:sz w:val="2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right="311" w:rightChars="148"/>
                            <w:jc w:val="right"/>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ind w:right="311" w:rightChars="148"/>
                      <w:jc w:val="right"/>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282" w:firstLineChars="101"/>
      <w:rPr>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11" w:rightChars="148"/>
      <w:jc w:val="right"/>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jM2NmE0ZWU2NzBiZjEzMGRkMWE5ZTg0ZjdkZjg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51FB"/>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53A62B5"/>
    <w:rsid w:val="069B41FB"/>
    <w:rsid w:val="085C551F"/>
    <w:rsid w:val="088E0328"/>
    <w:rsid w:val="0A2032A3"/>
    <w:rsid w:val="0B8709D7"/>
    <w:rsid w:val="0B8A37D8"/>
    <w:rsid w:val="0C57284E"/>
    <w:rsid w:val="0D083F5E"/>
    <w:rsid w:val="0E016F15"/>
    <w:rsid w:val="10C055FF"/>
    <w:rsid w:val="10D601E5"/>
    <w:rsid w:val="118107EC"/>
    <w:rsid w:val="11DD6519"/>
    <w:rsid w:val="151614F8"/>
    <w:rsid w:val="16B41B7E"/>
    <w:rsid w:val="16BB723D"/>
    <w:rsid w:val="18015F3F"/>
    <w:rsid w:val="180A6A0E"/>
    <w:rsid w:val="19A370D2"/>
    <w:rsid w:val="1AC145E0"/>
    <w:rsid w:val="1BE8440E"/>
    <w:rsid w:val="1CA04BFE"/>
    <w:rsid w:val="1D155CEE"/>
    <w:rsid w:val="1EC41FC5"/>
    <w:rsid w:val="1F6317DE"/>
    <w:rsid w:val="203B62F4"/>
    <w:rsid w:val="20F57F95"/>
    <w:rsid w:val="21817CF9"/>
    <w:rsid w:val="240371BF"/>
    <w:rsid w:val="25711CC6"/>
    <w:rsid w:val="257D5A51"/>
    <w:rsid w:val="25C741E6"/>
    <w:rsid w:val="26AF0F8C"/>
    <w:rsid w:val="27842671"/>
    <w:rsid w:val="29FD04D3"/>
    <w:rsid w:val="2ABE7A3E"/>
    <w:rsid w:val="2C7A379B"/>
    <w:rsid w:val="2CA234A8"/>
    <w:rsid w:val="2DB77AD8"/>
    <w:rsid w:val="2E6E3D4C"/>
    <w:rsid w:val="2EFA178C"/>
    <w:rsid w:val="30B46D73"/>
    <w:rsid w:val="319F7F4E"/>
    <w:rsid w:val="383D272C"/>
    <w:rsid w:val="38A345A1"/>
    <w:rsid w:val="39AE70AB"/>
    <w:rsid w:val="3A487FB1"/>
    <w:rsid w:val="3C0C0783"/>
    <w:rsid w:val="3C92439E"/>
    <w:rsid w:val="3F9F3A96"/>
    <w:rsid w:val="410D504A"/>
    <w:rsid w:val="48BF60AB"/>
    <w:rsid w:val="493C27E9"/>
    <w:rsid w:val="496F39ED"/>
    <w:rsid w:val="49FF41D3"/>
    <w:rsid w:val="4A49144C"/>
    <w:rsid w:val="4BE068DB"/>
    <w:rsid w:val="4BF6002B"/>
    <w:rsid w:val="4ECE2238"/>
    <w:rsid w:val="51DB4B86"/>
    <w:rsid w:val="530E47AD"/>
    <w:rsid w:val="55333C3E"/>
    <w:rsid w:val="565A053D"/>
    <w:rsid w:val="57364B06"/>
    <w:rsid w:val="58D260E9"/>
    <w:rsid w:val="5D1D6CA9"/>
    <w:rsid w:val="5E7423B8"/>
    <w:rsid w:val="6300246C"/>
    <w:rsid w:val="639F67E8"/>
    <w:rsid w:val="64CA39A1"/>
    <w:rsid w:val="66783D95"/>
    <w:rsid w:val="69630ADE"/>
    <w:rsid w:val="6AC36259"/>
    <w:rsid w:val="6AEC1C54"/>
    <w:rsid w:val="6C4A05C8"/>
    <w:rsid w:val="6D3B1A89"/>
    <w:rsid w:val="6FB169CC"/>
    <w:rsid w:val="6FE63C91"/>
    <w:rsid w:val="71BF4EC2"/>
    <w:rsid w:val="72734D90"/>
    <w:rsid w:val="72744FEC"/>
    <w:rsid w:val="74035919"/>
    <w:rsid w:val="7412278C"/>
    <w:rsid w:val="74F96A47"/>
    <w:rsid w:val="75A75096"/>
    <w:rsid w:val="78EB5EB3"/>
    <w:rsid w:val="79E7B28D"/>
    <w:rsid w:val="7D6A6A0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h\Desktop\&#24180;&#24230;&#25991;&#20214;\2019&#25991;&#20214;\2018&#20915;&#31639;&#20844;&#24320;&#23450;&#31295;\l_&#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h\Desktop\&#24180;&#24230;&#25991;&#20214;\2019&#25991;&#20214;\2018&#20915;&#31639;&#20844;&#24320;&#23450;&#31295;\l_&#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h\Desktop\&#24180;&#24230;&#25991;&#20214;\2019&#25991;&#20214;\2018&#20915;&#31639;&#20844;&#24320;&#23450;&#31295;\l_&#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h\Desktop\&#24180;&#24230;&#25991;&#20214;\2020&#24180;&#20915;&#31639;\&#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h\Desktop\&#24180;&#24230;&#25991;&#20214;\2019&#25991;&#20214;\2018&#20915;&#31639;&#20844;&#24320;&#23450;&#31295;\l_&#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h\Desktop\&#24180;&#24230;&#25991;&#20214;\2020&#24180;&#20915;&#31639;\&#24037;&#20316;&#34920;(&#20915;&#31639;&#20844;&#24320;&#29992;&#22270;&#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h\Desktop\&#24180;&#24230;&#25991;&#20214;\2020&#24180;&#20915;&#31639;\&#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599518810149"/>
          <c:y val="0.06591953579332"/>
          <c:w val="0.721721347331584"/>
          <c:h val="0.828939195100612"/>
        </c:manualLayout>
      </c:layout>
      <c:barChart>
        <c:barDir val="col"/>
        <c:grouping val="clustered"/>
        <c:varyColors val="0"/>
        <c:ser>
          <c:idx val="0"/>
          <c:order val="0"/>
          <c:invertIfNegative val="0"/>
          <c:dLbls>
            <c:delete val="1"/>
          </c:dLbls>
          <c:cat>
            <c:strRef>
              <c:f>'[l_工作表(决算公开用图）.xls]Sheet1'!$A$36:$A$37</c:f>
              <c:strCache>
                <c:ptCount val="2"/>
                <c:pt idx="0">
                  <c:v>2021年财政拨款总收支</c:v>
                </c:pt>
                <c:pt idx="1">
                  <c:v>2022年财政拨款总收支</c:v>
                </c:pt>
              </c:strCache>
            </c:strRef>
          </c:cat>
          <c:val>
            <c:numRef>
              <c:f>'[l_工作表(决算公开用图）.xls]Sheet1'!$B$36:$B$37</c:f>
              <c:numCache>
                <c:formatCode>General</c:formatCode>
                <c:ptCount val="2"/>
                <c:pt idx="0">
                  <c:v>2591.14</c:v>
                </c:pt>
                <c:pt idx="1">
                  <c:v>1499.24</c:v>
                </c:pt>
              </c:numCache>
            </c:numRef>
          </c:val>
        </c:ser>
        <c:dLbls>
          <c:showLegendKey val="0"/>
          <c:showVal val="0"/>
          <c:showCatName val="0"/>
          <c:showSerName val="0"/>
          <c:showPercent val="0"/>
          <c:showBubbleSize val="0"/>
        </c:dLbls>
        <c:gapWidth val="150"/>
        <c:overlap val="0"/>
        <c:axId val="905958681"/>
        <c:axId val="535602416"/>
      </c:barChart>
      <c:catAx>
        <c:axId val="905958681"/>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35602416"/>
        <c:crosses val="autoZero"/>
        <c:auto val="1"/>
        <c:lblAlgn val="ctr"/>
        <c:lblOffset val="100"/>
        <c:noMultiLvlLbl val="0"/>
      </c:catAx>
      <c:valAx>
        <c:axId val="5356024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905958681"/>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2444444444445"/>
          <c:y val="0.0874473501504281"/>
          <c:w val="0.474344444444444"/>
          <c:h val="0.790391113168248"/>
        </c:manualLayout>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1"/>
              <c:layout>
                <c:manualLayout>
                  <c:x val="0.188097112860892"/>
                  <c:y val="0.009411636045494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'[l_工作表(决算公开用图）.xls]Sheet1'!$A$2:$A$8</c:f>
              <c:strCache>
                <c:ptCount val="7"/>
                <c:pt idx="0">
                  <c:v>一般公共预算财政款收入</c:v>
                </c:pt>
                <c:pt idx="1">
                  <c:v>政府性基金收入</c:v>
                </c:pt>
                <c:pt idx="2">
                  <c:v>国有资本经营预算财政拨款收入</c:v>
                </c:pt>
                <c:pt idx="3">
                  <c:v>事业收入</c:v>
                </c:pt>
                <c:pt idx="4">
                  <c:v>经营性收入</c:v>
                </c:pt>
                <c:pt idx="5">
                  <c:v>附属单位上缴收入</c:v>
                </c:pt>
              </c:strCache>
            </c:strRef>
          </c:cat>
          <c:val>
            <c:numRef>
              <c:f>'[l_工作表(决算公开用图）.xls]Sheet1'!$B$2:$B$8</c:f>
              <c:numCache>
                <c:formatCode>General</c:formatCode>
                <c:ptCount val="7"/>
                <c:pt idx="0">
                  <c:v>1499.24</c:v>
                </c:pt>
                <c:pt idx="1">
                  <c:v>77.44</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'[l_工作表(决算公开用图）.xls]Sheet1'!$A$16:$A$20</c:f>
              <c:strCache>
                <c:ptCount val="5"/>
                <c:pt idx="0">
                  <c:v>基本支出</c:v>
                </c:pt>
                <c:pt idx="1">
                  <c:v>项目支出</c:v>
                </c:pt>
                <c:pt idx="2">
                  <c:v>上缴上级支出</c:v>
                </c:pt>
                <c:pt idx="3">
                  <c:v>经营支出</c:v>
                </c:pt>
                <c:pt idx="4">
                  <c:v>对附属单位补助支出</c:v>
                </c:pt>
              </c:strCache>
            </c:strRef>
          </c:cat>
          <c:val>
            <c:numRef>
              <c:f>'[l_工作表(决算公开用图）.xls]Sheet1'!$B$16:$B$20</c:f>
              <c:numCache>
                <c:formatCode>General</c:formatCode>
                <c:ptCount val="5"/>
                <c:pt idx="0">
                  <c:v>950.03</c:v>
                </c:pt>
                <c:pt idx="1">
                  <c:v>471.77</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6944444444444"/>
          <c:y val="0.0949293818013429"/>
          <c:w val="0.882"/>
          <c:h val="0.837091919425793"/>
        </c:manualLayout>
      </c:layout>
      <c:barChart>
        <c:barDir val="col"/>
        <c:grouping val="stacked"/>
        <c:varyColors val="0"/>
        <c:ser>
          <c:idx val="0"/>
          <c:order val="0"/>
          <c:spPr>
            <a:solidFill>
              <a:schemeClr val="accent1"/>
            </a:solidFill>
            <a:ln>
              <a:noFill/>
            </a:ln>
            <a:effectLst/>
          </c:spPr>
          <c:invertIfNegative val="0"/>
          <c:dLbls>
            <c:delete val="1"/>
          </c:dLbls>
          <c:cat>
            <c:strRef>
              <c:f>'[工作表(决算公开用图）.xls]Sheet1'!$A$58:$A$59</c:f>
              <c:strCache>
                <c:ptCount val="2"/>
                <c:pt idx="0">
                  <c:v>2021年度一般公共预算财政拨款支出</c:v>
                </c:pt>
                <c:pt idx="1">
                  <c:v>2022年度一般公共预算财政拨款支出</c:v>
                </c:pt>
              </c:strCache>
            </c:strRef>
          </c:cat>
          <c:val>
            <c:numRef>
              <c:f>'[工作表(决算公开用图）.xls]Sheet1'!$B$58:$B$59</c:f>
              <c:numCache>
                <c:formatCode>General</c:formatCode>
                <c:ptCount val="2"/>
                <c:pt idx="0">
                  <c:v>2591.14</c:v>
                </c:pt>
                <c:pt idx="1" c:formatCode="0.00_ ">
                  <c:v>1499.24</c:v>
                </c:pt>
              </c:numCache>
            </c:numRef>
          </c:val>
        </c:ser>
        <c:dLbls>
          <c:showLegendKey val="0"/>
          <c:showVal val="0"/>
          <c:showCatName val="0"/>
          <c:showSerName val="0"/>
          <c:showPercent val="0"/>
          <c:showBubbleSize val="0"/>
        </c:dLbls>
        <c:gapWidth val="150"/>
        <c:overlap val="100"/>
        <c:axId val="342450985"/>
        <c:axId val="272248694"/>
      </c:barChart>
      <c:catAx>
        <c:axId val="34245098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248694"/>
        <c:crosses val="autoZero"/>
        <c:auto val="1"/>
        <c:lblAlgn val="ctr"/>
        <c:lblOffset val="100"/>
        <c:noMultiLvlLbl val="0"/>
      </c:catAx>
      <c:valAx>
        <c:axId val="27224869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245098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'[l_工作表(决算公开用图）.xls]Sheet1'!$A$57:$A$58</c:f>
              <c:strCache>
                <c:ptCount val="2"/>
                <c:pt idx="0">
                  <c:v>2021年度一般公共预算财政拨款支出</c:v>
                </c:pt>
                <c:pt idx="1">
                  <c:v>2022年度一般公共预算财政拨款支出</c:v>
                </c:pt>
              </c:strCache>
            </c:strRef>
          </c:cat>
          <c:val>
            <c:numRef>
              <c:f>'[l_工作表(决算公开用图）.xls]Sheet1'!$B$57:$B$58</c:f>
              <c:numCache>
                <c:formatCode>0.00_ </c:formatCode>
                <c:ptCount val="2"/>
                <c:pt idx="0">
                  <c:v>2557.89</c:v>
                </c:pt>
                <c:pt idx="1" c:formatCode="General">
                  <c:v>1421.8</c:v>
                </c:pt>
              </c:numCache>
            </c:numRef>
          </c:val>
        </c:ser>
        <c:dLbls>
          <c:showLegendKey val="0"/>
          <c:showVal val="0"/>
          <c:showCatName val="0"/>
          <c:showSerName val="0"/>
          <c:showPercent val="0"/>
          <c:showBubbleSize val="0"/>
        </c:dLbls>
        <c:gapWidth val="150"/>
        <c:overlap val="0"/>
        <c:axId val="274514614"/>
        <c:axId val="564410281"/>
      </c:barChart>
      <c:catAx>
        <c:axId val="27451461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64410281"/>
        <c:crosses val="autoZero"/>
        <c:auto val="1"/>
        <c:lblAlgn val="ctr"/>
        <c:lblOffset val="100"/>
        <c:noMultiLvlLbl val="0"/>
      </c:catAx>
      <c:valAx>
        <c:axId val="564410281"/>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74514614"/>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81003488060102"/>
          <c:y val="0.0641025641025641"/>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'[工作表(决算公开用图）.xls]Sheet1'!$A$78:$A$82</c:f>
              <c:strCache>
                <c:ptCount val="5"/>
                <c:pt idx="0">
                  <c:v>一般公共服务支出</c:v>
                </c:pt>
                <c:pt idx="1">
                  <c:v>社会保障和就业支出</c:v>
                </c:pt>
                <c:pt idx="2">
                  <c:v>卫生健康支出</c:v>
                </c:pt>
                <c:pt idx="3">
                  <c:v>住房保障支出</c:v>
                </c:pt>
                <c:pt idx="4">
                  <c:v>城乡社区支出</c:v>
                </c:pt>
              </c:strCache>
            </c:strRef>
          </c:cat>
          <c:val>
            <c:numRef>
              <c:f>'[工作表(决算公开用图）.xls]Sheet1'!$B$78:$B$82</c:f>
              <c:numCache>
                <c:formatCode>General</c:formatCode>
                <c:ptCount val="5"/>
                <c:pt idx="0">
                  <c:v>1231.39</c:v>
                </c:pt>
                <c:pt idx="1">
                  <c:v>114.44</c:v>
                </c:pt>
                <c:pt idx="2">
                  <c:v>16.64</c:v>
                </c:pt>
                <c:pt idx="3">
                  <c:v>59.32</c:v>
                </c:pt>
                <c:pt idx="4">
                  <c:v>77.44</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25"/>
          <c:y val="0.164"/>
          <c:w val="0.2555"/>
          <c:h val="0.633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'[工作表(决算公开用图）.xls]Sheet1'!$A$102:$A$104</c:f>
              <c:strCache>
                <c:ptCount val="3"/>
                <c:pt idx="0">
                  <c:v>因公出国（境）费支出决算</c:v>
                </c:pt>
                <c:pt idx="1">
                  <c:v>公务用车购置及运行维护费支出决算</c:v>
                </c:pt>
                <c:pt idx="2">
                  <c:v>公务接待费支出决算</c:v>
                </c:pt>
              </c:strCache>
            </c:strRef>
          </c:cat>
          <c:val>
            <c:numRef>
              <c:f>'[工作表(决算公开用图）.xls]Sheet1'!$B$102:$B$104</c:f>
              <c:numCache>
                <c:formatCode>General</c:formatCode>
                <c:ptCount val="3"/>
                <c:pt idx="0">
                  <c:v>0</c:v>
                </c:pt>
                <c:pt idx="1">
                  <c:v>7.75</c:v>
                </c:pt>
                <c:pt idx="2">
                  <c:v>1.35</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1496</Words>
  <Characters>8531</Characters>
  <Lines>71</Lines>
  <Paragraphs>20</Paragraphs>
  <TotalTime>9</TotalTime>
  <ScaleCrop>false</ScaleCrop>
  <LinksUpToDate>false</LinksUpToDate>
  <CharactersWithSpaces>10007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周静</cp:lastModifiedBy>
  <cp:lastPrinted>2023-12-01T02:18:36Z</cp:lastPrinted>
  <dcterms:modified xsi:type="dcterms:W3CDTF">2023-12-01T02:28:20Z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5B512120ACE84461883910E60A12C3B7_12</vt:lpwstr>
  </property>
</Properties>
</file>