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7425"/>
      <w:bookmarkStart w:id="3" w:name="_Toc15396475"/>
      <w:bookmarkStart w:id="4" w:name="_Toc15378441"/>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8442"/>
      <w:bookmarkStart w:id="8" w:name="_Toc15377426"/>
      <w:bookmarkStart w:id="9" w:name="_Toc15377194"/>
      <w:bookmarkStart w:id="10" w:name="_Toc15396598"/>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eastAsia="zh-CN"/>
        </w:rPr>
        <w:t>峨眉山市社会保险事务中心</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12</w:t>
      </w:r>
      <w:r>
        <w:rPr>
          <w:rFonts w:hint="eastAsia"/>
        </w:rPr>
        <w:t>月</w:t>
      </w:r>
      <w:r>
        <w:rPr>
          <w:rFonts w:hint="eastAsia"/>
          <w:lang w:val="en-US" w:eastAsia="zh-CN"/>
        </w:rPr>
        <w:t>11</w:t>
      </w:r>
      <w:bookmarkStart w:id="68" w:name="_GoBack"/>
      <w:bookmarkEnd w:id="68"/>
      <w:r>
        <w:rPr>
          <w:rFonts w:hint="eastAsia"/>
        </w:rPr>
        <w:t>日</w:t>
      </w:r>
    </w:p>
    <w:p/>
    <w:p>
      <w:pPr>
        <w:pStyle w:val="10"/>
        <w:adjustRightInd w:val="0"/>
        <w:snapToGrid w:val="0"/>
        <w:spacing w:before="0" w:line="440" w:lineRule="exact"/>
        <w:jc w:val="left"/>
        <w:rPr>
          <w:rFonts w:hint="eastAsia"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sz w:val="24"/>
          <w:lang w:val="en-US" w:eastAsia="zh-CN"/>
        </w:rPr>
        <w:t>...................................................1</w:t>
      </w:r>
    </w:p>
    <w:p>
      <w:pPr>
        <w:pStyle w:val="11"/>
        <w:adjustRightInd w:val="0"/>
        <w:snapToGrid w:val="0"/>
        <w:spacing w:line="440" w:lineRule="exact"/>
        <w:jc w:val="left"/>
        <w:rPr>
          <w:rFonts w:hint="eastAsia" w:ascii="仿宋" w:hAnsi="仿宋" w:eastAsia="仿宋" w:cs="仿宋"/>
          <w:sz w:val="24"/>
          <w:lang w:val="en-US" w:eastAsia="zh-CN"/>
        </w:rPr>
      </w:pPr>
      <w:r>
        <w:rPr>
          <w:rFonts w:hint="eastAsia"/>
          <w:sz w:val="24"/>
        </w:rPr>
        <w:t>一、主要职责</w:t>
      </w:r>
      <w:r>
        <w:rPr>
          <w:rFonts w:hint="eastAsia" w:ascii="仿宋" w:hAnsi="仿宋" w:eastAsia="仿宋" w:cs="仿宋"/>
          <w:sz w:val="24"/>
          <w:lang w:val="en-US" w:eastAsia="zh-CN"/>
        </w:rPr>
        <w:t>.....................................................1</w:t>
      </w:r>
    </w:p>
    <w:p>
      <w:pPr>
        <w:pStyle w:val="11"/>
        <w:adjustRightInd w:val="0"/>
        <w:snapToGrid w:val="0"/>
        <w:spacing w:line="440" w:lineRule="exact"/>
        <w:jc w:val="left"/>
        <w:rPr>
          <w:rFonts w:hint="eastAsia" w:ascii="仿宋" w:hAnsi="仿宋" w:eastAsia="仿宋" w:cs="仿宋"/>
          <w:lang w:val="en-US" w:eastAsia="zh-CN"/>
        </w:rPr>
      </w:pPr>
      <w:r>
        <w:rPr>
          <w:rFonts w:hint="eastAsia"/>
          <w:sz w:val="24"/>
        </w:rPr>
        <w:t>二、机构设置</w:t>
      </w:r>
      <w:r>
        <w:rPr>
          <w:rFonts w:hint="eastAsia" w:ascii="仿宋" w:hAnsi="仿宋" w:eastAsia="仿宋" w:cs="仿宋"/>
          <w:sz w:val="24"/>
          <w:lang w:val="en-US" w:eastAsia="zh-CN"/>
        </w:rPr>
        <w:t>.....................................................1</w:t>
      </w:r>
    </w:p>
    <w:p>
      <w:pPr>
        <w:pStyle w:val="10"/>
        <w:adjustRightInd w:val="0"/>
        <w:snapToGrid w:val="0"/>
        <w:spacing w:before="0" w:line="440" w:lineRule="exact"/>
        <w:jc w:val="left"/>
        <w:rPr>
          <w:rFonts w:hint="eastAsia" w:eastAsia="仿宋"/>
          <w:sz w:val="24"/>
          <w:szCs w:val="24"/>
          <w:lang w:val="en-US" w:eastAsia="zh-CN"/>
        </w:rPr>
      </w:pPr>
      <w:r>
        <w:rPr>
          <w:rFonts w:hint="eastAsia"/>
          <w:sz w:val="24"/>
        </w:rPr>
        <w:t>第二部分 2022年度单位决算情况说明</w:t>
      </w:r>
      <w:r>
        <w:rPr>
          <w:rFonts w:hint="eastAsia"/>
          <w:sz w:val="24"/>
          <w:lang w:val="en-US" w:eastAsia="zh-CN"/>
        </w:rPr>
        <w:t>. .................................3</w:t>
      </w:r>
    </w:p>
    <w:p>
      <w:pPr>
        <w:pStyle w:val="11"/>
        <w:adjustRightInd w:val="0"/>
        <w:snapToGrid w:val="0"/>
        <w:spacing w:line="440" w:lineRule="exact"/>
        <w:jc w:val="left"/>
        <w:rPr>
          <w:rFonts w:hint="eastAsia" w:ascii="仿宋" w:hAnsi="仿宋" w:eastAsia="仿宋" w:cs="仿宋"/>
          <w:sz w:val="24"/>
          <w:lang w:val="en-US" w:eastAsia="zh-CN"/>
        </w:rPr>
      </w:pPr>
      <w:r>
        <w:rPr>
          <w:rFonts w:hint="eastAsia"/>
          <w:sz w:val="24"/>
        </w:rPr>
        <w:t>一、收入支出决算总体情况说明</w:t>
      </w:r>
      <w:r>
        <w:rPr>
          <w:rFonts w:hint="eastAsia" w:ascii="仿宋" w:hAnsi="仿宋" w:eastAsia="仿宋" w:cs="仿宋"/>
          <w:sz w:val="24"/>
          <w:lang w:val="en-US" w:eastAsia="zh-CN"/>
        </w:rPr>
        <w:t>.....................................3</w:t>
      </w:r>
    </w:p>
    <w:p>
      <w:pPr>
        <w:pStyle w:val="11"/>
        <w:adjustRightInd w:val="0"/>
        <w:snapToGrid w:val="0"/>
        <w:spacing w:line="440" w:lineRule="exact"/>
        <w:jc w:val="left"/>
        <w:rPr>
          <w:rFonts w:hint="eastAsia" w:ascii="仿宋" w:hAnsi="仿宋" w:eastAsia="仿宋" w:cs="仿宋"/>
          <w:sz w:val="24"/>
          <w:lang w:val="en-US" w:eastAsia="zh-CN"/>
        </w:rPr>
      </w:pPr>
      <w:r>
        <w:rPr>
          <w:rFonts w:hint="eastAsia"/>
          <w:sz w:val="24"/>
        </w:rPr>
        <w:t>二、收入决算情况说明</w:t>
      </w:r>
      <w:r>
        <w:rPr>
          <w:rFonts w:hint="eastAsia" w:ascii="仿宋" w:hAnsi="仿宋" w:eastAsia="仿宋" w:cs="仿宋"/>
          <w:sz w:val="24"/>
          <w:lang w:val="en-US" w:eastAsia="zh-CN"/>
        </w:rPr>
        <w:t>.............................................3</w:t>
      </w:r>
    </w:p>
    <w:p>
      <w:pPr>
        <w:pStyle w:val="11"/>
        <w:adjustRightInd w:val="0"/>
        <w:snapToGrid w:val="0"/>
        <w:spacing w:line="440" w:lineRule="exact"/>
        <w:jc w:val="left"/>
        <w:rPr>
          <w:rFonts w:hint="eastAsia" w:ascii="仿宋" w:hAnsi="仿宋" w:eastAsia="仿宋" w:cs="仿宋"/>
          <w:sz w:val="24"/>
          <w:lang w:val="en-US" w:eastAsia="zh-CN"/>
        </w:rPr>
      </w:pPr>
      <w:r>
        <w:rPr>
          <w:rFonts w:hint="eastAsia"/>
          <w:sz w:val="24"/>
        </w:rPr>
        <w:t>三、支出决算情况说明</w:t>
      </w:r>
      <w:r>
        <w:rPr>
          <w:rFonts w:hint="eastAsia" w:ascii="仿宋" w:hAnsi="仿宋" w:eastAsia="仿宋" w:cs="仿宋"/>
          <w:sz w:val="24"/>
          <w:lang w:val="en-US" w:eastAsia="zh-CN"/>
        </w:rPr>
        <w:t>.............................................4</w:t>
      </w:r>
    </w:p>
    <w:p>
      <w:pPr>
        <w:pStyle w:val="11"/>
        <w:adjustRightInd w:val="0"/>
        <w:snapToGrid w:val="0"/>
        <w:spacing w:line="440" w:lineRule="exact"/>
        <w:jc w:val="left"/>
        <w:rPr>
          <w:rFonts w:hint="eastAsia" w:ascii="仿宋" w:hAnsi="仿宋" w:eastAsia="仿宋" w:cs="仿宋"/>
          <w:sz w:val="24"/>
          <w:lang w:val="en-US" w:eastAsia="zh-CN"/>
        </w:rPr>
      </w:pPr>
      <w:r>
        <w:rPr>
          <w:rFonts w:hint="eastAsia"/>
          <w:sz w:val="24"/>
        </w:rPr>
        <w:t>四、财政拨款收入支出决算总体情况说明</w:t>
      </w:r>
      <w:r>
        <w:rPr>
          <w:rFonts w:hint="eastAsia" w:ascii="仿宋" w:hAnsi="仿宋" w:eastAsia="仿宋" w:cs="仿宋"/>
          <w:sz w:val="24"/>
          <w:lang w:val="en-US" w:eastAsia="zh-CN"/>
        </w:rPr>
        <w:t>.............................4</w:t>
      </w:r>
    </w:p>
    <w:p>
      <w:pPr>
        <w:pStyle w:val="11"/>
        <w:adjustRightInd w:val="0"/>
        <w:snapToGrid w:val="0"/>
        <w:spacing w:line="440" w:lineRule="exact"/>
        <w:jc w:val="left"/>
        <w:rPr>
          <w:rFonts w:hint="eastAsia" w:ascii="仿宋" w:hAnsi="仿宋" w:eastAsia="仿宋" w:cs="仿宋"/>
          <w:sz w:val="24"/>
          <w:lang w:val="en-US" w:eastAsia="zh-CN"/>
        </w:rPr>
      </w:pPr>
      <w:r>
        <w:rPr>
          <w:rFonts w:hint="eastAsia"/>
          <w:sz w:val="24"/>
        </w:rPr>
        <w:t>五、一般公共预算财政拨款支出决算情况说明</w:t>
      </w:r>
      <w:r>
        <w:rPr>
          <w:rFonts w:hint="eastAsia" w:ascii="仿宋" w:hAnsi="仿宋" w:eastAsia="仿宋" w:cs="仿宋"/>
          <w:sz w:val="24"/>
          <w:lang w:val="en-US" w:eastAsia="zh-CN"/>
        </w:rPr>
        <w:t>.........................5</w:t>
      </w:r>
    </w:p>
    <w:p>
      <w:pPr>
        <w:pStyle w:val="11"/>
        <w:adjustRightInd w:val="0"/>
        <w:snapToGrid w:val="0"/>
        <w:spacing w:line="440" w:lineRule="exact"/>
        <w:jc w:val="left"/>
        <w:rPr>
          <w:rFonts w:hint="eastAsia" w:ascii="仿宋" w:hAnsi="仿宋" w:eastAsia="仿宋" w:cs="仿宋"/>
          <w:sz w:val="24"/>
          <w:lang w:val="en-US" w:eastAsia="zh-CN"/>
        </w:rPr>
      </w:pPr>
      <w:r>
        <w:rPr>
          <w:rFonts w:hint="eastAsia"/>
          <w:sz w:val="24"/>
        </w:rPr>
        <w:t>六、一般公共预算财政拨款基本支出决算情况说明</w:t>
      </w:r>
      <w:r>
        <w:rPr>
          <w:rFonts w:hint="eastAsia" w:ascii="仿宋" w:hAnsi="仿宋" w:eastAsia="仿宋" w:cs="仿宋"/>
          <w:sz w:val="24"/>
          <w:lang w:val="en-US" w:eastAsia="zh-CN"/>
        </w:rPr>
        <w:t>.....................7</w:t>
      </w:r>
    </w:p>
    <w:p>
      <w:pPr>
        <w:pStyle w:val="11"/>
        <w:adjustRightInd w:val="0"/>
        <w:snapToGrid w:val="0"/>
        <w:spacing w:line="440" w:lineRule="exact"/>
        <w:jc w:val="left"/>
        <w:rPr>
          <w:rFonts w:hint="eastAsia" w:ascii="仿宋" w:hAnsi="仿宋" w:eastAsia="仿宋" w:cs="仿宋"/>
          <w:sz w:val="24"/>
          <w:lang w:val="en-US" w:eastAsia="zh-CN"/>
        </w:rPr>
      </w:pPr>
      <w:r>
        <w:rPr>
          <w:rFonts w:hint="eastAsia"/>
          <w:sz w:val="24"/>
        </w:rPr>
        <w:t>七、财政拨款“三公”经费支出决算情况说明</w:t>
      </w:r>
      <w:r>
        <w:rPr>
          <w:rFonts w:hint="eastAsia" w:ascii="仿宋" w:hAnsi="仿宋" w:eastAsia="仿宋" w:cs="仿宋"/>
          <w:sz w:val="24"/>
          <w:lang w:val="en-US" w:eastAsia="zh-CN"/>
        </w:rPr>
        <w:t>.........................8</w:t>
      </w:r>
    </w:p>
    <w:p>
      <w:pPr>
        <w:pStyle w:val="11"/>
        <w:adjustRightInd w:val="0"/>
        <w:snapToGrid w:val="0"/>
        <w:spacing w:line="440" w:lineRule="exact"/>
        <w:jc w:val="left"/>
        <w:rPr>
          <w:rFonts w:hint="eastAsia" w:ascii="仿宋" w:hAnsi="仿宋" w:eastAsia="仿宋" w:cs="仿宋"/>
          <w:sz w:val="24"/>
          <w:lang w:val="en-US" w:eastAsia="zh-CN"/>
        </w:rPr>
      </w:pPr>
      <w:r>
        <w:rPr>
          <w:rFonts w:hint="eastAsia"/>
          <w:sz w:val="24"/>
        </w:rPr>
        <w:t>八、政府性基金预算支出决算情况说明</w:t>
      </w:r>
      <w:r>
        <w:rPr>
          <w:rFonts w:hint="eastAsia" w:ascii="仿宋" w:hAnsi="仿宋" w:eastAsia="仿宋" w:cs="仿宋"/>
          <w:sz w:val="24"/>
          <w:lang w:val="en-US" w:eastAsia="zh-CN"/>
        </w:rPr>
        <w:t>...............................9</w:t>
      </w:r>
    </w:p>
    <w:p>
      <w:pPr>
        <w:pStyle w:val="11"/>
        <w:adjustRightInd w:val="0"/>
        <w:snapToGrid w:val="0"/>
        <w:spacing w:line="440" w:lineRule="exact"/>
        <w:jc w:val="left"/>
        <w:rPr>
          <w:rFonts w:hint="eastAsia" w:ascii="仿宋" w:hAnsi="仿宋" w:eastAsia="仿宋" w:cs="仿宋"/>
          <w:sz w:val="24"/>
          <w:lang w:val="en-US" w:eastAsia="zh-CN"/>
        </w:rPr>
      </w:pPr>
      <w:r>
        <w:rPr>
          <w:rFonts w:hint="eastAsia"/>
          <w:sz w:val="24"/>
        </w:rPr>
        <w:t>九、国有资本经营预算支出决算情况说明</w:t>
      </w:r>
      <w:r>
        <w:rPr>
          <w:rFonts w:hint="eastAsia" w:ascii="仿宋" w:hAnsi="仿宋" w:eastAsia="仿宋" w:cs="仿宋"/>
          <w:sz w:val="24"/>
          <w:lang w:val="en-US" w:eastAsia="zh-CN"/>
        </w:rPr>
        <w:t>............................ 10</w:t>
      </w:r>
    </w:p>
    <w:p>
      <w:pPr>
        <w:pStyle w:val="11"/>
        <w:adjustRightInd w:val="0"/>
        <w:snapToGrid w:val="0"/>
        <w:spacing w:line="440" w:lineRule="exact"/>
        <w:jc w:val="left"/>
        <w:rPr>
          <w:rFonts w:hint="eastAsia" w:ascii="仿宋" w:hAnsi="仿宋" w:eastAsia="仿宋" w:cs="仿宋"/>
          <w:sz w:val="24"/>
          <w:lang w:val="en-US" w:eastAsia="zh-CN"/>
        </w:rPr>
      </w:pPr>
      <w:r>
        <w:rPr>
          <w:rFonts w:hint="eastAsia"/>
          <w:sz w:val="24"/>
        </w:rPr>
        <w:t>十、其他重要事项的情况说明</w:t>
      </w:r>
      <w:r>
        <w:rPr>
          <w:rFonts w:hint="eastAsia" w:ascii="仿宋" w:hAnsi="仿宋" w:eastAsia="仿宋" w:cs="仿宋"/>
          <w:sz w:val="24"/>
          <w:lang w:val="en-US" w:eastAsia="zh-CN"/>
        </w:rPr>
        <w:t>...................................... 11</w:t>
      </w:r>
    </w:p>
    <w:p>
      <w:pPr>
        <w:pStyle w:val="10"/>
        <w:adjustRightInd w:val="0"/>
        <w:snapToGrid w:val="0"/>
        <w:spacing w:before="0" w:line="440" w:lineRule="exact"/>
        <w:jc w:val="left"/>
        <w:rPr>
          <w:rFonts w:hint="eastAsia"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..................................................12</w:t>
      </w:r>
    </w:p>
    <w:p>
      <w:pPr>
        <w:pStyle w:val="10"/>
        <w:adjustRightInd w:val="0"/>
        <w:snapToGrid w:val="0"/>
        <w:spacing w:before="0" w:line="440" w:lineRule="exact"/>
        <w:jc w:val="left"/>
        <w:rPr>
          <w:rFonts w:hint="eastAsia"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......................................................15</w:t>
      </w:r>
    </w:p>
    <w:p>
      <w:pPr>
        <w:pStyle w:val="10"/>
        <w:adjustRightInd w:val="0"/>
        <w:snapToGrid w:val="0"/>
        <w:spacing w:before="0" w:line="440" w:lineRule="exact"/>
        <w:jc w:val="left"/>
        <w:rPr>
          <w:rFonts w:hint="eastAsia"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......................................................31</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pStyle w:val="3"/>
        <w:jc w:val="center"/>
        <w:rPr>
          <w:rFonts w:hint="eastAsia" w:ascii="黑体" w:hAnsi="黑体" w:eastAsia="黑体"/>
          <w:b w:val="0"/>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12" w:name="_Toc15396599"/>
      <w:bookmarkStart w:id="13" w:name="_Toc15377196"/>
      <w:bookmarkStart w:id="14" w:name="_Hlk146544157"/>
    </w:p>
    <w:p>
      <w:pPr>
        <w:pStyle w:val="3"/>
        <w:jc w:val="center"/>
        <w:rPr>
          <w:rFonts w:ascii="黑体" w:eastAsia="黑体"/>
          <w:sz w:val="32"/>
          <w:szCs w:val="32"/>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pStyle w:val="4"/>
        <w:numPr>
          <w:ilvl w:val="0"/>
          <w:numId w:val="1"/>
        </w:numPr>
        <w:rPr>
          <w:rFonts w:hint="eastAsia" w:ascii="仿宋" w:hAnsi="仿宋" w:eastAsia="仿宋" w:cs="仿宋"/>
          <w:sz w:val="32"/>
          <w:szCs w:val="32"/>
          <w:lang w:eastAsia="zh-CN"/>
        </w:rPr>
      </w:pPr>
      <w:bookmarkStart w:id="15" w:name="_Toc15396600"/>
      <w:bookmarkStart w:id="16" w:name="_Toc15377197"/>
      <w:r>
        <w:rPr>
          <w:rStyle w:val="25"/>
          <w:rFonts w:hint="eastAsia" w:ascii="黑体" w:hAnsi="黑体" w:eastAsia="黑体"/>
          <w:b w:val="0"/>
          <w:bCs w:val="0"/>
        </w:rPr>
        <w:t>主要职责</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贯彻执行国家、省、市关于社会保险的法律、法规和政策</w:t>
      </w:r>
      <w:r>
        <w:rPr>
          <w:rFonts w:ascii="仿宋_GB2312" w:hAnsi="仿宋" w:eastAsia="仿宋_GB2312"/>
          <w:sz w:val="32"/>
          <w:szCs w:val="32"/>
        </w:rPr>
        <w:t xml:space="preserve">。 </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开展养老保险、工伤保险、失业保险的参保登记、缴费申报、基金征缴、待遇核定、待遇支付等经办和稽核工作</w:t>
      </w:r>
      <w:r>
        <w:rPr>
          <w:rFonts w:ascii="仿宋_GB2312" w:hAnsi="仿宋" w:eastAsia="仿宋_GB2312"/>
          <w:sz w:val="32"/>
          <w:szCs w:val="32"/>
        </w:rPr>
        <w:t xml:space="preserve">。 </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eastAsia="zh-CN"/>
        </w:rPr>
        <w:t>办理养老保险的关系转移、接续、退休等工作</w:t>
      </w:r>
      <w:r>
        <w:rPr>
          <w:rFonts w:ascii="仿宋_GB2312" w:hAnsi="仿宋" w:eastAsia="仿宋_GB2312"/>
          <w:sz w:val="32"/>
          <w:szCs w:val="32"/>
        </w:rPr>
        <w:t xml:space="preserve">。 </w:t>
      </w:r>
    </w:p>
    <w:p>
      <w:pPr>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eastAsia="zh-CN"/>
        </w:rPr>
        <w:t>开展社保业务咨询查询、政策宣传、信访接待、举报投诉及办理等服务</w:t>
      </w:r>
      <w:r>
        <w:rPr>
          <w:rFonts w:ascii="仿宋_GB2312" w:hAnsi="仿宋" w:eastAsia="仿宋_GB2312"/>
          <w:sz w:val="32"/>
          <w:szCs w:val="32"/>
        </w:rPr>
        <w:t>。</w:t>
      </w:r>
    </w:p>
    <w:p>
      <w:pPr>
        <w:pStyle w:val="2"/>
        <w:rPr>
          <w:rFonts w:hint="eastAsia" w:eastAsia="仿宋_GB2312"/>
          <w:lang w:val="en-US" w:eastAsia="zh-CN"/>
        </w:rPr>
      </w:pPr>
      <w:r>
        <w:rPr>
          <w:rFonts w:hint="eastAsia" w:hAnsi="仿宋"/>
          <w:sz w:val="32"/>
          <w:szCs w:val="32"/>
          <w:lang w:val="en-US" w:eastAsia="zh-CN"/>
        </w:rPr>
        <w:t xml:space="preserve">     （5）完成上级交办的其他任务。</w:t>
      </w:r>
    </w:p>
    <w:p>
      <w:pPr>
        <w:pStyle w:val="4"/>
        <w:rPr>
          <w:rFonts w:ascii="黑体" w:hAnsi="黑体" w:eastAsia="黑体"/>
          <w:b w:val="0"/>
        </w:rPr>
      </w:pPr>
      <w:r>
        <w:rPr>
          <w:rFonts w:hint="eastAsia" w:ascii="黑体" w:hAnsi="黑体" w:eastAsia="黑体"/>
          <w:b w:val="0"/>
        </w:rPr>
        <w:t>二、机构设置</w:t>
      </w:r>
    </w:p>
    <w:p>
      <w:pPr>
        <w:ind w:firstLine="707" w:firstLineChars="221"/>
        <w:rPr>
          <w:rFonts w:ascii="仿宋" w:hAnsi="仿宋" w:eastAsia="仿宋"/>
          <w:sz w:val="32"/>
          <w:szCs w:val="32"/>
        </w:rPr>
      </w:pPr>
      <w:r>
        <w:rPr>
          <w:rFonts w:hint="eastAsia" w:ascii="仿宋" w:hAnsi="仿宋" w:eastAsia="仿宋"/>
          <w:sz w:val="32"/>
          <w:szCs w:val="32"/>
          <w:lang w:eastAsia="zh-CN"/>
        </w:rPr>
        <w:t>峨眉山市社会保险事务中心</w:t>
      </w:r>
      <w:r>
        <w:rPr>
          <w:rFonts w:hint="eastAsia" w:ascii="仿宋" w:hAnsi="仿宋" w:eastAsia="仿宋"/>
          <w:sz w:val="32"/>
          <w:szCs w:val="32"/>
        </w:rPr>
        <w:t>属于</w:t>
      </w:r>
      <w:r>
        <w:rPr>
          <w:rFonts w:hint="eastAsia" w:ascii="仿宋" w:hAnsi="仿宋" w:eastAsia="仿宋"/>
          <w:sz w:val="32"/>
          <w:szCs w:val="32"/>
          <w:lang w:eastAsia="zh-CN"/>
        </w:rPr>
        <w:t>峨眉山市人力资源和社会保障局</w:t>
      </w:r>
      <w:r>
        <w:rPr>
          <w:rFonts w:hint="eastAsia" w:ascii="仿宋" w:hAnsi="仿宋" w:eastAsia="仿宋"/>
          <w:sz w:val="32"/>
          <w:szCs w:val="32"/>
        </w:rPr>
        <w:t>部门下属的二级预算单位，下设独立编制机构</w:t>
      </w:r>
      <w:r>
        <w:rPr>
          <w:rFonts w:hint="eastAsia" w:ascii="仿宋" w:hAnsi="仿宋" w:eastAsia="仿宋"/>
          <w:sz w:val="32"/>
          <w:szCs w:val="32"/>
          <w:lang w:val="en-US" w:eastAsia="zh-CN"/>
        </w:rPr>
        <w:t>1</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1</w:t>
      </w:r>
      <w:r>
        <w:rPr>
          <w:rFonts w:hint="eastAsia" w:ascii="仿宋" w:hAnsi="仿宋" w:eastAsia="仿宋"/>
          <w:sz w:val="32"/>
          <w:szCs w:val="32"/>
        </w:rPr>
        <w:t>个，其他事业机构</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spacing w:before="93"/>
        <w:ind w:firstLine="707" w:firstLineChars="221"/>
        <w:rPr>
          <w:rFonts w:hint="eastAsia" w:ascii="仿宋" w:hAnsi="仿宋" w:eastAsia="仿宋"/>
          <w:kern w:val="2"/>
          <w:sz w:val="32"/>
          <w:szCs w:val="32"/>
          <w:lang w:eastAsia="zh-CN"/>
        </w:rPr>
      </w:pPr>
      <w:r>
        <w:rPr>
          <w:rFonts w:hint="eastAsia" w:ascii="仿宋" w:hAnsi="仿宋" w:eastAsia="仿宋"/>
          <w:color w:val="auto"/>
          <w:kern w:val="2"/>
          <w:sz w:val="32"/>
          <w:szCs w:val="32"/>
          <w:shd w:val="clear" w:color="auto" w:fill="auto"/>
        </w:rPr>
        <w:t>单位内设有</w:t>
      </w:r>
      <w:r>
        <w:rPr>
          <w:rFonts w:hint="eastAsia" w:ascii="仿宋" w:hAnsi="仿宋" w:eastAsia="仿宋"/>
          <w:color w:val="auto"/>
          <w:kern w:val="2"/>
          <w:sz w:val="32"/>
          <w:szCs w:val="32"/>
          <w:shd w:val="clear" w:color="auto" w:fill="auto"/>
          <w:lang w:eastAsia="zh-CN"/>
        </w:rPr>
        <w:t>八</w:t>
      </w:r>
      <w:r>
        <w:rPr>
          <w:rFonts w:hint="eastAsia" w:ascii="仿宋" w:hAnsi="仿宋" w:eastAsia="仿宋"/>
          <w:color w:val="auto"/>
          <w:kern w:val="2"/>
          <w:sz w:val="32"/>
          <w:szCs w:val="32"/>
          <w:shd w:val="clear" w:color="auto" w:fill="auto"/>
        </w:rPr>
        <w:t>个科（股）室</w:t>
      </w:r>
      <w:r>
        <w:rPr>
          <w:rFonts w:hint="eastAsia" w:ascii="仿宋" w:hAnsi="仿宋" w:eastAsia="仿宋"/>
          <w:color w:val="auto"/>
          <w:kern w:val="2"/>
          <w:sz w:val="32"/>
          <w:szCs w:val="32"/>
          <w:shd w:val="clear" w:color="auto" w:fill="auto"/>
          <w:lang w:eastAsia="zh-CN"/>
        </w:rPr>
        <w:t>，参照公务员法管理编制</w:t>
      </w:r>
      <w:r>
        <w:rPr>
          <w:rFonts w:hint="eastAsia" w:ascii="仿宋" w:hAnsi="仿宋" w:eastAsia="仿宋"/>
          <w:color w:val="auto"/>
          <w:kern w:val="2"/>
          <w:sz w:val="32"/>
          <w:szCs w:val="32"/>
          <w:shd w:val="clear" w:color="auto" w:fill="auto"/>
        </w:rPr>
        <w:t>人员</w:t>
      </w:r>
      <w:r>
        <w:rPr>
          <w:rFonts w:hint="eastAsia" w:ascii="仿宋" w:hAnsi="仿宋" w:eastAsia="仿宋"/>
          <w:color w:val="auto"/>
          <w:kern w:val="2"/>
          <w:sz w:val="32"/>
          <w:szCs w:val="32"/>
          <w:shd w:val="clear" w:color="auto" w:fill="auto"/>
          <w:lang w:val="en-US" w:eastAsia="zh-CN"/>
        </w:rPr>
        <w:t>29名。</w:t>
      </w:r>
    </w:p>
    <w:p>
      <w:pPr>
        <w:pStyle w:val="2"/>
        <w:spacing w:before="93"/>
        <w:ind w:firstLine="707" w:firstLineChars="221"/>
        <w:rPr>
          <w:rFonts w:ascii="仿宋" w:hAnsi="仿宋" w:eastAsia="仿宋"/>
          <w:kern w:val="2"/>
          <w:sz w:val="32"/>
          <w:szCs w:val="32"/>
        </w:rPr>
      </w:pPr>
      <w:r>
        <w:rPr>
          <w:rFonts w:hint="eastAsia" w:ascii="仿宋" w:hAnsi="仿宋" w:eastAsia="仿宋"/>
          <w:kern w:val="2"/>
          <w:sz w:val="32"/>
          <w:szCs w:val="32"/>
          <w:lang w:eastAsia="zh-CN"/>
        </w:rPr>
        <w:t>纳</w:t>
      </w:r>
      <w:r>
        <w:rPr>
          <w:rFonts w:hint="eastAsia" w:ascii="仿宋" w:hAnsi="仿宋" w:eastAsia="仿宋"/>
          <w:kern w:val="2"/>
          <w:sz w:val="32"/>
          <w:szCs w:val="32"/>
        </w:rPr>
        <w:t>入2</w:t>
      </w:r>
      <w:r>
        <w:rPr>
          <w:rFonts w:ascii="仿宋" w:hAnsi="仿宋" w:eastAsia="仿宋"/>
          <w:kern w:val="2"/>
          <w:sz w:val="32"/>
          <w:szCs w:val="32"/>
        </w:rPr>
        <w:t>022</w:t>
      </w:r>
      <w:r>
        <w:rPr>
          <w:rFonts w:hint="eastAsia" w:ascii="仿宋" w:hAnsi="仿宋" w:eastAsia="仿宋"/>
          <w:kern w:val="2"/>
          <w:sz w:val="32"/>
          <w:szCs w:val="32"/>
        </w:rPr>
        <w:t>年度单位决算编制范围的独立编制机构包括：</w:t>
      </w:r>
    </w:p>
    <w:p>
      <w:pPr>
        <w:pStyle w:val="2"/>
        <w:spacing w:before="93"/>
        <w:ind w:firstLine="707" w:firstLineChars="221"/>
        <w:rPr>
          <w:rFonts w:ascii="仿宋" w:hAnsi="仿宋" w:eastAsia="仿宋"/>
          <w:sz w:val="32"/>
          <w:szCs w:val="32"/>
        </w:rPr>
      </w:pPr>
      <w:r>
        <w:rPr>
          <w:rFonts w:hint="eastAsia" w:ascii="仿宋" w:hAnsi="仿宋" w:eastAsia="仿宋"/>
          <w:kern w:val="2"/>
          <w:sz w:val="32"/>
          <w:szCs w:val="32"/>
        </w:rPr>
        <w:t>1</w:t>
      </w:r>
      <w:r>
        <w:rPr>
          <w:rFonts w:ascii="仿宋" w:hAnsi="仿宋" w:eastAsia="仿宋"/>
          <w:kern w:val="2"/>
          <w:sz w:val="32"/>
          <w:szCs w:val="32"/>
        </w:rPr>
        <w:t>.</w:t>
      </w:r>
      <w:r>
        <w:rPr>
          <w:rFonts w:hint="eastAsia" w:ascii="仿宋" w:hAnsi="仿宋" w:eastAsia="仿宋"/>
          <w:kern w:val="2"/>
          <w:sz w:val="32"/>
          <w:szCs w:val="32"/>
          <w:lang w:eastAsia="zh-CN"/>
        </w:rPr>
        <w:t>峨眉山市社会保险事务中心</w:t>
      </w:r>
      <w:bookmarkEnd w:id="14"/>
      <w:bookmarkEnd w:id="15"/>
      <w:bookmarkEnd w:id="16"/>
      <w:r>
        <w:rPr>
          <w:rFonts w:ascii="仿宋" w:hAnsi="仿宋" w:eastAsia="仿宋"/>
          <w:sz w:val="32"/>
          <w:szCs w:val="32"/>
        </w:rPr>
        <w:br w:type="page"/>
      </w:r>
    </w:p>
    <w:p>
      <w:pPr>
        <w:pStyle w:val="3"/>
        <w:ind w:right="440"/>
        <w:jc w:val="center"/>
        <w:rPr>
          <w:rStyle w:val="24"/>
          <w:rFonts w:ascii="黑体" w:hAnsi="黑体" w:eastAsia="黑体"/>
          <w:b w:val="0"/>
          <w:bCs/>
        </w:rPr>
      </w:pPr>
      <w:bookmarkStart w:id="17" w:name="_Toc15377204"/>
      <w:bookmarkStart w:id="18"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17"/>
      <w:bookmarkEnd w:id="18"/>
    </w:p>
    <w:p/>
    <w:p>
      <w:pPr>
        <w:pStyle w:val="23"/>
        <w:numPr>
          <w:ilvl w:val="0"/>
          <w:numId w:val="2"/>
        </w:numPr>
        <w:spacing w:line="600" w:lineRule="exact"/>
        <w:ind w:firstLineChars="0"/>
        <w:outlineLvl w:val="1"/>
        <w:rPr>
          <w:rStyle w:val="25"/>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9"/>
      <w:bookmarkEnd w:id="20"/>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16253.77</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2148.53</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2147.76</w:t>
      </w:r>
      <w:r>
        <w:rPr>
          <w:rFonts w:hint="eastAsia" w:ascii="仿宋" w:hAnsi="仿宋" w:eastAsia="仿宋"/>
          <w:sz w:val="32"/>
          <w:szCs w:val="32"/>
        </w:rPr>
        <w:t>，下降</w:t>
      </w:r>
      <w:r>
        <w:rPr>
          <w:rFonts w:hint="eastAsia" w:ascii="仿宋" w:hAnsi="仿宋" w:eastAsia="仿宋"/>
          <w:sz w:val="32"/>
          <w:szCs w:val="32"/>
          <w:lang w:val="en-US" w:eastAsia="zh-CN"/>
        </w:rPr>
        <w:t>20.91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20.90%</w:t>
      </w:r>
      <w:r>
        <w:rPr>
          <w:rFonts w:hint="eastAsia" w:ascii="仿宋" w:hAnsi="仿宋" w:eastAsia="仿宋"/>
          <w:sz w:val="32"/>
          <w:szCs w:val="32"/>
        </w:rPr>
        <w:t>。主要变动原因是</w:t>
      </w:r>
      <w:r>
        <w:rPr>
          <w:rFonts w:hint="eastAsia" w:ascii="仿宋" w:hAnsi="仿宋" w:eastAsia="仿宋"/>
          <w:color w:val="000000"/>
          <w:sz w:val="32"/>
          <w:szCs w:val="32"/>
          <w:lang w:eastAsia="zh-CN"/>
        </w:rPr>
        <w:t>代发项目收支总金额比上一年度有所减少</w:t>
      </w:r>
      <w:r>
        <w:rPr>
          <w:rFonts w:hint="eastAsia" w:ascii="仿宋" w:hAnsi="仿宋" w:eastAsia="仿宋"/>
          <w:sz w:val="32"/>
          <w:szCs w:val="32"/>
        </w:rPr>
        <w:t>。</w:t>
      </w:r>
    </w:p>
    <w:p>
      <w:pPr>
        <w:pStyle w:val="2"/>
        <w:rPr>
          <w:rFonts w:hint="eastAsia" w:eastAsia="仿宋"/>
          <w:lang w:eastAsia="zh-CN"/>
        </w:rPr>
      </w:pPr>
      <w:r>
        <w:rPr>
          <w:rFonts w:hint="eastAsia" w:eastAsia="仿宋"/>
          <w:lang w:eastAsia="zh-CN"/>
        </w:rPr>
        <w:drawing>
          <wp:inline distT="0" distB="0" distL="114300" distR="114300">
            <wp:extent cx="5222875" cy="2924810"/>
            <wp:effectExtent l="4445" t="4445" r="11430"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1" w:name="_Toc15377206"/>
      <w:bookmarkStart w:id="22" w:name="_Toc15396604"/>
      <w:r>
        <w:rPr>
          <w:rFonts w:hint="eastAsia" w:ascii="黑体" w:hAnsi="黑体" w:eastAsia="黑体"/>
          <w:sz w:val="32"/>
          <w:szCs w:val="32"/>
        </w:rPr>
        <w:t>收</w:t>
      </w:r>
      <w:r>
        <w:rPr>
          <w:rStyle w:val="25"/>
          <w:rFonts w:hint="eastAsia" w:ascii="黑体" w:hAnsi="黑体" w:eastAsia="黑体"/>
          <w:b w:val="0"/>
        </w:rPr>
        <w:t>入决算情况说明</w:t>
      </w:r>
      <w:bookmarkEnd w:id="21"/>
      <w:bookmarkEnd w:id="22"/>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8125.96</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6784.96</w:t>
      </w:r>
      <w:r>
        <w:rPr>
          <w:rFonts w:hint="eastAsia" w:ascii="仿宋" w:hAnsi="仿宋" w:eastAsia="仿宋"/>
          <w:sz w:val="32"/>
          <w:szCs w:val="32"/>
        </w:rPr>
        <w:t>万元，占</w:t>
      </w:r>
      <w:r>
        <w:rPr>
          <w:rFonts w:hint="eastAsia" w:ascii="仿宋" w:hAnsi="仿宋" w:eastAsia="仿宋"/>
          <w:sz w:val="32"/>
          <w:szCs w:val="32"/>
          <w:lang w:val="en-US" w:eastAsia="zh-CN"/>
        </w:rPr>
        <w:t>83.50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1341.00</w:t>
      </w:r>
      <w:r>
        <w:rPr>
          <w:rFonts w:hint="eastAsia" w:ascii="仿宋" w:hAnsi="仿宋" w:eastAsia="仿宋"/>
          <w:sz w:val="32"/>
          <w:szCs w:val="32"/>
        </w:rPr>
        <w:t>万元，占</w:t>
      </w:r>
      <w:r>
        <w:rPr>
          <w:rFonts w:hint="eastAsia" w:ascii="仿宋" w:hAnsi="仿宋" w:eastAsia="仿宋"/>
          <w:sz w:val="32"/>
          <w:szCs w:val="32"/>
          <w:lang w:val="en-US" w:eastAsia="zh-CN"/>
        </w:rPr>
        <w:t>16.50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rPr>
          <w:rFonts w:hint="eastAsia" w:eastAsia="仿宋"/>
          <w:lang w:eastAsia="zh-CN"/>
        </w:rPr>
      </w:pPr>
      <w:r>
        <w:rPr>
          <w:rFonts w:hint="eastAsia" w:eastAsia="仿宋"/>
          <w:lang w:eastAsia="zh-CN"/>
        </w:rPr>
        <w:drawing>
          <wp:inline distT="0" distB="0" distL="114300" distR="114300">
            <wp:extent cx="5232400" cy="2668905"/>
            <wp:effectExtent l="4445" t="4445" r="20955" b="1270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3" w:name="_Toc15396605"/>
      <w:bookmarkStart w:id="24" w:name="_Toc15377207"/>
      <w:r>
        <w:rPr>
          <w:rFonts w:hint="eastAsia" w:ascii="黑体" w:hAnsi="黑体" w:eastAsia="黑体"/>
          <w:sz w:val="32"/>
          <w:szCs w:val="32"/>
        </w:rPr>
        <w:t>支</w:t>
      </w:r>
      <w:r>
        <w:rPr>
          <w:rStyle w:val="25"/>
          <w:rFonts w:hint="eastAsia" w:ascii="黑体" w:hAnsi="黑体" w:eastAsia="黑体"/>
          <w:b w:val="0"/>
        </w:rPr>
        <w:t>出决算情况说明</w:t>
      </w:r>
      <w:bookmarkEnd w:id="23"/>
      <w:bookmarkEnd w:id="24"/>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8127.81</w:t>
      </w:r>
      <w:r>
        <w:rPr>
          <w:rFonts w:hint="eastAsia" w:ascii="仿宋" w:hAnsi="仿宋" w:eastAsia="仿宋"/>
          <w:sz w:val="32"/>
          <w:szCs w:val="32"/>
        </w:rPr>
        <w:t>万元，其中：基本支出</w:t>
      </w:r>
      <w:r>
        <w:rPr>
          <w:rFonts w:hint="eastAsia" w:ascii="仿宋" w:hAnsi="仿宋" w:eastAsia="仿宋"/>
          <w:sz w:val="32"/>
          <w:szCs w:val="32"/>
          <w:lang w:val="en-US" w:eastAsia="zh-CN"/>
        </w:rPr>
        <w:t>627.48</w:t>
      </w:r>
      <w:r>
        <w:rPr>
          <w:rFonts w:hint="eastAsia" w:ascii="仿宋" w:hAnsi="仿宋" w:eastAsia="仿宋"/>
          <w:sz w:val="32"/>
          <w:szCs w:val="32"/>
        </w:rPr>
        <w:t>万元，占</w:t>
      </w:r>
      <w:r>
        <w:rPr>
          <w:rFonts w:hint="eastAsia" w:ascii="仿宋" w:hAnsi="仿宋" w:eastAsia="仿宋"/>
          <w:sz w:val="32"/>
          <w:szCs w:val="32"/>
          <w:lang w:val="en-US" w:eastAsia="zh-CN"/>
        </w:rPr>
        <w:t>7.72</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7500.33</w:t>
      </w:r>
      <w:r>
        <w:rPr>
          <w:rFonts w:hint="eastAsia" w:ascii="仿宋" w:hAnsi="仿宋" w:eastAsia="仿宋"/>
          <w:sz w:val="32"/>
          <w:szCs w:val="32"/>
        </w:rPr>
        <w:t>万元，占</w:t>
      </w:r>
      <w:r>
        <w:rPr>
          <w:rFonts w:hint="eastAsia" w:ascii="仿宋" w:hAnsi="仿宋" w:eastAsia="仿宋"/>
          <w:sz w:val="32"/>
          <w:szCs w:val="32"/>
          <w:lang w:val="en-US" w:eastAsia="zh-CN"/>
        </w:rPr>
        <w:t>92.28</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rPr>
          <w:rFonts w:ascii="仿宋" w:hAnsi="仿宋" w:eastAsia="仿宋"/>
          <w:sz w:val="32"/>
          <w:szCs w:val="32"/>
          <w:shd w:val="pct10" w:color="auto" w:fill="FFFFFF"/>
        </w:rPr>
      </w:pPr>
      <w:r>
        <w:rPr>
          <w:rFonts w:hint="eastAsia" w:ascii="仿宋" w:hAnsi="仿宋" w:eastAsia="仿宋"/>
          <w:sz w:val="32"/>
          <w:szCs w:val="32"/>
          <w:lang w:eastAsia="zh-CN"/>
        </w:rPr>
        <w:drawing>
          <wp:inline distT="0" distB="0" distL="114300" distR="114300">
            <wp:extent cx="5214620" cy="2628900"/>
            <wp:effectExtent l="4445" t="4445" r="1968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25"/>
          <w:rFonts w:ascii="黑体" w:hAnsi="黑体" w:eastAsia="黑体"/>
          <w:b w:val="0"/>
        </w:rPr>
      </w:pPr>
      <w:bookmarkStart w:id="25" w:name="_Toc15396606"/>
      <w:bookmarkStart w:id="26"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5"/>
      <w:bookmarkEnd w:id="26"/>
    </w:p>
    <w:p>
      <w:pPr>
        <w:spacing w:line="600" w:lineRule="exact"/>
        <w:ind w:firstLine="640"/>
        <w:rPr>
          <w:rFonts w:ascii="仿宋" w:hAnsi="仿宋" w:eastAsia="仿宋"/>
          <w:sz w:val="32"/>
          <w:szCs w:val="32"/>
          <w:lang w:val="en-US"/>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16253.77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2148.53</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2147.23万元</w:t>
      </w:r>
      <w:r>
        <w:rPr>
          <w:rFonts w:hint="eastAsia" w:ascii="仿宋" w:hAnsi="仿宋" w:eastAsia="仿宋"/>
          <w:sz w:val="32"/>
          <w:szCs w:val="32"/>
        </w:rPr>
        <w:t>，下降</w:t>
      </w:r>
      <w:r>
        <w:rPr>
          <w:rFonts w:hint="eastAsia" w:ascii="仿宋" w:hAnsi="仿宋" w:eastAsia="仿宋"/>
          <w:sz w:val="32"/>
          <w:szCs w:val="32"/>
          <w:lang w:val="en-US" w:eastAsia="zh-CN"/>
        </w:rPr>
        <w:t>20.91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20.90%</w:t>
      </w:r>
      <w:r>
        <w:rPr>
          <w:rFonts w:hint="eastAsia" w:ascii="仿宋" w:hAnsi="仿宋" w:eastAsia="仿宋"/>
          <w:sz w:val="32"/>
          <w:szCs w:val="32"/>
        </w:rPr>
        <w:t>。主要变动原因是</w:t>
      </w:r>
      <w:r>
        <w:rPr>
          <w:rFonts w:hint="eastAsia" w:ascii="仿宋" w:hAnsi="仿宋" w:eastAsia="仿宋"/>
          <w:color w:val="000000"/>
          <w:sz w:val="32"/>
          <w:szCs w:val="32"/>
          <w:lang w:eastAsia="zh-CN"/>
        </w:rPr>
        <w:t>代发项目收支总金额比上一年度有所减少。</w:t>
      </w:r>
    </w:p>
    <w:p>
      <w:pPr>
        <w:pStyle w:val="2"/>
        <w:rPr>
          <w:rFonts w:hint="eastAsia" w:ascii="黑体" w:hAnsi="黑体" w:eastAsia="黑体"/>
          <w:sz w:val="32"/>
          <w:szCs w:val="32"/>
          <w:lang w:eastAsia="zh-CN"/>
        </w:rPr>
      </w:pPr>
      <w:bookmarkStart w:id="27" w:name="_Toc15396607"/>
      <w:bookmarkStart w:id="28" w:name="_Toc15377209"/>
      <w:r>
        <w:rPr>
          <w:rFonts w:hint="eastAsia" w:ascii="黑体" w:hAnsi="黑体" w:eastAsia="黑体"/>
          <w:sz w:val="32"/>
          <w:szCs w:val="32"/>
          <w:lang w:eastAsia="zh-CN"/>
        </w:rPr>
        <w:drawing>
          <wp:inline distT="0" distB="0" distL="114300" distR="114300">
            <wp:extent cx="5186045" cy="2867660"/>
            <wp:effectExtent l="4445" t="4445" r="10160" b="2349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7"/>
      <w:bookmarkEnd w:id="28"/>
    </w:p>
    <w:p>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 w:hAnsi="仿宋" w:eastAsia="仿宋"/>
          <w:color w:val="000000"/>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6786.81</w:t>
      </w:r>
      <w:r>
        <w:rPr>
          <w:rFonts w:hint="eastAsia" w:ascii="仿宋" w:hAnsi="仿宋" w:eastAsia="仿宋"/>
          <w:sz w:val="32"/>
          <w:szCs w:val="32"/>
        </w:rPr>
        <w:t>万元，占本年支出合计的</w:t>
      </w:r>
      <w:r>
        <w:rPr>
          <w:rFonts w:hint="eastAsia" w:ascii="仿宋" w:hAnsi="仿宋" w:eastAsia="仿宋"/>
          <w:sz w:val="32"/>
          <w:szCs w:val="32"/>
          <w:lang w:val="en-US" w:eastAsia="zh-CN"/>
        </w:rPr>
        <w:t>83.52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1045.70</w:t>
      </w:r>
      <w:r>
        <w:rPr>
          <w:rFonts w:hint="eastAsia" w:ascii="仿宋" w:hAnsi="仿宋" w:eastAsia="仿宋"/>
          <w:sz w:val="32"/>
          <w:szCs w:val="32"/>
        </w:rPr>
        <w:t>万元，下降</w:t>
      </w:r>
      <w:r>
        <w:rPr>
          <w:rFonts w:hint="eastAsia" w:ascii="仿宋" w:hAnsi="仿宋" w:eastAsia="仿宋"/>
          <w:sz w:val="32"/>
          <w:szCs w:val="32"/>
          <w:lang w:val="en-US" w:eastAsia="zh-CN"/>
        </w:rPr>
        <w:t>13.35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lang w:eastAsia="zh-CN"/>
        </w:rPr>
        <w:t>代发项目收支总金额比上一年度有所减少。</w:t>
      </w:r>
    </w:p>
    <w:p>
      <w:pPr>
        <w:pStyle w:val="2"/>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292090" cy="2611755"/>
            <wp:effectExtent l="4445" t="4445" r="18415" b="1270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6786.81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lang w:eastAsia="zh-CN"/>
        </w:rPr>
        <w:t>社会保障和就业支出</w:t>
      </w:r>
      <w:r>
        <w:rPr>
          <w:rFonts w:hint="eastAsia" w:ascii="仿宋" w:hAnsi="仿宋" w:eastAsia="仿宋"/>
          <w:b/>
          <w:sz w:val="32"/>
          <w:szCs w:val="32"/>
          <w:lang w:val="en-US" w:eastAsia="zh-CN"/>
        </w:rPr>
        <w:t>6733.27</w:t>
      </w:r>
      <w:r>
        <w:rPr>
          <w:rFonts w:hint="eastAsia" w:ascii="仿宋" w:hAnsi="仿宋" w:eastAsia="仿宋"/>
          <w:sz w:val="32"/>
          <w:szCs w:val="32"/>
        </w:rPr>
        <w:t>万元，占</w:t>
      </w:r>
      <w:r>
        <w:rPr>
          <w:rFonts w:hint="eastAsia" w:ascii="仿宋" w:hAnsi="仿宋" w:eastAsia="仿宋"/>
          <w:sz w:val="32"/>
          <w:szCs w:val="32"/>
          <w:lang w:val="en-US" w:eastAsia="zh-CN"/>
        </w:rPr>
        <w:t>99.21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lang w:eastAsia="zh-CN"/>
        </w:rPr>
        <w:t>卫生健康支出</w:t>
      </w:r>
      <w:r>
        <w:rPr>
          <w:rFonts w:hint="eastAsia" w:ascii="仿宋" w:hAnsi="仿宋" w:eastAsia="仿宋"/>
          <w:b/>
          <w:sz w:val="32"/>
          <w:szCs w:val="32"/>
          <w:lang w:val="en-US" w:eastAsia="zh-CN"/>
        </w:rPr>
        <w:t>12.52</w:t>
      </w:r>
      <w:r>
        <w:rPr>
          <w:rFonts w:hint="eastAsia" w:ascii="仿宋" w:hAnsi="仿宋" w:eastAsia="仿宋"/>
          <w:sz w:val="32"/>
          <w:szCs w:val="32"/>
        </w:rPr>
        <w:t>万元，占</w:t>
      </w:r>
      <w:r>
        <w:rPr>
          <w:rFonts w:hint="eastAsia" w:ascii="仿宋" w:hAnsi="仿宋" w:eastAsia="仿宋"/>
          <w:sz w:val="32"/>
          <w:szCs w:val="32"/>
          <w:lang w:val="en-US" w:eastAsia="zh-CN"/>
        </w:rPr>
        <w:t>0.18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lang w:eastAsia="zh-CN"/>
        </w:rPr>
        <w:t>住房保障</w:t>
      </w:r>
      <w:r>
        <w:rPr>
          <w:rFonts w:hint="eastAsia" w:ascii="仿宋" w:hAnsi="仿宋" w:eastAsia="仿宋"/>
          <w:b/>
          <w:bCs/>
          <w:sz w:val="32"/>
          <w:szCs w:val="32"/>
        </w:rPr>
        <w:t>支出</w:t>
      </w:r>
      <w:r>
        <w:rPr>
          <w:rFonts w:hint="eastAsia" w:ascii="仿宋" w:hAnsi="仿宋" w:eastAsia="仿宋"/>
          <w:b/>
          <w:bCs/>
          <w:sz w:val="32"/>
          <w:szCs w:val="32"/>
          <w:lang w:val="en-US" w:eastAsia="zh-CN"/>
        </w:rPr>
        <w:t>41.02</w:t>
      </w:r>
      <w:r>
        <w:rPr>
          <w:rFonts w:hint="eastAsia" w:ascii="仿宋" w:hAnsi="仿宋" w:eastAsia="仿宋"/>
          <w:sz w:val="32"/>
          <w:szCs w:val="32"/>
        </w:rPr>
        <w:t>万元，占</w:t>
      </w:r>
      <w:r>
        <w:rPr>
          <w:rFonts w:hint="eastAsia" w:ascii="仿宋" w:hAnsi="仿宋" w:eastAsia="仿宋"/>
          <w:sz w:val="32"/>
          <w:szCs w:val="32"/>
          <w:lang w:val="en-US" w:eastAsia="zh-CN"/>
        </w:rPr>
        <w:t>0.61</w:t>
      </w:r>
      <w:r>
        <w:rPr>
          <w:rFonts w:ascii="仿宋" w:hAnsi="仿宋" w:eastAsia="仿宋"/>
          <w:sz w:val="32"/>
          <w:szCs w:val="32"/>
        </w:rPr>
        <w:t>%</w:t>
      </w:r>
      <w:r>
        <w:rPr>
          <w:rFonts w:hint="eastAsia" w:ascii="仿宋" w:hAnsi="仿宋" w:eastAsia="仿宋"/>
          <w:sz w:val="32"/>
          <w:szCs w:val="32"/>
        </w:rPr>
        <w:t>。</w:t>
      </w:r>
    </w:p>
    <w:p>
      <w:pPr>
        <w:pStyle w:val="2"/>
        <w:rPr>
          <w:rFonts w:hint="eastAsia" w:eastAsia="仿宋"/>
          <w:lang w:eastAsia="zh-CN"/>
        </w:rPr>
      </w:pPr>
      <w:r>
        <w:rPr>
          <w:rFonts w:hint="eastAsia" w:eastAsia="仿宋"/>
          <w:lang w:eastAsia="zh-CN"/>
        </w:rPr>
        <w:drawing>
          <wp:inline distT="0" distB="0" distL="114300" distR="114300">
            <wp:extent cx="5260340" cy="2934970"/>
            <wp:effectExtent l="4445" t="4445" r="12065" b="1333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pPr>
        <w:spacing w:line="600" w:lineRule="exact"/>
        <w:ind w:firstLine="643" w:firstLineChars="200"/>
        <w:outlineLvl w:val="2"/>
        <w:rPr>
          <w:rFonts w:ascii="仿宋" w:hAnsi="仿宋" w:eastAsia="仿宋"/>
          <w:sz w:val="32"/>
          <w:szCs w:val="32"/>
        </w:rPr>
      </w:pPr>
      <w:bookmarkStart w:id="32" w:name="_Toc15377213"/>
      <w:bookmarkStart w:id="33" w:name="_Toc15377444"/>
      <w:bookmarkStart w:id="34"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6786.81</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2"/>
      <w:bookmarkEnd w:id="33"/>
      <w:bookmarkEnd w:id="34"/>
    </w:p>
    <w:p>
      <w:pPr>
        <w:numPr>
          <w:ilvl w:val="0"/>
          <w:numId w:val="3"/>
        </w:num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rPr>
        <w:t>社会保障和就业</w:t>
      </w:r>
      <w:r>
        <w:rPr>
          <w:rStyle w:val="14"/>
          <w:rFonts w:hint="eastAsia" w:ascii="仿宋" w:hAnsi="仿宋" w:eastAsia="仿宋"/>
          <w:bCs/>
          <w:sz w:val="32"/>
          <w:szCs w:val="32"/>
          <w:lang w:eastAsia="zh-CN"/>
        </w:rPr>
        <w:t>支出</w:t>
      </w:r>
      <w:r>
        <w:rPr>
          <w:rStyle w:val="14"/>
          <w:rFonts w:hint="eastAsia" w:ascii="仿宋" w:hAnsi="仿宋" w:eastAsia="仿宋"/>
          <w:bCs/>
          <w:sz w:val="32"/>
          <w:szCs w:val="32"/>
        </w:rPr>
        <w:t>（类）</w:t>
      </w:r>
      <w:r>
        <w:rPr>
          <w:rStyle w:val="14"/>
          <w:rFonts w:hint="eastAsia" w:ascii="仿宋" w:hAnsi="仿宋" w:eastAsia="仿宋"/>
          <w:bCs/>
          <w:sz w:val="32"/>
          <w:szCs w:val="32"/>
          <w:lang w:eastAsia="zh-CN"/>
        </w:rPr>
        <w:t>人力资源和社会保障管理事务</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社会保险经办机构</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1172.76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numPr>
          <w:ilvl w:val="0"/>
          <w:numId w:val="0"/>
        </w:numPr>
        <w:spacing w:line="600" w:lineRule="exact"/>
        <w:ind w:firstLine="420" w:firstLineChars="200"/>
        <w:rPr>
          <w:rStyle w:val="14"/>
          <w:rFonts w:hint="eastAsia" w:ascii="仿宋" w:hAnsi="仿宋" w:eastAsia="仿宋"/>
          <w:b w:val="0"/>
          <w:bCs/>
          <w:sz w:val="32"/>
          <w:szCs w:val="32"/>
        </w:rPr>
      </w:pPr>
      <w:r>
        <w:rPr>
          <w:rFonts w:hint="eastAsia"/>
          <w:lang w:val="en-US" w:eastAsia="zh-CN"/>
        </w:rPr>
        <w:t xml:space="preserve">   </w:t>
      </w:r>
      <w:r>
        <w:rPr>
          <w:rStyle w:val="14"/>
          <w:rFonts w:hint="eastAsia" w:ascii="仿宋" w:hAnsi="仿宋" w:eastAsia="仿宋"/>
          <w:bCs/>
          <w:sz w:val="32"/>
          <w:szCs w:val="32"/>
        </w:rPr>
        <w:t>社会保障和就业</w:t>
      </w:r>
      <w:r>
        <w:rPr>
          <w:rStyle w:val="14"/>
          <w:rFonts w:hint="eastAsia" w:ascii="仿宋" w:hAnsi="仿宋" w:eastAsia="仿宋"/>
          <w:bCs/>
          <w:sz w:val="32"/>
          <w:szCs w:val="32"/>
          <w:lang w:eastAsia="zh-CN"/>
        </w:rPr>
        <w:t>支出</w:t>
      </w:r>
      <w:r>
        <w:rPr>
          <w:rStyle w:val="14"/>
          <w:rFonts w:hint="eastAsia" w:ascii="仿宋" w:hAnsi="仿宋" w:eastAsia="仿宋"/>
          <w:bCs/>
          <w:sz w:val="32"/>
          <w:szCs w:val="32"/>
        </w:rPr>
        <w:t>（类）</w:t>
      </w:r>
      <w:r>
        <w:rPr>
          <w:rStyle w:val="14"/>
          <w:rFonts w:hint="eastAsia" w:ascii="仿宋" w:hAnsi="仿宋" w:eastAsia="仿宋"/>
          <w:bCs/>
          <w:sz w:val="32"/>
          <w:szCs w:val="32"/>
          <w:lang w:eastAsia="zh-CN"/>
        </w:rPr>
        <w:t>人力资源和社会保障管理事务</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事业运行</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1.85</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numPr>
          <w:ilvl w:val="0"/>
          <w:numId w:val="0"/>
        </w:numPr>
        <w:spacing w:line="600" w:lineRule="exact"/>
        <w:rPr>
          <w:rStyle w:val="14"/>
          <w:rFonts w:hint="eastAsia" w:ascii="仿宋" w:hAnsi="仿宋" w:eastAsia="仿宋"/>
          <w:b w:val="0"/>
          <w:bCs/>
          <w:sz w:val="32"/>
          <w:szCs w:val="32"/>
          <w:lang w:val="en-US" w:eastAsia="zh-CN"/>
        </w:rPr>
      </w:pPr>
      <w:r>
        <w:rPr>
          <w:rStyle w:val="14"/>
          <w:rFonts w:hint="eastAsia" w:ascii="仿宋" w:hAnsi="仿宋" w:eastAsia="仿宋"/>
          <w:b w:val="0"/>
          <w:bCs/>
          <w:sz w:val="32"/>
          <w:szCs w:val="32"/>
          <w:lang w:val="en-US" w:eastAsia="zh-CN"/>
        </w:rPr>
        <w:t xml:space="preserve">     </w:t>
      </w:r>
      <w:r>
        <w:rPr>
          <w:rStyle w:val="14"/>
          <w:rFonts w:hint="eastAsia" w:ascii="仿宋" w:hAnsi="仿宋" w:eastAsia="仿宋"/>
          <w:bCs/>
          <w:sz w:val="32"/>
          <w:szCs w:val="32"/>
        </w:rPr>
        <w:t>社会保障和就业</w:t>
      </w:r>
      <w:r>
        <w:rPr>
          <w:rStyle w:val="14"/>
          <w:rFonts w:hint="eastAsia" w:ascii="仿宋" w:hAnsi="仿宋" w:eastAsia="仿宋"/>
          <w:bCs/>
          <w:sz w:val="32"/>
          <w:szCs w:val="32"/>
          <w:lang w:eastAsia="zh-CN"/>
        </w:rPr>
        <w:t>支出</w:t>
      </w:r>
      <w:r>
        <w:rPr>
          <w:rStyle w:val="14"/>
          <w:rFonts w:hint="eastAsia" w:ascii="仿宋" w:hAnsi="仿宋" w:eastAsia="仿宋"/>
          <w:bCs/>
          <w:sz w:val="32"/>
          <w:szCs w:val="32"/>
        </w:rPr>
        <w:t>（类）</w:t>
      </w:r>
      <w:r>
        <w:rPr>
          <w:rStyle w:val="14"/>
          <w:rFonts w:hint="eastAsia" w:ascii="仿宋" w:hAnsi="仿宋" w:eastAsia="仿宋"/>
          <w:bCs/>
          <w:sz w:val="32"/>
          <w:szCs w:val="32"/>
          <w:lang w:eastAsia="zh-CN"/>
        </w:rPr>
        <w:t>行政事业单位养老支出</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机关事业单位基本养老保险缴费支出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32.36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pStyle w:val="2"/>
        <w:numPr>
          <w:ilvl w:val="0"/>
          <w:numId w:val="0"/>
        </w:numPr>
        <w:ind w:firstLine="600"/>
        <w:rPr>
          <w:rStyle w:val="14"/>
          <w:rFonts w:hint="eastAsia" w:ascii="仿宋" w:hAnsi="仿宋" w:eastAsia="仿宋"/>
          <w:b w:val="0"/>
          <w:bCs/>
          <w:sz w:val="32"/>
          <w:szCs w:val="32"/>
        </w:rPr>
      </w:pPr>
      <w:r>
        <w:rPr>
          <w:rStyle w:val="14"/>
          <w:rFonts w:hint="eastAsia" w:ascii="仿宋" w:hAnsi="仿宋" w:eastAsia="仿宋"/>
          <w:bCs/>
          <w:sz w:val="32"/>
          <w:szCs w:val="32"/>
        </w:rPr>
        <w:t>社会保障和就业</w:t>
      </w:r>
      <w:r>
        <w:rPr>
          <w:rStyle w:val="14"/>
          <w:rFonts w:hint="eastAsia" w:ascii="仿宋" w:hAnsi="仿宋" w:eastAsia="仿宋"/>
          <w:bCs/>
          <w:sz w:val="32"/>
          <w:szCs w:val="32"/>
          <w:lang w:eastAsia="zh-CN"/>
        </w:rPr>
        <w:t>支出</w:t>
      </w:r>
      <w:r>
        <w:rPr>
          <w:rStyle w:val="14"/>
          <w:rFonts w:hint="eastAsia" w:ascii="仿宋" w:hAnsi="仿宋" w:eastAsia="仿宋"/>
          <w:bCs/>
          <w:sz w:val="32"/>
          <w:szCs w:val="32"/>
        </w:rPr>
        <w:t>（类）</w:t>
      </w:r>
      <w:r>
        <w:rPr>
          <w:rStyle w:val="14"/>
          <w:rFonts w:hint="eastAsia" w:ascii="仿宋" w:hAnsi="仿宋" w:eastAsia="仿宋"/>
          <w:bCs/>
          <w:sz w:val="32"/>
          <w:szCs w:val="32"/>
          <w:lang w:eastAsia="zh-CN"/>
        </w:rPr>
        <w:t>行政事业单位养老支出</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机关事业单位职业年金缴费支出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16.18</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pStyle w:val="2"/>
        <w:numPr>
          <w:ilvl w:val="0"/>
          <w:numId w:val="0"/>
        </w:numPr>
        <w:ind w:firstLine="600"/>
        <w:rPr>
          <w:rStyle w:val="14"/>
          <w:rFonts w:hint="eastAsia" w:ascii="仿宋" w:hAnsi="仿宋" w:eastAsia="仿宋"/>
          <w:b w:val="0"/>
          <w:bCs/>
          <w:sz w:val="32"/>
          <w:szCs w:val="32"/>
          <w:lang w:val="en-US" w:eastAsia="zh-CN"/>
        </w:rPr>
      </w:pPr>
      <w:r>
        <w:rPr>
          <w:rStyle w:val="14"/>
          <w:rFonts w:hint="eastAsia" w:ascii="仿宋" w:hAnsi="仿宋" w:eastAsia="仿宋"/>
          <w:bCs/>
          <w:sz w:val="32"/>
          <w:szCs w:val="32"/>
        </w:rPr>
        <w:t>社会保障和就业</w:t>
      </w:r>
      <w:r>
        <w:rPr>
          <w:rStyle w:val="14"/>
          <w:rFonts w:hint="eastAsia" w:ascii="仿宋" w:hAnsi="仿宋" w:eastAsia="仿宋"/>
          <w:bCs/>
          <w:sz w:val="32"/>
          <w:szCs w:val="32"/>
          <w:lang w:eastAsia="zh-CN"/>
        </w:rPr>
        <w:t>支出</w:t>
      </w:r>
      <w:r>
        <w:rPr>
          <w:rStyle w:val="14"/>
          <w:rFonts w:hint="eastAsia" w:ascii="仿宋" w:hAnsi="仿宋" w:eastAsia="仿宋"/>
          <w:bCs/>
          <w:sz w:val="32"/>
          <w:szCs w:val="32"/>
        </w:rPr>
        <w:t>（类）</w:t>
      </w:r>
      <w:r>
        <w:rPr>
          <w:rStyle w:val="14"/>
          <w:rFonts w:hint="eastAsia" w:ascii="仿宋" w:hAnsi="仿宋" w:eastAsia="仿宋"/>
          <w:bCs/>
          <w:sz w:val="32"/>
          <w:szCs w:val="32"/>
          <w:lang w:eastAsia="zh-CN"/>
        </w:rPr>
        <w:t>其他社会保障和就业支出</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其他社会保障和就业支出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5510.12</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w:t>
      </w:r>
      <w:r>
        <w:rPr>
          <w:rStyle w:val="14"/>
          <w:rFonts w:hint="eastAsia" w:ascii="仿宋" w:hAnsi="仿宋" w:eastAsia="仿宋"/>
          <w:bCs/>
          <w:sz w:val="32"/>
          <w:szCs w:val="32"/>
          <w:lang w:eastAsia="zh-CN"/>
        </w:rPr>
        <w:t>行政事业单位医疗</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行政单位医疗</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12.52</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3、</w:t>
      </w:r>
      <w:r>
        <w:rPr>
          <w:rStyle w:val="14"/>
          <w:rFonts w:hint="eastAsia" w:ascii="仿宋" w:hAnsi="仿宋" w:eastAsia="仿宋"/>
          <w:bCs/>
          <w:sz w:val="32"/>
          <w:szCs w:val="32"/>
          <w:lang w:eastAsia="zh-CN"/>
        </w:rPr>
        <w:t>住房保障支出</w:t>
      </w:r>
      <w:r>
        <w:rPr>
          <w:rStyle w:val="14"/>
          <w:rFonts w:hint="eastAsia" w:ascii="仿宋" w:hAnsi="仿宋" w:eastAsia="仿宋"/>
          <w:bCs/>
          <w:sz w:val="32"/>
          <w:szCs w:val="32"/>
        </w:rPr>
        <w:t>（类）</w:t>
      </w:r>
      <w:r>
        <w:rPr>
          <w:rStyle w:val="14"/>
          <w:rFonts w:hint="eastAsia" w:ascii="仿宋" w:hAnsi="仿宋" w:eastAsia="仿宋"/>
          <w:bCs/>
          <w:sz w:val="32"/>
          <w:szCs w:val="32"/>
          <w:lang w:eastAsia="zh-CN"/>
        </w:rPr>
        <w:t>住房改革支出</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住房公积金</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41.02</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35" w:name="_Toc15377214"/>
      <w:bookmarkStart w:id="3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5"/>
      <w:bookmarkEnd w:id="36"/>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621.08</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548.63</w:t>
      </w:r>
      <w:r>
        <w:rPr>
          <w:rFonts w:hint="eastAsia" w:ascii="仿宋" w:hAnsi="仿宋" w:eastAsia="仿宋"/>
          <w:sz w:val="32"/>
          <w:szCs w:val="32"/>
        </w:rPr>
        <w:t>万元，主要包括：基本工资、津贴补贴、奖金、机关事业单位基本养老保险缴费、职业年金缴费、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其他社会保障缴费、住房公积金</w:t>
      </w:r>
      <w:r>
        <w:rPr>
          <w:rFonts w:hint="eastAsia" w:ascii="仿宋" w:hAnsi="仿宋" w:eastAsia="仿宋"/>
          <w:sz w:val="32"/>
          <w:szCs w:val="32"/>
          <w:lang w:eastAsia="zh-CN"/>
        </w:rPr>
        <w:t>、</w:t>
      </w:r>
      <w:r>
        <w:rPr>
          <w:rFonts w:hint="eastAsia" w:ascii="仿宋" w:hAnsi="仿宋" w:eastAsia="仿宋"/>
          <w:sz w:val="32"/>
          <w:szCs w:val="32"/>
        </w:rPr>
        <w:t>其他工资福利支出、生活补助、奖励金等。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72.45</w:t>
      </w:r>
      <w:r>
        <w:rPr>
          <w:rFonts w:hint="eastAsia" w:ascii="仿宋" w:hAnsi="仿宋" w:eastAsia="仿宋"/>
          <w:sz w:val="32"/>
          <w:szCs w:val="32"/>
        </w:rPr>
        <w:t>万元，主要包括：办公费、印刷费、手续费、水费、电费、邮电费、物业管理费、差旅费、维修（护）费、公务接待费、委托业务费、工会经费、其他交通费、其他商品和服务支出等。</w:t>
      </w:r>
    </w:p>
    <w:p>
      <w:pPr>
        <w:spacing w:line="600" w:lineRule="exact"/>
        <w:ind w:firstLine="640"/>
        <w:outlineLvl w:val="1"/>
        <w:rPr>
          <w:rStyle w:val="25"/>
          <w:rFonts w:ascii="黑体" w:hAnsi="黑体" w:eastAsia="黑体"/>
          <w:b w:val="0"/>
        </w:rPr>
      </w:pPr>
      <w:bookmarkStart w:id="37" w:name="_Toc15377215"/>
      <w:bookmarkStart w:id="38"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0.24</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0.24</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%。决算数与预算数持平的主要原因是</w:t>
      </w:r>
      <w:r>
        <w:rPr>
          <w:rFonts w:hint="eastAsia" w:ascii="仿宋_GB2312" w:eastAsia="仿宋_GB2312"/>
          <w:sz w:val="32"/>
          <w:szCs w:val="32"/>
          <w:lang w:eastAsia="zh-CN"/>
        </w:rPr>
        <w:t>学习交流活动增多及推进社保经办平台工作需要。</w:t>
      </w:r>
    </w:p>
    <w:p>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0.24</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rPr>
      </w:pPr>
      <w:r>
        <w:rPr>
          <w:rFonts w:hint="eastAsia" w:eastAsia="仿宋_GB2312"/>
          <w:lang w:eastAsia="zh-CN"/>
        </w:rPr>
        <w:drawing>
          <wp:inline distT="0" distB="0" distL="114300" distR="114300">
            <wp:extent cx="5203825" cy="2905760"/>
            <wp:effectExtent l="4445" t="4445" r="11430" b="2349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b/>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0.24</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0.24</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学习交流活动增多及推进社保经办平台工作需要</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0.24</w:t>
      </w:r>
      <w:r>
        <w:rPr>
          <w:rFonts w:hint="eastAsia" w:ascii="仿宋_GB2312" w:eastAsia="仿宋_GB2312"/>
          <w:sz w:val="32"/>
          <w:szCs w:val="32"/>
        </w:rPr>
        <w:t>万元，主要用于用餐费。国内公务接待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21</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0.24</w:t>
      </w:r>
      <w:r>
        <w:rPr>
          <w:rFonts w:hint="eastAsia" w:ascii="仿宋_GB2312" w:eastAsia="仿宋_GB2312"/>
          <w:sz w:val="32"/>
          <w:szCs w:val="32"/>
        </w:rPr>
        <w:t>万元，具体内容包括：</w:t>
      </w:r>
      <w:r>
        <w:rPr>
          <w:rFonts w:hint="eastAsia" w:ascii="仿宋_GB2312" w:eastAsia="仿宋_GB2312"/>
          <w:sz w:val="32"/>
          <w:szCs w:val="32"/>
          <w:lang w:eastAsia="zh-CN"/>
        </w:rPr>
        <w:t>接待乐山市金口河区社会保险事务中心交流学习用餐费</w:t>
      </w:r>
      <w:r>
        <w:rPr>
          <w:rFonts w:hint="eastAsia" w:ascii="仿宋_GB2312" w:eastAsia="仿宋_GB2312"/>
          <w:sz w:val="32"/>
          <w:szCs w:val="32"/>
          <w:lang w:val="en-US" w:eastAsia="zh-CN"/>
        </w:rPr>
        <w:t>990.00元；接待乐山市社会保险事务中心开展部社保经办平台测试工作用餐费1450.00元</w:t>
      </w:r>
      <w:r>
        <w:rPr>
          <w:rFonts w:hint="eastAsia" w:ascii="仿宋_GB2312" w:eastAsia="仿宋_GB2312"/>
          <w:sz w:val="32"/>
          <w:szCs w:val="32"/>
        </w:rPr>
        <w:t>。</w:t>
      </w:r>
    </w:p>
    <w:p>
      <w:pPr>
        <w:spacing w:line="600" w:lineRule="exact"/>
        <w:ind w:firstLine="643" w:firstLineChars="200"/>
        <w:rPr>
          <w:rFonts w:hint="eastAsia"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1" w:name="_Toc15396610"/>
      <w:bookmarkStart w:id="42" w:name="_Toc15377218"/>
    </w:p>
    <w:p>
      <w:pPr>
        <w:pStyle w:val="2"/>
      </w:pPr>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1341.00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5"/>
          <w:rFonts w:ascii="黑体" w:hAnsi="黑体" w:eastAsia="黑体"/>
          <w:b w:val="0"/>
        </w:rPr>
      </w:pPr>
      <w:bookmarkStart w:id="43" w:name="_Toc15396611"/>
      <w:bookmarkStart w:id="44" w:name="_Toc15377219"/>
      <w:r>
        <w:rPr>
          <w:rStyle w:val="25"/>
          <w:rFonts w:hint="eastAsia" w:ascii="黑体" w:hAnsi="黑体" w:eastAsia="黑体"/>
          <w:b w:val="0"/>
        </w:rPr>
        <w:t>国有资本经营预算支出决算情况说明</w:t>
      </w:r>
      <w:bookmarkEnd w:id="43"/>
      <w:bookmarkEnd w:id="4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5"/>
          <w:rFonts w:ascii="黑体" w:hAnsi="黑体" w:eastAsia="黑体"/>
          <w:b w:val="0"/>
        </w:rPr>
      </w:pPr>
      <w:bookmarkStart w:id="45" w:name="_Toc15377221"/>
      <w:bookmarkStart w:id="46" w:name="_Toc15396612"/>
      <w:r>
        <w:rPr>
          <w:rStyle w:val="25"/>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spacing w:line="600" w:lineRule="exact"/>
        <w:ind w:firstLine="640" w:firstLineChars="200"/>
        <w:rPr>
          <w:rFonts w:hint="eastAsia" w:ascii="仿宋_GB2312" w:eastAsia="仿宋_GB2312"/>
          <w:sz w:val="32"/>
          <w:szCs w:val="32"/>
          <w:highlight w:val="yellow"/>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峨眉山市社会保险事务中心</w:t>
      </w:r>
      <w:r>
        <w:rPr>
          <w:rFonts w:hint="eastAsia" w:ascii="仿宋_GB2312" w:eastAsia="仿宋_GB2312"/>
          <w:sz w:val="32"/>
          <w:szCs w:val="32"/>
        </w:rPr>
        <w:t>机关运行经费支出</w:t>
      </w:r>
      <w:r>
        <w:rPr>
          <w:rFonts w:hint="eastAsia" w:ascii="仿宋_GB2312" w:eastAsia="仿宋_GB2312"/>
          <w:sz w:val="32"/>
          <w:szCs w:val="32"/>
          <w:lang w:val="en-US" w:eastAsia="zh-CN"/>
        </w:rPr>
        <w:t>72.45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63.08</w:t>
      </w:r>
      <w:r>
        <w:rPr>
          <w:rFonts w:hint="eastAsia" w:ascii="仿宋_GB2312" w:eastAsia="仿宋_GB2312"/>
          <w:sz w:val="32"/>
          <w:szCs w:val="32"/>
        </w:rPr>
        <w:t>万元，下降</w:t>
      </w:r>
      <w:r>
        <w:rPr>
          <w:rFonts w:hint="eastAsia" w:ascii="仿宋_GB2312" w:eastAsia="仿宋_GB2312"/>
          <w:sz w:val="32"/>
          <w:szCs w:val="32"/>
          <w:lang w:val="en-US" w:eastAsia="zh-CN"/>
        </w:rPr>
        <w:t>46.54</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highlight w:val="none"/>
        </w:rPr>
        <w:t>主要原因是</w:t>
      </w:r>
      <w:r>
        <w:rPr>
          <w:rFonts w:hint="eastAsia" w:ascii="仿宋_GB2312" w:eastAsia="仿宋_GB2312"/>
          <w:sz w:val="32"/>
          <w:szCs w:val="32"/>
          <w:highlight w:val="none"/>
          <w:lang w:eastAsia="zh-CN"/>
        </w:rPr>
        <w:t>聘用人员经费由商品和服务支出劳务费调整为工资福利支出其他工资福利支出。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峨眉山市社会保险事务中心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峨眉山市社会保险事务中心</w:t>
      </w:r>
      <w:r>
        <w:rPr>
          <w:rFonts w:hint="eastAsia" w:ascii="仿宋_GB2312" w:eastAsia="仿宋_GB2312"/>
          <w:sz w:val="32"/>
          <w:szCs w:val="32"/>
        </w:rPr>
        <w:t>共有车辆</w:t>
      </w:r>
      <w:r>
        <w:rPr>
          <w:rFonts w:hint="eastAsia" w:ascii="仿宋_GB2312" w:eastAsia="仿宋_GB2312"/>
          <w:sz w:val="32"/>
          <w:szCs w:val="32"/>
          <w:lang w:val="en-US" w:eastAsia="zh-CN"/>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辆，其他用车主要是用于</w:t>
      </w:r>
      <w:r>
        <w:rPr>
          <w:rFonts w:hint="eastAsia" w:ascii="仿宋_GB2312" w:hAnsi="仿宋_GB2312" w:eastAsia="仿宋_GB2312" w:cs="仿宋_GB2312"/>
          <w:b w:val="0"/>
          <w:bCs w:val="0"/>
          <w:sz w:val="32"/>
          <w:szCs w:val="32"/>
          <w:lang w:eastAsia="zh-CN"/>
        </w:rPr>
        <w:t>借调至主管部门峨眉山市人力资源和社会保障局使用</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根据预算绩效管理要求，本单位在2022年度预算编制阶段，组织对破产改制企业提前退休人员生活补贴项目</w:t>
      </w:r>
      <w:r>
        <w:rPr>
          <w:rFonts w:hint="eastAsia" w:hAnsi="仿宋_GB2312" w:cs="仿宋_GB2312"/>
          <w:sz w:val="32"/>
          <w:szCs w:val="32"/>
          <w:lang w:eastAsia="zh-CN"/>
        </w:rPr>
        <w:t>、被征地农转非50至55周岁女性退休人员养老金补助项目、特殊政策参保人员重新核定养老待遇补贴项目、原试点机保编制外退休人员转移后养老金补差项目</w:t>
      </w:r>
      <w:r>
        <w:rPr>
          <w:rFonts w:hint="eastAsia" w:hAnsi="仿宋_GB2312" w:cs="仿宋_GB2312"/>
          <w:sz w:val="32"/>
          <w:szCs w:val="32"/>
        </w:rPr>
        <w:t>等</w:t>
      </w:r>
      <w:r>
        <w:rPr>
          <w:rFonts w:hint="eastAsia" w:hAnsi="仿宋_GB2312" w:cs="仿宋_GB2312"/>
          <w:sz w:val="32"/>
          <w:szCs w:val="32"/>
          <w:lang w:val="en-US" w:eastAsia="zh-CN"/>
        </w:rPr>
        <w:t>4</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10</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10</w:t>
      </w:r>
      <w:r>
        <w:rPr>
          <w:rFonts w:hint="eastAsia" w:hAnsi="仿宋_GB2312" w:cs="仿宋_GB2312"/>
          <w:sz w:val="32"/>
          <w:szCs w:val="32"/>
        </w:rPr>
        <w:t>个项目开展绩效监控，组织对</w:t>
      </w:r>
      <w:r>
        <w:rPr>
          <w:rFonts w:hint="eastAsia" w:hAnsi="仿宋_GB2312" w:cs="仿宋_GB2312"/>
          <w:sz w:val="32"/>
          <w:szCs w:val="32"/>
          <w:lang w:val="en-US" w:eastAsia="zh-CN"/>
        </w:rPr>
        <w:t>10</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4"/>
          <w:rFonts w:ascii="黑体" w:hAnsi="黑体" w:eastAsia="黑体"/>
          <w:b w:val="0"/>
        </w:rPr>
      </w:pPr>
      <w:bookmarkStart w:id="50" w:name="_Toc15396613"/>
      <w:bookmarkStart w:id="51" w:name="_Toc15377225"/>
      <w:r>
        <w:rPr>
          <w:rFonts w:hint="eastAsia" w:ascii="黑体" w:hAnsi="黑体" w:eastAsia="黑体"/>
          <w:sz w:val="44"/>
          <w:szCs w:val="44"/>
        </w:rPr>
        <w:t>名</w:t>
      </w:r>
      <w:r>
        <w:rPr>
          <w:rStyle w:val="24"/>
          <w:rFonts w:hint="eastAsia" w:ascii="黑体" w:hAnsi="黑体" w:eastAsia="黑体"/>
          <w:b w:val="0"/>
        </w:rPr>
        <w:t>词解释</w:t>
      </w:r>
      <w:bookmarkEnd w:id="50"/>
      <w:bookmarkEnd w:id="51"/>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w:t>
      </w:r>
      <w:r>
        <w:rPr>
          <w:rFonts w:hint="eastAsia" w:ascii="仿宋_GB2312" w:eastAsia="仿宋_GB2312"/>
          <w:sz w:val="32"/>
          <w:szCs w:val="32"/>
        </w:rPr>
        <w:t>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人力资源和社会保障管理事务</w:t>
      </w:r>
      <w:r>
        <w:rPr>
          <w:rFonts w:hint="eastAsia" w:ascii="仿宋_GB2312" w:eastAsia="仿宋_GB2312"/>
          <w:sz w:val="32"/>
          <w:szCs w:val="32"/>
        </w:rPr>
        <w:t>（款）</w:t>
      </w:r>
      <w:r>
        <w:rPr>
          <w:rFonts w:hint="eastAsia" w:ascii="仿宋_GB2312" w:eastAsia="仿宋_GB2312"/>
          <w:sz w:val="32"/>
          <w:szCs w:val="32"/>
          <w:lang w:eastAsia="zh-CN"/>
        </w:rPr>
        <w:t>社会保险经办机构</w:t>
      </w:r>
      <w:r>
        <w:rPr>
          <w:rFonts w:hint="eastAsia" w:ascii="仿宋_GB2312" w:eastAsia="仿宋_GB2312"/>
          <w:sz w:val="32"/>
          <w:szCs w:val="32"/>
        </w:rPr>
        <w:t>（项）：指</w:t>
      </w:r>
      <w:r>
        <w:rPr>
          <w:rFonts w:hint="eastAsia" w:ascii="仿宋_GB2312" w:eastAsia="仿宋_GB2312"/>
          <w:color w:val="000000"/>
          <w:sz w:val="32"/>
          <w:szCs w:val="32"/>
          <w:lang w:eastAsia="zh-CN"/>
        </w:rPr>
        <w:t>反映社会保险业务管理和基金监督方面的支出</w:t>
      </w:r>
      <w:r>
        <w:rPr>
          <w:rFonts w:hint="eastAsia" w:ascii="仿宋_GB2312" w:eastAsia="仿宋_GB2312"/>
          <w:sz w:val="32"/>
          <w:szCs w:val="32"/>
        </w:rPr>
        <w:t>。</w:t>
      </w:r>
    </w:p>
    <w:p>
      <w:pPr>
        <w:pStyle w:val="2"/>
        <w:ind w:firstLine="640"/>
        <w:rPr>
          <w:rFonts w:hint="eastAsia"/>
          <w:sz w:val="32"/>
          <w:szCs w:val="32"/>
          <w:lang w:eastAsia="zh-CN"/>
        </w:rPr>
      </w:pPr>
      <w:r>
        <w:rPr>
          <w:rFonts w:hint="eastAsia"/>
          <w:sz w:val="32"/>
          <w:szCs w:val="32"/>
          <w:lang w:val="en-US" w:eastAsia="zh-CN"/>
        </w:rPr>
        <w:t>4.</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人力资源和社会保障管理事务</w:t>
      </w:r>
      <w:r>
        <w:rPr>
          <w:rFonts w:hint="eastAsia" w:ascii="仿宋_GB2312" w:eastAsia="仿宋_GB2312"/>
          <w:sz w:val="32"/>
          <w:szCs w:val="32"/>
        </w:rPr>
        <w:t>（款）</w:t>
      </w:r>
      <w:r>
        <w:rPr>
          <w:rFonts w:hint="eastAsia"/>
          <w:sz w:val="32"/>
          <w:szCs w:val="32"/>
          <w:lang w:eastAsia="zh-CN"/>
        </w:rPr>
        <w:t>事业运行</w:t>
      </w:r>
      <w:r>
        <w:rPr>
          <w:rFonts w:hint="eastAsia" w:ascii="仿宋_GB2312" w:eastAsia="仿宋_GB2312"/>
          <w:sz w:val="32"/>
          <w:szCs w:val="32"/>
        </w:rPr>
        <w:t>（项）：</w:t>
      </w:r>
      <w:r>
        <w:rPr>
          <w:rFonts w:hint="eastAsia"/>
          <w:sz w:val="32"/>
          <w:szCs w:val="32"/>
          <w:lang w:eastAsia="zh-CN"/>
        </w:rPr>
        <w:t>指反映事业单位的基本支出。</w:t>
      </w:r>
    </w:p>
    <w:p>
      <w:pPr>
        <w:pStyle w:val="2"/>
        <w:ind w:firstLine="640"/>
        <w:rPr>
          <w:rFonts w:hint="eastAsia" w:ascii="仿宋_GB2312" w:eastAsia="仿宋_GB2312"/>
          <w:color w:val="000000"/>
          <w:sz w:val="32"/>
          <w:szCs w:val="32"/>
          <w:lang w:eastAsia="zh-CN"/>
        </w:rPr>
      </w:pPr>
      <w:r>
        <w:rPr>
          <w:rFonts w:hint="eastAsia"/>
          <w:sz w:val="32"/>
          <w:szCs w:val="32"/>
          <w:lang w:val="en-US" w:eastAsia="zh-CN"/>
        </w:rPr>
        <w:t>5.</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w:t>
      </w:r>
      <w:r>
        <w:rPr>
          <w:rFonts w:hint="eastAsia"/>
          <w:color w:val="000000"/>
          <w:sz w:val="32"/>
          <w:szCs w:val="32"/>
          <w:lang w:eastAsia="zh-CN"/>
        </w:rPr>
        <w:t>指</w:t>
      </w:r>
      <w:r>
        <w:rPr>
          <w:rFonts w:hint="eastAsia" w:ascii="仿宋_GB2312" w:eastAsia="仿宋_GB2312"/>
          <w:color w:val="000000"/>
          <w:sz w:val="32"/>
          <w:szCs w:val="32"/>
          <w:lang w:eastAsia="zh-CN"/>
        </w:rPr>
        <w:t>反映机关事业单位实施养老保险制度由单位缴纳的基本养老保险费支出。</w:t>
      </w:r>
    </w:p>
    <w:p>
      <w:pPr>
        <w:pStyle w:val="2"/>
        <w:ind w:firstLine="640"/>
        <w:rPr>
          <w:rFonts w:hint="eastAsia" w:ascii="仿宋_GB2312" w:eastAsia="仿宋_GB2312"/>
          <w:color w:val="000000"/>
          <w:sz w:val="32"/>
          <w:szCs w:val="32"/>
          <w:lang w:eastAsia="zh-CN"/>
        </w:rPr>
      </w:pPr>
      <w:r>
        <w:rPr>
          <w:rFonts w:hint="eastAsia"/>
          <w:color w:val="000000"/>
          <w:sz w:val="32"/>
          <w:szCs w:val="32"/>
          <w:lang w:val="en-US" w:eastAsia="zh-CN"/>
        </w:rPr>
        <w:t>6.</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：指反映机关事业单位实施养老保险制度由单位实际缴纳的职业年金支出。</w:t>
      </w:r>
    </w:p>
    <w:p>
      <w:pPr>
        <w:pStyle w:val="2"/>
        <w:ind w:firstLine="640"/>
        <w:rPr>
          <w:rFonts w:hint="eastAsia" w:ascii="仿宋_GB2312" w:eastAsia="仿宋_GB2312"/>
          <w:color w:val="000000"/>
          <w:sz w:val="32"/>
          <w:szCs w:val="32"/>
          <w:lang w:val="en-US" w:eastAsia="zh-CN"/>
        </w:rPr>
      </w:pPr>
      <w:r>
        <w:rPr>
          <w:rFonts w:hint="eastAsia"/>
          <w:color w:val="000000"/>
          <w:sz w:val="32"/>
          <w:szCs w:val="32"/>
          <w:lang w:val="en-US" w:eastAsia="zh-CN"/>
        </w:rPr>
        <w:t>7.</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color w:val="000000"/>
          <w:sz w:val="32"/>
          <w:szCs w:val="32"/>
          <w:lang w:eastAsia="zh-CN"/>
        </w:rPr>
        <w:t>其他社会保障和就业支出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款）</w:t>
      </w:r>
      <w:r>
        <w:rPr>
          <w:rFonts w:hint="eastAsia"/>
          <w:color w:val="000000"/>
          <w:sz w:val="32"/>
          <w:szCs w:val="32"/>
          <w:lang w:eastAsia="zh-CN"/>
        </w:rPr>
        <w:t>其他社会保障和就业支出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：指反映</w:t>
      </w:r>
      <w:r>
        <w:rPr>
          <w:rFonts w:hint="eastAsia"/>
          <w:color w:val="000000"/>
          <w:sz w:val="32"/>
          <w:szCs w:val="32"/>
          <w:lang w:eastAsia="zh-CN"/>
        </w:rPr>
        <w:t>除上述项目以外其他用于社会保障和就业方面的支出</w:t>
      </w:r>
      <w:r>
        <w:rPr>
          <w:rFonts w:hint="eastAsia" w:ascii="仿宋_GB2312" w:eastAsia="仿宋_GB2312"/>
          <w:color w:val="000000"/>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反映财政部门安排的行政单位（包括实行公务员管理的事业单位，下同）基本医疗保险缴费经费，未参加医疗保险的行政单位的公费医疗经费，按国家规定享受离休人员、红军老战士待遇人员的医疗经费。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城乡社区</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color w:val="000000"/>
          <w:sz w:val="32"/>
          <w:szCs w:val="32"/>
        </w:rPr>
        <w:t>国有土地使用权出让收入安排的支出（款） 补助被征地农民支出（项）：指</w:t>
      </w:r>
      <w:r>
        <w:rPr>
          <w:rFonts w:hint="eastAsia" w:ascii="仿宋_GB2312" w:eastAsia="仿宋_GB2312"/>
          <w:color w:val="000000"/>
          <w:sz w:val="32"/>
          <w:szCs w:val="32"/>
          <w:lang w:eastAsia="zh-CN"/>
        </w:rPr>
        <w:t>用于补助被征地农民的</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color w:val="000000"/>
          <w:sz w:val="32"/>
          <w:szCs w:val="32"/>
        </w:rPr>
        <w:t>城乡社区</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（类）国有土地使用权出让收入安排的支出（款）其他国有土地使用权出让收入安排的支出（项）：</w:t>
      </w:r>
      <w:r>
        <w:rPr>
          <w:rFonts w:hint="eastAsia" w:ascii="仿宋_GB2312" w:eastAsia="仿宋_GB2312"/>
          <w:color w:val="000000"/>
          <w:sz w:val="32"/>
          <w:szCs w:val="32"/>
          <w:lang w:eastAsia="zh-CN"/>
        </w:rPr>
        <w:t>指用于除上述项目外国有土地使用权出让收入安排的支出。</w:t>
      </w:r>
    </w:p>
    <w:p>
      <w:pPr>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2.</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sz w:val="32"/>
          <w:szCs w:val="32"/>
          <w:lang w:val="en-US" w:eastAsia="zh-CN"/>
        </w:rPr>
        <w:t>14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2" w:name="_Toc15377226"/>
      <w:r>
        <w:rPr>
          <w:rFonts w:ascii="宋体"/>
          <w:b/>
          <w:sz w:val="44"/>
          <w:szCs w:val="44"/>
        </w:rPr>
        <w:br w:type="page"/>
      </w:r>
      <w:bookmarkStart w:id="53" w:name="_Toc15396614"/>
      <w:r>
        <w:rPr>
          <w:rFonts w:hint="eastAsia" w:ascii="黑体" w:hAnsi="黑体" w:eastAsia="黑体"/>
          <w:sz w:val="44"/>
          <w:szCs w:val="44"/>
        </w:rPr>
        <w:t>第</w:t>
      </w:r>
      <w:r>
        <w:rPr>
          <w:rStyle w:val="24"/>
          <w:rFonts w:hint="eastAsia" w:ascii="黑体" w:hAnsi="黑体" w:eastAsia="黑体"/>
          <w:b w:val="0"/>
        </w:rPr>
        <w:t>四部分 附件</w:t>
      </w:r>
      <w:bookmarkEnd w:id="53"/>
    </w:p>
    <w:p>
      <w:pPr>
        <w:spacing w:line="572" w:lineRule="exact"/>
        <w:jc w:val="left"/>
        <w:outlineLvl w:val="0"/>
        <w:rPr>
          <w:rFonts w:ascii="仿宋_GB2312" w:hAnsi="仿宋_GB2312" w:eastAsia="仿宋_GB2312" w:cs="仿宋_GB2312"/>
          <w:sz w:val="32"/>
          <w:szCs w:val="32"/>
        </w:rPr>
      </w:pPr>
    </w:p>
    <w:tbl>
      <w:tblPr>
        <w:tblStyle w:val="12"/>
        <w:tblW w:w="8495" w:type="dxa"/>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6"/>
        <w:gridCol w:w="579"/>
        <w:gridCol w:w="907"/>
        <w:gridCol w:w="1832"/>
        <w:gridCol w:w="295"/>
        <w:gridCol w:w="643"/>
        <w:gridCol w:w="295"/>
        <w:gridCol w:w="1122"/>
        <w:gridCol w:w="386"/>
        <w:gridCol w:w="467"/>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8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bookmarkStart w:id="54" w:name="_Toc15396618"/>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51118121T000000240017-破产改制企业提前退休人员生活补贴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人力资源和社会保障局</w:t>
            </w:r>
          </w:p>
        </w:tc>
        <w:tc>
          <w:tcPr>
            <w:tcW w:w="1122" w:type="dxa"/>
            <w:shd w:val="clear" w:color="auto" w:fill="auto"/>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根据2013年5月21日市委常委会第21期《会议纪要》，代发国有、城镇集体破产改制企业职工提前退休生活补贴，保障该类人员基本生活水平。</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根据2013年5月21日市委常委会第21期《会议纪要》，完成国有、城镇集体破产改制企业职工提前退休生活补贴的代发，保障该类人员基本生活水平。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根据系统测算金额按月向财政部门申请当月发放资金，待资金到位后，划拨至社保基金专户在四川省人力资源和社会保障平台发放。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8,465.05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5,163.21</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5,163.21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8,465.05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5,163.21</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5,163.21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预计发放人数</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2019</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2146</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补贴发放及时性</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符合政策人员发放率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发放年度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预计月均发放金额</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587</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430.27</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财政资金紧张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按时发放该类人员生活补贴，保障其退休生活质量，切实维护社会稳定。</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持续发放破产改制提前退休人员生活补贴对社会稳定的影响</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领取生活补贴对象投诉率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领取生活补贴对象满意度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项目自评得分99分。该项目按时发放该类人员生活补贴，保障其退休生活质量，切实维护社会稳定。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因财政资金紧张，存在补贴发放延后情况。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加强与财政部门沟通，争取每月生活补贴及时、足额发放到位。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6" w:type="dxa"/>
            <w:shd w:val="clear" w:color="auto" w:fill="auto"/>
            <w:vAlign w:val="center"/>
          </w:tcPr>
          <w:p>
            <w:pPr>
              <w:rPr>
                <w:rFonts w:hint="eastAsia" w:ascii="宋体" w:hAnsi="宋体" w:eastAsia="宋体" w:cs="宋体"/>
                <w:i w:val="0"/>
                <w:color w:val="000000"/>
                <w:sz w:val="18"/>
                <w:szCs w:val="18"/>
                <w:u w:val="none"/>
              </w:rPr>
            </w:pPr>
          </w:p>
        </w:tc>
        <w:tc>
          <w:tcPr>
            <w:tcW w:w="579" w:type="dxa"/>
            <w:shd w:val="clear" w:color="auto" w:fill="auto"/>
            <w:vAlign w:val="center"/>
          </w:tcPr>
          <w:p>
            <w:pPr>
              <w:rPr>
                <w:rFonts w:hint="eastAsia" w:ascii="宋体" w:hAnsi="宋体" w:eastAsia="宋体" w:cs="宋体"/>
                <w:i w:val="0"/>
                <w:color w:val="000000"/>
                <w:sz w:val="18"/>
                <w:szCs w:val="18"/>
                <w:u w:val="none"/>
              </w:rPr>
            </w:pPr>
          </w:p>
        </w:tc>
        <w:tc>
          <w:tcPr>
            <w:tcW w:w="907" w:type="dxa"/>
            <w:shd w:val="clear" w:color="auto" w:fill="auto"/>
            <w:vAlign w:val="center"/>
          </w:tcPr>
          <w:p>
            <w:pPr>
              <w:rPr>
                <w:rFonts w:hint="eastAsia" w:ascii="宋体" w:hAnsi="宋体" w:eastAsia="宋体" w:cs="宋体"/>
                <w:i w:val="0"/>
                <w:color w:val="000000"/>
                <w:sz w:val="18"/>
                <w:szCs w:val="18"/>
                <w:u w:val="none"/>
              </w:rPr>
            </w:pPr>
          </w:p>
        </w:tc>
        <w:tc>
          <w:tcPr>
            <w:tcW w:w="1832"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643"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1122" w:type="dxa"/>
            <w:shd w:val="clear" w:color="auto" w:fill="auto"/>
            <w:vAlign w:val="center"/>
          </w:tcPr>
          <w:p>
            <w:pPr>
              <w:rPr>
                <w:rFonts w:hint="eastAsia" w:ascii="宋体" w:hAnsi="宋体" w:eastAsia="宋体" w:cs="宋体"/>
                <w:i w:val="0"/>
                <w:color w:val="000000"/>
                <w:sz w:val="18"/>
                <w:szCs w:val="18"/>
                <w:u w:val="none"/>
              </w:rPr>
            </w:pPr>
          </w:p>
        </w:tc>
        <w:tc>
          <w:tcPr>
            <w:tcW w:w="386" w:type="dxa"/>
            <w:shd w:val="clear" w:color="auto" w:fill="auto"/>
            <w:vAlign w:val="center"/>
          </w:tcPr>
          <w:p>
            <w:pPr>
              <w:rPr>
                <w:rFonts w:hint="eastAsia" w:ascii="宋体" w:hAnsi="宋体" w:eastAsia="宋体" w:cs="宋体"/>
                <w:i w:val="0"/>
                <w:color w:val="000000"/>
                <w:sz w:val="18"/>
                <w:szCs w:val="18"/>
                <w:u w:val="none"/>
              </w:rPr>
            </w:pPr>
          </w:p>
        </w:tc>
        <w:tc>
          <w:tcPr>
            <w:tcW w:w="467" w:type="dxa"/>
            <w:shd w:val="clear" w:color="auto" w:fill="auto"/>
            <w:vAlign w:val="center"/>
          </w:tcPr>
          <w:p>
            <w:pPr>
              <w:rPr>
                <w:rFonts w:hint="eastAsia" w:ascii="宋体" w:hAnsi="宋体" w:eastAsia="宋体" w:cs="宋体"/>
                <w:i w:val="0"/>
                <w:color w:val="000000"/>
                <w:sz w:val="18"/>
                <w:szCs w:val="18"/>
                <w:u w:val="none"/>
              </w:rPr>
            </w:pPr>
          </w:p>
        </w:tc>
        <w:tc>
          <w:tcPr>
            <w:tcW w:w="1423"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51118121T000000240020-被征地农转非50至55周岁女性退休人员养老金补助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人力资源和社会保障局</w:t>
            </w:r>
          </w:p>
        </w:tc>
        <w:tc>
          <w:tcPr>
            <w:tcW w:w="1122"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根据市政府常务会《峨府定【2016】3号》文件精神，及时代发被征地农转非50至55周岁女性退休人员养老金补助，保障该类人员基本生活水平，维护社会稳定。</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根据市政府常务会《峨府定【2016】3号》文件精神，完成被征地农转非50至55周岁女性退休人员养老金补助发放，保障该类人员基本生活水平，维护社会稳定。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根据系统测算金额按月向财政部门申请当月发放资金，待资金到位后，划拨至社保基金专户在四川省人力资源和社会保障平台发放。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1,349.83</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680.54</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680.54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1,349.83</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680.54</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680.54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预计发放人数</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1360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620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纳入基金统筹发放增多，新增发放人数逐年减少。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符合政策人员发放率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发放及时性</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发放年度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预计月人均发放金额</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1283</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元/人*月</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1037.88</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财政资金紧张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每月按时发放养老金补助，保障该类人员退休生活质量，切实维护社会稳定。</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持续代发征地农转非50至55周岁女性退休人员养老金补助，保障该类人员生活水平</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发放对象满意度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发放对象投诉率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项目自评得分99分。该项目按时发放该类人员生活补贴，保障其退休生活质量，切实维护社会稳定。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因新增人员纳入基金统筹，新增发放人数逐年减少。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根据政策要求，及时调整年初预算安排，确保财政资金的使用绩效。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shd w:val="clear" w:color="auto" w:fill="auto"/>
            <w:vAlign w:val="center"/>
          </w:tcPr>
          <w:p>
            <w:pPr>
              <w:rPr>
                <w:rFonts w:hint="eastAsia" w:ascii="宋体" w:hAnsi="宋体" w:eastAsia="宋体" w:cs="宋体"/>
                <w:i w:val="0"/>
                <w:color w:val="000000"/>
                <w:sz w:val="18"/>
                <w:szCs w:val="18"/>
                <w:u w:val="none"/>
              </w:rPr>
            </w:pPr>
          </w:p>
        </w:tc>
        <w:tc>
          <w:tcPr>
            <w:tcW w:w="579" w:type="dxa"/>
            <w:shd w:val="clear" w:color="auto" w:fill="auto"/>
            <w:vAlign w:val="center"/>
          </w:tcPr>
          <w:p>
            <w:pPr>
              <w:rPr>
                <w:rFonts w:hint="eastAsia" w:ascii="宋体" w:hAnsi="宋体" w:eastAsia="宋体" w:cs="宋体"/>
                <w:i w:val="0"/>
                <w:color w:val="000000"/>
                <w:sz w:val="18"/>
                <w:szCs w:val="18"/>
                <w:u w:val="none"/>
              </w:rPr>
            </w:pPr>
          </w:p>
        </w:tc>
        <w:tc>
          <w:tcPr>
            <w:tcW w:w="907" w:type="dxa"/>
            <w:shd w:val="clear" w:color="auto" w:fill="auto"/>
            <w:vAlign w:val="center"/>
          </w:tcPr>
          <w:p>
            <w:pPr>
              <w:rPr>
                <w:rFonts w:hint="eastAsia" w:ascii="宋体" w:hAnsi="宋体" w:eastAsia="宋体" w:cs="宋体"/>
                <w:i w:val="0"/>
                <w:color w:val="000000"/>
                <w:sz w:val="18"/>
                <w:szCs w:val="18"/>
                <w:u w:val="none"/>
              </w:rPr>
            </w:pPr>
          </w:p>
        </w:tc>
        <w:tc>
          <w:tcPr>
            <w:tcW w:w="1832"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643"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1122" w:type="dxa"/>
            <w:shd w:val="clear" w:color="auto" w:fill="auto"/>
            <w:vAlign w:val="center"/>
          </w:tcPr>
          <w:p>
            <w:pPr>
              <w:rPr>
                <w:rFonts w:hint="eastAsia" w:ascii="宋体" w:hAnsi="宋体" w:eastAsia="宋体" w:cs="宋体"/>
                <w:i w:val="0"/>
                <w:color w:val="000000"/>
                <w:sz w:val="18"/>
                <w:szCs w:val="18"/>
                <w:u w:val="none"/>
              </w:rPr>
            </w:pPr>
          </w:p>
        </w:tc>
        <w:tc>
          <w:tcPr>
            <w:tcW w:w="386" w:type="dxa"/>
            <w:shd w:val="clear" w:color="auto" w:fill="auto"/>
            <w:vAlign w:val="center"/>
          </w:tcPr>
          <w:p>
            <w:pPr>
              <w:rPr>
                <w:rFonts w:hint="eastAsia" w:ascii="宋体" w:hAnsi="宋体" w:eastAsia="宋体" w:cs="宋体"/>
                <w:i w:val="0"/>
                <w:color w:val="000000"/>
                <w:sz w:val="18"/>
                <w:szCs w:val="18"/>
                <w:u w:val="none"/>
              </w:rPr>
            </w:pPr>
          </w:p>
        </w:tc>
        <w:tc>
          <w:tcPr>
            <w:tcW w:w="467" w:type="dxa"/>
            <w:shd w:val="clear" w:color="auto" w:fill="auto"/>
            <w:vAlign w:val="center"/>
          </w:tcPr>
          <w:p>
            <w:pPr>
              <w:rPr>
                <w:rFonts w:hint="eastAsia" w:ascii="宋体" w:hAnsi="宋体" w:eastAsia="宋体" w:cs="宋体"/>
                <w:i w:val="0"/>
                <w:color w:val="000000"/>
                <w:sz w:val="18"/>
                <w:szCs w:val="18"/>
                <w:u w:val="none"/>
              </w:rPr>
            </w:pPr>
          </w:p>
        </w:tc>
        <w:tc>
          <w:tcPr>
            <w:tcW w:w="1423"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51118121T000000240024-特殊政策参保人员重新核定养老待遇补贴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人力资源和社会保障局</w:t>
            </w:r>
          </w:p>
        </w:tc>
        <w:tc>
          <w:tcPr>
            <w:tcW w:w="1122"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根据乐山市人力资源和社会保障局关于《调整征地农转非人员军龄等视同缴费年限的政策解释口径》等会议记录，支付特殊政策参保人员重新核定养老待遇当地财政承担部分，保障该类人员基本生活水平。</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根据乐山市人力资源和社会保障局关于《调整征地农转非人员军龄等视同缴费年限的政策解释口径》等会议记录，完成特殊政策参保人员重新核定养老待遇当地财政承担部分的支付，保障该类人员基本生活水平。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根据系统测算金额按月向财政部门申请当月发放资金，待资金到位后，划拨至社保基金专户在四川省人力资源和社会保障平台发放。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248.00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211.41</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211.41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248.00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211.41</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211.41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预计符合政策享受财政补助人数</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771</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无新增人员，死亡人员较往年有所增加。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符合政策人员发放率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发放及时性</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发放年度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月均发放成本</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元/月</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176175元/月</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按时发放特殊政策参保人员养老待遇，保障该类人员退休生活质量，切实维护社会稳定。</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发放特殊政策参保人员养老待遇补差部分，持续保障该类人员基本生活水平。</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领取补助人员满意度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领取补助人员投诉率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项目自评得分99分。该项目按时发放该类人员生活补贴，保障其退休生活质量，切实维护社会稳定。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预计死亡人员难以预测。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根据实际情况及时调整年初预算安排，确保财政资金的使用绩效。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shd w:val="clear" w:color="auto" w:fill="auto"/>
            <w:vAlign w:val="center"/>
          </w:tcPr>
          <w:p>
            <w:pPr>
              <w:rPr>
                <w:rFonts w:hint="eastAsia" w:ascii="宋体" w:hAnsi="宋体" w:eastAsia="宋体" w:cs="宋体"/>
                <w:i w:val="0"/>
                <w:color w:val="000000"/>
                <w:sz w:val="18"/>
                <w:szCs w:val="18"/>
                <w:u w:val="none"/>
              </w:rPr>
            </w:pPr>
          </w:p>
        </w:tc>
        <w:tc>
          <w:tcPr>
            <w:tcW w:w="579" w:type="dxa"/>
            <w:shd w:val="clear" w:color="auto" w:fill="auto"/>
            <w:vAlign w:val="center"/>
          </w:tcPr>
          <w:p>
            <w:pPr>
              <w:rPr>
                <w:rFonts w:hint="eastAsia" w:ascii="宋体" w:hAnsi="宋体" w:eastAsia="宋体" w:cs="宋体"/>
                <w:i w:val="0"/>
                <w:color w:val="000000"/>
                <w:sz w:val="18"/>
                <w:szCs w:val="18"/>
                <w:u w:val="none"/>
              </w:rPr>
            </w:pPr>
          </w:p>
        </w:tc>
        <w:tc>
          <w:tcPr>
            <w:tcW w:w="907" w:type="dxa"/>
            <w:shd w:val="clear" w:color="auto" w:fill="auto"/>
            <w:vAlign w:val="center"/>
          </w:tcPr>
          <w:p>
            <w:pPr>
              <w:rPr>
                <w:rFonts w:hint="eastAsia" w:ascii="宋体" w:hAnsi="宋体" w:eastAsia="宋体" w:cs="宋体"/>
                <w:i w:val="0"/>
                <w:color w:val="000000"/>
                <w:sz w:val="18"/>
                <w:szCs w:val="18"/>
                <w:u w:val="none"/>
              </w:rPr>
            </w:pPr>
          </w:p>
        </w:tc>
        <w:tc>
          <w:tcPr>
            <w:tcW w:w="1832"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643"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1122" w:type="dxa"/>
            <w:shd w:val="clear" w:color="auto" w:fill="auto"/>
            <w:vAlign w:val="center"/>
          </w:tcPr>
          <w:p>
            <w:pPr>
              <w:rPr>
                <w:rFonts w:hint="eastAsia" w:ascii="宋体" w:hAnsi="宋体" w:eastAsia="宋体" w:cs="宋体"/>
                <w:i w:val="0"/>
                <w:color w:val="000000"/>
                <w:sz w:val="18"/>
                <w:szCs w:val="18"/>
                <w:u w:val="none"/>
              </w:rPr>
            </w:pPr>
          </w:p>
        </w:tc>
        <w:tc>
          <w:tcPr>
            <w:tcW w:w="386" w:type="dxa"/>
            <w:shd w:val="clear" w:color="auto" w:fill="auto"/>
            <w:vAlign w:val="center"/>
          </w:tcPr>
          <w:p>
            <w:pPr>
              <w:rPr>
                <w:rFonts w:hint="eastAsia" w:ascii="宋体" w:hAnsi="宋体" w:eastAsia="宋体" w:cs="宋体"/>
                <w:i w:val="0"/>
                <w:color w:val="000000"/>
                <w:sz w:val="18"/>
                <w:szCs w:val="18"/>
                <w:u w:val="none"/>
              </w:rPr>
            </w:pPr>
          </w:p>
        </w:tc>
        <w:tc>
          <w:tcPr>
            <w:tcW w:w="467" w:type="dxa"/>
            <w:shd w:val="clear" w:color="auto" w:fill="auto"/>
            <w:vAlign w:val="center"/>
          </w:tcPr>
          <w:p>
            <w:pPr>
              <w:rPr>
                <w:rFonts w:hint="eastAsia" w:ascii="宋体" w:hAnsi="宋体" w:eastAsia="宋体" w:cs="宋体"/>
                <w:i w:val="0"/>
                <w:color w:val="000000"/>
                <w:sz w:val="18"/>
                <w:szCs w:val="18"/>
                <w:u w:val="none"/>
              </w:rPr>
            </w:pPr>
          </w:p>
        </w:tc>
        <w:tc>
          <w:tcPr>
            <w:tcW w:w="1423"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8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51118121T000000240025-原试点机保编制外退休人员转移后养老金补差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人力资源和社会保障局</w:t>
            </w:r>
          </w:p>
        </w:tc>
        <w:tc>
          <w:tcPr>
            <w:tcW w:w="1122"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根据川府发【2015】57号、乐人社发【2016】92号、峨委十三届【2016】80-5号、峨人社【2015】62号等文件精神，支付原试点机保编制外退休人员转移后养老金补差费用，保障该类退休人员基本生活水平。</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根据川府发【2015】57号、乐人社发【2016】92号、峨委十三届【2016】80-5号、峨人社【2015】62号等文件精神，完成支付原试点机保编制外退休人员转移后养老金补差费用，保障该类退休人员基本生活水平。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根据系统测算金额按月向财政部门申请当月发放资金，待资金到位后，划拨至社保基金专户在四川省人力资源和社会保障平台发放。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599.47</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305.27</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305.27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599.47</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305.27</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305.27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预计符合政策人数</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151</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无新增人员。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补差发放及时性</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补差发放率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补差发放年度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2021</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预计机保转移月人均补差金额</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1462</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元/人*月</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1684.71元/人/月</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每月按时发放原试点机保编外退休人员转移后养老补差部分，保障退休人员生活质量，维护社会稳定。</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持续发放机保编制外退休人员养老金补差，持续保障退休人员基本生活水平。</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发放对象满意度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发放对象投诉率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项目自评得分99分。该项目按时发放该类人员生活补贴，保障其退休生活质量，切实维护社会稳定。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符合政策人数预测有偏差。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提高预算准确率，根据实际情况及时调整年初预算安排，确保财政资金的使用绩效。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6" w:type="dxa"/>
            <w:shd w:val="clear" w:color="auto" w:fill="auto"/>
            <w:vAlign w:val="center"/>
          </w:tcPr>
          <w:p>
            <w:pPr>
              <w:rPr>
                <w:rFonts w:hint="eastAsia" w:ascii="宋体" w:hAnsi="宋体" w:eastAsia="宋体" w:cs="宋体"/>
                <w:i w:val="0"/>
                <w:color w:val="000000"/>
                <w:sz w:val="18"/>
                <w:szCs w:val="18"/>
                <w:u w:val="none"/>
              </w:rPr>
            </w:pPr>
          </w:p>
        </w:tc>
        <w:tc>
          <w:tcPr>
            <w:tcW w:w="579" w:type="dxa"/>
            <w:shd w:val="clear" w:color="auto" w:fill="auto"/>
            <w:vAlign w:val="center"/>
          </w:tcPr>
          <w:p>
            <w:pPr>
              <w:rPr>
                <w:rFonts w:hint="eastAsia" w:ascii="宋体" w:hAnsi="宋体" w:eastAsia="宋体" w:cs="宋体"/>
                <w:i w:val="0"/>
                <w:color w:val="000000"/>
                <w:sz w:val="18"/>
                <w:szCs w:val="18"/>
                <w:u w:val="none"/>
              </w:rPr>
            </w:pPr>
          </w:p>
        </w:tc>
        <w:tc>
          <w:tcPr>
            <w:tcW w:w="907" w:type="dxa"/>
            <w:shd w:val="clear" w:color="auto" w:fill="auto"/>
            <w:vAlign w:val="center"/>
          </w:tcPr>
          <w:p>
            <w:pPr>
              <w:rPr>
                <w:rFonts w:hint="eastAsia" w:ascii="宋体" w:hAnsi="宋体" w:eastAsia="宋体" w:cs="宋体"/>
                <w:i w:val="0"/>
                <w:color w:val="000000"/>
                <w:sz w:val="18"/>
                <w:szCs w:val="18"/>
                <w:u w:val="none"/>
              </w:rPr>
            </w:pPr>
          </w:p>
        </w:tc>
        <w:tc>
          <w:tcPr>
            <w:tcW w:w="1832"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643"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1122" w:type="dxa"/>
            <w:shd w:val="clear" w:color="auto" w:fill="auto"/>
            <w:vAlign w:val="center"/>
          </w:tcPr>
          <w:p>
            <w:pPr>
              <w:rPr>
                <w:rFonts w:hint="eastAsia" w:ascii="宋体" w:hAnsi="宋体" w:eastAsia="宋体" w:cs="宋体"/>
                <w:i w:val="0"/>
                <w:color w:val="000000"/>
                <w:sz w:val="18"/>
                <w:szCs w:val="18"/>
                <w:u w:val="none"/>
              </w:rPr>
            </w:pPr>
          </w:p>
        </w:tc>
        <w:tc>
          <w:tcPr>
            <w:tcW w:w="386" w:type="dxa"/>
            <w:shd w:val="clear" w:color="auto" w:fill="auto"/>
            <w:vAlign w:val="center"/>
          </w:tcPr>
          <w:p>
            <w:pPr>
              <w:rPr>
                <w:rFonts w:hint="eastAsia" w:ascii="宋体" w:hAnsi="宋体" w:eastAsia="宋体" w:cs="宋体"/>
                <w:i w:val="0"/>
                <w:color w:val="000000"/>
                <w:sz w:val="18"/>
                <w:szCs w:val="18"/>
                <w:u w:val="none"/>
              </w:rPr>
            </w:pPr>
          </w:p>
        </w:tc>
        <w:tc>
          <w:tcPr>
            <w:tcW w:w="467" w:type="dxa"/>
            <w:shd w:val="clear" w:color="auto" w:fill="auto"/>
            <w:vAlign w:val="center"/>
          </w:tcPr>
          <w:p>
            <w:pPr>
              <w:rPr>
                <w:rFonts w:hint="eastAsia" w:ascii="宋体" w:hAnsi="宋体" w:eastAsia="宋体" w:cs="宋体"/>
                <w:i w:val="0"/>
                <w:color w:val="000000"/>
                <w:sz w:val="18"/>
                <w:szCs w:val="18"/>
                <w:u w:val="none"/>
              </w:rPr>
            </w:pPr>
          </w:p>
        </w:tc>
        <w:tc>
          <w:tcPr>
            <w:tcW w:w="1423"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51118121T000000240026-征地农转非退休人员死亡退社保支付后差额费用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人力资源和社会保障局</w:t>
            </w:r>
          </w:p>
        </w:tc>
        <w:tc>
          <w:tcPr>
            <w:tcW w:w="1122"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根据市政府2007年10月《对我市范围内征地农转非人员进入社保死亡后的处理意见》，对我市范围内征地农转非退休人员死亡退社保支付后差额费用财政承担部分。</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根据市政府2007年10月《对我市范围内征地农转非人员进入社保死亡后的处理意见》，完成支付对我市范围内征地农转非退休人员死亡退社保支付后差额费用财政承担部分。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根据死亡人员社保账户余额向财政部门申请资金，待资金到位后，划拨至社保基金专户在四川省人力资源和社会保障平台发放。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306.00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135.73</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135.73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306.00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135.73</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135.73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预计死亡需退统筹人数</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47</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预计死亡人数降低。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征地农转非退休人员死亡退社保退费率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征地农转非退休人员死亡退社保及时性</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征地农转非退休死亡退社保支付后差额费用年度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预计人均支付养老保险剩余金额</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28878.73</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死亡人员账户余额预计偏差。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及时、完整退还征地农转非退休人员死亡退社保差额费用，切实维护社会稳定</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对未参保人员持续参保产生积极影响</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申请退费对象满意度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申请退费对象投诉率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项目自评得分93分。该项目及时、完整退还征地农转非退休人员死亡退社保差额费用，切实维护社会稳定。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预计死亡人员及人均支付金额有偏差。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提高预算准确率，根据实际情况及时调整年初预算安排，确保财政资金的使用绩效。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6" w:type="dxa"/>
            <w:shd w:val="clear" w:color="auto" w:fill="auto"/>
            <w:vAlign w:val="center"/>
          </w:tcPr>
          <w:p>
            <w:pPr>
              <w:rPr>
                <w:rFonts w:hint="eastAsia" w:ascii="宋体" w:hAnsi="宋体" w:eastAsia="宋体" w:cs="宋体"/>
                <w:i w:val="0"/>
                <w:color w:val="000000"/>
                <w:sz w:val="18"/>
                <w:szCs w:val="18"/>
                <w:u w:val="none"/>
              </w:rPr>
            </w:pPr>
          </w:p>
        </w:tc>
        <w:tc>
          <w:tcPr>
            <w:tcW w:w="579" w:type="dxa"/>
            <w:shd w:val="clear" w:color="auto" w:fill="auto"/>
            <w:vAlign w:val="center"/>
          </w:tcPr>
          <w:p>
            <w:pPr>
              <w:rPr>
                <w:rFonts w:hint="eastAsia" w:ascii="宋体" w:hAnsi="宋体" w:eastAsia="宋体" w:cs="宋体"/>
                <w:i w:val="0"/>
                <w:color w:val="000000"/>
                <w:sz w:val="18"/>
                <w:szCs w:val="18"/>
                <w:u w:val="none"/>
              </w:rPr>
            </w:pPr>
          </w:p>
        </w:tc>
        <w:tc>
          <w:tcPr>
            <w:tcW w:w="907" w:type="dxa"/>
            <w:shd w:val="clear" w:color="auto" w:fill="auto"/>
            <w:vAlign w:val="center"/>
          </w:tcPr>
          <w:p>
            <w:pPr>
              <w:rPr>
                <w:rFonts w:hint="eastAsia" w:ascii="宋体" w:hAnsi="宋体" w:eastAsia="宋体" w:cs="宋体"/>
                <w:i w:val="0"/>
                <w:color w:val="000000"/>
                <w:sz w:val="18"/>
                <w:szCs w:val="18"/>
                <w:u w:val="none"/>
              </w:rPr>
            </w:pPr>
          </w:p>
        </w:tc>
        <w:tc>
          <w:tcPr>
            <w:tcW w:w="1832"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643"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1122" w:type="dxa"/>
            <w:shd w:val="clear" w:color="auto" w:fill="auto"/>
            <w:vAlign w:val="center"/>
          </w:tcPr>
          <w:p>
            <w:pPr>
              <w:rPr>
                <w:rFonts w:hint="eastAsia" w:ascii="宋体" w:hAnsi="宋体" w:eastAsia="宋体" w:cs="宋体"/>
                <w:i w:val="0"/>
                <w:color w:val="000000"/>
                <w:sz w:val="18"/>
                <w:szCs w:val="18"/>
                <w:u w:val="none"/>
              </w:rPr>
            </w:pPr>
          </w:p>
        </w:tc>
        <w:tc>
          <w:tcPr>
            <w:tcW w:w="386" w:type="dxa"/>
            <w:shd w:val="clear" w:color="auto" w:fill="auto"/>
            <w:vAlign w:val="center"/>
          </w:tcPr>
          <w:p>
            <w:pPr>
              <w:rPr>
                <w:rFonts w:hint="eastAsia" w:ascii="宋体" w:hAnsi="宋体" w:eastAsia="宋体" w:cs="宋体"/>
                <w:i w:val="0"/>
                <w:color w:val="000000"/>
                <w:sz w:val="18"/>
                <w:szCs w:val="18"/>
                <w:u w:val="none"/>
              </w:rPr>
            </w:pPr>
          </w:p>
        </w:tc>
        <w:tc>
          <w:tcPr>
            <w:tcW w:w="467" w:type="dxa"/>
            <w:shd w:val="clear" w:color="auto" w:fill="auto"/>
            <w:vAlign w:val="center"/>
          </w:tcPr>
          <w:p>
            <w:pPr>
              <w:rPr>
                <w:rFonts w:hint="eastAsia" w:ascii="宋体" w:hAnsi="宋体" w:eastAsia="宋体" w:cs="宋体"/>
                <w:i w:val="0"/>
                <w:color w:val="000000"/>
                <w:sz w:val="18"/>
                <w:szCs w:val="18"/>
                <w:u w:val="none"/>
              </w:rPr>
            </w:pPr>
          </w:p>
        </w:tc>
        <w:tc>
          <w:tcPr>
            <w:tcW w:w="1423"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8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51118121T000000240030-2022年城乡居民养老保险参保缴费县级补贴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人力资源和社会保障局</w:t>
            </w:r>
          </w:p>
        </w:tc>
        <w:tc>
          <w:tcPr>
            <w:tcW w:w="1122"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根据川府发【2014】23号文件规定，由我市财政承担的2022年度城乡居民养老保险参保缴费配套资金部分，保障参保人员保险缴费按时及时足额缴纳，维护社会稳定。</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根据川府发【2014】23号文件规定，按时及时足额缴纳由我市财政承担的2022年度城乡居民养老保险参保缴费配套资金部分。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根据参保人数、补贴档次核定代缴保险金额，向财政部门申报资金，资金到位后划拨至社保专户缴纳。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265.20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343.36</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241.62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70.37%</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上级资金下达时间较晚。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265.20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343.36</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241.62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70.37%</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预计参保缴费人数</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113227</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缴费补贴本级财政承担比例</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60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资金到位及时性</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资金到位代缴年度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按缴费档次预计平均补贴金额</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65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按时缴纳城乡居民养老保险，保障缴费人员权益，维护社会稳定</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对城乡居民持续参加养老保险缴费的积极影响</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缴费人员投诉率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缴费人员满意度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项目自评得分100分。该项目按时缴纳城乡居民养老保险，保障缴费人员权益，维护社会稳定。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因上级资金下达时间较晚，导致上级资金未支付，预算执行率不够。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加强与上级部门沟通，及时调整年初预算安排，确保财政资金的使用绩效。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shd w:val="clear" w:color="auto" w:fill="auto"/>
            <w:vAlign w:val="center"/>
          </w:tcPr>
          <w:p>
            <w:pPr>
              <w:rPr>
                <w:rFonts w:hint="eastAsia" w:ascii="宋体" w:hAnsi="宋体" w:eastAsia="宋体" w:cs="宋体"/>
                <w:i w:val="0"/>
                <w:color w:val="000000"/>
                <w:sz w:val="18"/>
                <w:szCs w:val="18"/>
                <w:u w:val="none"/>
              </w:rPr>
            </w:pPr>
          </w:p>
        </w:tc>
        <w:tc>
          <w:tcPr>
            <w:tcW w:w="579" w:type="dxa"/>
            <w:shd w:val="clear" w:color="auto" w:fill="auto"/>
            <w:vAlign w:val="center"/>
          </w:tcPr>
          <w:p>
            <w:pPr>
              <w:rPr>
                <w:rFonts w:hint="eastAsia" w:ascii="宋体" w:hAnsi="宋体" w:eastAsia="宋体" w:cs="宋体"/>
                <w:i w:val="0"/>
                <w:color w:val="000000"/>
                <w:sz w:val="18"/>
                <w:szCs w:val="18"/>
                <w:u w:val="none"/>
              </w:rPr>
            </w:pPr>
          </w:p>
        </w:tc>
        <w:tc>
          <w:tcPr>
            <w:tcW w:w="907" w:type="dxa"/>
            <w:shd w:val="clear" w:color="auto" w:fill="auto"/>
            <w:vAlign w:val="center"/>
          </w:tcPr>
          <w:p>
            <w:pPr>
              <w:rPr>
                <w:rFonts w:hint="eastAsia" w:ascii="宋体" w:hAnsi="宋体" w:eastAsia="宋体" w:cs="宋体"/>
                <w:i w:val="0"/>
                <w:color w:val="000000"/>
                <w:sz w:val="18"/>
                <w:szCs w:val="18"/>
                <w:u w:val="none"/>
              </w:rPr>
            </w:pPr>
          </w:p>
        </w:tc>
        <w:tc>
          <w:tcPr>
            <w:tcW w:w="1832"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643"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1122" w:type="dxa"/>
            <w:shd w:val="clear" w:color="auto" w:fill="auto"/>
            <w:vAlign w:val="center"/>
          </w:tcPr>
          <w:p>
            <w:pPr>
              <w:rPr>
                <w:rFonts w:hint="eastAsia" w:ascii="宋体" w:hAnsi="宋体" w:eastAsia="宋体" w:cs="宋体"/>
                <w:i w:val="0"/>
                <w:color w:val="000000"/>
                <w:sz w:val="18"/>
                <w:szCs w:val="18"/>
                <w:u w:val="none"/>
              </w:rPr>
            </w:pPr>
          </w:p>
        </w:tc>
        <w:tc>
          <w:tcPr>
            <w:tcW w:w="386" w:type="dxa"/>
            <w:shd w:val="clear" w:color="auto" w:fill="auto"/>
            <w:vAlign w:val="center"/>
          </w:tcPr>
          <w:p>
            <w:pPr>
              <w:rPr>
                <w:rFonts w:hint="eastAsia" w:ascii="宋体" w:hAnsi="宋体" w:eastAsia="宋体" w:cs="宋体"/>
                <w:i w:val="0"/>
                <w:color w:val="000000"/>
                <w:sz w:val="18"/>
                <w:szCs w:val="18"/>
                <w:u w:val="none"/>
              </w:rPr>
            </w:pPr>
          </w:p>
        </w:tc>
        <w:tc>
          <w:tcPr>
            <w:tcW w:w="467" w:type="dxa"/>
            <w:shd w:val="clear" w:color="auto" w:fill="auto"/>
            <w:vAlign w:val="center"/>
          </w:tcPr>
          <w:p>
            <w:pPr>
              <w:rPr>
                <w:rFonts w:hint="eastAsia" w:ascii="宋体" w:hAnsi="宋体" w:eastAsia="宋体" w:cs="宋体"/>
                <w:i w:val="0"/>
                <w:color w:val="000000"/>
                <w:sz w:val="18"/>
                <w:szCs w:val="18"/>
                <w:u w:val="none"/>
              </w:rPr>
            </w:pPr>
          </w:p>
        </w:tc>
        <w:tc>
          <w:tcPr>
            <w:tcW w:w="1423"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51118121T000000240031-2022年困难群体城乡居民养老保险县级代缴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人力资源和社会保障局</w:t>
            </w:r>
          </w:p>
        </w:tc>
        <w:tc>
          <w:tcPr>
            <w:tcW w:w="1122"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根据川府发【2014】23号文件规定，及时代缴我市2022年度困难群体（重残及独生子女伤残家庭、建档立卡贫困人员、民政特殊困难群体）城乡居民养老保险费，保障该类人员基本保险权益，维护社会稳定。</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根据川府发【2014】23号文件规定，及时代缴我市2022年度困难群体城乡居民养老保险费，保障该类人员基本保险权益，维护社会稳定。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根据相关部门认定人数、补贴档次及比例核定代缴保险金额，向财政部门申报资金，资金到位后划拨至社保专户缴纳。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20.95</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20.95</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重度残疾人及独生子女伤残死亡家庭夫妻参保缴费人数</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1320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建档立卡贫困人员参保缴费人数</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2491</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脱贫户人员减少。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民政特殊困难群体人员参保缴费人数</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5536</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民政认定特殊困难群体人员减少。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困难群体城乡居民养老保险县级代缴及时性</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 xml:space="preserve">优 </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困难群体城乡居民养老保险县级代缴代缴率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代缴年度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民政特殊困难群体人员参保缴费补贴本级财政承担比例</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困难群体人员参保缴费档次</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保障该类人员基本保险权益。</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对困难群体参加城乡居民养老保险的可持续影响</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代缴群体满意度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建档立卡贫困人员满意度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项目自评得分95分。该项目按时缴纳困难群体城乡居民养老保险，保障缴费人员权益，维护社会稳定。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符合政策人数预测有偏差。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加强与相关部门沟通，提高符合政策人数数量认定准确度，及时调整年初预算安排，确保财政资金的使用绩效。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shd w:val="clear" w:color="auto" w:fill="auto"/>
            <w:vAlign w:val="center"/>
          </w:tcPr>
          <w:p>
            <w:pPr>
              <w:rPr>
                <w:rFonts w:hint="eastAsia" w:ascii="宋体" w:hAnsi="宋体" w:eastAsia="宋体" w:cs="宋体"/>
                <w:i w:val="0"/>
                <w:color w:val="000000"/>
                <w:sz w:val="18"/>
                <w:szCs w:val="18"/>
                <w:u w:val="none"/>
              </w:rPr>
            </w:pPr>
          </w:p>
        </w:tc>
        <w:tc>
          <w:tcPr>
            <w:tcW w:w="579" w:type="dxa"/>
            <w:shd w:val="clear" w:color="auto" w:fill="auto"/>
            <w:vAlign w:val="center"/>
          </w:tcPr>
          <w:p>
            <w:pPr>
              <w:rPr>
                <w:rFonts w:hint="eastAsia" w:ascii="宋体" w:hAnsi="宋体" w:eastAsia="宋体" w:cs="宋体"/>
                <w:i w:val="0"/>
                <w:color w:val="000000"/>
                <w:sz w:val="18"/>
                <w:szCs w:val="18"/>
                <w:u w:val="none"/>
              </w:rPr>
            </w:pPr>
          </w:p>
        </w:tc>
        <w:tc>
          <w:tcPr>
            <w:tcW w:w="907" w:type="dxa"/>
            <w:shd w:val="clear" w:color="auto" w:fill="auto"/>
            <w:vAlign w:val="center"/>
          </w:tcPr>
          <w:p>
            <w:pPr>
              <w:rPr>
                <w:rFonts w:hint="eastAsia" w:ascii="宋体" w:hAnsi="宋体" w:eastAsia="宋体" w:cs="宋体"/>
                <w:i w:val="0"/>
                <w:color w:val="000000"/>
                <w:sz w:val="18"/>
                <w:szCs w:val="18"/>
                <w:u w:val="none"/>
              </w:rPr>
            </w:pPr>
          </w:p>
        </w:tc>
        <w:tc>
          <w:tcPr>
            <w:tcW w:w="1832"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643"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1122" w:type="dxa"/>
            <w:shd w:val="clear" w:color="auto" w:fill="auto"/>
            <w:vAlign w:val="center"/>
          </w:tcPr>
          <w:p>
            <w:pPr>
              <w:rPr>
                <w:rFonts w:hint="eastAsia" w:ascii="宋体" w:hAnsi="宋体" w:eastAsia="宋体" w:cs="宋体"/>
                <w:i w:val="0"/>
                <w:color w:val="000000"/>
                <w:sz w:val="18"/>
                <w:szCs w:val="18"/>
                <w:u w:val="none"/>
              </w:rPr>
            </w:pPr>
          </w:p>
        </w:tc>
        <w:tc>
          <w:tcPr>
            <w:tcW w:w="386" w:type="dxa"/>
            <w:shd w:val="clear" w:color="auto" w:fill="auto"/>
            <w:vAlign w:val="center"/>
          </w:tcPr>
          <w:p>
            <w:pPr>
              <w:rPr>
                <w:rFonts w:hint="eastAsia" w:ascii="宋体" w:hAnsi="宋体" w:eastAsia="宋体" w:cs="宋体"/>
                <w:i w:val="0"/>
                <w:color w:val="000000"/>
                <w:sz w:val="18"/>
                <w:szCs w:val="18"/>
                <w:u w:val="none"/>
              </w:rPr>
            </w:pPr>
          </w:p>
        </w:tc>
        <w:tc>
          <w:tcPr>
            <w:tcW w:w="467" w:type="dxa"/>
            <w:shd w:val="clear" w:color="auto" w:fill="auto"/>
            <w:vAlign w:val="center"/>
          </w:tcPr>
          <w:p>
            <w:pPr>
              <w:rPr>
                <w:rFonts w:hint="eastAsia" w:ascii="宋体" w:hAnsi="宋体" w:eastAsia="宋体" w:cs="宋体"/>
                <w:i w:val="0"/>
                <w:color w:val="000000"/>
                <w:sz w:val="18"/>
                <w:szCs w:val="18"/>
                <w:u w:val="none"/>
              </w:rPr>
            </w:pPr>
          </w:p>
        </w:tc>
        <w:tc>
          <w:tcPr>
            <w:tcW w:w="1423"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8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51118121T000000240035-2022年城乡居民养老保险基础养老金补贴（县级配套）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人力资源和社会保障局</w:t>
            </w:r>
          </w:p>
        </w:tc>
        <w:tc>
          <w:tcPr>
            <w:tcW w:w="1122"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根据川府发【2014】23号文件，及时发放我市2022年度城乡居民养老保险待遇享受人员基础养老金上调补贴县级财政承担部分，保障该类人员基本生活水平，维护社会稳定。</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根据川府发【2014】23号文件，完成发放我市2022年度城乡居民养老保险待遇享受人员基础养老金上调补贴县级财政承担部分。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根据待遇享受人数、调整标准核定补贴金额，向财政部门申报资金，资金到位后划拨至社保专户发放。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229.92</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43.64</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43.64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229.92</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43.64</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43.64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预计基础养老金年龄65-80岁上调人数</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27000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32253</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预计基础养老金年龄80岁以上上调人数</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7100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8415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预计基础养老金待遇享受人数</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41000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40668</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部分人员发放信息不准确，导致发放失败退回。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待遇享受人员基础养老金上调发放及时性</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待遇享受人员基础养老金上调发放率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发放年度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基础养老金年龄80岁以上上调金额</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元/人*月</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基础养老金年龄65-80岁上调金额</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元/人*月</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基础养老金待遇享受养老金上调金额市级承担部分</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元/人*月</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按时发放待遇享受基础养老金上调部分，保障该类人员退休生活水平，切实维护社会稳定。</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对领取待遇人员的可持续性影响</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待遇享受人员投诉率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待遇享受对象满意度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项目自评得分99.5分。该项目按时发放待遇享受基础养老金上调部分，保障该类人员退休生活水平，切实维护社会稳定。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部分人员发放信息不准确，导致发放失败退回。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54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49" w:type="dxa"/>
            <w:gridSpan w:val="10"/>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加强与相关部门沟通，及时更新待遇领取人员信息。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shd w:val="clear" w:color="auto" w:fill="auto"/>
            <w:vAlign w:val="center"/>
          </w:tcPr>
          <w:p>
            <w:pPr>
              <w:rPr>
                <w:rFonts w:hint="eastAsia" w:ascii="黑体" w:hAnsi="黑体" w:eastAsia="黑体" w:cs="黑体"/>
                <w:i w:val="0"/>
                <w:color w:val="000000"/>
                <w:sz w:val="18"/>
                <w:szCs w:val="18"/>
                <w:u w:val="none"/>
              </w:rPr>
            </w:pPr>
          </w:p>
        </w:tc>
        <w:tc>
          <w:tcPr>
            <w:tcW w:w="579" w:type="dxa"/>
            <w:shd w:val="clear" w:color="auto" w:fill="auto"/>
            <w:vAlign w:val="center"/>
          </w:tcPr>
          <w:p>
            <w:pPr>
              <w:rPr>
                <w:rFonts w:hint="eastAsia" w:ascii="黑体" w:hAnsi="黑体" w:eastAsia="黑体" w:cs="黑体"/>
                <w:i w:val="0"/>
                <w:color w:val="000000"/>
                <w:sz w:val="18"/>
                <w:szCs w:val="18"/>
                <w:u w:val="none"/>
              </w:rPr>
            </w:pPr>
          </w:p>
        </w:tc>
        <w:tc>
          <w:tcPr>
            <w:tcW w:w="907" w:type="dxa"/>
            <w:shd w:val="clear" w:color="auto" w:fill="auto"/>
            <w:vAlign w:val="center"/>
          </w:tcPr>
          <w:p>
            <w:pPr>
              <w:rPr>
                <w:rFonts w:hint="eastAsia" w:ascii="黑体" w:hAnsi="黑体" w:eastAsia="黑体" w:cs="黑体"/>
                <w:i w:val="0"/>
                <w:color w:val="000000"/>
                <w:sz w:val="18"/>
                <w:szCs w:val="18"/>
                <w:u w:val="none"/>
              </w:rPr>
            </w:pPr>
          </w:p>
        </w:tc>
        <w:tc>
          <w:tcPr>
            <w:tcW w:w="1832" w:type="dxa"/>
            <w:shd w:val="clear" w:color="auto" w:fill="auto"/>
            <w:vAlign w:val="center"/>
          </w:tcPr>
          <w:p>
            <w:pPr>
              <w:rPr>
                <w:rFonts w:hint="eastAsia" w:ascii="黑体" w:hAnsi="黑体" w:eastAsia="黑体" w:cs="黑体"/>
                <w:i w:val="0"/>
                <w:color w:val="000000"/>
                <w:sz w:val="18"/>
                <w:szCs w:val="18"/>
                <w:u w:val="none"/>
              </w:rPr>
            </w:pPr>
          </w:p>
        </w:tc>
        <w:tc>
          <w:tcPr>
            <w:tcW w:w="295" w:type="dxa"/>
            <w:shd w:val="clear" w:color="auto" w:fill="auto"/>
            <w:vAlign w:val="center"/>
          </w:tcPr>
          <w:p>
            <w:pPr>
              <w:rPr>
                <w:rFonts w:hint="eastAsia" w:ascii="黑体" w:hAnsi="黑体" w:eastAsia="黑体" w:cs="黑体"/>
                <w:i w:val="0"/>
                <w:color w:val="000000"/>
                <w:sz w:val="18"/>
                <w:szCs w:val="18"/>
                <w:u w:val="none"/>
              </w:rPr>
            </w:pPr>
          </w:p>
        </w:tc>
        <w:tc>
          <w:tcPr>
            <w:tcW w:w="643" w:type="dxa"/>
            <w:shd w:val="clear" w:color="auto" w:fill="auto"/>
            <w:vAlign w:val="center"/>
          </w:tcPr>
          <w:p>
            <w:pPr>
              <w:rPr>
                <w:rFonts w:hint="eastAsia" w:ascii="黑体" w:hAnsi="黑体" w:eastAsia="黑体" w:cs="黑体"/>
                <w:i w:val="0"/>
                <w:color w:val="000000"/>
                <w:sz w:val="18"/>
                <w:szCs w:val="18"/>
                <w:u w:val="none"/>
              </w:rPr>
            </w:pPr>
          </w:p>
        </w:tc>
        <w:tc>
          <w:tcPr>
            <w:tcW w:w="295" w:type="dxa"/>
            <w:shd w:val="clear" w:color="auto" w:fill="auto"/>
            <w:vAlign w:val="center"/>
          </w:tcPr>
          <w:p>
            <w:pPr>
              <w:rPr>
                <w:rFonts w:hint="eastAsia" w:ascii="黑体" w:hAnsi="黑体" w:eastAsia="黑体" w:cs="黑体"/>
                <w:i w:val="0"/>
                <w:color w:val="000000"/>
                <w:sz w:val="18"/>
                <w:szCs w:val="18"/>
                <w:u w:val="none"/>
              </w:rPr>
            </w:pPr>
          </w:p>
        </w:tc>
        <w:tc>
          <w:tcPr>
            <w:tcW w:w="1122" w:type="dxa"/>
            <w:shd w:val="clear" w:color="auto" w:fill="auto"/>
            <w:vAlign w:val="center"/>
          </w:tcPr>
          <w:p>
            <w:pPr>
              <w:rPr>
                <w:rFonts w:hint="eastAsia" w:ascii="黑体" w:hAnsi="黑体" w:eastAsia="黑体" w:cs="黑体"/>
                <w:i w:val="0"/>
                <w:color w:val="000000"/>
                <w:sz w:val="18"/>
                <w:szCs w:val="18"/>
                <w:u w:val="none"/>
              </w:rPr>
            </w:pPr>
          </w:p>
        </w:tc>
        <w:tc>
          <w:tcPr>
            <w:tcW w:w="386" w:type="dxa"/>
            <w:shd w:val="clear" w:color="auto" w:fill="auto"/>
            <w:vAlign w:val="center"/>
          </w:tcPr>
          <w:p>
            <w:pPr>
              <w:rPr>
                <w:rFonts w:hint="eastAsia" w:ascii="黑体" w:hAnsi="黑体" w:eastAsia="黑体" w:cs="黑体"/>
                <w:i w:val="0"/>
                <w:color w:val="000000"/>
                <w:sz w:val="18"/>
                <w:szCs w:val="18"/>
                <w:u w:val="none"/>
              </w:rPr>
            </w:pPr>
          </w:p>
        </w:tc>
        <w:tc>
          <w:tcPr>
            <w:tcW w:w="467" w:type="dxa"/>
            <w:shd w:val="clear" w:color="auto" w:fill="auto"/>
            <w:vAlign w:val="center"/>
          </w:tcPr>
          <w:p>
            <w:pPr>
              <w:rPr>
                <w:rFonts w:hint="eastAsia" w:ascii="黑体" w:hAnsi="黑体" w:eastAsia="黑体" w:cs="黑体"/>
                <w:i w:val="0"/>
                <w:color w:val="000000"/>
                <w:sz w:val="18"/>
                <w:szCs w:val="18"/>
                <w:u w:val="none"/>
              </w:rPr>
            </w:pPr>
          </w:p>
        </w:tc>
        <w:tc>
          <w:tcPr>
            <w:tcW w:w="1423" w:type="dxa"/>
            <w:shd w:val="clear" w:color="auto" w:fill="auto"/>
            <w:vAlign w:val="center"/>
          </w:tcPr>
          <w:p>
            <w:pP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8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12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70"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51118122T000000419773-根据国家政策调待资金地方配套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人力资源和社会保障局</w:t>
            </w:r>
          </w:p>
        </w:tc>
        <w:tc>
          <w:tcPr>
            <w:tcW w:w="1122"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根据国家政策调待资金地方配套</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根据国家政策测算调待金额县级财政承担部分，向财政部门申报资金，待资金到位后，划拨至社保基金专户在四川省人力资源和社会保障平台发放。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324.37</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324.37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324.37</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324.37</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根据国家政策调待资金地方配套</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324.37</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根据国家政策调待资金地方配套</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根据国家政策调待资金地方配套年度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根据国家政策调待资金地方配套</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324.37</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根据国家政策调待资金地方配套，维护社会稳定</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根据国家政策调待资金地方配套，保障退休人员基本生活水平</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领取待遇人员投诉率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领取待遇人员满意度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项目自评得分100分。该项目根据国家政策调待资金地方配套，保障退休人员基本生活水平，维护社会稳定。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6" w:type="dxa"/>
            <w:shd w:val="clear" w:color="auto" w:fill="auto"/>
            <w:vAlign w:val="center"/>
          </w:tcPr>
          <w:p>
            <w:pPr>
              <w:rPr>
                <w:rFonts w:hint="eastAsia" w:ascii="宋体" w:hAnsi="宋体" w:eastAsia="宋体" w:cs="宋体"/>
                <w:i w:val="0"/>
                <w:color w:val="000000"/>
                <w:sz w:val="18"/>
                <w:szCs w:val="18"/>
                <w:u w:val="none"/>
              </w:rPr>
            </w:pPr>
          </w:p>
        </w:tc>
        <w:tc>
          <w:tcPr>
            <w:tcW w:w="579" w:type="dxa"/>
            <w:shd w:val="clear" w:color="auto" w:fill="auto"/>
            <w:vAlign w:val="center"/>
          </w:tcPr>
          <w:p>
            <w:pPr>
              <w:rPr>
                <w:rFonts w:hint="eastAsia" w:ascii="宋体" w:hAnsi="宋体" w:eastAsia="宋体" w:cs="宋体"/>
                <w:i w:val="0"/>
                <w:color w:val="000000"/>
                <w:sz w:val="18"/>
                <w:szCs w:val="18"/>
                <w:u w:val="none"/>
              </w:rPr>
            </w:pPr>
          </w:p>
        </w:tc>
        <w:tc>
          <w:tcPr>
            <w:tcW w:w="907" w:type="dxa"/>
            <w:shd w:val="clear" w:color="auto" w:fill="auto"/>
            <w:vAlign w:val="center"/>
          </w:tcPr>
          <w:p>
            <w:pPr>
              <w:rPr>
                <w:rFonts w:hint="eastAsia" w:ascii="宋体" w:hAnsi="宋体" w:eastAsia="宋体" w:cs="宋体"/>
                <w:i w:val="0"/>
                <w:color w:val="000000"/>
                <w:sz w:val="18"/>
                <w:szCs w:val="18"/>
                <w:u w:val="none"/>
              </w:rPr>
            </w:pPr>
          </w:p>
        </w:tc>
        <w:tc>
          <w:tcPr>
            <w:tcW w:w="1832"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643" w:type="dxa"/>
            <w:shd w:val="clear" w:color="auto" w:fill="auto"/>
            <w:vAlign w:val="center"/>
          </w:tcPr>
          <w:p>
            <w:pPr>
              <w:rPr>
                <w:rFonts w:hint="eastAsia" w:ascii="宋体" w:hAnsi="宋体" w:eastAsia="宋体" w:cs="宋体"/>
                <w:i w:val="0"/>
                <w:color w:val="000000"/>
                <w:sz w:val="18"/>
                <w:szCs w:val="18"/>
                <w:u w:val="none"/>
              </w:rPr>
            </w:pPr>
          </w:p>
        </w:tc>
        <w:tc>
          <w:tcPr>
            <w:tcW w:w="295" w:type="dxa"/>
            <w:shd w:val="clear" w:color="auto" w:fill="auto"/>
            <w:vAlign w:val="center"/>
          </w:tcPr>
          <w:p>
            <w:pPr>
              <w:rPr>
                <w:rFonts w:hint="eastAsia" w:ascii="宋体" w:hAnsi="宋体" w:eastAsia="宋体" w:cs="宋体"/>
                <w:i w:val="0"/>
                <w:color w:val="000000"/>
                <w:sz w:val="18"/>
                <w:szCs w:val="18"/>
                <w:u w:val="none"/>
              </w:rPr>
            </w:pPr>
          </w:p>
        </w:tc>
        <w:tc>
          <w:tcPr>
            <w:tcW w:w="1122" w:type="dxa"/>
            <w:shd w:val="clear" w:color="auto" w:fill="auto"/>
            <w:vAlign w:val="center"/>
          </w:tcPr>
          <w:p>
            <w:pPr>
              <w:rPr>
                <w:rFonts w:hint="eastAsia" w:ascii="宋体" w:hAnsi="宋体" w:eastAsia="宋体" w:cs="宋体"/>
                <w:i w:val="0"/>
                <w:color w:val="000000"/>
                <w:sz w:val="18"/>
                <w:szCs w:val="18"/>
                <w:u w:val="none"/>
              </w:rPr>
            </w:pPr>
          </w:p>
        </w:tc>
        <w:tc>
          <w:tcPr>
            <w:tcW w:w="386" w:type="dxa"/>
            <w:shd w:val="clear" w:color="auto" w:fill="auto"/>
            <w:vAlign w:val="center"/>
          </w:tcPr>
          <w:p>
            <w:pPr>
              <w:rPr>
                <w:rFonts w:hint="eastAsia" w:ascii="宋体" w:hAnsi="宋体" w:eastAsia="宋体" w:cs="宋体"/>
                <w:i w:val="0"/>
                <w:color w:val="000000"/>
                <w:sz w:val="18"/>
                <w:szCs w:val="18"/>
                <w:u w:val="none"/>
              </w:rPr>
            </w:pPr>
          </w:p>
        </w:tc>
        <w:tc>
          <w:tcPr>
            <w:tcW w:w="467" w:type="dxa"/>
            <w:shd w:val="clear" w:color="auto" w:fill="auto"/>
            <w:vAlign w:val="center"/>
          </w:tcPr>
          <w:p>
            <w:pPr>
              <w:rPr>
                <w:rFonts w:hint="eastAsia" w:ascii="宋体" w:hAnsi="宋体" w:eastAsia="宋体" w:cs="宋体"/>
                <w:i w:val="0"/>
                <w:color w:val="000000"/>
                <w:sz w:val="18"/>
                <w:szCs w:val="18"/>
                <w:u w:val="none"/>
              </w:rPr>
            </w:pPr>
          </w:p>
        </w:tc>
        <w:tc>
          <w:tcPr>
            <w:tcW w:w="1423" w:type="dxa"/>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8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51118122T000005164962-社会保险专项经费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人力资源和社会保障局</w:t>
            </w:r>
          </w:p>
        </w:tc>
        <w:tc>
          <w:tcPr>
            <w:tcW w:w="1122" w:type="dxa"/>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峨眉山市社会保险事务中心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社保及各项政府补助发放业务综合经办管理</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根据社保业务办理情况，据实支付各项相关费用。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17.86</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17.86</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办理社保业务项目数</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提升社保业务工作质量，提高群众满意度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完成年度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2022</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办理业务成本</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17.86</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为群众办理各项社保业务，保证群众社保费缴纳、转移、退休、领取退休金等事务的开展</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对持续办理社保业务的影响</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办理业务群众投诉率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2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项目自评得分100分。该项目根据社保业务办理情况，据实支付各项相关费用。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pPr>
        <w:spacing w:line="600" w:lineRule="exact"/>
        <w:jc w:val="left"/>
        <w:outlineLvl w:val="0"/>
        <w:rPr>
          <w:rFonts w:ascii="仿宋_GB2312" w:hAnsi="Calibri" w:eastAsia="仿宋_GB2312" w:cs="仿宋"/>
          <w:kern w:val="0"/>
          <w:sz w:val="32"/>
          <w:szCs w:val="32"/>
        </w:rPr>
      </w:pPr>
    </w:p>
    <w:p>
      <w:pPr>
        <w:spacing w:line="600" w:lineRule="exact"/>
        <w:ind w:firstLine="640" w:firstLineChars="200"/>
        <w:jc w:val="left"/>
        <w:outlineLvl w:val="0"/>
        <w:rPr>
          <w:rFonts w:ascii="仿宋_GB2312" w:hAnsi="Calibri" w:eastAsia="仿宋_GB2312" w:cs="仿宋"/>
          <w:kern w:val="0"/>
          <w:sz w:val="32"/>
          <w:szCs w:val="32"/>
        </w:rPr>
      </w:pPr>
    </w:p>
    <w:p>
      <w:pPr>
        <w:pStyle w:val="2"/>
        <w:spacing w:before="93"/>
        <w:rPr>
          <w:rFonts w:hAnsi="Calibri" w:cs="仿宋"/>
          <w:sz w:val="32"/>
          <w:szCs w:val="32"/>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2"/>
      <w:bookmarkEnd w:id="54"/>
      <w:bookmarkStart w:id="55"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5"/>
    </w:p>
    <w:p>
      <w:pPr>
        <w:pStyle w:val="4"/>
        <w:rPr>
          <w:rFonts w:ascii="仿宋" w:hAnsi="仿宋" w:eastAsia="仿宋"/>
        </w:rPr>
      </w:pPr>
      <w:bookmarkStart w:id="56" w:name="_Toc15396620"/>
      <w:r>
        <w:rPr>
          <w:rFonts w:hint="eastAsia" w:ascii="仿宋" w:hAnsi="仿宋" w:eastAsia="仿宋"/>
          <w:b w:val="0"/>
        </w:rPr>
        <w:t>二、收</w:t>
      </w:r>
      <w:r>
        <w:rPr>
          <w:rStyle w:val="25"/>
          <w:rFonts w:hint="eastAsia" w:ascii="仿宋" w:hAnsi="仿宋" w:eastAsia="仿宋"/>
          <w:b w:val="0"/>
          <w:bCs w:val="0"/>
        </w:rPr>
        <w:t>入决算表</w:t>
      </w:r>
      <w:bookmarkEnd w:id="56"/>
    </w:p>
    <w:p>
      <w:pPr>
        <w:pStyle w:val="4"/>
        <w:rPr>
          <w:rFonts w:ascii="仿宋" w:hAnsi="仿宋" w:eastAsia="仿宋"/>
        </w:rPr>
      </w:pPr>
      <w:bookmarkStart w:id="57"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7"/>
    </w:p>
    <w:p>
      <w:pPr>
        <w:pStyle w:val="4"/>
        <w:rPr>
          <w:rFonts w:ascii="仿宋" w:hAnsi="仿宋" w:eastAsia="仿宋"/>
          <w:b w:val="0"/>
        </w:rPr>
      </w:pPr>
      <w:bookmarkStart w:id="58"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8"/>
    </w:p>
    <w:p>
      <w:pPr>
        <w:pStyle w:val="4"/>
        <w:rPr>
          <w:rStyle w:val="25"/>
          <w:rFonts w:ascii="仿宋" w:hAnsi="仿宋" w:eastAsia="仿宋"/>
          <w:b w:val="0"/>
          <w:bCs w:val="0"/>
        </w:rPr>
      </w:pPr>
      <w:bookmarkStart w:id="59"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9"/>
      <w:bookmarkStart w:id="60"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0"/>
    </w:p>
    <w:p>
      <w:pPr>
        <w:pStyle w:val="4"/>
        <w:rPr>
          <w:rFonts w:ascii="仿宋" w:hAnsi="仿宋" w:eastAsia="仿宋"/>
        </w:rPr>
      </w:pPr>
      <w:bookmarkStart w:id="61"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1"/>
    </w:p>
    <w:p>
      <w:pPr>
        <w:pStyle w:val="4"/>
        <w:rPr>
          <w:rFonts w:ascii="仿宋" w:hAnsi="仿宋" w:eastAsia="仿宋"/>
        </w:rPr>
      </w:pPr>
      <w:bookmarkStart w:id="62"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2"/>
    </w:p>
    <w:p>
      <w:pPr>
        <w:pStyle w:val="4"/>
        <w:rPr>
          <w:rFonts w:ascii="仿宋" w:hAnsi="仿宋" w:eastAsia="仿宋"/>
        </w:rPr>
      </w:pPr>
      <w:bookmarkStart w:id="63"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3"/>
    </w:p>
    <w:p>
      <w:pPr>
        <w:pStyle w:val="4"/>
        <w:rPr>
          <w:rFonts w:ascii="仿宋" w:hAnsi="仿宋" w:eastAsia="仿宋"/>
        </w:rPr>
      </w:pPr>
      <w:bookmarkStart w:id="64" w:name="_Toc15396628"/>
      <w:r>
        <w:rPr>
          <w:rStyle w:val="25"/>
          <w:rFonts w:hint="eastAsia" w:ascii="仿宋" w:hAnsi="仿宋" w:eastAsia="仿宋"/>
          <w:b w:val="0"/>
          <w:bCs w:val="0"/>
        </w:rPr>
        <w:t>十、</w:t>
      </w:r>
      <w:bookmarkEnd w:id="64"/>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5" w:name="_Toc15396629"/>
      <w:r>
        <w:rPr>
          <w:rStyle w:val="25"/>
          <w:rFonts w:hint="eastAsia" w:ascii="仿宋" w:hAnsi="仿宋" w:eastAsia="仿宋"/>
          <w:b w:val="0"/>
          <w:bCs w:val="0"/>
        </w:rPr>
        <w:t>十一、</w:t>
      </w:r>
      <w:bookmarkEnd w:id="65"/>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6" w:name="_Toc15396630"/>
      <w:r>
        <w:rPr>
          <w:rStyle w:val="25"/>
          <w:rFonts w:hint="eastAsia" w:ascii="仿宋" w:hAnsi="仿宋" w:eastAsia="仿宋"/>
          <w:b w:val="0"/>
          <w:bCs w:val="0"/>
        </w:rPr>
        <w:t>十二、</w:t>
      </w:r>
      <w:bookmarkEnd w:id="66"/>
      <w:r>
        <w:rPr>
          <w:rStyle w:val="25"/>
          <w:rFonts w:hint="eastAsia" w:ascii="仿宋" w:hAnsi="仿宋" w:eastAsia="仿宋"/>
          <w:b w:val="0"/>
          <w:bCs w:val="0"/>
        </w:rPr>
        <w:t>国有资本经营预算财政拨款支出决算表</w:t>
      </w:r>
    </w:p>
    <w:p>
      <w:pPr>
        <w:pStyle w:val="4"/>
        <w:rPr>
          <w:rFonts w:eastAsia="仿宋"/>
        </w:rPr>
      </w:pPr>
      <w:bookmarkStart w:id="67" w:name="_Toc15396631"/>
      <w:r>
        <w:rPr>
          <w:rStyle w:val="25"/>
          <w:rFonts w:hint="eastAsia" w:ascii="仿宋" w:hAnsi="仿宋" w:eastAsia="仿宋"/>
          <w:b w:val="0"/>
          <w:bCs w:val="0"/>
        </w:rPr>
        <w:t>十三、</w:t>
      </w:r>
      <w:bookmarkEnd w:id="67"/>
      <w:r>
        <w:rPr>
          <w:rStyle w:val="25"/>
          <w:rFonts w:hint="eastAsia" w:ascii="仿宋" w:hAnsi="仿宋" w:eastAsia="仿宋"/>
          <w:b w:val="0"/>
          <w:bCs w:val="0"/>
        </w:rPr>
        <w:t>财政拨款“三公”经费支出决算表</w:t>
      </w:r>
    </w:p>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B2593D0"/>
    <w:multiLevelType w:val="singleLevel"/>
    <w:tmpl w:val="DB2593D0"/>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NjA0OGZjMjdkNTJlNTQ2ZjFjYTlmM2ExMWM4ZDA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53A62B5"/>
    <w:rsid w:val="071B451E"/>
    <w:rsid w:val="073937CB"/>
    <w:rsid w:val="0A2032A3"/>
    <w:rsid w:val="0B8A37D8"/>
    <w:rsid w:val="0BEB608B"/>
    <w:rsid w:val="0E0C4710"/>
    <w:rsid w:val="0EED4842"/>
    <w:rsid w:val="10C055FF"/>
    <w:rsid w:val="118107EC"/>
    <w:rsid w:val="11DD6519"/>
    <w:rsid w:val="13747923"/>
    <w:rsid w:val="14B43B71"/>
    <w:rsid w:val="16BB723D"/>
    <w:rsid w:val="18015F3F"/>
    <w:rsid w:val="18A37687"/>
    <w:rsid w:val="1A2A74CF"/>
    <w:rsid w:val="1A89431D"/>
    <w:rsid w:val="1BD23903"/>
    <w:rsid w:val="1BE8440E"/>
    <w:rsid w:val="1CBF26CF"/>
    <w:rsid w:val="1D155CEE"/>
    <w:rsid w:val="1F216CB4"/>
    <w:rsid w:val="1F6735D6"/>
    <w:rsid w:val="20F57F95"/>
    <w:rsid w:val="240371BF"/>
    <w:rsid w:val="25711CC6"/>
    <w:rsid w:val="25C741E6"/>
    <w:rsid w:val="27842671"/>
    <w:rsid w:val="29FD04D3"/>
    <w:rsid w:val="2ABE7A3E"/>
    <w:rsid w:val="2CA234A8"/>
    <w:rsid w:val="2EBD71A4"/>
    <w:rsid w:val="2EFA178C"/>
    <w:rsid w:val="30862B7D"/>
    <w:rsid w:val="30B46D73"/>
    <w:rsid w:val="319F7F4E"/>
    <w:rsid w:val="36462D4F"/>
    <w:rsid w:val="37F44033"/>
    <w:rsid w:val="383D272C"/>
    <w:rsid w:val="39AE70AB"/>
    <w:rsid w:val="3C0C0783"/>
    <w:rsid w:val="3EED3B62"/>
    <w:rsid w:val="3F9F3A96"/>
    <w:rsid w:val="4834695B"/>
    <w:rsid w:val="48BF60AB"/>
    <w:rsid w:val="493C27E9"/>
    <w:rsid w:val="496F39ED"/>
    <w:rsid w:val="49FF41D3"/>
    <w:rsid w:val="4BE068DB"/>
    <w:rsid w:val="4BF6002B"/>
    <w:rsid w:val="4C064C65"/>
    <w:rsid w:val="4ECE2238"/>
    <w:rsid w:val="51DB4B86"/>
    <w:rsid w:val="535411A5"/>
    <w:rsid w:val="53EF7882"/>
    <w:rsid w:val="54C94817"/>
    <w:rsid w:val="55333C3E"/>
    <w:rsid w:val="5AF22268"/>
    <w:rsid w:val="64CA39A1"/>
    <w:rsid w:val="69630ADE"/>
    <w:rsid w:val="6C4A05C8"/>
    <w:rsid w:val="6CEB53D6"/>
    <w:rsid w:val="6D3B1A89"/>
    <w:rsid w:val="6ED3136E"/>
    <w:rsid w:val="6FBB5206"/>
    <w:rsid w:val="71BF4EC2"/>
    <w:rsid w:val="72734D90"/>
    <w:rsid w:val="7412278C"/>
    <w:rsid w:val="76364B49"/>
    <w:rsid w:val="79E7B28D"/>
    <w:rsid w:val="7B5E0B3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图1：收、支决算总计变动情况图</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manualLayout>
          <c:layoutTarget val="inner"/>
          <c:xMode val="edge"/>
          <c:yMode val="edge"/>
          <c:x val="0.090075"/>
          <c:y val="0.181"/>
          <c:w val="0.84835"/>
          <c:h val="0.660066666666667"/>
        </c:manualLayout>
      </c:layout>
      <c:barChart>
        <c:barDir val="col"/>
        <c:grouping val="clustered"/>
        <c:varyColors val="0"/>
        <c:ser>
          <c:idx val="0"/>
          <c:order val="0"/>
          <c:tx>
            <c:strRef>
              <c:f>Sheet1!$B$1</c:f>
              <c:strCache>
                <c:ptCount val="1"/>
                <c:pt idx="0">
                  <c:v>2021年收支总额</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20550.06</c:v>
                </c:pt>
              </c:numCache>
            </c:numRef>
          </c:val>
        </c:ser>
        <c:ser>
          <c:idx val="1"/>
          <c:order val="1"/>
          <c:tx>
            <c:strRef>
              <c:f>Sheet1!$C$1</c:f>
              <c:strCache>
                <c:ptCount val="1"/>
                <c:pt idx="0">
                  <c:v>2022年收支总额</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1">
                  <c:v>16253.77</c:v>
                </c:pt>
              </c:numCache>
            </c:numRef>
          </c:val>
        </c:ser>
        <c:dLbls>
          <c:showLegendKey val="0"/>
          <c:showVal val="0"/>
          <c:showCatName val="0"/>
          <c:showSerName val="0"/>
          <c:showPercent val="0"/>
          <c:showBubbleSize val="0"/>
        </c:dLbls>
        <c:gapWidth val="219"/>
        <c:overlap val="0"/>
        <c:axId val="279766482"/>
        <c:axId val="506443071"/>
      </c:barChart>
      <c:lineChart>
        <c:grouping val="standard"/>
        <c:varyColors val="0"/>
        <c:ser>
          <c:idx val="2"/>
          <c:order val="2"/>
          <c:tx>
            <c:strRef>
              <c:f>Sheet1!#REF!</c:f>
              <c:strCache>
                <c:ptCount val="1"/>
                <c:pt idx="0">
                  <c:v/>
                </c:pt>
              </c:strCache>
            </c:strRef>
          </c:tx>
          <c:spPr>
            <a:ln w="28575" cap="rnd">
              <a:solidFill>
                <a:schemeClr val="accent3"/>
              </a:solidFill>
              <a:round/>
            </a:ln>
            <a:effectLst/>
          </c:spPr>
          <c:marker>
            <c:symbol val="none"/>
          </c:marker>
          <c:dLbls>
            <c:delete val="1"/>
          </c:dLbls>
          <c:cat>
            <c:strRef>
              <c:f>Sheet1!$A$2:$A$3</c:f>
              <c:strCache>
                <c:ptCount val="2"/>
                <c:pt idx="0">
                  <c:v>2021年</c:v>
                </c:pt>
                <c:pt idx="1">
                  <c:v>2022年</c:v>
                </c:pt>
              </c:strCache>
            </c:strRef>
          </c:cat>
          <c:val>
            <c:numRef>
              <c:f>Sheet1!#REF!</c:f>
              <c:numCache>
                <c:formatCode>General</c:formatCode>
                <c:ptCount val="1"/>
                <c:pt idx="0">
                  <c:v>1</c:v>
                </c:pt>
              </c:numCache>
            </c:numRef>
          </c:val>
          <c:smooth val="0"/>
        </c:ser>
        <c:dLbls>
          <c:showLegendKey val="0"/>
          <c:showVal val="0"/>
          <c:showCatName val="0"/>
          <c:showSerName val="0"/>
          <c:showPercent val="0"/>
          <c:showBubbleSize val="0"/>
        </c:dLbls>
        <c:marker val="0"/>
        <c:smooth val="0"/>
        <c:axId val="978162150"/>
        <c:axId val="560820467"/>
      </c:lineChart>
      <c:catAx>
        <c:axId val="2797664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6443071"/>
        <c:crosses val="autoZero"/>
        <c:auto val="1"/>
        <c:lblAlgn val="ctr"/>
        <c:lblOffset val="100"/>
        <c:noMultiLvlLbl val="0"/>
      </c:catAx>
      <c:valAx>
        <c:axId val="506443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9766482"/>
        <c:crosses val="autoZero"/>
        <c:crossBetween val="between"/>
      </c:valAx>
      <c:catAx>
        <c:axId val="978162150"/>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0820467"/>
        <c:crosses val="autoZero"/>
        <c:auto val="1"/>
        <c:lblAlgn val="ctr"/>
        <c:lblOffset val="100"/>
        <c:noMultiLvlLbl val="0"/>
      </c:catAx>
      <c:valAx>
        <c:axId val="560820467"/>
        <c:scaling>
          <c:orientation val="minMax"/>
        </c:scaling>
        <c:delete val="0"/>
        <c:axPos val="r"/>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8162150"/>
        <c:crosses val="max"/>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图2：收入决算结构图</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34675"/>
          <c:y val="0.025"/>
        </c:manualLayout>
      </c:layout>
      <c:overlay val="0"/>
      <c:spPr>
        <a:noFill/>
        <a:ln>
          <a:noFill/>
        </a:ln>
        <a:effectLst/>
      </c:spPr>
    </c:title>
    <c:autoTitleDeleted val="0"/>
    <c:plotArea>
      <c:layout/>
      <c:pieChart>
        <c:varyColors val="1"/>
        <c:ser>
          <c:idx val="0"/>
          <c:order val="0"/>
          <c:tx>
            <c:strRef>
              <c:f>Sheet1!$B$1</c:f>
              <c:strCache>
                <c:ptCount val="1"/>
                <c:pt idx="0">
                  <c:v>收入决算结构</c:v>
                </c:pt>
              </c:strCache>
            </c:strRef>
          </c:tx>
          <c:spPr/>
          <c:explosion val="0"/>
          <c:dPt>
            <c:idx val="0"/>
            <c:bubble3D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manualLayout>
                  <c:x val="0.10922742983575"/>
                  <c:y val="-0.16463287296104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6784.96</c:v>
                </c:pt>
                <c:pt idx="1">
                  <c:v>1341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图3：支出决算结构图</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33925"/>
          <c:y val="0.02"/>
        </c:manualLayout>
      </c:layout>
      <c:overlay val="0"/>
      <c:spPr>
        <a:noFill/>
        <a:ln>
          <a:noFill/>
        </a:ln>
        <a:effectLst/>
      </c:spPr>
    </c:title>
    <c:autoTitleDeleted val="0"/>
    <c:plotArea>
      <c:layout/>
      <c:pieChart>
        <c:varyColors val="1"/>
        <c:ser>
          <c:idx val="0"/>
          <c:order val="0"/>
          <c:tx>
            <c:strRef>
              <c:f>Sheet1!$B$1</c:f>
              <c:strCache>
                <c:ptCount val="1"/>
                <c:pt idx="0">
                  <c:v>支出结构决算图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370314979391728"/>
                  <c:y val="0.051234491931870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373821161950044"/>
                  <c:y val="-0.199027438296666"/>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627.48</c:v>
                </c:pt>
                <c:pt idx="1">
                  <c:v>7500.33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图4：财政拨款收、支决算总计变动情况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1605"/>
          <c:y val="0.005"/>
        </c:manualLayout>
      </c:layout>
      <c:overlay val="0"/>
      <c:spPr>
        <a:noFill/>
        <a:ln>
          <a:noFill/>
        </a:ln>
        <a:effectLst/>
      </c:spPr>
    </c:title>
    <c:autoTitleDeleted val="0"/>
    <c:plotArea>
      <c:layout>
        <c:manualLayout>
          <c:layoutTarget val="inner"/>
          <c:xMode val="edge"/>
          <c:yMode val="edge"/>
          <c:x val="0.0427"/>
          <c:y val="0.1835"/>
          <c:w val="0.927925"/>
          <c:h val="0.660066666666667"/>
        </c:manualLayout>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20549.53</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1">
                  <c:v>16253.77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49538644"/>
        <c:axId val="707066835"/>
      </c:barChart>
      <c:catAx>
        <c:axId val="3495386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7066835"/>
        <c:crosses val="autoZero"/>
        <c:auto val="1"/>
        <c:lblAlgn val="ctr"/>
        <c:lblOffset val="100"/>
        <c:noMultiLvlLbl val="0"/>
      </c:catAx>
      <c:valAx>
        <c:axId val="7070668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538644"/>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图5：一般公共预算财政拨款支出决算变动情况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7832.51</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1">
                  <c:v>6786.81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67788016"/>
        <c:axId val="500412644"/>
      </c:barChart>
      <c:catAx>
        <c:axId val="9677880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0412644"/>
        <c:crosses val="autoZero"/>
        <c:auto val="1"/>
        <c:lblAlgn val="ctr"/>
        <c:lblOffset val="100"/>
        <c:noMultiLvlLbl val="0"/>
      </c:catAx>
      <c:valAx>
        <c:axId val="5004126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778801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06649165008184"/>
                  <c:y val="-0.1414379611340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74063829647763"/>
                  <c:y val="0.006060127600128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12163923149011"/>
                  <c:y val="0.0108806065693336"/>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66125"/>
                      <c:h val="0.044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6733.27</c:v>
                </c:pt>
                <c:pt idx="1">
                  <c:v>12.52</c:v>
                </c:pt>
                <c:pt idx="2">
                  <c:v>41.02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图7：“三公”经费财政拨款支出结构</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Lbls>
            <c:dLbl>
              <c:idx val="0"/>
              <c:layout>
                <c:manualLayout>
                  <c:x val="0.264374182664947"/>
                  <c:y val="-0.13264394360357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General</c:formatCode>
                <c:ptCount val="1"/>
                <c:pt idx="0">
                  <c:v>0.24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17</Pages>
  <Words>1496</Words>
  <Characters>8531</Characters>
  <Lines>71</Lines>
  <Paragraphs>20</Paragraphs>
  <TotalTime>17</TotalTime>
  <ScaleCrop>false</ScaleCrop>
  <LinksUpToDate>false</LinksUpToDate>
  <CharactersWithSpaces>10007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WPS_462412120</cp:lastModifiedBy>
  <cp:lastPrinted>2023-12-04T06:47:00Z</cp:lastPrinted>
  <dcterms:modified xsi:type="dcterms:W3CDTF">2023-12-11T07:38:04Z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CBABCF7562824AD8A24895C1C59AFF51_12</vt:lpwstr>
  </property>
</Properties>
</file>