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仿宋_GB2312" w:hAnsi="仿宋_GB2312" w:eastAsia="仿宋_GB2312" w:cs="仿宋_GB2312"/>
          <w:b w:val="0"/>
          <w:bCs w:val="0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shd w:val="clear" w:color="auto" w:fill="FFFFFF"/>
          <w:lang w:eastAsia="zh-CN"/>
        </w:rPr>
        <w:t>附件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28"/>
          <w:szCs w:val="28"/>
          <w:shd w:val="clear" w:color="auto" w:fill="FFFFFF"/>
          <w:lang w:val="en-US" w:eastAsia="zh-CN"/>
        </w:rPr>
        <w:t>35</w:t>
      </w:r>
    </w:p>
    <w:p>
      <w:pPr>
        <w:pStyle w:val="2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shd w:val="clear" w:color="auto" w:fill="FFFFFF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年峨眉山市部门整体支出绩效报告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kern w:val="0"/>
          <w:sz w:val="36"/>
          <w:szCs w:val="36"/>
          <w:shd w:val="clear" w:color="auto" w:fill="FFFFFF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line="580" w:lineRule="exact"/>
        <w:jc w:val="center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2022年部门整体支出绩效报告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 xml:space="preserve">一、部门概况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（一）机构组成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是峨眉山市人民政府工作部门，属于财政全额拨款。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无下属单位，内设办公室、贸易股、服务业协调股。</w:t>
      </w:r>
    </w:p>
    <w:p>
      <w:pPr>
        <w:pStyle w:val="4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before="0" w:beforeLines="-2147483648" w:beforeAutospacing="0" w:after="0" w:afterLines="-2147483648" w:afterAutospacing="0" w:line="580" w:lineRule="exact"/>
        <w:ind w:left="-13" w:leftChars="0" w:firstLine="643" w:firstLineChars="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  <w:t>机构职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 xml:space="preserve">能 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  <w:t>贯彻落实国家、省有关国内外贸易的方针政策和法律法规，拟订全市国内外贸易的相关政策文件，制定全市商务发展规划和年度计划并组织实施。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 xml:space="preserve"> 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  <w:t>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  <w:t>承担全市服务业发展工作中组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  <w:t>织实施的协调职责；拟订促进服务业发展总体规划和政策措施；汇总分析全市服务业发展总体情况；推进服务业重大项目建设。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  <w:t>3.负责完善全市国内贸易市场规划、组织、调控、监管体系建设；推动全市商贸中小微企业发展；引导国内外资金投向市场体系建设，制订大宗产品批发市场规划，推进各类商品市场建设；编制和组织实施城市商业网点规划并指导城乡商业网点规划、商业体系建设和社区商业发展，推进农村市场体系建设，优化农村商业网点布局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  <w:t>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  <w:t>推进商务领域诚信建设，促进商业信用销售和信用服务业发展，规范商业信用支付，参与组织打击商业欺诈工作；协助建立市场诚信公共服务平台；按有关规定对全市特殊流通行业进行监督管理；负责流通领域安全生产管理工作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  <w:t>负责市场统计监测调控和重要商品流通管理工作，负责建立健全生活必需品市场供应应急管理机制，监测分析市场运行和商品供求状况，调查分析商品价格信息和行业发展状况，进行预测预警和信息引导；负责重要消费品储备管理（肉类、食糖、小包装食品等）和市场调控工作；统筹商务领域消费促进工作，提出相关工作措施和政策建议并组织实施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  <w:t>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  <w:t>按相关规定对汽车流通行业进行管理；牵头负责商务领域流通标准化和行业科技进步，推动连锁经营等现代流通方式发展，促进流通技术应用和现代发展；负责商业特许经营相关工作；促进指导流通领域节能减排和再生资源回收工作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  <w:t>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  <w:t>指导协调对外贸易促进体系建设，促进贸易便利化，协助推进内外贸一体化进程；承担重要工业品、原材料和重要农产品进出口总量计划的实施，会同有关部门协调大宗进出口商品；规范我市进出口经营秩序，指导协调对外贸易信用体系建设和标准化建设；承担大型成套设备出口信贷及出口信用保险项目协调工作。</w:t>
      </w:r>
      <w:bookmarkStart w:id="0" w:name="page4"/>
      <w:bookmarkEnd w:id="0"/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  <w:t>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  <w:t>指导全市服务贸易（含服务外包）促进体系、出口品牌建设，推动服务外包平台建设；组织开展商贸领域的贸易促进活动，协助对外文化贸易促进的有关工作。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  <w:t>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  <w:t>制定全市商贸展会活动计划；组织参加市内外举办的商贸促进活动。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  <w:t>10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  <w:t>制定全市电子商务发展规划，拟订推动企业信息化、运用电子商务开拓国内外市场的相关政策措施并组织实施，推动电子商务的应用和发展，促进全市电子商务服务体系建设。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  <w:t>11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  <w:t>负责职责范围内的安全生产和职业健康、生态环境保护、审批服务便民化等工作。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  <w:t>12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zh-CN" w:eastAsia="zh-CN" w:bidi="ar-SA"/>
        </w:rPr>
        <w:t>完成市委、市政府交办的其他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工作</w:t>
      </w:r>
      <w:r>
        <w:rPr>
          <w:rFonts w:hint="eastAsia" w:hAnsi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。</w:t>
      </w:r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spacing w:before="0" w:beforeLines="-2147483648" w:beforeAutospacing="0" w:after="0" w:afterLines="-2147483648" w:afterAutospacing="0" w:line="58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  <w:t>（三）人员概况</w:t>
      </w:r>
    </w:p>
    <w:p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2022年度年末核定编制数11名，全部为公务员编制。2022年在职人数12名，均为财政全额拨款供养人员，劳务派遣人员2名，退休人员18名（含峨眉山市饭店退休人员7名）。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shd w:val="clear" w:color="auto" w:fill="FFFFFF"/>
        </w:rPr>
        <w:t>二、部门财政资金收支情况</w:t>
      </w:r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spacing w:before="0" w:beforeLines="-2147483648" w:beforeAutospacing="0" w:after="0" w:afterLines="-2147483648" w:afterAutospacing="0" w:line="58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  <w:t>（一）部门财政资金收入情况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2022年全年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收入总额521.77万元，其中：一般公共预算财政拨款收入402.41万元，占77.12%；政府性基金预算财政拨款收入108.43万元，占20.78%；年初结转和结余10.93万元，占2.1%。</w:t>
      </w:r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spacing w:before="0" w:beforeLines="-2147483648" w:beforeAutospacing="0" w:after="0" w:afterLines="-2147483648" w:afterAutospacing="0" w:line="58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  <w:t>（二）部门财政资金支出情况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提供的部门决算报表，2022年全年财政拨款支出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521.77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万元，其中基本支出为269.25万元（人员经费219.93万元和日常公用经费49.32万元），项目支出252.52万元，年末无结转结余资金。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pacing w:line="580" w:lineRule="exact"/>
        <w:ind w:left="0" w:leftChars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/>
        </w:rPr>
        <w:t>三、绩效分析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spacing w:line="580" w:lineRule="exact"/>
        <w:ind w:left="630" w:leftChars="0" w:firstLineChars="0"/>
        <w:jc w:val="left"/>
        <w:textAlignment w:val="auto"/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/>
        </w:rPr>
        <w:t>部门预算项目绩效管理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1.目标管理。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（1）目标制定。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提供的2022年部门整体支出和预算项目支出绩效目标表，绩效目标编制要素基本完整，但缺少成本指标、经济效益等指标，且对需要完成的指标部分未做到细化量化，如：2022年社会消费品零售总额管理项目，三级指标未从项目成本、项目完成效果等方面分解绩效指标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目标实现。</w:t>
      </w:r>
    </w:p>
    <w:p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left="0" w:leftChars="0" w:firstLine="640" w:firstLineChars="20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根据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提供的“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社会消费品零售总额管理”“住宿业平台维护费”2个项目完成资料，2022年度部门预算项目目标完成率为50%（2个数量指标，完成1个，1个偏差率大于20.00%），详见下表：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tbl>
      <w:tblPr>
        <w:tblStyle w:val="12"/>
        <w:tblpPr w:leftFromText="180" w:rightFromText="180" w:vertAnchor="text" w:horzAnchor="page" w:tblpX="1825" w:tblpY="-132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578"/>
        <w:gridCol w:w="2462"/>
        <w:gridCol w:w="1122"/>
        <w:gridCol w:w="1366"/>
        <w:gridCol w:w="1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tblHeader/>
        </w:trPr>
        <w:tc>
          <w:tcPr>
            <w:tcW w:w="49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94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46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  <w:t>三级指标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  <w:t>指标值</w:t>
            </w:r>
          </w:p>
        </w:tc>
        <w:tc>
          <w:tcPr>
            <w:tcW w:w="82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  <w:t>实际完成值</w:t>
            </w:r>
          </w:p>
        </w:tc>
        <w:tc>
          <w:tcPr>
            <w:tcW w:w="59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  <w:t>偏差率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49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shd w:val="clear" w:color="auto" w:fill="FFFFFF"/>
                <w:lang w:val="en-US" w:eastAsia="zh-CN"/>
              </w:rPr>
              <w:t>1</w:t>
            </w:r>
          </w:p>
        </w:tc>
        <w:tc>
          <w:tcPr>
            <w:tcW w:w="94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shd w:val="clear" w:color="auto" w:fill="FFFFFF"/>
                <w:lang w:val="en-US" w:eastAsia="zh-CN"/>
              </w:rPr>
              <w:t>社会消费品零售总额管理</w:t>
            </w:r>
          </w:p>
        </w:tc>
        <w:tc>
          <w:tcPr>
            <w:tcW w:w="146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shd w:val="clear" w:color="auto" w:fill="FFFFFF"/>
                <w:lang w:val="en-US" w:eastAsia="zh-CN"/>
              </w:rPr>
              <w:t>2022年度新增规上限上企业数量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shd w:val="clear" w:color="auto" w:fill="FFFFFF"/>
                <w:lang w:val="en-US" w:eastAsia="zh-CN"/>
              </w:rPr>
              <w:t>60个</w:t>
            </w:r>
          </w:p>
        </w:tc>
        <w:tc>
          <w:tcPr>
            <w:tcW w:w="82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shd w:val="clear" w:color="auto" w:fill="FFFFFF"/>
                <w:lang w:val="en-US" w:eastAsia="zh-CN"/>
              </w:rPr>
              <w:t>46个</w:t>
            </w:r>
          </w:p>
        </w:tc>
        <w:tc>
          <w:tcPr>
            <w:tcW w:w="59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shd w:val="clear" w:color="auto" w:fill="FFFFFF"/>
                <w:lang w:val="en-US" w:eastAsia="zh-CN"/>
              </w:rPr>
              <w:t>-23.3%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49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shd w:val="clear" w:color="auto" w:fill="FFFFFF"/>
                <w:lang w:val="en-US" w:eastAsia="zh-CN"/>
              </w:rPr>
              <w:t>2</w:t>
            </w:r>
          </w:p>
        </w:tc>
        <w:tc>
          <w:tcPr>
            <w:tcW w:w="94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shd w:val="clear" w:color="auto" w:fill="FFFFFF"/>
                <w:lang w:val="en-US" w:eastAsia="zh-CN"/>
              </w:rPr>
              <w:t>住宿业平台维护费</w:t>
            </w:r>
          </w:p>
        </w:tc>
        <w:tc>
          <w:tcPr>
            <w:tcW w:w="146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shd w:val="clear" w:color="auto" w:fill="FFFFFF"/>
                <w:lang w:val="en-US" w:eastAsia="zh-CN"/>
              </w:rPr>
              <w:t>加强对全市250余家住宿业单位的规范和指导，确保安全生产零事故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59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shd w:val="clear" w:color="auto" w:fill="FFFFFF"/>
                <w:lang w:val="en-US" w:eastAsia="zh-CN"/>
              </w:rPr>
              <w:t>0</w:t>
            </w:r>
          </w:p>
        </w:tc>
      </w:tr>
    </w:tbl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spacing w:before="0" w:beforeLines="-2147483648" w:beforeAutospacing="0" w:after="0" w:afterLines="-2147483648" w:afterAutospacing="0"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2.动态调整。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（1）支出控制。</w:t>
      </w:r>
    </w:p>
    <w:p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日常公用经费、项目支出中非定额公用支出科目预算242.87万元，年末决算115.59万元，差异为-127.28万元，偏差率为-52.41%，部分明细科目详见下表：      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tbl>
      <w:tblPr>
        <w:tblStyle w:val="1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2615"/>
        <w:gridCol w:w="1258"/>
        <w:gridCol w:w="1259"/>
        <w:gridCol w:w="1337"/>
        <w:gridCol w:w="13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tblHeader/>
        </w:trPr>
        <w:tc>
          <w:tcPr>
            <w:tcW w:w="46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5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  <w:t>费用类型</w:t>
            </w:r>
          </w:p>
        </w:tc>
        <w:tc>
          <w:tcPr>
            <w:tcW w:w="7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  <w:t>预算金额（万元）</w:t>
            </w:r>
          </w:p>
        </w:tc>
        <w:tc>
          <w:tcPr>
            <w:tcW w:w="7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  <w:t>决算金额（万元）</w:t>
            </w:r>
          </w:p>
        </w:tc>
        <w:tc>
          <w:tcPr>
            <w:tcW w:w="69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  <w:t>差异</w:t>
            </w:r>
          </w:p>
        </w:tc>
        <w:tc>
          <w:tcPr>
            <w:tcW w:w="69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  <w:t>偏差率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46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5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办公费</w:t>
            </w:r>
          </w:p>
        </w:tc>
        <w:tc>
          <w:tcPr>
            <w:tcW w:w="7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highlight w:val="none"/>
                <w:u w:val="none"/>
                <w:lang w:val="en-US" w:eastAsia="zh-CN" w:bidi="ar-SA"/>
              </w:rPr>
              <w:t>6.5</w:t>
            </w:r>
          </w:p>
        </w:tc>
        <w:tc>
          <w:tcPr>
            <w:tcW w:w="7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5.79</w:t>
            </w:r>
          </w:p>
        </w:tc>
        <w:tc>
          <w:tcPr>
            <w:tcW w:w="69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highlight w:val="none"/>
                <w:u w:val="none"/>
                <w:lang w:val="en-US" w:eastAsia="zh-CN" w:bidi="ar-SA"/>
              </w:rPr>
              <w:t>-0.71</w:t>
            </w:r>
          </w:p>
        </w:tc>
        <w:tc>
          <w:tcPr>
            <w:tcW w:w="69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-10.92%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46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5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印刷费</w:t>
            </w:r>
          </w:p>
        </w:tc>
        <w:tc>
          <w:tcPr>
            <w:tcW w:w="7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highlight w:val="none"/>
                <w:u w:val="none"/>
                <w:lang w:val="en-US" w:eastAsia="zh-CN" w:bidi="ar-SA"/>
              </w:rPr>
              <w:t>1</w:t>
            </w:r>
          </w:p>
        </w:tc>
        <w:tc>
          <w:tcPr>
            <w:tcW w:w="7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4.59</w:t>
            </w:r>
          </w:p>
        </w:tc>
        <w:tc>
          <w:tcPr>
            <w:tcW w:w="69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3.59</w:t>
            </w:r>
          </w:p>
        </w:tc>
        <w:tc>
          <w:tcPr>
            <w:tcW w:w="69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-359%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46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5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水费</w:t>
            </w:r>
          </w:p>
        </w:tc>
        <w:tc>
          <w:tcPr>
            <w:tcW w:w="7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1.5</w:t>
            </w:r>
          </w:p>
        </w:tc>
        <w:tc>
          <w:tcPr>
            <w:tcW w:w="7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1.01</w:t>
            </w:r>
          </w:p>
        </w:tc>
        <w:tc>
          <w:tcPr>
            <w:tcW w:w="69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-0.49</w:t>
            </w:r>
          </w:p>
        </w:tc>
        <w:tc>
          <w:tcPr>
            <w:tcW w:w="69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-32.67%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46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5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电费</w:t>
            </w:r>
          </w:p>
        </w:tc>
        <w:tc>
          <w:tcPr>
            <w:tcW w:w="7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0.5</w:t>
            </w:r>
          </w:p>
        </w:tc>
        <w:tc>
          <w:tcPr>
            <w:tcW w:w="7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1.27</w:t>
            </w:r>
          </w:p>
        </w:tc>
        <w:tc>
          <w:tcPr>
            <w:tcW w:w="69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0.77</w:t>
            </w:r>
          </w:p>
        </w:tc>
        <w:tc>
          <w:tcPr>
            <w:tcW w:w="69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154%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46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5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640" w:firstLineChars="20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培训费</w:t>
            </w:r>
          </w:p>
        </w:tc>
        <w:tc>
          <w:tcPr>
            <w:tcW w:w="7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highlight w:val="none"/>
                <w:u w:val="none"/>
                <w:lang w:val="en-US" w:eastAsia="zh-CN" w:bidi="ar-SA"/>
              </w:rPr>
              <w:t>0.5</w:t>
            </w:r>
          </w:p>
        </w:tc>
        <w:tc>
          <w:tcPr>
            <w:tcW w:w="7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0.2</w:t>
            </w:r>
          </w:p>
        </w:tc>
        <w:tc>
          <w:tcPr>
            <w:tcW w:w="69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-0.3</w:t>
            </w:r>
          </w:p>
        </w:tc>
        <w:tc>
          <w:tcPr>
            <w:tcW w:w="69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-60%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46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5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公务接待费</w:t>
            </w:r>
          </w:p>
        </w:tc>
        <w:tc>
          <w:tcPr>
            <w:tcW w:w="7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highlight w:val="none"/>
                <w:u w:val="none"/>
                <w:lang w:val="en-US" w:eastAsia="zh-CN" w:bidi="ar-SA"/>
              </w:rPr>
              <w:t>1</w:t>
            </w:r>
          </w:p>
        </w:tc>
        <w:tc>
          <w:tcPr>
            <w:tcW w:w="7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0.62</w:t>
            </w:r>
          </w:p>
        </w:tc>
        <w:tc>
          <w:tcPr>
            <w:tcW w:w="69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-0.38</w:t>
            </w:r>
          </w:p>
        </w:tc>
        <w:tc>
          <w:tcPr>
            <w:tcW w:w="69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-38%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46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5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工会经费</w:t>
            </w:r>
          </w:p>
        </w:tc>
        <w:tc>
          <w:tcPr>
            <w:tcW w:w="7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highlight w:val="none"/>
                <w:u w:val="none"/>
                <w:lang w:val="en-US" w:eastAsia="zh-CN" w:bidi="ar-SA"/>
              </w:rPr>
              <w:t>2.81</w:t>
            </w:r>
          </w:p>
        </w:tc>
        <w:tc>
          <w:tcPr>
            <w:tcW w:w="7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3.08</w:t>
            </w:r>
          </w:p>
        </w:tc>
        <w:tc>
          <w:tcPr>
            <w:tcW w:w="69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0.27</w:t>
            </w:r>
          </w:p>
        </w:tc>
        <w:tc>
          <w:tcPr>
            <w:tcW w:w="69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9.6%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46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5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其他商品和服务支出</w:t>
            </w:r>
          </w:p>
        </w:tc>
        <w:tc>
          <w:tcPr>
            <w:tcW w:w="7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highlight w:val="none"/>
                <w:u w:val="none"/>
                <w:lang w:val="en-US" w:eastAsia="zh-CN" w:bidi="ar-SA"/>
              </w:rPr>
              <w:t>206.47</w:t>
            </w:r>
          </w:p>
        </w:tc>
        <w:tc>
          <w:tcPr>
            <w:tcW w:w="7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59.51</w:t>
            </w:r>
          </w:p>
        </w:tc>
        <w:tc>
          <w:tcPr>
            <w:tcW w:w="69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-146.96</w:t>
            </w:r>
          </w:p>
        </w:tc>
        <w:tc>
          <w:tcPr>
            <w:tcW w:w="69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-71.18%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2038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7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221.28</w:t>
            </w:r>
          </w:p>
        </w:tc>
        <w:tc>
          <w:tcPr>
            <w:tcW w:w="7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76.07</w:t>
            </w:r>
          </w:p>
        </w:tc>
        <w:tc>
          <w:tcPr>
            <w:tcW w:w="69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-145.21</w:t>
            </w:r>
          </w:p>
        </w:tc>
        <w:tc>
          <w:tcPr>
            <w:tcW w:w="69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-65.62%</w:t>
            </w:r>
          </w:p>
        </w:tc>
      </w:tr>
    </w:tbl>
    <w:p>
      <w:pPr>
        <w:pStyle w:val="10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58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及时处置。</w:t>
      </w:r>
    </w:p>
    <w:p>
      <w:pPr>
        <w:pStyle w:val="7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绩效监控调整取消额与结余注销额均为0万元，被评价单位不存在未及时处置事项。</w:t>
      </w:r>
    </w:p>
    <w:p>
      <w:pPr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580" w:lineRule="exact"/>
        <w:ind w:left="0" w:leftChars="0" w:firstLine="640" w:firstLineChars="20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执行进度。</w:t>
      </w:r>
    </w:p>
    <w:p>
      <w:pPr>
        <w:pStyle w:val="7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根据账面显示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6月、9月、11月份预算执行分别为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vertAlign w:val="baseline"/>
          <w:lang w:val="en-US" w:eastAsia="zh-CN"/>
        </w:rPr>
        <w:t>112.38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万元、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vertAlign w:val="baseline"/>
          <w:lang w:val="en-US" w:eastAsia="zh-CN"/>
        </w:rPr>
        <w:t>224.41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万元、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vertAlign w:val="baseline"/>
          <w:lang w:val="en-US" w:eastAsia="zh-CN"/>
        </w:rPr>
        <w:t>244.18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万元，执行进度分别为45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/>
        </w:rPr>
        <w:t>%、88.87%、96.7%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，详见下表：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060"/>
        <w:gridCol w:w="1730"/>
        <w:gridCol w:w="1845"/>
        <w:gridCol w:w="1468"/>
        <w:gridCol w:w="1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0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  <w:t>月份</w:t>
            </w:r>
          </w:p>
        </w:tc>
        <w:tc>
          <w:tcPr>
            <w:tcW w:w="17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  <w:t>目标支出进度</w:t>
            </w:r>
          </w:p>
        </w:tc>
        <w:tc>
          <w:tcPr>
            <w:tcW w:w="18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  <w:t>调整后预算数</w:t>
            </w:r>
          </w:p>
        </w:tc>
        <w:tc>
          <w:tcPr>
            <w:tcW w:w="146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  <w:t>支出数</w:t>
            </w:r>
          </w:p>
        </w:tc>
        <w:tc>
          <w:tcPr>
            <w:tcW w:w="159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  <w:t>支出进度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0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7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50%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1,068.25</w:t>
            </w:r>
          </w:p>
        </w:tc>
        <w:tc>
          <w:tcPr>
            <w:tcW w:w="14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485.43</w:t>
            </w:r>
          </w:p>
        </w:tc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45.44%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0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17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80%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1,068.25</w:t>
            </w:r>
          </w:p>
        </w:tc>
        <w:tc>
          <w:tcPr>
            <w:tcW w:w="14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589.87</w:t>
            </w:r>
          </w:p>
        </w:tc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55.22%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0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7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90%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1,068.25</w:t>
            </w:r>
          </w:p>
        </w:tc>
        <w:tc>
          <w:tcPr>
            <w:tcW w:w="14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649.87</w:t>
            </w:r>
          </w:p>
        </w:tc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60.84%</w:t>
            </w:r>
          </w:p>
        </w:tc>
      </w:tr>
    </w:tbl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spacing w:before="0" w:beforeLines="-2147483648" w:beforeAutospacing="0" w:after="0" w:afterLines="-2147483648" w:afterAutospacing="0"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3.完成效率。</w:t>
      </w:r>
    </w:p>
    <w:p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left="0"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（1）预算完成。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firstLine="640" w:firstLineChars="200"/>
        <w:contextualSpacing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根据决算报表，截至2022年12月31日，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调整后预算数为252.52万元，全年实际支出252.52万元，年终注销0.00万元，结转资金0.00万元，12月预算执行进度为100%。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firstLine="640" w:firstLineChars="200"/>
        <w:contextualSpacing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资金结余率。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2022年部门预算项目共有4个，其中资金结余率小于0.1的项目数有4个，部门预算项目资金结余率（部门预算项目资金结余率小于0.1的项目数/部门预算项目总数）为100.00%。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违规记录。</w:t>
      </w:r>
    </w:p>
    <w:p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审计部门、财政局2022年对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的部门预算管理进行审计监督和财政检查，未提出预算管理方面的问题。</w:t>
      </w:r>
    </w:p>
    <w:p>
      <w:pPr>
        <w:pStyle w:val="7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rPr>
          <w:rFonts w:hint="eastAsia" w:ascii="仿宋_GB2312" w:hAnsi="仿宋_GB2312" w:eastAsia="仿宋_GB2312" w:cs="仿宋_GB2312"/>
          <w:b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专项预算项目自评</w:t>
      </w:r>
      <w:r>
        <w:rPr>
          <w:rFonts w:hint="eastAsia" w:hAnsi="仿宋_GB2312" w:cs="仿宋_GB2312"/>
          <w:b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共有4个专项预算项目，其中“服务业会展经费”专项预算项目自评打分92.69分、“住宿业平台维护费”专项预算项目自评打分91分、“社会消费品零售总额统计经费”专项预算项目自评打分96.8分“、“社会消费品零售总额管理”专项预算项目自评打分95分。4个专项预算项目自评平均分为93.87分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Chars="0" w:firstLine="640" w:firstLineChars="200"/>
        <w:contextualSpacing/>
        <w:jc w:val="left"/>
        <w:textAlignment w:val="auto"/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/>
        </w:rPr>
        <w:t>（二）结果应用情况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1.内部应用。</w:t>
      </w:r>
    </w:p>
    <w:p>
      <w:pPr>
        <w:pStyle w:val="6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预算挂钩。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将内设机构的绩效自评纳入了考核体系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，建立了对内设机构预算与绩效挂钩的相关机制。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2.信息公开。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自评公开。按照《中华人民共和国政府信息公开条例》（国务院第711号）及峨眉山市财政局要求，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2022年2月18日在峨眉山市政府信息公开网站门户上发布了2022年部门预算信息，由于2022年决算信息和绩效管理信息尚未要求发布，评价小组对2021年决算信息公开情况进行了检查，2021年决算公开时间为2022年10月31日，信息公开及时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3.整改反馈。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（1）问题整改。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2021年未对峨眉山市商务局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进行部门整体支出绩效评价，根据对“2021年社会消费品零售总额管理”项目的检查结果发现，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存在“项目年初设置绩效目标时未对目标指标量化、细化”的问题。本次绩效评价过程中，评价小组对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2022年绩效管理过程进行了检查，发现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2022年仍存在“绩效目标细化量化程度不够”等问题，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绩效管理结果整改问题、完善政策、改进管理情况有待进一步完善。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firstLine="640" w:firstLineChars="200"/>
        <w:contextualSpacing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（2）应用反馈。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根据《中共峨眉山市商务局党组关于巡察整改情况的报告》显示，峨眉山市商务局按要求及时向财政部门反馈了结果应用情况。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（三）自评质量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根据峨眉山市商务局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提供部门整体支出绩效自评报告，存在“预算编制工作精细度、预算目标完成度以及支出控制有待提高”等问题，自评得分95分，与评价组抽查得分存在11%的差异。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08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四、评价结论、存在问题及建议</w:t>
      </w:r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spacing w:before="0" w:beforeLines="-2147483648" w:beforeAutospacing="0" w:after="0" w:afterLines="-2147483648" w:afterAutospacing="0" w:line="58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（一）评价结论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2022年，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完成了全市服务业发展的组织协调等职责，较好的完成了部门整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体目标任务。但通过评价也发现，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在绩效管理、预算编制和内控管理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等方面需进一步加强和改进。该部门整体绩效评价最终得分84.55分。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（二）存在问题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1.预算管理。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（1）绩效目标指标设置未细化量化。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根据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提供的2022年部门整体支出绩效和预算项目绩效目标，绩效目标编制要素基本完整，但缺少成本指标、经济效益等指标，且对需要完成的指标部分未做到细化量化，如：2022年社会消费品零售总额管理项目，三级指标未从项目成本、项目完成效果等方面分解绩效指标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leftChars="0" w:firstLine="640" w:firstLineChars="200"/>
        <w:contextualSpacing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（2）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预算项目部分目标未完成。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根据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提供的“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社会消费品零售总额管理”“住宿业平台维护费”2个项目完成资料，2022年度部门预算项目目标完成率为50%（2个数量指标，完成1个，1个偏差率大于20.00%）。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（3）部门公用经费及非定额公用支出预算数与决算数偏差较大</w:t>
      </w:r>
      <w:r>
        <w:rPr>
          <w:rFonts w:hint="eastAsia" w:hAnsi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2022年，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日常公用经费、项目支出中非定额公用支出科目预算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242.87万元，年末决算115.59万元，差异为-127.28万元，偏差率为-52.41%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（4）专项项目自评得分存在扣分点。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共有4个专项预算项目，对4个专项预算项目的自评报告进行了查看，4个专项预算项目自评平均分为93.87分。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2.结果应用</w:t>
      </w:r>
      <w:r>
        <w:rPr>
          <w:rFonts w:hint="eastAsia" w:hAnsi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绩效整改情况有待改善</w:t>
      </w:r>
      <w:r>
        <w:rPr>
          <w:rFonts w:hint="eastAsia" w:hAnsi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2021年未对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进行部门整体支出绩效评价，根据对“2021年社会消费品零售总额管理”等项目的检查结果发现，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存在“项目年初设置绩效目标时未对目标指标量化、细化”的问题。本次绩效评价过程中，评价小组对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2022年绩效管理过程进行了检查，发现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2022年仍存在“绩效目标指标设置细化量化程度不够”等问题，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绩效管理结果整改问题、完善政策、改进管理情况有待进一步完善。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3.部门整体自评质量不高</w:t>
      </w:r>
      <w:r>
        <w:rPr>
          <w:rFonts w:hint="eastAsia" w:hAnsi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根据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商务局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提供部门整体支出绩效自评报告，存在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预算编制工作精细度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、预算目标完成度以及支出控制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有待提高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”等问题，自评得分95分，与评价组抽查得分存在11%的差异。</w:t>
      </w:r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spacing w:before="0" w:beforeLines="0" w:beforeAutospacing="0" w:after="0" w:afterLines="0" w:afterAutospacing="0" w:line="58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  <w:t>）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改进建议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1.针对预算管理方面的“指标设置未细化量化”、“执行进度完成率不高”等问题，建议通过鼓励相关人员积极参与预算绩效管理培训会，学习绩效编制相关的知识，来提升预算编制人员的政策水平和工作能力，同时建议加强与业务部门之间的沟通和协调，才能更好的开展预算编制工作，提高预算编制的准确性和可执行度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.针对结果应用方面的“绩效整改情况有待改善”问题，建议严格按照上级文件规定完成项目申报、监控及自评，提高财政资金的使用效益。除此外，建议制定由相关部门牵头、各部门参与的绩效评价管理制度，为绩效自评工作开展创造好的条件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3.针对“部门整体自评质量不高”的问题，建议单位提高对绩效自评工作的重视程度，加强部门整体支出绩效自评工作，根据年初预算项目绩效、当年预算执行、实际产生效益情况进行深入分析，发现并整改存在的问题，同时按比例进行打分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eastAsiaTheme="minorEastAsia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eastAsiaTheme="minorEastAsia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0BE419A"/>
    <w:multiLevelType w:val="singleLevel"/>
    <w:tmpl w:val="E0BE419A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F25D84C8"/>
    <w:multiLevelType w:val="singleLevel"/>
    <w:tmpl w:val="F25D84C8"/>
    <w:lvl w:ilvl="0" w:tentative="0">
      <w:start w:val="2"/>
      <w:numFmt w:val="chineseCounting"/>
      <w:suff w:val="nothing"/>
      <w:lvlText w:val="（%1）"/>
      <w:lvlJc w:val="left"/>
      <w:pPr>
        <w:ind w:left="-13"/>
      </w:pPr>
      <w:rPr>
        <w:rFonts w:hint="eastAsia"/>
      </w:rPr>
    </w:lvl>
  </w:abstractNum>
  <w:abstractNum w:abstractNumId="2">
    <w:nsid w:val="F58AB8C4"/>
    <w:multiLevelType w:val="singleLevel"/>
    <w:tmpl w:val="F58AB8C4"/>
    <w:lvl w:ilvl="0" w:tentative="0">
      <w:start w:val="1"/>
      <w:numFmt w:val="chineseCounting"/>
      <w:suff w:val="nothing"/>
      <w:lvlText w:val="（%1）"/>
      <w:lvlJc w:val="left"/>
      <w:pPr>
        <w:ind w:left="630"/>
      </w:pPr>
      <w:rPr>
        <w:rFonts w:hint="eastAsia"/>
      </w:rPr>
    </w:lvl>
  </w:abstractNum>
  <w:abstractNum w:abstractNumId="3">
    <w:nsid w:val="5526ABA4"/>
    <w:multiLevelType w:val="singleLevel"/>
    <w:tmpl w:val="5526ABA4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74C9D508"/>
    <w:multiLevelType w:val="singleLevel"/>
    <w:tmpl w:val="74C9D508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622E63"/>
    <w:rsid w:val="09E7774B"/>
    <w:rsid w:val="10201A9D"/>
    <w:rsid w:val="15CC4476"/>
    <w:rsid w:val="16097A27"/>
    <w:rsid w:val="18955845"/>
    <w:rsid w:val="1A7A360D"/>
    <w:rsid w:val="1B2F3AB7"/>
    <w:rsid w:val="26A33B88"/>
    <w:rsid w:val="26ED1577"/>
    <w:rsid w:val="29622E63"/>
    <w:rsid w:val="2C8C29CC"/>
    <w:rsid w:val="2F154E9A"/>
    <w:rsid w:val="303C605A"/>
    <w:rsid w:val="31E910A3"/>
    <w:rsid w:val="324366D2"/>
    <w:rsid w:val="37AC4A0D"/>
    <w:rsid w:val="38DC15FF"/>
    <w:rsid w:val="3BE569EE"/>
    <w:rsid w:val="4370329E"/>
    <w:rsid w:val="46531E84"/>
    <w:rsid w:val="46FA75B8"/>
    <w:rsid w:val="480D4E96"/>
    <w:rsid w:val="4C2478FD"/>
    <w:rsid w:val="4D6649E6"/>
    <w:rsid w:val="4FCC60B9"/>
    <w:rsid w:val="50410AFB"/>
    <w:rsid w:val="56216F25"/>
    <w:rsid w:val="58282176"/>
    <w:rsid w:val="589E1480"/>
    <w:rsid w:val="5A80243D"/>
    <w:rsid w:val="5D645DF4"/>
    <w:rsid w:val="68B17F4F"/>
    <w:rsid w:val="6C50087B"/>
    <w:rsid w:val="6F0951B5"/>
    <w:rsid w:val="79AA3F1E"/>
    <w:rsid w:val="7B6E123D"/>
    <w:rsid w:val="7FD2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napToGrid w:val="0"/>
      <w:spacing w:line="600" w:lineRule="exact"/>
      <w:ind w:firstLine="200"/>
      <w:jc w:val="left"/>
      <w:outlineLvl w:val="0"/>
    </w:pPr>
    <w:rPr>
      <w:rFonts w:ascii="宋体" w:hAnsi="宋体" w:eastAsia="黑体"/>
      <w:sz w:val="32"/>
      <w:szCs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pPr>
      <w:widowControl w:val="0"/>
      <w:spacing w:after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6">
    <w:name w:val="index 8"/>
    <w:basedOn w:val="1"/>
    <w:next w:val="1"/>
    <w:qFormat/>
    <w:uiPriority w:val="0"/>
    <w:pPr>
      <w:ind w:left="1680" w:hanging="210"/>
    </w:pPr>
  </w:style>
  <w:style w:type="paragraph" w:styleId="7">
    <w:name w:val="Body Text"/>
    <w:basedOn w:val="1"/>
    <w:next w:val="6"/>
    <w:unhideWhenUsed/>
    <w:qFormat/>
    <w:uiPriority w:val="99"/>
    <w:pPr>
      <w:ind w:left="107"/>
      <w:jc w:val="left"/>
    </w:pPr>
    <w:rPr>
      <w:rFonts w:ascii="仿宋_GB2312" w:eastAsia="仿宋_GB2312"/>
      <w:kern w:val="0"/>
      <w:sz w:val="32"/>
      <w:szCs w:val="32"/>
      <w:lang w:eastAsia="en-US"/>
    </w:rPr>
  </w:style>
  <w:style w:type="paragraph" w:styleId="8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toc 1"/>
    <w:basedOn w:val="1"/>
    <w:next w:val="1"/>
    <w:qFormat/>
    <w:uiPriority w:val="0"/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2022-09-08T08:19:00Z</dcterms:created>
  <dc:creator>Administrator</dc:creator>
  <cp:lastModifiedBy> 救世主 ！</cp:lastModifiedBy>
  <dcterms:modified xsi:type="dcterms:W3CDTF">2023-11-27T02:19:16Z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