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BC3F8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34</w:t>
      </w:r>
    </w:p>
    <w:p w14:paraId="44DAA6B4">
      <w:pPr>
        <w:pStyle w:val="5"/>
        <w:rPr>
          <w:rFonts w:hint="eastAsia"/>
          <w:lang w:val="en-US" w:eastAsia="zh-CN"/>
        </w:rPr>
      </w:pPr>
    </w:p>
    <w:p w14:paraId="279ECE7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年峨眉山市绩效工作开展情况</w:t>
      </w:r>
    </w:p>
    <w:p w14:paraId="352F4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62A91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绿色惠民殡葬政策支出绩效评价报告</w:t>
      </w:r>
    </w:p>
    <w:p w14:paraId="26EA4B95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/>
        <w:jc w:val="left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  <w:t>政策立项背景和目的</w:t>
      </w:r>
    </w:p>
    <w:p w14:paraId="4C51D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进一步做好峨眉山市绿色惠民殡葬工作，全面落实惠民殡葬政策，减轻群众丧葬负担，使惠民政策更惠民、便民、利民，按照《四川省民政厅 四川省财政厅关于全面实施绿色惠民殡葬政策的意见》（川民发〔2019〕55号），峨眉山民政局、发改局、财政局联合印发《关于进一步做好我市绿色惠民殡葬工作的通知》（峨民发〔2020〕8号），峨眉山市从2019年1月1日起开始实施绿色惠民殡葬补助项目。对在四川省行政区域内死亡，并在四川省内殡葬机构火化，同时未享受其他市（州）绿色惠民殡葬政策的具有峨眉山市户籍的人员实施殡葬补助，补助标准最高不超过1030元。</w:t>
      </w:r>
    </w:p>
    <w:p w14:paraId="6C6D9B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本项目目的为让峨眉山市市民更好地享受绿色惠民殡葬政策，同时推动绿色殡葬工作的开展。</w:t>
      </w:r>
    </w:p>
    <w:p w14:paraId="52EF09F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项目绩效目标</w:t>
      </w:r>
    </w:p>
    <w:p w14:paraId="0375C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对在四川省行政区域内死亡，并在四川省内殡葬机构火化，同时未享受其他市（州）绿色惠民殡葬政策的具有峨眉山市户籍的人员实施殡葬补助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65DA99D6">
      <w:pPr>
        <w:pStyle w:val="2"/>
        <w:numPr>
          <w:ilvl w:val="0"/>
          <w:numId w:val="0"/>
        </w:numPr>
        <w:ind w:left="643" w:leftChars="0"/>
        <w:rPr>
          <w:rFonts w:hint="eastAsia"/>
        </w:rPr>
      </w:pPr>
    </w:p>
    <w:p w14:paraId="283C0245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600" w:lineRule="exact"/>
        <w:ind w:firstLine="643" w:firstLineChars="200"/>
        <w:textAlignment w:val="auto"/>
        <w:rPr>
          <w:rFonts w:hint="eastAsia"/>
          <w:sz w:val="32"/>
          <w:szCs w:val="32"/>
          <w:highlight w:val="none"/>
        </w:rPr>
      </w:pPr>
      <w:bookmarkStart w:id="0" w:name="_Toc10106"/>
      <w:r>
        <w:rPr>
          <w:rFonts w:hint="eastAsia"/>
          <w:sz w:val="32"/>
          <w:szCs w:val="32"/>
          <w:highlight w:val="none"/>
        </w:rPr>
        <w:t>三、评价结论及绩效分析</w:t>
      </w:r>
      <w:bookmarkEnd w:id="0"/>
    </w:p>
    <w:p w14:paraId="416D1B4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/>
        <w:textAlignment w:val="auto"/>
        <w:rPr>
          <w:rFonts w:hint="eastAsia" w:eastAsia="楷体_GB2312"/>
          <w:b/>
          <w:bCs/>
          <w:sz w:val="32"/>
          <w:highlight w:val="none"/>
        </w:rPr>
      </w:pPr>
      <w:r>
        <w:rPr>
          <w:rFonts w:hint="eastAsia" w:eastAsia="楷体_GB2312"/>
          <w:b/>
          <w:bCs/>
          <w:sz w:val="32"/>
          <w:highlight w:val="none"/>
        </w:rPr>
        <w:t>（一）评价结论</w:t>
      </w:r>
    </w:p>
    <w:p w14:paraId="2478DEF2">
      <w:pPr>
        <w:ind w:firstLine="640"/>
        <w:rPr>
          <w:rFonts w:hint="eastAsia" w:ascii="仿宋_GB2312" w:eastAsia="仿宋_GB2312" w:hAnsi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从总体上来看，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绿色惠民殡葬政策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决策依据充分，项目的设立经过严格的评估论证，与部门职责相适应；市民政局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绿色惠民殡葬政策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绩效目标较明确，项目管理和资金使用较规范并取得了良好的社会效益。</w:t>
      </w:r>
    </w:p>
    <w:p w14:paraId="505C47D5">
      <w:pPr>
        <w:ind w:firstLine="640"/>
        <w:rPr>
          <w:rFonts w:hint="eastAsia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根据《2023年项目支出绩效评价指标体系》，2022年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峨眉山市绿色惠民殡葬政策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支出绩效评价等级为优。</w:t>
      </w:r>
    </w:p>
    <w:p w14:paraId="3D979F1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3"/>
        <w:textAlignment w:val="auto"/>
        <w:rPr>
          <w:rFonts w:eastAsia="楷体_GB2312"/>
          <w:b/>
          <w:bCs/>
          <w:sz w:val="32"/>
          <w:highlight w:val="none"/>
        </w:rPr>
      </w:pPr>
      <w:r>
        <w:rPr>
          <w:rFonts w:hint="eastAsia" w:eastAsia="楷体_GB2312"/>
          <w:b/>
          <w:bCs/>
          <w:sz w:val="32"/>
          <w:highlight w:val="none"/>
        </w:rPr>
        <w:t>（二）绩效分析</w:t>
      </w:r>
    </w:p>
    <w:p w14:paraId="4EA892E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textAlignment w:val="auto"/>
        <w:rPr>
          <w:rFonts w:hint="eastAsia" w:ascii="仿宋_GB2312" w:hAnsi="宋体" w:eastAsia="仿宋_GB2312" w:cs="宋体"/>
          <w:b/>
          <w:bCs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highlight w:val="none"/>
          <w:shd w:val="clear" w:color="auto" w:fill="FFFFFF"/>
          <w:lang w:val="en-US" w:eastAsia="zh-CN"/>
        </w:rPr>
        <w:t>1.政策设计</w:t>
      </w:r>
    </w:p>
    <w:p w14:paraId="58ECD0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（1）目标科学（目标合理性）：根据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《关于进一步做好我市绿色惠民殡葬工作的通知》（峨民发〔2020〕8号）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文件，本项目实施的目的为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进一步做好峨眉山市绿色惠民殡葬工作，全面落实惠民殡葬政策，减轻群众丧葬负担，使惠民政策更惠民、便民、利民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，该项目政策目标明确合理。</w:t>
      </w:r>
    </w:p>
    <w:p w14:paraId="73C80D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绿色惠民殡葬补贴项目是由峨眉山市民政局实施，该项目按照个人申请、社区居（村）委会初审、镇乡政府审核、市民政局审批的程序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执行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，具体实施内容与政策目标匹配；</w:t>
      </w:r>
    </w:p>
    <w:p w14:paraId="18410C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本次绩效评价过程中发现，峨眉山存在殡葬需要补助的情况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，目标设置与客观需求一致。</w:t>
      </w:r>
    </w:p>
    <w:p w14:paraId="4BCC6B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（2）项目协同（制度完备性）：该项目实施方案对项目实施过程的管理进行了规定，包括补贴奖励范围、补贴奖励标准、申报审批程序等，项目统筹协调机制较完善。</w:t>
      </w:r>
    </w:p>
    <w:p w14:paraId="082327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（3）对象全面（补贴对象全面性）：根据《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关于进一步做好我市绿色惠民殡葬工作的通知》（峨民发〔2020〕8号）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文件，本项目补贴奖励范围为在四川省行政区域内死亡，并在四川省内殡葬机构火化，同时未享受其他市（州）绿色惠</w:t>
      </w:r>
      <w:bookmarkStart w:id="5" w:name="_GoBack"/>
      <w:bookmarkEnd w:id="5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民殡葬政策的具有峨眉山市户籍的人员实施殡葬补助。</w:t>
      </w:r>
    </w:p>
    <w:p w14:paraId="79B49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（4）标准合理（资金分配合理性）：通过对项目进行检查发现，根据《乐山市民政局、乐山市财政局关于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做好2019年绿色惠民殡葬的通知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》（乐市民政发〔201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号）文件，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并结合峨眉山市实际，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补助标准最高不超过1030元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5F2D50E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政策执行</w:t>
      </w:r>
    </w:p>
    <w:p w14:paraId="613D56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（1）实施对象精准（实际实施对象与计划一致性）：通过对项目进行检查发现，绿色惠民殡葬项目实施对象识别精准，且实施对象与政策预期相匹配，有效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对实行绿色殡葬的群众给予补贴，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实际实施对象与计划一致性。</w:t>
      </w:r>
    </w:p>
    <w:p w14:paraId="249FC1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cyan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（2）政策调整及时（动态调整及时性）：根据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《关于进一步做好我市绿色惠民殡葬工作的通知》（峨民发〔2020〕8号）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文件的规定，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被评价单位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半年发放一次补贴，分别为每年6月1日至6月30日和11月1日至11月30日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被评价单位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根据实际情况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对该政策进行了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动态调整，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动态调整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及时准确，合理可行的。</w:t>
      </w:r>
    </w:p>
    <w:p w14:paraId="2EC427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（3）执行机制同向（资金支付与计划一致性）：通过对项目进行检查发现，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绿色惠民殡葬补助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资金由市财政每年列入年度财政预算，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被评价单位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将核定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绿色惠民殡葬申请人数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及金额情况报送市财政局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经财政局审批后，将项目款划拨“一卡通”协议签约银行，资金分配方式与计划一致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52196F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（4）政策执行质量（执行过程合规性）：截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年12月31日，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累计支出162.22万元，累计补助1842人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66D1D3F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政策效果</w:t>
      </w:r>
    </w:p>
    <w:p w14:paraId="21BAA7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（1）区域均衡性（政策科学性）：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本政策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是根据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民政部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关于全面推行惠民殡葬政策的指导意见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民发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〔201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211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号）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、民政部和财政部等16部门《关于进一步推动殡葬改革促进殡葬事业发展的指导意见》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民发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〔201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号）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文件设立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资金分配方法制定、分配要素设定、基础数据应用等是科学合理的。</w:t>
      </w:r>
    </w:p>
    <w:p w14:paraId="1F2DB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对象公平性（政策公平性）：本政策对象涉及在四川省行政区域内死亡，并在四川省内殡葬机构火化，同时未享受其他市（州）绿色惠民殡葬政策的具有峨眉山市户籍的人员是依据《乐山市民政局、乐山市财政局关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做好2019年绿色惠民殡葬的通知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》（乐市民政发〔201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号）文件制定的，充分考虑地域条件、经济条件等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因素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，政策实施对象不存在明显不合理的排他性规定。</w:t>
      </w:r>
    </w:p>
    <w:p w14:paraId="5E44D7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（3）社会满意度（受益对象满意度）：本项目主要涉及在四川省行政区域内死亡，并在四川省内殡葬机构火化，同时未享受其他市（州）绿色惠民殡葬政策的具有峨眉山市户籍的人员，评价小组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通过对殡仪馆补助申请情况的抽查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，受益人对该政策基本满意。</w:t>
      </w:r>
    </w:p>
    <w:p w14:paraId="05FD02FE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bookmarkStart w:id="1" w:name="_Toc17221"/>
      <w:r>
        <w:rPr>
          <w:rFonts w:hint="eastAsia"/>
          <w:color w:val="auto"/>
          <w:sz w:val="32"/>
          <w:szCs w:val="32"/>
          <w:highlight w:val="none"/>
        </w:rPr>
        <w:t>四、存在主要问题</w:t>
      </w:r>
      <w:bookmarkEnd w:id="1"/>
    </w:p>
    <w:p w14:paraId="774451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宋体" w:eastAsia="仿宋_GB2312" w:cs="宋体"/>
          <w:b w:val="0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2" w:name="_Toc17640"/>
      <w:r>
        <w:rPr>
          <w:rFonts w:hint="eastAsia" w:eastAsia="仿宋_GB2312" w:cs="Times New Roman"/>
          <w:sz w:val="32"/>
          <w:szCs w:val="32"/>
          <w:lang w:val="en-US" w:eastAsia="zh-CN"/>
        </w:rPr>
        <w:t>第三方机构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殡仪服务项目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结算清单中未完整反映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惠民殡葬补贴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抵扣部分。</w:t>
      </w:r>
    </w:p>
    <w:p w14:paraId="6C2AABB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600" w:lineRule="exact"/>
        <w:ind w:left="0" w:leftChars="0" w:firstLine="643" w:firstLineChars="200"/>
        <w:textAlignment w:val="auto"/>
        <w:rPr>
          <w:rFonts w:ascii="仿宋_GB2312" w:eastAsia="仿宋_GB2312" w:cs="宋体"/>
          <w:b w:val="0"/>
          <w:color w:val="auto"/>
          <w:kern w:val="0"/>
          <w:sz w:val="32"/>
          <w:szCs w:val="32"/>
          <w:highlight w:val="yellow"/>
          <w:shd w:val="clear" w:color="auto" w:fill="FFFFFF"/>
        </w:rPr>
      </w:pPr>
      <w:r>
        <w:rPr>
          <w:rFonts w:hint="eastAsia"/>
          <w:color w:val="auto"/>
          <w:sz w:val="32"/>
          <w:szCs w:val="32"/>
          <w:highlight w:val="none"/>
        </w:rPr>
        <w:t>五、建议及措施</w:t>
      </w:r>
      <w:bookmarkEnd w:id="2"/>
    </w:p>
    <w:p w14:paraId="2D6BE71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600" w:lineRule="exact"/>
        <w:ind w:firstLine="640" w:firstLineChars="200"/>
        <w:textAlignment w:val="auto"/>
        <w:rPr>
          <w:rFonts w:hint="default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3" w:name="_Toc1019"/>
      <w:r>
        <w:rPr>
          <w:rFonts w:hint="eastAsia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建议</w:t>
      </w:r>
      <w:r>
        <w:rPr>
          <w:rFonts w:hint="eastAsia" w:ascii="仿宋_GB2312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市民政局加强对</w:t>
      </w: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第三方机构惠民殡葬服务的监管，完善补贴对象享受项目清单，杜绝虚报冒领。</w:t>
      </w:r>
      <w:bookmarkEnd w:id="3"/>
    </w:p>
    <w:p w14:paraId="752BFDF8">
      <w:pPr>
        <w:pStyle w:val="2"/>
        <w:ind w:firstLine="640" w:firstLineChars="200"/>
        <w:rPr>
          <w:rFonts w:hint="eastAsia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3F98A9F0">
      <w:pPr>
        <w:pStyle w:val="2"/>
        <w:ind w:firstLine="640" w:firstLineChars="200"/>
        <w:rPr>
          <w:rFonts w:hint="eastAsia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2FA3EBAC">
      <w:pPr>
        <w:pStyle w:val="2"/>
        <w:ind w:firstLine="640" w:firstLineChars="200"/>
        <w:rPr>
          <w:rFonts w:hint="eastAsia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60D577DA">
      <w:pPr>
        <w:pStyle w:val="2"/>
        <w:ind w:firstLine="640" w:firstLineChars="200"/>
        <w:rPr>
          <w:rFonts w:hint="eastAsia" w:ascii="仿宋_GB2312" w:hAnsi="宋体" w:eastAsia="仿宋_GB2312" w:cs="宋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203B2B3A">
      <w:pP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br w:type="page"/>
      </w:r>
    </w:p>
    <w:p w14:paraId="27D63B5C">
      <w:pPr>
        <w:ind w:firstLine="0" w:firstLineChars="0"/>
        <w:jc w:val="center"/>
        <w:rPr>
          <w:rFonts w:hint="eastAsia" w:ascii="黑体" w:hAnsi="黑体" w:eastAsia="黑体" w:cs="黑体"/>
          <w:b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大庙飞来殿消防工程</w:t>
      </w:r>
      <w:r>
        <w:rPr>
          <w:rFonts w:hint="eastAsia" w:ascii="黑体" w:hAnsi="黑体" w:eastAsia="黑体" w:cs="黑体"/>
          <w:b/>
          <w:bCs/>
          <w:spacing w:val="-14"/>
          <w:sz w:val="32"/>
          <w:szCs w:val="32"/>
          <w:highlight w:val="none"/>
        </w:rPr>
        <w:t>项目支出绩效评价报告</w:t>
      </w:r>
    </w:p>
    <w:p w14:paraId="31EE0DCF">
      <w:pPr>
        <w:pStyle w:val="1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600" w:lineRule="exact"/>
        <w:ind w:firstLine="643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  <w:t>项目立项背景和目的</w:t>
      </w:r>
    </w:p>
    <w:p w14:paraId="4A473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庙飞来殿消防工程由国家文物局批准立项（文物督函﹝2016﹞85号），重点对大庙飞来殿现存的宋、元、明、清四个时期的木结构古建筑群，总占地面积19432.18平方米实施消防工程建设，工程内容包括火灾自动报警系统，应急照明系统，消火栓系统，泵房建设系统。</w:t>
      </w:r>
    </w:p>
    <w:p w14:paraId="4E56D0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本项目目的为了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大庙飞来殿院内人员、附属文物尤其是古建筑的消防安全，做到防患于未然。同时，确保全国重点文物保护单位大庙飞来殿的绝对安全，促进我市文化旅游业发展。</w:t>
      </w:r>
    </w:p>
    <w:p w14:paraId="63A90E4B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项目绩效目标</w:t>
      </w:r>
    </w:p>
    <w:p w14:paraId="06E5B64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完善大庙飞来殿消防系统，达到自救能力，提高安全保障能力，确保国保的绝对安全。</w:t>
      </w:r>
    </w:p>
    <w:p w14:paraId="3C918F0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firstLine="643" w:firstLineChars="200"/>
        <w:textAlignment w:val="auto"/>
        <w:rPr>
          <w:rFonts w:hint="eastAsia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三、评价结论及绩效分析</w:t>
      </w:r>
    </w:p>
    <w:p w14:paraId="24FC428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eastAsia="楷体_GB2312"/>
          <w:b/>
          <w:bCs/>
          <w:sz w:val="32"/>
          <w:highlight w:val="none"/>
        </w:rPr>
      </w:pPr>
      <w:r>
        <w:rPr>
          <w:rFonts w:hint="eastAsia" w:eastAsia="楷体_GB2312"/>
          <w:b/>
          <w:bCs/>
          <w:sz w:val="32"/>
          <w:highlight w:val="none"/>
        </w:rPr>
        <w:t>（一）评价结论</w:t>
      </w:r>
    </w:p>
    <w:p w14:paraId="505B6C5F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从总体上来看，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项目决策依据充分，项目的设立经过严格的评估论证，与部门职责相适应；绩效目标明确，与峨眉山市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经济社会稳定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发展目标相适应；项目管理和资金使用规范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取得了良好的社会效益。</w:t>
      </w:r>
    </w:p>
    <w:p w14:paraId="3719A1DA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</w:rPr>
        <w:t>根据本项目的评价指标体系和评分标准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</w:rPr>
        <w:t>，本项目评价总得分</w:t>
      </w: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</w:rPr>
        <w:t>分，评价等级为“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优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</w:rPr>
        <w:t>”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eastAsia="zh-CN"/>
        </w:rPr>
        <w:t>。</w:t>
      </w:r>
    </w:p>
    <w:p w14:paraId="51FA6D9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eastAsia="楷体_GB2312"/>
          <w:b/>
          <w:bCs/>
          <w:sz w:val="32"/>
          <w:highlight w:val="none"/>
        </w:rPr>
      </w:pPr>
      <w:r>
        <w:rPr>
          <w:rFonts w:hint="eastAsia" w:eastAsia="楷体_GB2312"/>
          <w:b/>
          <w:bCs/>
          <w:sz w:val="32"/>
          <w:highlight w:val="none"/>
        </w:rPr>
        <w:t>（二）绩效分析</w:t>
      </w:r>
    </w:p>
    <w:p w14:paraId="2D65657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  <w:t>1、项目决策</w:t>
      </w:r>
    </w:p>
    <w:p w14:paraId="1B57DA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1）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  <w:t>程序严密：该项目是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</w:rPr>
        <w:t>峨眉山市博物馆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  <w:t>的常规性、连续性项目，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根据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</w:rPr>
        <w:t>峨眉山市博物馆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职责设立，属于公共财政支持范围，符合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  <w:t>地方事权支出责任划分原则，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本次绩效评价未发现该项目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  <w:t>与相关部门同类项目或部门内部相关项目重复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  <w:t>。</w:t>
      </w:r>
    </w:p>
    <w:p w14:paraId="703498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2）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</w:rPr>
        <w:t>规划合理：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本项目的设立与峨眉山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市文化旅游业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u w:val="none"/>
          <w:shd w:val="clear" w:color="auto" w:fill="FFFFFF"/>
        </w:rPr>
        <w:t>发展主要目标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相符。</w:t>
      </w:r>
    </w:p>
    <w:p w14:paraId="1B42DC75"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</w:rPr>
        <w:t>制度完备：该项目由</w:t>
      </w:r>
      <w:r>
        <w:rPr>
          <w:rFonts w:hint="eastAsia" w:ascii="仿宋_GB2312" w:hAnsi="宋体" w:eastAsia="仿宋_GB2312" w:cs="宋体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</w:rPr>
        <w:t>博物馆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委托</w:t>
      </w:r>
      <w:r>
        <w:rPr>
          <w:rFonts w:hint="eastAsia" w:ascii="仿宋_GB2312" w:hAnsi="仿宋_GB2312" w:eastAsia="仿宋_GB2312" w:cs="仿宋_GB2312"/>
          <w:sz w:val="32"/>
          <w:szCs w:val="32"/>
        </w:rPr>
        <w:t>第三方代理机构在</w:t>
      </w:r>
      <w:r>
        <w:rPr>
          <w:rFonts w:hint="eastAsia" w:ascii="仿宋_GB2312" w:hAnsi="宋体" w:eastAsia="仿宋_GB2312" w:cs="宋体"/>
          <w:kern w:val="0"/>
          <w:sz w:val="32"/>
          <w:szCs w:val="32"/>
          <w:shd w:val="clear" w:color="auto" w:fill="FFFFFF"/>
        </w:rPr>
        <w:t>峨眉山</w:t>
      </w:r>
      <w:r>
        <w:rPr>
          <w:rFonts w:hint="eastAsia" w:ascii="仿宋_GB2312" w:hAnsi="仿宋_GB2312" w:eastAsia="仿宋_GB2312" w:cs="仿宋_GB2312"/>
          <w:sz w:val="32"/>
          <w:szCs w:val="32"/>
        </w:rPr>
        <w:t>市公共资源交易中心进行货物类采购公开招标，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在与</w:t>
      </w:r>
      <w:r>
        <w:rPr>
          <w:rFonts w:hint="eastAsia" w:ascii="仿宋_GB2312" w:hAnsi="仿宋_GB2312" w:eastAsia="仿宋_GB2312" w:cs="仿宋_GB2312"/>
          <w:sz w:val="32"/>
          <w:szCs w:val="32"/>
        </w:rPr>
        <w:t>河北省安装工程有限公司</w:t>
      </w:r>
      <w:r>
        <w:rPr>
          <w:rFonts w:hint="eastAsia" w:eastAsia="仿宋_GB2312"/>
          <w:kern w:val="0"/>
          <w:sz w:val="32"/>
          <w:szCs w:val="32"/>
          <w:highlight w:val="none"/>
          <w:shd w:val="clear" w:color="auto" w:fill="FFFFFF"/>
          <w:lang w:val="en-US" w:eastAsia="zh-CN"/>
        </w:rPr>
        <w:t>签订合同后，在政府采购合同公告及备案系统中公示备案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3DE8FE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shd w:val="clear" w:color="auto" w:fill="FFFFFF"/>
        </w:rPr>
        <w:t>峨眉山市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shd w:val="clear" w:color="auto" w:fill="FFFFFF"/>
        </w:rPr>
        <w:t>博物馆</w:t>
      </w:r>
      <w:r>
        <w:rPr>
          <w:rFonts w:hint="eastAsia" w:eastAsia="仿宋_GB2312"/>
          <w:kern w:val="0"/>
          <w:sz w:val="32"/>
          <w:szCs w:val="32"/>
          <w:shd w:val="clear" w:color="auto" w:fill="FFFFFF"/>
          <w:lang w:val="en-US" w:eastAsia="zh-CN"/>
        </w:rPr>
        <w:t>关于该项目的相关管理制度健全完善，在执行过程中，严格按照管理制度执行，不存在难以操作、无法落地、执行不畅的情况，满足了实际需求。</w:t>
      </w:r>
    </w:p>
    <w:p w14:paraId="551A636C">
      <w:pPr>
        <w:pStyle w:val="2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  <w:shd w:val="clear" w:color="auto" w:fill="FFFFFF"/>
        </w:rPr>
        <w:t>项目实施</w:t>
      </w:r>
    </w:p>
    <w:p w14:paraId="6E0F1611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（1）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分配合理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大庙飞来殿消防工程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  <w:t>项目根据合同要求执行，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支出基本能按照有关财务管理制度进行财务管理、会计核算及账务处理等，项目立项、预算评审、招投标、资金进度安排、项目进度管理以及工程验收均符合程序规定。资金主要用于支付项目工程进度款和监理费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分配合理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。</w:t>
      </w:r>
    </w:p>
    <w:p w14:paraId="6BF841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（2）使用合规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资金使用基本符合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  <w:t>国家财经法规和财务管理制度及有关专项资金管理办法规定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资金拨付审批程序和手续完善，在项目实施过程中按照合同规定进行采购，不存在截留、挤占、挪用、虚列支出、擅自提高开支标准。</w:t>
      </w:r>
    </w:p>
    <w:p w14:paraId="3BFF9FD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（3）执行有效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</w:rPr>
        <w:t>：项目合同、验收报告等资料齐全并及时归档；项目实施的人员条件、场地设备、信息支撑等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均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</w:rPr>
        <w:t>落实到位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。</w:t>
      </w:r>
    </w:p>
    <w:p w14:paraId="6A9F3E4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_GB2312" w:hAnsi="宋体" w:eastAsia="仿宋_GB2312" w:cs="宋体"/>
          <w:b/>
          <w:bCs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3、完成结果</w:t>
      </w:r>
    </w:p>
    <w:p w14:paraId="04F67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（1）预算完成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预算总金额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万元，项目实际到位资金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万元，实际使用资金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切实保障了飞来殿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消防安全，促进我市文化旅游业发展，取得了较好的经济效益和社会效益，较好的完成了绩效目标。</w:t>
      </w:r>
    </w:p>
    <w:p w14:paraId="6F00EE9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）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目标完成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大庙飞来殿消防工程项目已于2020年5月完工,；2020年10月初验收合格；2021年3月四川省文物局组织专家进行了验收，验收合格；2021年11月，下发验收批复。</w:t>
      </w:r>
    </w:p>
    <w:p w14:paraId="428A0C84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（3）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完成及时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</w:rPr>
        <w:t>：</w:t>
      </w:r>
      <w:r>
        <w:rPr>
          <w:rFonts w:hint="eastAsia" w:eastAsia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均按照规定时间完成项目各项内容。</w:t>
      </w:r>
    </w:p>
    <w:p w14:paraId="248EC4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0"/>
          <w:szCs w:val="30"/>
          <w:highlight w:val="none"/>
          <w:shd w:val="clear" w:color="auto" w:fill="FFFFFF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  <w:t>存在主要问题</w:t>
      </w:r>
      <w:bookmarkStart w:id="4" w:name="_Toc31500"/>
    </w:p>
    <w:p w14:paraId="4FD6032D"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因疫情影响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及文物保护工程复杂，项目周期长，不可预见性大，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后期维护要求较高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B64B0D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  <w:t>建议及措施</w:t>
      </w:r>
      <w:bookmarkEnd w:id="4"/>
    </w:p>
    <w:p w14:paraId="40F796B5"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）文物类的工程复杂，且施工难度大。建议加大工程质量监管，加大不可预见性等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</w:t>
      </w:r>
      <w:r>
        <w:rPr>
          <w:rFonts w:hint="eastAsia" w:ascii="仿宋_GB2312" w:hAnsi="仿宋_GB2312" w:eastAsia="仿宋_GB2312" w:cs="仿宋_GB2312"/>
          <w:sz w:val="32"/>
          <w:szCs w:val="32"/>
        </w:rPr>
        <w:t>测力度，确保工程质量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安全可靠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EDA06CD">
      <w:pPr>
        <w:spacing w:line="6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（二）严格落实各项消防安全要求，成立大庙飞来殿工程安全维护小组，形成长效机制，确保质量安全和消防安全。</w:t>
      </w:r>
    </w:p>
    <w:p w14:paraId="5E6BA0E7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 w14:paraId="1ADB62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F82A9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 w14:paraId="7076BF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05ACF7D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3EDF5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2D544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2425700</wp:posOffset>
              </wp:positionH>
              <wp:positionV relativeFrom="paragraph">
                <wp:posOffset>-85725</wp:posOffset>
              </wp:positionV>
              <wp:extent cx="530225" cy="2641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264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FBC8F3">
                          <w:pPr>
                            <w:pStyle w:val="6"/>
                            <w:jc w:val="center"/>
                            <w:rPr>
                              <w:rFonts w:hint="default"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1pt;margin-top:-6.75pt;height:20.8pt;width:41.75pt;mso-position-horizontal-relative:margin;z-index:251659264;mso-width-relative:page;mso-height-relative:page;" filled="f" stroked="f" coordsize="21600,21600" o:gfxdata="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z3eedkAAAAKAQAADwAAAAAAAAABACAAAAAiAAAAZHJzL2Rvd25y&#10;ZXYueG1sUEsBAhQAFAAAAAgAh07iQNidSNE2AgAAYQQAAA4AAAAAAAAAAQAgAAAAKA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EFBC8F3">
                    <w:pPr>
                      <w:pStyle w:val="6"/>
                      <w:jc w:val="center"/>
                      <w:rPr>
                        <w:rFonts w:hint="default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lang w:val="en-US"/>
                      </w:rPr>
                      <w:t>1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541214"/>
    <w:multiLevelType w:val="singleLevel"/>
    <w:tmpl w:val="9454121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0BD516E"/>
    <w:multiLevelType w:val="singleLevel"/>
    <w:tmpl w:val="F0BD516E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3C4BE3E"/>
    <w:multiLevelType w:val="singleLevel"/>
    <w:tmpl w:val="03C4BE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228B188"/>
    <w:multiLevelType w:val="singleLevel"/>
    <w:tmpl w:val="1228B1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4F3163A"/>
    <w:multiLevelType w:val="singleLevel"/>
    <w:tmpl w:val="24F3163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71BD2F5"/>
    <w:multiLevelType w:val="singleLevel"/>
    <w:tmpl w:val="571BD2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54E0D32"/>
    <w:multiLevelType w:val="singleLevel"/>
    <w:tmpl w:val="654E0D3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D23A0"/>
    <w:rsid w:val="100F7772"/>
    <w:rsid w:val="11DF3A49"/>
    <w:rsid w:val="193D35EC"/>
    <w:rsid w:val="21EC11B6"/>
    <w:rsid w:val="2BFE2C11"/>
    <w:rsid w:val="41A07846"/>
    <w:rsid w:val="439A263B"/>
    <w:rsid w:val="4D533785"/>
    <w:rsid w:val="5B88540B"/>
    <w:rsid w:val="61D03746"/>
    <w:rsid w:val="624D71AA"/>
    <w:rsid w:val="645C7310"/>
    <w:rsid w:val="7750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firstLine="643"/>
      <w:outlineLvl w:val="0"/>
    </w:pPr>
    <w:rPr>
      <w:rFonts w:ascii="仿宋" w:hAnsi="仿宋" w:eastAsia="仿宋"/>
      <w:b/>
      <w:sz w:val="32"/>
      <w:szCs w:val="36"/>
      <w:lang w:eastAsia="zh-Hans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56" w:afterLines="50" w:line="360" w:lineRule="auto"/>
    </w:pPr>
    <w:rPr>
      <w:rFonts w:ascii="仿宋_GB2312" w:hAnsi="宋体"/>
      <w:sz w:val="24"/>
    </w:rPr>
  </w:style>
  <w:style w:type="paragraph" w:styleId="5">
    <w:name w:val="Salutation"/>
    <w:basedOn w:val="1"/>
    <w:next w:val="1"/>
    <w:qFormat/>
    <w:uiPriority w:val="0"/>
    <w:pPr>
      <w:widowControl w:val="0"/>
      <w:spacing w:after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 w:val="0"/>
      <w:spacing w:line="500" w:lineRule="exact"/>
      <w:ind w:firstLine="0" w:firstLineChars="0"/>
    </w:pPr>
    <w:rPr>
      <w:rFonts w:ascii="Calibri" w:hAnsi="Calibri" w:eastAsia="仿宋_GB2312"/>
      <w:bCs/>
      <w:kern w:val="2"/>
      <w:sz w:val="28"/>
      <w:szCs w:val="24"/>
    </w:rPr>
  </w:style>
  <w:style w:type="paragraph" w:styleId="9">
    <w:name w:val="footnote text"/>
    <w:basedOn w:val="1"/>
    <w:unhideWhenUsed/>
    <w:qFormat/>
    <w:uiPriority w:val="99"/>
    <w:pPr>
      <w:widowControl w:val="0"/>
      <w:snapToGrid w:val="0"/>
      <w:spacing w:line="240" w:lineRule="auto"/>
      <w:ind w:firstLine="0" w:firstLineChars="0"/>
    </w:pPr>
    <w:rPr>
      <w:rFonts w:ascii="Calibri" w:hAnsi="Calibri" w:eastAsia="宋体" w:cs="Times New Roman"/>
      <w:kern w:val="2"/>
      <w:sz w:val="18"/>
      <w:szCs w:val="18"/>
    </w:rPr>
  </w:style>
  <w:style w:type="paragraph" w:styleId="10">
    <w:name w:val="toc 2"/>
    <w:basedOn w:val="1"/>
    <w:next w:val="1"/>
    <w:unhideWhenUsed/>
    <w:qFormat/>
    <w:uiPriority w:val="39"/>
    <w:pPr>
      <w:widowControl w:val="0"/>
      <w:spacing w:line="500" w:lineRule="exact"/>
    </w:pPr>
    <w:rPr>
      <w:rFonts w:ascii="Calibri" w:hAnsi="Calibri" w:eastAsia="仿宋_GB2312"/>
      <w:bCs/>
      <w:kern w:val="2"/>
      <w:sz w:val="28"/>
      <w:szCs w:val="22"/>
    </w:rPr>
  </w:style>
  <w:style w:type="character" w:styleId="13">
    <w:name w:val="page number"/>
    <w:qFormat/>
    <w:uiPriority w:val="0"/>
  </w:style>
  <w:style w:type="character" w:styleId="14">
    <w:name w:val="footnote reference"/>
    <w:unhideWhenUsed/>
    <w:qFormat/>
    <w:uiPriority w:val="99"/>
    <w:rPr>
      <w:vertAlign w:val="superscript"/>
    </w:rPr>
  </w:style>
  <w:style w:type="paragraph" w:styleId="15">
    <w:name w:val="List Paragraph"/>
    <w:basedOn w:val="1"/>
    <w:qFormat/>
    <w:uiPriority w:val="34"/>
    <w:pPr>
      <w:widowControl w:val="0"/>
      <w:spacing w:line="460" w:lineRule="exact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6">
    <w:name w:val="标题2"/>
    <w:basedOn w:val="4"/>
    <w:next w:val="4"/>
    <w:qFormat/>
    <w:uiPriority w:val="0"/>
    <w:pPr>
      <w:spacing w:before="50" w:beforeLines="50" w:after="50" w:afterLines="50" w:line="240" w:lineRule="auto"/>
      <w:ind w:firstLine="1040" w:firstLineChars="200"/>
      <w:jc w:val="left"/>
    </w:pPr>
    <w:rPr>
      <w:rFonts w:ascii="楷体_GB2312" w:hAnsi="楷体_GB2312" w:eastAsia="楷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3412</Words>
  <Characters>3526</Characters>
  <Lines>0</Lines>
  <Paragraphs>0</Paragraphs>
  <TotalTime>2</TotalTime>
  <ScaleCrop>false</ScaleCrop>
  <LinksUpToDate>false</LinksUpToDate>
  <CharactersWithSpaces>3527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2022-04-22T07:31:00Z</dcterms:created>
  <dc:creator>Administrator</dc:creator>
  <cp:lastModifiedBy>WPS_1559555363</cp:lastModifiedBy>
  <dcterms:modified xsi:type="dcterms:W3CDTF">2025-03-17T07:06:15Z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eyJoZGlkIjoiMmM4YTZlZjAzODllZjBmYjgwM2E3YTkzZGI3NDhjMDgiLCJ1c2VySWQiOiI1NzA4MjYyMzYifQ==</vt:lpwstr>
  </property>
  <property fmtid="{D5CDD505-2E9C-101B-9397-08002B2CF9AE}" pid="4" name="ICV">
    <vt:lpwstr>03A2A0555DE74D3986C3E30D8247F1A0_12</vt:lpwstr>
  </property>
</Properties>
</file>