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32BC0">
      <w:pPr>
        <w:spacing w:line="600" w:lineRule="exact"/>
        <w:jc w:val="left"/>
        <w:outlineLvl w:val="0"/>
        <w:rPr>
          <w:rFonts w:hint="eastAsia" w:ascii="方正小标宋简体" w:hAnsi="宋体" w:eastAsia="方正小标宋简体"/>
          <w:szCs w:val="21"/>
        </w:rPr>
      </w:pPr>
      <w:bookmarkStart w:id="0" w:name="_Toc15306267"/>
    </w:p>
    <w:p w14:paraId="165A1300">
      <w:pPr>
        <w:spacing w:line="600" w:lineRule="exact"/>
        <w:jc w:val="center"/>
        <w:outlineLvl w:val="0"/>
        <w:rPr>
          <w:rFonts w:ascii="方正小标宋简体" w:hAnsi="宋体" w:eastAsia="方正小标宋简体"/>
          <w:sz w:val="72"/>
          <w:szCs w:val="72"/>
        </w:rPr>
      </w:pPr>
    </w:p>
    <w:p w14:paraId="2BE60388">
      <w:pPr>
        <w:spacing w:line="600" w:lineRule="exact"/>
        <w:jc w:val="center"/>
        <w:outlineLvl w:val="0"/>
        <w:rPr>
          <w:rFonts w:ascii="方正小标宋简体" w:hAnsi="宋体" w:eastAsia="方正小标宋简体"/>
          <w:sz w:val="72"/>
          <w:szCs w:val="72"/>
        </w:rPr>
      </w:pPr>
    </w:p>
    <w:p w14:paraId="2F2A8B6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193"/>
      <w:bookmarkStart w:id="4" w:name="_Toc15377425"/>
      <w:bookmarkStart w:id="5" w:name="_Toc15396597"/>
      <w:bookmarkStart w:id="65" w:name="_GoBack"/>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14:paraId="260B759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9647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乐山市峨眉山市人力资源和社会保障局（本级）</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bookmarkEnd w:id="65"/>
    <w:p w14:paraId="6350647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2980E93">
      <w:pPr>
        <w:widowControl/>
        <w:jc w:val="center"/>
        <w:rPr>
          <w:rFonts w:ascii="黑体" w:hAnsi="黑体" w:eastAsia="黑体" w:cstheme="minorBidi"/>
          <w:sz w:val="28"/>
          <w:szCs w:val="28"/>
        </w:rPr>
      </w:pPr>
    </w:p>
    <w:p w14:paraId="69B63E9F">
      <w:pPr>
        <w:pStyle w:val="10"/>
      </w:pPr>
      <w:r>
        <w:rPr>
          <w:rFonts w:hint="eastAsia"/>
        </w:rPr>
        <w:t>公开时间：2023年</w:t>
      </w:r>
      <w:r>
        <w:rPr>
          <w:rFonts w:hint="eastAsia"/>
          <w:lang w:val="en-US" w:eastAsia="zh-CN"/>
        </w:rPr>
        <w:t>12</w:t>
      </w:r>
      <w:r>
        <w:rPr>
          <w:rFonts w:hint="eastAsia"/>
        </w:rPr>
        <w:t>月</w:t>
      </w:r>
      <w:r>
        <w:rPr>
          <w:rFonts w:hint="eastAsia"/>
          <w:lang w:val="en-US" w:eastAsia="zh-CN"/>
        </w:rPr>
        <w:t>11</w:t>
      </w:r>
      <w:r>
        <w:rPr>
          <w:rFonts w:hint="eastAsia"/>
        </w:rPr>
        <w:t>日</w:t>
      </w:r>
    </w:p>
    <w:p w14:paraId="7A67ECD9"/>
    <w:p w14:paraId="5D54E073">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ab/>
      </w:r>
      <w:r>
        <w:rPr>
          <w:rFonts w:hint="eastAsia"/>
          <w:sz w:val="24"/>
          <w:lang w:val="en-US" w:eastAsia="zh-CN"/>
        </w:rPr>
        <w:t>4</w:t>
      </w:r>
    </w:p>
    <w:p w14:paraId="5C3CBBE9">
      <w:pPr>
        <w:pStyle w:val="11"/>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ab/>
      </w:r>
      <w:r>
        <w:rPr>
          <w:rFonts w:hint="eastAsia"/>
          <w:sz w:val="24"/>
          <w:lang w:val="en-US" w:eastAsia="zh-CN"/>
        </w:rPr>
        <w:t>4</w:t>
      </w:r>
    </w:p>
    <w:p w14:paraId="01EBEC6F">
      <w:pPr>
        <w:pStyle w:val="11"/>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ab/>
      </w:r>
      <w:r>
        <w:rPr>
          <w:rFonts w:hint="eastAsia"/>
          <w:sz w:val="24"/>
          <w:lang w:val="en-US" w:eastAsia="zh-CN"/>
        </w:rPr>
        <w:t>5</w:t>
      </w:r>
    </w:p>
    <w:p w14:paraId="035F9122">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 2022年度单位决算情况说明</w:t>
      </w:r>
      <w:r>
        <w:rPr>
          <w:rFonts w:hint="eastAsia"/>
          <w:sz w:val="24"/>
          <w:lang w:val="en-US" w:eastAsia="zh-CN"/>
        </w:rPr>
        <w:tab/>
      </w:r>
      <w:r>
        <w:rPr>
          <w:rFonts w:hint="eastAsia"/>
          <w:sz w:val="24"/>
          <w:lang w:val="en-US" w:eastAsia="zh-CN"/>
        </w:rPr>
        <w:t>6</w:t>
      </w:r>
    </w:p>
    <w:p w14:paraId="6C416664">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6</w:t>
      </w:r>
    </w:p>
    <w:p w14:paraId="50FBB4C9">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6</w:t>
      </w:r>
    </w:p>
    <w:p w14:paraId="14ACF7A0">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ab/>
      </w:r>
      <w:r>
        <w:rPr>
          <w:rFonts w:hint="eastAsia"/>
          <w:sz w:val="24"/>
          <w:lang w:val="en-US" w:eastAsia="zh-CN"/>
        </w:rPr>
        <w:t>7</w:t>
      </w:r>
    </w:p>
    <w:p w14:paraId="40F5804C">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8</w:t>
      </w:r>
    </w:p>
    <w:p w14:paraId="53273C56">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8</w:t>
      </w:r>
    </w:p>
    <w:p w14:paraId="1B049BFD">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11</w:t>
      </w:r>
    </w:p>
    <w:p w14:paraId="440C55B3">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ab/>
      </w:r>
      <w:r>
        <w:rPr>
          <w:rFonts w:hint="eastAsia"/>
          <w:sz w:val="24"/>
          <w:lang w:val="en-US" w:eastAsia="zh-CN"/>
        </w:rPr>
        <w:t>12</w:t>
      </w:r>
    </w:p>
    <w:p w14:paraId="79FC0A04">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14</w:t>
      </w:r>
    </w:p>
    <w:p w14:paraId="443EEF2D">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ab/>
      </w:r>
      <w:r>
        <w:rPr>
          <w:rFonts w:hint="eastAsia"/>
          <w:sz w:val="24"/>
          <w:lang w:val="en-US" w:eastAsia="zh-CN"/>
        </w:rPr>
        <w:t>14</w:t>
      </w:r>
    </w:p>
    <w:p w14:paraId="7C370230">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ab/>
      </w:r>
      <w:r>
        <w:rPr>
          <w:rFonts w:hint="eastAsia"/>
          <w:sz w:val="24"/>
          <w:lang w:val="en-US" w:eastAsia="zh-CN"/>
        </w:rPr>
        <w:t>14</w:t>
      </w:r>
    </w:p>
    <w:p w14:paraId="2A3D7379">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17</w:t>
      </w:r>
    </w:p>
    <w:p w14:paraId="73576D31">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20</w:t>
      </w:r>
    </w:p>
    <w:p w14:paraId="27026D53">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22</w:t>
      </w:r>
    </w:p>
    <w:p w14:paraId="72E416EB">
      <w:pPr>
        <w:pStyle w:val="11"/>
        <w:adjustRightInd w:val="0"/>
        <w:snapToGrid w:val="0"/>
        <w:spacing w:line="440" w:lineRule="exact"/>
        <w:jc w:val="left"/>
        <w:rPr>
          <w:sz w:val="24"/>
        </w:rPr>
      </w:pPr>
      <w:r>
        <w:rPr>
          <w:rFonts w:hint="eastAsia"/>
          <w:sz w:val="24"/>
        </w:rPr>
        <w:t>一、收入支出决算总表</w:t>
      </w:r>
    </w:p>
    <w:p w14:paraId="327E26E7">
      <w:pPr>
        <w:pStyle w:val="11"/>
        <w:adjustRightInd w:val="0"/>
        <w:snapToGrid w:val="0"/>
        <w:spacing w:line="440" w:lineRule="exact"/>
        <w:jc w:val="left"/>
        <w:rPr>
          <w:sz w:val="24"/>
        </w:rPr>
      </w:pPr>
      <w:r>
        <w:rPr>
          <w:rFonts w:hint="eastAsia"/>
          <w:sz w:val="24"/>
        </w:rPr>
        <w:t>二、收入决算表</w:t>
      </w:r>
    </w:p>
    <w:p w14:paraId="35C26EA5">
      <w:pPr>
        <w:pStyle w:val="11"/>
        <w:adjustRightInd w:val="0"/>
        <w:snapToGrid w:val="0"/>
        <w:spacing w:line="440" w:lineRule="exact"/>
        <w:jc w:val="left"/>
        <w:rPr>
          <w:sz w:val="24"/>
        </w:rPr>
      </w:pPr>
      <w:r>
        <w:rPr>
          <w:rFonts w:hint="eastAsia"/>
          <w:sz w:val="24"/>
        </w:rPr>
        <w:t>三、支出决算表</w:t>
      </w:r>
    </w:p>
    <w:p w14:paraId="25F4C006">
      <w:pPr>
        <w:pStyle w:val="11"/>
        <w:adjustRightInd w:val="0"/>
        <w:snapToGrid w:val="0"/>
        <w:spacing w:line="440" w:lineRule="exact"/>
        <w:jc w:val="left"/>
        <w:rPr>
          <w:sz w:val="24"/>
        </w:rPr>
      </w:pPr>
      <w:r>
        <w:rPr>
          <w:rFonts w:hint="eastAsia"/>
          <w:sz w:val="24"/>
        </w:rPr>
        <w:t>四、财政拨款收入支出决算总表</w:t>
      </w:r>
    </w:p>
    <w:p w14:paraId="765E4031">
      <w:pPr>
        <w:pStyle w:val="11"/>
        <w:adjustRightInd w:val="0"/>
        <w:snapToGrid w:val="0"/>
        <w:spacing w:line="440" w:lineRule="exact"/>
        <w:jc w:val="left"/>
        <w:rPr>
          <w:sz w:val="24"/>
        </w:rPr>
      </w:pPr>
      <w:r>
        <w:rPr>
          <w:rFonts w:hint="eastAsia"/>
          <w:sz w:val="24"/>
        </w:rPr>
        <w:t>五、财政拨款支出决算明细表</w:t>
      </w:r>
    </w:p>
    <w:p w14:paraId="6C792D3A">
      <w:pPr>
        <w:pStyle w:val="11"/>
        <w:adjustRightInd w:val="0"/>
        <w:snapToGrid w:val="0"/>
        <w:spacing w:line="440" w:lineRule="exact"/>
        <w:jc w:val="left"/>
        <w:rPr>
          <w:sz w:val="24"/>
        </w:rPr>
      </w:pPr>
      <w:r>
        <w:rPr>
          <w:rFonts w:hint="eastAsia"/>
          <w:sz w:val="24"/>
        </w:rPr>
        <w:t>六、一般公共预算财政拨款支出决算表</w:t>
      </w:r>
    </w:p>
    <w:p w14:paraId="3FD21C59">
      <w:pPr>
        <w:pStyle w:val="11"/>
        <w:adjustRightInd w:val="0"/>
        <w:snapToGrid w:val="0"/>
        <w:spacing w:line="440" w:lineRule="exact"/>
        <w:jc w:val="left"/>
        <w:rPr>
          <w:sz w:val="24"/>
        </w:rPr>
      </w:pPr>
      <w:r>
        <w:rPr>
          <w:rFonts w:hint="eastAsia"/>
          <w:sz w:val="24"/>
        </w:rPr>
        <w:t>七、一般公共预算财政拨款支出决算明细表</w:t>
      </w:r>
    </w:p>
    <w:p w14:paraId="424E0EF3">
      <w:pPr>
        <w:pStyle w:val="11"/>
        <w:adjustRightInd w:val="0"/>
        <w:snapToGrid w:val="0"/>
        <w:spacing w:line="440" w:lineRule="exact"/>
        <w:jc w:val="left"/>
        <w:rPr>
          <w:sz w:val="24"/>
        </w:rPr>
      </w:pPr>
      <w:r>
        <w:rPr>
          <w:rFonts w:hint="eastAsia"/>
          <w:sz w:val="24"/>
        </w:rPr>
        <w:t>八、一般公共预算财政拨款基本支出决算明细表</w:t>
      </w:r>
    </w:p>
    <w:p w14:paraId="14EBABB9">
      <w:pPr>
        <w:pStyle w:val="11"/>
        <w:adjustRightInd w:val="0"/>
        <w:snapToGrid w:val="0"/>
        <w:spacing w:line="440" w:lineRule="exact"/>
        <w:jc w:val="left"/>
        <w:rPr>
          <w:sz w:val="24"/>
        </w:rPr>
      </w:pPr>
      <w:r>
        <w:rPr>
          <w:rFonts w:hint="eastAsia"/>
          <w:sz w:val="24"/>
        </w:rPr>
        <w:t>九、一般公共预算财政拨款项目支出决算表</w:t>
      </w:r>
    </w:p>
    <w:p w14:paraId="257A624F">
      <w:pPr>
        <w:pStyle w:val="11"/>
        <w:adjustRightInd w:val="0"/>
        <w:snapToGrid w:val="0"/>
        <w:spacing w:line="440" w:lineRule="exact"/>
        <w:jc w:val="left"/>
        <w:rPr>
          <w:sz w:val="24"/>
        </w:rPr>
      </w:pPr>
      <w:r>
        <w:rPr>
          <w:rFonts w:hint="eastAsia"/>
          <w:sz w:val="24"/>
        </w:rPr>
        <w:t>十、政府性基金预算财政拨款收入支出决算表</w:t>
      </w:r>
    </w:p>
    <w:p w14:paraId="1A0DF252">
      <w:pPr>
        <w:pStyle w:val="11"/>
        <w:adjustRightInd w:val="0"/>
        <w:snapToGrid w:val="0"/>
        <w:spacing w:line="440" w:lineRule="exact"/>
        <w:jc w:val="left"/>
        <w:rPr>
          <w:sz w:val="24"/>
        </w:rPr>
      </w:pPr>
      <w:r>
        <w:rPr>
          <w:rFonts w:hint="eastAsia"/>
          <w:sz w:val="24"/>
        </w:rPr>
        <w:t>十一、国有资本经营预算财政拨款收入支出决算表</w:t>
      </w:r>
    </w:p>
    <w:p w14:paraId="14988DA4">
      <w:pPr>
        <w:pStyle w:val="11"/>
        <w:adjustRightInd w:val="0"/>
        <w:snapToGrid w:val="0"/>
        <w:spacing w:line="440" w:lineRule="exact"/>
        <w:jc w:val="left"/>
        <w:rPr>
          <w:sz w:val="24"/>
        </w:rPr>
      </w:pPr>
      <w:r>
        <w:rPr>
          <w:rFonts w:hint="eastAsia"/>
          <w:sz w:val="24"/>
        </w:rPr>
        <w:t>十二、国有资本经营预算财政拨款支出决算表</w:t>
      </w:r>
    </w:p>
    <w:p w14:paraId="3904F75E">
      <w:pPr>
        <w:pStyle w:val="11"/>
        <w:adjustRightInd w:val="0"/>
        <w:snapToGrid w:val="0"/>
        <w:spacing w:line="440" w:lineRule="exact"/>
        <w:jc w:val="left"/>
        <w:rPr>
          <w:sz w:val="24"/>
        </w:rPr>
      </w:pPr>
      <w:r>
        <w:rPr>
          <w:rFonts w:hint="eastAsia"/>
          <w:sz w:val="24"/>
        </w:rPr>
        <w:t>十三、财政拨款“三公”经费支出决算表</w:t>
      </w:r>
    </w:p>
    <w:p w14:paraId="7D95A66F">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16D087C">
      <w:pPr>
        <w:pStyle w:val="3"/>
        <w:jc w:val="center"/>
        <w:rPr>
          <w:rStyle w:val="24"/>
          <w:rFonts w:ascii="黑体" w:hAnsi="黑体" w:eastAsia="黑体"/>
          <w:b/>
          <w:bCs w:val="0"/>
        </w:rPr>
      </w:pPr>
      <w:bookmarkStart w:id="14" w:name="_Hlk146544157"/>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4287BA70">
      <w:pPr>
        <w:widowControl/>
        <w:jc w:val="left"/>
        <w:rPr>
          <w:rFonts w:ascii="黑体" w:eastAsia="黑体"/>
          <w:sz w:val="32"/>
          <w:szCs w:val="32"/>
        </w:rPr>
      </w:pPr>
    </w:p>
    <w:p w14:paraId="3B74288F">
      <w:pPr>
        <w:pStyle w:val="4"/>
        <w:numPr>
          <w:ilvl w:val="0"/>
          <w:numId w:val="1"/>
        </w:numPr>
        <w:rPr>
          <w:rStyle w:val="25"/>
          <w:rFonts w:ascii="黑体" w:hAnsi="黑体" w:eastAsia="黑体"/>
          <w:b w:val="0"/>
          <w:bCs w:val="0"/>
        </w:rPr>
      </w:pPr>
      <w:bookmarkStart w:id="15" w:name="_Toc15396600"/>
      <w:bookmarkStart w:id="16" w:name="_Toc15377197"/>
      <w:r>
        <w:rPr>
          <w:rStyle w:val="25"/>
          <w:rFonts w:hint="eastAsia" w:ascii="黑体" w:hAnsi="黑体" w:eastAsia="黑体"/>
          <w:b w:val="0"/>
          <w:bCs w:val="0"/>
        </w:rPr>
        <w:t>主要职责</w:t>
      </w:r>
    </w:p>
    <w:p w14:paraId="758CBEBC">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1、贯彻执行</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社会保障工作的相关法律、法规、规章和政策，起草</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社会保障事业地方性实施办法，拟订全市</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社会保障事业发展规划、政策并组织实施和监督检查；2、拟订并组织实施</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市场发展规划和</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流动政策，建立全市统一规范的</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市场，促进</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合理流动、有效配置；3、负责促进就业工作；4、统筹建立覆盖城乡的社会保障体系；5、负责就业、失业、社会保险基金预测预警和信息引导，拟订应对预案，保持就业形势稳定和社会保险基金总体收支平衡；6、综合管理全市事业单位工作人员；7会同有关部门拟订机关、事业单位人员工资收入分配政策和企业职工工资收入分配调控政策等；8、会同有关部门指导事业单位人事制度改革；</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、会同有关部门拟订劳务开发及农民工工作综合性政策和规划并推动相关政策的落实；</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、组织实施劳动、人事争议调解仲裁制度和劳动关系政策；</w:t>
      </w:r>
      <w:r>
        <w:rPr>
          <w:rFonts w:hint="eastAsia" w:ascii="仿宋" w:hAnsi="仿宋" w:eastAsia="仿宋" w:cs="Times New Roman"/>
          <w:sz w:val="32"/>
          <w:szCs w:val="32"/>
          <w:lang w:val="en-US" w:eastAsia="zh-CN"/>
        </w:rPr>
        <w:t>11、统筹推进承担行政职业的事业单位改革；12、负责职责范围内的安全生产和职业健康、生态环境保护、审批服务便民化等工作。13、完成市委、市政府交办的其他事项。</w:t>
      </w:r>
    </w:p>
    <w:p w14:paraId="7F4EFC0E">
      <w:pPr>
        <w:pStyle w:val="4"/>
        <w:rPr>
          <w:rFonts w:ascii="黑体" w:hAnsi="黑体" w:eastAsia="黑体"/>
          <w:b w:val="0"/>
        </w:rPr>
      </w:pPr>
      <w:r>
        <w:rPr>
          <w:rFonts w:hint="eastAsia" w:ascii="黑体" w:hAnsi="黑体" w:eastAsia="黑体"/>
          <w:b w:val="0"/>
        </w:rPr>
        <w:t>二、机构设置</w:t>
      </w:r>
    </w:p>
    <w:p w14:paraId="77BBF88B">
      <w:pPr>
        <w:ind w:firstLine="707" w:firstLineChars="221"/>
        <w:rPr>
          <w:rFonts w:ascii="仿宋" w:hAnsi="仿宋" w:eastAsia="仿宋"/>
          <w:sz w:val="32"/>
          <w:szCs w:val="32"/>
        </w:rPr>
      </w:pPr>
      <w:r>
        <w:rPr>
          <w:rFonts w:hint="eastAsia" w:ascii="仿宋" w:hAnsi="仿宋" w:eastAsia="仿宋"/>
          <w:sz w:val="32"/>
          <w:szCs w:val="32"/>
          <w:lang w:val="en-US" w:eastAsia="zh-CN"/>
        </w:rPr>
        <w:t>峨眉山市人力资源和社会保障局（本级）</w:t>
      </w:r>
      <w:r>
        <w:rPr>
          <w:rFonts w:hint="eastAsia" w:ascii="仿宋" w:hAnsi="仿宋" w:eastAsia="仿宋"/>
          <w:sz w:val="32"/>
          <w:szCs w:val="32"/>
        </w:rPr>
        <w:t>属于</w:t>
      </w:r>
      <w:r>
        <w:rPr>
          <w:rFonts w:hint="eastAsia" w:ascii="仿宋" w:hAnsi="仿宋" w:eastAsia="仿宋"/>
          <w:sz w:val="32"/>
          <w:szCs w:val="32"/>
          <w:lang w:val="en-US" w:eastAsia="zh-CN"/>
        </w:rPr>
        <w:t>峨眉山市人力资源和社会保障局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3</w:t>
      </w:r>
      <w:r>
        <w:rPr>
          <w:rFonts w:hint="eastAsia" w:ascii="仿宋" w:hAnsi="仿宋" w:eastAsia="仿宋"/>
          <w:sz w:val="32"/>
          <w:szCs w:val="32"/>
        </w:rPr>
        <w:t>个，其中行政机构</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1</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p>
    <w:p w14:paraId="1D738DA2">
      <w:pPr>
        <w:pStyle w:val="2"/>
        <w:spacing w:before="93"/>
        <w:ind w:firstLine="707" w:firstLineChars="221"/>
        <w:rPr>
          <w:rFonts w:hint="eastAsia"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w:t>
      </w:r>
      <w:r>
        <w:rPr>
          <w:rFonts w:hint="eastAsia" w:ascii="仿宋" w:hAnsi="仿宋" w:eastAsia="仿宋"/>
          <w:kern w:val="2"/>
          <w:sz w:val="32"/>
          <w:szCs w:val="32"/>
          <w:lang w:val="en-US" w:eastAsia="zh-CN"/>
        </w:rPr>
        <w:t>2</w:t>
      </w:r>
      <w:r>
        <w:rPr>
          <w:rFonts w:hint="eastAsia" w:ascii="仿宋" w:hAnsi="仿宋" w:eastAsia="仿宋"/>
          <w:kern w:val="2"/>
          <w:sz w:val="32"/>
          <w:szCs w:val="32"/>
        </w:rPr>
        <w:t>年度单位决算编制范围的独立编制机构包括：</w:t>
      </w:r>
    </w:p>
    <w:p w14:paraId="6BCB79FA">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1.峨眉山市人力资源和社会保障局（本级）</w:t>
      </w:r>
    </w:p>
    <w:p w14:paraId="35E00AE8">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2</w:t>
      </w:r>
      <w:r>
        <w:rPr>
          <w:rFonts w:ascii="仿宋" w:hAnsi="仿宋" w:eastAsia="仿宋"/>
          <w:kern w:val="2"/>
          <w:sz w:val="32"/>
          <w:szCs w:val="32"/>
        </w:rPr>
        <w:t>.</w:t>
      </w:r>
      <w:r>
        <w:rPr>
          <w:rFonts w:hint="eastAsia" w:ascii="仿宋" w:hAnsi="仿宋" w:eastAsia="仿宋"/>
          <w:kern w:val="2"/>
          <w:sz w:val="32"/>
          <w:szCs w:val="32"/>
          <w:lang w:val="en-US" w:eastAsia="zh-CN"/>
        </w:rPr>
        <w:t>峨眉山市劳动保障监察大队</w:t>
      </w:r>
    </w:p>
    <w:p w14:paraId="7443218D">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3</w:t>
      </w:r>
      <w:r>
        <w:rPr>
          <w:rFonts w:ascii="仿宋" w:hAnsi="仿宋" w:eastAsia="仿宋"/>
          <w:kern w:val="2"/>
          <w:sz w:val="32"/>
          <w:szCs w:val="32"/>
        </w:rPr>
        <w:t>.</w:t>
      </w:r>
      <w:r>
        <w:rPr>
          <w:rFonts w:hint="eastAsia" w:ascii="仿宋" w:hAnsi="仿宋" w:eastAsia="仿宋"/>
          <w:kern w:val="2"/>
          <w:sz w:val="32"/>
          <w:szCs w:val="32"/>
          <w:lang w:val="en-US" w:eastAsia="zh-CN"/>
        </w:rPr>
        <w:t>峨眉山市劳动人事争议仲裁院</w:t>
      </w:r>
    </w:p>
    <w:bookmarkEnd w:id="14"/>
    <w:bookmarkEnd w:id="15"/>
    <w:bookmarkEnd w:id="16"/>
    <w:p w14:paraId="39360487">
      <w:pPr>
        <w:widowControl/>
        <w:jc w:val="left"/>
        <w:rPr>
          <w:rFonts w:ascii="仿宋" w:hAnsi="仿宋" w:eastAsia="仿宋"/>
          <w:sz w:val="32"/>
          <w:szCs w:val="32"/>
        </w:rPr>
      </w:pPr>
      <w:r>
        <w:rPr>
          <w:rFonts w:ascii="仿宋" w:hAnsi="仿宋" w:eastAsia="仿宋"/>
          <w:sz w:val="32"/>
          <w:szCs w:val="32"/>
        </w:rPr>
        <w:br w:type="page"/>
      </w:r>
    </w:p>
    <w:p w14:paraId="1F5322BA">
      <w:pPr>
        <w:pStyle w:val="3"/>
        <w:ind w:right="440"/>
        <w:jc w:val="center"/>
        <w:rPr>
          <w:rStyle w:val="24"/>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14:paraId="3315313B"/>
    <w:p w14:paraId="16C910FF">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14:paraId="3E1149D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914.64</w:t>
      </w:r>
      <w:r>
        <w:rPr>
          <w:rFonts w:hint="eastAsia" w:ascii="仿宋" w:hAnsi="仿宋" w:eastAsia="仿宋"/>
          <w:sz w:val="32"/>
          <w:szCs w:val="32"/>
        </w:rPr>
        <w:t>万元。与2021年相比，收、支总计各增加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-421.25</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-31.5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2021年年初结转较2022年年初结转多460.89万元</w:t>
      </w:r>
      <w:r>
        <w:rPr>
          <w:rFonts w:hint="eastAsia" w:ascii="仿宋" w:hAnsi="仿宋" w:eastAsia="仿宋"/>
          <w:sz w:val="32"/>
          <w:szCs w:val="32"/>
        </w:rPr>
        <w:t>。</w:t>
      </w:r>
    </w:p>
    <w:p w14:paraId="1F0588E3">
      <w:pPr>
        <w:pStyle w:val="2"/>
        <w:rPr>
          <w:rFonts w:hint="eastAsia" w:eastAsia="仿宋"/>
          <w:lang w:eastAsia="zh-CN"/>
        </w:rPr>
      </w:pPr>
      <w:r>
        <w:rPr>
          <w:rFonts w:hint="eastAsia" w:eastAsia="仿宋"/>
          <w:lang w:eastAsia="zh-CN"/>
        </w:rPr>
        <w:drawing>
          <wp:inline distT="0" distB="0" distL="114300" distR="114300">
            <wp:extent cx="5256530" cy="2493645"/>
            <wp:effectExtent l="4445" t="4445" r="15875" b="16510"/>
            <wp:docPr id="4" name="图表 4" descr="7b0a202020202263686172745265734964223a2022323034373535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F7F507">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D74019B">
      <w:pPr>
        <w:pStyle w:val="23"/>
        <w:numPr>
          <w:ilvl w:val="0"/>
          <w:numId w:val="2"/>
        </w:numPr>
        <w:spacing w:line="600" w:lineRule="exact"/>
        <w:ind w:firstLineChars="0"/>
        <w:outlineLvl w:val="1"/>
        <w:rPr>
          <w:rStyle w:val="25"/>
          <w:rFonts w:ascii="黑体" w:hAnsi="黑体" w:eastAsia="黑体"/>
          <w:b w:val="0"/>
        </w:rPr>
      </w:pPr>
      <w:bookmarkStart w:id="21" w:name="_Toc15396604"/>
      <w:bookmarkStart w:id="22" w:name="_Toc15377206"/>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14:paraId="1DC580B1">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808.48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733.95</w:t>
      </w:r>
      <w:r>
        <w:rPr>
          <w:rFonts w:hint="eastAsia" w:ascii="仿宋" w:hAnsi="仿宋" w:eastAsia="仿宋"/>
          <w:sz w:val="32"/>
          <w:szCs w:val="32"/>
        </w:rPr>
        <w:t>万元，占</w:t>
      </w:r>
      <w:r>
        <w:rPr>
          <w:rFonts w:hint="eastAsia" w:ascii="仿宋" w:hAnsi="仿宋" w:eastAsia="仿宋"/>
          <w:sz w:val="32"/>
          <w:szCs w:val="32"/>
          <w:lang w:val="en-US" w:eastAsia="zh-CN"/>
        </w:rPr>
        <w:t>90.8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74.53</w:t>
      </w:r>
      <w:r>
        <w:rPr>
          <w:rFonts w:hint="eastAsia" w:ascii="仿宋" w:hAnsi="仿宋" w:eastAsia="仿宋"/>
          <w:sz w:val="32"/>
          <w:szCs w:val="32"/>
        </w:rPr>
        <w:t>万元，占</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25D9EC98">
      <w:pPr>
        <w:spacing w:line="600" w:lineRule="exact"/>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3E485FBA">
      <w:pPr>
        <w:pStyle w:val="2"/>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96520</wp:posOffset>
            </wp:positionV>
            <wp:extent cx="5256530" cy="2836545"/>
            <wp:effectExtent l="4445" t="4445" r="15875" b="1651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4DD5A7A">
      <w:pPr>
        <w:pStyle w:val="2"/>
      </w:pPr>
    </w:p>
    <w:p w14:paraId="5D679E5C">
      <w:pPr>
        <w:pStyle w:val="2"/>
        <w:rPr>
          <w:rFonts w:ascii="仿宋" w:hAnsi="仿宋" w:eastAsia="仿宋"/>
          <w:b/>
          <w:sz w:val="32"/>
          <w:szCs w:val="32"/>
        </w:rPr>
      </w:pPr>
    </w:p>
    <w:p w14:paraId="48B79B5A">
      <w:pPr>
        <w:pStyle w:val="2"/>
        <w:rPr>
          <w:rFonts w:ascii="仿宋" w:hAnsi="仿宋" w:eastAsia="仿宋"/>
          <w:b/>
          <w:sz w:val="32"/>
          <w:szCs w:val="32"/>
        </w:rPr>
      </w:pPr>
    </w:p>
    <w:p w14:paraId="40AB950A">
      <w:pPr>
        <w:pStyle w:val="2"/>
        <w:rPr>
          <w:rFonts w:ascii="仿宋" w:hAnsi="仿宋" w:eastAsia="仿宋"/>
          <w:b/>
          <w:sz w:val="32"/>
          <w:szCs w:val="32"/>
        </w:rPr>
      </w:pPr>
    </w:p>
    <w:p w14:paraId="2002A6C7">
      <w:pPr>
        <w:spacing w:line="600" w:lineRule="exact"/>
        <w:ind w:firstLine="640" w:firstLineChars="200"/>
        <w:rPr>
          <w:rFonts w:hint="eastAsia" w:ascii="仿宋" w:hAnsi="仿宋" w:eastAsia="仿宋"/>
          <w:sz w:val="32"/>
          <w:szCs w:val="32"/>
          <w:lang w:eastAsia="zh-CN"/>
        </w:rPr>
      </w:pPr>
    </w:p>
    <w:p w14:paraId="2428DFA8">
      <w:pPr>
        <w:spacing w:line="600" w:lineRule="exact"/>
        <w:ind w:firstLine="640" w:firstLineChars="200"/>
        <w:rPr>
          <w:rFonts w:hint="eastAsia" w:ascii="仿宋" w:hAnsi="仿宋" w:eastAsia="仿宋"/>
          <w:sz w:val="32"/>
          <w:szCs w:val="32"/>
        </w:rPr>
      </w:pPr>
    </w:p>
    <w:p w14:paraId="0F890AAA">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3DB7DD75">
      <w:pPr>
        <w:pStyle w:val="23"/>
        <w:numPr>
          <w:ilvl w:val="0"/>
          <w:numId w:val="2"/>
        </w:numPr>
        <w:spacing w:line="600" w:lineRule="exact"/>
        <w:ind w:firstLineChars="0"/>
        <w:outlineLvl w:val="1"/>
        <w:rPr>
          <w:rStyle w:val="25"/>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14:paraId="5DE3E620">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914.64</w:t>
      </w:r>
      <w:r>
        <w:rPr>
          <w:rFonts w:hint="eastAsia" w:ascii="仿宋" w:hAnsi="仿宋" w:eastAsia="仿宋"/>
          <w:sz w:val="32"/>
          <w:szCs w:val="32"/>
        </w:rPr>
        <w:t>万元，其中：基本支出</w:t>
      </w:r>
      <w:r>
        <w:rPr>
          <w:rFonts w:hint="eastAsia" w:ascii="仿宋" w:hAnsi="仿宋" w:eastAsia="仿宋"/>
          <w:sz w:val="32"/>
          <w:szCs w:val="32"/>
          <w:lang w:val="en-US" w:eastAsia="zh-CN"/>
        </w:rPr>
        <w:t>652.83</w:t>
      </w:r>
      <w:r>
        <w:rPr>
          <w:rFonts w:hint="eastAsia" w:ascii="仿宋" w:hAnsi="仿宋" w:eastAsia="仿宋"/>
          <w:sz w:val="32"/>
          <w:szCs w:val="32"/>
        </w:rPr>
        <w:t>万元，占</w:t>
      </w:r>
      <w:r>
        <w:rPr>
          <w:rFonts w:hint="eastAsia" w:ascii="仿宋" w:hAnsi="仿宋" w:eastAsia="仿宋"/>
          <w:sz w:val="32"/>
          <w:szCs w:val="32"/>
          <w:lang w:val="en-US" w:eastAsia="zh-CN"/>
        </w:rPr>
        <w:t>71.4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261.81</w:t>
      </w:r>
      <w:r>
        <w:rPr>
          <w:rFonts w:hint="eastAsia" w:ascii="仿宋" w:hAnsi="仿宋" w:eastAsia="仿宋"/>
          <w:sz w:val="32"/>
          <w:szCs w:val="32"/>
        </w:rPr>
        <w:t>万元，占</w:t>
      </w:r>
      <w:r>
        <w:rPr>
          <w:rFonts w:hint="eastAsia" w:ascii="仿宋" w:hAnsi="仿宋" w:eastAsia="仿宋"/>
          <w:sz w:val="32"/>
          <w:szCs w:val="32"/>
          <w:lang w:val="en-US" w:eastAsia="zh-CN"/>
        </w:rPr>
        <w:t>28.6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12F39B1F">
      <w:pPr>
        <w:spacing w:line="600" w:lineRule="exact"/>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7071E10B">
      <w:pPr>
        <w:pStyle w:val="2"/>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104140</wp:posOffset>
            </wp:positionV>
            <wp:extent cx="5313680" cy="2552065"/>
            <wp:effectExtent l="4445" t="4445" r="15875" b="1524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98ADD77">
      <w:pPr>
        <w:spacing w:line="600" w:lineRule="exact"/>
        <w:ind w:firstLine="640"/>
        <w:rPr>
          <w:rFonts w:ascii="仿宋" w:hAnsi="仿宋" w:eastAsia="仿宋"/>
          <w:sz w:val="32"/>
          <w:szCs w:val="32"/>
          <w:shd w:val="pct10" w:color="auto" w:fill="FFFFFF"/>
        </w:rPr>
      </w:pPr>
    </w:p>
    <w:p w14:paraId="1708E021">
      <w:pPr>
        <w:pStyle w:val="2"/>
      </w:pPr>
    </w:p>
    <w:p w14:paraId="5CB51937">
      <w:pPr>
        <w:pStyle w:val="2"/>
        <w:rPr>
          <w:rFonts w:ascii="仿宋" w:hAnsi="仿宋" w:eastAsia="仿宋"/>
          <w:sz w:val="32"/>
          <w:szCs w:val="32"/>
          <w:shd w:val="pct10" w:color="auto" w:fill="FFFFFF"/>
        </w:rPr>
      </w:pPr>
    </w:p>
    <w:p w14:paraId="0DE69ED6">
      <w:pPr>
        <w:pStyle w:val="2"/>
        <w:rPr>
          <w:rFonts w:ascii="仿宋" w:hAnsi="仿宋" w:eastAsia="仿宋"/>
          <w:sz w:val="32"/>
          <w:szCs w:val="32"/>
          <w:shd w:val="pct10" w:color="auto" w:fill="FFFFFF"/>
        </w:rPr>
      </w:pPr>
    </w:p>
    <w:p w14:paraId="2F088252">
      <w:pPr>
        <w:pStyle w:val="2"/>
        <w:rPr>
          <w:rFonts w:ascii="仿宋" w:hAnsi="仿宋" w:eastAsia="仿宋"/>
          <w:sz w:val="32"/>
          <w:szCs w:val="32"/>
          <w:shd w:val="pct10" w:color="auto" w:fill="FFFFFF"/>
        </w:rPr>
      </w:pPr>
    </w:p>
    <w:p w14:paraId="6093082E">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5A0C67C1">
      <w:pPr>
        <w:spacing w:line="600" w:lineRule="exact"/>
        <w:ind w:firstLine="640" w:firstLineChars="200"/>
        <w:outlineLvl w:val="1"/>
        <w:rPr>
          <w:rStyle w:val="25"/>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14:paraId="7226644D">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914.64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-409.84</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-30.9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2021年年初结转较2022年年初结转多451.33万元</w:t>
      </w:r>
      <w:r>
        <w:rPr>
          <w:rFonts w:hint="eastAsia" w:ascii="仿宋" w:hAnsi="仿宋" w:eastAsia="仿宋"/>
          <w:sz w:val="32"/>
          <w:szCs w:val="32"/>
        </w:rPr>
        <w:t>。</w:t>
      </w:r>
    </w:p>
    <w:p w14:paraId="02417980">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E45E0E3">
      <w:pPr>
        <w:pStyle w:val="2"/>
        <w:rPr>
          <w:rFonts w:ascii="仿宋" w:hAnsi="仿宋" w:eastAsia="仿宋"/>
          <w:sz w:val="32"/>
          <w:szCs w:val="32"/>
        </w:rPr>
      </w:pPr>
      <w:r>
        <w:rPr>
          <w:rFonts w:hint="eastAsia" w:eastAsia="仿宋"/>
          <w:lang w:eastAsia="zh-CN"/>
        </w:rPr>
        <w:drawing>
          <wp:inline distT="0" distB="0" distL="114300" distR="114300">
            <wp:extent cx="5256530" cy="3436620"/>
            <wp:effectExtent l="5080" t="4445" r="15240" b="6985"/>
            <wp:docPr id="10" name="图表 10" descr="7b0a202020202263686172745265734964223a2022323034373535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53BCB5">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14:paraId="0ACC80AD">
      <w:pPr>
        <w:spacing w:line="600" w:lineRule="exact"/>
        <w:ind w:firstLine="640" w:firstLineChars="200"/>
        <w:outlineLvl w:val="1"/>
        <w:rPr>
          <w:rStyle w:val="25"/>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14:paraId="50FF6A82">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14:paraId="0BCBCD9E">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840.11</w:t>
      </w:r>
      <w:r>
        <w:rPr>
          <w:rFonts w:hint="eastAsia" w:ascii="仿宋" w:hAnsi="仿宋" w:eastAsia="仿宋"/>
          <w:sz w:val="32"/>
          <w:szCs w:val="32"/>
        </w:rPr>
        <w:t>万元，占本年支出合计的</w:t>
      </w:r>
      <w:r>
        <w:rPr>
          <w:rFonts w:hint="eastAsia" w:ascii="仿宋" w:hAnsi="仿宋" w:eastAsia="仿宋"/>
          <w:sz w:val="32"/>
          <w:szCs w:val="32"/>
          <w:lang w:val="en-US" w:eastAsia="zh-CN"/>
        </w:rPr>
        <w:t>91.9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72.42</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9.4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p>
    <w:p w14:paraId="1B8390A1">
      <w:pPr>
        <w:pStyle w:val="2"/>
        <w:rPr>
          <w:rFonts w:hint="eastAsia" w:ascii="仿宋" w:hAnsi="仿宋" w:eastAsia="仿宋"/>
          <w:sz w:val="32"/>
          <w:szCs w:val="32"/>
          <w:lang w:val="en-US" w:eastAsia="zh-CN"/>
        </w:rPr>
      </w:pPr>
      <w:r>
        <w:rPr>
          <w:rFonts w:hint="eastAsia" w:eastAsia="仿宋"/>
          <w:lang w:eastAsia="zh-CN"/>
        </w:rPr>
        <w:drawing>
          <wp:anchor distT="0" distB="0" distL="114300" distR="114300" simplePos="0" relativeHeight="251661312" behindDoc="0" locked="0" layoutInCell="1" allowOverlap="1">
            <wp:simplePos x="0" y="0"/>
            <wp:positionH relativeFrom="column">
              <wp:posOffset>71120</wp:posOffset>
            </wp:positionH>
            <wp:positionV relativeFrom="paragraph">
              <wp:posOffset>74295</wp:posOffset>
            </wp:positionV>
            <wp:extent cx="5256530" cy="2779395"/>
            <wp:effectExtent l="4445" t="4445" r="15875" b="16510"/>
            <wp:wrapNone/>
            <wp:docPr id="11" name="图表 11" descr="7b0a202020202263686172745265734964223a2022323034373535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C2046A3">
      <w:pPr>
        <w:pStyle w:val="2"/>
        <w:rPr>
          <w:rFonts w:hint="eastAsia" w:ascii="仿宋" w:hAnsi="仿宋" w:eastAsia="仿宋"/>
          <w:sz w:val="32"/>
          <w:szCs w:val="32"/>
          <w:lang w:val="en-US" w:eastAsia="zh-CN"/>
        </w:rPr>
      </w:pPr>
    </w:p>
    <w:p w14:paraId="573E79B6">
      <w:pPr>
        <w:pStyle w:val="2"/>
        <w:rPr>
          <w:rFonts w:hint="default" w:ascii="仿宋" w:hAnsi="仿宋" w:eastAsia="仿宋"/>
          <w:sz w:val="32"/>
          <w:szCs w:val="32"/>
          <w:lang w:val="en-US" w:eastAsia="zh-CN"/>
        </w:rPr>
      </w:pPr>
    </w:p>
    <w:p w14:paraId="1D7756BF">
      <w:pPr>
        <w:spacing w:line="600" w:lineRule="exact"/>
        <w:ind w:firstLine="640" w:firstLineChars="200"/>
        <w:rPr>
          <w:rFonts w:hint="eastAsia" w:ascii="仿宋" w:hAnsi="仿宋" w:eastAsia="仿宋"/>
          <w:sz w:val="32"/>
          <w:szCs w:val="32"/>
        </w:rPr>
      </w:pPr>
    </w:p>
    <w:p w14:paraId="1EA1213A">
      <w:pPr>
        <w:spacing w:line="600" w:lineRule="exact"/>
        <w:ind w:firstLine="640" w:firstLineChars="200"/>
        <w:rPr>
          <w:rFonts w:hint="eastAsia" w:ascii="仿宋" w:hAnsi="仿宋" w:eastAsia="仿宋"/>
          <w:sz w:val="32"/>
          <w:szCs w:val="32"/>
        </w:rPr>
      </w:pPr>
    </w:p>
    <w:p w14:paraId="3EB1E59D">
      <w:pPr>
        <w:spacing w:line="600" w:lineRule="exact"/>
        <w:ind w:firstLine="640" w:firstLineChars="200"/>
        <w:rPr>
          <w:rFonts w:hint="eastAsia" w:ascii="仿宋" w:hAnsi="仿宋" w:eastAsia="仿宋"/>
          <w:sz w:val="32"/>
          <w:szCs w:val="32"/>
        </w:rPr>
      </w:pPr>
    </w:p>
    <w:p w14:paraId="62DD41CC">
      <w:pPr>
        <w:spacing w:line="600" w:lineRule="exact"/>
        <w:ind w:firstLine="640" w:firstLineChars="200"/>
        <w:rPr>
          <w:rFonts w:hint="eastAsia" w:ascii="仿宋" w:hAnsi="仿宋" w:eastAsia="仿宋"/>
          <w:sz w:val="32"/>
          <w:szCs w:val="32"/>
        </w:rPr>
      </w:pPr>
    </w:p>
    <w:p w14:paraId="70958354">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69BDFFF">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14:paraId="4D43B5B9">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840.11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784.31</w:t>
      </w:r>
      <w:r>
        <w:rPr>
          <w:rFonts w:hint="eastAsia" w:ascii="仿宋" w:hAnsi="仿宋" w:eastAsia="仿宋"/>
          <w:sz w:val="32"/>
          <w:szCs w:val="32"/>
        </w:rPr>
        <w:t>万元，占</w:t>
      </w:r>
      <w:r>
        <w:rPr>
          <w:rFonts w:hint="eastAsia" w:ascii="仿宋" w:hAnsi="仿宋" w:eastAsia="仿宋"/>
          <w:sz w:val="32"/>
          <w:szCs w:val="32"/>
          <w:lang w:val="en-US" w:eastAsia="zh-CN"/>
        </w:rPr>
        <w:t>93.4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12.81</w:t>
      </w:r>
      <w:r>
        <w:rPr>
          <w:rFonts w:hint="eastAsia" w:ascii="仿宋" w:hAnsi="仿宋" w:eastAsia="仿宋"/>
          <w:sz w:val="32"/>
          <w:szCs w:val="32"/>
        </w:rPr>
        <w:t>万元，占</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42.99</w:t>
      </w:r>
      <w:r>
        <w:rPr>
          <w:rFonts w:hint="eastAsia" w:ascii="仿宋" w:hAnsi="仿宋" w:eastAsia="仿宋"/>
          <w:sz w:val="32"/>
          <w:szCs w:val="32"/>
        </w:rPr>
        <w:t>万元，占</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w:t>
      </w:r>
    </w:p>
    <w:p w14:paraId="131D30B8">
      <w:pPr>
        <w:spacing w:line="600" w:lineRule="exact"/>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16C58126">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30480</wp:posOffset>
            </wp:positionH>
            <wp:positionV relativeFrom="paragraph">
              <wp:posOffset>81915</wp:posOffset>
            </wp:positionV>
            <wp:extent cx="5256530" cy="2426335"/>
            <wp:effectExtent l="4445" t="4445" r="15875" b="762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D93B749">
      <w:pPr>
        <w:spacing w:line="600" w:lineRule="exact"/>
        <w:ind w:firstLine="640" w:firstLineChars="200"/>
        <w:rPr>
          <w:rFonts w:hint="eastAsia" w:ascii="仿宋" w:hAnsi="仿宋" w:eastAsia="仿宋"/>
          <w:sz w:val="32"/>
          <w:szCs w:val="32"/>
        </w:rPr>
      </w:pPr>
    </w:p>
    <w:p w14:paraId="02F39DC7">
      <w:pPr>
        <w:pStyle w:val="2"/>
        <w:rPr>
          <w:rFonts w:hint="eastAsia" w:ascii="仿宋" w:hAnsi="仿宋" w:eastAsia="仿宋"/>
          <w:sz w:val="32"/>
          <w:szCs w:val="32"/>
        </w:rPr>
      </w:pPr>
    </w:p>
    <w:p w14:paraId="5F2E37B2">
      <w:pPr>
        <w:pStyle w:val="2"/>
        <w:rPr>
          <w:rFonts w:hint="eastAsia" w:ascii="仿宋" w:hAnsi="仿宋" w:eastAsia="仿宋"/>
          <w:sz w:val="32"/>
          <w:szCs w:val="32"/>
        </w:rPr>
      </w:pPr>
    </w:p>
    <w:p w14:paraId="375149DC">
      <w:pPr>
        <w:pStyle w:val="2"/>
        <w:rPr>
          <w:rFonts w:hint="eastAsia" w:ascii="仿宋" w:hAnsi="仿宋" w:eastAsia="仿宋"/>
          <w:sz w:val="32"/>
          <w:szCs w:val="32"/>
        </w:rPr>
      </w:pPr>
    </w:p>
    <w:p w14:paraId="4B8B36E2">
      <w:pPr>
        <w:spacing w:line="600" w:lineRule="exact"/>
        <w:ind w:firstLine="640" w:firstLineChars="200"/>
        <w:rPr>
          <w:rFonts w:hint="eastAsia" w:ascii="仿宋" w:hAnsi="仿宋" w:eastAsia="仿宋"/>
          <w:sz w:val="32"/>
          <w:szCs w:val="32"/>
        </w:rPr>
      </w:pPr>
    </w:p>
    <w:p w14:paraId="5D87B45D">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14:paraId="1BECC55D">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14:paraId="431A1CC8">
      <w:pPr>
        <w:spacing w:line="600" w:lineRule="exact"/>
        <w:ind w:firstLine="643" w:firstLineChars="200"/>
        <w:outlineLvl w:val="2"/>
        <w:rPr>
          <w:rFonts w:ascii="仿宋" w:hAnsi="仿宋" w:eastAsia="仿宋"/>
          <w:sz w:val="32"/>
          <w:szCs w:val="32"/>
        </w:rPr>
      </w:pPr>
      <w:bookmarkStart w:id="32" w:name="_Toc15377213"/>
      <w:bookmarkStart w:id="33" w:name="_Toc15378460"/>
      <w:bookmarkStart w:id="34"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840.11</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2"/>
      <w:bookmarkEnd w:id="33"/>
      <w:bookmarkEnd w:id="34"/>
    </w:p>
    <w:p w14:paraId="45A1A16A">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行政运行</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401.48</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6F357E30">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综合业务管理</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91.4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786F2DFD">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事业运行</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39.96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4CBE820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其他人力资源和社会保障管理事务支出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130.92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3EB4190B">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机关事业单位基本养老保险缴费支出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31.88</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727F3D6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机关事业单位职业年金缴费支出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17.8</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579C1E7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7</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抚恤</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死亡抚恤</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21.13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5A206C49">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8</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49.75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44F7316F">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9</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行政单位医疗</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7.95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71C131A4">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10</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事业单位医疗</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4.85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39B935B5">
      <w:pPr>
        <w:spacing w:line="600" w:lineRule="exact"/>
        <w:ind w:firstLine="643" w:firstLineChars="200"/>
        <w:rPr>
          <w:rFonts w:ascii="仿宋" w:hAnsi="仿宋" w:eastAsia="仿宋"/>
          <w:sz w:val="32"/>
          <w:szCs w:val="32"/>
        </w:rPr>
      </w:pPr>
      <w:r>
        <w:rPr>
          <w:rStyle w:val="14"/>
          <w:rFonts w:hint="eastAsia" w:ascii="仿宋" w:hAnsi="仿宋" w:eastAsia="仿宋"/>
          <w:bCs/>
          <w:sz w:val="32"/>
          <w:szCs w:val="32"/>
          <w:lang w:val="en-US" w:eastAsia="zh-CN"/>
        </w:rPr>
        <w:t>11</w:t>
      </w:r>
      <w:r>
        <w:rPr>
          <w:rStyle w:val="14"/>
          <w:rFonts w:ascii="仿宋" w:hAnsi="仿宋" w:eastAsia="仿宋"/>
          <w:bCs/>
          <w:sz w:val="32"/>
          <w:szCs w:val="32"/>
        </w:rPr>
        <w:t>.</w:t>
      </w:r>
      <w:r>
        <w:rPr>
          <w:rFonts w:hint="eastAsia" w:ascii="仿宋" w:hAnsi="仿宋" w:eastAsia="仿宋"/>
          <w:b/>
          <w:bCs/>
          <w:sz w:val="32"/>
          <w:szCs w:val="32"/>
          <w:lang w:val="en-US" w:eastAsia="zh-CN"/>
        </w:rPr>
        <w:t>住房保障支出</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住房改革支出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住房公积金</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42.99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r>
        <w:rPr>
          <w:rStyle w:val="14"/>
          <w:rFonts w:hint="eastAsia" w:ascii="仿宋" w:hAnsi="仿宋" w:eastAsia="仿宋"/>
          <w:b w:val="0"/>
          <w:bCs/>
          <w:sz w:val="32"/>
          <w:szCs w:val="32"/>
          <w:lang w:val="en-US" w:eastAsia="zh-CN"/>
        </w:rPr>
        <w:t>与预算数持平。</w:t>
      </w:r>
    </w:p>
    <w:p w14:paraId="0129DFA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64D3F44B">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14:paraId="1C0015A2">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644.34</w:t>
      </w:r>
      <w:r>
        <w:rPr>
          <w:rFonts w:hint="eastAsia" w:ascii="仿宋" w:hAnsi="仿宋" w:eastAsia="仿宋"/>
          <w:sz w:val="32"/>
          <w:szCs w:val="32"/>
        </w:rPr>
        <w:t>万元，其中：</w:t>
      </w:r>
    </w:p>
    <w:p w14:paraId="31F9A5B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509.2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135.14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6CEA3E">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0A8D09F8">
      <w:pPr>
        <w:spacing w:line="600" w:lineRule="exact"/>
        <w:ind w:firstLine="640"/>
        <w:outlineLvl w:val="1"/>
        <w:rPr>
          <w:rStyle w:val="25"/>
          <w:rFonts w:ascii="黑体" w:hAnsi="黑体" w:eastAsia="黑体"/>
          <w:b w:val="0"/>
        </w:rPr>
      </w:pPr>
      <w:bookmarkStart w:id="37" w:name="_Toc15396609"/>
      <w:bookmarkStart w:id="38"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14:paraId="1E89D424">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14:paraId="29FD808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12.69</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，较上年增加/减少</w:t>
      </w:r>
      <w:r>
        <w:rPr>
          <w:rFonts w:hint="eastAsia" w:ascii="仿宋" w:hAnsi="仿宋" w:eastAsia="仿宋"/>
          <w:sz w:val="32"/>
          <w:szCs w:val="32"/>
          <w:lang w:val="en-US" w:eastAsia="zh-CN"/>
        </w:rPr>
        <w:t>-2.54</w:t>
      </w:r>
      <w:r>
        <w:rPr>
          <w:rFonts w:hint="eastAsia" w:ascii="仿宋" w:hAnsi="仿宋" w:eastAsia="仿宋"/>
          <w:sz w:val="32"/>
          <w:szCs w:val="32"/>
        </w:rPr>
        <w:t>万元，增长/下降</w:t>
      </w:r>
      <w:r>
        <w:rPr>
          <w:rFonts w:hint="eastAsia" w:ascii="仿宋" w:hAnsi="仿宋" w:eastAsia="仿宋"/>
          <w:sz w:val="32"/>
          <w:szCs w:val="32"/>
          <w:lang w:val="en-US" w:eastAsia="zh-CN"/>
        </w:rPr>
        <w:t>-16.7</w:t>
      </w:r>
      <w:r>
        <w:rPr>
          <w:rFonts w:hint="eastAsia" w:ascii="仿宋" w:hAnsi="仿宋" w:eastAsia="仿宋"/>
          <w:sz w:val="32"/>
          <w:szCs w:val="32"/>
        </w:rPr>
        <w:t>%。决算数小于预算数的主要原因是</w:t>
      </w:r>
      <w:r>
        <w:rPr>
          <w:rFonts w:hint="eastAsia" w:ascii="仿宋_GB2312" w:eastAsia="仿宋_GB2312"/>
          <w:color w:val="000000"/>
          <w:sz w:val="32"/>
          <w:szCs w:val="32"/>
          <w:lang w:eastAsia="zh-CN"/>
        </w:rPr>
        <w:t>我单位厉行节约，缩减开支</w:t>
      </w:r>
      <w:r>
        <w:rPr>
          <w:rFonts w:hint="eastAsia" w:ascii="仿宋" w:hAnsi="仿宋" w:eastAsia="仿宋"/>
          <w:sz w:val="32"/>
          <w:szCs w:val="32"/>
        </w:rPr>
        <w:t>。</w:t>
      </w:r>
    </w:p>
    <w:p w14:paraId="17DE207E">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53DB5D30">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14:paraId="72F1B2CF">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11.55</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1.14</w:t>
      </w:r>
      <w:r>
        <w:rPr>
          <w:rFonts w:hint="eastAsia" w:ascii="仿宋" w:hAnsi="仿宋" w:eastAsia="仿宋"/>
          <w:sz w:val="32"/>
          <w:szCs w:val="32"/>
        </w:rPr>
        <w:t>万元，占</w:t>
      </w: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。具体情况如下：</w:t>
      </w:r>
    </w:p>
    <w:p w14:paraId="343CA631">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14A63C">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（图7：“三公”经费财政拨款支出结构）（饼状图）</w:t>
      </w:r>
    </w:p>
    <w:p w14:paraId="2DAF2664">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我局2022年未安排因公出国（境）</w:t>
      </w:r>
      <w:r>
        <w:rPr>
          <w:rFonts w:hint="eastAsia" w:ascii="仿宋_GB2312" w:eastAsia="仿宋_GB2312"/>
          <w:sz w:val="32"/>
          <w:szCs w:val="32"/>
        </w:rPr>
        <w:t>。</w:t>
      </w:r>
    </w:p>
    <w:p w14:paraId="0753CB8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11.55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-2.73</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-19.1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lang w:eastAsia="zh-CN"/>
        </w:rPr>
        <w:t>我单位厉行节约，缩减开支</w:t>
      </w:r>
      <w:r>
        <w:rPr>
          <w:rFonts w:hint="eastAsia" w:ascii="仿宋" w:hAnsi="仿宋" w:eastAsia="仿宋"/>
          <w:sz w:val="32"/>
          <w:szCs w:val="32"/>
        </w:rPr>
        <w:t>。</w:t>
      </w:r>
    </w:p>
    <w:p w14:paraId="57502E0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3390954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11.55</w:t>
      </w:r>
      <w:r>
        <w:rPr>
          <w:rFonts w:hint="eastAsia" w:ascii="仿宋_GB2312" w:eastAsia="仿宋_GB2312"/>
          <w:sz w:val="32"/>
          <w:szCs w:val="32"/>
        </w:rPr>
        <w:t>万元。主要用于</w:t>
      </w:r>
      <w:r>
        <w:rPr>
          <w:rFonts w:hint="eastAsia" w:ascii="仿宋_GB2312" w:eastAsia="仿宋_GB2312"/>
          <w:color w:val="000000"/>
          <w:sz w:val="32"/>
          <w:szCs w:val="32"/>
          <w:lang w:eastAsia="zh-CN"/>
        </w:rPr>
        <w:t>公招考试、农民工工资清欠、劳动监察仲裁、</w:t>
      </w:r>
      <w:r>
        <w:rPr>
          <w:rFonts w:hint="eastAsia" w:ascii="仿宋_GB2312" w:eastAsia="仿宋_GB2312"/>
          <w:color w:val="000000"/>
          <w:sz w:val="32"/>
          <w:szCs w:val="32"/>
          <w:lang w:val="en-US" w:eastAsia="zh-CN"/>
        </w:rPr>
        <w:t>工伤认定、</w:t>
      </w:r>
      <w:r>
        <w:rPr>
          <w:rFonts w:hint="eastAsia" w:ascii="仿宋_GB2312" w:eastAsia="仿宋_GB2312"/>
          <w:color w:val="000000"/>
          <w:sz w:val="32"/>
          <w:szCs w:val="32"/>
          <w:lang w:eastAsia="zh-CN"/>
        </w:rPr>
        <w:t>创</w:t>
      </w:r>
      <w:r>
        <w:rPr>
          <w:rFonts w:hint="eastAsia" w:ascii="仿宋_GB2312" w:eastAsia="仿宋_GB2312"/>
          <w:color w:val="000000"/>
          <w:sz w:val="32"/>
          <w:szCs w:val="32"/>
          <w:lang w:val="en-US" w:eastAsia="zh-CN"/>
        </w:rPr>
        <w:t>文创</w:t>
      </w:r>
      <w:r>
        <w:rPr>
          <w:rFonts w:hint="eastAsia" w:ascii="仿宋_GB2312" w:eastAsia="仿宋_GB2312"/>
          <w:color w:val="000000"/>
          <w:sz w:val="32"/>
          <w:szCs w:val="32"/>
          <w:lang w:eastAsia="zh-CN"/>
        </w:rPr>
        <w:t>卫</w:t>
      </w:r>
      <w:r>
        <w:rPr>
          <w:rFonts w:hint="eastAsia" w:ascii="仿宋_GB2312" w:hAnsi="仿宋_GB2312" w:eastAsia="仿宋_GB2312" w:cs="仿宋_GB2312"/>
          <w:b w:val="0"/>
          <w:bCs/>
          <w:sz w:val="32"/>
          <w:szCs w:val="32"/>
        </w:rPr>
        <w:t>等</w:t>
      </w:r>
      <w:r>
        <w:rPr>
          <w:rFonts w:hint="eastAsia" w:ascii="仿宋_GB2312" w:eastAsia="仿宋_GB2312"/>
          <w:sz w:val="32"/>
          <w:szCs w:val="32"/>
        </w:rPr>
        <w:t>所需的公务用车燃料费、维修费、过路过桥费、保险费等支出。</w:t>
      </w:r>
    </w:p>
    <w:p w14:paraId="0E506FC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1.14</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0.19</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sz w:val="32"/>
          <w:szCs w:val="32"/>
          <w:lang w:eastAsia="zh-CN"/>
        </w:rPr>
        <w:t>接待省、乐山市领导调研比上年有所增长</w:t>
      </w:r>
      <w:r>
        <w:rPr>
          <w:rFonts w:hint="eastAsia" w:ascii="仿宋_GB2312" w:eastAsia="仿宋_GB2312"/>
          <w:sz w:val="32"/>
          <w:szCs w:val="32"/>
        </w:rPr>
        <w:t>。其中：</w:t>
      </w:r>
    </w:p>
    <w:p w14:paraId="32768844">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1.14</w:t>
      </w:r>
      <w:r>
        <w:rPr>
          <w:rFonts w:hint="eastAsia" w:ascii="仿宋_GB2312" w:eastAsia="仿宋_GB2312"/>
          <w:sz w:val="32"/>
          <w:szCs w:val="32"/>
        </w:rPr>
        <w:t>万元，主要用于</w:t>
      </w:r>
      <w:r>
        <w:rPr>
          <w:rFonts w:hint="eastAsia" w:ascii="仿宋_GB2312" w:eastAsia="仿宋_GB2312"/>
          <w:sz w:val="32"/>
          <w:szCs w:val="32"/>
          <w:lang w:val="en-US" w:eastAsia="zh-CN"/>
        </w:rPr>
        <w:t>接待省厅、乐山市局考察农民工、社保基金等项目及各区县学习交流</w:t>
      </w:r>
      <w:r>
        <w:rPr>
          <w:rFonts w:hint="eastAsia" w:ascii="仿宋_GB2312" w:eastAsia="仿宋_GB2312"/>
          <w:sz w:val="32"/>
          <w:szCs w:val="32"/>
        </w:rPr>
        <w:t>开支的交通费、住宿费、用餐费等。国内公务接待</w:t>
      </w:r>
      <w:r>
        <w:rPr>
          <w:rFonts w:hint="eastAsia" w:ascii="仿宋_GB2312" w:eastAsia="仿宋_GB2312"/>
          <w:sz w:val="32"/>
          <w:szCs w:val="32"/>
          <w:lang w:val="en-US" w:eastAsia="zh-CN"/>
        </w:rPr>
        <w:t>8</w:t>
      </w:r>
      <w:r>
        <w:rPr>
          <w:rFonts w:hint="eastAsia" w:ascii="仿宋_GB2312" w:eastAsia="仿宋_GB2312"/>
          <w:sz w:val="32"/>
          <w:szCs w:val="32"/>
        </w:rPr>
        <w:t>批次，</w:t>
      </w:r>
      <w:r>
        <w:rPr>
          <w:rFonts w:hint="eastAsia" w:ascii="仿宋_GB2312" w:eastAsia="仿宋_GB2312"/>
          <w:sz w:val="32"/>
          <w:szCs w:val="32"/>
          <w:lang w:val="en-US" w:eastAsia="zh-CN"/>
        </w:rPr>
        <w:t>90余</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1.14</w:t>
      </w:r>
      <w:r>
        <w:rPr>
          <w:rFonts w:hint="eastAsia" w:ascii="仿宋_GB2312" w:eastAsia="仿宋_GB2312"/>
          <w:sz w:val="32"/>
          <w:szCs w:val="32"/>
        </w:rPr>
        <w:t>万元，具体内容</w:t>
      </w:r>
      <w:r>
        <w:rPr>
          <w:rFonts w:hint="eastAsia" w:ascii="仿宋_GB2312" w:eastAsia="仿宋_GB2312"/>
          <w:color w:val="auto"/>
          <w:sz w:val="32"/>
          <w:szCs w:val="32"/>
        </w:rPr>
        <w:t>包括：</w:t>
      </w:r>
      <w:r>
        <w:rPr>
          <w:rFonts w:hint="eastAsia" w:ascii="仿宋_GB2312" w:eastAsia="仿宋_GB2312"/>
          <w:color w:val="auto"/>
          <w:sz w:val="32"/>
          <w:szCs w:val="32"/>
          <w:lang w:val="en-US" w:eastAsia="zh-CN"/>
        </w:rPr>
        <w:t>接待五通桥、井研等考察支出2738元，接待省厅检查农民工工作支出4830元，接待乐山检查农民工工作支出1800元，接待乐山检查社保基金工作支出2000元</w:t>
      </w:r>
      <w:r>
        <w:rPr>
          <w:rFonts w:hint="eastAsia" w:ascii="仿宋_GB2312" w:eastAsia="仿宋_GB2312"/>
          <w:color w:val="auto"/>
          <w:sz w:val="32"/>
          <w:szCs w:val="32"/>
        </w:rPr>
        <w:t>。</w:t>
      </w:r>
    </w:p>
    <w:p w14:paraId="42A740D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1" w:name="_Toc15377218"/>
      <w:bookmarkStart w:id="42" w:name="_Toc15396610"/>
    </w:p>
    <w:p w14:paraId="03885C09">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14:paraId="0FEA2952">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74.53</w:t>
      </w:r>
      <w:r>
        <w:rPr>
          <w:rFonts w:hint="eastAsia" w:ascii="仿宋_GB2312" w:eastAsia="仿宋_GB2312"/>
          <w:sz w:val="32"/>
          <w:szCs w:val="32"/>
        </w:rPr>
        <w:t>万元。</w:t>
      </w:r>
    </w:p>
    <w:p w14:paraId="6333D816">
      <w:pPr>
        <w:numPr>
          <w:ilvl w:val="0"/>
          <w:numId w:val="3"/>
        </w:numPr>
        <w:spacing w:line="600" w:lineRule="exact"/>
        <w:ind w:firstLine="640"/>
        <w:outlineLvl w:val="1"/>
        <w:rPr>
          <w:rStyle w:val="25"/>
          <w:rFonts w:ascii="黑体" w:hAnsi="黑体" w:eastAsia="黑体"/>
          <w:b w:val="0"/>
        </w:rPr>
      </w:pPr>
      <w:bookmarkStart w:id="43" w:name="_Toc15396611"/>
      <w:bookmarkStart w:id="44" w:name="_Toc15377219"/>
      <w:r>
        <w:rPr>
          <w:rStyle w:val="25"/>
          <w:rFonts w:hint="eastAsia" w:ascii="黑体" w:hAnsi="黑体" w:eastAsia="黑体"/>
          <w:b w:val="0"/>
        </w:rPr>
        <w:t>国有资本经营预算支出决算情况说明</w:t>
      </w:r>
      <w:bookmarkEnd w:id="43"/>
      <w:bookmarkEnd w:id="44"/>
    </w:p>
    <w:p w14:paraId="682FE4F5">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173C37F">
      <w:pPr>
        <w:numPr>
          <w:ilvl w:val="0"/>
          <w:numId w:val="3"/>
        </w:numPr>
        <w:spacing w:line="600" w:lineRule="exact"/>
        <w:ind w:firstLine="640"/>
        <w:outlineLvl w:val="1"/>
        <w:rPr>
          <w:rStyle w:val="25"/>
          <w:rFonts w:ascii="黑体" w:hAnsi="黑体" w:eastAsia="黑体"/>
          <w:b w:val="0"/>
        </w:rPr>
      </w:pPr>
      <w:bookmarkStart w:id="45" w:name="_Toc15396612"/>
      <w:bookmarkStart w:id="46" w:name="_Toc15377221"/>
      <w:r>
        <w:rPr>
          <w:rStyle w:val="25"/>
          <w:rFonts w:hint="eastAsia" w:ascii="黑体" w:hAnsi="黑体" w:eastAsia="黑体"/>
          <w:b w:val="0"/>
        </w:rPr>
        <w:t>其他重要事项的情况说明</w:t>
      </w:r>
      <w:bookmarkEnd w:id="45"/>
      <w:bookmarkEnd w:id="46"/>
    </w:p>
    <w:p w14:paraId="066DD627">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14:paraId="25391FF9">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乐山市峨眉山市人力资源和社会保障局（本级）</w:t>
      </w:r>
      <w:r>
        <w:rPr>
          <w:rFonts w:hint="eastAsia" w:ascii="仿宋_GB2312" w:eastAsia="仿宋_GB2312"/>
          <w:sz w:val="32"/>
          <w:szCs w:val="32"/>
        </w:rPr>
        <w:t>机关运行经费支出</w:t>
      </w:r>
      <w:r>
        <w:rPr>
          <w:rFonts w:hint="eastAsia" w:ascii="仿宋_GB2312" w:eastAsia="仿宋_GB2312"/>
          <w:sz w:val="32"/>
          <w:szCs w:val="32"/>
          <w:lang w:val="en-US" w:eastAsia="zh-CN"/>
        </w:rPr>
        <w:t>135.14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21.75</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19.2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人员比上年有所增加。</w:t>
      </w:r>
    </w:p>
    <w:p w14:paraId="4013FC6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422A13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14:paraId="199CBE67">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乐山市峨眉山市人力资源和社会保障局（本级）</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80900F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2D077D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14:paraId="12FE688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乐山市峨眉山市人力资源和社会保障局（本级）</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eastAsia" w:ascii="仿宋_GB2312" w:eastAsia="仿宋_GB2312"/>
          <w:color w:val="000000"/>
          <w:sz w:val="32"/>
          <w:szCs w:val="32"/>
          <w:lang w:eastAsia="zh-CN"/>
        </w:rPr>
        <w:t>公招考试、农民工工资清欠、劳动监察仲裁、</w:t>
      </w:r>
      <w:r>
        <w:rPr>
          <w:rFonts w:hint="eastAsia" w:ascii="仿宋_GB2312" w:eastAsia="仿宋_GB2312"/>
          <w:color w:val="000000"/>
          <w:sz w:val="32"/>
          <w:szCs w:val="32"/>
          <w:lang w:val="en-US" w:eastAsia="zh-CN"/>
        </w:rPr>
        <w:t>工伤认定、</w:t>
      </w:r>
      <w:r>
        <w:rPr>
          <w:rFonts w:hint="eastAsia" w:ascii="仿宋_GB2312" w:eastAsia="仿宋_GB2312"/>
          <w:color w:val="000000"/>
          <w:sz w:val="32"/>
          <w:szCs w:val="32"/>
          <w:lang w:eastAsia="zh-CN"/>
        </w:rPr>
        <w:t>创</w:t>
      </w:r>
      <w:r>
        <w:rPr>
          <w:rFonts w:hint="eastAsia" w:ascii="仿宋_GB2312" w:eastAsia="仿宋_GB2312"/>
          <w:color w:val="000000"/>
          <w:sz w:val="32"/>
          <w:szCs w:val="32"/>
          <w:lang w:val="en-US" w:eastAsia="zh-CN"/>
        </w:rPr>
        <w:t>文创</w:t>
      </w:r>
      <w:r>
        <w:rPr>
          <w:rFonts w:hint="eastAsia" w:ascii="仿宋_GB2312" w:eastAsia="仿宋_GB2312"/>
          <w:color w:val="000000"/>
          <w:sz w:val="32"/>
          <w:szCs w:val="32"/>
          <w:lang w:eastAsia="zh-CN"/>
        </w:rPr>
        <w:t>卫</w:t>
      </w:r>
      <w:r>
        <w:rPr>
          <w:rFonts w:hint="eastAsia" w:ascii="仿宋_GB2312" w:eastAsia="仿宋_GB2312"/>
          <w:color w:val="000000"/>
          <w:sz w:val="32"/>
          <w:szCs w:val="32"/>
          <w:lang w:val="en-US" w:eastAsia="zh-CN"/>
        </w:rPr>
        <w:t>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37A0D8D2">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3B2890D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1AC65D5">
      <w:pPr>
        <w:pStyle w:val="2"/>
        <w:spacing w:before="93"/>
        <w:ind w:firstLine="640" w:firstLineChars="200"/>
        <w:rPr>
          <w:rFonts w:hint="eastAsia" w:hAnsi="仿宋_GB2312" w:cs="仿宋_GB2312"/>
          <w:sz w:val="32"/>
          <w:szCs w:val="32"/>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公招考试</w:t>
      </w:r>
      <w:r>
        <w:rPr>
          <w:rFonts w:hint="eastAsia" w:hAnsi="仿宋_GB2312" w:cs="仿宋_GB2312"/>
          <w:sz w:val="32"/>
          <w:szCs w:val="32"/>
        </w:rPr>
        <w:t>等</w:t>
      </w:r>
      <w:r>
        <w:rPr>
          <w:rFonts w:hint="eastAsia" w:hAnsi="仿宋_GB2312" w:cs="仿宋_GB2312"/>
          <w:sz w:val="32"/>
          <w:szCs w:val="32"/>
          <w:lang w:val="en-US" w:eastAsia="zh-CN"/>
        </w:rPr>
        <w:t>2</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14:paraId="0F64ED18">
      <w:pPr>
        <w:pStyle w:val="2"/>
        <w:spacing w:before="93"/>
        <w:ind w:firstLine="640" w:firstLineChars="200"/>
        <w:rPr>
          <w:rFonts w:hint="eastAsia" w:hAnsi="仿宋_GB2312" w:cs="仿宋_GB2312"/>
          <w:sz w:val="32"/>
          <w:szCs w:val="32"/>
        </w:rPr>
      </w:pPr>
    </w:p>
    <w:p w14:paraId="761F0FF2">
      <w:pPr>
        <w:pStyle w:val="2"/>
        <w:spacing w:before="93"/>
        <w:ind w:firstLine="640" w:firstLineChars="200"/>
        <w:rPr>
          <w:rFonts w:hint="eastAsia" w:hAnsi="仿宋_GB2312" w:cs="仿宋_GB2312"/>
          <w:sz w:val="32"/>
          <w:szCs w:val="32"/>
        </w:rPr>
      </w:pPr>
    </w:p>
    <w:p w14:paraId="426FA8B5">
      <w:pPr>
        <w:pStyle w:val="2"/>
        <w:spacing w:before="93"/>
        <w:ind w:firstLine="640" w:firstLineChars="200"/>
        <w:rPr>
          <w:rFonts w:hint="eastAsia" w:hAnsi="仿宋_GB2312" w:cs="仿宋_GB2312"/>
          <w:sz w:val="32"/>
          <w:szCs w:val="32"/>
        </w:rPr>
      </w:pPr>
    </w:p>
    <w:p w14:paraId="119B0E9D">
      <w:pPr>
        <w:pStyle w:val="2"/>
        <w:spacing w:before="93"/>
        <w:ind w:firstLine="640" w:firstLineChars="200"/>
        <w:rPr>
          <w:rFonts w:hint="eastAsia" w:hAnsi="仿宋_GB2312" w:cs="仿宋_GB2312"/>
          <w:sz w:val="32"/>
          <w:szCs w:val="32"/>
        </w:rPr>
      </w:pPr>
    </w:p>
    <w:p w14:paraId="746F4F78">
      <w:pPr>
        <w:pStyle w:val="2"/>
        <w:spacing w:before="93"/>
        <w:ind w:firstLine="640" w:firstLineChars="200"/>
        <w:rPr>
          <w:rFonts w:hint="eastAsia" w:hAnsi="仿宋_GB2312" w:cs="仿宋_GB2312"/>
          <w:sz w:val="32"/>
          <w:szCs w:val="32"/>
        </w:rPr>
      </w:pPr>
    </w:p>
    <w:p w14:paraId="22448289">
      <w:pPr>
        <w:pStyle w:val="2"/>
        <w:spacing w:before="93"/>
        <w:ind w:firstLine="640" w:firstLineChars="200"/>
        <w:rPr>
          <w:rFonts w:hint="eastAsia" w:hAnsi="仿宋_GB2312" w:cs="仿宋_GB2312"/>
          <w:sz w:val="32"/>
          <w:szCs w:val="32"/>
        </w:rPr>
      </w:pPr>
    </w:p>
    <w:p w14:paraId="23DC699B">
      <w:pPr>
        <w:pStyle w:val="2"/>
        <w:spacing w:before="93"/>
        <w:ind w:firstLine="640" w:firstLineChars="200"/>
        <w:rPr>
          <w:rFonts w:hint="eastAsia" w:hAnsi="仿宋_GB2312" w:cs="仿宋_GB2312"/>
          <w:sz w:val="32"/>
          <w:szCs w:val="32"/>
        </w:rPr>
      </w:pPr>
    </w:p>
    <w:p w14:paraId="536A2684">
      <w:pPr>
        <w:pStyle w:val="2"/>
        <w:spacing w:before="93"/>
        <w:ind w:firstLine="640" w:firstLineChars="200"/>
        <w:rPr>
          <w:rFonts w:hint="eastAsia" w:hAnsi="仿宋_GB2312" w:cs="仿宋_GB2312"/>
          <w:sz w:val="32"/>
          <w:szCs w:val="32"/>
        </w:rPr>
      </w:pPr>
    </w:p>
    <w:p w14:paraId="583721E3">
      <w:pPr>
        <w:pStyle w:val="2"/>
        <w:spacing w:before="93"/>
        <w:ind w:firstLine="640" w:firstLineChars="200"/>
        <w:rPr>
          <w:rFonts w:hint="eastAsia" w:hAnsi="仿宋_GB2312" w:cs="仿宋_GB2312"/>
          <w:sz w:val="32"/>
          <w:szCs w:val="32"/>
        </w:rPr>
      </w:pPr>
    </w:p>
    <w:p w14:paraId="5F1C53C1">
      <w:pPr>
        <w:pStyle w:val="2"/>
        <w:spacing w:before="93"/>
        <w:ind w:firstLine="640" w:firstLineChars="200"/>
        <w:rPr>
          <w:rFonts w:hint="eastAsia" w:hAnsi="仿宋_GB2312" w:cs="仿宋_GB2312"/>
          <w:sz w:val="32"/>
          <w:szCs w:val="32"/>
        </w:rPr>
      </w:pPr>
    </w:p>
    <w:p w14:paraId="43A9F56A">
      <w:pPr>
        <w:pStyle w:val="2"/>
        <w:spacing w:before="93"/>
        <w:ind w:firstLine="640" w:firstLineChars="200"/>
        <w:rPr>
          <w:rFonts w:hint="eastAsia" w:hAnsi="仿宋_GB2312" w:cs="仿宋_GB2312"/>
          <w:sz w:val="32"/>
          <w:szCs w:val="32"/>
        </w:rPr>
      </w:pPr>
    </w:p>
    <w:p w14:paraId="32B4B658">
      <w:pPr>
        <w:pStyle w:val="2"/>
        <w:spacing w:before="93"/>
        <w:ind w:firstLine="640" w:firstLineChars="200"/>
        <w:rPr>
          <w:rFonts w:hint="eastAsia" w:hAnsi="仿宋_GB2312" w:cs="仿宋_GB2312"/>
          <w:sz w:val="32"/>
          <w:szCs w:val="32"/>
        </w:rPr>
      </w:pPr>
    </w:p>
    <w:p w14:paraId="66044F57">
      <w:pPr>
        <w:pStyle w:val="2"/>
        <w:spacing w:before="93"/>
        <w:ind w:firstLine="640" w:firstLineChars="200"/>
        <w:rPr>
          <w:rFonts w:hint="eastAsia" w:hAnsi="仿宋_GB2312" w:cs="仿宋_GB2312"/>
          <w:sz w:val="32"/>
          <w:szCs w:val="32"/>
        </w:rPr>
      </w:pPr>
    </w:p>
    <w:p w14:paraId="3F86DBBC">
      <w:pPr>
        <w:pStyle w:val="2"/>
        <w:spacing w:before="93"/>
        <w:ind w:firstLine="640" w:firstLineChars="200"/>
        <w:rPr>
          <w:rFonts w:hint="eastAsia" w:hAnsi="仿宋_GB2312" w:cs="仿宋_GB2312"/>
          <w:sz w:val="32"/>
          <w:szCs w:val="32"/>
        </w:rPr>
      </w:pPr>
    </w:p>
    <w:p w14:paraId="66639B2A">
      <w:pPr>
        <w:pStyle w:val="2"/>
        <w:spacing w:before="93"/>
        <w:ind w:firstLine="640" w:firstLineChars="200"/>
        <w:rPr>
          <w:rFonts w:hint="eastAsia" w:hAnsi="仿宋_GB2312" w:cs="仿宋_GB2312"/>
          <w:sz w:val="32"/>
          <w:szCs w:val="32"/>
        </w:rPr>
      </w:pPr>
    </w:p>
    <w:p w14:paraId="4FE9C9D6">
      <w:pPr>
        <w:pStyle w:val="2"/>
        <w:spacing w:before="93"/>
        <w:ind w:firstLine="640" w:firstLineChars="200"/>
        <w:rPr>
          <w:rFonts w:hint="eastAsia" w:hAnsi="仿宋_GB2312" w:cs="仿宋_GB2312"/>
          <w:sz w:val="32"/>
          <w:szCs w:val="32"/>
        </w:rPr>
      </w:pPr>
    </w:p>
    <w:p w14:paraId="0A4B324D">
      <w:pPr>
        <w:pStyle w:val="2"/>
        <w:spacing w:before="93"/>
        <w:ind w:firstLine="640" w:firstLineChars="200"/>
        <w:rPr>
          <w:rFonts w:hint="eastAsia" w:hAnsi="仿宋_GB2312" w:cs="仿宋_GB2312"/>
          <w:sz w:val="32"/>
          <w:szCs w:val="32"/>
        </w:rPr>
      </w:pPr>
    </w:p>
    <w:p w14:paraId="4A7FE7DD">
      <w:pPr>
        <w:numPr>
          <w:ilvl w:val="0"/>
          <w:numId w:val="4"/>
        </w:numPr>
        <w:spacing w:line="600" w:lineRule="exact"/>
        <w:ind w:firstLine="660" w:firstLineChars="150"/>
        <w:jc w:val="center"/>
        <w:outlineLvl w:val="0"/>
        <w:rPr>
          <w:rStyle w:val="24"/>
          <w:rFonts w:ascii="黑体" w:hAnsi="黑体" w:eastAsia="黑体"/>
          <w:b w:val="0"/>
        </w:rPr>
      </w:pPr>
      <w:r>
        <w:rPr>
          <w:rFonts w:hint="eastAsia" w:ascii="黑体" w:hAnsi="黑体" w:eastAsia="黑体"/>
          <w:sz w:val="44"/>
          <w:szCs w:val="44"/>
        </w:rPr>
        <w:t>名</w:t>
      </w:r>
      <w:r>
        <w:rPr>
          <w:rStyle w:val="24"/>
          <w:rFonts w:hint="eastAsia" w:ascii="黑体" w:hAnsi="黑体" w:eastAsia="黑体"/>
          <w:b w:val="0"/>
        </w:rPr>
        <w:t>词解释</w:t>
      </w:r>
    </w:p>
    <w:p w14:paraId="116E6976">
      <w:pPr>
        <w:spacing w:line="600" w:lineRule="exact"/>
        <w:jc w:val="left"/>
        <w:rPr>
          <w:rFonts w:ascii="宋体"/>
          <w:b/>
          <w:sz w:val="44"/>
          <w:szCs w:val="44"/>
        </w:rPr>
      </w:pPr>
    </w:p>
    <w:p w14:paraId="736597E7">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p>
    <w:p w14:paraId="00322E22">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事业收入：指事业单位开展专业业务活动及辅助活动取得的收入。</w:t>
      </w:r>
    </w:p>
    <w:p w14:paraId="2E4E5A27">
      <w:pPr>
        <w:pStyle w:val="22"/>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经营收入：指事业单位在专业业务活动及其辅助活动之外开展非独立核算经营活动取得的收入。</w:t>
      </w:r>
    </w:p>
    <w:p w14:paraId="38DED672">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乐山人社局下拨考务费</w:t>
      </w:r>
      <w:r>
        <w:rPr>
          <w:rFonts w:hint="eastAsia" w:ascii="仿宋_GB2312" w:eastAsia="仿宋_GB2312"/>
          <w:color w:val="auto"/>
          <w:sz w:val="32"/>
          <w:szCs w:val="32"/>
        </w:rPr>
        <w:t>。</w:t>
      </w:r>
      <w:r>
        <w:rPr>
          <w:rFonts w:ascii="仿宋_GB2312" w:eastAsia="仿宋_GB2312"/>
          <w:color w:val="auto"/>
          <w:sz w:val="32"/>
          <w:szCs w:val="32"/>
        </w:rPr>
        <w:t xml:space="preserve"> </w:t>
      </w:r>
    </w:p>
    <w:p w14:paraId="77E366CF">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4F0A4641">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15F1C58A">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40F9B0E">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年末结转和结余：指单位按有关规定结转到下年或以后年度继续使用的资金。</w:t>
      </w:r>
    </w:p>
    <w:p w14:paraId="3E702BC7">
      <w:pPr>
        <w:spacing w:line="600" w:lineRule="exact"/>
        <w:ind w:firstLine="640" w:firstLineChars="200"/>
        <w:rPr>
          <w:rStyle w:val="14"/>
          <w:rFonts w:hint="default" w:ascii="仿宋" w:hAnsi="仿宋" w:eastAsia="仿宋"/>
          <w:b w:val="0"/>
          <w:bCs w:val="0"/>
          <w:color w:val="000000"/>
          <w:sz w:val="32"/>
          <w:szCs w:val="32"/>
          <w:lang w:val="en-US" w:eastAsia="zh-CN"/>
        </w:rPr>
      </w:pPr>
      <w:r>
        <w:rPr>
          <w:rFonts w:hint="eastAsia" w:ascii="仿宋_GB2312" w:hAnsi="Calibri" w:eastAsia="仿宋_GB2312" w:cs="仿宋"/>
          <w:color w:val="000000"/>
          <w:kern w:val="0"/>
          <w:sz w:val="32"/>
          <w:szCs w:val="32"/>
          <w:lang w:val="en-US" w:eastAsia="zh-CN" w:bidi="ar-SA"/>
        </w:rPr>
        <w:t>九.社会保障和就业（类）人力资源和社会保障管理事务（款）行政运行（项）: 反映行政单位（包括实行公务员管理的事业单位）的基本支出；</w:t>
      </w:r>
      <w:r>
        <w:rPr>
          <w:rStyle w:val="14"/>
          <w:rFonts w:hint="eastAsia" w:ascii="仿宋" w:hAnsi="仿宋" w:eastAsia="仿宋"/>
          <w:b w:val="0"/>
          <w:bCs w:val="0"/>
          <w:color w:val="000000"/>
          <w:sz w:val="32"/>
          <w:szCs w:val="32"/>
          <w:lang w:eastAsia="zh-CN"/>
        </w:rPr>
        <w:t>综合业务管理（项）：反映人力资源和社会保障管理方面综合性管理事务支出</w:t>
      </w:r>
      <w:r>
        <w:rPr>
          <w:rStyle w:val="14"/>
          <w:rFonts w:hint="eastAsia" w:ascii="仿宋" w:hAnsi="仿宋" w:eastAsia="仿宋"/>
          <w:b w:val="0"/>
          <w:bCs w:val="0"/>
          <w:color w:val="000000"/>
          <w:sz w:val="32"/>
          <w:szCs w:val="32"/>
          <w:lang w:val="en-US" w:eastAsia="zh-CN"/>
        </w:rPr>
        <w:t>；事业运行（项）：反映事业单位的基本支出，不包括行政单位（包括实行公务员管理的事业单位）后勤服务中心、医务室等附属事业单位；其他人力资源和社会保障管理事务支出（项）：反映除上述项目以外其他用于人力资源和社会保障管理事务方面的支出。行政事业单位养老支出（款）机关事业单位基本养老保险缴费支出（项）：反映机关事业单位实施养老保险制度由单位缴纳的基本养老保险费支出</w:t>
      </w:r>
      <w:r>
        <w:rPr>
          <w:rStyle w:val="14"/>
          <w:rFonts w:hint="eastAsia" w:ascii="仿宋" w:hAnsi="仿宋" w:eastAsia="仿宋"/>
          <w:b w:val="0"/>
          <w:bCs w:val="0"/>
          <w:color w:val="000000"/>
          <w:sz w:val="32"/>
          <w:szCs w:val="32"/>
          <w:lang w:eastAsia="zh-CN"/>
        </w:rPr>
        <w:t>；机关事业单位职业年金缴费支出（项）：反映机关事业单位实施养老保险制度由单位实际缴纳的职业年金支出。</w:t>
      </w:r>
      <w:r>
        <w:rPr>
          <w:rFonts w:hint="eastAsia" w:ascii="仿宋_GB2312" w:hAnsi="Calibri" w:eastAsia="仿宋_GB2312" w:cs="仿宋"/>
          <w:color w:val="000000"/>
          <w:kern w:val="0"/>
          <w:sz w:val="32"/>
          <w:szCs w:val="32"/>
          <w:lang w:val="en-US" w:eastAsia="zh-CN" w:bidi="ar-SA"/>
        </w:rPr>
        <w:t>抚恤（款）死亡抚恤（项）：反映按规定用于烈士和牺牲、病故人员家属的一次性和定期抚恤金以及丧葬补助费。其他社会保障和就业支出（项）其他保障和就业支出（类）反映除上述项目以外其他用于社会保障和就业方面的支出。</w:t>
      </w:r>
    </w:p>
    <w:p w14:paraId="2FEB1E1F">
      <w:pPr>
        <w:spacing w:line="600" w:lineRule="exact"/>
        <w:ind w:firstLine="640" w:firstLineChars="200"/>
        <w:rPr>
          <w:rStyle w:val="14"/>
          <w:rFonts w:hint="eastAsia" w:ascii="仿宋" w:hAnsi="仿宋" w:eastAsia="仿宋"/>
          <w:b w:val="0"/>
          <w:bCs w:val="0"/>
          <w:color w:val="000000"/>
          <w:sz w:val="32"/>
          <w:szCs w:val="32"/>
          <w:lang w:eastAsia="zh-CN"/>
        </w:rPr>
      </w:pPr>
      <w:r>
        <w:rPr>
          <w:rStyle w:val="14"/>
          <w:rFonts w:hint="eastAsia" w:ascii="仿宋" w:hAnsi="仿宋" w:eastAsia="仿宋"/>
          <w:b w:val="0"/>
          <w:bCs w:val="0"/>
          <w:color w:val="000000"/>
          <w:sz w:val="32"/>
          <w:szCs w:val="32"/>
          <w:lang w:val="en-US" w:eastAsia="zh-CN"/>
        </w:rPr>
        <w:t>十</w:t>
      </w:r>
      <w:r>
        <w:rPr>
          <w:rStyle w:val="14"/>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Fonts w:hint="eastAsia" w:ascii="仿宋" w:hAnsi="仿宋" w:eastAsia="仿宋"/>
          <w:b w:val="0"/>
          <w:bCs w:val="0"/>
          <w:color w:val="000000" w:themeColor="text1"/>
          <w:sz w:val="32"/>
          <w:szCs w:val="32"/>
          <w:lang w:eastAsia="zh-CN"/>
          <w14:textFill>
            <w14:solidFill>
              <w14:schemeClr w14:val="tx1"/>
            </w14:solidFill>
          </w14:textFill>
        </w:rPr>
        <w:t>支出</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行政事业单位医疗</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行政单位医疗</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待遇的医疗经费。</w:t>
      </w:r>
    </w:p>
    <w:p w14:paraId="45703AAD">
      <w:pPr>
        <w:spacing w:line="600" w:lineRule="exact"/>
        <w:ind w:firstLine="640" w:firstLineChars="200"/>
        <w:rPr>
          <w:rFonts w:ascii="仿宋_GB2312" w:eastAsia="仿宋_GB2312"/>
          <w:b w:val="0"/>
          <w:bCs w:val="0"/>
          <w:color w:val="000000"/>
          <w:sz w:val="32"/>
          <w:szCs w:val="32"/>
        </w:rPr>
      </w:pPr>
      <w:r>
        <w:rPr>
          <w:rStyle w:val="14"/>
          <w:rFonts w:hint="eastAsia" w:ascii="仿宋" w:hAnsi="仿宋" w:eastAsia="仿宋"/>
          <w:b w:val="0"/>
          <w:bCs w:val="0"/>
          <w:color w:val="000000"/>
          <w:sz w:val="32"/>
          <w:szCs w:val="32"/>
          <w:lang w:val="en-US" w:eastAsia="zh-CN"/>
        </w:rPr>
        <w:t>十一、住房保障支出（类）住房改革支出（款）住房公积金（项）：反映行政事业单位按人力资源和社会保障部、财政部规定的基本工资和津贴补贴以及规定比例为职工缴纳的住房公积金。</w:t>
      </w:r>
    </w:p>
    <w:p w14:paraId="129E9794">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基本支出：指为保障机构正常运转、完成日常工作任务而发生的人员支出和公用支出。</w:t>
      </w:r>
    </w:p>
    <w:p w14:paraId="7CEB8B44">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78DCDC8">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经营支出：指事业单位在专业业务活动及其辅助活动之外开展非独立核算经营活动发生的支出。</w:t>
      </w:r>
    </w:p>
    <w:p w14:paraId="34D93831">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十</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653954">
      <w:pPr>
        <w:pStyle w:val="22"/>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十</w:t>
      </w:r>
      <w:r>
        <w:rPr>
          <w:rFonts w:hint="eastAsia" w:ascii="仿宋_GB2312" w:eastAsia="仿宋_GB2312"/>
          <w:color w:val="auto"/>
          <w:sz w:val="32"/>
          <w:szCs w:val="32"/>
          <w:lang w:val="en-US" w:eastAsia="zh-CN"/>
        </w:rPr>
        <w:t>六</w:t>
      </w:r>
      <w:r>
        <w:rPr>
          <w:rFonts w:hint="eastAsia" w:ascii="仿宋_GB2312" w:eastAsia="仿宋_GB2312"/>
          <w:color w:val="auto"/>
          <w:sz w:val="32"/>
          <w:szCs w:val="32"/>
          <w:lang w:eastAsia="zh-CN"/>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50E480">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14:paraId="7477FC78">
      <w:pPr>
        <w:spacing w:line="600" w:lineRule="exact"/>
        <w:jc w:val="center"/>
        <w:outlineLvl w:val="0"/>
        <w:rPr>
          <w:rFonts w:ascii="宋体"/>
          <w:b/>
          <w:sz w:val="44"/>
          <w:szCs w:val="4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宋体"/>
          <w:b/>
          <w:sz w:val="44"/>
          <w:szCs w:val="44"/>
        </w:rPr>
        <w:br w:type="page"/>
      </w:r>
    </w:p>
    <w:p w14:paraId="565E9D5A">
      <w:pPr>
        <w:spacing w:line="600" w:lineRule="exact"/>
        <w:jc w:val="center"/>
        <w:outlineLvl w:val="0"/>
        <w:rPr>
          <w:rFonts w:ascii="仿宋_GB2312" w:hAnsi="仿宋_GB2312" w:eastAsia="仿宋_GB2312" w:cs="仿宋_GB2312"/>
          <w:sz w:val="32"/>
          <w:szCs w:val="32"/>
        </w:rPr>
      </w:pPr>
      <w:r>
        <w:rPr>
          <w:rFonts w:hint="eastAsia" w:ascii="黑体" w:hAnsi="黑体" w:eastAsia="黑体"/>
          <w:sz w:val="44"/>
          <w:szCs w:val="44"/>
        </w:rPr>
        <w:t>第</w:t>
      </w:r>
      <w:r>
        <w:rPr>
          <w:rStyle w:val="24"/>
          <w:rFonts w:hint="eastAsia" w:ascii="黑体" w:hAnsi="黑体" w:eastAsia="黑体"/>
          <w:b w:val="0"/>
        </w:rPr>
        <w:t>四部分 附件</w:t>
      </w:r>
    </w:p>
    <w:tbl>
      <w:tblPr>
        <w:tblStyle w:val="12"/>
        <w:tblW w:w="5610" w:type="pct"/>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1388"/>
        <w:gridCol w:w="887"/>
        <w:gridCol w:w="1132"/>
        <w:gridCol w:w="600"/>
        <w:gridCol w:w="810"/>
        <w:gridCol w:w="675"/>
        <w:gridCol w:w="968"/>
        <w:gridCol w:w="622"/>
        <w:gridCol w:w="645"/>
        <w:gridCol w:w="862"/>
      </w:tblGrid>
      <w:tr w14:paraId="186A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D47FB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7F9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D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7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942D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51118122T000005137976-人力资源和社会保障专项经费</w:t>
            </w:r>
          </w:p>
        </w:tc>
      </w:tr>
      <w:tr w14:paraId="4969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5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CA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人力资源和社会保障局</w:t>
            </w:r>
          </w:p>
        </w:tc>
        <w:tc>
          <w:tcPr>
            <w:tcW w:w="506" w:type="pct"/>
            <w:tcBorders>
              <w:top w:val="nil"/>
              <w:left w:val="nil"/>
              <w:bottom w:val="nil"/>
              <w:right w:val="nil"/>
            </w:tcBorders>
            <w:shd w:val="clear" w:color="auto" w:fill="auto"/>
            <w:vAlign w:val="center"/>
          </w:tcPr>
          <w:p w14:paraId="1EB4D1D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0E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峨眉山市人力资源和社会保障局</w:t>
            </w:r>
          </w:p>
        </w:tc>
      </w:tr>
      <w:tr w14:paraId="13E9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2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A2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0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24BA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9F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594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698B">
            <w:pPr>
              <w:rPr>
                <w:rFonts w:hint="eastAsia" w:ascii="宋体" w:hAnsi="宋体" w:eastAsia="宋体" w:cs="宋体"/>
                <w:i w:val="0"/>
                <w:iCs w:val="0"/>
                <w:color w:val="000000"/>
                <w:sz w:val="18"/>
                <w:szCs w:val="18"/>
                <w:u w:val="none"/>
              </w:rPr>
            </w:pP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66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做好初中级职称评审、农民工工资清欠、劳动仲裁监察等专项工作</w:t>
            </w:r>
          </w:p>
        </w:tc>
        <w:tc>
          <w:tcPr>
            <w:tcW w:w="1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D83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w:t>
            </w:r>
          </w:p>
        </w:tc>
      </w:tr>
      <w:tr w14:paraId="7EB2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08A5">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6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7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42E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完成全市初中级职称评审、农民工工资清欠、劳动仲裁监察等专项工作</w:t>
            </w:r>
          </w:p>
        </w:tc>
      </w:tr>
      <w:tr w14:paraId="6493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A5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B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C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CA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B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E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5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05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12A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F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7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0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84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9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0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9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6782">
            <w:pPr>
              <w:rPr>
                <w:rFonts w:hint="eastAsia" w:ascii="黑体" w:hAnsi="黑体" w:eastAsia="黑体" w:cs="黑体"/>
                <w:i/>
                <w:iCs/>
                <w:color w:val="000000"/>
                <w:sz w:val="18"/>
                <w:szCs w:val="18"/>
                <w:u w:val="none"/>
              </w:rPr>
            </w:pPr>
          </w:p>
        </w:tc>
      </w:tr>
      <w:tr w14:paraId="43DC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861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1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1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4C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3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1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0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DA75">
            <w:pPr>
              <w:rPr>
                <w:rFonts w:hint="eastAsia" w:ascii="黑体" w:hAnsi="黑体" w:eastAsia="黑体" w:cs="黑体"/>
                <w:i/>
                <w:iCs/>
                <w:color w:val="000000"/>
                <w:sz w:val="18"/>
                <w:szCs w:val="18"/>
                <w:u w:val="none"/>
              </w:rPr>
            </w:pPr>
          </w:p>
        </w:tc>
      </w:tr>
      <w:tr w14:paraId="6DFB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F7C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F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9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53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E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5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C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1192">
            <w:pPr>
              <w:rPr>
                <w:rFonts w:hint="eastAsia" w:ascii="黑体" w:hAnsi="黑体" w:eastAsia="黑体" w:cs="黑体"/>
                <w:i/>
                <w:iCs/>
                <w:color w:val="000000"/>
                <w:sz w:val="18"/>
                <w:szCs w:val="18"/>
                <w:u w:val="none"/>
              </w:rPr>
            </w:pPr>
          </w:p>
        </w:tc>
      </w:tr>
      <w:tr w14:paraId="41B3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ADA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0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7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1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8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F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1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C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0E5C">
            <w:pPr>
              <w:rPr>
                <w:rFonts w:hint="eastAsia" w:ascii="黑体" w:hAnsi="黑体" w:eastAsia="黑体" w:cs="黑体"/>
                <w:i/>
                <w:iCs/>
                <w:color w:val="000000"/>
                <w:sz w:val="18"/>
                <w:szCs w:val="18"/>
                <w:u w:val="none"/>
              </w:rPr>
            </w:pPr>
          </w:p>
        </w:tc>
      </w:tr>
      <w:tr w14:paraId="6538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277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3E56">
            <w:pPr>
              <w:jc w:val="center"/>
              <w:rPr>
                <w:rFonts w:hint="eastAsia" w:ascii="微软雅黑" w:hAnsi="微软雅黑" w:eastAsia="微软雅黑" w:cs="微软雅黑"/>
                <w:i/>
                <w:iCs/>
                <w:color w:val="000000"/>
                <w:sz w:val="16"/>
                <w:szCs w:val="16"/>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EE4D">
            <w:pPr>
              <w:jc w:val="center"/>
              <w:rPr>
                <w:rFonts w:hint="eastAsia" w:ascii="微软雅黑" w:hAnsi="微软雅黑" w:eastAsia="微软雅黑" w:cs="微软雅黑"/>
                <w:i/>
                <w:iCs/>
                <w:color w:val="000000"/>
                <w:sz w:val="16"/>
                <w:szCs w:val="16"/>
                <w:u w:val="none"/>
              </w:rPr>
            </w:pP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7114D">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A252">
            <w:pPr>
              <w:jc w:val="center"/>
              <w:rPr>
                <w:rFonts w:hint="eastAsia" w:ascii="微软雅黑" w:hAnsi="微软雅黑" w:eastAsia="微软雅黑" w:cs="微软雅黑"/>
                <w:i/>
                <w:iCs/>
                <w:color w:val="000000"/>
                <w:sz w:val="16"/>
                <w:szCs w:val="16"/>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A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F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1A3A">
            <w:pPr>
              <w:rPr>
                <w:rFonts w:hint="eastAsia" w:ascii="黑体" w:hAnsi="黑体" w:eastAsia="黑体" w:cs="黑体"/>
                <w:i/>
                <w:iCs/>
                <w:color w:val="000000"/>
                <w:sz w:val="18"/>
                <w:szCs w:val="18"/>
                <w:u w:val="none"/>
              </w:rPr>
            </w:pPr>
          </w:p>
        </w:tc>
      </w:tr>
      <w:tr w14:paraId="5293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9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F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1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D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B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A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4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C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DD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C8A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5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F2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F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监察案件调处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3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D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E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9B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511</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8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F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DB8A">
            <w:pPr>
              <w:jc w:val="center"/>
              <w:rPr>
                <w:rFonts w:hint="eastAsia" w:ascii="微软雅黑" w:hAnsi="微软雅黑" w:eastAsia="微软雅黑" w:cs="微软雅黑"/>
                <w:i/>
                <w:iCs/>
                <w:color w:val="000000"/>
                <w:sz w:val="16"/>
                <w:szCs w:val="16"/>
                <w:u w:val="none"/>
              </w:rPr>
            </w:pPr>
          </w:p>
        </w:tc>
      </w:tr>
      <w:tr w14:paraId="5A6F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17C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283A">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9779">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劳动合同签订率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A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1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9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45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5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C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B707">
            <w:pPr>
              <w:jc w:val="center"/>
              <w:rPr>
                <w:rFonts w:hint="eastAsia" w:ascii="微软雅黑" w:hAnsi="微软雅黑" w:eastAsia="微软雅黑" w:cs="微软雅黑"/>
                <w:i/>
                <w:iCs/>
                <w:color w:val="000000"/>
                <w:sz w:val="16"/>
                <w:szCs w:val="16"/>
                <w:u w:val="none"/>
              </w:rPr>
            </w:pPr>
          </w:p>
        </w:tc>
      </w:tr>
      <w:tr w14:paraId="1C5A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951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D6DB">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4B5E">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7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专业人员继续教育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E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7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15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6431</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2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3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77BF">
            <w:pPr>
              <w:jc w:val="center"/>
              <w:rPr>
                <w:rFonts w:hint="eastAsia" w:ascii="微软雅黑" w:hAnsi="微软雅黑" w:eastAsia="微软雅黑" w:cs="微软雅黑"/>
                <w:i/>
                <w:iCs/>
                <w:color w:val="000000"/>
                <w:sz w:val="16"/>
                <w:szCs w:val="16"/>
                <w:u w:val="none"/>
              </w:rPr>
            </w:pPr>
          </w:p>
        </w:tc>
      </w:tr>
      <w:tr w14:paraId="4DD7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297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4B7A">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3C94">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7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召开初中级职称评审会</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4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9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9C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E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5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1AB9">
            <w:pPr>
              <w:jc w:val="center"/>
              <w:rPr>
                <w:rFonts w:hint="eastAsia" w:ascii="微软雅黑" w:hAnsi="微软雅黑" w:eastAsia="微软雅黑" w:cs="微软雅黑"/>
                <w:i/>
                <w:iCs/>
                <w:color w:val="000000"/>
                <w:sz w:val="16"/>
                <w:szCs w:val="16"/>
                <w:u w:val="none"/>
              </w:rPr>
            </w:pPr>
          </w:p>
        </w:tc>
      </w:tr>
      <w:tr w14:paraId="6C8C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DDE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F44B">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A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按时保质保量完成各项工作</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D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6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F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20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B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B85F">
            <w:pPr>
              <w:jc w:val="center"/>
              <w:rPr>
                <w:rFonts w:hint="eastAsia" w:ascii="微软雅黑" w:hAnsi="微软雅黑" w:eastAsia="微软雅黑" w:cs="微软雅黑"/>
                <w:i/>
                <w:iCs/>
                <w:color w:val="000000"/>
                <w:sz w:val="16"/>
                <w:szCs w:val="16"/>
                <w:u w:val="none"/>
              </w:rPr>
            </w:pPr>
          </w:p>
        </w:tc>
      </w:tr>
      <w:tr w14:paraId="5BC4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AAA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6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1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D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1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2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D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BE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7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EE4F">
            <w:pPr>
              <w:jc w:val="center"/>
              <w:rPr>
                <w:rFonts w:hint="eastAsia" w:ascii="微软雅黑" w:hAnsi="微软雅黑" w:eastAsia="微软雅黑" w:cs="微软雅黑"/>
                <w:i/>
                <w:iCs/>
                <w:color w:val="000000"/>
                <w:sz w:val="16"/>
                <w:szCs w:val="16"/>
                <w:u w:val="none"/>
              </w:rPr>
            </w:pPr>
          </w:p>
        </w:tc>
      </w:tr>
      <w:tr w14:paraId="18FC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2151">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9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9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8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案件涉及企业及人员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D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E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116F">
            <w:pPr>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1E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C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C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C179">
            <w:pPr>
              <w:jc w:val="center"/>
              <w:rPr>
                <w:rFonts w:hint="eastAsia" w:ascii="微软雅黑" w:hAnsi="微软雅黑" w:eastAsia="微软雅黑" w:cs="微软雅黑"/>
                <w:i/>
                <w:iCs/>
                <w:color w:val="000000"/>
                <w:sz w:val="16"/>
                <w:szCs w:val="16"/>
                <w:u w:val="none"/>
              </w:rPr>
            </w:pPr>
          </w:p>
        </w:tc>
      </w:tr>
      <w:tr w14:paraId="1F75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18F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88B8">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E6EE">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4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受聘人员满意度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F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B4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C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F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BBC8">
            <w:pPr>
              <w:jc w:val="center"/>
              <w:rPr>
                <w:rFonts w:hint="eastAsia" w:ascii="微软雅黑" w:hAnsi="微软雅黑" w:eastAsia="微软雅黑" w:cs="微软雅黑"/>
                <w:i/>
                <w:iCs/>
                <w:color w:val="000000"/>
                <w:sz w:val="16"/>
                <w:szCs w:val="16"/>
                <w:u w:val="none"/>
              </w:rPr>
            </w:pPr>
          </w:p>
        </w:tc>
      </w:tr>
      <w:tr w14:paraId="088C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06F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5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EBD4">
            <w:pPr>
              <w:rPr>
                <w:rFonts w:hint="eastAsia" w:ascii="宋体" w:hAnsi="宋体" w:eastAsia="宋体" w:cs="宋体"/>
                <w:i w:val="0"/>
                <w:iCs w:val="0"/>
                <w:color w:val="000000"/>
                <w:sz w:val="18"/>
                <w:szCs w:val="18"/>
                <w:u w:val="none"/>
              </w:rPr>
            </w:pPr>
          </w:p>
        </w:tc>
      </w:tr>
      <w:tr w14:paraId="3D52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7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395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项目自评得分100分，全面完成全市初中级职称评审、农民工工资清欠，劳动仲裁监察等专项工作，保障人社系统机关正常运行。</w:t>
            </w:r>
          </w:p>
        </w:tc>
      </w:tr>
      <w:tr w14:paraId="209F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2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250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63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4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F15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14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E31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2F6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1B2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F7E6E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416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6B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7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59E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51118122T000005138607-2022年公招考试专项经费</w:t>
            </w:r>
          </w:p>
        </w:tc>
      </w:tr>
      <w:tr w14:paraId="319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17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DA9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人力资源和社会保障局</w:t>
            </w:r>
          </w:p>
        </w:tc>
        <w:tc>
          <w:tcPr>
            <w:tcW w:w="506" w:type="pct"/>
            <w:tcBorders>
              <w:top w:val="nil"/>
              <w:left w:val="nil"/>
              <w:bottom w:val="nil"/>
              <w:right w:val="nil"/>
            </w:tcBorders>
            <w:shd w:val="clear" w:color="auto" w:fill="auto"/>
            <w:vAlign w:val="center"/>
          </w:tcPr>
          <w:p w14:paraId="4BE579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6C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峨眉山市人力资源和社会保障局</w:t>
            </w:r>
          </w:p>
        </w:tc>
      </w:tr>
      <w:tr w14:paraId="3FC4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31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6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5E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A4B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FB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C15E">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22EE">
            <w:pPr>
              <w:rPr>
                <w:rFonts w:hint="eastAsia" w:ascii="宋体" w:hAnsi="宋体" w:eastAsia="宋体" w:cs="宋体"/>
                <w:i w:val="0"/>
                <w:iCs w:val="0"/>
                <w:color w:val="000000"/>
                <w:sz w:val="18"/>
                <w:szCs w:val="18"/>
                <w:u w:val="none"/>
              </w:rPr>
            </w:pP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5EE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2022年事业单位公开招聘</w:t>
            </w:r>
          </w:p>
        </w:tc>
        <w:tc>
          <w:tcPr>
            <w:tcW w:w="16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467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w:t>
            </w:r>
          </w:p>
        </w:tc>
      </w:tr>
      <w:tr w14:paraId="10D5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D13F">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E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7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526F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圆满完成全市2022年事业单位公开招聘工作</w:t>
            </w:r>
          </w:p>
        </w:tc>
      </w:tr>
      <w:tr w14:paraId="0B2F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BD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E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1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D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73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D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6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E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2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E6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46B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8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A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4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29.83</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7A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0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8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E1292">
            <w:pPr>
              <w:rPr>
                <w:rFonts w:hint="eastAsia" w:ascii="黑体" w:hAnsi="黑体" w:eastAsia="黑体" w:cs="黑体"/>
                <w:i/>
                <w:iCs/>
                <w:color w:val="000000"/>
                <w:sz w:val="18"/>
                <w:szCs w:val="18"/>
                <w:u w:val="none"/>
              </w:rPr>
            </w:pPr>
          </w:p>
        </w:tc>
      </w:tr>
      <w:tr w14:paraId="7A69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A4C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6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6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A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29.83</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7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E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5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E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F0F7">
            <w:pPr>
              <w:rPr>
                <w:rFonts w:hint="eastAsia" w:ascii="黑体" w:hAnsi="黑体" w:eastAsia="黑体" w:cs="黑体"/>
                <w:i/>
                <w:iCs/>
                <w:color w:val="000000"/>
                <w:sz w:val="18"/>
                <w:szCs w:val="18"/>
                <w:u w:val="none"/>
              </w:rPr>
            </w:pPr>
          </w:p>
        </w:tc>
      </w:tr>
      <w:tr w14:paraId="5CA6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E01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F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5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0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BD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D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3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236E">
            <w:pPr>
              <w:rPr>
                <w:rFonts w:hint="eastAsia" w:ascii="黑体" w:hAnsi="黑体" w:eastAsia="黑体" w:cs="黑体"/>
                <w:i/>
                <w:iCs/>
                <w:color w:val="000000"/>
                <w:sz w:val="18"/>
                <w:szCs w:val="18"/>
                <w:u w:val="none"/>
              </w:rPr>
            </w:pPr>
          </w:p>
        </w:tc>
      </w:tr>
      <w:tr w14:paraId="2DB8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B87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F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64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B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1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4C78">
            <w:pPr>
              <w:rPr>
                <w:rFonts w:hint="eastAsia" w:ascii="黑体" w:hAnsi="黑体" w:eastAsia="黑体" w:cs="黑体"/>
                <w:i/>
                <w:iCs/>
                <w:color w:val="000000"/>
                <w:sz w:val="18"/>
                <w:szCs w:val="18"/>
                <w:u w:val="none"/>
              </w:rPr>
            </w:pPr>
          </w:p>
        </w:tc>
      </w:tr>
      <w:tr w14:paraId="7368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4FE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8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86C6">
            <w:pPr>
              <w:jc w:val="center"/>
              <w:rPr>
                <w:rFonts w:hint="eastAsia" w:ascii="微软雅黑" w:hAnsi="微软雅黑" w:eastAsia="微软雅黑" w:cs="微软雅黑"/>
                <w:i/>
                <w:iCs/>
                <w:color w:val="000000"/>
                <w:sz w:val="16"/>
                <w:szCs w:val="16"/>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B4F2">
            <w:pPr>
              <w:jc w:val="center"/>
              <w:rPr>
                <w:rFonts w:hint="eastAsia" w:ascii="微软雅黑" w:hAnsi="微软雅黑" w:eastAsia="微软雅黑" w:cs="微软雅黑"/>
                <w:i/>
                <w:iCs/>
                <w:color w:val="000000"/>
                <w:sz w:val="16"/>
                <w:szCs w:val="16"/>
                <w:u w:val="none"/>
              </w:rPr>
            </w:pP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52397">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415C">
            <w:pPr>
              <w:jc w:val="center"/>
              <w:rPr>
                <w:rFonts w:hint="eastAsia" w:ascii="微软雅黑" w:hAnsi="微软雅黑" w:eastAsia="微软雅黑" w:cs="微软雅黑"/>
                <w:i/>
                <w:iCs/>
                <w:color w:val="000000"/>
                <w:sz w:val="16"/>
                <w:szCs w:val="16"/>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B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E7A6">
            <w:pPr>
              <w:rPr>
                <w:rFonts w:hint="eastAsia" w:ascii="黑体" w:hAnsi="黑体" w:eastAsia="黑体" w:cs="黑体"/>
                <w:i/>
                <w:iCs/>
                <w:color w:val="000000"/>
                <w:sz w:val="18"/>
                <w:szCs w:val="18"/>
                <w:u w:val="none"/>
              </w:rPr>
            </w:pPr>
          </w:p>
        </w:tc>
      </w:tr>
      <w:tr w14:paraId="1FDA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04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A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D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F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6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7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5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B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E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58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F78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8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91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7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招聘教育类事业人员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8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2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D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41</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F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2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7275">
            <w:pPr>
              <w:jc w:val="center"/>
              <w:rPr>
                <w:rFonts w:hint="eastAsia" w:ascii="微软雅黑" w:hAnsi="微软雅黑" w:eastAsia="微软雅黑" w:cs="微软雅黑"/>
                <w:i/>
                <w:iCs/>
                <w:color w:val="000000"/>
                <w:sz w:val="16"/>
                <w:szCs w:val="16"/>
                <w:u w:val="none"/>
              </w:rPr>
            </w:pPr>
          </w:p>
        </w:tc>
      </w:tr>
      <w:tr w14:paraId="0498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FB0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3A8C">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77B9">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9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招聘综合类事业人员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8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C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B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00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A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1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F11D">
            <w:pPr>
              <w:jc w:val="center"/>
              <w:rPr>
                <w:rFonts w:hint="eastAsia" w:ascii="微软雅黑" w:hAnsi="微软雅黑" w:eastAsia="微软雅黑" w:cs="微软雅黑"/>
                <w:i/>
                <w:iCs/>
                <w:color w:val="000000"/>
                <w:sz w:val="16"/>
                <w:szCs w:val="16"/>
                <w:u w:val="none"/>
              </w:rPr>
            </w:pPr>
          </w:p>
        </w:tc>
      </w:tr>
      <w:tr w14:paraId="0A9D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C46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BDFB">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74DF">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4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招聘卫生类事业人员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5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3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23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B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E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9357">
            <w:pPr>
              <w:jc w:val="center"/>
              <w:rPr>
                <w:rFonts w:hint="eastAsia" w:ascii="微软雅黑" w:hAnsi="微软雅黑" w:eastAsia="微软雅黑" w:cs="微软雅黑"/>
                <w:i/>
                <w:iCs/>
                <w:color w:val="000000"/>
                <w:sz w:val="16"/>
                <w:szCs w:val="16"/>
                <w:u w:val="none"/>
              </w:rPr>
            </w:pPr>
          </w:p>
        </w:tc>
      </w:tr>
      <w:tr w14:paraId="5FA6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5E2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64D5">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4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C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按照完成公招计划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F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C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F3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7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4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BE6D">
            <w:pPr>
              <w:jc w:val="center"/>
              <w:rPr>
                <w:rFonts w:hint="eastAsia" w:ascii="微软雅黑" w:hAnsi="微软雅黑" w:eastAsia="微软雅黑" w:cs="微软雅黑"/>
                <w:i/>
                <w:iCs/>
                <w:color w:val="000000"/>
                <w:sz w:val="16"/>
                <w:szCs w:val="16"/>
                <w:u w:val="none"/>
              </w:rPr>
            </w:pPr>
          </w:p>
        </w:tc>
      </w:tr>
      <w:tr w14:paraId="4396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259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3226">
            <w:pPr>
              <w:jc w:val="center"/>
              <w:rPr>
                <w:rFonts w:hint="eastAsia" w:ascii="宋体" w:hAnsi="宋体" w:eastAsia="宋体" w:cs="宋体"/>
                <w:i w:val="0"/>
                <w:iCs w:val="0"/>
                <w:color w:val="000000"/>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3A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3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面试命题费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C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F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元/套</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E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7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C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AFA0">
            <w:pPr>
              <w:jc w:val="center"/>
              <w:rPr>
                <w:rFonts w:hint="eastAsia" w:ascii="微软雅黑" w:hAnsi="微软雅黑" w:eastAsia="微软雅黑" w:cs="微软雅黑"/>
                <w:i/>
                <w:iCs/>
                <w:color w:val="000000"/>
                <w:sz w:val="16"/>
                <w:szCs w:val="16"/>
                <w:u w:val="none"/>
              </w:rPr>
            </w:pPr>
          </w:p>
        </w:tc>
      </w:tr>
      <w:tr w14:paraId="637F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E70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DEA2">
            <w:pPr>
              <w:jc w:val="center"/>
              <w:rPr>
                <w:rFonts w:hint="eastAsia" w:ascii="宋体" w:hAnsi="宋体" w:eastAsia="宋体" w:cs="宋体"/>
                <w:i w:val="0"/>
                <w:iCs w:val="0"/>
                <w:color w:val="000000"/>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1410">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E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考官及工作人员面试费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3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2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C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B5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C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A952">
            <w:pPr>
              <w:jc w:val="center"/>
              <w:rPr>
                <w:rFonts w:hint="eastAsia" w:ascii="微软雅黑" w:hAnsi="微软雅黑" w:eastAsia="微软雅黑" w:cs="微软雅黑"/>
                <w:i/>
                <w:iCs/>
                <w:color w:val="000000"/>
                <w:sz w:val="16"/>
                <w:szCs w:val="16"/>
                <w:u w:val="none"/>
              </w:rPr>
            </w:pPr>
          </w:p>
        </w:tc>
      </w:tr>
      <w:tr w14:paraId="74A3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021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8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C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D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保持全市事业单位人员队伍结构稳定</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3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0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19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段</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0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8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2F4A">
            <w:pPr>
              <w:jc w:val="center"/>
              <w:rPr>
                <w:rFonts w:hint="eastAsia" w:ascii="微软雅黑" w:hAnsi="微软雅黑" w:eastAsia="微软雅黑" w:cs="微软雅黑"/>
                <w:i/>
                <w:iCs/>
                <w:color w:val="000000"/>
                <w:sz w:val="16"/>
                <w:szCs w:val="16"/>
                <w:u w:val="none"/>
              </w:rPr>
            </w:pPr>
          </w:p>
        </w:tc>
      </w:tr>
      <w:tr w14:paraId="1CBE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E7D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2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4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B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报考人员满意度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2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7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4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4E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F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4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0031">
            <w:pPr>
              <w:jc w:val="center"/>
              <w:rPr>
                <w:rFonts w:hint="eastAsia" w:ascii="微软雅黑" w:hAnsi="微软雅黑" w:eastAsia="微软雅黑" w:cs="微软雅黑"/>
                <w:i/>
                <w:iCs/>
                <w:color w:val="000000"/>
                <w:sz w:val="16"/>
                <w:szCs w:val="16"/>
                <w:u w:val="none"/>
              </w:rPr>
            </w:pPr>
          </w:p>
        </w:tc>
      </w:tr>
      <w:tr w14:paraId="51A8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2E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8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E869">
            <w:pPr>
              <w:rPr>
                <w:rFonts w:hint="eastAsia" w:ascii="宋体" w:hAnsi="宋体" w:eastAsia="宋体" w:cs="宋体"/>
                <w:i w:val="0"/>
                <w:iCs w:val="0"/>
                <w:color w:val="000000"/>
                <w:sz w:val="18"/>
                <w:szCs w:val="18"/>
                <w:u w:val="none"/>
              </w:rPr>
            </w:pPr>
          </w:p>
        </w:tc>
      </w:tr>
      <w:tr w14:paraId="0212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E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6CD6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项目自评得分100分，全面完成2022年事业单位公开招聘工作，保障各用人单位正常运行。</w:t>
            </w:r>
          </w:p>
        </w:tc>
      </w:tr>
      <w:tr w14:paraId="6236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6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A60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6C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4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6AA1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9D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745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543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0F68AB3">
      <w:pPr>
        <w:spacing w:line="600" w:lineRule="exact"/>
        <w:jc w:val="center"/>
        <w:outlineLvl w:val="0"/>
        <w:rPr>
          <w:rFonts w:hint="eastAsia" w:ascii="黑体" w:hAnsi="黑体" w:eastAsia="黑体"/>
          <w:sz w:val="44"/>
          <w:szCs w:val="44"/>
        </w:rPr>
        <w:sectPr>
          <w:pgSz w:w="11906" w:h="16838"/>
          <w:pgMar w:top="986" w:right="1800" w:bottom="873" w:left="1800" w:header="851" w:footer="992" w:gutter="0"/>
          <w:pgNumType w:start="1"/>
          <w:cols w:space="0" w:num="1"/>
          <w:titlePg/>
          <w:rtlGutter w:val="0"/>
          <w:docGrid w:type="lines" w:linePitch="312" w:charSpace="0"/>
        </w:sectPr>
      </w:pPr>
      <w:bookmarkStart w:id="50" w:name="_Toc15377226"/>
      <w:bookmarkStart w:id="51" w:name="_Toc15396618"/>
    </w:p>
    <w:p w14:paraId="3F5EA3ED">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0"/>
      <w:bookmarkEnd w:id="51"/>
      <w:bookmarkStart w:id="52" w:name="_Toc15396619"/>
    </w:p>
    <w:p w14:paraId="25FE9A1D">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2"/>
    </w:p>
    <w:p w14:paraId="473D4FE9">
      <w:pPr>
        <w:pStyle w:val="4"/>
        <w:rPr>
          <w:rFonts w:ascii="仿宋" w:hAnsi="仿宋" w:eastAsia="仿宋"/>
        </w:rPr>
      </w:pPr>
      <w:bookmarkStart w:id="53" w:name="_Toc15396620"/>
      <w:r>
        <w:rPr>
          <w:rFonts w:hint="eastAsia" w:ascii="仿宋" w:hAnsi="仿宋" w:eastAsia="仿宋"/>
          <w:b w:val="0"/>
        </w:rPr>
        <w:t>二、收</w:t>
      </w:r>
      <w:r>
        <w:rPr>
          <w:rStyle w:val="25"/>
          <w:rFonts w:hint="eastAsia" w:ascii="仿宋" w:hAnsi="仿宋" w:eastAsia="仿宋"/>
          <w:b w:val="0"/>
          <w:bCs w:val="0"/>
        </w:rPr>
        <w:t>入决算表</w:t>
      </w:r>
      <w:bookmarkEnd w:id="53"/>
    </w:p>
    <w:p w14:paraId="799F23C6">
      <w:pPr>
        <w:pStyle w:val="4"/>
        <w:rPr>
          <w:rFonts w:ascii="仿宋" w:hAnsi="仿宋" w:eastAsia="仿宋"/>
        </w:rPr>
      </w:pPr>
      <w:bookmarkStart w:id="54"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4"/>
    </w:p>
    <w:p w14:paraId="777B1371">
      <w:pPr>
        <w:pStyle w:val="4"/>
        <w:rPr>
          <w:rFonts w:ascii="仿宋" w:hAnsi="仿宋" w:eastAsia="仿宋"/>
          <w:b w:val="0"/>
        </w:rPr>
      </w:pPr>
      <w:bookmarkStart w:id="55"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5"/>
    </w:p>
    <w:p w14:paraId="6C712ECA">
      <w:pPr>
        <w:pStyle w:val="4"/>
        <w:rPr>
          <w:rStyle w:val="25"/>
          <w:rFonts w:ascii="仿宋" w:hAnsi="仿宋" w:eastAsia="仿宋"/>
          <w:b w:val="0"/>
          <w:bCs w:val="0"/>
        </w:rPr>
      </w:pPr>
      <w:bookmarkStart w:id="56"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6"/>
      <w:bookmarkStart w:id="57" w:name="_Toc15396624"/>
    </w:p>
    <w:p w14:paraId="4F50AD9D">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7"/>
    </w:p>
    <w:p w14:paraId="1C9F4BD5">
      <w:pPr>
        <w:pStyle w:val="4"/>
        <w:rPr>
          <w:rFonts w:ascii="仿宋" w:hAnsi="仿宋" w:eastAsia="仿宋"/>
        </w:rPr>
      </w:pPr>
      <w:bookmarkStart w:id="58"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8"/>
    </w:p>
    <w:p w14:paraId="710D46AB">
      <w:pPr>
        <w:pStyle w:val="4"/>
        <w:rPr>
          <w:rFonts w:ascii="仿宋" w:hAnsi="仿宋" w:eastAsia="仿宋"/>
        </w:rPr>
      </w:pPr>
      <w:bookmarkStart w:id="59"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9"/>
    </w:p>
    <w:p w14:paraId="405EC828">
      <w:pPr>
        <w:pStyle w:val="4"/>
        <w:rPr>
          <w:rFonts w:ascii="仿宋" w:hAnsi="仿宋" w:eastAsia="仿宋"/>
        </w:rPr>
      </w:pPr>
      <w:bookmarkStart w:id="60"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0"/>
    </w:p>
    <w:p w14:paraId="7A66CF3F">
      <w:pPr>
        <w:pStyle w:val="4"/>
        <w:rPr>
          <w:rFonts w:ascii="仿宋" w:hAnsi="仿宋" w:eastAsia="仿宋"/>
        </w:rPr>
      </w:pPr>
      <w:bookmarkStart w:id="61" w:name="_Toc15396628"/>
      <w:r>
        <w:rPr>
          <w:rStyle w:val="25"/>
          <w:rFonts w:hint="eastAsia" w:ascii="仿宋" w:hAnsi="仿宋" w:eastAsia="仿宋"/>
          <w:b w:val="0"/>
          <w:bCs w:val="0"/>
        </w:rPr>
        <w:t>十、</w:t>
      </w:r>
      <w:bookmarkEnd w:id="61"/>
      <w:r>
        <w:rPr>
          <w:rFonts w:hint="eastAsia" w:ascii="仿宋" w:hAnsi="仿宋" w:eastAsia="仿宋"/>
          <w:b w:val="0"/>
        </w:rPr>
        <w:t>政</w:t>
      </w:r>
      <w:r>
        <w:rPr>
          <w:rStyle w:val="25"/>
          <w:rFonts w:hint="eastAsia" w:ascii="仿宋" w:hAnsi="仿宋" w:eastAsia="仿宋"/>
          <w:b w:val="0"/>
          <w:bCs w:val="0"/>
        </w:rPr>
        <w:t>府性基金预算财政拨款收入支出决算表</w:t>
      </w:r>
    </w:p>
    <w:p w14:paraId="47A698B4">
      <w:pPr>
        <w:pStyle w:val="4"/>
        <w:rPr>
          <w:rFonts w:ascii="仿宋" w:hAnsi="仿宋" w:eastAsia="仿宋"/>
        </w:rPr>
      </w:pPr>
      <w:bookmarkStart w:id="62" w:name="_Toc15396629"/>
      <w:r>
        <w:rPr>
          <w:rStyle w:val="25"/>
          <w:rFonts w:hint="eastAsia" w:ascii="仿宋" w:hAnsi="仿宋" w:eastAsia="仿宋"/>
          <w:b w:val="0"/>
          <w:bCs w:val="0"/>
        </w:rPr>
        <w:t>十一、</w:t>
      </w:r>
      <w:bookmarkEnd w:id="62"/>
      <w:r>
        <w:rPr>
          <w:rFonts w:hint="eastAsia" w:ascii="仿宋" w:hAnsi="仿宋" w:eastAsia="仿宋"/>
          <w:b w:val="0"/>
        </w:rPr>
        <w:t>国</w:t>
      </w:r>
      <w:r>
        <w:rPr>
          <w:rStyle w:val="25"/>
          <w:rFonts w:hint="eastAsia" w:ascii="仿宋" w:hAnsi="仿宋" w:eastAsia="仿宋"/>
          <w:b w:val="0"/>
          <w:bCs w:val="0"/>
        </w:rPr>
        <w:t>有资本经营预算财政拨款收入支出决算表</w:t>
      </w:r>
    </w:p>
    <w:p w14:paraId="0136FFE0">
      <w:pPr>
        <w:pStyle w:val="4"/>
        <w:rPr>
          <w:rFonts w:ascii="仿宋" w:hAnsi="仿宋" w:eastAsia="仿宋"/>
        </w:rPr>
      </w:pPr>
      <w:bookmarkStart w:id="63" w:name="_Toc15396630"/>
      <w:r>
        <w:rPr>
          <w:rStyle w:val="25"/>
          <w:rFonts w:hint="eastAsia" w:ascii="仿宋" w:hAnsi="仿宋" w:eastAsia="仿宋"/>
          <w:b w:val="0"/>
          <w:bCs w:val="0"/>
        </w:rPr>
        <w:t>十二、</w:t>
      </w:r>
      <w:bookmarkEnd w:id="63"/>
      <w:r>
        <w:rPr>
          <w:rStyle w:val="25"/>
          <w:rFonts w:hint="eastAsia" w:ascii="仿宋" w:hAnsi="仿宋" w:eastAsia="仿宋"/>
          <w:b w:val="0"/>
          <w:bCs w:val="0"/>
        </w:rPr>
        <w:t>国有资本经营预算财政拨款支出决算表</w:t>
      </w:r>
    </w:p>
    <w:p w14:paraId="1BAFDE20">
      <w:pPr>
        <w:pStyle w:val="4"/>
        <w:rPr>
          <w:rFonts w:eastAsia="仿宋"/>
        </w:rPr>
      </w:pPr>
      <w:bookmarkStart w:id="64" w:name="_Toc15396631"/>
      <w:r>
        <w:rPr>
          <w:rStyle w:val="25"/>
          <w:rFonts w:hint="eastAsia" w:ascii="仿宋" w:hAnsi="仿宋" w:eastAsia="仿宋"/>
          <w:b w:val="0"/>
          <w:bCs w:val="0"/>
        </w:rPr>
        <w:t>十三、</w:t>
      </w:r>
      <w:bookmarkEnd w:id="64"/>
      <w:r>
        <w:rPr>
          <w:rStyle w:val="25"/>
          <w:rFonts w:hint="eastAsia" w:ascii="仿宋" w:hAnsi="仿宋" w:eastAsia="仿宋"/>
          <w:b w:val="0"/>
          <w:bCs w:val="0"/>
        </w:rPr>
        <w:t>财政拨款“三公”经费支出决算表</w:t>
      </w:r>
    </w:p>
    <w:sectPr>
      <w:pgSz w:w="11906" w:h="16838"/>
      <w:pgMar w:top="1440" w:right="1800" w:bottom="1440"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4521388">
        <w:pPr>
          <w:pStyle w:val="8"/>
          <w:jc w:val="center"/>
        </w:pPr>
        <w:r>
          <w:fldChar w:fldCharType="begin"/>
        </w:r>
        <w:r>
          <w:instrText xml:space="preserve">PAGE   \* MERGEFORMAT</w:instrText>
        </w:r>
        <w:r>
          <w:fldChar w:fldCharType="separate"/>
        </w:r>
        <w:r>
          <w:rPr>
            <w:lang w:val="zh-CN"/>
          </w:rPr>
          <w:t>8</w:t>
        </w:r>
        <w:r>
          <w:fldChar w:fldCharType="end"/>
        </w:r>
      </w:p>
    </w:sdtContent>
  </w:sdt>
  <w:p w14:paraId="33E7E0A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92D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jA0OGZjMjdkNTJlNTQ2ZjFjYTlmM2ExMWM4ZDA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533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34B0FFA"/>
    <w:rsid w:val="053A62B5"/>
    <w:rsid w:val="07131552"/>
    <w:rsid w:val="09704C1D"/>
    <w:rsid w:val="09B23C11"/>
    <w:rsid w:val="0A2032A3"/>
    <w:rsid w:val="0B8A37D8"/>
    <w:rsid w:val="0C875E53"/>
    <w:rsid w:val="0C88548B"/>
    <w:rsid w:val="0F4C617A"/>
    <w:rsid w:val="0FDA7395"/>
    <w:rsid w:val="10C055FF"/>
    <w:rsid w:val="118107EC"/>
    <w:rsid w:val="11DD6519"/>
    <w:rsid w:val="121A67F7"/>
    <w:rsid w:val="126D490A"/>
    <w:rsid w:val="13FC12B6"/>
    <w:rsid w:val="14E90674"/>
    <w:rsid w:val="16BB723D"/>
    <w:rsid w:val="174F295F"/>
    <w:rsid w:val="179E124C"/>
    <w:rsid w:val="18015F3F"/>
    <w:rsid w:val="187460B5"/>
    <w:rsid w:val="1BE8440E"/>
    <w:rsid w:val="1D155CEE"/>
    <w:rsid w:val="1F1C4DB4"/>
    <w:rsid w:val="20F57F95"/>
    <w:rsid w:val="21905E80"/>
    <w:rsid w:val="22A939AB"/>
    <w:rsid w:val="237B64E2"/>
    <w:rsid w:val="240371BF"/>
    <w:rsid w:val="249B7324"/>
    <w:rsid w:val="24AF2DCF"/>
    <w:rsid w:val="25711CC6"/>
    <w:rsid w:val="25C741E6"/>
    <w:rsid w:val="27094B16"/>
    <w:rsid w:val="27842671"/>
    <w:rsid w:val="29357E11"/>
    <w:rsid w:val="29FD04D3"/>
    <w:rsid w:val="2ABE7A3E"/>
    <w:rsid w:val="2CA234A8"/>
    <w:rsid w:val="2CE47F24"/>
    <w:rsid w:val="2DE10662"/>
    <w:rsid w:val="2EFA178C"/>
    <w:rsid w:val="30B46D73"/>
    <w:rsid w:val="319F7F4E"/>
    <w:rsid w:val="383D272C"/>
    <w:rsid w:val="39AA7C24"/>
    <w:rsid w:val="39AE70AB"/>
    <w:rsid w:val="3AAC70B2"/>
    <w:rsid w:val="3C0C0783"/>
    <w:rsid w:val="3CFA3D2F"/>
    <w:rsid w:val="3DD220B3"/>
    <w:rsid w:val="3E0B5B31"/>
    <w:rsid w:val="3F6D3EC3"/>
    <w:rsid w:val="3F9F3A96"/>
    <w:rsid w:val="4562384D"/>
    <w:rsid w:val="47BD397D"/>
    <w:rsid w:val="4831012F"/>
    <w:rsid w:val="48BF60AB"/>
    <w:rsid w:val="493C27E9"/>
    <w:rsid w:val="496F39ED"/>
    <w:rsid w:val="49FF41D3"/>
    <w:rsid w:val="4BD44D46"/>
    <w:rsid w:val="4BE068DB"/>
    <w:rsid w:val="4BF6002B"/>
    <w:rsid w:val="4CB36C55"/>
    <w:rsid w:val="4DA07FEA"/>
    <w:rsid w:val="4ECE2238"/>
    <w:rsid w:val="51DB4B86"/>
    <w:rsid w:val="546F3711"/>
    <w:rsid w:val="55333C3E"/>
    <w:rsid w:val="578449C7"/>
    <w:rsid w:val="5C346395"/>
    <w:rsid w:val="5E02651D"/>
    <w:rsid w:val="5FB82473"/>
    <w:rsid w:val="64CA39A1"/>
    <w:rsid w:val="69630ADE"/>
    <w:rsid w:val="6C4A05C8"/>
    <w:rsid w:val="6D3B1A89"/>
    <w:rsid w:val="6FCC3E02"/>
    <w:rsid w:val="71BF4EC2"/>
    <w:rsid w:val="72734D90"/>
    <w:rsid w:val="7412278C"/>
    <w:rsid w:val="79E7B28D"/>
    <w:rsid w:val="7A59098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manualLayout>
          <c:xMode val="edge"/>
          <c:yMode val="edge"/>
          <c:x val="0.289031874206151"/>
          <c:y val="0.042758523098664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914.64</c:v>
                </c:pt>
              </c:numCache>
            </c:numRef>
          </c:val>
        </c:ser>
        <c:ser>
          <c:idx val="1"/>
          <c:order val="1"/>
          <c:tx>
            <c:strRef>
              <c:f>Sheet1!$C$1</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1335.89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收支总计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64864841"/>
        <c:axId val="539191523"/>
      </c:barChart>
      <c:catAx>
        <c:axId val="96486484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191523"/>
        <c:crosses val="autoZero"/>
        <c:auto val="1"/>
        <c:lblAlgn val="ctr"/>
        <c:lblOffset val="100"/>
        <c:noMultiLvlLbl val="0"/>
      </c:catAx>
      <c:valAx>
        <c:axId val="53919152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86484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98f139-eaad-4b5c-8e18-5912f46477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733.95</c:v>
                </c:pt>
                <c:pt idx="1">
                  <c:v>74.53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f05ca6-9433-49f9-b52a-c8ec428afb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652.83</c:v>
                </c:pt>
                <c:pt idx="1">
                  <c:v>261.81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4274ca-7441-447f-909e-e04f39bbe5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manualLayout>
          <c:xMode val="edge"/>
          <c:yMode val="edge"/>
          <c:x val="0.289031874206151"/>
          <c:y val="0.0427585230986645"/>
        </c:manualLayout>
      </c:layout>
      <c:overlay val="0"/>
      <c:spPr>
        <a:noFill/>
        <a:ln>
          <a:noFill/>
        </a:ln>
        <a:effectLst/>
      </c:spPr>
    </c:title>
    <c:autoTitleDeleted val="0"/>
    <c:plotArea>
      <c:layout>
        <c:manualLayout>
          <c:layoutTarget val="inner"/>
          <c:xMode val="edge"/>
          <c:yMode val="edge"/>
          <c:x val="0.0778690504952887"/>
          <c:y val="0.163510101010101"/>
          <c:w val="0.89736651365064"/>
          <c:h val="0.642550505050505"/>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Sheet1!$B$2</c:f>
              <c:numCache>
                <c:formatCode>General</c:formatCode>
                <c:ptCount val="1"/>
                <c:pt idx="0">
                  <c:v>914.64</c:v>
                </c:pt>
              </c:numCache>
            </c:numRef>
          </c:val>
        </c:ser>
        <c:ser>
          <c:idx val="1"/>
          <c:order val="1"/>
          <c:tx>
            <c:strRef>
              <c:f>Sheet1!$C$1</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Sheet1!$C$2</c:f>
              <c:numCache>
                <c:formatCode>General</c:formatCode>
                <c:ptCount val="1"/>
                <c:pt idx="0">
                  <c:v>1324.49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财政拨款收支决算总计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64864841"/>
        <c:axId val="539191523"/>
      </c:barChart>
      <c:catAx>
        <c:axId val="96486484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191523"/>
        <c:crosses val="autoZero"/>
        <c:auto val="1"/>
        <c:lblAlgn val="ctr"/>
        <c:lblOffset val="100"/>
        <c:noMultiLvlLbl val="0"/>
      </c:catAx>
      <c:valAx>
        <c:axId val="53919152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86484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ed736c-8679-4c24-9dca-c91a24636f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manualLayout>
          <c:xMode val="edge"/>
          <c:yMode val="edge"/>
          <c:x val="0.211114502860415"/>
          <c:y val="0.0456593159820526"/>
        </c:manualLayout>
      </c:layout>
      <c:overlay val="0"/>
      <c:spPr>
        <a:noFill/>
        <a:ln>
          <a:noFill/>
        </a:ln>
        <a:effectLst/>
      </c:spPr>
    </c:title>
    <c:autoTitleDeleted val="0"/>
    <c:plotArea>
      <c:layout>
        <c:manualLayout>
          <c:layoutTarget val="inner"/>
          <c:xMode val="edge"/>
          <c:yMode val="edge"/>
          <c:x val="0.0778690504952887"/>
          <c:y val="0.163510101010101"/>
          <c:w val="0.89736651365064"/>
          <c:h val="0.642550505050505"/>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840.11</c:v>
                </c:pt>
              </c:numCache>
            </c:numRef>
          </c:val>
        </c:ser>
        <c:ser>
          <c:idx val="1"/>
          <c:order val="1"/>
          <c:tx>
            <c:strRef>
              <c:f>Sheet1!$C$1</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767.7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64864841"/>
        <c:axId val="539191523"/>
      </c:barChart>
      <c:catAx>
        <c:axId val="96486484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191523"/>
        <c:crosses val="autoZero"/>
        <c:auto val="1"/>
        <c:lblAlgn val="ctr"/>
        <c:lblOffset val="100"/>
        <c:noMultiLvlLbl val="0"/>
      </c:catAx>
      <c:valAx>
        <c:axId val="53919152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86484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7ae4fa-0754-44a3-8a23-033f0cf92d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784.31</c:v>
                </c:pt>
                <c:pt idx="1">
                  <c:v>12.81</c:v>
                </c:pt>
                <c:pt idx="2">
                  <c:v>42.99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9d0644-8844-42a6-a52d-208315899a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11.55</c:v>
                </c:pt>
                <c:pt idx="2">
                  <c:v>1.14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b2aa04-8455-4ba1-9e85-bae76c7476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1213</Words>
  <Characters>1278</Characters>
  <Lines>71</Lines>
  <Paragraphs>20</Paragraphs>
  <TotalTime>32</TotalTime>
  <ScaleCrop>false</ScaleCrop>
  <LinksUpToDate>false</LinksUpToDate>
  <CharactersWithSpaces>1302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WPS_1657002862</cp:lastModifiedBy>
  <cp:lastPrinted>2023-07-31T02:35:00Z</cp:lastPrinted>
  <dcterms:modified xsi:type="dcterms:W3CDTF">2025-03-18T02:26:47Z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22C5DE205C864820AC78D585C6AC466B_12</vt:lpwstr>
  </property>
  <property fmtid="{D5CDD505-2E9C-101B-9397-08002B2CF9AE}" pid="4" name="KSOTemplateDocerSaveRecord">
    <vt:lpwstr>eyJoZGlkIjoiZDQ4MGI4YTM0MDJkNWY4ODJlMDUwNjdlYmJlOWEyNTciLCJ1c2VySWQiOiIxMzkxMTI1NDc2In0=</vt:lpwstr>
  </property>
</Properties>
</file>