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380BB">
      <w:pPr>
        <w:spacing w:line="600" w:lineRule="exact"/>
        <w:jc w:val="center"/>
        <w:outlineLvl w:val="0"/>
        <w:rPr>
          <w:rFonts w:ascii="方正小标宋简体" w:hAnsi="宋体" w:eastAsia="方正小标宋简体"/>
          <w:sz w:val="72"/>
          <w:szCs w:val="72"/>
        </w:rPr>
      </w:pPr>
      <w:bookmarkStart w:id="0" w:name="_Toc15378441"/>
      <w:bookmarkStart w:id="1" w:name="_Toc15396475"/>
      <w:bookmarkStart w:id="2" w:name="_Toc15377193"/>
      <w:bookmarkStart w:id="3" w:name="_Toc15377425"/>
      <w:bookmarkStart w:id="4" w:name="_Toc15396597"/>
      <w:bookmarkStart w:id="5" w:name="_Toc15306267"/>
    </w:p>
    <w:p w14:paraId="5F749226">
      <w:pPr>
        <w:spacing w:line="600" w:lineRule="exact"/>
        <w:jc w:val="center"/>
        <w:outlineLvl w:val="0"/>
        <w:rPr>
          <w:rFonts w:ascii="方正小标宋简体" w:hAnsi="宋体" w:eastAsia="方正小标宋简体"/>
          <w:sz w:val="72"/>
          <w:szCs w:val="72"/>
        </w:rPr>
      </w:pPr>
    </w:p>
    <w:p w14:paraId="26C2EDF2">
      <w:pPr>
        <w:spacing w:line="600" w:lineRule="exact"/>
        <w:jc w:val="center"/>
        <w:outlineLvl w:val="0"/>
        <w:rPr>
          <w:rFonts w:ascii="方正小标宋简体" w:hAnsi="宋体" w:eastAsia="方正小标宋简体"/>
          <w:sz w:val="72"/>
          <w:szCs w:val="72"/>
        </w:rPr>
      </w:pPr>
      <w:bookmarkStart w:id="69" w:name="_GoBack"/>
    </w:p>
    <w:p w14:paraId="67E4DC9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14:paraId="26AC5CBB">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194"/>
      <w:bookmarkStart w:id="7" w:name="_Toc15396476"/>
      <w:bookmarkStart w:id="8" w:name="_Toc15396598"/>
      <w:bookmarkStart w:id="9" w:name="_Toc15378442"/>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乐山市峨眉山市人力资源和社会保障局</w:t>
      </w:r>
    </w:p>
    <w:p w14:paraId="631179AC">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bookmarkEnd w:id="69"/>
    <w:p w14:paraId="0E1FF750">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5F539C8">
      <w:pPr>
        <w:widowControl/>
        <w:jc w:val="center"/>
        <w:rPr>
          <w:rFonts w:ascii="黑体" w:hAnsi="黑体" w:eastAsia="黑体" w:cstheme="minorBidi"/>
          <w:sz w:val="28"/>
          <w:szCs w:val="28"/>
        </w:rPr>
      </w:pPr>
    </w:p>
    <w:p w14:paraId="590400DD">
      <w:pPr>
        <w:pStyle w:val="11"/>
      </w:pPr>
      <w:r>
        <w:rPr>
          <w:rFonts w:hint="eastAsia"/>
        </w:rPr>
        <w:t>公开时间：2023年</w:t>
      </w:r>
      <w:r>
        <w:rPr>
          <w:rFonts w:hint="eastAsia"/>
          <w:lang w:val="en-US" w:eastAsia="zh-CN"/>
        </w:rPr>
        <w:t>12</w:t>
      </w:r>
      <w:r>
        <w:rPr>
          <w:rFonts w:hint="eastAsia"/>
        </w:rPr>
        <w:t>月</w:t>
      </w:r>
      <w:r>
        <w:rPr>
          <w:rFonts w:hint="eastAsia"/>
          <w:lang w:val="en-US" w:eastAsia="zh-CN"/>
        </w:rPr>
        <w:t>11</w:t>
      </w:r>
      <w:r>
        <w:rPr>
          <w:rFonts w:hint="eastAsia"/>
        </w:rPr>
        <w:t>日</w:t>
      </w:r>
    </w:p>
    <w:p w14:paraId="200FAE7C"/>
    <w:p w14:paraId="29413950">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ab/>
      </w:r>
      <w:r>
        <w:rPr>
          <w:rFonts w:hint="eastAsia"/>
          <w:sz w:val="24"/>
          <w:lang w:val="en-US" w:eastAsia="zh-CN"/>
        </w:rPr>
        <w:t>4</w:t>
      </w:r>
    </w:p>
    <w:p w14:paraId="62236179">
      <w:pPr>
        <w:pStyle w:val="12"/>
        <w:adjustRightInd w:val="0"/>
        <w:snapToGrid w:val="0"/>
        <w:spacing w:line="440" w:lineRule="exact"/>
        <w:jc w:val="left"/>
        <w:rPr>
          <w:rFonts w:hint="default" w:ascii="仿宋" w:hAnsi="仿宋" w:eastAsia="宋体"/>
          <w:sz w:val="24"/>
          <w:lang w:val="en-US" w:eastAsia="zh-CN"/>
        </w:rPr>
      </w:pPr>
      <w:r>
        <w:rPr>
          <w:rFonts w:hint="eastAsia"/>
          <w:sz w:val="24"/>
        </w:rPr>
        <w:t>一、部门职责</w:t>
      </w:r>
      <w:r>
        <w:rPr>
          <w:rFonts w:hint="eastAsia"/>
          <w:sz w:val="24"/>
          <w:lang w:val="en-US" w:eastAsia="zh-CN"/>
        </w:rPr>
        <w:tab/>
      </w:r>
      <w:r>
        <w:rPr>
          <w:rFonts w:hint="eastAsia"/>
          <w:sz w:val="24"/>
          <w:lang w:val="en-US" w:eastAsia="zh-CN"/>
        </w:rPr>
        <w:t>4</w:t>
      </w:r>
    </w:p>
    <w:p w14:paraId="261390D2">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二、机构设置</w:t>
      </w:r>
      <w:r>
        <w:rPr>
          <w:rFonts w:hint="eastAsia"/>
          <w:sz w:val="24"/>
          <w:lang w:val="en-US" w:eastAsia="zh-CN"/>
        </w:rPr>
        <w:tab/>
      </w:r>
      <w:r>
        <w:rPr>
          <w:rFonts w:hint="eastAsia"/>
          <w:sz w:val="24"/>
          <w:lang w:val="en-US" w:eastAsia="zh-CN"/>
        </w:rPr>
        <w:t>5</w:t>
      </w:r>
    </w:p>
    <w:p w14:paraId="5EAD6927">
      <w:pPr>
        <w:pStyle w:val="11"/>
        <w:adjustRightInd w:val="0"/>
        <w:snapToGrid w:val="0"/>
        <w:spacing w:before="0" w:line="440" w:lineRule="exact"/>
        <w:jc w:val="left"/>
        <w:rPr>
          <w:rFonts w:hint="default" w:eastAsia="仿宋"/>
          <w:sz w:val="24"/>
          <w:szCs w:val="24"/>
          <w:lang w:val="en-US" w:eastAsia="zh-CN"/>
        </w:rPr>
      </w:pPr>
      <w:r>
        <w:rPr>
          <w:rFonts w:hint="eastAsia"/>
          <w:sz w:val="24"/>
        </w:rPr>
        <w:t>第二部分 2022年度部门决算情况说明</w:t>
      </w:r>
      <w:r>
        <w:rPr>
          <w:rFonts w:hint="eastAsia"/>
          <w:sz w:val="24"/>
          <w:lang w:val="en-US" w:eastAsia="zh-CN"/>
        </w:rPr>
        <w:tab/>
      </w:r>
      <w:r>
        <w:rPr>
          <w:rFonts w:hint="eastAsia"/>
          <w:sz w:val="24"/>
          <w:lang w:val="en-US" w:eastAsia="zh-CN"/>
        </w:rPr>
        <w:t>6</w:t>
      </w:r>
    </w:p>
    <w:p w14:paraId="05CC3218">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ab/>
      </w:r>
      <w:r>
        <w:rPr>
          <w:rFonts w:hint="eastAsia"/>
          <w:sz w:val="24"/>
          <w:lang w:val="en-US" w:eastAsia="zh-CN"/>
        </w:rPr>
        <w:t>6</w:t>
      </w:r>
    </w:p>
    <w:p w14:paraId="1AE8B2E9">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ab/>
      </w:r>
      <w:r>
        <w:rPr>
          <w:rFonts w:hint="eastAsia"/>
          <w:sz w:val="24"/>
          <w:lang w:val="en-US" w:eastAsia="zh-CN"/>
        </w:rPr>
        <w:t>6</w:t>
      </w:r>
    </w:p>
    <w:p w14:paraId="7F89D6B0">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ab/>
      </w:r>
      <w:r>
        <w:rPr>
          <w:rFonts w:hint="eastAsia"/>
          <w:sz w:val="24"/>
          <w:lang w:val="en-US" w:eastAsia="zh-CN"/>
        </w:rPr>
        <w:t>7</w:t>
      </w:r>
    </w:p>
    <w:p w14:paraId="5948BF83">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ab/>
      </w:r>
      <w:r>
        <w:rPr>
          <w:rFonts w:hint="eastAsia"/>
          <w:sz w:val="24"/>
          <w:lang w:val="en-US" w:eastAsia="zh-CN"/>
        </w:rPr>
        <w:t>8</w:t>
      </w:r>
    </w:p>
    <w:p w14:paraId="24C58EB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ab/>
      </w:r>
      <w:r>
        <w:rPr>
          <w:rFonts w:hint="eastAsia"/>
          <w:sz w:val="24"/>
          <w:lang w:val="en-US" w:eastAsia="zh-CN"/>
        </w:rPr>
        <w:t>8</w:t>
      </w:r>
    </w:p>
    <w:p w14:paraId="6605671B">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ab/>
      </w:r>
      <w:r>
        <w:rPr>
          <w:rFonts w:hint="eastAsia"/>
          <w:sz w:val="24"/>
          <w:lang w:val="en-US" w:eastAsia="zh-CN"/>
        </w:rPr>
        <w:t>12</w:t>
      </w:r>
    </w:p>
    <w:p w14:paraId="6D01D1DF">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ab/>
      </w:r>
      <w:r>
        <w:rPr>
          <w:rFonts w:hint="eastAsia"/>
          <w:sz w:val="24"/>
          <w:lang w:val="en-US" w:eastAsia="zh-CN"/>
        </w:rPr>
        <w:t>12</w:t>
      </w:r>
    </w:p>
    <w:p w14:paraId="2E5D346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ab/>
      </w:r>
      <w:r>
        <w:rPr>
          <w:rFonts w:hint="eastAsia"/>
          <w:sz w:val="24"/>
          <w:lang w:val="en-US" w:eastAsia="zh-CN"/>
        </w:rPr>
        <w:t>15</w:t>
      </w:r>
    </w:p>
    <w:p w14:paraId="0C6C39B8">
      <w:pPr>
        <w:pStyle w:val="12"/>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asciiTheme="minorEastAsia" w:hAnsiTheme="minorEastAsia" w:eastAsiaTheme="minorEastAsia" w:cstheme="minorEastAsia"/>
          <w:sz w:val="24"/>
          <w:lang w:val="en-US" w:eastAsia="zh-CN"/>
        </w:rPr>
        <w:tab/>
      </w:r>
      <w:r>
        <w:rPr>
          <w:rFonts w:hint="eastAsia" w:asciiTheme="minorEastAsia" w:hAnsiTheme="minorEastAsia" w:eastAsiaTheme="minorEastAsia" w:cstheme="minorEastAsia"/>
          <w:sz w:val="24"/>
          <w:lang w:val="en-US" w:eastAsia="zh-CN"/>
        </w:rPr>
        <w:t>15</w:t>
      </w:r>
    </w:p>
    <w:p w14:paraId="5D8FF151">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ab/>
      </w:r>
      <w:r>
        <w:rPr>
          <w:rFonts w:hint="eastAsia"/>
          <w:sz w:val="24"/>
          <w:lang w:val="en-US" w:eastAsia="zh-CN"/>
        </w:rPr>
        <w:t>15</w:t>
      </w:r>
    </w:p>
    <w:p w14:paraId="6F751B38">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ab/>
      </w:r>
      <w:r>
        <w:rPr>
          <w:rFonts w:hint="eastAsia"/>
          <w:sz w:val="24"/>
          <w:lang w:val="en-US" w:eastAsia="zh-CN"/>
        </w:rPr>
        <w:t>17</w:t>
      </w:r>
    </w:p>
    <w:p w14:paraId="03C8BF30">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ab/>
      </w:r>
      <w:r>
        <w:rPr>
          <w:rFonts w:hint="eastAsia"/>
          <w:sz w:val="24"/>
          <w:lang w:val="en-US" w:eastAsia="zh-CN"/>
        </w:rPr>
        <w:t>21</w:t>
      </w:r>
    </w:p>
    <w:p w14:paraId="26E3494F">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ab/>
      </w:r>
      <w:r>
        <w:rPr>
          <w:rFonts w:hint="eastAsia"/>
          <w:sz w:val="24"/>
          <w:lang w:val="en-US" w:eastAsia="zh-CN"/>
        </w:rPr>
        <w:t>40</w:t>
      </w:r>
    </w:p>
    <w:p w14:paraId="5A97D60F">
      <w:pPr>
        <w:pStyle w:val="12"/>
        <w:adjustRightInd w:val="0"/>
        <w:snapToGrid w:val="0"/>
        <w:spacing w:line="440" w:lineRule="exact"/>
        <w:jc w:val="left"/>
        <w:rPr>
          <w:sz w:val="24"/>
        </w:rPr>
      </w:pPr>
      <w:r>
        <w:rPr>
          <w:rFonts w:hint="eastAsia"/>
          <w:sz w:val="24"/>
        </w:rPr>
        <w:t>一、收入支出决算总表</w:t>
      </w:r>
    </w:p>
    <w:p w14:paraId="1F5D77E2">
      <w:pPr>
        <w:pStyle w:val="12"/>
        <w:adjustRightInd w:val="0"/>
        <w:snapToGrid w:val="0"/>
        <w:spacing w:line="440" w:lineRule="exact"/>
        <w:jc w:val="left"/>
        <w:rPr>
          <w:sz w:val="24"/>
        </w:rPr>
      </w:pPr>
      <w:r>
        <w:rPr>
          <w:rFonts w:hint="eastAsia"/>
          <w:sz w:val="24"/>
        </w:rPr>
        <w:t>二、收入决算表</w:t>
      </w:r>
    </w:p>
    <w:p w14:paraId="1FC93576">
      <w:pPr>
        <w:pStyle w:val="12"/>
        <w:adjustRightInd w:val="0"/>
        <w:snapToGrid w:val="0"/>
        <w:spacing w:line="440" w:lineRule="exact"/>
        <w:jc w:val="left"/>
        <w:rPr>
          <w:sz w:val="24"/>
        </w:rPr>
      </w:pPr>
      <w:r>
        <w:rPr>
          <w:rFonts w:hint="eastAsia"/>
          <w:sz w:val="24"/>
        </w:rPr>
        <w:t>三、支出决算表</w:t>
      </w:r>
    </w:p>
    <w:p w14:paraId="123D14C3">
      <w:pPr>
        <w:pStyle w:val="12"/>
        <w:adjustRightInd w:val="0"/>
        <w:snapToGrid w:val="0"/>
        <w:spacing w:line="440" w:lineRule="exact"/>
        <w:jc w:val="left"/>
        <w:rPr>
          <w:sz w:val="24"/>
        </w:rPr>
      </w:pPr>
      <w:r>
        <w:rPr>
          <w:rFonts w:hint="eastAsia"/>
          <w:sz w:val="24"/>
        </w:rPr>
        <w:t>四、财政拨款收入支出决算总表</w:t>
      </w:r>
    </w:p>
    <w:p w14:paraId="4043C5D2">
      <w:pPr>
        <w:pStyle w:val="12"/>
        <w:adjustRightInd w:val="0"/>
        <w:snapToGrid w:val="0"/>
        <w:spacing w:line="440" w:lineRule="exact"/>
        <w:jc w:val="left"/>
        <w:rPr>
          <w:sz w:val="24"/>
        </w:rPr>
      </w:pPr>
      <w:r>
        <w:rPr>
          <w:rFonts w:hint="eastAsia"/>
          <w:sz w:val="24"/>
        </w:rPr>
        <w:t>五、财政拨款支出决算明细表</w:t>
      </w:r>
    </w:p>
    <w:p w14:paraId="755857DE">
      <w:pPr>
        <w:pStyle w:val="12"/>
        <w:adjustRightInd w:val="0"/>
        <w:snapToGrid w:val="0"/>
        <w:spacing w:line="440" w:lineRule="exact"/>
        <w:jc w:val="left"/>
        <w:rPr>
          <w:sz w:val="24"/>
        </w:rPr>
      </w:pPr>
      <w:r>
        <w:rPr>
          <w:rFonts w:hint="eastAsia"/>
          <w:sz w:val="24"/>
        </w:rPr>
        <w:t>六、一般公共预算财政拨款支出决算表</w:t>
      </w:r>
    </w:p>
    <w:p w14:paraId="19450EB3">
      <w:pPr>
        <w:pStyle w:val="12"/>
        <w:adjustRightInd w:val="0"/>
        <w:snapToGrid w:val="0"/>
        <w:spacing w:line="440" w:lineRule="exact"/>
        <w:jc w:val="left"/>
        <w:rPr>
          <w:sz w:val="24"/>
        </w:rPr>
      </w:pPr>
      <w:r>
        <w:rPr>
          <w:rFonts w:hint="eastAsia"/>
          <w:sz w:val="24"/>
        </w:rPr>
        <w:t>七、一般公共预算财政拨款支出决算明细表</w:t>
      </w:r>
    </w:p>
    <w:p w14:paraId="282BD67E">
      <w:pPr>
        <w:pStyle w:val="12"/>
        <w:adjustRightInd w:val="0"/>
        <w:snapToGrid w:val="0"/>
        <w:spacing w:line="440" w:lineRule="exact"/>
        <w:jc w:val="left"/>
        <w:rPr>
          <w:sz w:val="24"/>
        </w:rPr>
      </w:pPr>
      <w:r>
        <w:rPr>
          <w:rFonts w:hint="eastAsia"/>
          <w:sz w:val="24"/>
        </w:rPr>
        <w:t>八、一般公共预算财政拨款基本支出决算明细表</w:t>
      </w:r>
    </w:p>
    <w:p w14:paraId="59B6779A">
      <w:pPr>
        <w:pStyle w:val="12"/>
        <w:adjustRightInd w:val="0"/>
        <w:snapToGrid w:val="0"/>
        <w:spacing w:line="440" w:lineRule="exact"/>
        <w:jc w:val="left"/>
        <w:rPr>
          <w:sz w:val="24"/>
        </w:rPr>
      </w:pPr>
      <w:r>
        <w:rPr>
          <w:rFonts w:hint="eastAsia"/>
          <w:sz w:val="24"/>
        </w:rPr>
        <w:t>九、一般公共预算财政拨款项目支出决算表</w:t>
      </w:r>
    </w:p>
    <w:p w14:paraId="7F5853C5">
      <w:pPr>
        <w:pStyle w:val="12"/>
        <w:adjustRightInd w:val="0"/>
        <w:snapToGrid w:val="0"/>
        <w:spacing w:line="440" w:lineRule="exact"/>
        <w:jc w:val="left"/>
        <w:rPr>
          <w:sz w:val="24"/>
        </w:rPr>
      </w:pPr>
      <w:r>
        <w:rPr>
          <w:rFonts w:hint="eastAsia"/>
          <w:sz w:val="24"/>
        </w:rPr>
        <w:t>十、政府性基金预算财政拨款收入支出决算表</w:t>
      </w:r>
    </w:p>
    <w:p w14:paraId="46D7642E">
      <w:pPr>
        <w:pStyle w:val="12"/>
        <w:adjustRightInd w:val="0"/>
        <w:snapToGrid w:val="0"/>
        <w:spacing w:line="440" w:lineRule="exact"/>
        <w:jc w:val="left"/>
        <w:rPr>
          <w:sz w:val="24"/>
        </w:rPr>
      </w:pPr>
      <w:r>
        <w:rPr>
          <w:rFonts w:hint="eastAsia"/>
          <w:sz w:val="24"/>
        </w:rPr>
        <w:t>十一、国有资本经营预算财政拨款收入支出决算表</w:t>
      </w:r>
    </w:p>
    <w:p w14:paraId="1FFA82B9">
      <w:pPr>
        <w:pStyle w:val="12"/>
        <w:adjustRightInd w:val="0"/>
        <w:snapToGrid w:val="0"/>
        <w:spacing w:line="440" w:lineRule="exact"/>
        <w:jc w:val="left"/>
        <w:rPr>
          <w:sz w:val="24"/>
        </w:rPr>
      </w:pPr>
      <w:r>
        <w:rPr>
          <w:rFonts w:hint="eastAsia"/>
          <w:sz w:val="24"/>
        </w:rPr>
        <w:t>十二、国有资本经营预算财政拨款支出决算表</w:t>
      </w:r>
    </w:p>
    <w:p w14:paraId="7AE97626">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06C89493">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4B35CB51">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74A4B6FB">
      <w:pPr>
        <w:widowControl/>
        <w:jc w:val="left"/>
        <w:rPr>
          <w:rFonts w:ascii="黑体" w:eastAsia="黑体"/>
          <w:sz w:val="32"/>
          <w:szCs w:val="32"/>
        </w:rPr>
      </w:pPr>
    </w:p>
    <w:p w14:paraId="560DC5B8">
      <w:pPr>
        <w:pStyle w:val="4"/>
        <w:rPr>
          <w:rFonts w:hint="eastAsia" w:ascii="黑体" w:hAnsi="黑体" w:eastAsia="黑体"/>
          <w:b w:val="0"/>
        </w:rPr>
      </w:pPr>
      <w:bookmarkStart w:id="14" w:name="_Toc15377197"/>
      <w:bookmarkStart w:id="15" w:name="_Toc15396600"/>
      <w:r>
        <w:rPr>
          <w:rFonts w:hint="eastAsia" w:ascii="黑体" w:hAnsi="黑体" w:eastAsia="黑体"/>
          <w:b w:val="0"/>
        </w:rPr>
        <w:t>一、</w:t>
      </w:r>
      <w:bookmarkEnd w:id="14"/>
      <w:bookmarkEnd w:id="15"/>
      <w:r>
        <w:rPr>
          <w:rFonts w:hint="eastAsia" w:ascii="黑体" w:hAnsi="黑体" w:eastAsia="黑体"/>
          <w:b w:val="0"/>
        </w:rPr>
        <w:t>部门职责</w:t>
      </w:r>
    </w:p>
    <w:p w14:paraId="0EAFB422">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1、贯彻执行</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社会保障工作的相关法律、法规、规章和政策，起草</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社会保障事业地方性实施办法，拟订全市</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社会保障事业发展规划、政策并组织实施和监督检查；</w:t>
      </w:r>
    </w:p>
    <w:p w14:paraId="08C2AEE8">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2、拟订并组织实施</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市场发展规划和</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流动政策，建立全市统一规范的</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市场，促进</w:t>
      </w:r>
      <w:r>
        <w:rPr>
          <w:rFonts w:hint="eastAsia" w:ascii="仿宋" w:hAnsi="仿宋" w:eastAsia="仿宋" w:cs="Times New Roman"/>
          <w:sz w:val="32"/>
          <w:szCs w:val="32"/>
          <w:lang w:eastAsia="zh-CN"/>
        </w:rPr>
        <w:t>人力资源和</w:t>
      </w:r>
      <w:r>
        <w:rPr>
          <w:rFonts w:hint="eastAsia" w:ascii="仿宋" w:hAnsi="仿宋" w:eastAsia="仿宋" w:cs="Times New Roman"/>
          <w:sz w:val="32"/>
          <w:szCs w:val="32"/>
        </w:rPr>
        <w:t>合理流动、有效配置；</w:t>
      </w:r>
    </w:p>
    <w:p w14:paraId="4B8CE9FB">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3、负责促进就业工作；</w:t>
      </w:r>
    </w:p>
    <w:p w14:paraId="4E898221">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4、统筹建立覆盖城乡的社会保障体系；</w:t>
      </w:r>
    </w:p>
    <w:p w14:paraId="2C46CD27">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5、负责就业、失业、社会保险基金预测预警和信息引导，拟订应对预案，保持就业形势稳定和社会保险基金总体收支平衡；</w:t>
      </w:r>
    </w:p>
    <w:p w14:paraId="353D86B1">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6、综合管理全市事业单位工作人员；</w:t>
      </w:r>
    </w:p>
    <w:p w14:paraId="394C3576">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7</w:t>
      </w:r>
      <w:r>
        <w:rPr>
          <w:rFonts w:hint="eastAsia" w:ascii="仿宋" w:hAnsi="仿宋" w:eastAsia="仿宋" w:cs="Times New Roman"/>
          <w:sz w:val="32"/>
          <w:szCs w:val="32"/>
          <w:lang w:eastAsia="zh-CN"/>
        </w:rPr>
        <w:t>、</w:t>
      </w:r>
      <w:r>
        <w:rPr>
          <w:rFonts w:hint="eastAsia" w:ascii="仿宋" w:hAnsi="仿宋" w:eastAsia="仿宋" w:cs="Times New Roman"/>
          <w:sz w:val="32"/>
          <w:szCs w:val="32"/>
        </w:rPr>
        <w:t>会同有关部门拟订机关、事业单位人员工资收入分配政策和企业职工工资收入分配调控政策等；</w:t>
      </w:r>
    </w:p>
    <w:p w14:paraId="2F67B1E4">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rPr>
        <w:t>8、会同有关部门指导事业单位人事制度改革；</w:t>
      </w:r>
    </w:p>
    <w:p w14:paraId="6BF5CDBA">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、会同有关部门拟订劳务开发及农民工工作综合性政策和规划并推动相关政策的落实；</w:t>
      </w:r>
    </w:p>
    <w:p w14:paraId="51A20B0C">
      <w:pPr>
        <w:ind w:firstLine="707" w:firstLineChars="221"/>
        <w:rPr>
          <w:rFonts w:hint="eastAsia" w:ascii="仿宋" w:hAnsi="仿宋" w:eastAsia="仿宋" w:cs="Times New Roman"/>
          <w:sz w:val="32"/>
          <w:szCs w:val="32"/>
        </w:rPr>
      </w:pPr>
      <w:r>
        <w:rPr>
          <w:rFonts w:hint="eastAsia" w:ascii="仿宋" w:hAnsi="仿宋" w:eastAsia="仿宋" w:cs="Times New Roman"/>
          <w:sz w:val="32"/>
          <w:szCs w:val="32"/>
          <w:lang w:val="en-US" w:eastAsia="zh-CN"/>
        </w:rPr>
        <w:t>10</w:t>
      </w:r>
      <w:r>
        <w:rPr>
          <w:rFonts w:hint="eastAsia" w:ascii="仿宋" w:hAnsi="仿宋" w:eastAsia="仿宋" w:cs="Times New Roman"/>
          <w:sz w:val="32"/>
          <w:szCs w:val="32"/>
        </w:rPr>
        <w:t>、组织实施劳动、人事争议调解仲裁制度和劳动关系政策；</w:t>
      </w:r>
    </w:p>
    <w:p w14:paraId="694FAE07">
      <w:pPr>
        <w:ind w:firstLine="707" w:firstLineChars="221"/>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11、统筹推进承担行政职业的事业单位改革；</w:t>
      </w:r>
    </w:p>
    <w:p w14:paraId="0CA8F32D">
      <w:pPr>
        <w:ind w:firstLine="707" w:firstLineChars="221"/>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12、负责职责范围内的安全生产和职业健康、生态环境保护、审批服务便民化等工作；</w:t>
      </w:r>
    </w:p>
    <w:p w14:paraId="2E08316E">
      <w:pPr>
        <w:ind w:firstLine="707" w:firstLineChars="221"/>
      </w:pPr>
      <w:r>
        <w:rPr>
          <w:rFonts w:hint="eastAsia" w:ascii="仿宋" w:hAnsi="仿宋" w:eastAsia="仿宋" w:cs="Times New Roman"/>
          <w:sz w:val="32"/>
          <w:szCs w:val="32"/>
          <w:lang w:val="en-US" w:eastAsia="zh-CN"/>
        </w:rPr>
        <w:t>13、完成市委、市政府交办的其他事项。</w:t>
      </w:r>
    </w:p>
    <w:p w14:paraId="131E9411">
      <w:pPr>
        <w:pStyle w:val="4"/>
        <w:rPr>
          <w:rStyle w:val="29"/>
          <w:b w:val="0"/>
          <w:bCs w:val="0"/>
        </w:rPr>
      </w:pPr>
      <w:bookmarkStart w:id="16" w:name="_Toc15377200"/>
      <w:bookmarkStart w:id="17" w:name="_Toc15396601"/>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6"/>
      <w:bookmarkEnd w:id="17"/>
    </w:p>
    <w:p w14:paraId="35D36B7F">
      <w:pPr>
        <w:ind w:firstLine="800" w:firstLineChars="250"/>
        <w:rPr>
          <w:rFonts w:ascii="仿宋" w:hAnsi="仿宋" w:eastAsia="仿宋"/>
          <w:sz w:val="32"/>
          <w:szCs w:val="32"/>
        </w:rPr>
      </w:pPr>
      <w:r>
        <w:rPr>
          <w:rFonts w:hint="eastAsia" w:ascii="仿宋" w:hAnsi="仿宋" w:eastAsia="仿宋"/>
          <w:sz w:val="32"/>
          <w:szCs w:val="32"/>
          <w:lang w:val="en-US" w:eastAsia="zh-CN"/>
        </w:rPr>
        <w:t>峨眉山市人力资源和社会保障局</w:t>
      </w:r>
      <w:r>
        <w:rPr>
          <w:rFonts w:hint="eastAsia" w:ascii="仿宋" w:hAnsi="仿宋" w:eastAsia="仿宋"/>
          <w:sz w:val="32"/>
          <w:szCs w:val="32"/>
        </w:rPr>
        <w:t>下属二级预算单位</w:t>
      </w:r>
      <w:r>
        <w:rPr>
          <w:rFonts w:hint="eastAsia" w:ascii="仿宋" w:hAnsi="仿宋" w:eastAsia="仿宋"/>
          <w:sz w:val="32"/>
          <w:szCs w:val="32"/>
          <w:lang w:val="en-US" w:eastAsia="zh-CN"/>
        </w:rPr>
        <w:t>5</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3</w:t>
      </w:r>
      <w:r>
        <w:rPr>
          <w:rFonts w:hint="eastAsia" w:ascii="仿宋" w:hAnsi="仿宋" w:eastAsia="仿宋"/>
          <w:sz w:val="32"/>
          <w:szCs w:val="32"/>
        </w:rPr>
        <w:t>个，其他事业单位</w:t>
      </w:r>
      <w:r>
        <w:rPr>
          <w:rFonts w:hint="eastAsia" w:ascii="仿宋" w:hAnsi="仿宋" w:eastAsia="仿宋"/>
          <w:sz w:val="32"/>
          <w:szCs w:val="32"/>
          <w:lang w:val="en-US" w:eastAsia="zh-CN"/>
        </w:rPr>
        <w:t>1</w:t>
      </w:r>
      <w:r>
        <w:rPr>
          <w:rFonts w:hint="eastAsia" w:ascii="仿宋" w:hAnsi="仿宋" w:eastAsia="仿宋"/>
          <w:sz w:val="32"/>
          <w:szCs w:val="32"/>
        </w:rPr>
        <w:t>个。</w:t>
      </w:r>
    </w:p>
    <w:p w14:paraId="4142C247">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val="en-US" w:eastAsia="zh-CN"/>
        </w:rPr>
        <w:t>峨眉山市人力资源和社会保障局</w:t>
      </w:r>
      <w:r>
        <w:rPr>
          <w:rFonts w:hint="eastAsia" w:ascii="仿宋" w:hAnsi="仿宋" w:eastAsia="仿宋"/>
          <w:sz w:val="32"/>
          <w:szCs w:val="32"/>
        </w:rPr>
        <w:t>2022年度部门决算编制范围的二级预算单位包括：</w:t>
      </w:r>
    </w:p>
    <w:p w14:paraId="4A865012">
      <w:pPr>
        <w:pStyle w:val="2"/>
        <w:spacing w:before="93"/>
        <w:ind w:firstLine="707" w:firstLineChars="221"/>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1.峨眉山市人力资源和社会保障局（本级）</w:t>
      </w:r>
    </w:p>
    <w:p w14:paraId="5F7703BD">
      <w:pPr>
        <w:pStyle w:val="2"/>
        <w:spacing w:before="93"/>
        <w:ind w:firstLine="707" w:firstLineChars="221"/>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2</w:t>
      </w:r>
      <w:r>
        <w:rPr>
          <w:rFonts w:ascii="仿宋" w:hAnsi="仿宋" w:eastAsia="仿宋"/>
          <w:kern w:val="2"/>
          <w:sz w:val="32"/>
          <w:szCs w:val="32"/>
        </w:rPr>
        <w:t>.</w:t>
      </w:r>
      <w:r>
        <w:rPr>
          <w:rFonts w:hint="eastAsia" w:ascii="仿宋" w:hAnsi="仿宋" w:eastAsia="仿宋"/>
          <w:kern w:val="2"/>
          <w:sz w:val="32"/>
          <w:szCs w:val="32"/>
          <w:lang w:val="en-US" w:eastAsia="zh-CN"/>
        </w:rPr>
        <w:t>峨眉山市劳动保障监察大队</w:t>
      </w:r>
    </w:p>
    <w:p w14:paraId="236AE9C1">
      <w:pPr>
        <w:pStyle w:val="2"/>
        <w:spacing w:before="93"/>
        <w:ind w:firstLine="707" w:firstLineChars="221"/>
        <w:rPr>
          <w:rFonts w:hint="eastAsia" w:ascii="仿宋" w:hAnsi="仿宋" w:eastAsia="仿宋"/>
          <w:kern w:val="2"/>
          <w:sz w:val="32"/>
          <w:szCs w:val="32"/>
          <w:lang w:val="en-US" w:eastAsia="zh-CN"/>
        </w:rPr>
      </w:pPr>
      <w:r>
        <w:rPr>
          <w:rFonts w:hint="eastAsia" w:ascii="仿宋" w:hAnsi="仿宋" w:eastAsia="仿宋"/>
          <w:kern w:val="2"/>
          <w:sz w:val="32"/>
          <w:szCs w:val="32"/>
          <w:lang w:val="en-US" w:eastAsia="zh-CN"/>
        </w:rPr>
        <w:t>3.峨眉山市社会保险事务中心</w:t>
      </w:r>
    </w:p>
    <w:p w14:paraId="1126354C">
      <w:pPr>
        <w:pStyle w:val="2"/>
        <w:spacing w:before="93"/>
        <w:ind w:firstLine="707" w:firstLineChars="221"/>
        <w:rPr>
          <w:rFonts w:hint="default" w:ascii="仿宋" w:hAnsi="仿宋" w:eastAsia="仿宋"/>
          <w:kern w:val="2"/>
          <w:sz w:val="32"/>
          <w:szCs w:val="32"/>
          <w:lang w:val="en-US" w:eastAsia="zh-CN"/>
        </w:rPr>
      </w:pPr>
      <w:r>
        <w:rPr>
          <w:rFonts w:hint="eastAsia" w:ascii="仿宋" w:hAnsi="仿宋" w:eastAsia="仿宋"/>
          <w:kern w:val="2"/>
          <w:sz w:val="32"/>
          <w:szCs w:val="32"/>
          <w:lang w:val="en-US" w:eastAsia="zh-CN"/>
        </w:rPr>
        <w:t>4.峨眉山市就业创业促进中心</w:t>
      </w:r>
    </w:p>
    <w:p w14:paraId="51BC5C75">
      <w:pPr>
        <w:pStyle w:val="2"/>
        <w:spacing w:before="93"/>
        <w:ind w:firstLine="707" w:firstLineChars="221"/>
        <w:rPr>
          <w:rFonts w:hint="eastAsia" w:ascii="仿宋" w:hAnsi="仿宋" w:eastAsia="仿宋"/>
          <w:kern w:val="2"/>
          <w:sz w:val="32"/>
          <w:szCs w:val="32"/>
          <w:lang w:val="en-US" w:eastAsia="zh-CN"/>
        </w:rPr>
      </w:pPr>
      <w:r>
        <w:rPr>
          <w:rFonts w:hint="eastAsia" w:ascii="仿宋" w:hAnsi="仿宋" w:eastAsia="仿宋"/>
          <w:sz w:val="32"/>
          <w:szCs w:val="32"/>
          <w:lang w:val="en-US" w:eastAsia="zh-CN"/>
        </w:rPr>
        <w:t>5.</w:t>
      </w:r>
      <w:r>
        <w:rPr>
          <w:rFonts w:hint="eastAsia" w:ascii="仿宋" w:hAnsi="仿宋" w:eastAsia="仿宋"/>
          <w:kern w:val="2"/>
          <w:sz w:val="32"/>
          <w:szCs w:val="32"/>
          <w:lang w:val="en-US" w:eastAsia="zh-CN"/>
        </w:rPr>
        <w:t>峨眉山市劳动人事争议仲裁院</w:t>
      </w:r>
    </w:p>
    <w:p w14:paraId="2CD24787">
      <w:pPr>
        <w:widowControl/>
        <w:jc w:val="left"/>
        <w:rPr>
          <w:rFonts w:ascii="仿宋" w:hAnsi="仿宋" w:eastAsia="仿宋"/>
          <w:kern w:val="0"/>
          <w:sz w:val="32"/>
          <w:szCs w:val="32"/>
        </w:rPr>
      </w:pPr>
    </w:p>
    <w:p w14:paraId="49517C7C">
      <w:pPr>
        <w:pStyle w:val="3"/>
        <w:ind w:right="440"/>
        <w:jc w:val="center"/>
        <w:rPr>
          <w:rStyle w:val="28"/>
          <w:rFonts w:ascii="黑体" w:hAnsi="黑体" w:eastAsia="黑体"/>
          <w:b w:val="0"/>
          <w:bCs/>
        </w:rPr>
      </w:pPr>
      <w:bookmarkStart w:id="18" w:name="_Toc15377204"/>
      <w:bookmarkStart w:id="19" w:name="_Toc15396602"/>
      <w:r>
        <w:rPr>
          <w:rFonts w:hint="eastAsia" w:ascii="黑体" w:hAnsi="黑体" w:eastAsia="黑体"/>
          <w:b w:val="0"/>
        </w:rPr>
        <w:t>第二部分 2022年度</w:t>
      </w:r>
      <w:r>
        <w:rPr>
          <w:rStyle w:val="28"/>
          <w:rFonts w:hint="eastAsia" w:ascii="黑体" w:hAnsi="黑体" w:eastAsia="黑体"/>
          <w:b w:val="0"/>
          <w:bCs/>
        </w:rPr>
        <w:t>部门决算情况说明</w:t>
      </w:r>
      <w:bookmarkEnd w:id="18"/>
      <w:bookmarkEnd w:id="19"/>
    </w:p>
    <w:p w14:paraId="6E3F5C44"/>
    <w:p w14:paraId="287AA318">
      <w:pPr>
        <w:pStyle w:val="27"/>
        <w:numPr>
          <w:ilvl w:val="0"/>
          <w:numId w:val="1"/>
        </w:numPr>
        <w:spacing w:line="600" w:lineRule="exact"/>
        <w:ind w:firstLineChars="0"/>
        <w:outlineLvl w:val="1"/>
        <w:rPr>
          <w:rStyle w:val="29"/>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20"/>
      <w:bookmarkEnd w:id="21"/>
    </w:p>
    <w:p w14:paraId="3BC57938">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sz w:val="32"/>
          <w:szCs w:val="32"/>
        </w:rPr>
        <w:t>2022年度收、支总计</w:t>
      </w:r>
      <w:r>
        <w:rPr>
          <w:rFonts w:hint="eastAsia" w:ascii="仿宋" w:hAnsi="仿宋" w:eastAsia="仿宋"/>
          <w:sz w:val="32"/>
          <w:szCs w:val="32"/>
          <w:lang w:val="en-US" w:eastAsia="zh-CN"/>
        </w:rPr>
        <w:t>10509.03</w:t>
      </w:r>
      <w:r>
        <w:rPr>
          <w:rFonts w:hint="eastAsia" w:ascii="仿宋" w:hAnsi="仿宋" w:eastAsia="仿宋"/>
          <w:sz w:val="32"/>
          <w:szCs w:val="32"/>
        </w:rPr>
        <w:t>万元。与2021年相比，收、支总计各增加</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-2294.60</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17.92</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val="en-US" w:eastAsia="zh-CN"/>
        </w:rPr>
        <w:t>社会保险事务中心</w:t>
      </w:r>
      <w:r>
        <w:rPr>
          <w:rFonts w:hint="eastAsia" w:ascii="仿宋" w:hAnsi="仿宋" w:eastAsia="仿宋"/>
          <w:color w:val="000000"/>
          <w:sz w:val="32"/>
          <w:szCs w:val="32"/>
          <w:lang w:eastAsia="zh-CN"/>
        </w:rPr>
        <w:t>代发项目比上一年度有所</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w:t>
      </w:r>
    </w:p>
    <w:p w14:paraId="0ECDC1DC">
      <w:pPr>
        <w:pStyle w:val="2"/>
        <w:rPr>
          <w:rFonts w:hint="eastAsia"/>
          <w:lang w:eastAsia="zh-CN"/>
        </w:rPr>
      </w:pPr>
      <w:r>
        <w:rPr>
          <w:rFonts w:hint="eastAsia" w:ascii="仿宋_GB2312" w:eastAsia="仿宋_GB2312"/>
          <w:color w:val="000000"/>
          <w:sz w:val="32"/>
          <w:szCs w:val="32"/>
          <w:lang w:eastAsia="zh-CN"/>
        </w:rPr>
        <w:drawing>
          <wp:anchor distT="0" distB="0" distL="114300" distR="114300" simplePos="0" relativeHeight="251660288" behindDoc="0" locked="0" layoutInCell="1" allowOverlap="1">
            <wp:simplePos x="0" y="0"/>
            <wp:positionH relativeFrom="column">
              <wp:posOffset>85725</wp:posOffset>
            </wp:positionH>
            <wp:positionV relativeFrom="paragraph">
              <wp:posOffset>57150</wp:posOffset>
            </wp:positionV>
            <wp:extent cx="5080000" cy="2555240"/>
            <wp:effectExtent l="4445" t="4445" r="20955" b="12065"/>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09470069">
      <w:pPr>
        <w:pStyle w:val="2"/>
        <w:rPr>
          <w:rFonts w:hint="eastAsia" w:ascii="仿宋" w:hAnsi="仿宋" w:eastAsia="仿宋"/>
          <w:color w:val="000000"/>
          <w:sz w:val="32"/>
          <w:szCs w:val="32"/>
          <w:lang w:eastAsia="zh-CN"/>
        </w:rPr>
      </w:pPr>
    </w:p>
    <w:p w14:paraId="78FADF0A">
      <w:pPr>
        <w:pStyle w:val="2"/>
        <w:rPr>
          <w:rFonts w:hint="eastAsia" w:ascii="仿宋" w:hAnsi="仿宋" w:eastAsia="仿宋"/>
          <w:color w:val="000000"/>
          <w:sz w:val="32"/>
          <w:szCs w:val="32"/>
          <w:lang w:eastAsia="zh-CN"/>
        </w:rPr>
      </w:pPr>
    </w:p>
    <w:p w14:paraId="6AC0422F">
      <w:pPr>
        <w:pStyle w:val="2"/>
        <w:rPr>
          <w:rFonts w:hint="eastAsia" w:ascii="仿宋" w:hAnsi="仿宋" w:eastAsia="仿宋"/>
          <w:color w:val="000000"/>
          <w:sz w:val="32"/>
          <w:szCs w:val="32"/>
          <w:lang w:eastAsia="zh-CN"/>
        </w:rPr>
      </w:pPr>
    </w:p>
    <w:p w14:paraId="2F7D692E">
      <w:pPr>
        <w:pStyle w:val="2"/>
        <w:rPr>
          <w:rFonts w:hint="eastAsia" w:ascii="仿宋" w:hAnsi="仿宋" w:eastAsia="仿宋"/>
          <w:color w:val="000000"/>
          <w:sz w:val="32"/>
          <w:szCs w:val="32"/>
          <w:lang w:eastAsia="zh-CN"/>
        </w:rPr>
      </w:pPr>
    </w:p>
    <w:p w14:paraId="152C712A">
      <w:pPr>
        <w:pStyle w:val="2"/>
        <w:rPr>
          <w:rFonts w:hint="eastAsia" w:ascii="仿宋" w:hAnsi="仿宋" w:eastAsia="仿宋"/>
          <w:color w:val="000000"/>
          <w:sz w:val="32"/>
          <w:szCs w:val="32"/>
          <w:lang w:eastAsia="zh-CN"/>
        </w:rPr>
      </w:pPr>
    </w:p>
    <w:p w14:paraId="308847E0">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50222D22">
      <w:pPr>
        <w:pStyle w:val="27"/>
        <w:numPr>
          <w:ilvl w:val="0"/>
          <w:numId w:val="1"/>
        </w:numPr>
        <w:spacing w:line="600" w:lineRule="exact"/>
        <w:ind w:firstLineChars="0"/>
        <w:outlineLvl w:val="1"/>
        <w:rPr>
          <w:rStyle w:val="29"/>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9"/>
          <w:rFonts w:hint="eastAsia" w:ascii="黑体" w:hAnsi="黑体" w:eastAsia="黑体"/>
          <w:b w:val="0"/>
        </w:rPr>
        <w:t>入决算情况说明</w:t>
      </w:r>
      <w:bookmarkEnd w:id="22"/>
      <w:bookmarkEnd w:id="23"/>
    </w:p>
    <w:p w14:paraId="079A4E9D">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9793.41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8377.88</w:t>
      </w:r>
      <w:r>
        <w:rPr>
          <w:rFonts w:hint="eastAsia" w:ascii="仿宋" w:hAnsi="仿宋" w:eastAsia="仿宋"/>
          <w:sz w:val="32"/>
          <w:szCs w:val="32"/>
        </w:rPr>
        <w:t>万元，占</w:t>
      </w:r>
      <w:r>
        <w:rPr>
          <w:rFonts w:hint="eastAsia" w:ascii="仿宋" w:hAnsi="仿宋" w:eastAsia="仿宋"/>
          <w:sz w:val="32"/>
          <w:szCs w:val="32"/>
          <w:lang w:val="en-US" w:eastAsia="zh-CN"/>
        </w:rPr>
        <w:t>85.55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1415.53</w:t>
      </w:r>
      <w:r>
        <w:rPr>
          <w:rFonts w:hint="eastAsia" w:ascii="仿宋" w:hAnsi="仿宋" w:eastAsia="仿宋"/>
          <w:sz w:val="32"/>
          <w:szCs w:val="32"/>
        </w:rPr>
        <w:t>万元，占</w:t>
      </w:r>
      <w:r>
        <w:rPr>
          <w:rFonts w:hint="eastAsia" w:ascii="仿宋" w:hAnsi="仿宋" w:eastAsia="仿宋"/>
          <w:sz w:val="32"/>
          <w:szCs w:val="32"/>
          <w:lang w:val="en-US" w:eastAsia="zh-CN"/>
        </w:rPr>
        <w:t>14.45</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03F4B9E9">
      <w:pPr>
        <w:spacing w:line="600" w:lineRule="exact"/>
        <w:jc w:val="center"/>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2DB0524B">
      <w:pPr>
        <w:spacing w:line="600" w:lineRule="exact"/>
        <w:ind w:firstLine="640" w:firstLineChars="200"/>
        <w:rPr>
          <w:rFonts w:hint="eastAsia" w:ascii="仿宋" w:hAnsi="仿宋" w:eastAsia="仿宋"/>
          <w:sz w:val="32"/>
          <w:szCs w:val="32"/>
        </w:rPr>
      </w:pPr>
      <w:r>
        <w:rPr>
          <w:rFonts w:hint="eastAsia" w:ascii="仿宋" w:hAnsi="仿宋" w:eastAsia="仿宋"/>
          <w:color w:val="000000"/>
          <w:sz w:val="32"/>
          <w:szCs w:val="32"/>
          <w:lang w:eastAsia="zh-CN"/>
        </w:rPr>
        <w:drawing>
          <wp:anchor distT="0" distB="0" distL="114300" distR="114300" simplePos="0" relativeHeight="251661312" behindDoc="0" locked="0" layoutInCell="1" allowOverlap="1">
            <wp:simplePos x="0" y="0"/>
            <wp:positionH relativeFrom="column">
              <wp:posOffset>-9525</wp:posOffset>
            </wp:positionH>
            <wp:positionV relativeFrom="paragraph">
              <wp:posOffset>133350</wp:posOffset>
            </wp:positionV>
            <wp:extent cx="5241290" cy="2562225"/>
            <wp:effectExtent l="4445" t="4445" r="12065" b="508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D4B37A5">
      <w:pPr>
        <w:spacing w:line="600" w:lineRule="exact"/>
        <w:ind w:firstLine="640" w:firstLineChars="200"/>
        <w:rPr>
          <w:rFonts w:hint="eastAsia" w:ascii="仿宋" w:hAnsi="仿宋" w:eastAsia="仿宋"/>
          <w:sz w:val="32"/>
          <w:szCs w:val="32"/>
        </w:rPr>
      </w:pPr>
    </w:p>
    <w:p w14:paraId="7F41E984">
      <w:pPr>
        <w:spacing w:line="600" w:lineRule="exact"/>
        <w:ind w:firstLine="640" w:firstLineChars="200"/>
        <w:rPr>
          <w:rFonts w:hint="eastAsia" w:ascii="仿宋" w:hAnsi="仿宋" w:eastAsia="仿宋"/>
          <w:sz w:val="32"/>
          <w:szCs w:val="32"/>
        </w:rPr>
      </w:pPr>
    </w:p>
    <w:p w14:paraId="06AB42D8">
      <w:pPr>
        <w:spacing w:line="600" w:lineRule="exact"/>
        <w:ind w:firstLine="640" w:firstLineChars="200"/>
        <w:rPr>
          <w:rFonts w:hint="eastAsia" w:ascii="仿宋" w:hAnsi="仿宋" w:eastAsia="仿宋"/>
          <w:sz w:val="32"/>
          <w:szCs w:val="32"/>
        </w:rPr>
      </w:pPr>
    </w:p>
    <w:p w14:paraId="1B62A399">
      <w:pPr>
        <w:spacing w:line="600" w:lineRule="exact"/>
        <w:ind w:firstLine="640" w:firstLineChars="200"/>
        <w:rPr>
          <w:rFonts w:hint="eastAsia" w:ascii="仿宋" w:hAnsi="仿宋" w:eastAsia="仿宋"/>
          <w:sz w:val="32"/>
          <w:szCs w:val="32"/>
        </w:rPr>
      </w:pPr>
    </w:p>
    <w:p w14:paraId="041C825B">
      <w:pPr>
        <w:spacing w:line="600" w:lineRule="exact"/>
        <w:ind w:firstLine="640" w:firstLineChars="200"/>
        <w:rPr>
          <w:rFonts w:hint="eastAsia" w:ascii="仿宋" w:hAnsi="仿宋" w:eastAsia="仿宋"/>
          <w:sz w:val="32"/>
          <w:szCs w:val="32"/>
        </w:rPr>
      </w:pPr>
    </w:p>
    <w:p w14:paraId="7AF07960">
      <w:pPr>
        <w:spacing w:line="600" w:lineRule="exact"/>
        <w:ind w:firstLine="640" w:firstLineChars="200"/>
        <w:rPr>
          <w:rFonts w:hint="eastAsia" w:ascii="仿宋" w:hAnsi="仿宋" w:eastAsia="仿宋"/>
          <w:sz w:val="32"/>
          <w:szCs w:val="32"/>
        </w:rPr>
      </w:pPr>
    </w:p>
    <w:p w14:paraId="0C3F6020">
      <w:pPr>
        <w:spacing w:line="600" w:lineRule="exact"/>
        <w:ind w:firstLine="640" w:firstLineChars="200"/>
        <w:rPr>
          <w:rFonts w:ascii="仿宋_GB2312" w:eastAsia="仿宋_GB2312"/>
          <w:sz w:val="32"/>
          <w:szCs w:val="32"/>
        </w:rPr>
      </w:pPr>
      <w:r>
        <w:rPr>
          <w:rFonts w:hint="eastAsia" w:ascii="仿宋" w:hAnsi="仿宋" w:eastAsia="仿宋"/>
          <w:sz w:val="32"/>
          <w:szCs w:val="32"/>
        </w:rPr>
        <w:t>（图2：收入决算结构图）（饼状图）</w:t>
      </w:r>
    </w:p>
    <w:p w14:paraId="40565542">
      <w:pPr>
        <w:pStyle w:val="27"/>
        <w:numPr>
          <w:ilvl w:val="0"/>
          <w:numId w:val="1"/>
        </w:numPr>
        <w:spacing w:line="600" w:lineRule="exact"/>
        <w:ind w:firstLineChars="0"/>
        <w:outlineLvl w:val="1"/>
        <w:rPr>
          <w:rStyle w:val="29"/>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9"/>
          <w:rFonts w:hint="eastAsia" w:ascii="黑体" w:hAnsi="黑体" w:eastAsia="黑体"/>
          <w:b w:val="0"/>
        </w:rPr>
        <w:t>出决算情况说明</w:t>
      </w:r>
      <w:bookmarkEnd w:id="24"/>
      <w:bookmarkEnd w:id="25"/>
    </w:p>
    <w:p w14:paraId="05C3637F">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10509.03</w:t>
      </w:r>
      <w:r>
        <w:rPr>
          <w:rFonts w:hint="eastAsia" w:ascii="仿宋" w:hAnsi="仿宋" w:eastAsia="仿宋"/>
          <w:sz w:val="32"/>
          <w:szCs w:val="32"/>
        </w:rPr>
        <w:t>万元，其中：基本支出</w:t>
      </w:r>
      <w:r>
        <w:rPr>
          <w:rFonts w:hint="eastAsia" w:ascii="仿宋" w:hAnsi="仿宋" w:eastAsia="仿宋"/>
          <w:sz w:val="32"/>
          <w:szCs w:val="32"/>
          <w:lang w:val="en-US" w:eastAsia="zh-CN"/>
        </w:rPr>
        <w:t>1506.08</w:t>
      </w:r>
      <w:r>
        <w:rPr>
          <w:rFonts w:hint="eastAsia" w:ascii="仿宋" w:hAnsi="仿宋" w:eastAsia="仿宋"/>
          <w:sz w:val="32"/>
          <w:szCs w:val="32"/>
        </w:rPr>
        <w:t>万元，占</w:t>
      </w:r>
      <w:r>
        <w:rPr>
          <w:rFonts w:hint="eastAsia" w:ascii="仿宋" w:hAnsi="仿宋" w:eastAsia="仿宋"/>
          <w:sz w:val="32"/>
          <w:szCs w:val="32"/>
          <w:lang w:val="en-US" w:eastAsia="zh-CN"/>
        </w:rPr>
        <w:t>14.33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9002.95</w:t>
      </w:r>
      <w:r>
        <w:rPr>
          <w:rFonts w:hint="eastAsia" w:ascii="仿宋" w:hAnsi="仿宋" w:eastAsia="仿宋"/>
          <w:sz w:val="32"/>
          <w:szCs w:val="32"/>
        </w:rPr>
        <w:t>万元，占</w:t>
      </w:r>
      <w:r>
        <w:rPr>
          <w:rFonts w:hint="eastAsia" w:ascii="仿宋" w:hAnsi="仿宋" w:eastAsia="仿宋"/>
          <w:sz w:val="32"/>
          <w:szCs w:val="32"/>
          <w:lang w:val="en-US" w:eastAsia="zh-CN"/>
        </w:rPr>
        <w:t>85.67</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14:paraId="590A3719">
      <w:pPr>
        <w:spacing w:line="600" w:lineRule="exact"/>
        <w:jc w:val="center"/>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2CDB0045">
      <w:pPr>
        <w:spacing w:line="600" w:lineRule="exact"/>
        <w:ind w:firstLine="640"/>
        <w:rPr>
          <w:rFonts w:ascii="仿宋" w:hAnsi="仿宋" w:eastAsia="仿宋"/>
          <w:sz w:val="32"/>
          <w:szCs w:val="32"/>
          <w:shd w:val="pct10" w:color="auto" w:fill="FFFFFF"/>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161925</wp:posOffset>
            </wp:positionH>
            <wp:positionV relativeFrom="paragraph">
              <wp:posOffset>38100</wp:posOffset>
            </wp:positionV>
            <wp:extent cx="5080000" cy="2613660"/>
            <wp:effectExtent l="4445" t="4445" r="20955" b="1079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EF1C774">
      <w:pPr>
        <w:pStyle w:val="2"/>
        <w:rPr>
          <w:rFonts w:ascii="仿宋" w:hAnsi="仿宋" w:eastAsia="仿宋"/>
          <w:sz w:val="32"/>
          <w:szCs w:val="32"/>
          <w:shd w:val="pct10" w:color="auto" w:fill="FFFFFF"/>
        </w:rPr>
      </w:pPr>
    </w:p>
    <w:p w14:paraId="47772FB8">
      <w:pPr>
        <w:pStyle w:val="2"/>
        <w:rPr>
          <w:rFonts w:ascii="仿宋" w:hAnsi="仿宋" w:eastAsia="仿宋"/>
          <w:sz w:val="32"/>
          <w:szCs w:val="32"/>
          <w:shd w:val="pct10" w:color="auto" w:fill="FFFFFF"/>
        </w:rPr>
      </w:pPr>
    </w:p>
    <w:p w14:paraId="0D7F45E3">
      <w:pPr>
        <w:pStyle w:val="2"/>
        <w:rPr>
          <w:rFonts w:ascii="仿宋" w:hAnsi="仿宋" w:eastAsia="仿宋"/>
          <w:sz w:val="32"/>
          <w:szCs w:val="32"/>
          <w:shd w:val="pct10" w:color="auto" w:fill="FFFFFF"/>
        </w:rPr>
      </w:pPr>
    </w:p>
    <w:p w14:paraId="3AAAB57F">
      <w:pPr>
        <w:pStyle w:val="2"/>
        <w:rPr>
          <w:rFonts w:ascii="仿宋" w:hAnsi="仿宋" w:eastAsia="仿宋"/>
          <w:sz w:val="32"/>
          <w:szCs w:val="32"/>
          <w:shd w:val="pct10" w:color="auto" w:fill="FFFFFF"/>
        </w:rPr>
      </w:pPr>
    </w:p>
    <w:p w14:paraId="19433E82">
      <w:pPr>
        <w:spacing w:line="600" w:lineRule="exact"/>
        <w:ind w:firstLine="640" w:firstLineChars="200"/>
        <w:rPr>
          <w:rFonts w:hint="eastAsia" w:ascii="仿宋" w:hAnsi="仿宋" w:eastAsia="仿宋"/>
          <w:sz w:val="32"/>
          <w:szCs w:val="32"/>
        </w:rPr>
      </w:pPr>
    </w:p>
    <w:p w14:paraId="3982A2A0">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405B81BE">
      <w:pPr>
        <w:spacing w:line="600" w:lineRule="exact"/>
        <w:ind w:firstLine="640" w:firstLineChars="200"/>
        <w:outlineLvl w:val="1"/>
        <w:rPr>
          <w:rStyle w:val="29"/>
          <w:rFonts w:ascii="黑体" w:hAnsi="黑体" w:eastAsia="黑体"/>
          <w:b w:val="0"/>
        </w:rPr>
      </w:pPr>
      <w:bookmarkStart w:id="26" w:name="_Toc15377208"/>
      <w:bookmarkStart w:id="27"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6"/>
      <w:bookmarkEnd w:id="27"/>
    </w:p>
    <w:p w14:paraId="30ED29BC">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10509.03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-2282.67</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17.84</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sz w:val="32"/>
          <w:szCs w:val="32"/>
          <w:lang w:val="en-US" w:eastAsia="zh-CN"/>
        </w:rPr>
        <w:t>社会保险事务中心</w:t>
      </w:r>
      <w:r>
        <w:rPr>
          <w:rFonts w:hint="eastAsia" w:ascii="仿宋" w:hAnsi="仿宋" w:eastAsia="仿宋"/>
          <w:color w:val="000000"/>
          <w:sz w:val="32"/>
          <w:szCs w:val="32"/>
          <w:lang w:eastAsia="zh-CN"/>
        </w:rPr>
        <w:t>代发项目比上一年度有所</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w:t>
      </w:r>
    </w:p>
    <w:p w14:paraId="394F55E8">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1722F636">
      <w:pPr>
        <w:spacing w:line="600" w:lineRule="exact"/>
        <w:rPr>
          <w:rFonts w:ascii="仿宋" w:hAnsi="仿宋" w:eastAsia="仿宋"/>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161925</wp:posOffset>
            </wp:positionH>
            <wp:positionV relativeFrom="paragraph">
              <wp:posOffset>104775</wp:posOffset>
            </wp:positionV>
            <wp:extent cx="5080000" cy="3671570"/>
            <wp:effectExtent l="4445" t="4445" r="20955" b="1968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3414304">
      <w:pPr>
        <w:pStyle w:val="2"/>
        <w:rPr>
          <w:rFonts w:ascii="仿宋" w:hAnsi="仿宋" w:eastAsia="仿宋"/>
          <w:sz w:val="32"/>
          <w:szCs w:val="32"/>
        </w:rPr>
      </w:pPr>
    </w:p>
    <w:p w14:paraId="0552C9C1">
      <w:pPr>
        <w:pStyle w:val="2"/>
        <w:rPr>
          <w:rFonts w:ascii="仿宋" w:hAnsi="仿宋" w:eastAsia="仿宋"/>
          <w:sz w:val="32"/>
          <w:szCs w:val="32"/>
        </w:rPr>
      </w:pPr>
    </w:p>
    <w:p w14:paraId="4205234D">
      <w:pPr>
        <w:pStyle w:val="2"/>
        <w:rPr>
          <w:rFonts w:ascii="仿宋" w:hAnsi="仿宋" w:eastAsia="仿宋"/>
          <w:sz w:val="32"/>
          <w:szCs w:val="32"/>
        </w:rPr>
      </w:pPr>
    </w:p>
    <w:p w14:paraId="583A58AE">
      <w:pPr>
        <w:pStyle w:val="2"/>
        <w:rPr>
          <w:rFonts w:ascii="仿宋" w:hAnsi="仿宋" w:eastAsia="仿宋"/>
          <w:sz w:val="32"/>
          <w:szCs w:val="32"/>
        </w:rPr>
      </w:pPr>
    </w:p>
    <w:p w14:paraId="2D8F90A9">
      <w:pPr>
        <w:pStyle w:val="2"/>
        <w:rPr>
          <w:rFonts w:ascii="仿宋" w:hAnsi="仿宋" w:eastAsia="仿宋"/>
          <w:sz w:val="32"/>
          <w:szCs w:val="32"/>
        </w:rPr>
      </w:pPr>
    </w:p>
    <w:p w14:paraId="7161BF57">
      <w:pPr>
        <w:spacing w:line="600" w:lineRule="exact"/>
        <w:ind w:firstLine="640" w:firstLineChars="200"/>
        <w:rPr>
          <w:rFonts w:hint="eastAsia" w:ascii="仿宋" w:hAnsi="仿宋" w:eastAsia="仿宋"/>
          <w:sz w:val="32"/>
          <w:szCs w:val="32"/>
        </w:rPr>
      </w:pPr>
    </w:p>
    <w:p w14:paraId="40EB9AC2">
      <w:pPr>
        <w:spacing w:line="600" w:lineRule="exact"/>
        <w:ind w:firstLine="640" w:firstLineChars="200"/>
        <w:rPr>
          <w:rFonts w:hint="eastAsia" w:ascii="仿宋" w:hAnsi="仿宋" w:eastAsia="仿宋"/>
          <w:sz w:val="32"/>
          <w:szCs w:val="32"/>
        </w:rPr>
      </w:pPr>
    </w:p>
    <w:p w14:paraId="150C82E0">
      <w:pPr>
        <w:spacing w:line="600" w:lineRule="exact"/>
        <w:ind w:firstLine="640" w:firstLineChars="200"/>
        <w:rPr>
          <w:rFonts w:hint="eastAsia" w:ascii="仿宋" w:hAnsi="仿宋" w:eastAsia="仿宋"/>
          <w:sz w:val="32"/>
          <w:szCs w:val="32"/>
        </w:rPr>
      </w:pPr>
    </w:p>
    <w:p w14:paraId="1F7EE9DD">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14:paraId="16EE09FD">
      <w:pPr>
        <w:spacing w:line="600" w:lineRule="exact"/>
        <w:ind w:firstLine="640" w:firstLineChars="200"/>
        <w:outlineLvl w:val="1"/>
        <w:rPr>
          <w:rStyle w:val="29"/>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8"/>
      <w:bookmarkEnd w:id="29"/>
    </w:p>
    <w:p w14:paraId="414FD5F7">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14:paraId="4D1F6A9B">
      <w:pPr>
        <w:spacing w:line="600" w:lineRule="exact"/>
        <w:ind w:firstLine="640" w:firstLineChars="200"/>
        <w:rPr>
          <w:rFonts w:hint="eastAsia" w:ascii="仿宋" w:hAnsi="仿宋" w:eastAsia="仿宋"/>
          <w:color w:val="000000"/>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9093.50</w:t>
      </w:r>
      <w:r>
        <w:rPr>
          <w:rFonts w:hint="eastAsia" w:ascii="仿宋" w:hAnsi="仿宋" w:eastAsia="仿宋"/>
          <w:sz w:val="32"/>
          <w:szCs w:val="32"/>
        </w:rPr>
        <w:t>万元，占本年支出合计的</w:t>
      </w:r>
      <w:r>
        <w:rPr>
          <w:rFonts w:hint="eastAsia" w:ascii="仿宋" w:hAnsi="仿宋" w:eastAsia="仿宋"/>
          <w:sz w:val="32"/>
          <w:szCs w:val="32"/>
          <w:lang w:val="en-US" w:eastAsia="zh-CN"/>
        </w:rPr>
        <w:t>86.53</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ascii="仿宋" w:hAnsi="仿宋" w:eastAsia="仿宋"/>
          <w:sz w:val="32"/>
          <w:szCs w:val="32"/>
        </w:rPr>
        <w:t>/</w:t>
      </w:r>
      <w:r>
        <w:rPr>
          <w:rFonts w:hint="eastAsia" w:ascii="仿宋" w:hAnsi="仿宋" w:eastAsia="仿宋"/>
          <w:sz w:val="32"/>
          <w:szCs w:val="32"/>
        </w:rPr>
        <w:t>减少</w:t>
      </w:r>
      <w:r>
        <w:rPr>
          <w:rFonts w:hint="eastAsia" w:ascii="仿宋" w:hAnsi="仿宋" w:eastAsia="仿宋"/>
          <w:sz w:val="32"/>
          <w:szCs w:val="32"/>
          <w:lang w:val="en-US" w:eastAsia="zh-CN"/>
        </w:rPr>
        <w:t>-656.80</w:t>
      </w:r>
      <w:r>
        <w:rPr>
          <w:rFonts w:hint="eastAsia" w:ascii="仿宋" w:hAnsi="仿宋" w:eastAsia="仿宋"/>
          <w:sz w:val="32"/>
          <w:szCs w:val="32"/>
        </w:rPr>
        <w:t>万元，增长</w:t>
      </w:r>
      <w:r>
        <w:rPr>
          <w:rFonts w:ascii="仿宋" w:hAnsi="仿宋" w:eastAsia="仿宋"/>
          <w:sz w:val="32"/>
          <w:szCs w:val="32"/>
        </w:rPr>
        <w:t>/</w:t>
      </w:r>
      <w:r>
        <w:rPr>
          <w:rFonts w:hint="eastAsia" w:ascii="仿宋" w:hAnsi="仿宋" w:eastAsia="仿宋"/>
          <w:sz w:val="32"/>
          <w:szCs w:val="32"/>
        </w:rPr>
        <w:t>下降</w:t>
      </w:r>
      <w:r>
        <w:rPr>
          <w:rFonts w:hint="eastAsia" w:ascii="仿宋" w:hAnsi="仿宋" w:eastAsia="仿宋"/>
          <w:sz w:val="32"/>
          <w:szCs w:val="32"/>
          <w:lang w:val="en-US" w:eastAsia="zh-CN"/>
        </w:rPr>
        <w:t>6.74</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b w:val="0"/>
          <w:bCs w:val="0"/>
          <w:sz w:val="32"/>
          <w:szCs w:val="32"/>
          <w:lang w:val="en-US" w:eastAsia="zh-CN"/>
        </w:rPr>
        <w:t>社会保险事务中心</w:t>
      </w:r>
      <w:r>
        <w:rPr>
          <w:rFonts w:hint="eastAsia" w:ascii="仿宋" w:hAnsi="仿宋" w:eastAsia="仿宋"/>
          <w:color w:val="000000"/>
          <w:sz w:val="32"/>
          <w:szCs w:val="32"/>
          <w:lang w:eastAsia="zh-CN"/>
        </w:rPr>
        <w:t>代发项目比上一年度</w:t>
      </w:r>
      <w:r>
        <w:rPr>
          <w:rFonts w:hint="eastAsia" w:ascii="仿宋" w:hAnsi="仿宋" w:eastAsia="仿宋"/>
          <w:color w:val="000000"/>
          <w:sz w:val="32"/>
          <w:szCs w:val="32"/>
          <w:lang w:val="en-US" w:eastAsia="zh-CN"/>
        </w:rPr>
        <w:t>减少</w:t>
      </w:r>
      <w:r>
        <w:rPr>
          <w:rFonts w:hint="eastAsia" w:ascii="仿宋" w:hAnsi="仿宋" w:eastAsia="仿宋"/>
          <w:color w:val="000000"/>
          <w:sz w:val="32"/>
          <w:szCs w:val="32"/>
          <w:lang w:eastAsia="zh-CN"/>
        </w:rPr>
        <w:t>。</w:t>
      </w:r>
    </w:p>
    <w:p w14:paraId="5624AD68">
      <w:pPr>
        <w:pStyle w:val="2"/>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anchor distT="0" distB="0" distL="114300" distR="114300" simplePos="0" relativeHeight="251664384" behindDoc="0" locked="0" layoutInCell="1" allowOverlap="1">
            <wp:simplePos x="0" y="0"/>
            <wp:positionH relativeFrom="column">
              <wp:posOffset>9525</wp:posOffset>
            </wp:positionH>
            <wp:positionV relativeFrom="paragraph">
              <wp:posOffset>76835</wp:posOffset>
            </wp:positionV>
            <wp:extent cx="5080000" cy="2686685"/>
            <wp:effectExtent l="4445" t="4445" r="20955" b="1397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9CA677D">
      <w:pPr>
        <w:pStyle w:val="2"/>
        <w:rPr>
          <w:rFonts w:hint="eastAsia" w:ascii="仿宋" w:hAnsi="仿宋" w:eastAsia="仿宋"/>
          <w:color w:val="000000"/>
          <w:sz w:val="32"/>
          <w:szCs w:val="32"/>
          <w:lang w:eastAsia="zh-CN"/>
        </w:rPr>
      </w:pPr>
    </w:p>
    <w:p w14:paraId="42F5BC5C">
      <w:pPr>
        <w:spacing w:line="600" w:lineRule="exact"/>
        <w:jc w:val="center"/>
        <w:rPr>
          <w:rFonts w:hint="eastAsia" w:ascii="仿宋" w:hAnsi="仿宋" w:eastAsia="仿宋"/>
          <w:sz w:val="32"/>
          <w:szCs w:val="32"/>
        </w:rPr>
      </w:pPr>
    </w:p>
    <w:p w14:paraId="626281F4">
      <w:pPr>
        <w:spacing w:line="600" w:lineRule="exact"/>
        <w:jc w:val="center"/>
        <w:rPr>
          <w:rFonts w:hint="eastAsia" w:ascii="仿宋" w:hAnsi="仿宋" w:eastAsia="仿宋"/>
          <w:sz w:val="32"/>
          <w:szCs w:val="32"/>
        </w:rPr>
      </w:pPr>
    </w:p>
    <w:p w14:paraId="781058A5">
      <w:pPr>
        <w:spacing w:line="600" w:lineRule="exact"/>
        <w:jc w:val="center"/>
        <w:rPr>
          <w:rFonts w:hint="eastAsia" w:ascii="仿宋" w:hAnsi="仿宋" w:eastAsia="仿宋"/>
          <w:sz w:val="32"/>
          <w:szCs w:val="32"/>
        </w:rPr>
      </w:pPr>
    </w:p>
    <w:p w14:paraId="0DB99243">
      <w:pPr>
        <w:spacing w:line="600" w:lineRule="exact"/>
        <w:jc w:val="center"/>
        <w:rPr>
          <w:rFonts w:hint="eastAsia" w:ascii="仿宋" w:hAnsi="仿宋" w:eastAsia="仿宋"/>
          <w:sz w:val="32"/>
          <w:szCs w:val="32"/>
        </w:rPr>
      </w:pPr>
    </w:p>
    <w:p w14:paraId="5EF4DE5E">
      <w:pPr>
        <w:spacing w:line="600" w:lineRule="exact"/>
        <w:jc w:val="center"/>
        <w:rPr>
          <w:rFonts w:hint="eastAsia" w:ascii="仿宋" w:hAnsi="仿宋" w:eastAsia="仿宋"/>
          <w:sz w:val="32"/>
          <w:szCs w:val="32"/>
        </w:rPr>
      </w:pPr>
    </w:p>
    <w:p w14:paraId="22FD0B0E">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670F251">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14:paraId="299FB79C">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9093.50</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8963.58</w:t>
      </w:r>
      <w:r>
        <w:rPr>
          <w:rFonts w:hint="eastAsia" w:ascii="仿宋" w:hAnsi="仿宋" w:eastAsia="仿宋"/>
          <w:sz w:val="32"/>
          <w:szCs w:val="32"/>
        </w:rPr>
        <w:t>万元，占</w:t>
      </w:r>
      <w:r>
        <w:rPr>
          <w:rFonts w:hint="eastAsia" w:ascii="仿宋" w:hAnsi="仿宋" w:eastAsia="仿宋"/>
          <w:sz w:val="32"/>
          <w:szCs w:val="32"/>
          <w:lang w:val="en-US" w:eastAsia="zh-CN"/>
        </w:rPr>
        <w:t>98.57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30.30</w:t>
      </w:r>
      <w:r>
        <w:rPr>
          <w:rFonts w:hint="eastAsia" w:ascii="仿宋" w:hAnsi="仿宋" w:eastAsia="仿宋"/>
          <w:sz w:val="32"/>
          <w:szCs w:val="32"/>
        </w:rPr>
        <w:t>万元，占</w:t>
      </w:r>
      <w:r>
        <w:rPr>
          <w:rFonts w:hint="eastAsia" w:ascii="仿宋" w:hAnsi="仿宋" w:eastAsia="仿宋"/>
          <w:sz w:val="32"/>
          <w:szCs w:val="32"/>
          <w:lang w:val="en-US" w:eastAsia="zh-CN"/>
        </w:rPr>
        <w:t>0.33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99.62</w:t>
      </w:r>
      <w:r>
        <w:rPr>
          <w:rFonts w:hint="eastAsia" w:ascii="仿宋" w:hAnsi="仿宋" w:eastAsia="仿宋"/>
          <w:sz w:val="32"/>
          <w:szCs w:val="32"/>
        </w:rPr>
        <w:t>万元，占</w:t>
      </w:r>
      <w:r>
        <w:rPr>
          <w:rFonts w:hint="eastAsia" w:ascii="仿宋" w:hAnsi="仿宋" w:eastAsia="仿宋"/>
          <w:sz w:val="32"/>
          <w:szCs w:val="32"/>
          <w:lang w:val="en-US" w:eastAsia="zh-CN"/>
        </w:rPr>
        <w:t>1.1</w:t>
      </w:r>
      <w:r>
        <w:rPr>
          <w:rFonts w:ascii="仿宋" w:hAnsi="仿宋" w:eastAsia="仿宋"/>
          <w:sz w:val="32"/>
          <w:szCs w:val="32"/>
        </w:rPr>
        <w:t>%</w:t>
      </w:r>
      <w:r>
        <w:rPr>
          <w:rFonts w:hint="eastAsia" w:ascii="仿宋" w:hAnsi="仿宋" w:eastAsia="仿宋"/>
          <w:sz w:val="32"/>
          <w:szCs w:val="32"/>
        </w:rPr>
        <w:t>。</w:t>
      </w:r>
    </w:p>
    <w:p w14:paraId="2E6BFE28">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14:paraId="226956F3">
      <w:pPr>
        <w:spacing w:line="600" w:lineRule="exact"/>
        <w:ind w:firstLine="640"/>
        <w:rPr>
          <w:rFonts w:ascii="仿宋" w:hAnsi="仿宋" w:eastAsia="仿宋"/>
          <w:sz w:val="32"/>
          <w:szCs w:val="32"/>
        </w:rPr>
      </w:pPr>
      <w:r>
        <w:rPr>
          <w:rFonts w:hint="default" w:ascii="仿宋" w:hAnsi="仿宋" w:eastAsia="仿宋"/>
          <w:color w:val="000000"/>
          <w:sz w:val="32"/>
          <w:szCs w:val="32"/>
          <w:lang w:val="en-US"/>
        </w:rPr>
        <w:drawing>
          <wp:anchor distT="0" distB="0" distL="114300" distR="114300" simplePos="0" relativeHeight="251665408" behindDoc="0" locked="0" layoutInCell="1" allowOverlap="1">
            <wp:simplePos x="0" y="0"/>
            <wp:positionH relativeFrom="column">
              <wp:posOffset>161925</wp:posOffset>
            </wp:positionH>
            <wp:positionV relativeFrom="paragraph">
              <wp:posOffset>90805</wp:posOffset>
            </wp:positionV>
            <wp:extent cx="5080000" cy="2554605"/>
            <wp:effectExtent l="4445" t="4445" r="20955" b="1270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2B57A9B4">
      <w:pPr>
        <w:pStyle w:val="2"/>
        <w:rPr>
          <w:rFonts w:ascii="仿宋" w:hAnsi="仿宋" w:eastAsia="仿宋"/>
          <w:sz w:val="32"/>
          <w:szCs w:val="32"/>
        </w:rPr>
      </w:pPr>
    </w:p>
    <w:p w14:paraId="7C46EA4F">
      <w:pPr>
        <w:pStyle w:val="2"/>
        <w:rPr>
          <w:rFonts w:ascii="仿宋" w:hAnsi="仿宋" w:eastAsia="仿宋"/>
          <w:sz w:val="32"/>
          <w:szCs w:val="32"/>
        </w:rPr>
      </w:pPr>
    </w:p>
    <w:p w14:paraId="7DDC94AF">
      <w:pPr>
        <w:pStyle w:val="2"/>
        <w:rPr>
          <w:rFonts w:ascii="仿宋" w:hAnsi="仿宋" w:eastAsia="仿宋"/>
          <w:sz w:val="32"/>
          <w:szCs w:val="32"/>
        </w:rPr>
      </w:pPr>
    </w:p>
    <w:p w14:paraId="7E1D9C91">
      <w:pPr>
        <w:pStyle w:val="2"/>
        <w:rPr>
          <w:rFonts w:ascii="仿宋" w:hAnsi="仿宋" w:eastAsia="仿宋"/>
          <w:sz w:val="32"/>
          <w:szCs w:val="32"/>
        </w:rPr>
      </w:pPr>
    </w:p>
    <w:p w14:paraId="38A6D5EF">
      <w:pPr>
        <w:pStyle w:val="2"/>
        <w:rPr>
          <w:rFonts w:ascii="仿宋" w:hAnsi="仿宋" w:eastAsia="仿宋"/>
          <w:sz w:val="32"/>
          <w:szCs w:val="32"/>
        </w:rPr>
      </w:pPr>
    </w:p>
    <w:p w14:paraId="09FD3E44">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5AC2FC55">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14:paraId="58133925">
      <w:pPr>
        <w:spacing w:line="600" w:lineRule="exact"/>
        <w:ind w:firstLine="643" w:firstLineChars="200"/>
        <w:outlineLvl w:val="2"/>
        <w:rPr>
          <w:rFonts w:ascii="仿宋" w:hAnsi="仿宋" w:eastAsia="仿宋"/>
          <w:sz w:val="32"/>
          <w:szCs w:val="32"/>
        </w:rPr>
      </w:pPr>
      <w:bookmarkStart w:id="33" w:name="_Toc15377213"/>
      <w:bookmarkStart w:id="34" w:name="_Toc15378460"/>
      <w:bookmarkStart w:id="35"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9093.50</w:t>
      </w:r>
      <w:r>
        <w:rPr>
          <w:rFonts w:hint="eastAsia" w:ascii="仿宋" w:hAnsi="仿宋" w:eastAsia="仿宋"/>
          <w:sz w:val="32"/>
          <w:szCs w:val="32"/>
        </w:rPr>
        <w:t>，</w:t>
      </w:r>
      <w:r>
        <w:rPr>
          <w:rStyle w:val="17"/>
          <w:rFonts w:hint="eastAsia" w:ascii="仿宋" w:hAnsi="仿宋" w:eastAsia="仿宋"/>
          <w:bCs/>
          <w:sz w:val="32"/>
          <w:szCs w:val="32"/>
        </w:rPr>
        <w:t>完成预算</w:t>
      </w:r>
      <w:r>
        <w:rPr>
          <w:rStyle w:val="17"/>
          <w:rFonts w:hint="eastAsia" w:ascii="仿宋" w:hAnsi="仿宋" w:eastAsia="仿宋"/>
          <w:bCs/>
          <w:sz w:val="32"/>
          <w:szCs w:val="32"/>
          <w:lang w:val="en-US" w:eastAsia="zh-CN"/>
        </w:rPr>
        <w:t>100</w:t>
      </w:r>
      <w:r>
        <w:rPr>
          <w:rStyle w:val="17"/>
          <w:rFonts w:ascii="仿宋" w:hAnsi="仿宋" w:eastAsia="仿宋"/>
          <w:bCs/>
          <w:sz w:val="32"/>
          <w:szCs w:val="32"/>
        </w:rPr>
        <w:t>%</w:t>
      </w:r>
      <w:r>
        <w:rPr>
          <w:rStyle w:val="17"/>
          <w:rFonts w:hint="eastAsia" w:ascii="仿宋" w:hAnsi="仿宋" w:eastAsia="仿宋"/>
          <w:bCs/>
          <w:sz w:val="32"/>
          <w:szCs w:val="32"/>
        </w:rPr>
        <w:t>。其中：</w:t>
      </w:r>
      <w:bookmarkEnd w:id="33"/>
      <w:bookmarkEnd w:id="34"/>
      <w:bookmarkEnd w:id="35"/>
    </w:p>
    <w:p w14:paraId="586E7D9B">
      <w:pPr>
        <w:spacing w:line="600" w:lineRule="exact"/>
        <w:ind w:firstLine="643" w:firstLineChars="200"/>
        <w:rPr>
          <w:rStyle w:val="17"/>
          <w:rFonts w:hint="default" w:ascii="仿宋" w:hAnsi="仿宋" w:eastAsia="仿宋"/>
          <w:b w:val="0"/>
          <w:bCs/>
          <w:sz w:val="32"/>
          <w:szCs w:val="32"/>
          <w:lang w:val="en-US" w:eastAsia="zh-CN"/>
        </w:rPr>
      </w:pPr>
      <w:r>
        <w:rPr>
          <w:rStyle w:val="17"/>
          <w:rFonts w:hint="eastAsia" w:ascii="仿宋" w:hAnsi="仿宋" w:eastAsia="仿宋"/>
          <w:bCs/>
          <w:sz w:val="32"/>
          <w:szCs w:val="32"/>
          <w:lang w:val="en-US" w:eastAsia="zh-CN"/>
        </w:rPr>
        <w:t>1</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人力资源和社会保障管理事务</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行政运行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575.23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6FDA5E11">
      <w:pPr>
        <w:pStyle w:val="2"/>
        <w:ind w:firstLine="643" w:firstLineChars="200"/>
        <w:rPr>
          <w:rStyle w:val="17"/>
          <w:rFonts w:hint="eastAsia" w:ascii="仿宋" w:hAnsi="仿宋" w:eastAsia="仿宋"/>
          <w:b w:val="0"/>
          <w:bCs/>
          <w:sz w:val="32"/>
          <w:szCs w:val="32"/>
          <w:lang w:val="en-US" w:eastAsia="zh-CN"/>
        </w:rPr>
      </w:pPr>
      <w:r>
        <w:rPr>
          <w:rStyle w:val="17"/>
          <w:rFonts w:hint="eastAsia" w:ascii="仿宋" w:hAnsi="仿宋" w:eastAsia="仿宋"/>
          <w:bCs/>
          <w:sz w:val="32"/>
          <w:szCs w:val="32"/>
          <w:lang w:val="en-US" w:eastAsia="zh-CN"/>
        </w:rPr>
        <w:t>2</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人力资源和社会保障管理事务</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综合业务管理</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92.08</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1A53DD31">
      <w:pPr>
        <w:pStyle w:val="2"/>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3</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人力资源和社会保障管理事务</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社会保险经办机构</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1172.76</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72FF318D">
      <w:pPr>
        <w:pStyle w:val="2"/>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4</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人力资源和社会保障管理事务</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事业运行</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41.81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7D357D9E">
      <w:pPr>
        <w:pStyle w:val="2"/>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5</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人力资源和社会保障管理事务</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其他人力资源和社会保障管理事务支出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142.12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0D6DC903">
      <w:pPr>
        <w:pStyle w:val="2"/>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6</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行政事业单位养老支出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机关事业单位基本养老保险缴费支出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77.21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4A712846">
      <w:pPr>
        <w:pStyle w:val="2"/>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7</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行政事业单位养老支出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机关事业单位职业年金缴费支出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40.61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606D36AA">
      <w:pPr>
        <w:pStyle w:val="2"/>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8</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就业补助</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其他就业补助支出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1240.13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p>
    <w:p w14:paraId="517D2430">
      <w:pPr>
        <w:pStyle w:val="2"/>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lang w:val="en-US" w:eastAsia="zh-CN"/>
        </w:rPr>
        <w:t>9</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抚恤</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死亡抚恤</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21.13</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5BFDE593">
      <w:pPr>
        <w:pStyle w:val="2"/>
        <w:ind w:firstLine="643" w:firstLineChars="200"/>
      </w:pPr>
      <w:r>
        <w:rPr>
          <w:rStyle w:val="17"/>
          <w:rFonts w:hint="eastAsia" w:ascii="仿宋" w:hAnsi="仿宋" w:eastAsia="仿宋"/>
          <w:bCs/>
          <w:sz w:val="32"/>
          <w:szCs w:val="32"/>
          <w:lang w:val="en-US" w:eastAsia="zh-CN"/>
        </w:rPr>
        <w:t>10</w:t>
      </w:r>
      <w:r>
        <w:rPr>
          <w:rStyle w:val="17"/>
          <w:rFonts w:ascii="仿宋" w:hAnsi="仿宋" w:eastAsia="仿宋"/>
          <w:bCs/>
          <w:sz w:val="32"/>
          <w:szCs w:val="32"/>
        </w:rPr>
        <w:t>.</w:t>
      </w:r>
      <w:r>
        <w:rPr>
          <w:rStyle w:val="17"/>
          <w:rFonts w:hint="eastAsia" w:ascii="仿宋" w:hAnsi="仿宋" w:eastAsia="仿宋"/>
          <w:bCs/>
          <w:sz w:val="32"/>
          <w:szCs w:val="32"/>
        </w:rPr>
        <w:t>社会保障和就业（类）</w:t>
      </w:r>
      <w:r>
        <w:rPr>
          <w:rStyle w:val="17"/>
          <w:rFonts w:hint="eastAsia" w:ascii="仿宋" w:hAnsi="仿宋" w:eastAsia="仿宋"/>
          <w:bCs/>
          <w:sz w:val="32"/>
          <w:szCs w:val="32"/>
          <w:lang w:val="en-US" w:eastAsia="zh-CN"/>
        </w:rPr>
        <w:t>其他社会保障和就业支出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其他社会保障和就业支出</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5560.51</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207A2393">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11</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行政单位医疗</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25.44</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6AAAE9D1">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lang w:val="en-US" w:eastAsia="zh-CN"/>
        </w:rPr>
        <w:t>12</w:t>
      </w:r>
      <w:r>
        <w:rPr>
          <w:rStyle w:val="17"/>
          <w:rFonts w:ascii="仿宋" w:hAnsi="仿宋" w:eastAsia="仿宋"/>
          <w:bCs/>
          <w:sz w:val="32"/>
          <w:szCs w:val="32"/>
        </w:rPr>
        <w:t>.</w:t>
      </w:r>
      <w:r>
        <w:rPr>
          <w:rFonts w:hint="eastAsia" w:ascii="仿宋" w:hAnsi="仿宋" w:eastAsia="仿宋"/>
          <w:b/>
          <w:bCs/>
          <w:sz w:val="32"/>
          <w:szCs w:val="32"/>
        </w:rPr>
        <w:t>卫生健康</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行政事业单位医疗</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事业单位医疗</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4.85</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02D9F3F1">
      <w:pPr>
        <w:spacing w:line="600" w:lineRule="exact"/>
        <w:ind w:firstLine="643" w:firstLineChars="200"/>
        <w:rPr>
          <w:rFonts w:ascii="仿宋" w:hAnsi="仿宋" w:eastAsia="仿宋"/>
          <w:sz w:val="32"/>
          <w:szCs w:val="32"/>
        </w:rPr>
      </w:pPr>
      <w:r>
        <w:rPr>
          <w:rStyle w:val="17"/>
          <w:rFonts w:hint="eastAsia" w:ascii="仿宋" w:hAnsi="仿宋" w:eastAsia="仿宋"/>
          <w:bCs/>
          <w:sz w:val="32"/>
          <w:szCs w:val="32"/>
          <w:lang w:val="en-US" w:eastAsia="zh-CN"/>
        </w:rPr>
        <w:t>13</w:t>
      </w:r>
      <w:r>
        <w:rPr>
          <w:rStyle w:val="17"/>
          <w:rFonts w:ascii="仿宋" w:hAnsi="仿宋" w:eastAsia="仿宋"/>
          <w:bCs/>
          <w:sz w:val="32"/>
          <w:szCs w:val="32"/>
        </w:rPr>
        <w:t>.</w:t>
      </w:r>
      <w:r>
        <w:rPr>
          <w:rFonts w:hint="eastAsia" w:ascii="仿宋" w:hAnsi="仿宋" w:eastAsia="仿宋"/>
          <w:b/>
          <w:bCs/>
          <w:sz w:val="32"/>
          <w:szCs w:val="32"/>
          <w:lang w:val="en-US" w:eastAsia="zh-CN"/>
        </w:rPr>
        <w:t>住房保障支出</w:t>
      </w:r>
      <w:r>
        <w:rPr>
          <w:rStyle w:val="17"/>
          <w:rFonts w:hint="eastAsia" w:ascii="仿宋" w:hAnsi="仿宋" w:eastAsia="仿宋"/>
          <w:bCs/>
          <w:sz w:val="32"/>
          <w:szCs w:val="32"/>
        </w:rPr>
        <w:t>（类）</w:t>
      </w:r>
      <w:r>
        <w:rPr>
          <w:rStyle w:val="17"/>
          <w:rFonts w:hint="eastAsia" w:ascii="仿宋" w:hAnsi="仿宋" w:eastAsia="仿宋"/>
          <w:bCs/>
          <w:sz w:val="32"/>
          <w:szCs w:val="32"/>
          <w:lang w:val="en-US" w:eastAsia="zh-CN"/>
        </w:rPr>
        <w:t>住房改革支出</w:t>
      </w:r>
      <w:r>
        <w:rPr>
          <w:rStyle w:val="17"/>
          <w:rFonts w:hint="eastAsia" w:ascii="仿宋" w:hAnsi="仿宋" w:eastAsia="仿宋"/>
          <w:bCs/>
          <w:sz w:val="32"/>
          <w:szCs w:val="32"/>
        </w:rPr>
        <w:t>（款）</w:t>
      </w:r>
      <w:r>
        <w:rPr>
          <w:rStyle w:val="17"/>
          <w:rFonts w:hint="eastAsia" w:ascii="仿宋" w:hAnsi="仿宋" w:eastAsia="仿宋"/>
          <w:bCs/>
          <w:sz w:val="32"/>
          <w:szCs w:val="32"/>
          <w:lang w:val="en-US" w:eastAsia="zh-CN"/>
        </w:rPr>
        <w:t>住房公积金</w:t>
      </w:r>
      <w:r>
        <w:rPr>
          <w:rStyle w:val="17"/>
          <w:rFonts w:hint="eastAsia" w:ascii="仿宋" w:hAnsi="仿宋" w:eastAsia="仿宋"/>
          <w:bCs/>
          <w:sz w:val="32"/>
          <w:szCs w:val="32"/>
        </w:rPr>
        <w:t>（项）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hint="eastAsia" w:ascii="仿宋" w:hAnsi="仿宋" w:eastAsia="仿宋"/>
          <w:b w:val="0"/>
          <w:bCs/>
          <w:sz w:val="32"/>
          <w:szCs w:val="32"/>
          <w:lang w:val="en-US" w:eastAsia="zh-CN"/>
        </w:rPr>
        <w:t>99.62</w:t>
      </w:r>
      <w:r>
        <w:rPr>
          <w:rStyle w:val="17"/>
          <w:rFonts w:hint="eastAsia" w:ascii="仿宋" w:hAnsi="仿宋" w:eastAsia="仿宋"/>
          <w:b w:val="0"/>
          <w:bCs/>
          <w:sz w:val="32"/>
          <w:szCs w:val="32"/>
        </w:rPr>
        <w:t>万元，完成预算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与预算数持平。</w:t>
      </w:r>
    </w:p>
    <w:p w14:paraId="13BB8934">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14:paraId="4B71CE50">
      <w:pPr>
        <w:tabs>
          <w:tab w:val="right" w:pos="8306"/>
        </w:tabs>
        <w:spacing w:line="600" w:lineRule="exact"/>
        <w:ind w:firstLine="640"/>
        <w:outlineLvl w:val="1"/>
        <w:rPr>
          <w:rStyle w:val="29"/>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6"/>
      <w:bookmarkEnd w:id="37"/>
      <w:r>
        <w:rPr>
          <w:rStyle w:val="29"/>
          <w:rFonts w:ascii="黑体" w:hAnsi="黑体" w:eastAsia="黑体"/>
          <w:b w:val="0"/>
        </w:rPr>
        <w:tab/>
      </w:r>
    </w:p>
    <w:p w14:paraId="57754604">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1491.19</w:t>
      </w:r>
      <w:r>
        <w:rPr>
          <w:rFonts w:hint="eastAsia" w:ascii="仿宋" w:hAnsi="仿宋" w:eastAsia="仿宋"/>
          <w:sz w:val="32"/>
          <w:szCs w:val="32"/>
        </w:rPr>
        <w:t>万元，其中：</w:t>
      </w:r>
    </w:p>
    <w:p w14:paraId="70B6A15C">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1244.15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247.04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A183781">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0ACF68C3">
      <w:pPr>
        <w:spacing w:line="600" w:lineRule="exact"/>
        <w:ind w:firstLine="640"/>
        <w:outlineLvl w:val="1"/>
        <w:rPr>
          <w:rStyle w:val="29"/>
          <w:rFonts w:ascii="黑体" w:hAnsi="黑体" w:eastAsia="黑体"/>
          <w:b w:val="0"/>
        </w:rPr>
      </w:pPr>
      <w:bookmarkStart w:id="38" w:name="_Toc15396609"/>
      <w:bookmarkStart w:id="39"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8"/>
      <w:bookmarkEnd w:id="39"/>
    </w:p>
    <w:p w14:paraId="3C105129">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14:paraId="1389E673">
      <w:pPr>
        <w:spacing w:line="600" w:lineRule="exact"/>
        <w:ind w:firstLine="640"/>
        <w:rPr>
          <w:rFonts w:hint="eastAsia" w:ascii="仿宋" w:hAnsi="仿宋" w:eastAsia="仿宋"/>
          <w:sz w:val="32"/>
          <w:szCs w:val="32"/>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13.01</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，较上年增加/减少</w:t>
      </w:r>
      <w:r>
        <w:rPr>
          <w:rFonts w:hint="eastAsia" w:ascii="仿宋" w:hAnsi="仿宋" w:eastAsia="仿宋"/>
          <w:sz w:val="32"/>
          <w:szCs w:val="32"/>
          <w:lang w:val="en-US" w:eastAsia="zh-CN"/>
        </w:rPr>
        <w:t>-2.22</w:t>
      </w:r>
      <w:r>
        <w:rPr>
          <w:rFonts w:hint="eastAsia" w:ascii="仿宋" w:hAnsi="仿宋" w:eastAsia="仿宋"/>
          <w:sz w:val="32"/>
          <w:szCs w:val="32"/>
        </w:rPr>
        <w:t>万元，增长/下降</w:t>
      </w:r>
      <w:r>
        <w:rPr>
          <w:rFonts w:hint="eastAsia" w:ascii="仿宋" w:hAnsi="仿宋" w:eastAsia="仿宋"/>
          <w:sz w:val="32"/>
          <w:szCs w:val="32"/>
          <w:lang w:val="en-US" w:eastAsia="zh-CN"/>
        </w:rPr>
        <w:t>14.58</w:t>
      </w:r>
      <w:r>
        <w:rPr>
          <w:rFonts w:hint="eastAsia" w:ascii="仿宋" w:hAnsi="仿宋" w:eastAsia="仿宋"/>
          <w:sz w:val="32"/>
          <w:szCs w:val="32"/>
        </w:rPr>
        <w:t>%。决算数</w:t>
      </w:r>
      <w:r>
        <w:rPr>
          <w:rFonts w:hint="eastAsia" w:ascii="仿宋" w:hAnsi="仿宋" w:eastAsia="仿宋"/>
          <w:sz w:val="32"/>
          <w:szCs w:val="32"/>
          <w:lang w:val="en-US" w:eastAsia="zh-CN"/>
        </w:rPr>
        <w:t>与</w:t>
      </w:r>
      <w:r>
        <w:rPr>
          <w:rFonts w:hint="eastAsia" w:ascii="仿宋" w:hAnsi="仿宋" w:eastAsia="仿宋"/>
          <w:sz w:val="32"/>
          <w:szCs w:val="32"/>
        </w:rPr>
        <w:t>预算数</w:t>
      </w:r>
      <w:r>
        <w:rPr>
          <w:rFonts w:hint="eastAsia" w:ascii="仿宋" w:hAnsi="仿宋" w:eastAsia="仿宋"/>
          <w:sz w:val="32"/>
          <w:szCs w:val="32"/>
          <w:lang w:val="en-US" w:eastAsia="zh-CN"/>
        </w:rPr>
        <w:t>持平。</w:t>
      </w:r>
    </w:p>
    <w:p w14:paraId="7FE942C5">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22A3E16A">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14:paraId="4E5C1506">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11.55</w:t>
      </w:r>
      <w:r>
        <w:rPr>
          <w:rFonts w:hint="eastAsia" w:ascii="仿宋" w:hAnsi="仿宋" w:eastAsia="仿宋"/>
          <w:sz w:val="32"/>
          <w:szCs w:val="32"/>
        </w:rPr>
        <w:t>万元，占</w:t>
      </w:r>
      <w:r>
        <w:rPr>
          <w:rFonts w:hint="eastAsia" w:ascii="仿宋" w:hAnsi="仿宋" w:eastAsia="仿宋"/>
          <w:sz w:val="32"/>
          <w:szCs w:val="32"/>
          <w:lang w:val="en-US" w:eastAsia="zh-CN"/>
        </w:rPr>
        <w:t>88.78</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1.46</w:t>
      </w:r>
      <w:r>
        <w:rPr>
          <w:rFonts w:hint="eastAsia" w:ascii="仿宋" w:hAnsi="仿宋" w:eastAsia="仿宋"/>
          <w:sz w:val="32"/>
          <w:szCs w:val="32"/>
        </w:rPr>
        <w:t>万元，占</w:t>
      </w:r>
      <w:r>
        <w:rPr>
          <w:rFonts w:hint="eastAsia" w:ascii="仿宋" w:hAnsi="仿宋" w:eastAsia="仿宋"/>
          <w:sz w:val="32"/>
          <w:szCs w:val="32"/>
          <w:lang w:val="en-US" w:eastAsia="zh-CN"/>
        </w:rPr>
        <w:t>11.22</w:t>
      </w:r>
      <w:r>
        <w:rPr>
          <w:rFonts w:ascii="仿宋" w:hAnsi="仿宋" w:eastAsia="仿宋"/>
          <w:sz w:val="32"/>
          <w:szCs w:val="32"/>
        </w:rPr>
        <w:t>%</w:t>
      </w:r>
      <w:r>
        <w:rPr>
          <w:rFonts w:hint="eastAsia" w:ascii="仿宋" w:hAnsi="仿宋" w:eastAsia="仿宋"/>
          <w:sz w:val="32"/>
          <w:szCs w:val="32"/>
        </w:rPr>
        <w:t>。具体情况如下：</w:t>
      </w:r>
    </w:p>
    <w:p w14:paraId="5CF6DD2B">
      <w:pPr>
        <w:pStyle w:val="2"/>
        <w:rPr>
          <w:rFonts w:hint="eastAsia" w:ascii="仿宋" w:hAnsi="仿宋" w:eastAsia="仿宋"/>
          <w:sz w:val="32"/>
          <w:szCs w:val="32"/>
        </w:rPr>
      </w:pPr>
      <w:r>
        <w:rPr>
          <w:rFonts w:hint="eastAsia" w:ascii="仿宋" w:hAnsi="仿宋" w:eastAsia="仿宋"/>
          <w:color w:val="000000"/>
          <w:sz w:val="32"/>
          <w:szCs w:val="32"/>
          <w:lang w:eastAsia="zh-CN"/>
        </w:rPr>
        <w:drawing>
          <wp:anchor distT="0" distB="0" distL="114300" distR="114300" simplePos="0" relativeHeight="251666432" behindDoc="0" locked="0" layoutInCell="1" allowOverlap="1">
            <wp:simplePos x="0" y="0"/>
            <wp:positionH relativeFrom="column">
              <wp:posOffset>19050</wp:posOffset>
            </wp:positionH>
            <wp:positionV relativeFrom="paragraph">
              <wp:posOffset>130810</wp:posOffset>
            </wp:positionV>
            <wp:extent cx="5212080" cy="3395345"/>
            <wp:effectExtent l="4445" t="4445" r="22225" b="1016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82D6188">
      <w:pPr>
        <w:pStyle w:val="2"/>
        <w:rPr>
          <w:rFonts w:hint="eastAsia" w:ascii="仿宋" w:hAnsi="仿宋" w:eastAsia="仿宋"/>
          <w:sz w:val="32"/>
          <w:szCs w:val="32"/>
        </w:rPr>
      </w:pPr>
    </w:p>
    <w:p w14:paraId="21B59975">
      <w:pPr>
        <w:pStyle w:val="2"/>
        <w:rPr>
          <w:rFonts w:hint="eastAsia" w:ascii="仿宋" w:hAnsi="仿宋" w:eastAsia="仿宋"/>
          <w:sz w:val="32"/>
          <w:szCs w:val="32"/>
        </w:rPr>
      </w:pPr>
    </w:p>
    <w:p w14:paraId="352FB618">
      <w:pPr>
        <w:pStyle w:val="2"/>
        <w:rPr>
          <w:rFonts w:hint="eastAsia" w:ascii="仿宋" w:hAnsi="仿宋" w:eastAsia="仿宋"/>
          <w:sz w:val="32"/>
          <w:szCs w:val="32"/>
        </w:rPr>
      </w:pPr>
    </w:p>
    <w:p w14:paraId="6BF9BC7D">
      <w:pPr>
        <w:pStyle w:val="2"/>
        <w:rPr>
          <w:rFonts w:hint="eastAsia" w:ascii="仿宋" w:hAnsi="仿宋" w:eastAsia="仿宋"/>
          <w:sz w:val="32"/>
          <w:szCs w:val="32"/>
        </w:rPr>
      </w:pPr>
    </w:p>
    <w:p w14:paraId="78F43183">
      <w:pPr>
        <w:pStyle w:val="2"/>
        <w:rPr>
          <w:rFonts w:hint="eastAsia" w:ascii="仿宋" w:hAnsi="仿宋" w:eastAsia="仿宋"/>
          <w:sz w:val="32"/>
          <w:szCs w:val="32"/>
        </w:rPr>
      </w:pPr>
    </w:p>
    <w:p w14:paraId="6443869B">
      <w:pPr>
        <w:pStyle w:val="2"/>
        <w:rPr>
          <w:rFonts w:hint="eastAsia" w:ascii="仿宋" w:hAnsi="仿宋" w:eastAsia="仿宋"/>
          <w:sz w:val="32"/>
          <w:szCs w:val="32"/>
        </w:rPr>
      </w:pPr>
    </w:p>
    <w:p w14:paraId="3E9A4550">
      <w:pPr>
        <w:pStyle w:val="2"/>
        <w:rPr>
          <w:rFonts w:hint="eastAsia" w:ascii="仿宋" w:hAnsi="仿宋" w:eastAsia="仿宋"/>
          <w:sz w:val="32"/>
          <w:szCs w:val="32"/>
        </w:rPr>
      </w:pPr>
    </w:p>
    <w:p w14:paraId="2F01CAF4">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3C439BF7">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b w:val="0"/>
          <w:bCs/>
          <w:sz w:val="32"/>
          <w:szCs w:val="32"/>
          <w:lang w:eastAsia="zh-CN"/>
        </w:rPr>
        <w:t>我局</w:t>
      </w:r>
      <w:r>
        <w:rPr>
          <w:rFonts w:hint="eastAsia" w:ascii="仿宋_GB2312" w:hAnsi="仿宋_GB2312" w:eastAsia="仿宋_GB2312" w:cs="仿宋_GB2312"/>
          <w:b w:val="0"/>
          <w:bCs/>
          <w:sz w:val="32"/>
          <w:szCs w:val="32"/>
          <w:lang w:val="en-US" w:eastAsia="zh-CN"/>
        </w:rPr>
        <w:t>2022年未安排因公出国（境）</w:t>
      </w:r>
      <w:r>
        <w:rPr>
          <w:rFonts w:hint="eastAsia" w:ascii="仿宋_GB2312" w:hAnsi="仿宋_GB2312" w:eastAsia="仿宋_GB2312" w:cs="仿宋_GB2312"/>
          <w:b w:val="0"/>
          <w:bCs/>
          <w:sz w:val="32"/>
          <w:szCs w:val="32"/>
        </w:rPr>
        <w:t>。</w:t>
      </w:r>
    </w:p>
    <w:p w14:paraId="6AC2FF73">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11.55</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-2.73</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-19.18</w:t>
      </w:r>
      <w:r>
        <w:rPr>
          <w:rFonts w:ascii="仿宋_GB2312" w:eastAsia="仿宋_GB2312"/>
          <w:sz w:val="32"/>
          <w:szCs w:val="32"/>
        </w:rPr>
        <w:t>%</w:t>
      </w:r>
      <w:r>
        <w:rPr>
          <w:rFonts w:hint="eastAsia" w:ascii="仿宋_GB2312" w:eastAsia="仿宋_GB2312"/>
          <w:sz w:val="32"/>
          <w:szCs w:val="32"/>
        </w:rPr>
        <w:t>。</w:t>
      </w:r>
      <w:r>
        <w:rPr>
          <w:rFonts w:hint="eastAsia" w:ascii="仿宋_GB2312" w:hAnsi="仿宋_GB2312" w:eastAsia="仿宋_GB2312" w:cs="仿宋_GB2312"/>
          <w:b w:val="0"/>
          <w:bCs/>
          <w:sz w:val="32"/>
          <w:szCs w:val="32"/>
        </w:rPr>
        <w:t>主要原因是</w:t>
      </w:r>
      <w:r>
        <w:rPr>
          <w:rFonts w:hint="eastAsia" w:ascii="仿宋_GB2312" w:hAnsi="仿宋_GB2312" w:eastAsia="仿宋_GB2312" w:cs="仿宋_GB2312"/>
          <w:b w:val="0"/>
          <w:bCs/>
          <w:sz w:val="32"/>
          <w:szCs w:val="32"/>
          <w:lang w:eastAsia="zh-CN"/>
        </w:rPr>
        <w:t>我单位厉行节约，精简开支</w:t>
      </w:r>
      <w:r>
        <w:rPr>
          <w:rFonts w:hint="eastAsia" w:ascii="仿宋_GB2312" w:hAnsi="仿宋_GB2312" w:eastAsia="仿宋_GB2312" w:cs="仿宋_GB2312"/>
          <w:b w:val="0"/>
          <w:bCs/>
          <w:sz w:val="32"/>
          <w:szCs w:val="32"/>
        </w:rPr>
        <w:t>。</w:t>
      </w:r>
    </w:p>
    <w:p w14:paraId="3B851783">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val="en-US" w:eastAsia="zh-CN"/>
        </w:rPr>
        <w:t>0</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6</w:t>
      </w:r>
      <w:r>
        <w:rPr>
          <w:rFonts w:hint="eastAsia" w:ascii="仿宋_GB2312" w:eastAsia="仿宋_GB2312"/>
          <w:sz w:val="32"/>
          <w:szCs w:val="32"/>
        </w:rPr>
        <w:t>辆，其中：轿车</w:t>
      </w:r>
      <w:r>
        <w:rPr>
          <w:rFonts w:hint="eastAsia" w:ascii="仿宋_GB2312" w:eastAsia="仿宋_GB2312"/>
          <w:sz w:val="32"/>
          <w:szCs w:val="32"/>
          <w:lang w:val="en-US" w:eastAsia="zh-CN"/>
        </w:rPr>
        <w:t>6</w:t>
      </w:r>
      <w:r>
        <w:rPr>
          <w:rFonts w:hint="eastAsia" w:ascii="仿宋_GB2312" w:eastAsia="仿宋_GB2312"/>
          <w:sz w:val="32"/>
          <w:szCs w:val="32"/>
        </w:rPr>
        <w:t>辆、越野车</w:t>
      </w:r>
      <w:r>
        <w:rPr>
          <w:rFonts w:hint="eastAsia" w:ascii="仿宋_GB2312" w:eastAsia="仿宋_GB2312"/>
          <w:sz w:val="32"/>
          <w:szCs w:val="32"/>
          <w:lang w:val="en-US" w:eastAsia="zh-CN"/>
        </w:rPr>
        <w:t>6</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25478DAF">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11.55</w:t>
      </w:r>
      <w:r>
        <w:rPr>
          <w:rFonts w:hint="eastAsia" w:ascii="仿宋_GB2312" w:eastAsia="仿宋_GB2312"/>
          <w:sz w:val="32"/>
          <w:szCs w:val="32"/>
        </w:rPr>
        <w:t>万元。主要用于</w:t>
      </w:r>
      <w:r>
        <w:rPr>
          <w:rFonts w:hint="eastAsia" w:ascii="仿宋_GB2312" w:eastAsia="仿宋_GB2312"/>
          <w:color w:val="000000"/>
          <w:sz w:val="32"/>
          <w:szCs w:val="32"/>
          <w:lang w:eastAsia="zh-CN"/>
        </w:rPr>
        <w:t>公招考试、农民工工资清欠、劳动监察仲裁、</w:t>
      </w:r>
      <w:r>
        <w:rPr>
          <w:rFonts w:hint="eastAsia" w:ascii="仿宋_GB2312" w:eastAsia="仿宋_GB2312"/>
          <w:color w:val="000000"/>
          <w:sz w:val="32"/>
          <w:szCs w:val="32"/>
          <w:lang w:val="en-US" w:eastAsia="zh-CN"/>
        </w:rPr>
        <w:t>工伤认定、</w:t>
      </w:r>
      <w:r>
        <w:rPr>
          <w:rFonts w:hint="eastAsia" w:ascii="仿宋_GB2312" w:eastAsia="仿宋_GB2312"/>
          <w:color w:val="000000"/>
          <w:sz w:val="32"/>
          <w:szCs w:val="32"/>
          <w:lang w:eastAsia="zh-CN"/>
        </w:rPr>
        <w:t>创</w:t>
      </w:r>
      <w:r>
        <w:rPr>
          <w:rFonts w:hint="eastAsia" w:ascii="仿宋_GB2312" w:eastAsia="仿宋_GB2312"/>
          <w:color w:val="000000"/>
          <w:sz w:val="32"/>
          <w:szCs w:val="32"/>
          <w:lang w:val="en-US" w:eastAsia="zh-CN"/>
        </w:rPr>
        <w:t>文创</w:t>
      </w:r>
      <w:r>
        <w:rPr>
          <w:rFonts w:hint="eastAsia" w:ascii="仿宋_GB2312" w:eastAsia="仿宋_GB2312"/>
          <w:color w:val="000000"/>
          <w:sz w:val="32"/>
          <w:szCs w:val="32"/>
          <w:lang w:eastAsia="zh-CN"/>
        </w:rPr>
        <w:t>卫</w:t>
      </w:r>
      <w:r>
        <w:rPr>
          <w:rFonts w:hint="eastAsia" w:ascii="仿宋_GB2312" w:hAnsi="仿宋_GB2312" w:eastAsia="仿宋_GB2312" w:cs="仿宋_GB2312"/>
          <w:b w:val="0"/>
          <w:bCs/>
          <w:sz w:val="32"/>
          <w:szCs w:val="32"/>
        </w:rPr>
        <w:t>等</w:t>
      </w:r>
      <w:r>
        <w:rPr>
          <w:rFonts w:hint="eastAsia" w:ascii="仿宋_GB2312" w:eastAsia="仿宋_GB2312"/>
          <w:sz w:val="32"/>
          <w:szCs w:val="32"/>
        </w:rPr>
        <w:t>所需的公务用车燃料费、维修费、过路过桥费、保险费等支出。</w:t>
      </w:r>
    </w:p>
    <w:p w14:paraId="6949BBE8">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1.46</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hint="eastAsia" w:ascii="仿宋" w:hAnsi="仿宋" w:eastAsia="仿宋"/>
          <w:b w:val="0"/>
          <w:bCs/>
          <w:sz w:val="32"/>
          <w:szCs w:val="32"/>
          <w:lang w:val="en-US" w:eastAsia="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0.51</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53.68</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b w:val="0"/>
          <w:bCs/>
          <w:sz w:val="32"/>
          <w:szCs w:val="32"/>
          <w:lang w:eastAsia="zh-CN"/>
        </w:rPr>
        <w:t>接待省、乐山市领导调研比上年有所增长</w:t>
      </w:r>
      <w:r>
        <w:rPr>
          <w:rFonts w:hint="eastAsia" w:ascii="仿宋_GB2312" w:eastAsia="仿宋_GB2312"/>
          <w:sz w:val="32"/>
          <w:szCs w:val="32"/>
        </w:rPr>
        <w:t>。其中：</w:t>
      </w:r>
    </w:p>
    <w:p w14:paraId="50BF3ADE">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1.46</w:t>
      </w:r>
      <w:r>
        <w:rPr>
          <w:rFonts w:hint="eastAsia" w:ascii="仿宋_GB2312" w:eastAsia="仿宋_GB2312"/>
          <w:sz w:val="32"/>
          <w:szCs w:val="32"/>
        </w:rPr>
        <w:t>万元，主要用于主要用于</w:t>
      </w:r>
      <w:r>
        <w:rPr>
          <w:rFonts w:hint="eastAsia" w:ascii="仿宋_GB2312" w:eastAsia="仿宋_GB2312"/>
          <w:sz w:val="32"/>
          <w:szCs w:val="32"/>
          <w:lang w:val="en-US" w:eastAsia="zh-CN"/>
        </w:rPr>
        <w:t>接待省厅、乐山市局考察农民工、社保基金等项目及各区县学习交流</w:t>
      </w:r>
      <w:r>
        <w:rPr>
          <w:rFonts w:hint="eastAsia" w:ascii="仿宋_GB2312" w:eastAsia="仿宋_GB2312"/>
          <w:sz w:val="32"/>
          <w:szCs w:val="32"/>
        </w:rPr>
        <w:t>开支的交通费、住宿费、用餐费等。国内公务接待</w:t>
      </w:r>
      <w:r>
        <w:rPr>
          <w:rFonts w:hint="eastAsia" w:ascii="仿宋_GB2312" w:eastAsia="仿宋_GB2312"/>
          <w:sz w:val="32"/>
          <w:szCs w:val="32"/>
          <w:lang w:val="en-US" w:eastAsia="zh-CN"/>
        </w:rPr>
        <w:t>11</w:t>
      </w:r>
      <w:r>
        <w:rPr>
          <w:rFonts w:hint="eastAsia" w:ascii="仿宋_GB2312" w:eastAsia="仿宋_GB2312"/>
          <w:sz w:val="32"/>
          <w:szCs w:val="32"/>
        </w:rPr>
        <w:t>批次，</w:t>
      </w:r>
      <w:r>
        <w:rPr>
          <w:rFonts w:hint="eastAsia" w:ascii="仿宋_GB2312" w:eastAsia="仿宋_GB2312"/>
          <w:sz w:val="32"/>
          <w:szCs w:val="32"/>
          <w:lang w:val="en-US" w:eastAsia="zh-CN"/>
        </w:rPr>
        <w:t>115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1.46</w:t>
      </w:r>
      <w:r>
        <w:rPr>
          <w:rFonts w:hint="eastAsia" w:ascii="仿宋_GB2312" w:eastAsia="仿宋_GB2312"/>
          <w:sz w:val="32"/>
          <w:szCs w:val="32"/>
        </w:rPr>
        <w:t>万元，具体内容包括：</w:t>
      </w:r>
      <w:r>
        <w:rPr>
          <w:rFonts w:hint="eastAsia" w:ascii="仿宋_GB2312" w:eastAsia="仿宋_GB2312"/>
          <w:color w:val="auto"/>
          <w:sz w:val="32"/>
          <w:szCs w:val="32"/>
          <w:lang w:val="en-US" w:eastAsia="zh-CN"/>
        </w:rPr>
        <w:t>接待五通桥、井研等考察支出2738元，接待省厅检查农民工工作支出4830元，接待乐山检查农民工工作支出1800元，接待乐山检查社保基金工作支出2000元，接待金口河区社会保险事务中心交流学习支出990元，接待乐山市社会保险事务中心测试社保经办平台支出1450元，接待省就业局工作调研800元。</w:t>
      </w:r>
    </w:p>
    <w:p w14:paraId="75A9D1B1">
      <w:pPr>
        <w:spacing w:line="600" w:lineRule="exact"/>
        <w:ind w:firstLine="643" w:firstLineChars="200"/>
        <w:rPr>
          <w:rFonts w:ascii="黑体" w:eastAsia="黑体"/>
          <w:sz w:val="32"/>
          <w:szCs w:val="32"/>
        </w:rPr>
      </w:pPr>
      <w:bookmarkStart w:id="42" w:name="_Toc15396610"/>
      <w:bookmarkStart w:id="43" w:name="_Toc15377218"/>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79308AF">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2"/>
      <w:bookmarkEnd w:id="43"/>
    </w:p>
    <w:p w14:paraId="5AB0DFD4">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1415.53</w:t>
      </w:r>
      <w:r>
        <w:rPr>
          <w:rFonts w:hint="eastAsia" w:ascii="仿宋_GB2312" w:eastAsia="仿宋_GB2312"/>
          <w:sz w:val="32"/>
          <w:szCs w:val="32"/>
        </w:rPr>
        <w:t>万元。</w:t>
      </w:r>
    </w:p>
    <w:p w14:paraId="2BEC0911">
      <w:pPr>
        <w:numPr>
          <w:ilvl w:val="0"/>
          <w:numId w:val="2"/>
        </w:numPr>
        <w:spacing w:line="600" w:lineRule="exact"/>
        <w:ind w:firstLine="640"/>
        <w:outlineLvl w:val="1"/>
        <w:rPr>
          <w:rStyle w:val="29"/>
          <w:rFonts w:ascii="黑体" w:hAnsi="黑体" w:eastAsia="黑体"/>
          <w:b w:val="0"/>
        </w:rPr>
      </w:pPr>
      <w:bookmarkStart w:id="44" w:name="_Toc15377219"/>
      <w:bookmarkStart w:id="45" w:name="_Toc15396611"/>
      <w:r>
        <w:rPr>
          <w:rStyle w:val="29"/>
          <w:rFonts w:hint="eastAsia" w:ascii="黑体" w:hAnsi="黑体" w:eastAsia="黑体"/>
          <w:b w:val="0"/>
        </w:rPr>
        <w:t>国有资本经营预算支出决算情况说明</w:t>
      </w:r>
      <w:bookmarkEnd w:id="44"/>
      <w:bookmarkEnd w:id="45"/>
    </w:p>
    <w:p w14:paraId="156DA06B">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7CB684CD">
      <w:pPr>
        <w:numPr>
          <w:ilvl w:val="0"/>
          <w:numId w:val="2"/>
        </w:numPr>
        <w:spacing w:line="600" w:lineRule="exact"/>
        <w:ind w:firstLine="640"/>
        <w:outlineLvl w:val="1"/>
        <w:rPr>
          <w:rStyle w:val="29"/>
          <w:rFonts w:ascii="黑体" w:hAnsi="黑体" w:eastAsia="黑体"/>
          <w:b w:val="0"/>
        </w:rPr>
      </w:pPr>
      <w:bookmarkStart w:id="46" w:name="_Toc15377221"/>
      <w:bookmarkStart w:id="47" w:name="_Toc15396612"/>
      <w:r>
        <w:rPr>
          <w:rStyle w:val="29"/>
          <w:rFonts w:hint="eastAsia" w:ascii="黑体" w:hAnsi="黑体" w:eastAsia="黑体"/>
          <w:b w:val="0"/>
        </w:rPr>
        <w:t>其他重要事项的情况说明</w:t>
      </w:r>
      <w:bookmarkEnd w:id="46"/>
      <w:bookmarkEnd w:id="47"/>
    </w:p>
    <w:p w14:paraId="5FF84206">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68FBF76B">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乐山市峨眉山市人力资源和社会保障局</w:t>
      </w:r>
      <w:r>
        <w:rPr>
          <w:rFonts w:hint="eastAsia" w:ascii="仿宋_GB2312" w:eastAsia="仿宋_GB2312"/>
          <w:sz w:val="32"/>
          <w:szCs w:val="32"/>
        </w:rPr>
        <w:t>机关运行经费支出</w:t>
      </w:r>
      <w:r>
        <w:rPr>
          <w:rFonts w:hint="eastAsia" w:ascii="仿宋_GB2312" w:eastAsia="仿宋_GB2312"/>
          <w:sz w:val="32"/>
          <w:szCs w:val="32"/>
          <w:lang w:val="en-US" w:eastAsia="zh-CN"/>
        </w:rPr>
        <w:t>247.04</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-16.48</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-6.25</w:t>
      </w:r>
      <w:r>
        <w:rPr>
          <w:rFonts w:ascii="仿宋_GB2312" w:eastAsia="仿宋_GB2312"/>
          <w:sz w:val="32"/>
          <w:szCs w:val="32"/>
        </w:rPr>
        <w:t>%</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w:t>
      </w:r>
      <w:r>
        <w:rPr>
          <w:rFonts w:hint="eastAsia" w:ascii="仿宋_GB2312" w:eastAsia="仿宋_GB2312"/>
          <w:sz w:val="32"/>
          <w:szCs w:val="32"/>
          <w:lang w:val="en-US" w:eastAsia="zh-CN"/>
        </w:rPr>
        <w:t>下属社会保险事务中心聘用人员经费由商品和服务支出劳务费调整为工资福利支出其他工资福利支出</w:t>
      </w:r>
      <w:r>
        <w:rPr>
          <w:rFonts w:hint="eastAsia" w:ascii="仿宋_GB2312" w:eastAsia="仿宋_GB2312"/>
          <w:sz w:val="32"/>
          <w:szCs w:val="32"/>
        </w:rPr>
        <w:t>。</w:t>
      </w:r>
    </w:p>
    <w:p w14:paraId="0BE3F476">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9A9121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56AB10A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乐山市峨眉山市人力资源和社会保障局</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0DD0FB0B">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7DC627CD">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2D9FEC36">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乐山市峨眉山市人力资源和社会保障局</w:t>
      </w:r>
      <w:r>
        <w:rPr>
          <w:rFonts w:hint="eastAsia" w:ascii="仿宋_GB2312" w:eastAsia="仿宋_GB2312"/>
          <w:sz w:val="32"/>
          <w:szCs w:val="32"/>
        </w:rPr>
        <w:t>共有车辆</w:t>
      </w:r>
      <w:r>
        <w:rPr>
          <w:rFonts w:hint="eastAsia" w:ascii="仿宋_GB2312" w:eastAsia="仿宋_GB2312"/>
          <w:sz w:val="32"/>
          <w:szCs w:val="32"/>
          <w:lang w:val="en-US" w:eastAsia="zh-CN"/>
        </w:rPr>
        <w:t>6</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2</w:t>
      </w:r>
      <w:r>
        <w:rPr>
          <w:rFonts w:hint="eastAsia" w:ascii="仿宋_GB2312" w:eastAsia="仿宋_GB2312"/>
          <w:sz w:val="32"/>
          <w:szCs w:val="32"/>
        </w:rPr>
        <w:t>辆、其他用车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全市事业单位公招、农民工工资清欠、劳动监察仲裁、创</w:t>
      </w:r>
      <w:r>
        <w:rPr>
          <w:rFonts w:hint="eastAsia" w:ascii="仿宋_GB2312" w:eastAsia="仿宋_GB2312"/>
          <w:color w:val="000000"/>
          <w:sz w:val="32"/>
          <w:szCs w:val="32"/>
          <w:lang w:val="en-US" w:eastAsia="zh-CN"/>
        </w:rPr>
        <w:t>文创</w:t>
      </w:r>
      <w:r>
        <w:rPr>
          <w:rFonts w:hint="eastAsia" w:ascii="仿宋_GB2312" w:eastAsia="仿宋_GB2312"/>
          <w:color w:val="000000"/>
          <w:sz w:val="32"/>
          <w:szCs w:val="32"/>
          <w:lang w:eastAsia="zh-CN"/>
        </w:rPr>
        <w:t>卫等项目</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0DE3729B">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034583D7">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2B474DC">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公招考试</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个项目开展绩效监控。</w:t>
      </w:r>
    </w:p>
    <w:p w14:paraId="1CAD0D9E">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峨眉山市人力资源和社会保障局</w:t>
      </w:r>
      <w:r>
        <w:rPr>
          <w:rFonts w:hint="eastAsia" w:ascii="仿宋_GB2312" w:hAnsi="仿宋_GB2312" w:eastAsia="仿宋_GB2312" w:cs="仿宋_GB2312"/>
          <w:sz w:val="32"/>
          <w:szCs w:val="32"/>
        </w:rPr>
        <w:t>部门整体绩效自评报告其中，</w:t>
      </w:r>
      <w:r>
        <w:rPr>
          <w:rFonts w:hint="eastAsia" w:ascii="仿宋_GB2312" w:hAnsi="仿宋_GB2312" w:eastAsia="仿宋_GB2312" w:cs="仿宋_GB2312"/>
          <w:sz w:val="32"/>
          <w:szCs w:val="32"/>
          <w:lang w:val="en-US" w:eastAsia="zh-CN"/>
        </w:rPr>
        <w:t>峨眉山市人力资源和社会保障局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分，绩效自评报告详见附件。</w:t>
      </w:r>
      <w:r>
        <w:rPr>
          <w:rFonts w:ascii="仿宋_GB2312" w:eastAsia="仿宋_GB2312"/>
          <w:b/>
          <w:sz w:val="32"/>
          <w:szCs w:val="32"/>
        </w:rPr>
        <w:br w:type="page"/>
      </w:r>
    </w:p>
    <w:p w14:paraId="4BCD4667">
      <w:pPr>
        <w:numPr>
          <w:ilvl w:val="0"/>
          <w:numId w:val="3"/>
        </w:numPr>
        <w:spacing w:line="600" w:lineRule="exact"/>
        <w:ind w:firstLine="660" w:firstLineChars="150"/>
        <w:jc w:val="center"/>
        <w:outlineLvl w:val="0"/>
        <w:rPr>
          <w:rStyle w:val="28"/>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8"/>
          <w:rFonts w:hint="eastAsia" w:ascii="黑体" w:hAnsi="黑体" w:eastAsia="黑体"/>
          <w:b w:val="0"/>
        </w:rPr>
        <w:t>词解释</w:t>
      </w:r>
      <w:bookmarkEnd w:id="51"/>
      <w:bookmarkEnd w:id="52"/>
    </w:p>
    <w:p w14:paraId="2C1A9A44">
      <w:pPr>
        <w:spacing w:line="600" w:lineRule="exact"/>
        <w:jc w:val="left"/>
        <w:rPr>
          <w:rFonts w:ascii="宋体"/>
          <w:b/>
          <w:sz w:val="44"/>
          <w:szCs w:val="44"/>
        </w:rPr>
      </w:pPr>
    </w:p>
    <w:p w14:paraId="6EE25063">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财政拨款收入：指单位从同级财政部门取得的财政预算资金。</w:t>
      </w:r>
    </w:p>
    <w:p w14:paraId="4DE6C7F6">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事业收入：指事业单位开展专业业务活动及辅助活动取得的收入。</w:t>
      </w:r>
    </w:p>
    <w:p w14:paraId="4F5502F2">
      <w:pPr>
        <w:pStyle w:val="26"/>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经营收入：指事业单位在专业业务活动及其辅助活动之外开展非独立核算经营活动取得的收入。</w:t>
      </w:r>
    </w:p>
    <w:p w14:paraId="173D1622">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四、</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乐山人社局下拨考务费</w:t>
      </w:r>
      <w:r>
        <w:rPr>
          <w:rFonts w:hint="eastAsia" w:ascii="仿宋_GB2312" w:eastAsia="仿宋_GB2312"/>
          <w:color w:val="auto"/>
          <w:sz w:val="32"/>
          <w:szCs w:val="32"/>
        </w:rPr>
        <w:t>。</w:t>
      </w:r>
      <w:r>
        <w:rPr>
          <w:rFonts w:ascii="仿宋_GB2312" w:eastAsia="仿宋_GB2312"/>
          <w:color w:val="auto"/>
          <w:sz w:val="32"/>
          <w:szCs w:val="32"/>
        </w:rPr>
        <w:t xml:space="preserve"> </w:t>
      </w:r>
    </w:p>
    <w:p w14:paraId="25745780">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五、</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14:paraId="2DC1B8D2">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六、</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5418570D">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七、</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42249175">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八、</w:t>
      </w:r>
      <w:r>
        <w:rPr>
          <w:rFonts w:hint="eastAsia" w:ascii="仿宋_GB2312" w:eastAsia="仿宋_GB2312"/>
          <w:color w:val="auto"/>
          <w:sz w:val="32"/>
          <w:szCs w:val="32"/>
        </w:rPr>
        <w:t>年末结转和结余：指单位按有关规定结转到下年或以后年度继续使用的资金。</w:t>
      </w:r>
    </w:p>
    <w:p w14:paraId="1E21A705">
      <w:pPr>
        <w:spacing w:line="600" w:lineRule="exact"/>
        <w:ind w:firstLine="640" w:firstLineChars="200"/>
        <w:rPr>
          <w:rStyle w:val="17"/>
          <w:rFonts w:hint="default" w:ascii="仿宋" w:hAnsi="仿宋" w:eastAsia="仿宋"/>
          <w:b w:val="0"/>
          <w:bCs w:val="0"/>
          <w:color w:val="000000"/>
          <w:sz w:val="32"/>
          <w:szCs w:val="32"/>
          <w:lang w:val="en-US" w:eastAsia="zh-CN"/>
        </w:rPr>
      </w:pPr>
      <w:r>
        <w:rPr>
          <w:rFonts w:hint="eastAsia" w:ascii="仿宋_GB2312" w:hAnsi="Calibri" w:eastAsia="仿宋_GB2312" w:cs="仿宋"/>
          <w:color w:val="000000"/>
          <w:kern w:val="0"/>
          <w:sz w:val="32"/>
          <w:szCs w:val="32"/>
          <w:lang w:val="en-US" w:eastAsia="zh-CN" w:bidi="ar-SA"/>
        </w:rPr>
        <w:t>九.社会保障和就业（类）人力资源和社会保障管理事务（款）行政运行（项）: 反映行政单位（包括实行公务员管理的事业单位）的基本支出；</w:t>
      </w:r>
      <w:r>
        <w:rPr>
          <w:rStyle w:val="17"/>
          <w:rFonts w:hint="eastAsia" w:ascii="仿宋" w:hAnsi="仿宋" w:eastAsia="仿宋"/>
          <w:b w:val="0"/>
          <w:bCs w:val="0"/>
          <w:color w:val="000000"/>
          <w:sz w:val="32"/>
          <w:szCs w:val="32"/>
          <w:lang w:eastAsia="zh-CN"/>
        </w:rPr>
        <w:t>综合业务管理（项）：反映人力资源和社会保障管理方面综合性管理事务支出</w:t>
      </w:r>
      <w:r>
        <w:rPr>
          <w:rStyle w:val="17"/>
          <w:rFonts w:hint="eastAsia" w:ascii="仿宋" w:hAnsi="仿宋" w:eastAsia="仿宋"/>
          <w:b w:val="0"/>
          <w:bCs w:val="0"/>
          <w:color w:val="000000"/>
          <w:sz w:val="32"/>
          <w:szCs w:val="32"/>
          <w:lang w:val="en-US" w:eastAsia="zh-CN"/>
        </w:rPr>
        <w:t>；社会保险经办机构（项）：反映社会保险经办机构开展业务工作的支出；事业运行（项）：反映事业单位的基本支出，不包括行政单位（包括实行公务员管理的事业单位）后勤服务中心、医务室等附属事业单位；其他人力资源和社会保障管理事务支出（项）：反映除上述项目以外其他用于人力资源和社会保障管理事务方面的支出。行政事业单位养老支出（款）机关事业单位基本养老保险缴费支出（项）：反映机关事业单位实施养老保险制度由单位缴纳的基本养老保险费支出</w:t>
      </w:r>
      <w:r>
        <w:rPr>
          <w:rStyle w:val="17"/>
          <w:rFonts w:hint="eastAsia" w:ascii="仿宋" w:hAnsi="仿宋" w:eastAsia="仿宋"/>
          <w:b w:val="0"/>
          <w:bCs w:val="0"/>
          <w:color w:val="000000"/>
          <w:sz w:val="32"/>
          <w:szCs w:val="32"/>
          <w:lang w:eastAsia="zh-CN"/>
        </w:rPr>
        <w:t>；机关事业单位职业年金缴费支出（项）：反映机关事业单位实施养老保险制度由单位实际缴纳的职业年金支出。</w:t>
      </w:r>
      <w:r>
        <w:rPr>
          <w:rStyle w:val="17"/>
          <w:rFonts w:hint="eastAsia" w:ascii="仿宋" w:hAnsi="仿宋" w:eastAsia="仿宋"/>
          <w:b w:val="0"/>
          <w:bCs w:val="0"/>
          <w:color w:val="000000"/>
          <w:sz w:val="32"/>
          <w:szCs w:val="32"/>
          <w:lang w:val="en-US" w:eastAsia="zh-CN"/>
        </w:rPr>
        <w:t>就业补助（款）其他就业补助支出（项）：反映除上述项目以外按规定确定的其他用于促进就业的补助支出。</w:t>
      </w:r>
      <w:r>
        <w:rPr>
          <w:rFonts w:hint="eastAsia" w:ascii="仿宋_GB2312" w:hAnsi="Calibri" w:eastAsia="仿宋_GB2312" w:cs="仿宋"/>
          <w:color w:val="000000"/>
          <w:kern w:val="0"/>
          <w:sz w:val="32"/>
          <w:szCs w:val="32"/>
          <w:lang w:val="en-US" w:eastAsia="zh-CN" w:bidi="ar-SA"/>
        </w:rPr>
        <w:t>抚恤（款）死亡抚恤（项）：反映按规定用于烈士和牺牲、病故人员家属的一次性和定期抚恤金以及丧葬补助费。其他社会保障和就业支出（项）其他保障和就业支出（类）反映除上述项目以外其他用于社会保障和就业方面的支出。</w:t>
      </w:r>
    </w:p>
    <w:p w14:paraId="67FD595E">
      <w:pPr>
        <w:spacing w:line="600" w:lineRule="exact"/>
        <w:ind w:firstLine="640" w:firstLineChars="200"/>
        <w:rPr>
          <w:rStyle w:val="17"/>
          <w:rFonts w:hint="eastAsia" w:ascii="仿宋" w:hAnsi="仿宋" w:eastAsia="仿宋"/>
          <w:b w:val="0"/>
          <w:bCs w:val="0"/>
          <w:color w:val="000000"/>
          <w:sz w:val="32"/>
          <w:szCs w:val="32"/>
          <w:lang w:eastAsia="zh-CN"/>
        </w:rPr>
      </w:pPr>
      <w:r>
        <w:rPr>
          <w:rStyle w:val="17"/>
          <w:rFonts w:hint="eastAsia" w:ascii="仿宋" w:hAnsi="仿宋" w:eastAsia="仿宋"/>
          <w:b w:val="0"/>
          <w:bCs w:val="0"/>
          <w:color w:val="000000"/>
          <w:sz w:val="32"/>
          <w:szCs w:val="32"/>
          <w:lang w:val="en-US" w:eastAsia="zh-CN"/>
        </w:rPr>
        <w:t>十</w:t>
      </w:r>
      <w:r>
        <w:rPr>
          <w:rStyle w:val="17"/>
          <w:rFonts w:ascii="仿宋" w:hAnsi="仿宋" w:eastAsia="仿宋"/>
          <w:b w:val="0"/>
          <w:bCs w:val="0"/>
          <w:color w:val="000000"/>
          <w:sz w:val="32"/>
          <w:szCs w:val="32"/>
        </w:rPr>
        <w:t>.</w:t>
      </w:r>
      <w:r>
        <w:rPr>
          <w:rFonts w:hint="eastAsia" w:ascii="仿宋" w:hAnsi="仿宋" w:eastAsia="仿宋"/>
          <w:b w:val="0"/>
          <w:bCs w:val="0"/>
          <w:color w:val="000000" w:themeColor="text1"/>
          <w:sz w:val="32"/>
          <w:szCs w:val="32"/>
          <w14:textFill>
            <w14:solidFill>
              <w14:schemeClr w14:val="tx1"/>
            </w14:solidFill>
          </w14:textFill>
        </w:rPr>
        <w:t>卫生健康</w:t>
      </w:r>
      <w:r>
        <w:rPr>
          <w:rFonts w:hint="eastAsia" w:ascii="仿宋" w:hAnsi="仿宋" w:eastAsia="仿宋"/>
          <w:b w:val="0"/>
          <w:bCs w:val="0"/>
          <w:color w:val="000000" w:themeColor="text1"/>
          <w:sz w:val="32"/>
          <w:szCs w:val="32"/>
          <w:lang w:eastAsia="zh-CN"/>
          <w14:textFill>
            <w14:solidFill>
              <w14:schemeClr w14:val="tx1"/>
            </w14:solidFill>
          </w14:textFill>
        </w:rPr>
        <w:t>支出</w:t>
      </w:r>
      <w:r>
        <w:rPr>
          <w:rStyle w:val="17"/>
          <w:rFonts w:hint="eastAsia" w:ascii="仿宋" w:hAnsi="仿宋" w:eastAsia="仿宋"/>
          <w:b w:val="0"/>
          <w:bCs w:val="0"/>
          <w:color w:val="000000"/>
          <w:sz w:val="32"/>
          <w:szCs w:val="32"/>
        </w:rPr>
        <w:t>（类）</w:t>
      </w:r>
      <w:r>
        <w:rPr>
          <w:rStyle w:val="17"/>
          <w:rFonts w:hint="eastAsia" w:ascii="仿宋" w:hAnsi="仿宋" w:eastAsia="仿宋"/>
          <w:b w:val="0"/>
          <w:bCs w:val="0"/>
          <w:color w:val="000000"/>
          <w:sz w:val="32"/>
          <w:szCs w:val="32"/>
          <w:lang w:eastAsia="zh-CN"/>
        </w:rPr>
        <w:t>行政事业单位医疗</w:t>
      </w:r>
      <w:r>
        <w:rPr>
          <w:rStyle w:val="17"/>
          <w:rFonts w:hint="eastAsia" w:ascii="仿宋" w:hAnsi="仿宋" w:eastAsia="仿宋"/>
          <w:b w:val="0"/>
          <w:bCs w:val="0"/>
          <w:color w:val="000000"/>
          <w:sz w:val="32"/>
          <w:szCs w:val="32"/>
        </w:rPr>
        <w:t>（款）</w:t>
      </w:r>
      <w:r>
        <w:rPr>
          <w:rStyle w:val="17"/>
          <w:rFonts w:hint="eastAsia" w:ascii="仿宋" w:hAnsi="仿宋" w:eastAsia="仿宋"/>
          <w:b w:val="0"/>
          <w:bCs w:val="0"/>
          <w:color w:val="000000"/>
          <w:sz w:val="32"/>
          <w:szCs w:val="32"/>
          <w:lang w:eastAsia="zh-CN"/>
        </w:rPr>
        <w:t>行政单位医疗</w:t>
      </w:r>
      <w:r>
        <w:rPr>
          <w:rStyle w:val="17"/>
          <w:rFonts w:hint="eastAsia" w:ascii="仿宋" w:hAnsi="仿宋" w:eastAsia="仿宋"/>
          <w:b w:val="0"/>
          <w:bCs w:val="0"/>
          <w:color w:val="000000"/>
          <w:sz w:val="32"/>
          <w:szCs w:val="32"/>
        </w:rPr>
        <w:t>（项）</w:t>
      </w:r>
      <w:r>
        <w:rPr>
          <w:rStyle w:val="17"/>
          <w:rFonts w:ascii="仿宋" w:hAnsi="仿宋" w:eastAsia="仿宋"/>
          <w:b w:val="0"/>
          <w:bCs w:val="0"/>
          <w:color w:val="000000"/>
          <w:sz w:val="32"/>
          <w:szCs w:val="32"/>
        </w:rPr>
        <w:t>:</w:t>
      </w:r>
      <w:r>
        <w:rPr>
          <w:rStyle w:val="17"/>
          <w:rFonts w:hint="eastAsia" w:ascii="仿宋" w:hAnsi="仿宋" w:eastAsia="仿宋"/>
          <w:b w:val="0"/>
          <w:bCs w:val="0"/>
          <w:color w:val="000000"/>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事业单位医疗（项）：反映财政部门安排的事业单位基本医疗保险缴费经费，未参加医疗保险的事业单位的公费医疗经费，按国家规定享受离休人员待遇的医疗经费。</w:t>
      </w:r>
    </w:p>
    <w:p w14:paraId="69021209">
      <w:pPr>
        <w:spacing w:line="600" w:lineRule="exact"/>
        <w:ind w:firstLine="640" w:firstLineChars="200"/>
        <w:rPr>
          <w:rFonts w:ascii="仿宋_GB2312" w:eastAsia="仿宋_GB2312"/>
          <w:b w:val="0"/>
          <w:bCs w:val="0"/>
          <w:color w:val="000000"/>
          <w:sz w:val="32"/>
          <w:szCs w:val="32"/>
        </w:rPr>
      </w:pPr>
      <w:r>
        <w:rPr>
          <w:rStyle w:val="17"/>
          <w:rFonts w:hint="eastAsia" w:ascii="仿宋" w:hAnsi="仿宋" w:eastAsia="仿宋"/>
          <w:b w:val="0"/>
          <w:bCs w:val="0"/>
          <w:color w:val="000000"/>
          <w:sz w:val="32"/>
          <w:szCs w:val="32"/>
          <w:lang w:val="en-US" w:eastAsia="zh-CN"/>
        </w:rPr>
        <w:t>十一、住房保障支出（类）住房改革支出（款）住房公积金（项）：反映行政事业单位按人力资源和社会保障部、财政部规定的基本工资和津贴补贴以及规定比例为职工缴纳的住房公积金。</w:t>
      </w:r>
    </w:p>
    <w:p w14:paraId="132FC52A">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基本支出：指为保障机构正常运转、完成日常工作任务而发生的人员支出和公用支出。</w:t>
      </w:r>
    </w:p>
    <w:p w14:paraId="6EE96D49">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8823333">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lang w:val="en-US" w:eastAsia="zh-CN"/>
        </w:rPr>
        <w:t>四</w:t>
      </w:r>
      <w:r>
        <w:rPr>
          <w:rFonts w:hint="eastAsia" w:ascii="仿宋_GB2312" w:eastAsia="仿宋_GB2312"/>
          <w:sz w:val="32"/>
          <w:szCs w:val="32"/>
          <w:lang w:eastAsia="zh-CN"/>
        </w:rPr>
        <w:t>、</w:t>
      </w:r>
      <w:r>
        <w:rPr>
          <w:rFonts w:hint="eastAsia" w:ascii="仿宋_GB2312" w:eastAsia="仿宋_GB2312"/>
          <w:sz w:val="32"/>
          <w:szCs w:val="32"/>
        </w:rPr>
        <w:t>经营支出：指事业单位在专业业务活动及其辅助活动之外开展非独立核算经营活动发生的支出。</w:t>
      </w:r>
    </w:p>
    <w:p w14:paraId="66A250D5">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十</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7EDE55">
      <w:pPr>
        <w:pStyle w:val="26"/>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十</w:t>
      </w:r>
      <w:r>
        <w:rPr>
          <w:rFonts w:hint="eastAsia" w:ascii="仿宋_GB2312" w:eastAsia="仿宋_GB2312"/>
          <w:color w:val="auto"/>
          <w:sz w:val="32"/>
          <w:szCs w:val="32"/>
          <w:lang w:val="en-US" w:eastAsia="zh-CN"/>
        </w:rPr>
        <w:t>六</w:t>
      </w:r>
      <w:r>
        <w:rPr>
          <w:rFonts w:hint="eastAsia" w:ascii="仿宋_GB2312" w:eastAsia="仿宋_GB2312"/>
          <w:color w:val="auto"/>
          <w:sz w:val="32"/>
          <w:szCs w:val="32"/>
          <w:lang w:eastAsia="zh-CN"/>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88F3C1">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p>
    <w:p w14:paraId="205FA0AC">
      <w:pPr>
        <w:spacing w:line="600" w:lineRule="exact"/>
        <w:jc w:val="center"/>
        <w:outlineLvl w:val="0"/>
        <w:rPr>
          <w:rStyle w:val="28"/>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8"/>
          <w:rFonts w:hint="eastAsia" w:ascii="黑体" w:hAnsi="黑体" w:eastAsia="黑体"/>
          <w:b w:val="0"/>
        </w:rPr>
        <w:t>四部分 附件</w:t>
      </w:r>
      <w:bookmarkEnd w:id="54"/>
    </w:p>
    <w:p w14:paraId="767E2154">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470CD417">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rPr>
        <w:t>202</w:t>
      </w:r>
      <w:r>
        <w:rPr>
          <w:rFonts w:hint="eastAsia" w:ascii="方正小标宋_GBK" w:hAnsi="方正小标宋_GBK" w:eastAsia="方正小标宋_GBK" w:cs="方正小标宋_GBK"/>
          <w:kern w:val="0"/>
          <w:sz w:val="44"/>
          <w:szCs w:val="44"/>
          <w:lang w:val="en-US" w:eastAsia="zh-CN"/>
        </w:rPr>
        <w:t>2</w:t>
      </w:r>
      <w:r>
        <w:rPr>
          <w:rFonts w:hint="eastAsia" w:ascii="方正小标宋_GBK" w:hAnsi="方正小标宋_GBK" w:eastAsia="方正小标宋_GBK" w:cs="方正小标宋_GBK"/>
          <w:kern w:val="0"/>
          <w:sz w:val="44"/>
          <w:szCs w:val="44"/>
        </w:rPr>
        <w:t>年</w:t>
      </w:r>
      <w:r>
        <w:rPr>
          <w:rFonts w:hint="eastAsia" w:ascii="方正小标宋_GBK" w:hAnsi="方正小标宋_GBK" w:eastAsia="方正小标宋_GBK" w:cs="方正小标宋_GBK"/>
          <w:kern w:val="0"/>
          <w:sz w:val="44"/>
          <w:szCs w:val="44"/>
          <w:lang w:eastAsia="zh-CN"/>
        </w:rPr>
        <w:t>峨眉山市人力资源和社会保障局</w:t>
      </w:r>
    </w:p>
    <w:p w14:paraId="5E1E3C80">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rPr>
        <w:t>部门整体绩效评价报告</w:t>
      </w:r>
    </w:p>
    <w:p w14:paraId="1EAD91ED">
      <w:pPr>
        <w:widowControl/>
        <w:spacing w:line="560" w:lineRule="exact"/>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（报告范围包括机关和下属单位）</w:t>
      </w:r>
    </w:p>
    <w:p w14:paraId="6B039D31">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14:paraId="4B364B76">
      <w:pPr>
        <w:widowControl/>
        <w:numPr>
          <w:ilvl w:val="0"/>
          <w:numId w:val="4"/>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14:paraId="6C225E89">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w:t>
      </w:r>
    </w:p>
    <w:p w14:paraId="4B3C559A">
      <w:pPr>
        <w:pStyle w:val="2"/>
        <w:ind w:firstLine="640" w:firstLineChars="200"/>
        <w:rPr>
          <w:lang w:val="zh-CN"/>
        </w:rPr>
      </w:pPr>
      <w:r>
        <w:rPr>
          <w:rFonts w:hint="eastAsia" w:ascii="仿宋" w:hAnsi="仿宋" w:eastAsia="仿宋"/>
          <w:sz w:val="32"/>
          <w:szCs w:val="32"/>
          <w:lang w:eastAsia="zh-CN"/>
        </w:rPr>
        <w:t>峨眉山市人力资源和社会保障局</w:t>
      </w:r>
      <w:r>
        <w:rPr>
          <w:rFonts w:hint="eastAsia" w:ascii="仿宋" w:hAnsi="仿宋" w:eastAsia="仿宋"/>
          <w:sz w:val="32"/>
          <w:szCs w:val="32"/>
        </w:rPr>
        <w:t>下属二级单位</w:t>
      </w:r>
      <w:r>
        <w:rPr>
          <w:rFonts w:hint="eastAsia" w:ascii="仿宋" w:hAnsi="仿宋" w:eastAsia="仿宋"/>
          <w:sz w:val="32"/>
          <w:szCs w:val="32"/>
          <w:lang w:val="en-US" w:eastAsia="zh-CN"/>
        </w:rPr>
        <w:t>5</w:t>
      </w:r>
      <w:r>
        <w:rPr>
          <w:rFonts w:hint="eastAsia" w:ascii="仿宋" w:hAnsi="仿宋" w:eastAsia="仿宋"/>
          <w:sz w:val="32"/>
          <w:szCs w:val="32"/>
        </w:rPr>
        <w:t>个，其中</w:t>
      </w:r>
      <w:r>
        <w:rPr>
          <w:rFonts w:hint="eastAsia" w:ascii="仿宋" w:hAnsi="仿宋" w:eastAsia="仿宋"/>
          <w:sz w:val="32"/>
          <w:szCs w:val="32"/>
          <w:lang w:eastAsia="zh-CN"/>
        </w:rPr>
        <w:t>行政单位</w:t>
      </w:r>
      <w:r>
        <w:rPr>
          <w:rFonts w:hint="eastAsia" w:ascii="仿宋" w:hAnsi="仿宋" w:eastAsia="仿宋"/>
          <w:sz w:val="32"/>
          <w:szCs w:val="32"/>
          <w:lang w:val="en-US" w:eastAsia="zh-CN"/>
        </w:rPr>
        <w:t>1个，</w:t>
      </w:r>
      <w:r>
        <w:rPr>
          <w:rFonts w:hint="eastAsia" w:ascii="仿宋" w:hAnsi="仿宋" w:eastAsia="仿宋"/>
          <w:sz w:val="32"/>
          <w:szCs w:val="32"/>
        </w:rPr>
        <w:t>参照公务员法管理的事业单位</w:t>
      </w:r>
      <w:r>
        <w:rPr>
          <w:rFonts w:hint="eastAsia" w:ascii="仿宋" w:hAnsi="仿宋" w:eastAsia="仿宋"/>
          <w:bCs/>
          <w:sz w:val="32"/>
          <w:szCs w:val="32"/>
          <w:lang w:val="en-US" w:eastAsia="zh-CN"/>
        </w:rPr>
        <w:t>3</w:t>
      </w:r>
      <w:r>
        <w:rPr>
          <w:rFonts w:hint="eastAsia" w:ascii="仿宋" w:hAnsi="仿宋" w:eastAsia="仿宋"/>
          <w:sz w:val="32"/>
          <w:szCs w:val="32"/>
        </w:rPr>
        <w:t>个</w:t>
      </w:r>
      <w:r>
        <w:rPr>
          <w:rFonts w:hint="eastAsia" w:ascii="仿宋" w:hAnsi="仿宋" w:eastAsia="仿宋"/>
          <w:sz w:val="32"/>
          <w:szCs w:val="32"/>
          <w:lang w:eastAsia="zh-CN"/>
        </w:rPr>
        <w:t>，分别</w:t>
      </w:r>
      <w:r>
        <w:rPr>
          <w:rFonts w:hint="eastAsia" w:ascii="仿宋" w:hAnsi="仿宋" w:eastAsia="仿宋"/>
          <w:sz w:val="32"/>
          <w:szCs w:val="32"/>
        </w:rPr>
        <w:t>为</w:t>
      </w:r>
      <w:r>
        <w:rPr>
          <w:rFonts w:hint="eastAsia"/>
          <w:color w:val="000000"/>
          <w:sz w:val="32"/>
          <w:szCs w:val="32"/>
        </w:rPr>
        <w:t>峨眉山市</w:t>
      </w:r>
      <w:r>
        <w:rPr>
          <w:rFonts w:hint="eastAsia"/>
          <w:sz w:val="32"/>
          <w:szCs w:val="32"/>
        </w:rPr>
        <w:t>劳动监察大队、</w:t>
      </w:r>
      <w:r>
        <w:rPr>
          <w:rFonts w:hint="eastAsia" w:ascii="仿宋" w:hAnsi="仿宋" w:eastAsia="仿宋"/>
          <w:sz w:val="32"/>
          <w:szCs w:val="32"/>
        </w:rPr>
        <w:t>峨眉山市社会保险</w:t>
      </w:r>
      <w:r>
        <w:rPr>
          <w:rFonts w:hint="eastAsia" w:ascii="仿宋" w:hAnsi="仿宋" w:eastAsia="仿宋"/>
          <w:sz w:val="32"/>
          <w:szCs w:val="32"/>
          <w:lang w:eastAsia="zh-CN"/>
        </w:rPr>
        <w:t>事务中心</w:t>
      </w:r>
      <w:r>
        <w:rPr>
          <w:rFonts w:hint="eastAsia" w:ascii="仿宋" w:hAnsi="仿宋" w:eastAsia="仿宋"/>
          <w:sz w:val="32"/>
          <w:szCs w:val="32"/>
        </w:rPr>
        <w:t>、峨眉山市就业</w:t>
      </w:r>
      <w:r>
        <w:rPr>
          <w:rFonts w:hint="eastAsia" w:ascii="仿宋" w:hAnsi="仿宋" w:eastAsia="仿宋"/>
          <w:sz w:val="32"/>
          <w:szCs w:val="32"/>
          <w:lang w:eastAsia="zh-CN"/>
        </w:rPr>
        <w:t>创业促进中心。</w:t>
      </w:r>
      <w:r>
        <w:rPr>
          <w:rFonts w:hint="eastAsia" w:ascii="仿宋" w:hAnsi="仿宋" w:eastAsia="仿宋"/>
          <w:sz w:val="32"/>
          <w:szCs w:val="32"/>
        </w:rPr>
        <w:t>其他事业单位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w:t>
      </w:r>
      <w:r>
        <w:rPr>
          <w:rFonts w:hint="eastAsia"/>
          <w:color w:val="000000"/>
          <w:sz w:val="32"/>
          <w:szCs w:val="32"/>
        </w:rPr>
        <w:t>为</w:t>
      </w:r>
      <w:r>
        <w:rPr>
          <w:rFonts w:hint="eastAsia"/>
          <w:sz w:val="32"/>
          <w:szCs w:val="32"/>
        </w:rPr>
        <w:t>峨眉山市劳动人事争议仲裁院</w:t>
      </w:r>
      <w:r>
        <w:rPr>
          <w:rFonts w:hint="eastAsia"/>
          <w:color w:val="000000"/>
          <w:sz w:val="32"/>
          <w:szCs w:val="32"/>
        </w:rPr>
        <w:t>。</w:t>
      </w:r>
    </w:p>
    <w:p w14:paraId="35A06A87">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14:paraId="4540DDD1">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en-US" w:eastAsia="zh-CN"/>
        </w:rPr>
        <w:t>一、</w:t>
      </w:r>
      <w:r>
        <w:rPr>
          <w:rFonts w:hint="eastAsia" w:ascii="楷体_GB2312" w:hAnsi="楷体_GB2312" w:eastAsia="楷体_GB2312" w:cs="楷体_GB2312"/>
          <w:kern w:val="0"/>
          <w:sz w:val="32"/>
          <w:szCs w:val="32"/>
          <w:shd w:val="clear" w:color="auto" w:fill="FFFFFF"/>
          <w:lang w:val="zh-CN"/>
        </w:rPr>
        <w:t>机构职能</w:t>
      </w:r>
    </w:p>
    <w:p w14:paraId="64C73EEF">
      <w:pPr>
        <w:pStyle w:val="2"/>
        <w:adjustRightInd w:val="0"/>
        <w:snapToGrid w:val="0"/>
        <w:spacing w:before="93" w:line="600" w:lineRule="exact"/>
        <w:ind w:firstLine="672" w:firstLineChars="210"/>
        <w:outlineLvl w:val="2"/>
        <w:rPr>
          <w:rFonts w:hint="eastAsia" w:ascii="楷体_GB2312" w:hAnsi="楷体_GB2312" w:eastAsia="楷体_GB2312" w:cs="楷体_GB2312"/>
          <w:kern w:val="0"/>
          <w:sz w:val="32"/>
          <w:szCs w:val="32"/>
          <w:shd w:val="clear" w:color="auto" w:fill="FFFFFF"/>
          <w:lang w:val="zh-CN"/>
        </w:rPr>
      </w:pPr>
      <w:r>
        <w:rPr>
          <w:rFonts w:ascii="仿宋_GB2312" w:eastAsia="仿宋_GB2312"/>
          <w:sz w:val="32"/>
          <w:szCs w:val="32"/>
        </w:rPr>
        <w:t>1</w:t>
      </w:r>
      <w:r>
        <w:rPr>
          <w:rFonts w:hint="eastAsia" w:ascii="仿宋_GB2312" w:eastAsia="仿宋_GB2312"/>
          <w:sz w:val="32"/>
          <w:szCs w:val="32"/>
        </w:rPr>
        <w:t>、贯彻执行</w:t>
      </w:r>
      <w:r>
        <w:rPr>
          <w:rFonts w:hint="eastAsia"/>
          <w:sz w:val="32"/>
          <w:szCs w:val="32"/>
          <w:lang w:eastAsia="zh-CN"/>
        </w:rPr>
        <w:t>人力资源和</w:t>
      </w:r>
      <w:r>
        <w:rPr>
          <w:rFonts w:hint="eastAsia" w:ascii="仿宋_GB2312" w:eastAsia="仿宋_GB2312"/>
          <w:sz w:val="32"/>
          <w:szCs w:val="32"/>
        </w:rPr>
        <w:t>社会保障工作的相关法律、法规、规章和政策，起草</w:t>
      </w:r>
      <w:r>
        <w:rPr>
          <w:rFonts w:hint="eastAsia"/>
          <w:sz w:val="32"/>
          <w:szCs w:val="32"/>
          <w:lang w:eastAsia="zh-CN"/>
        </w:rPr>
        <w:t>人力资源和</w:t>
      </w:r>
      <w:r>
        <w:rPr>
          <w:rFonts w:hint="eastAsia" w:ascii="仿宋_GB2312" w:eastAsia="仿宋_GB2312"/>
          <w:sz w:val="32"/>
          <w:szCs w:val="32"/>
        </w:rPr>
        <w:t>社会保障事业地方性实施办法，拟订全市</w:t>
      </w:r>
      <w:r>
        <w:rPr>
          <w:rFonts w:hint="eastAsia"/>
          <w:sz w:val="32"/>
          <w:szCs w:val="32"/>
          <w:lang w:eastAsia="zh-CN"/>
        </w:rPr>
        <w:t>人力资源和</w:t>
      </w:r>
      <w:r>
        <w:rPr>
          <w:rFonts w:hint="eastAsia" w:ascii="仿宋_GB2312" w:eastAsia="仿宋_GB2312"/>
          <w:sz w:val="32"/>
          <w:szCs w:val="32"/>
        </w:rPr>
        <w:t>社会保障事业发展规划、政策并组织实施和监督检查；</w:t>
      </w:r>
      <w:r>
        <w:rPr>
          <w:rFonts w:ascii="仿宋_GB2312" w:eastAsia="仿宋_GB2312"/>
          <w:sz w:val="32"/>
          <w:szCs w:val="32"/>
        </w:rPr>
        <w:t>2</w:t>
      </w:r>
      <w:r>
        <w:rPr>
          <w:rFonts w:hint="eastAsia" w:ascii="仿宋_GB2312" w:eastAsia="仿宋_GB2312"/>
          <w:sz w:val="32"/>
          <w:szCs w:val="32"/>
        </w:rPr>
        <w:t>、拟订并组织实施</w:t>
      </w:r>
      <w:r>
        <w:rPr>
          <w:rFonts w:hint="eastAsia"/>
          <w:sz w:val="32"/>
          <w:szCs w:val="32"/>
          <w:lang w:eastAsia="zh-CN"/>
        </w:rPr>
        <w:t>人力资源和</w:t>
      </w:r>
      <w:r>
        <w:rPr>
          <w:rFonts w:hint="eastAsia" w:ascii="仿宋_GB2312" w:eastAsia="仿宋_GB2312"/>
          <w:sz w:val="32"/>
          <w:szCs w:val="32"/>
        </w:rPr>
        <w:t>市场发展规划和</w:t>
      </w:r>
      <w:r>
        <w:rPr>
          <w:rFonts w:hint="eastAsia"/>
          <w:sz w:val="32"/>
          <w:szCs w:val="32"/>
          <w:lang w:eastAsia="zh-CN"/>
        </w:rPr>
        <w:t>人力资源和</w:t>
      </w:r>
      <w:r>
        <w:rPr>
          <w:rFonts w:hint="eastAsia" w:ascii="仿宋_GB2312" w:eastAsia="仿宋_GB2312"/>
          <w:sz w:val="32"/>
          <w:szCs w:val="32"/>
        </w:rPr>
        <w:t>流动政策，建立全市统一规范的</w:t>
      </w:r>
      <w:r>
        <w:rPr>
          <w:rFonts w:hint="eastAsia"/>
          <w:sz w:val="32"/>
          <w:szCs w:val="32"/>
          <w:lang w:eastAsia="zh-CN"/>
        </w:rPr>
        <w:t>人力资源和</w:t>
      </w:r>
      <w:r>
        <w:rPr>
          <w:rFonts w:hint="eastAsia" w:ascii="仿宋_GB2312" w:eastAsia="仿宋_GB2312"/>
          <w:sz w:val="32"/>
          <w:szCs w:val="32"/>
        </w:rPr>
        <w:t>市场，促进</w:t>
      </w:r>
      <w:r>
        <w:rPr>
          <w:rFonts w:hint="eastAsia"/>
          <w:sz w:val="32"/>
          <w:szCs w:val="32"/>
          <w:lang w:eastAsia="zh-CN"/>
        </w:rPr>
        <w:t>人力资源和</w:t>
      </w:r>
      <w:r>
        <w:rPr>
          <w:rFonts w:hint="eastAsia" w:ascii="仿宋_GB2312" w:eastAsia="仿宋_GB2312"/>
          <w:sz w:val="32"/>
          <w:szCs w:val="32"/>
        </w:rPr>
        <w:t>合理流动、有效配置；</w:t>
      </w:r>
      <w:r>
        <w:rPr>
          <w:rFonts w:ascii="仿宋_GB2312" w:eastAsia="仿宋_GB2312"/>
          <w:sz w:val="32"/>
          <w:szCs w:val="32"/>
        </w:rPr>
        <w:t>3</w:t>
      </w:r>
      <w:r>
        <w:rPr>
          <w:rFonts w:hint="eastAsia" w:ascii="仿宋_GB2312" w:eastAsia="仿宋_GB2312"/>
          <w:sz w:val="32"/>
          <w:szCs w:val="32"/>
        </w:rPr>
        <w:t>、负责促进就业工作；</w:t>
      </w:r>
      <w:r>
        <w:rPr>
          <w:rFonts w:ascii="仿宋_GB2312" w:eastAsia="仿宋_GB2312"/>
          <w:sz w:val="32"/>
          <w:szCs w:val="32"/>
        </w:rPr>
        <w:t>4</w:t>
      </w:r>
      <w:r>
        <w:rPr>
          <w:rFonts w:hint="eastAsia" w:ascii="仿宋_GB2312" w:eastAsia="仿宋_GB2312"/>
          <w:sz w:val="32"/>
          <w:szCs w:val="32"/>
        </w:rPr>
        <w:t>、统筹建立覆盖城乡的社会保障体系；</w:t>
      </w:r>
      <w:r>
        <w:rPr>
          <w:rFonts w:ascii="仿宋_GB2312" w:eastAsia="仿宋_GB2312"/>
          <w:sz w:val="32"/>
          <w:szCs w:val="32"/>
        </w:rPr>
        <w:t>5</w:t>
      </w:r>
      <w:r>
        <w:rPr>
          <w:rFonts w:hint="eastAsia" w:ascii="仿宋_GB2312" w:eastAsia="仿宋_GB2312"/>
          <w:sz w:val="32"/>
          <w:szCs w:val="32"/>
        </w:rPr>
        <w:t>、负责就业、失业、社会保险基金预测预警和信息引导，拟订应对预案，保持就业形势稳定和社会保险基金总体收支平衡；</w:t>
      </w:r>
      <w:r>
        <w:rPr>
          <w:rFonts w:ascii="仿宋_GB2312" w:eastAsia="仿宋_GB2312"/>
          <w:sz w:val="32"/>
          <w:szCs w:val="32"/>
        </w:rPr>
        <w:t>6</w:t>
      </w:r>
      <w:r>
        <w:rPr>
          <w:rFonts w:hint="eastAsia" w:ascii="仿宋_GB2312" w:eastAsia="仿宋_GB2312"/>
          <w:sz w:val="32"/>
          <w:szCs w:val="32"/>
        </w:rPr>
        <w:t>、综合管理全市事业单位工作人员；</w:t>
      </w:r>
      <w:r>
        <w:rPr>
          <w:rFonts w:ascii="仿宋_GB2312" w:eastAsia="仿宋_GB2312"/>
          <w:sz w:val="32"/>
          <w:szCs w:val="32"/>
        </w:rPr>
        <w:t>7</w:t>
      </w:r>
      <w:r>
        <w:rPr>
          <w:rFonts w:hint="eastAsia" w:ascii="仿宋_GB2312" w:eastAsia="仿宋_GB2312"/>
          <w:sz w:val="32"/>
          <w:szCs w:val="32"/>
        </w:rPr>
        <w:t>会同有关部门拟订机关、事业单位人员工资收入分配政策和企业职工工资收入分配调控政策等；</w:t>
      </w:r>
      <w:r>
        <w:rPr>
          <w:rFonts w:ascii="仿宋_GB2312" w:eastAsia="仿宋_GB2312"/>
          <w:sz w:val="32"/>
          <w:szCs w:val="32"/>
        </w:rPr>
        <w:t>8</w:t>
      </w:r>
      <w:r>
        <w:rPr>
          <w:rFonts w:hint="eastAsia" w:ascii="仿宋_GB2312" w:eastAsia="仿宋_GB2312"/>
          <w:sz w:val="32"/>
          <w:szCs w:val="32"/>
        </w:rPr>
        <w:t>、会同有关部门指导事业单位人事制度改革；</w:t>
      </w:r>
      <w:r>
        <w:rPr>
          <w:rFonts w:hint="eastAsia"/>
          <w:sz w:val="32"/>
          <w:szCs w:val="32"/>
          <w:lang w:val="en-US" w:eastAsia="zh-CN"/>
        </w:rPr>
        <w:t>9</w:t>
      </w:r>
      <w:r>
        <w:rPr>
          <w:rFonts w:hint="eastAsia" w:ascii="仿宋_GB2312" w:eastAsia="仿宋_GB2312"/>
          <w:sz w:val="32"/>
          <w:szCs w:val="32"/>
        </w:rPr>
        <w:t>、会同有关部门拟订劳务开发及农民工工作综合性政策和规划并推动相关政策的落实；</w:t>
      </w:r>
      <w:r>
        <w:rPr>
          <w:rFonts w:hint="eastAsia"/>
          <w:sz w:val="32"/>
          <w:szCs w:val="32"/>
          <w:lang w:val="en-US" w:eastAsia="zh-CN"/>
        </w:rPr>
        <w:t>10</w:t>
      </w:r>
      <w:r>
        <w:rPr>
          <w:rFonts w:hint="eastAsia" w:ascii="仿宋_GB2312" w:eastAsia="仿宋_GB2312"/>
          <w:sz w:val="32"/>
          <w:szCs w:val="32"/>
        </w:rPr>
        <w:t>、组织实施劳动、人事争议调解仲裁制度和劳动关系政策；</w:t>
      </w:r>
      <w:r>
        <w:rPr>
          <w:rFonts w:hint="eastAsia"/>
          <w:sz w:val="32"/>
          <w:szCs w:val="32"/>
          <w:lang w:val="en-US" w:eastAsia="zh-CN"/>
        </w:rPr>
        <w:t>11、统筹推进承担行政职业的事业单位改革；12、负责职责范围内的安全生产和职业健康、生态环境保护、审批服务便民化等工作；13、完成市委、市政府交办的其他事项。</w:t>
      </w:r>
    </w:p>
    <w:p w14:paraId="4FE749E1">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en-US" w:eastAsia="zh-CN"/>
        </w:rPr>
        <w:t>二、</w:t>
      </w:r>
      <w:r>
        <w:rPr>
          <w:rFonts w:hint="eastAsia" w:ascii="楷体_GB2312" w:hAnsi="楷体_GB2312" w:eastAsia="楷体_GB2312" w:cs="楷体_GB2312"/>
          <w:kern w:val="0"/>
          <w:sz w:val="32"/>
          <w:szCs w:val="32"/>
          <w:shd w:val="clear" w:color="auto" w:fill="FFFFFF"/>
          <w:lang w:val="zh-CN"/>
        </w:rPr>
        <w:t>人员概况</w:t>
      </w:r>
    </w:p>
    <w:p w14:paraId="0B7541C4">
      <w:pPr>
        <w:widowControl/>
        <w:adjustRightInd w:val="0"/>
        <w:snapToGrid w:val="0"/>
        <w:spacing w:line="580" w:lineRule="exact"/>
        <w:ind w:firstLine="720"/>
        <w:jc w:val="left"/>
        <w:rPr>
          <w:rFonts w:hint="eastAsia" w:ascii="楷体_GB2312" w:hAnsi="楷体_GB2312" w:eastAsia="楷体_GB2312" w:cs="楷体_GB2312"/>
          <w:b/>
          <w:bCs/>
          <w:kern w:val="0"/>
          <w:sz w:val="32"/>
          <w:szCs w:val="32"/>
          <w:shd w:val="clear" w:color="auto" w:fill="FFFFFF"/>
          <w:lang w:val="zh-CN"/>
        </w:rPr>
      </w:pPr>
      <w:r>
        <w:rPr>
          <w:rFonts w:hint="eastAsia" w:ascii="仿宋" w:hAnsi="仿宋" w:eastAsia="仿宋" w:cs="Times New Roman"/>
          <w:kern w:val="0"/>
          <w:sz w:val="32"/>
          <w:szCs w:val="32"/>
          <w:lang w:val="en-US" w:eastAsia="zh-CN" w:bidi="ar-SA"/>
        </w:rPr>
        <w:t>2022年未，我局实有人数65人，其中：行政人员15人，参照公务员法管理事业人员45人，非参公事业人员5人。</w:t>
      </w:r>
    </w:p>
    <w:p w14:paraId="3CC773E3">
      <w:pPr>
        <w:widowControl/>
        <w:adjustRightInd w:val="0"/>
        <w:snapToGrid w:val="0"/>
        <w:spacing w:line="560" w:lineRule="exact"/>
        <w:ind w:firstLine="643" w:firstLineChars="200"/>
        <w:contextualSpacing/>
        <w:jc w:val="left"/>
        <w:rPr>
          <w:rFonts w:hint="eastAsia" w:ascii="黑体" w:hAnsi="黑体" w:eastAsia="黑体" w:cs="黑体"/>
          <w:color w:val="auto"/>
          <w:sz w:val="32"/>
          <w:szCs w:val="32"/>
          <w:highlight w:val="none"/>
          <w:u w:val="none"/>
          <w:lang w:val="en-US" w:eastAsia="zh-CN"/>
        </w:rPr>
      </w:pPr>
      <w:r>
        <w:rPr>
          <w:rFonts w:hint="eastAsia" w:ascii="楷体_GB2312" w:hAnsi="楷体_GB2312" w:eastAsia="楷体_GB2312" w:cs="楷体_GB2312"/>
          <w:b/>
          <w:bCs/>
          <w:kern w:val="0"/>
          <w:sz w:val="32"/>
          <w:szCs w:val="32"/>
          <w:shd w:val="clear" w:color="auto" w:fill="FFFFFF"/>
          <w:lang w:val="zh-CN"/>
        </w:rPr>
        <w:t>（三）年度主要工作任务。</w:t>
      </w:r>
    </w:p>
    <w:p w14:paraId="4CD7B1F8">
      <w:pPr>
        <w:keepNext w:val="0"/>
        <w:keepLines w:val="0"/>
        <w:pageBreakBefore w:val="0"/>
        <w:numPr>
          <w:ilvl w:val="0"/>
          <w:numId w:val="0"/>
        </w:numPr>
        <w:kinsoku/>
        <w:wordWrap/>
        <w:overflowPunct/>
        <w:topLinePunct w:val="0"/>
        <w:autoSpaceDE/>
        <w:autoSpaceDN/>
        <w:bidi w:val="0"/>
        <w:spacing w:line="600" w:lineRule="exact"/>
        <w:ind w:left="640" w:leftChars="0"/>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color w:val="auto"/>
          <w:sz w:val="32"/>
          <w:szCs w:val="32"/>
          <w:highlight w:val="none"/>
          <w:lang w:eastAsia="zh-CN"/>
        </w:rPr>
        <w:t>重点民生工程目标完成情况。</w:t>
      </w:r>
    </w:p>
    <w:p w14:paraId="23C5AAE0">
      <w:pPr>
        <w:pStyle w:val="13"/>
        <w:keepNext w:val="0"/>
        <w:keepLines w:val="0"/>
        <w:pageBreakBefore w:val="0"/>
        <w:kinsoku/>
        <w:wordWrap/>
        <w:overflowPunct/>
        <w:topLinePunct w:val="0"/>
        <w:autoSpaceDE/>
        <w:autoSpaceDN/>
        <w:bidi w:val="0"/>
        <w:spacing w:line="600" w:lineRule="exact"/>
        <w:textAlignment w:val="auto"/>
        <w:rPr>
          <w:rFonts w:hint="eastAsia"/>
          <w:color w:val="auto"/>
          <w:highlight w:val="none"/>
        </w:rPr>
      </w:pPr>
      <w:r>
        <w:rPr>
          <w:rFonts w:hint="eastAsia"/>
          <w:color w:val="auto"/>
          <w:highlight w:val="none"/>
        </w:rPr>
        <w:t>社保方面。完成代缴低保对象、特困人员、返贫致贫人口等困难群体城乡居民基本养老保险个人缴费部分648</w:t>
      </w:r>
      <w:r>
        <w:rPr>
          <w:color w:val="auto"/>
          <w:highlight w:val="none"/>
        </w:rPr>
        <w:t>8</w:t>
      </w:r>
      <w:r>
        <w:rPr>
          <w:rFonts w:hint="eastAsia"/>
          <w:color w:val="auto"/>
          <w:highlight w:val="none"/>
        </w:rPr>
        <w:t>人，完成比例达到10</w:t>
      </w:r>
      <w:r>
        <w:rPr>
          <w:color w:val="auto"/>
          <w:highlight w:val="none"/>
        </w:rPr>
        <w:t>1</w:t>
      </w:r>
      <w:r>
        <w:rPr>
          <w:rFonts w:hint="eastAsia"/>
          <w:color w:val="auto"/>
          <w:highlight w:val="none"/>
        </w:rPr>
        <w:t>%。向上争取中央、省、市城乡居民养老保险配套资金4751.57万元，完成比例达到100%。为符合条件的11.</w:t>
      </w:r>
      <w:r>
        <w:rPr>
          <w:color w:val="auto"/>
          <w:highlight w:val="none"/>
        </w:rPr>
        <w:t xml:space="preserve"> 61</w:t>
      </w:r>
      <w:r>
        <w:rPr>
          <w:rFonts w:hint="eastAsia"/>
          <w:color w:val="auto"/>
          <w:highlight w:val="none"/>
        </w:rPr>
        <w:t>万名退休人员按时足额发放养老金，实现应发尽发。其中城乡居民养老金领取人员38</w:t>
      </w:r>
      <w:r>
        <w:rPr>
          <w:color w:val="auto"/>
          <w:highlight w:val="none"/>
        </w:rPr>
        <w:t>718</w:t>
      </w:r>
      <w:r>
        <w:rPr>
          <w:rFonts w:hint="eastAsia"/>
          <w:color w:val="auto"/>
          <w:highlight w:val="none"/>
        </w:rPr>
        <w:t>人，完成目标任务38400人的10</w:t>
      </w:r>
      <w:r>
        <w:rPr>
          <w:color w:val="auto"/>
          <w:highlight w:val="none"/>
        </w:rPr>
        <w:t>1</w:t>
      </w:r>
      <w:r>
        <w:rPr>
          <w:rFonts w:hint="eastAsia"/>
          <w:color w:val="auto"/>
          <w:highlight w:val="none"/>
        </w:rPr>
        <w:t>%；企业养老金领取人员72</w:t>
      </w:r>
      <w:r>
        <w:rPr>
          <w:color w:val="auto"/>
          <w:highlight w:val="none"/>
        </w:rPr>
        <w:t>521</w:t>
      </w:r>
      <w:r>
        <w:rPr>
          <w:rFonts w:hint="eastAsia"/>
          <w:color w:val="auto"/>
          <w:highlight w:val="none"/>
        </w:rPr>
        <w:t>人，完成目标任务68900人的105%；机关养老金领取人员49</w:t>
      </w:r>
      <w:r>
        <w:rPr>
          <w:color w:val="auto"/>
          <w:highlight w:val="none"/>
        </w:rPr>
        <w:t>02</w:t>
      </w:r>
      <w:r>
        <w:rPr>
          <w:rFonts w:hint="eastAsia"/>
          <w:color w:val="auto"/>
          <w:highlight w:val="none"/>
        </w:rPr>
        <w:t>人，完成目标任务4500人的109%。</w:t>
      </w:r>
    </w:p>
    <w:p w14:paraId="38154B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Times New Roman"/>
          <w:color w:val="auto"/>
          <w:kern w:val="2"/>
          <w:sz w:val="32"/>
          <w:szCs w:val="32"/>
          <w:highlight w:val="none"/>
          <w:lang w:val="en-US" w:eastAsia="zh-CN" w:bidi="ar-SA"/>
        </w:rPr>
      </w:pPr>
      <w:r>
        <w:rPr>
          <w:rFonts w:hint="eastAsia" w:ascii="仿宋_GB2312" w:hAnsi="Calibri" w:eastAsia="仿宋_GB2312" w:cs="Times New Roman"/>
          <w:color w:val="auto"/>
          <w:kern w:val="2"/>
          <w:sz w:val="32"/>
          <w:szCs w:val="32"/>
          <w:highlight w:val="none"/>
          <w:lang w:val="en-US" w:eastAsia="zh-CN" w:bidi="ar-SA"/>
        </w:rPr>
        <w:t>就业方面。1-11月，我市城镇新增就业8048人，完成目标任务7200人的112%；失业人员再就业1751人，完成目标任务1680人的104%；就业困难人员再就业555人，完成目标任务550人的101%。城镇登记失业率3.47%，控制在目标数据4.4%以内。</w:t>
      </w:r>
    </w:p>
    <w:p w14:paraId="760680A3">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二、工作特色亮点</w:t>
      </w:r>
    </w:p>
    <w:p w14:paraId="1D16CDC1">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1.牢党建引领之基，扎实推进全面从严治党</w:t>
      </w:r>
    </w:p>
    <w:p w14:paraId="26A17187">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val="0"/>
          <w:bCs w:val="0"/>
          <w:color w:val="auto"/>
          <w:spacing w:val="0"/>
          <w:kern w:val="2"/>
          <w:sz w:val="32"/>
          <w:szCs w:val="32"/>
          <w:highlight w:val="none"/>
          <w:lang w:val="en-US" w:eastAsia="zh-CN" w:bidi="ar-SA"/>
        </w:rPr>
        <w:t>认真学习宣传贯彻党的二十大精神，</w:t>
      </w:r>
      <w:r>
        <w:rPr>
          <w:rFonts w:hint="eastAsia" w:ascii="仿宋_GB2312" w:eastAsia="仿宋_GB2312"/>
          <w:color w:val="auto"/>
          <w:sz w:val="32"/>
          <w:szCs w:val="32"/>
          <w:highlight w:val="none"/>
        </w:rPr>
        <w:t>持续推进党史学习教育走深走实</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真学习宣传贯彻党的二十大精神，持续推进党史学习教育走深走实，增强“四个意识”，坚定“四个自信”，做到“两个维护”。聚焦全市工作重点，着力强化党建引领，统筹抓好疫情防控、乡村。聚焦全市工作重点，</w:t>
      </w:r>
      <w:r>
        <w:rPr>
          <w:rFonts w:hint="eastAsia" w:ascii="仿宋_GB2312" w:hAnsi="微软雅黑" w:eastAsia="仿宋_GB2312" w:cs="宋体"/>
          <w:color w:val="auto"/>
          <w:kern w:val="0"/>
          <w:sz w:val="32"/>
          <w:szCs w:val="32"/>
          <w:highlight w:val="none"/>
        </w:rPr>
        <w:t>着力强化党建引领</w:t>
      </w:r>
      <w:r>
        <w:rPr>
          <w:rFonts w:hint="eastAsia" w:ascii="仿宋_GB2312" w:hAnsi="微软雅黑" w:eastAsia="仿宋_GB2312" w:cs="宋体"/>
          <w:color w:val="auto"/>
          <w:kern w:val="0"/>
          <w:sz w:val="32"/>
          <w:szCs w:val="32"/>
          <w:highlight w:val="none"/>
          <w:lang w:eastAsia="zh-CN"/>
        </w:rPr>
        <w:t>，</w:t>
      </w:r>
      <w:r>
        <w:rPr>
          <w:rFonts w:hint="eastAsia" w:ascii="仿宋_GB2312" w:eastAsia="仿宋_GB2312"/>
          <w:color w:val="auto"/>
          <w:sz w:val="32"/>
          <w:szCs w:val="32"/>
          <w:highlight w:val="none"/>
          <w:lang w:eastAsia="zh-CN"/>
        </w:rPr>
        <w:t>统筹抓好疫情防控、乡村振兴、创文创卫等工作，聚焦群众急难愁盼问题，用心用情办好民生实事。纵深推进全面从严治党和党风廉政建设，锲而不舍纠“四风”树新风，持续整治群众身边腐败和不正之风。</w:t>
      </w:r>
    </w:p>
    <w:p w14:paraId="25DBD4BC">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2.谋创新就业之策，全力以赴稳就业保就业</w:t>
      </w:r>
    </w:p>
    <w:p w14:paraId="286E4483">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shd w:val="clear" w:color="auto" w:fill="FFFFFF"/>
        </w:rPr>
        <w:t>一是落实政策红利，稳定市场主体。</w:t>
      </w:r>
      <w:r>
        <w:rPr>
          <w:rFonts w:hint="eastAsia" w:ascii="仿宋_GB2312" w:hAnsi="仿宋_GB2312" w:eastAsia="仿宋_GB2312" w:cs="仿宋_GB2312"/>
          <w:color w:val="auto"/>
          <w:sz w:val="32"/>
          <w:szCs w:val="32"/>
          <w:highlight w:val="none"/>
        </w:rPr>
        <w:t>实施阶段性降低失业保险费率，着力降低企业用工成本，现已为1811户企业减负1837.32万元。落实社会保险费阶段性缓缴政策，预计全年缓缴养老、工伤、失业3项社保费3026.23万元。</w:t>
      </w:r>
      <w:r>
        <w:rPr>
          <w:rFonts w:hint="eastAsia" w:ascii="仿宋_GB2312" w:hAnsi="仿宋_GB2312" w:eastAsia="仿宋_GB2312" w:cs="仿宋_GB2312"/>
          <w:b w:val="0"/>
          <w:bCs w:val="0"/>
          <w:color w:val="auto"/>
          <w:spacing w:val="0"/>
          <w:kern w:val="2"/>
          <w:sz w:val="32"/>
          <w:szCs w:val="32"/>
          <w:highlight w:val="none"/>
          <w:lang w:val="en-US" w:eastAsia="zh-CN" w:bidi="ar-SA"/>
        </w:rPr>
        <w:t>实施企业失业保险稳岗返还“免申即享”，直接发放稳岗返还资金到企业银行账户，实现“零跑路”“零申报”“零时限”，</w:t>
      </w:r>
      <w:r>
        <w:rPr>
          <w:rFonts w:hint="eastAsia" w:ascii="仿宋_GB2312" w:hAnsi="仿宋_GB2312" w:eastAsia="仿宋_GB2312" w:cs="仿宋_GB2312"/>
          <w:b w:val="0"/>
          <w:bCs w:val="0"/>
          <w:color w:val="auto"/>
          <w:sz w:val="32"/>
          <w:szCs w:val="32"/>
          <w:highlight w:val="none"/>
          <w:lang w:val="en-US" w:eastAsia="zh-CN"/>
        </w:rPr>
        <w:t>发放企业515户，补贴资金930.37万元，惠及职工3.06万人。</w:t>
      </w:r>
    </w:p>
    <w:p w14:paraId="53FB1FD6">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spacing w:val="0"/>
          <w:sz w:val="32"/>
          <w:szCs w:val="32"/>
          <w:highlight w:val="none"/>
          <w:u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bidi="ar-SA"/>
        </w:rPr>
        <w:t>二是</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多措并举，保就业</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促</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rPr>
        <w:t>就业</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b w:val="0"/>
          <w:bCs w:val="0"/>
          <w:color w:val="auto"/>
          <w:spacing w:val="0"/>
          <w:kern w:val="2"/>
          <w:sz w:val="32"/>
          <w:szCs w:val="32"/>
          <w:highlight w:val="none"/>
          <w:lang w:val="en-US" w:eastAsia="zh-CN" w:bidi="ar-SA"/>
        </w:rPr>
        <w:t>举办线</w:t>
      </w:r>
      <w:r>
        <w:rPr>
          <w:rFonts w:hint="eastAsia" w:ascii="仿宋_GB2312" w:hAnsi="仿宋_GB2312" w:eastAsia="仿宋_GB2312" w:cs="仿宋_GB2312"/>
          <w:b w:val="0"/>
          <w:bCs w:val="0"/>
          <w:color w:val="auto"/>
          <w:sz w:val="32"/>
          <w:szCs w:val="32"/>
          <w:highlight w:val="none"/>
          <w:lang w:val="en-US" w:eastAsia="zh-CN"/>
        </w:rPr>
        <w:t>上线下招聘活动22场，开展送岗下乡活动143余场，发布岗位5万余个，达成就业意向5500余人。</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创新就业方式，建立“政府＋企业＋妈妈们”就业平台，在峨眉山智业防护服饰有限公司推出“妈妈岗”，着力解决企业用工和女性求职需求，现已有200名妇女先后在“妈妈岗”工作。积极完善就业困难人员就业援助机制，加大对脱贫劳动力、退役军人等重点群体的就业援助帮扶，全市共计开发862个公益性岗位，补贴资金498.51万元。</w:t>
      </w:r>
    </w:p>
    <w:p w14:paraId="4D27FC3B">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三是</w:t>
      </w:r>
      <w:r>
        <w:rPr>
          <w:rFonts w:hint="eastAsia" w:ascii="仿宋_GB2312" w:hAnsi="仿宋_GB2312" w:eastAsia="仿宋_GB2312" w:cs="仿宋_GB2312"/>
          <w:b w:val="0"/>
          <w:bCs w:val="0"/>
          <w:color w:val="auto"/>
          <w:sz w:val="32"/>
          <w:szCs w:val="32"/>
          <w:highlight w:val="none"/>
          <w:lang w:val="en-US" w:eastAsia="zh-CN"/>
        </w:rPr>
        <w:t>搭建多元化多渠道就业模式。</w:t>
      </w:r>
      <w:r>
        <w:rPr>
          <w:rFonts w:hint="eastAsia" w:ascii="仿宋_GB2312" w:hAnsi="仿宋_GB2312" w:eastAsia="仿宋_GB2312" w:cs="仿宋_GB2312"/>
          <w:b w:val="0"/>
          <w:bCs w:val="0"/>
          <w:color w:val="auto"/>
          <w:kern w:val="2"/>
          <w:sz w:val="32"/>
          <w:szCs w:val="32"/>
          <w:highlight w:val="none"/>
          <w:lang w:val="en-US" w:eastAsia="zh-CN" w:bidi="ar-SA"/>
        </w:rPr>
        <w:t>大力推动文旅产业与人力资源服务业产业融合，打造具有峨眉特色的文化和旅游人力资源服务品牌，目前入驻企业6家，挂牌分园2家。在全市范围内打造两个农民工服务站，为农民工提供优质高效</w:t>
      </w:r>
      <w:r>
        <w:rPr>
          <w:rFonts w:hint="eastAsia" w:ascii="仿宋_GB2312" w:hAnsi="仿宋_GB2312" w:eastAsia="仿宋_GB2312" w:cs="仿宋_GB2312"/>
          <w:b w:val="0"/>
          <w:bCs w:val="0"/>
          <w:color w:val="auto"/>
          <w:sz w:val="32"/>
          <w:szCs w:val="32"/>
          <w:highlight w:val="none"/>
          <w:lang w:val="en-US" w:eastAsia="zh-CN"/>
        </w:rPr>
        <w:t>的“金融服务+政策宣传+就业培训+维权救助+用工招聘+信息采集+关心关爱”等服务，打通服务保障农民工“最后一公里”，助力乡村振兴战略实施。</w:t>
      </w:r>
      <w:r>
        <w:rPr>
          <w:rFonts w:hint="eastAsia" w:ascii="仿宋_GB2312" w:hAnsi="仿宋_GB2312" w:eastAsia="仿宋_GB2312" w:cs="仿宋_GB2312"/>
          <w:b w:val="0"/>
          <w:bCs w:val="0"/>
          <w:color w:val="auto"/>
          <w:kern w:val="2"/>
          <w:sz w:val="32"/>
          <w:szCs w:val="32"/>
          <w:highlight w:val="none"/>
          <w:lang w:val="en-US" w:eastAsia="zh-CN" w:bidi="ar-SA"/>
        </w:rPr>
        <w:t>依托省级创业孵化基地峨眉山市创客梦工厂，鼓励有创业意愿的劳动者入驻园区，在创业贴息和进驻创业孵化基地等方面，为创业者提供政策和资金支持，现入驻企业60家，吸纳就业人数982人，累计实现总产值2.25亿元。</w:t>
      </w:r>
    </w:p>
    <w:p w14:paraId="699AB219">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四是突出“工匠”引领</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，打造技能人才队伍。</w:t>
      </w:r>
      <w:r>
        <w:rPr>
          <w:rFonts w:hint="eastAsia" w:ascii="仿宋_GB2312" w:hAnsi="仿宋_GB2312" w:eastAsia="仿宋_GB2312" w:cs="仿宋_GB2312"/>
          <w:b w:val="0"/>
          <w:bCs w:val="0"/>
          <w:color w:val="auto"/>
          <w:sz w:val="32"/>
          <w:szCs w:val="32"/>
          <w:highlight w:val="none"/>
          <w:lang w:val="en-US" w:eastAsia="zh-CN"/>
        </w:rPr>
        <w:t>实施“人才兴市”战略，围绕我市产业发展和自主创新需求，为我市高质量发展提供坚强的人才支撑，今年推荐王敏，程德勇2名同志荣获“嘉州工匠”荣誉称号。依托国家级高技能人才基地</w:t>
      </w:r>
      <w:r>
        <w:rPr>
          <w:rFonts w:hint="eastAsia" w:ascii="仿宋_GB2312" w:hAnsi="仿宋_GB2312" w:eastAsia="仿宋_GB2312" w:cs="仿宋_GB2312"/>
          <w:b w:val="0"/>
          <w:bCs w:val="0"/>
          <w:strike/>
          <w:dstrike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四川省质量技术监督学校，开展了以培训模式、课程设置、教材开发、师资建设、培训装备和技能评价等为内容的高技能人才培训体系建设，大力提升了高技能人才培训能力和校企合作能力。</w:t>
      </w:r>
      <w:r>
        <w:rPr>
          <w:rFonts w:hint="eastAsia" w:ascii="仿宋_GB2312" w:hAnsi="仿宋_GB2312" w:eastAsia="仿宋_GB2312" w:cs="仿宋_GB2312"/>
          <w:b w:val="0"/>
          <w:bCs w:val="0"/>
          <w:color w:val="auto"/>
          <w:kern w:val="2"/>
          <w:sz w:val="32"/>
          <w:szCs w:val="32"/>
          <w:highlight w:val="none"/>
          <w:lang w:val="en-US" w:eastAsia="zh-CN" w:bidi="ar-SA"/>
        </w:rPr>
        <w:t>打造技能大师工作室，实施1＋X技能人才倍增计划，目前我市有省级大师工作室4个，乐山市级大师工作室2个，正在申报3个乐山市级大师工作室。</w:t>
      </w:r>
    </w:p>
    <w:p w14:paraId="19D76B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五是创新举措，开展技能培训。</w:t>
      </w:r>
      <w:r>
        <w:rPr>
          <w:rFonts w:hint="eastAsia" w:ascii="仿宋_GB2312" w:hAnsi="仿宋_GB2312" w:eastAsia="仿宋_GB2312" w:cs="仿宋_GB2312"/>
          <w:b w:val="0"/>
          <w:bCs w:val="0"/>
          <w:color w:val="auto"/>
          <w:sz w:val="32"/>
          <w:szCs w:val="32"/>
          <w:highlight w:val="none"/>
          <w:lang w:val="en-US" w:eastAsia="zh-CN"/>
        </w:rPr>
        <w:t>围绕我市重点产业、重点项目，针对产业发展和企业生产的技能人才需求，大力开展“企业岗位＋培训”“产业项目＋培训”等订单定向式培训，提高培训实效。今年以来，开设各类培训51期，培训学员4300人。</w:t>
      </w:r>
      <w:r>
        <w:rPr>
          <w:rFonts w:hint="eastAsia" w:ascii="仿宋_GB2312" w:hAnsi="仿宋_GB2312" w:eastAsia="仿宋_GB2312" w:cs="仿宋_GB2312"/>
          <w:b w:val="0"/>
          <w:bCs w:val="0"/>
          <w:color w:val="auto"/>
          <w:kern w:val="2"/>
          <w:sz w:val="32"/>
          <w:szCs w:val="32"/>
          <w:highlight w:val="none"/>
          <w:lang w:val="en-US" w:eastAsia="zh-CN" w:bidi="ar-SA"/>
        </w:rPr>
        <w:t>制定市级示范培训课程，创新开设网络培训班，高质量创建市、县、乡、村四级“农村家庭能人”实训基地52个，其中智业防护、创客梦工厂等3个实训基地被评定为乐山市级实训基地。</w:t>
      </w:r>
    </w:p>
    <w:p w14:paraId="487FB9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3.尽为民惠民之责，坚定不移保民生促发展</w:t>
      </w:r>
    </w:p>
    <w:p w14:paraId="04DB0A96">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是实施全民参保，扎实推进社保扩面。办理新参保企业248户，新增参保人员5000余人；新增在建项目参加工伤保险23户；登记上报完成319名征地农转非人员养老保障工作。全市企业职工养老保险、机关事业单位养老保险、城乡居民养老保险、失业保险、工伤保险共计参保40.8万人次。</w:t>
      </w:r>
    </w:p>
    <w:p w14:paraId="2CF2CE81">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是强化待遇兑现，全力确保应发尽发。为全市符合条件的11.61万名离退休人员按时足额发放养老金；为7.01万名企业退休人员和0.48万名机关事业单位退休人员调整养老待遇，补发待遇约5620万元；城乡居民养老保险基础养老金标准每人每月最低达到115 元；发放失业保险待遇1.07万人次1648.78万元；发放工伤保险待遇1613人次3418.45万元。</w:t>
      </w:r>
    </w:p>
    <w:p w14:paraId="7CECCA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4.强汇才留才之力，持之以恒提供人才支撑</w:t>
      </w:r>
    </w:p>
    <w:p w14:paraId="0280820C">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eastAsia="zh-CN"/>
        </w:rPr>
        <w:t>一是实施人才引进，强化队伍建设。</w:t>
      </w:r>
      <w:r>
        <w:rPr>
          <w:rFonts w:hint="eastAsia" w:ascii="仿宋_GB2312" w:hAnsi="仿宋_GB2312" w:eastAsia="仿宋_GB2312" w:cs="仿宋_GB2312"/>
          <w:color w:val="auto"/>
          <w:sz w:val="32"/>
          <w:szCs w:val="32"/>
          <w:highlight w:val="none"/>
          <w:shd w:val="clear" w:color="auto" w:fill="FFFFFF"/>
          <w:lang w:val="en-US" w:eastAsia="zh-CN"/>
        </w:rPr>
        <w:t>加大高层次人才引进力度，今年已完成入校招聘2场，引进全日制硕士研究生27名。</w:t>
      </w:r>
      <w:r>
        <w:rPr>
          <w:rFonts w:hint="eastAsia" w:ascii="仿宋_GB2312" w:hAnsi="仿宋_GB2312" w:eastAsia="仿宋_GB2312" w:cs="仿宋_GB2312"/>
          <w:color w:val="auto"/>
          <w:sz w:val="32"/>
          <w:szCs w:val="32"/>
          <w:highlight w:val="none"/>
          <w:shd w:val="clear" w:color="auto" w:fill="FFFFFF"/>
          <w:lang w:eastAsia="zh-CN"/>
        </w:rPr>
        <w:t>大力补充事业单位工作人员</w:t>
      </w:r>
      <w:r>
        <w:rPr>
          <w:rFonts w:hint="eastAsia" w:ascii="仿宋_GB2312" w:hAnsi="仿宋_GB2312" w:eastAsia="仿宋_GB2312" w:cs="仿宋_GB2312"/>
          <w:color w:val="auto"/>
          <w:sz w:val="32"/>
          <w:szCs w:val="32"/>
          <w:highlight w:val="none"/>
          <w:shd w:val="clear" w:color="auto" w:fill="FFFFFF"/>
          <w:lang w:val="en-US" w:eastAsia="zh-CN"/>
        </w:rPr>
        <w:t>，已考试招聘事业单位工作人员103人，正在开展面向市外公开考调23名教师工作。多渠道招募基层人才，完成“三支一扶”招募27名，指导基层治理办招募社工37名、网格员151名，指导民政局招募社工29名，指导卫生健康局招募公共卫生服务岗人员30名。</w:t>
      </w:r>
    </w:p>
    <w:p w14:paraId="1C876B1D">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二是创新工作举措，助力人才发展。</w:t>
      </w:r>
      <w:r>
        <w:rPr>
          <w:rFonts w:hint="eastAsia" w:ascii="仿宋_GB2312" w:hAnsi="仿宋_GB2312" w:eastAsia="仿宋_GB2312" w:cs="仿宋_GB2312"/>
          <w:color w:val="auto"/>
          <w:sz w:val="32"/>
          <w:szCs w:val="32"/>
          <w:highlight w:val="none"/>
          <w:shd w:val="clear" w:color="auto" w:fill="FFFFFF"/>
          <w:lang w:eastAsia="zh-CN"/>
        </w:rPr>
        <w:t>出台《峨眉山市激励事业单位人才干事创业十项措施》《峨眉山市事业单位专业技术常设岗位和特设岗位管理使用办法》，积极为峨眉山市经济社会发展提供人才支撑。突破事业单位专业技术常设岗位数量和等级限制，分行业、分层次设置特设岗位，开辟专业技术人才晋升岗位“绿色通道”</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lang w:eastAsia="zh-CN"/>
        </w:rPr>
        <w:t>全面实施县以下事业单位管理岗位人员晋升职员等级工作，综合考虑职责轻重、工作年限、评优表扬、援藏援彝等情形，</w:t>
      </w:r>
      <w:r>
        <w:rPr>
          <w:rFonts w:hint="eastAsia" w:ascii="仿宋_GB2312" w:hAnsi="仿宋_GB2312" w:eastAsia="仿宋_GB2312" w:cs="仿宋_GB2312"/>
          <w:color w:val="auto"/>
          <w:sz w:val="32"/>
          <w:szCs w:val="32"/>
          <w:highlight w:val="none"/>
          <w:shd w:val="clear" w:color="auto" w:fill="FFFFFF"/>
          <w:lang w:val="en-US" w:eastAsia="zh-CN"/>
        </w:rPr>
        <w:t>激励一贯表现好、实绩突出、群众公认的干部晋升，目前已晋升296人。做好人才服务工作，接收流动人员人事档案1824份，转出人事档案489份，开具调档函192份，依据档案出具各种证明108份。</w:t>
      </w:r>
    </w:p>
    <w:p w14:paraId="6D86FC35">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5.求执法维权之效，千方百计确保和谐稳定</w:t>
      </w:r>
    </w:p>
    <w:p w14:paraId="4CFE579F">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一是加大监察执法，维护劳动者合法权益。对全市在建工程项目农民工工资支付情况开展专项核查，形成专门台账。对反映拖欠工资问题比较突出的峨眉二中（高中部）扩建、悦榕庄酒店等项目，以“发点球”的方式进行重点督办；对碧桂园·峨眉华府、红珠山宾馆5号楼改造提升工程等重大欠薪风险项目的建设单位和施工单位多次进行联合约谈，加强法制宣传教育，讲明法律后果，督促企业落实主体责任，责令限期支付到位。通过动用工资保证金、预售监管资金、担保资金等渠道多方筹集资金1200余万元，成功化解省市重点督办欠薪项目“恒大峨眉山旅游度假区”的民工工资拖欠问题。2022年春节、两会、党的二十大等重要时间点未发生一起群体性集访、个人访极端讨薪事件以及重大涉稳舆情。</w:t>
      </w:r>
    </w:p>
    <w:p w14:paraId="661D11B7">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是深化矛盾调解，构建和谐劳动关系。规范集体合同管理，完善集体合同备案程序，督促企业依法签订、续订、解除劳动合同，积极维护劳资双方的合法权益。指导企业建立劳动人事争议调解组织，做好矛盾纠纷自我预防化解。加强工伤认定的程序和机制管理，做好两法衔接，规范受理程序，简化流程。创新综合性、便捷性、多元化的“智慧仲裁”调解模式，建立“互联网+调解”一站式服务，邀请人社系统行业专家网上“把脉问诊”，对咨询维权当事人通过微信聊天、视频通话等方式及时分流，就地化解矛盾，确保劳动纠纷化解实现“快、准、稳”，为和谐劳动关系保驾护航，今年已处理劳动人事争议案件511件，为劳动者挽回损失共计859万元。</w:t>
      </w:r>
    </w:p>
    <w:p w14:paraId="795033F9">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6.立争先进位之志，拼搏奋进创先争优</w:t>
      </w:r>
    </w:p>
    <w:p w14:paraId="7243CEF3">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一是争取资金。积极加大“走上去”力度，</w:t>
      </w:r>
      <w:r>
        <w:rPr>
          <w:rFonts w:hint="eastAsia" w:ascii="仿宋_GB2312" w:hAnsi="仿宋_GB2312" w:eastAsia="仿宋_GB2312" w:cs="仿宋_GB2312"/>
          <w:color w:val="auto"/>
          <w:sz w:val="32"/>
          <w:szCs w:val="32"/>
          <w:highlight w:val="none"/>
          <w:shd w:val="clear" w:color="auto" w:fill="FFFFFF"/>
          <w:lang w:eastAsia="zh-CN"/>
        </w:rPr>
        <w:t>截至目前</w:t>
      </w:r>
      <w:r>
        <w:rPr>
          <w:rFonts w:hint="eastAsia" w:ascii="仿宋_GB2312" w:hAnsi="仿宋_GB2312" w:eastAsia="仿宋_GB2312" w:cs="仿宋_GB2312"/>
          <w:color w:val="auto"/>
          <w:sz w:val="32"/>
          <w:szCs w:val="32"/>
          <w:highlight w:val="none"/>
          <w:shd w:val="clear" w:color="auto" w:fill="FFFFFF"/>
        </w:rPr>
        <w:t>向上争取资金共计8213.35万元，其中，社保中心向上争取中央、省、市级补贴资金4897.9万元，主要用于发放城乡居民领待人员基础养老金和对参加城乡居保的缴费人员给予缴费补贴；就促中心向上争取资金3315.45万元，主要为就创资金、以工代训资金和稳岗返还资金。</w:t>
      </w:r>
    </w:p>
    <w:p w14:paraId="1CF0A158">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二是争取政策。积极对接好“国家千亿职业技能提升专项补贴资金”接续政策，超前谋划，促进技能提升培训政策红利在我市先人一步落地落实。</w:t>
      </w:r>
    </w:p>
    <w:p w14:paraId="12905DAD">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三是争取授牌试点。指导</w:t>
      </w:r>
      <w:r>
        <w:rPr>
          <w:rFonts w:hint="eastAsia" w:ascii="仿宋_GB2312" w:hAnsi="仿宋_GB2312" w:eastAsia="仿宋_GB2312" w:cs="仿宋_GB2312"/>
          <w:color w:val="auto"/>
          <w:sz w:val="32"/>
          <w:szCs w:val="32"/>
          <w:highlight w:val="none"/>
          <w:shd w:val="clear" w:color="auto" w:fill="FFFFFF"/>
        </w:rPr>
        <w:t>四川峨胜水泥集团股份有限公司被人力资源和社会保障部、中华全国总工会、中国企业联合会</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中国企业家协会、中华全国工商业联合会命名为“全国和谐劳动关系创建示范企业”，成为乐山市唯一上榜企业</w:t>
      </w:r>
      <w:r>
        <w:rPr>
          <w:rFonts w:hint="eastAsia" w:ascii="仿宋_GB2312" w:hAnsi="仿宋_GB2312" w:eastAsia="仿宋_GB2312" w:cs="仿宋_GB2312"/>
          <w:color w:val="auto"/>
          <w:sz w:val="32"/>
          <w:szCs w:val="32"/>
          <w:highlight w:val="none"/>
          <w:shd w:val="clear" w:color="auto" w:fill="FFFFFF"/>
          <w:lang w:val="en-US" w:eastAsia="zh-CN"/>
        </w:rPr>
        <w:t>。</w:t>
      </w:r>
    </w:p>
    <w:p w14:paraId="1A1921CC">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四是争取表彰表扬。</w:t>
      </w:r>
      <w:r>
        <w:rPr>
          <w:rFonts w:hint="eastAsia" w:ascii="仿宋_GB2312" w:hAnsi="仿宋_GB2312" w:eastAsia="仿宋_GB2312" w:cs="仿宋_GB2312"/>
          <w:color w:val="auto"/>
          <w:sz w:val="32"/>
          <w:szCs w:val="32"/>
          <w:highlight w:val="none"/>
          <w:shd w:val="clear" w:color="auto" w:fill="FFFFFF"/>
        </w:rPr>
        <w:t>峨眉山市被省委办公厅、省政府办公厅评为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全省去冬今春农民工服务保障工作（维权救助专项行动）先进单位</w:t>
      </w:r>
      <w:r>
        <w:rPr>
          <w:rFonts w:hint="eastAsia" w:ascii="仿宋_GB2312" w:hAnsi="仿宋_GB2312" w:eastAsia="仿宋_GB2312" w:cs="仿宋_GB2312"/>
          <w:color w:val="auto"/>
          <w:sz w:val="32"/>
          <w:szCs w:val="32"/>
          <w:highlight w:val="none"/>
          <w:shd w:val="clear" w:color="auto" w:fill="FFFFFF"/>
          <w:lang w:eastAsia="zh-CN"/>
        </w:rPr>
        <w:t>”；我局撰写的</w:t>
      </w:r>
      <w:r>
        <w:rPr>
          <w:rFonts w:hint="eastAsia" w:ascii="仿宋_GB2312" w:hAnsi="仿宋_GB2312" w:eastAsia="仿宋_GB2312" w:cs="仿宋_GB2312"/>
          <w:color w:val="auto"/>
          <w:sz w:val="32"/>
          <w:szCs w:val="32"/>
          <w:highlight w:val="none"/>
          <w:shd w:val="clear" w:color="auto" w:fill="FFFFFF"/>
        </w:rPr>
        <w:t>《多方联动凝聚合力跑出民工工资维权保障“加速度”》被省农民工领导小组评选为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第二届四川省农民工维权十佳提名案例</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我局宋兴敏同志</w:t>
      </w:r>
      <w:r>
        <w:rPr>
          <w:rFonts w:hint="eastAsia" w:ascii="仿宋_GB2312" w:hAnsi="仿宋_GB2312" w:eastAsia="仿宋_GB2312" w:cs="仿宋_GB2312"/>
          <w:color w:val="auto"/>
          <w:sz w:val="32"/>
          <w:szCs w:val="32"/>
          <w:highlight w:val="none"/>
          <w:shd w:val="clear" w:color="auto" w:fill="FFFFFF"/>
          <w:lang w:eastAsia="zh-CN"/>
        </w:rPr>
        <w:t>被省人力资源社会保障厅授予“</w:t>
      </w:r>
      <w:r>
        <w:rPr>
          <w:rFonts w:hint="eastAsia" w:ascii="仿宋_GB2312" w:hAnsi="仿宋_GB2312" w:eastAsia="仿宋_GB2312" w:cs="仿宋_GB2312"/>
          <w:color w:val="auto"/>
          <w:sz w:val="32"/>
          <w:szCs w:val="32"/>
          <w:highlight w:val="none"/>
          <w:shd w:val="clear" w:color="auto" w:fill="FFFFFF"/>
        </w:rPr>
        <w:t>2021年度全省人力资源社会保障系统优秀服务标兵</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我局梁燕娟同志</w:t>
      </w:r>
      <w:r>
        <w:rPr>
          <w:rFonts w:hint="eastAsia" w:ascii="仿宋_GB2312" w:hAnsi="仿宋_GB2312" w:eastAsia="仿宋_GB2312" w:cs="仿宋_GB2312"/>
          <w:color w:val="auto"/>
          <w:sz w:val="32"/>
          <w:szCs w:val="32"/>
          <w:highlight w:val="none"/>
          <w:shd w:val="clear" w:color="auto" w:fill="FFFFFF"/>
          <w:lang w:eastAsia="zh-CN"/>
        </w:rPr>
        <w:t>被省人力资源社会保障厅授予</w:t>
      </w:r>
      <w:r>
        <w:rPr>
          <w:rFonts w:hint="eastAsia" w:ascii="仿宋_GB2312" w:hAnsi="仿宋_GB2312" w:eastAsia="仿宋_GB2312" w:cs="仿宋_GB2312"/>
          <w:color w:val="auto"/>
          <w:sz w:val="32"/>
          <w:szCs w:val="32"/>
          <w:highlight w:val="none"/>
          <w:shd w:val="clear" w:color="auto" w:fill="FFFFFF"/>
        </w:rPr>
        <w:t>“四川省优秀职业指导人员”</w:t>
      </w:r>
      <w:r>
        <w:rPr>
          <w:rFonts w:hint="eastAsia" w:ascii="仿宋_GB2312" w:hAnsi="仿宋_GB2312" w:eastAsia="仿宋_GB2312" w:cs="仿宋_GB2312"/>
          <w:color w:val="auto"/>
          <w:sz w:val="32"/>
          <w:szCs w:val="32"/>
          <w:highlight w:val="none"/>
          <w:shd w:val="clear" w:color="auto" w:fill="FFFFFF"/>
          <w:lang w:eastAsia="zh-CN"/>
        </w:rPr>
        <w:t>、被省农民工工作领导小组授予</w:t>
      </w:r>
      <w:r>
        <w:rPr>
          <w:rFonts w:hint="eastAsia" w:ascii="仿宋_GB2312" w:hAnsi="仿宋_GB2312" w:eastAsia="仿宋_GB2312" w:cs="仿宋_GB2312"/>
          <w:color w:val="auto"/>
          <w:sz w:val="32"/>
          <w:szCs w:val="32"/>
          <w:highlight w:val="none"/>
          <w:shd w:val="clear" w:color="auto" w:fill="FFFFFF"/>
        </w:rPr>
        <w:t>“四川省农民工工作先进个人”</w:t>
      </w:r>
      <w:r>
        <w:rPr>
          <w:rFonts w:hint="eastAsia" w:ascii="仿宋_GB2312" w:hAnsi="仿宋_GB2312" w:eastAsia="仿宋_GB2312" w:cs="仿宋_GB2312"/>
          <w:color w:val="auto"/>
          <w:sz w:val="32"/>
          <w:szCs w:val="32"/>
          <w:highlight w:val="none"/>
          <w:shd w:val="clear" w:color="auto" w:fill="FFFFFF"/>
          <w:lang w:eastAsia="zh-CN"/>
        </w:rPr>
        <w:t>；获得乐山市“社润十民•情暖百万家提升服务能力”练兵比武活动一等奖</w:t>
      </w:r>
      <w:r>
        <w:rPr>
          <w:rFonts w:hint="eastAsia" w:ascii="仿宋_GB2312" w:hAnsi="仿宋_GB2312" w:eastAsia="仿宋_GB2312" w:cs="仿宋_GB2312"/>
          <w:color w:val="auto"/>
          <w:sz w:val="32"/>
          <w:szCs w:val="32"/>
          <w:highlight w:val="none"/>
          <w:shd w:val="clear" w:color="auto" w:fill="FFFFFF"/>
        </w:rPr>
        <w:t>，并</w:t>
      </w:r>
      <w:r>
        <w:rPr>
          <w:rFonts w:hint="eastAsia" w:ascii="仿宋_GB2312" w:hAnsi="仿宋_GB2312" w:eastAsia="仿宋_GB2312" w:cs="仿宋_GB2312"/>
          <w:color w:val="auto"/>
          <w:sz w:val="32"/>
          <w:szCs w:val="32"/>
          <w:highlight w:val="none"/>
          <w:shd w:val="clear" w:color="auto" w:fill="FFFFFF"/>
          <w:lang w:eastAsia="zh-CN"/>
        </w:rPr>
        <w:t>选派</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lang w:eastAsia="zh-CN"/>
        </w:rPr>
        <w:t>名业务骨干</w:t>
      </w:r>
      <w:r>
        <w:rPr>
          <w:rFonts w:hint="eastAsia" w:ascii="仿宋_GB2312" w:hAnsi="仿宋_GB2312" w:eastAsia="仿宋_GB2312" w:cs="仿宋_GB2312"/>
          <w:color w:val="auto"/>
          <w:sz w:val="32"/>
          <w:szCs w:val="32"/>
          <w:highlight w:val="none"/>
          <w:shd w:val="clear" w:color="auto" w:fill="FFFFFF"/>
        </w:rPr>
        <w:t>代表乐山市获得</w:t>
      </w:r>
      <w:r>
        <w:rPr>
          <w:rFonts w:hint="eastAsia" w:ascii="仿宋_GB2312" w:hAnsi="仿宋_GB2312" w:eastAsia="仿宋_GB2312" w:cs="仿宋_GB2312"/>
          <w:color w:val="auto"/>
          <w:sz w:val="32"/>
          <w:szCs w:val="32"/>
          <w:highlight w:val="none"/>
          <w:shd w:val="clear" w:color="auto" w:fill="FFFFFF"/>
          <w:lang w:eastAsia="zh-CN"/>
        </w:rPr>
        <w:t>全省</w:t>
      </w:r>
      <w:r>
        <w:rPr>
          <w:rFonts w:hint="eastAsia" w:ascii="仿宋_GB2312" w:hAnsi="仿宋_GB2312" w:eastAsia="仿宋_GB2312" w:cs="仿宋_GB2312"/>
          <w:color w:val="auto"/>
          <w:sz w:val="32"/>
          <w:szCs w:val="32"/>
          <w:highlight w:val="none"/>
          <w:shd w:val="clear" w:color="auto" w:fill="FFFFFF"/>
        </w:rPr>
        <w:t>第三名的优异成绩</w:t>
      </w:r>
      <w:r>
        <w:rPr>
          <w:rFonts w:hint="eastAsia" w:ascii="仿宋_GB2312" w:hAnsi="仿宋_GB2312" w:eastAsia="仿宋_GB2312" w:cs="仿宋_GB2312"/>
          <w:color w:val="auto"/>
          <w:sz w:val="32"/>
          <w:szCs w:val="32"/>
          <w:highlight w:val="none"/>
          <w:shd w:val="clear" w:color="auto" w:fill="FFFFFF"/>
          <w:lang w:eastAsia="zh-CN"/>
        </w:rPr>
        <w:t>；此外，我局还在文旅兴市、信访和心连心、退役军人等多项工作中，获得市级先进集体表彰。</w:t>
      </w:r>
    </w:p>
    <w:p w14:paraId="39EC5A06">
      <w:pPr>
        <w:pStyle w:val="9"/>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shd w:val="clear" w:color="auto" w:fill="FFFFFF"/>
          <w:lang w:val="en-US" w:eastAsia="zh-CN"/>
        </w:rPr>
        <w:t>五是争取宣传报道。《“党建+就业”搭起“连心桥”》《“123”举措激励事业人才干事创业》等30余篇宣传信息被中国网、人力资源报、今日头条、乐山日报、三江都市报等刊载；《抗疫助企有担当 尽心服务暖人心》在省人力资源社会保障厅官网发表；《创新服务平台 赋能多元维权》在人社部劳动人事争议仲裁司官方微信公众号发表，并获得司长王振麒点赞转发。</w:t>
      </w:r>
    </w:p>
    <w:p w14:paraId="6DD59E34">
      <w:pPr>
        <w:pStyle w:val="2"/>
        <w:ind w:firstLine="640" w:firstLineChars="200"/>
        <w:rPr>
          <w:lang w:val="zh-CN"/>
        </w:rPr>
      </w:pPr>
      <w:r>
        <w:rPr>
          <w:rFonts w:hint="eastAsia" w:ascii="仿宋_GB2312" w:hAnsi="仿宋_GB2312" w:eastAsia="仿宋_GB2312" w:cs="仿宋_GB2312"/>
          <w:color w:val="auto"/>
          <w:sz w:val="32"/>
          <w:szCs w:val="32"/>
          <w:highlight w:val="none"/>
          <w:shd w:val="clear" w:color="auto" w:fill="FFFFFF"/>
          <w:lang w:val="en-US" w:eastAsia="zh-CN"/>
        </w:rPr>
        <w:t>目前已出排位情况：省级大师工作室乐山市共建成5个，其中我市建成4个，省级大师工作室建成数量在乐山市排名第一。</w:t>
      </w:r>
    </w:p>
    <w:p w14:paraId="414FD349">
      <w:pPr>
        <w:widowControl/>
        <w:numPr>
          <w:ilvl w:val="0"/>
          <w:numId w:val="5"/>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部门整体支出绩效目标。</w:t>
      </w:r>
    </w:p>
    <w:p w14:paraId="542BD53B">
      <w:pPr>
        <w:pStyle w:val="2"/>
        <w:numPr>
          <w:ilvl w:val="0"/>
          <w:numId w:val="0"/>
        </w:numPr>
        <w:rPr>
          <w:rFonts w:hint="default" w:ascii="仿宋_GB2312" w:hAnsi="仿宋_GB2312" w:eastAsia="仿宋_GB2312" w:cs="仿宋_GB2312"/>
          <w:color w:val="auto"/>
          <w:sz w:val="32"/>
          <w:szCs w:val="32"/>
          <w:highlight w:val="none"/>
          <w:shd w:val="clear" w:color="auto" w:fill="FFFFFF"/>
          <w:lang w:val="en-US" w:eastAsia="zh-CN"/>
        </w:rPr>
      </w:pPr>
      <w:r>
        <w:rPr>
          <w:rFonts w:hint="eastAsia"/>
          <w:lang w:val="en-US" w:eastAsia="zh-CN"/>
        </w:rPr>
        <w:t xml:space="preserve">     </w:t>
      </w:r>
      <w:r>
        <w:rPr>
          <w:rFonts w:hint="eastAsia" w:ascii="仿宋_GB2312" w:hAnsi="仿宋_GB2312" w:eastAsia="仿宋_GB2312" w:cs="仿宋_GB2312"/>
          <w:color w:val="auto"/>
          <w:sz w:val="32"/>
          <w:szCs w:val="32"/>
          <w:highlight w:val="none"/>
          <w:shd w:val="clear" w:color="auto" w:fill="FFFFFF"/>
          <w:lang w:val="en-US" w:eastAsia="zh-CN"/>
        </w:rPr>
        <w:t>紧扣市委“1238”总体思路，围绕全市工作大局，以登山不止、实干图强的毅力，充分发挥人社职能，为全市经济社会高质量发展贡献力量</w:t>
      </w:r>
      <w:r>
        <w:rPr>
          <w:rFonts w:hint="eastAsia" w:hAnsi="仿宋_GB2312" w:cs="仿宋_GB2312"/>
          <w:color w:val="auto"/>
          <w:sz w:val="32"/>
          <w:szCs w:val="32"/>
          <w:highlight w:val="none"/>
          <w:shd w:val="clear" w:color="auto" w:fill="FFFFFF"/>
          <w:lang w:val="en-US" w:eastAsia="zh-CN"/>
        </w:rPr>
        <w:t>。</w:t>
      </w:r>
    </w:p>
    <w:p w14:paraId="1396B022">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14:paraId="18995E5B">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14:paraId="068F3EAB">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14:paraId="36384458">
      <w:pPr>
        <w:widowControl/>
        <w:adjustRightInd w:val="0"/>
        <w:snapToGrid w:val="0"/>
        <w:spacing w:line="560" w:lineRule="exact"/>
        <w:ind w:firstLine="640" w:firstLineChars="200"/>
        <w:contextualSpacing/>
        <w:jc w:val="left"/>
        <w:rPr>
          <w:rFonts w:hint="eastAsia" w:ascii="仿宋_GB2312" w:hAnsi="仿宋_GB2312" w:eastAsia="仿宋" w:cs="仿宋_GB2312"/>
          <w:kern w:val="0"/>
          <w:sz w:val="32"/>
          <w:szCs w:val="32"/>
          <w:shd w:val="clear" w:color="auto" w:fill="FFFFFF"/>
          <w:lang w:eastAsia="zh-CN"/>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部门总体</w:t>
      </w:r>
      <w:r>
        <w:rPr>
          <w:rFonts w:hint="eastAsia" w:ascii="仿宋" w:hAnsi="仿宋" w:eastAsia="仿宋"/>
          <w:sz w:val="32"/>
          <w:szCs w:val="32"/>
        </w:rPr>
        <w:t>收入合计</w:t>
      </w:r>
      <w:r>
        <w:rPr>
          <w:rFonts w:hint="eastAsia" w:ascii="仿宋" w:hAnsi="仿宋" w:eastAsia="仿宋"/>
          <w:sz w:val="32"/>
          <w:szCs w:val="32"/>
          <w:lang w:val="en-US" w:eastAsia="zh-CN"/>
        </w:rPr>
        <w:t>9793.41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8377.88</w:t>
      </w:r>
      <w:r>
        <w:rPr>
          <w:rFonts w:hint="eastAsia" w:ascii="仿宋" w:hAnsi="仿宋" w:eastAsia="仿宋"/>
          <w:sz w:val="32"/>
          <w:szCs w:val="32"/>
        </w:rPr>
        <w:t>万元，占</w:t>
      </w:r>
      <w:r>
        <w:rPr>
          <w:rFonts w:hint="eastAsia" w:ascii="仿宋" w:hAnsi="仿宋" w:eastAsia="仿宋"/>
          <w:sz w:val="32"/>
          <w:szCs w:val="32"/>
          <w:lang w:val="en-US" w:eastAsia="zh-CN"/>
        </w:rPr>
        <w:t>85.55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1415.53</w:t>
      </w:r>
      <w:r>
        <w:rPr>
          <w:rFonts w:hint="eastAsia" w:ascii="仿宋" w:hAnsi="仿宋" w:eastAsia="仿宋"/>
          <w:sz w:val="32"/>
          <w:szCs w:val="32"/>
        </w:rPr>
        <w:t>万元，占</w:t>
      </w:r>
      <w:r>
        <w:rPr>
          <w:rFonts w:hint="eastAsia" w:ascii="仿宋" w:hAnsi="仿宋" w:eastAsia="仿宋"/>
          <w:sz w:val="32"/>
          <w:szCs w:val="32"/>
          <w:lang w:val="en-US" w:eastAsia="zh-CN"/>
        </w:rPr>
        <w:t>14.45</w:t>
      </w:r>
      <w:r>
        <w:rPr>
          <w:rFonts w:ascii="仿宋" w:hAnsi="仿宋" w:eastAsia="仿宋"/>
          <w:sz w:val="32"/>
          <w:szCs w:val="32"/>
        </w:rPr>
        <w:t>%</w:t>
      </w:r>
      <w:r>
        <w:rPr>
          <w:rFonts w:hint="eastAsia" w:ascii="仿宋" w:hAnsi="仿宋" w:eastAsia="仿宋"/>
          <w:sz w:val="32"/>
          <w:szCs w:val="32"/>
          <w:lang w:eastAsia="zh-CN"/>
        </w:rPr>
        <w:t>。</w:t>
      </w:r>
    </w:p>
    <w:p w14:paraId="53E8A1DE">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14:paraId="2F6327B4">
      <w:pPr>
        <w:widowControl/>
        <w:adjustRightInd w:val="0"/>
        <w:snapToGrid w:val="0"/>
        <w:spacing w:line="560" w:lineRule="exact"/>
        <w:ind w:firstLine="640" w:firstLineChars="200"/>
        <w:contextualSpacing/>
        <w:jc w:val="left"/>
        <w:rPr>
          <w:rFonts w:hint="eastAsia" w:ascii="仿宋_GB2312" w:hAnsi="仿宋_GB2312" w:eastAsia="仿宋" w:cs="仿宋_GB2312"/>
          <w:kern w:val="0"/>
          <w:sz w:val="32"/>
          <w:szCs w:val="32"/>
          <w:shd w:val="clear" w:color="auto" w:fill="FFFFFF"/>
          <w:lang w:eastAsia="zh-CN"/>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部门总体</w:t>
      </w:r>
      <w:r>
        <w:rPr>
          <w:rFonts w:hint="eastAsia" w:ascii="仿宋" w:hAnsi="仿宋" w:eastAsia="仿宋"/>
          <w:sz w:val="32"/>
          <w:szCs w:val="32"/>
        </w:rPr>
        <w:t>支出合计</w:t>
      </w:r>
      <w:r>
        <w:rPr>
          <w:rFonts w:hint="eastAsia" w:ascii="仿宋" w:hAnsi="仿宋" w:eastAsia="仿宋"/>
          <w:sz w:val="32"/>
          <w:szCs w:val="32"/>
          <w:lang w:val="en-US" w:eastAsia="zh-CN"/>
        </w:rPr>
        <w:t>10509.03</w:t>
      </w:r>
      <w:r>
        <w:rPr>
          <w:rFonts w:hint="eastAsia" w:ascii="仿宋" w:hAnsi="仿宋" w:eastAsia="仿宋"/>
          <w:sz w:val="32"/>
          <w:szCs w:val="32"/>
        </w:rPr>
        <w:t>万元，其中：基本支出</w:t>
      </w:r>
      <w:r>
        <w:rPr>
          <w:rFonts w:hint="eastAsia" w:ascii="仿宋" w:hAnsi="仿宋" w:eastAsia="仿宋"/>
          <w:sz w:val="32"/>
          <w:szCs w:val="32"/>
          <w:lang w:val="en-US" w:eastAsia="zh-CN"/>
        </w:rPr>
        <w:t>1506.08</w:t>
      </w:r>
      <w:r>
        <w:rPr>
          <w:rFonts w:hint="eastAsia" w:ascii="仿宋" w:hAnsi="仿宋" w:eastAsia="仿宋"/>
          <w:sz w:val="32"/>
          <w:szCs w:val="32"/>
        </w:rPr>
        <w:t>万元，占</w:t>
      </w:r>
      <w:r>
        <w:rPr>
          <w:rFonts w:hint="eastAsia" w:ascii="仿宋" w:hAnsi="仿宋" w:eastAsia="仿宋"/>
          <w:sz w:val="32"/>
          <w:szCs w:val="32"/>
          <w:lang w:val="en-US" w:eastAsia="zh-CN"/>
        </w:rPr>
        <w:t>14.33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9002.95</w:t>
      </w:r>
      <w:r>
        <w:rPr>
          <w:rFonts w:hint="eastAsia" w:ascii="仿宋" w:hAnsi="仿宋" w:eastAsia="仿宋"/>
          <w:sz w:val="32"/>
          <w:szCs w:val="32"/>
        </w:rPr>
        <w:t>万元，占</w:t>
      </w:r>
      <w:r>
        <w:rPr>
          <w:rFonts w:hint="eastAsia" w:ascii="仿宋" w:hAnsi="仿宋" w:eastAsia="仿宋"/>
          <w:sz w:val="32"/>
          <w:szCs w:val="32"/>
          <w:lang w:val="en-US" w:eastAsia="zh-CN"/>
        </w:rPr>
        <w:t>85.67</w:t>
      </w:r>
      <w:r>
        <w:rPr>
          <w:rFonts w:ascii="仿宋" w:hAnsi="仿宋" w:eastAsia="仿宋"/>
          <w:sz w:val="32"/>
          <w:szCs w:val="32"/>
        </w:rPr>
        <w:t>%</w:t>
      </w:r>
      <w:r>
        <w:rPr>
          <w:rFonts w:hint="eastAsia" w:ascii="仿宋" w:hAnsi="仿宋" w:eastAsia="仿宋"/>
          <w:sz w:val="32"/>
          <w:szCs w:val="32"/>
          <w:lang w:eastAsia="zh-CN"/>
        </w:rPr>
        <w:t>。</w:t>
      </w:r>
    </w:p>
    <w:p w14:paraId="3BE16E9C">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14:paraId="11F6432B">
      <w:pPr>
        <w:pStyle w:val="2"/>
        <w:rPr>
          <w:rFonts w:hint="default" w:eastAsia="仿宋_GB2312"/>
          <w:lang w:val="en-US" w:eastAsia="zh-CN"/>
        </w:rPr>
      </w:pPr>
      <w:r>
        <w:rPr>
          <w:rFonts w:hint="eastAsia"/>
          <w:lang w:val="en-US" w:eastAsia="zh-CN"/>
        </w:rPr>
        <w:t xml:space="preserve">    2022年无年末结转和结余。</w:t>
      </w:r>
    </w:p>
    <w:p w14:paraId="1344DF3B">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14:paraId="5AD31372">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14:paraId="407CC4CF">
      <w:pPr>
        <w:widowControl/>
        <w:adjustRightInd w:val="0"/>
        <w:snapToGrid w:val="0"/>
        <w:spacing w:line="560" w:lineRule="exact"/>
        <w:ind w:firstLine="640" w:firstLineChars="200"/>
        <w:contextualSpacing/>
        <w:jc w:val="left"/>
        <w:rPr>
          <w:rFonts w:hint="eastAsia" w:ascii="仿宋_GB2312" w:hAnsi="仿宋_GB2312" w:eastAsia="仿宋" w:cs="仿宋_GB2312"/>
          <w:kern w:val="0"/>
          <w:sz w:val="32"/>
          <w:szCs w:val="32"/>
          <w:shd w:val="clear" w:color="auto" w:fill="FFFFFF"/>
          <w:lang w:eastAsia="zh-CN"/>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部门财政拨款</w:t>
      </w:r>
      <w:r>
        <w:rPr>
          <w:rFonts w:hint="eastAsia" w:ascii="仿宋" w:hAnsi="仿宋" w:eastAsia="仿宋"/>
          <w:sz w:val="32"/>
          <w:szCs w:val="32"/>
        </w:rPr>
        <w:t>收入合计</w:t>
      </w:r>
      <w:r>
        <w:rPr>
          <w:rFonts w:hint="eastAsia" w:ascii="仿宋" w:hAnsi="仿宋" w:eastAsia="仿宋"/>
          <w:sz w:val="32"/>
          <w:szCs w:val="32"/>
          <w:lang w:val="en-US" w:eastAsia="zh-CN"/>
        </w:rPr>
        <w:t>9793.41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8377.88</w:t>
      </w:r>
      <w:r>
        <w:rPr>
          <w:rFonts w:hint="eastAsia" w:ascii="仿宋" w:hAnsi="仿宋" w:eastAsia="仿宋"/>
          <w:sz w:val="32"/>
          <w:szCs w:val="32"/>
        </w:rPr>
        <w:t>万元，占</w:t>
      </w:r>
      <w:r>
        <w:rPr>
          <w:rFonts w:hint="eastAsia" w:ascii="仿宋" w:hAnsi="仿宋" w:eastAsia="仿宋"/>
          <w:sz w:val="32"/>
          <w:szCs w:val="32"/>
          <w:lang w:val="en-US" w:eastAsia="zh-CN"/>
        </w:rPr>
        <w:t>85.55</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1415.53</w:t>
      </w:r>
      <w:r>
        <w:rPr>
          <w:rFonts w:hint="eastAsia" w:ascii="仿宋" w:hAnsi="仿宋" w:eastAsia="仿宋"/>
          <w:sz w:val="32"/>
          <w:szCs w:val="32"/>
        </w:rPr>
        <w:t>万元，占</w:t>
      </w:r>
      <w:r>
        <w:rPr>
          <w:rFonts w:hint="eastAsia" w:ascii="仿宋" w:hAnsi="仿宋" w:eastAsia="仿宋"/>
          <w:sz w:val="32"/>
          <w:szCs w:val="32"/>
          <w:lang w:val="en-US" w:eastAsia="zh-CN"/>
        </w:rPr>
        <w:t>14.45</w:t>
      </w:r>
      <w:r>
        <w:rPr>
          <w:rFonts w:ascii="仿宋" w:hAnsi="仿宋" w:eastAsia="仿宋"/>
          <w:sz w:val="32"/>
          <w:szCs w:val="32"/>
        </w:rPr>
        <w:t>%</w:t>
      </w:r>
      <w:r>
        <w:rPr>
          <w:rFonts w:hint="eastAsia" w:ascii="仿宋" w:hAnsi="仿宋" w:eastAsia="仿宋"/>
          <w:sz w:val="32"/>
          <w:szCs w:val="32"/>
          <w:lang w:eastAsia="zh-CN"/>
        </w:rPr>
        <w:t>。</w:t>
      </w:r>
    </w:p>
    <w:p w14:paraId="410431EC">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14:paraId="52677AA1">
      <w:pPr>
        <w:widowControl/>
        <w:adjustRightInd w:val="0"/>
        <w:snapToGrid w:val="0"/>
        <w:spacing w:line="560" w:lineRule="exact"/>
        <w:ind w:firstLine="640" w:firstLineChars="200"/>
        <w:contextualSpacing/>
        <w:jc w:val="left"/>
        <w:rPr>
          <w:rFonts w:hint="eastAsia" w:ascii="仿宋_GB2312" w:hAnsi="仿宋_GB2312" w:eastAsia="仿宋" w:cs="仿宋_GB2312"/>
          <w:kern w:val="0"/>
          <w:sz w:val="32"/>
          <w:szCs w:val="32"/>
          <w:shd w:val="clear" w:color="auto" w:fill="FFFFFF"/>
          <w:lang w:eastAsia="zh-CN"/>
        </w:rPr>
      </w:pPr>
      <w:r>
        <w:rPr>
          <w:rFonts w:ascii="仿宋" w:hAnsi="仿宋" w:eastAsia="仿宋"/>
          <w:sz w:val="32"/>
          <w:szCs w:val="32"/>
        </w:rPr>
        <w:t>20</w:t>
      </w:r>
      <w:r>
        <w:rPr>
          <w:rFonts w:hint="eastAsia" w:ascii="仿宋" w:hAnsi="仿宋" w:eastAsia="仿宋"/>
          <w:sz w:val="32"/>
          <w:szCs w:val="32"/>
        </w:rPr>
        <w:t>22年</w:t>
      </w:r>
      <w:r>
        <w:rPr>
          <w:rFonts w:hint="eastAsia" w:ascii="仿宋" w:hAnsi="仿宋" w:eastAsia="仿宋"/>
          <w:sz w:val="32"/>
          <w:szCs w:val="32"/>
          <w:lang w:val="en-US" w:eastAsia="zh-CN"/>
        </w:rPr>
        <w:t>部门财政拨款</w:t>
      </w:r>
      <w:r>
        <w:rPr>
          <w:rFonts w:hint="eastAsia" w:ascii="仿宋" w:hAnsi="仿宋" w:eastAsia="仿宋"/>
          <w:sz w:val="32"/>
          <w:szCs w:val="32"/>
        </w:rPr>
        <w:t>支出合计</w:t>
      </w:r>
      <w:r>
        <w:rPr>
          <w:rFonts w:hint="eastAsia" w:ascii="仿宋" w:hAnsi="仿宋" w:eastAsia="仿宋"/>
          <w:sz w:val="32"/>
          <w:szCs w:val="32"/>
          <w:lang w:val="en-US" w:eastAsia="zh-CN"/>
        </w:rPr>
        <w:t>10509.03</w:t>
      </w:r>
      <w:r>
        <w:rPr>
          <w:rFonts w:hint="eastAsia" w:ascii="仿宋" w:hAnsi="仿宋" w:eastAsia="仿宋"/>
          <w:sz w:val="32"/>
          <w:szCs w:val="32"/>
        </w:rPr>
        <w:t>万元，其中：</w:t>
      </w:r>
      <w:r>
        <w:rPr>
          <w:rFonts w:hint="eastAsia" w:ascii="仿宋" w:hAnsi="仿宋" w:eastAsia="仿宋"/>
          <w:sz w:val="32"/>
          <w:szCs w:val="32"/>
          <w:lang w:val="en-US" w:eastAsia="zh-CN"/>
        </w:rPr>
        <w:t>一般公共预算财政拨款支出9093.50</w:t>
      </w:r>
      <w:r>
        <w:rPr>
          <w:rFonts w:hint="eastAsia" w:ascii="仿宋" w:hAnsi="仿宋" w:eastAsia="仿宋"/>
          <w:sz w:val="32"/>
          <w:szCs w:val="32"/>
        </w:rPr>
        <w:t>万元，占</w:t>
      </w:r>
      <w:r>
        <w:rPr>
          <w:rFonts w:hint="eastAsia" w:ascii="仿宋" w:hAnsi="仿宋" w:eastAsia="仿宋"/>
          <w:sz w:val="32"/>
          <w:szCs w:val="32"/>
          <w:lang w:val="en-US" w:eastAsia="zh-CN"/>
        </w:rPr>
        <w:t>86.53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政府性基金预算财政预算拨款支出1415.53万元，占13.47</w:t>
      </w:r>
      <w:r>
        <w:rPr>
          <w:rFonts w:ascii="仿宋" w:hAnsi="仿宋" w:eastAsia="仿宋"/>
          <w:sz w:val="32"/>
          <w:szCs w:val="32"/>
        </w:rPr>
        <w:t>%</w:t>
      </w:r>
      <w:r>
        <w:rPr>
          <w:rFonts w:hint="eastAsia" w:ascii="仿宋" w:hAnsi="仿宋" w:eastAsia="仿宋"/>
          <w:sz w:val="32"/>
          <w:szCs w:val="32"/>
          <w:lang w:eastAsia="zh-CN"/>
        </w:rPr>
        <w:t>。</w:t>
      </w:r>
    </w:p>
    <w:p w14:paraId="40AB2076">
      <w:pPr>
        <w:pStyle w:val="2"/>
      </w:pPr>
    </w:p>
    <w:p w14:paraId="142CC3BC">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14:paraId="589C4115">
      <w:pPr>
        <w:pStyle w:val="2"/>
        <w:rPr>
          <w:rFonts w:hint="default" w:eastAsia="仿宋_GB2312"/>
          <w:lang w:val="en-US" w:eastAsia="zh-CN"/>
        </w:rPr>
      </w:pPr>
      <w:r>
        <w:rPr>
          <w:rFonts w:hint="eastAsia"/>
          <w:lang w:val="en-US" w:eastAsia="zh-CN"/>
        </w:rPr>
        <w:t xml:space="preserve">    2022年无年末财政拨款结转和结余。</w:t>
      </w:r>
    </w:p>
    <w:p w14:paraId="33EBD2E2">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14:paraId="6F2A821B">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14:paraId="768B203E">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14:paraId="6A34EBB9">
      <w:pPr>
        <w:adjustRightInd w:val="0"/>
        <w:snapToGrid w:val="0"/>
        <w:spacing w:line="576" w:lineRule="exact"/>
        <w:ind w:firstLine="640" w:firstLineChars="200"/>
        <w:rPr>
          <w:rFonts w:eastAsia="仿宋_GB2312"/>
          <w:bCs/>
          <w:snapToGrid w:val="0"/>
          <w:kern w:val="0"/>
          <w:sz w:val="32"/>
          <w:szCs w:val="32"/>
          <w:shd w:val="clear" w:color="auto" w:fill="FFFFFF"/>
          <w:lang w:val="zh-CN"/>
        </w:rPr>
      </w:pPr>
      <w:r>
        <w:rPr>
          <w:rFonts w:eastAsia="仿宋_GB2312"/>
          <w:bCs/>
          <w:snapToGrid w:val="0"/>
          <w:kern w:val="0"/>
          <w:sz w:val="32"/>
          <w:szCs w:val="32"/>
          <w:shd w:val="clear" w:color="auto" w:fill="FFFFFF"/>
        </w:rPr>
        <w:t>2022年人员类项目年初预算批复数</w:t>
      </w:r>
      <w:r>
        <w:rPr>
          <w:rFonts w:hint="eastAsia" w:eastAsia="仿宋_GB2312"/>
          <w:bCs/>
          <w:snapToGrid w:val="0"/>
          <w:kern w:val="0"/>
          <w:sz w:val="32"/>
          <w:szCs w:val="32"/>
          <w:shd w:val="clear" w:color="auto" w:fill="FFFFFF"/>
          <w:lang w:val="en-US" w:eastAsia="zh-CN"/>
        </w:rPr>
        <w:t>879.55</w:t>
      </w:r>
      <w:r>
        <w:rPr>
          <w:rFonts w:eastAsia="仿宋_GB2312"/>
          <w:bCs/>
          <w:snapToGrid w:val="0"/>
          <w:kern w:val="0"/>
          <w:sz w:val="32"/>
          <w:szCs w:val="32"/>
          <w:shd w:val="clear" w:color="auto" w:fill="FFFFFF"/>
        </w:rPr>
        <w:t>万元，全年预算数</w:t>
      </w:r>
      <w:r>
        <w:rPr>
          <w:rFonts w:hint="eastAsia" w:eastAsia="仿宋_GB2312"/>
          <w:bCs/>
          <w:snapToGrid w:val="0"/>
          <w:kern w:val="0"/>
          <w:sz w:val="32"/>
          <w:szCs w:val="32"/>
          <w:shd w:val="clear" w:color="auto" w:fill="FFFFFF"/>
          <w:lang w:val="en-US" w:eastAsia="zh-CN"/>
        </w:rPr>
        <w:t>1259.04</w:t>
      </w:r>
      <w:r>
        <w:rPr>
          <w:rFonts w:eastAsia="仿宋_GB2312"/>
          <w:bCs/>
          <w:snapToGrid w:val="0"/>
          <w:kern w:val="0"/>
          <w:sz w:val="32"/>
          <w:szCs w:val="32"/>
          <w:shd w:val="clear" w:color="auto" w:fill="FFFFFF"/>
        </w:rPr>
        <w:t>万元，执行数</w:t>
      </w:r>
      <w:r>
        <w:rPr>
          <w:rFonts w:hint="eastAsia" w:eastAsia="仿宋_GB2312"/>
          <w:bCs/>
          <w:snapToGrid w:val="0"/>
          <w:kern w:val="0"/>
          <w:sz w:val="32"/>
          <w:szCs w:val="32"/>
          <w:shd w:val="clear" w:color="auto" w:fill="FFFFFF"/>
          <w:lang w:val="en-US" w:eastAsia="zh-CN"/>
        </w:rPr>
        <w:t>1259.04</w:t>
      </w:r>
      <w:r>
        <w:rPr>
          <w:rFonts w:eastAsia="仿宋_GB2312"/>
          <w:bCs/>
          <w:snapToGrid w:val="0"/>
          <w:kern w:val="0"/>
          <w:sz w:val="32"/>
          <w:szCs w:val="32"/>
          <w:shd w:val="clear" w:color="auto" w:fill="FFFFFF"/>
        </w:rPr>
        <w:t>万元，执行率</w:t>
      </w:r>
      <w:r>
        <w:rPr>
          <w:rFonts w:hint="eastAsia" w:eastAsia="仿宋_GB2312"/>
          <w:bCs/>
          <w:snapToGrid w:val="0"/>
          <w:kern w:val="0"/>
          <w:sz w:val="32"/>
          <w:szCs w:val="32"/>
          <w:shd w:val="clear" w:color="auto" w:fill="FFFFFF"/>
          <w:lang w:val="en-US" w:eastAsia="zh-CN"/>
        </w:rPr>
        <w:t>100</w:t>
      </w:r>
      <w:r>
        <w:rPr>
          <w:rFonts w:eastAsia="仿宋_GB2312"/>
          <w:bCs/>
          <w:snapToGrid w:val="0"/>
          <w:kern w:val="0"/>
          <w:sz w:val="32"/>
          <w:szCs w:val="32"/>
          <w:shd w:val="clear" w:color="auto" w:fill="FFFFFF"/>
        </w:rPr>
        <w:t>%，资金结余率</w:t>
      </w:r>
      <w:r>
        <w:rPr>
          <w:rFonts w:hint="eastAsia" w:eastAsia="仿宋_GB2312"/>
          <w:bCs/>
          <w:snapToGrid w:val="0"/>
          <w:kern w:val="0"/>
          <w:sz w:val="32"/>
          <w:szCs w:val="32"/>
          <w:shd w:val="clear" w:color="auto" w:fill="FFFFFF"/>
          <w:lang w:val="en-US" w:eastAsia="zh-CN"/>
        </w:rPr>
        <w:t>0</w:t>
      </w:r>
      <w:r>
        <w:rPr>
          <w:rFonts w:eastAsia="仿宋_GB2312"/>
          <w:bCs/>
          <w:snapToGrid w:val="0"/>
          <w:kern w:val="0"/>
          <w:sz w:val="32"/>
          <w:szCs w:val="32"/>
          <w:shd w:val="clear" w:color="auto" w:fill="FFFFFF"/>
        </w:rPr>
        <w:t>%。</w:t>
      </w:r>
    </w:p>
    <w:p w14:paraId="3DAA703A">
      <w:pPr>
        <w:adjustRightInd w:val="0"/>
        <w:snapToGrid w:val="0"/>
        <w:spacing w:line="576" w:lineRule="exact"/>
        <w:ind w:firstLine="640" w:firstLineChars="200"/>
        <w:rPr>
          <w:rFonts w:eastAsia="仿宋_GB2312"/>
          <w:snapToGrid w:val="0"/>
          <w:kern w:val="0"/>
          <w:sz w:val="32"/>
          <w:szCs w:val="20"/>
        </w:rPr>
      </w:pPr>
      <w:r>
        <w:rPr>
          <w:rFonts w:eastAsia="仿宋_GB2312"/>
          <w:bCs/>
          <w:snapToGrid w:val="0"/>
          <w:kern w:val="0"/>
          <w:sz w:val="32"/>
          <w:szCs w:val="32"/>
          <w:shd w:val="clear" w:color="auto" w:fill="FFFFFF"/>
        </w:rPr>
        <w:t>人员类项目年度绩效目标为严格执行相关政策，保障工资及时发放、足额发放，预算编制科学合理，减少结余资金；绩效指标为足额保障率、科目调整次数、按时发放率、结余率等。</w:t>
      </w:r>
    </w:p>
    <w:p w14:paraId="29D632A7">
      <w:pPr>
        <w:adjustRightInd w:val="0"/>
        <w:snapToGrid w:val="0"/>
        <w:spacing w:line="576" w:lineRule="exact"/>
        <w:ind w:firstLine="640" w:firstLineChars="200"/>
        <w:rPr>
          <w:rFonts w:eastAsia="仿宋_GB2312"/>
          <w:bCs/>
          <w:snapToGrid w:val="0"/>
          <w:kern w:val="0"/>
          <w:sz w:val="32"/>
          <w:szCs w:val="32"/>
          <w:shd w:val="clear" w:color="auto" w:fill="FFFFFF"/>
        </w:rPr>
      </w:pPr>
      <w:r>
        <w:rPr>
          <w:rFonts w:eastAsia="仿宋_GB2312"/>
          <w:bCs/>
          <w:snapToGrid w:val="0"/>
          <w:kern w:val="0"/>
          <w:sz w:val="32"/>
          <w:szCs w:val="32"/>
          <w:shd w:val="clear" w:color="auto" w:fill="FFFFFF"/>
          <w:lang w:val="zh-CN"/>
        </w:rPr>
        <w:t>人员类项目预算执行情况好，资金结余率低，绩效目标完成符合预期，保障了单位人员工资发放和各项保险缴纳及时、足额。</w:t>
      </w:r>
    </w:p>
    <w:p w14:paraId="1CB37D86">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w:t>
      </w:r>
      <w:r>
        <w:rPr>
          <w:rFonts w:hint="eastAsia" w:ascii="仿宋_GB2312" w:hAnsi="仿宋_GB2312" w:eastAsia="仿宋_GB2312" w:cs="仿宋_GB2312"/>
          <w:kern w:val="0"/>
          <w:sz w:val="32"/>
          <w:szCs w:val="32"/>
          <w:shd w:val="clear" w:color="auto" w:fill="FFFFFF"/>
          <w:lang w:val="en-US" w:eastAsia="zh-CN"/>
        </w:rPr>
        <w:t>和特定目标类</w:t>
      </w:r>
      <w:r>
        <w:rPr>
          <w:rFonts w:hint="eastAsia" w:ascii="仿宋_GB2312" w:hAnsi="仿宋_GB2312" w:eastAsia="仿宋_GB2312" w:cs="仿宋_GB2312"/>
          <w:kern w:val="0"/>
          <w:sz w:val="32"/>
          <w:szCs w:val="32"/>
          <w:shd w:val="clear" w:color="auto" w:fill="FFFFFF"/>
        </w:rPr>
        <w:t>项目绩效分析</w:t>
      </w:r>
    </w:p>
    <w:p w14:paraId="22A6A075">
      <w:pPr>
        <w:adjustRightInd w:val="0"/>
        <w:snapToGrid w:val="0"/>
        <w:spacing w:line="576" w:lineRule="exact"/>
        <w:ind w:firstLine="600" w:firstLineChars="200"/>
        <w:rPr>
          <w:rFonts w:hint="eastAsia" w:ascii="仿宋_GB2312" w:hAnsi="Times New Roman" w:eastAsia="仿宋_GB2312" w:cs="Times New Roman"/>
          <w:kern w:val="0"/>
          <w:sz w:val="30"/>
          <w:szCs w:val="24"/>
          <w:lang w:val="zh-CN" w:eastAsia="zh-CN" w:bidi="ar-SA"/>
        </w:rPr>
      </w:pPr>
      <w:r>
        <w:rPr>
          <w:rFonts w:hint="eastAsia" w:ascii="仿宋_GB2312" w:hAnsi="Times New Roman" w:eastAsia="仿宋_GB2312" w:cs="Times New Roman"/>
          <w:kern w:val="0"/>
          <w:sz w:val="30"/>
          <w:szCs w:val="24"/>
          <w:lang w:val="zh-CN" w:eastAsia="zh-CN" w:bidi="ar-SA"/>
        </w:rPr>
        <w:t>2022年运转类</w:t>
      </w:r>
      <w:r>
        <w:rPr>
          <w:rFonts w:hint="eastAsia" w:ascii="仿宋_GB2312" w:hAnsi="Times New Roman" w:eastAsia="仿宋_GB2312" w:cs="Times New Roman"/>
          <w:kern w:val="0"/>
          <w:sz w:val="30"/>
          <w:szCs w:val="24"/>
          <w:lang w:val="en-US" w:eastAsia="zh-CN" w:bidi="ar-SA"/>
        </w:rPr>
        <w:t>和特定目标类</w:t>
      </w:r>
      <w:r>
        <w:rPr>
          <w:rFonts w:hint="eastAsia" w:ascii="仿宋_GB2312" w:hAnsi="Times New Roman" w:eastAsia="仿宋_GB2312" w:cs="Times New Roman"/>
          <w:kern w:val="0"/>
          <w:sz w:val="30"/>
          <w:szCs w:val="24"/>
          <w:lang w:val="zh-CN" w:eastAsia="zh-CN" w:bidi="ar-SA"/>
        </w:rPr>
        <w:t>项目年初预算批复数</w:t>
      </w:r>
      <w:r>
        <w:rPr>
          <w:rFonts w:hint="eastAsia" w:ascii="仿宋_GB2312" w:hAnsi="Times New Roman" w:eastAsia="仿宋_GB2312" w:cs="Times New Roman"/>
          <w:kern w:val="0"/>
          <w:sz w:val="30"/>
          <w:szCs w:val="24"/>
          <w:lang w:val="en-US" w:eastAsia="zh-CN" w:bidi="ar-SA"/>
        </w:rPr>
        <w:t>12424.97</w:t>
      </w:r>
      <w:r>
        <w:rPr>
          <w:rFonts w:hint="eastAsia" w:ascii="仿宋_GB2312" w:hAnsi="Times New Roman" w:eastAsia="仿宋_GB2312" w:cs="Times New Roman"/>
          <w:kern w:val="0"/>
          <w:sz w:val="30"/>
          <w:szCs w:val="24"/>
          <w:lang w:val="zh-CN" w:eastAsia="zh-CN" w:bidi="ar-SA"/>
        </w:rPr>
        <w:t>万元，全年预算数</w:t>
      </w:r>
      <w:r>
        <w:rPr>
          <w:rFonts w:hint="eastAsia" w:ascii="仿宋_GB2312" w:hAnsi="Times New Roman" w:eastAsia="仿宋_GB2312" w:cs="Times New Roman"/>
          <w:kern w:val="0"/>
          <w:sz w:val="30"/>
          <w:szCs w:val="24"/>
          <w:lang w:val="en-US" w:eastAsia="zh-CN" w:bidi="ar-SA"/>
        </w:rPr>
        <w:t>9002.95</w:t>
      </w:r>
      <w:r>
        <w:rPr>
          <w:rFonts w:hint="eastAsia" w:ascii="仿宋_GB2312" w:hAnsi="Times New Roman" w:eastAsia="仿宋_GB2312" w:cs="Times New Roman"/>
          <w:kern w:val="0"/>
          <w:sz w:val="30"/>
          <w:szCs w:val="24"/>
          <w:lang w:val="zh-CN" w:eastAsia="zh-CN" w:bidi="ar-SA"/>
        </w:rPr>
        <w:t>万元，执行数</w:t>
      </w:r>
      <w:r>
        <w:rPr>
          <w:rFonts w:hint="eastAsia" w:ascii="仿宋_GB2312" w:hAnsi="Times New Roman" w:eastAsia="仿宋_GB2312" w:cs="Times New Roman"/>
          <w:kern w:val="0"/>
          <w:sz w:val="30"/>
          <w:szCs w:val="24"/>
          <w:lang w:val="en-US" w:eastAsia="zh-CN" w:bidi="ar-SA"/>
        </w:rPr>
        <w:t>9002.95</w:t>
      </w:r>
      <w:r>
        <w:rPr>
          <w:rFonts w:hint="eastAsia" w:ascii="仿宋_GB2312" w:hAnsi="Times New Roman" w:eastAsia="仿宋_GB2312" w:cs="Times New Roman"/>
          <w:kern w:val="0"/>
          <w:sz w:val="30"/>
          <w:szCs w:val="24"/>
          <w:lang w:val="zh-CN" w:eastAsia="zh-CN" w:bidi="ar-SA"/>
        </w:rPr>
        <w:t>万元，执行率</w:t>
      </w:r>
      <w:r>
        <w:rPr>
          <w:rFonts w:hint="eastAsia" w:ascii="仿宋_GB2312" w:hAnsi="Times New Roman" w:eastAsia="仿宋_GB2312" w:cs="Times New Roman"/>
          <w:kern w:val="0"/>
          <w:sz w:val="30"/>
          <w:szCs w:val="24"/>
          <w:lang w:val="en-US" w:eastAsia="zh-CN" w:bidi="ar-SA"/>
        </w:rPr>
        <w:t>100</w:t>
      </w:r>
      <w:r>
        <w:rPr>
          <w:rFonts w:hint="eastAsia" w:ascii="仿宋_GB2312" w:hAnsi="Times New Roman" w:eastAsia="仿宋_GB2312" w:cs="Times New Roman"/>
          <w:kern w:val="0"/>
          <w:sz w:val="30"/>
          <w:szCs w:val="24"/>
          <w:lang w:val="zh-CN" w:eastAsia="zh-CN" w:bidi="ar-SA"/>
        </w:rPr>
        <w:t>%，资金结余率</w:t>
      </w:r>
      <w:r>
        <w:rPr>
          <w:rFonts w:hint="eastAsia" w:ascii="仿宋_GB2312" w:hAnsi="Times New Roman" w:eastAsia="仿宋_GB2312" w:cs="Times New Roman"/>
          <w:kern w:val="0"/>
          <w:sz w:val="30"/>
          <w:szCs w:val="24"/>
          <w:lang w:val="en-US" w:eastAsia="zh-CN" w:bidi="ar-SA"/>
        </w:rPr>
        <w:t>0</w:t>
      </w:r>
      <w:r>
        <w:rPr>
          <w:rFonts w:hint="eastAsia" w:ascii="仿宋_GB2312" w:hAnsi="Times New Roman" w:eastAsia="仿宋_GB2312" w:cs="Times New Roman"/>
          <w:kern w:val="0"/>
          <w:sz w:val="30"/>
          <w:szCs w:val="24"/>
          <w:lang w:val="zh-CN" w:eastAsia="zh-CN" w:bidi="ar-SA"/>
        </w:rPr>
        <w:t>%。</w:t>
      </w:r>
    </w:p>
    <w:p w14:paraId="10506598">
      <w:pPr>
        <w:adjustRightInd w:val="0"/>
        <w:snapToGrid w:val="0"/>
        <w:spacing w:line="576" w:lineRule="exact"/>
        <w:ind w:firstLine="600" w:firstLineChars="200"/>
        <w:rPr>
          <w:rFonts w:hint="eastAsia" w:ascii="仿宋_GB2312" w:hAnsi="Times New Roman" w:eastAsia="仿宋_GB2312" w:cs="Times New Roman"/>
          <w:kern w:val="0"/>
          <w:sz w:val="30"/>
          <w:szCs w:val="24"/>
          <w:lang w:val="zh-CN" w:eastAsia="zh-CN" w:bidi="ar-SA"/>
        </w:rPr>
      </w:pPr>
      <w:r>
        <w:rPr>
          <w:rFonts w:hint="eastAsia" w:ascii="仿宋_GB2312" w:hAnsi="Times New Roman" w:eastAsia="仿宋_GB2312" w:cs="Times New Roman"/>
          <w:kern w:val="0"/>
          <w:sz w:val="30"/>
          <w:szCs w:val="24"/>
          <w:lang w:val="zh-CN" w:eastAsia="zh-CN" w:bidi="ar-SA"/>
        </w:rPr>
        <w:t>运转类项目年度绩效目标为保障单位日常运转，提高预算编制质量，严格执行预算；绩效指标主要为科目调整次数、预算编制准确率、运转保障率、“三公经费”控制率等，绩效目标完成较好，保障了各单位的正常运转。</w:t>
      </w:r>
    </w:p>
    <w:p w14:paraId="50975369">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14:paraId="20D34AB3">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预算编制、绩效目标制定方面，本部门根据预算绩效管理要求，在年初预算编制阶段，组织开展了部门整体绩效评估，编制了整体绩效目标，将部门预算和单位所有收支纳入预算绩效管理，围绕部门职能职责、人社事业发展计划和目标工作任务，科学编制整体绩效目标工作任务，细化数量指标、质量指标、时效指标、效益指标与满意度指标等绩效指标值。</w:t>
      </w:r>
    </w:p>
    <w:p w14:paraId="59524329">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预算支出控制和执行动态管理方面，本部门加强支出进度管理，完善动态监控，定期分析预算执行情况和绩效目标完成情况，在确保机关正常运行的情况下，压缩一般性支出，实现开源节流，厉行节约。</w:t>
      </w:r>
    </w:p>
    <w:p w14:paraId="21573F52">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14:paraId="1319C9FB">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本部门在预算绩效评价工作中，及时分析问题、查找原因、提出整改，并将评价结果应用到预算调整、以后年度预算编制工作中，以使部门的预算编制工作更加科学、准确。</w:t>
      </w:r>
    </w:p>
    <w:p w14:paraId="60C78390">
      <w:pPr>
        <w:widowControl/>
        <w:numPr>
          <w:ilvl w:val="0"/>
          <w:numId w:val="6"/>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14:paraId="6F31E4F5">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2022年绩效考核目标任务基本完成，预算执行情况好，自评结论为优秀。</w:t>
      </w:r>
    </w:p>
    <w:p w14:paraId="666BFB2D">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7E86DFB2">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14:paraId="18FD989A">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eastAsia="zh-CN"/>
        </w:rPr>
      </w:pPr>
      <w:r>
        <w:rPr>
          <w:rFonts w:hint="eastAsia" w:ascii="仿宋_GB2312" w:hAnsi="仿宋_GB2312" w:eastAsia="仿宋_GB2312" w:cs="仿宋_GB2312"/>
          <w:kern w:val="0"/>
          <w:sz w:val="32"/>
          <w:szCs w:val="32"/>
          <w:shd w:val="clear" w:color="auto" w:fill="FFFFFF"/>
          <w:lang w:val="zh-CN" w:eastAsia="zh-CN"/>
        </w:rPr>
        <w:t>我局</w:t>
      </w:r>
      <w:r>
        <w:rPr>
          <w:rFonts w:hint="eastAsia" w:ascii="仿宋_GB2312" w:hAnsi="仿宋_GB2312" w:eastAsia="仿宋_GB2312" w:cs="仿宋_GB2312"/>
          <w:kern w:val="0"/>
          <w:sz w:val="32"/>
          <w:szCs w:val="32"/>
          <w:shd w:val="clear" w:color="auto" w:fill="FFFFFF"/>
          <w:lang w:val="en-US" w:eastAsia="zh-CN"/>
        </w:rPr>
        <w:t>2022年部门预算支出执行整体情况较好，专项资金严格专款专用，保证了资金安全，提高了资金使用效益。</w:t>
      </w:r>
    </w:p>
    <w:p w14:paraId="7626B98C">
      <w:pPr>
        <w:widowControl/>
        <w:numPr>
          <w:ilvl w:val="0"/>
          <w:numId w:val="7"/>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14:paraId="46EB6523">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lang w:val="zh-CN"/>
        </w:rPr>
      </w:pPr>
      <w:r>
        <w:rPr>
          <w:rFonts w:hint="eastAsia" w:ascii="仿宋_GB2312" w:hAnsi="仿宋_GB2312" w:eastAsia="仿宋_GB2312" w:cs="仿宋_GB2312"/>
          <w:kern w:val="0"/>
          <w:sz w:val="32"/>
          <w:szCs w:val="32"/>
          <w:shd w:val="clear" w:color="auto" w:fill="FFFFFF"/>
          <w:lang w:val="en-US" w:eastAsia="zh-CN"/>
        </w:rPr>
        <w:t>一是节能降耗方面，还需进一步减少办公场所水、电以及公车运行费用。二是对政府采购项目预算的编制，还需改进测算方式，科学编制。</w:t>
      </w:r>
    </w:p>
    <w:p w14:paraId="3F733AC3">
      <w:pPr>
        <w:widowControl/>
        <w:numPr>
          <w:ilvl w:val="0"/>
          <w:numId w:val="7"/>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14:paraId="53E47733">
      <w:pPr>
        <w:pStyle w:val="2"/>
        <w:numPr>
          <w:ilvl w:val="0"/>
          <w:numId w:val="0"/>
        </w:numPr>
        <w:ind w:firstLine="640" w:firstLineChars="200"/>
        <w:rPr>
          <w:rFonts w:hint="eastAsia" w:ascii="仿宋_GB2312" w:hAnsi="仿宋_GB2312" w:eastAsia="仿宋_GB2312" w:cs="仿宋_GB2312"/>
          <w:kern w:val="0"/>
          <w:sz w:val="32"/>
          <w:szCs w:val="32"/>
          <w:shd w:val="clear" w:color="auto" w:fill="FFFFFF"/>
          <w:lang w:val="zh-CN" w:eastAsia="zh-CN" w:bidi="ar-SA"/>
        </w:rPr>
      </w:pPr>
      <w:r>
        <w:rPr>
          <w:rFonts w:hint="eastAsia" w:ascii="仿宋_GB2312" w:hAnsi="仿宋_GB2312" w:eastAsia="仿宋_GB2312" w:cs="仿宋_GB2312"/>
          <w:kern w:val="0"/>
          <w:sz w:val="32"/>
          <w:szCs w:val="32"/>
          <w:shd w:val="clear" w:color="auto" w:fill="FFFFFF"/>
          <w:lang w:val="en-US" w:eastAsia="zh-CN" w:bidi="ar-SA"/>
        </w:rPr>
        <w:t>建议财政部门牵头，对各行业部门的绩效目标设置中央—省—市—县四级统一的考核标准，避免单位个性化设定较多，考核目标繁杂，操作性不强的问题。</w:t>
      </w:r>
    </w:p>
    <w:p w14:paraId="59E22593">
      <w:pPr>
        <w:pStyle w:val="14"/>
        <w:spacing w:line="560" w:lineRule="exact"/>
        <w:ind w:left="0" w:leftChars="0" w:firstLine="640"/>
        <w:rPr>
          <w:rFonts w:hint="eastAsia" w:hAnsi="仿宋_GB2312" w:eastAsia="仿宋_GB2312" w:cs="仿宋_GB2312"/>
          <w:sz w:val="32"/>
          <w:lang w:val="en-US" w:eastAsia="zh-CN"/>
        </w:rPr>
      </w:pPr>
      <w:r>
        <w:rPr>
          <w:rFonts w:hint="eastAsia" w:hAnsi="仿宋_GB2312" w:eastAsia="仿宋_GB2312" w:cs="仿宋_GB2312"/>
          <w:sz w:val="32"/>
          <w:lang w:val="zh-CN"/>
        </w:rPr>
        <w:t>附</w:t>
      </w:r>
      <w:r>
        <w:rPr>
          <w:rFonts w:hint="eastAsia" w:hAnsi="仿宋_GB2312" w:eastAsia="仿宋_GB2312" w:cs="仿宋_GB2312"/>
          <w:sz w:val="32"/>
          <w:lang w:val="en-US" w:eastAsia="zh-CN"/>
        </w:rPr>
        <w:t>件</w:t>
      </w:r>
      <w:r>
        <w:rPr>
          <w:rFonts w:hint="eastAsia" w:hAnsi="仿宋_GB2312" w:eastAsia="仿宋_GB2312" w:cs="仿宋_GB2312"/>
          <w:sz w:val="32"/>
          <w:lang w:val="zh-CN"/>
        </w:rPr>
        <w:t>：</w:t>
      </w:r>
      <w:r>
        <w:rPr>
          <w:rFonts w:hint="eastAsia" w:hAnsi="仿宋_GB2312" w:eastAsia="仿宋_GB2312" w:cs="仿宋_GB2312"/>
          <w:sz w:val="32"/>
          <w:lang w:val="en-US" w:eastAsia="zh-CN"/>
        </w:rPr>
        <w:t>1、2023年部门整体支出绩效评价指标体系</w:t>
      </w:r>
    </w:p>
    <w:p w14:paraId="4B83B6D3">
      <w:pPr>
        <w:pStyle w:val="14"/>
        <w:numPr>
          <w:ilvl w:val="0"/>
          <w:numId w:val="8"/>
        </w:numPr>
        <w:spacing w:line="560" w:lineRule="exact"/>
        <w:ind w:left="1600" w:leftChars="0" w:firstLine="0" w:firstLineChars="0"/>
        <w:rPr>
          <w:rFonts w:hint="eastAsia" w:hAnsi="仿宋_GB2312" w:eastAsia="仿宋_GB2312" w:cs="仿宋_GB2312"/>
          <w:sz w:val="32"/>
          <w:lang w:val="en-US" w:eastAsia="zh-CN"/>
        </w:rPr>
      </w:pPr>
      <w:r>
        <w:rPr>
          <w:rFonts w:hint="eastAsia" w:hAnsi="仿宋_GB2312" w:eastAsia="仿宋_GB2312" w:cs="仿宋_GB2312"/>
          <w:sz w:val="32"/>
          <w:lang w:val="en-US" w:eastAsia="zh-CN"/>
        </w:rPr>
        <w:t>部门（单位）整体支出绩效目标表</w:t>
      </w:r>
    </w:p>
    <w:p w14:paraId="2076A60A">
      <w:pPr>
        <w:pStyle w:val="14"/>
        <w:numPr>
          <w:ilvl w:val="0"/>
          <w:numId w:val="8"/>
        </w:numPr>
        <w:spacing w:line="560" w:lineRule="exact"/>
        <w:ind w:left="1600" w:leftChars="0" w:firstLine="0" w:firstLineChars="0"/>
        <w:rPr>
          <w:rFonts w:hAnsi="仿宋_GB2312" w:eastAsia="仿宋_GB2312" w:cs="仿宋_GB2312"/>
          <w:sz w:val="32"/>
          <w:lang w:val="zh-CN"/>
        </w:rPr>
      </w:pPr>
      <w:r>
        <w:rPr>
          <w:rFonts w:hint="eastAsia" w:hAnsi="仿宋_GB2312" w:eastAsia="仿宋_GB2312" w:cs="仿宋_GB2312"/>
          <w:sz w:val="32"/>
        </w:rPr>
        <w:t>部门预算项目支出绩效自评表（2022年度）</w:t>
      </w:r>
    </w:p>
    <w:p w14:paraId="0E422A90">
      <w:pPr>
        <w:pStyle w:val="14"/>
        <w:spacing w:line="560" w:lineRule="exact"/>
        <w:ind w:left="0" w:leftChars="0" w:firstLine="640"/>
        <w:rPr>
          <w:rFonts w:hAnsi="仿宋_GB2312" w:eastAsia="仿宋_GB2312" w:cs="仿宋_GB2312"/>
          <w:sz w:val="32"/>
          <w:lang w:val="zh-CN"/>
        </w:rPr>
      </w:pPr>
    </w:p>
    <w:p w14:paraId="54D3D6E4">
      <w:pPr>
        <w:pStyle w:val="14"/>
        <w:spacing w:line="560" w:lineRule="exact"/>
        <w:ind w:left="0" w:leftChars="0" w:firstLine="0" w:firstLineChars="0"/>
        <w:rPr>
          <w:sz w:val="32"/>
          <w:lang w:val="zh-CN"/>
        </w:rPr>
      </w:pPr>
    </w:p>
    <w:p w14:paraId="697FFEEF">
      <w:pPr>
        <w:spacing w:line="600" w:lineRule="exact"/>
        <w:jc w:val="center"/>
        <w:outlineLvl w:val="0"/>
        <w:rPr>
          <w:rFonts w:hint="eastAsia" w:ascii="黑体" w:hAnsi="黑体" w:eastAsia="黑体"/>
          <w:sz w:val="44"/>
          <w:szCs w:val="44"/>
        </w:rPr>
      </w:pPr>
      <w:bookmarkStart w:id="55" w:name="_Toc15396618"/>
    </w:p>
    <w:p w14:paraId="196D15AE">
      <w:pPr>
        <w:spacing w:line="600" w:lineRule="exact"/>
        <w:jc w:val="both"/>
        <w:outlineLvl w:val="0"/>
        <w:rPr>
          <w:rFonts w:hint="eastAsia" w:ascii="黑体" w:hAnsi="黑体" w:eastAsia="黑体"/>
          <w:sz w:val="44"/>
          <w:szCs w:val="44"/>
        </w:rPr>
      </w:pPr>
    </w:p>
    <w:p w14:paraId="1B999212">
      <w:pPr>
        <w:pStyle w:val="2"/>
        <w:rPr>
          <w:rFonts w:hint="eastAsia" w:ascii="黑体" w:hAnsi="黑体" w:eastAsia="黑体"/>
          <w:sz w:val="44"/>
          <w:szCs w:val="44"/>
        </w:rPr>
      </w:pPr>
    </w:p>
    <w:p w14:paraId="2BE51BBD">
      <w:pPr>
        <w:pStyle w:val="2"/>
        <w:rPr>
          <w:rFonts w:hint="eastAsia" w:ascii="黑体" w:hAnsi="黑体" w:eastAsia="黑体"/>
          <w:sz w:val="44"/>
          <w:szCs w:val="44"/>
        </w:rPr>
      </w:pPr>
    </w:p>
    <w:p w14:paraId="4617354E">
      <w:pPr>
        <w:pStyle w:val="2"/>
        <w:rPr>
          <w:rFonts w:hint="eastAsia" w:ascii="黑体" w:hAnsi="黑体" w:eastAsia="黑体"/>
          <w:sz w:val="44"/>
          <w:szCs w:val="44"/>
        </w:rPr>
      </w:pPr>
    </w:p>
    <w:p w14:paraId="2A834E91">
      <w:pPr>
        <w:pStyle w:val="2"/>
        <w:rPr>
          <w:rFonts w:hint="eastAsia" w:ascii="黑体" w:hAnsi="黑体" w:eastAsia="黑体"/>
          <w:sz w:val="44"/>
          <w:szCs w:val="44"/>
        </w:rPr>
      </w:pPr>
    </w:p>
    <w:p w14:paraId="78768289">
      <w:pPr>
        <w:pStyle w:val="2"/>
        <w:rPr>
          <w:rFonts w:hint="eastAsia" w:ascii="黑体" w:hAnsi="黑体" w:eastAsia="黑体"/>
          <w:sz w:val="44"/>
          <w:szCs w:val="44"/>
        </w:rPr>
      </w:pPr>
    </w:p>
    <w:p w14:paraId="16A2E3BA">
      <w:pPr>
        <w:spacing w:line="600" w:lineRule="exact"/>
        <w:jc w:val="center"/>
        <w:outlineLvl w:val="0"/>
        <w:rPr>
          <w:rFonts w:hint="eastAsia" w:ascii="黑体" w:hAnsi="黑体" w:eastAsia="黑体"/>
          <w:sz w:val="44"/>
          <w:szCs w:val="44"/>
        </w:rPr>
      </w:pPr>
    </w:p>
    <w:p w14:paraId="070389CE">
      <w:pPr>
        <w:pStyle w:val="2"/>
        <w:rPr>
          <w:rFonts w:hint="eastAsia" w:ascii="黑体" w:hAnsi="黑体" w:eastAsia="黑体"/>
          <w:sz w:val="44"/>
          <w:szCs w:val="44"/>
        </w:rPr>
      </w:pPr>
    </w:p>
    <w:p w14:paraId="206508F6">
      <w:pPr>
        <w:pStyle w:val="2"/>
        <w:rPr>
          <w:rFonts w:hint="eastAsia" w:ascii="黑体" w:hAnsi="黑体" w:eastAsia="黑体"/>
          <w:sz w:val="44"/>
          <w:szCs w:val="44"/>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877"/>
        <w:gridCol w:w="825"/>
        <w:gridCol w:w="495"/>
        <w:gridCol w:w="1658"/>
        <w:gridCol w:w="4743"/>
        <w:gridCol w:w="618"/>
        <w:gridCol w:w="621"/>
        <w:gridCol w:w="746"/>
        <w:gridCol w:w="689"/>
        <w:gridCol w:w="678"/>
        <w:gridCol w:w="1630"/>
      </w:tblGrid>
      <w:tr w14:paraId="3D11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12"/>
            <w:tcBorders>
              <w:top w:val="nil"/>
              <w:left w:val="nil"/>
              <w:bottom w:val="single" w:color="000000" w:sz="4" w:space="0"/>
              <w:right w:val="nil"/>
            </w:tcBorders>
            <w:shd w:val="clear" w:color="auto" w:fill="auto"/>
            <w:vAlign w:val="center"/>
          </w:tcPr>
          <w:p w14:paraId="13A909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2023年部门整体支出绩效评价指标体系</w:t>
            </w:r>
          </w:p>
        </w:tc>
      </w:tr>
      <w:tr w14:paraId="79D4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3102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绩效指标</w:t>
            </w: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DE13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指标分值</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1367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指标解释</w:t>
            </w:r>
          </w:p>
        </w:tc>
        <w:tc>
          <w:tcPr>
            <w:tcW w:w="1673" w:type="pct"/>
            <w:vMerge w:val="restart"/>
            <w:tcBorders>
              <w:top w:val="single" w:color="000000" w:sz="4" w:space="0"/>
              <w:left w:val="nil"/>
              <w:bottom w:val="single" w:color="000000" w:sz="4" w:space="0"/>
              <w:right w:val="single" w:color="000000" w:sz="4" w:space="0"/>
            </w:tcBorders>
            <w:shd w:val="clear" w:color="auto" w:fill="auto"/>
            <w:vAlign w:val="center"/>
          </w:tcPr>
          <w:p w14:paraId="3F65FAA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计分标准</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A8D1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评价方式</w:t>
            </w:r>
          </w:p>
        </w:tc>
        <w:tc>
          <w:tcPr>
            <w:tcW w:w="5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46D6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评价属性</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2EBE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自评得分</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0AC1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备注</w:t>
            </w:r>
          </w:p>
        </w:tc>
      </w:tr>
      <w:tr w14:paraId="664C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A32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一级指标</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EBB9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二级指标</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65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三级指标</w:t>
            </w: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4913">
            <w:pPr>
              <w:jc w:val="center"/>
              <w:rPr>
                <w:rFonts w:hint="eastAsia" w:ascii="宋体" w:hAnsi="宋体" w:eastAsia="宋体" w:cs="宋体"/>
                <w:b/>
                <w:bCs/>
                <w:i w:val="0"/>
                <w:iCs w:val="0"/>
                <w:color w:val="000000"/>
                <w:sz w:val="15"/>
                <w:szCs w:val="15"/>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812F">
            <w:pPr>
              <w:jc w:val="center"/>
              <w:rPr>
                <w:rFonts w:hint="eastAsia" w:ascii="宋体" w:hAnsi="宋体" w:eastAsia="宋体" w:cs="宋体"/>
                <w:b/>
                <w:bCs/>
                <w:i w:val="0"/>
                <w:iCs w:val="0"/>
                <w:color w:val="000000"/>
                <w:sz w:val="15"/>
                <w:szCs w:val="15"/>
                <w:u w:val="none"/>
              </w:rPr>
            </w:pPr>
          </w:p>
        </w:tc>
        <w:tc>
          <w:tcPr>
            <w:tcW w:w="1673" w:type="pct"/>
            <w:vMerge w:val="continue"/>
            <w:tcBorders>
              <w:top w:val="single" w:color="000000" w:sz="4" w:space="0"/>
              <w:left w:val="nil"/>
              <w:bottom w:val="single" w:color="000000" w:sz="4" w:space="0"/>
              <w:right w:val="single" w:color="000000" w:sz="4" w:space="0"/>
            </w:tcBorders>
            <w:shd w:val="clear" w:color="auto" w:fill="auto"/>
            <w:vAlign w:val="center"/>
          </w:tcPr>
          <w:p w14:paraId="124C31FD">
            <w:pPr>
              <w:jc w:val="center"/>
              <w:rPr>
                <w:rFonts w:hint="eastAsia" w:ascii="宋体" w:hAnsi="宋体" w:eastAsia="宋体" w:cs="宋体"/>
                <w:b/>
                <w:bCs/>
                <w:i w:val="0"/>
                <w:iCs w:val="0"/>
                <w:color w:val="000000"/>
                <w:sz w:val="15"/>
                <w:szCs w:val="15"/>
                <w:u w:val="none"/>
              </w:rPr>
            </w:pPr>
          </w:p>
        </w:tc>
        <w:tc>
          <w:tcPr>
            <w:tcW w:w="218" w:type="pct"/>
            <w:tcBorders>
              <w:top w:val="single" w:color="000000" w:sz="4" w:space="0"/>
              <w:left w:val="nil"/>
              <w:bottom w:val="single" w:color="000000" w:sz="4" w:space="0"/>
              <w:right w:val="single" w:color="000000" w:sz="4" w:space="0"/>
            </w:tcBorders>
            <w:shd w:val="clear" w:color="auto" w:fill="auto"/>
            <w:vAlign w:val="center"/>
          </w:tcPr>
          <w:p w14:paraId="44F5F0C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整体评价</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158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样本评价</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210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定性评价</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AB4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定量评价</w:t>
            </w: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B08B0">
            <w:pPr>
              <w:jc w:val="center"/>
              <w:rPr>
                <w:rFonts w:hint="eastAsia" w:ascii="宋体" w:hAnsi="宋体" w:eastAsia="宋体" w:cs="宋体"/>
                <w:b/>
                <w:bCs/>
                <w:i w:val="0"/>
                <w:iCs w:val="0"/>
                <w:color w:val="000000"/>
                <w:sz w:val="15"/>
                <w:szCs w:val="15"/>
                <w:u w:val="none"/>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AB573">
            <w:pPr>
              <w:jc w:val="center"/>
              <w:rPr>
                <w:rFonts w:hint="eastAsia" w:ascii="宋体" w:hAnsi="宋体" w:eastAsia="宋体" w:cs="宋体"/>
                <w:b/>
                <w:bCs/>
                <w:i w:val="0"/>
                <w:iCs w:val="0"/>
                <w:color w:val="000000"/>
                <w:sz w:val="15"/>
                <w:szCs w:val="15"/>
                <w:u w:val="none"/>
              </w:rPr>
            </w:pPr>
          </w:p>
        </w:tc>
      </w:tr>
      <w:tr w14:paraId="2846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D97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部门预算项目绩效管理（70分）</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F29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目标管理（30分）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14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目标制定</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A1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16C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评价部门绩效目标是否要素完整、细化量化并集体决策。</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1BC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1.绩效目标编制要素完整的，得5分，否则酌情扣分。                                                       2.绩效指标细化量化的，得5分，否则酌情扣分。                  3.评价部门绩效目标纳入部门党组（委）会（办公会）集体决策范围的得5分，否则不得分。                              有项目绩效目标的部门（单位），根据项目绩效目标编制质量打分，无项目绩效目标的部门，根据部门整体支出绩效目标打分。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74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38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98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DA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CD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A107">
            <w:pPr>
              <w:rPr>
                <w:rFonts w:hint="eastAsia" w:ascii="宋体" w:hAnsi="宋体" w:eastAsia="宋体" w:cs="宋体"/>
                <w:i w:val="0"/>
                <w:iCs w:val="0"/>
                <w:color w:val="000000"/>
                <w:sz w:val="15"/>
                <w:szCs w:val="15"/>
                <w:u w:val="none"/>
              </w:rPr>
            </w:pPr>
          </w:p>
        </w:tc>
      </w:tr>
      <w:tr w14:paraId="3702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9FF9F">
            <w:pPr>
              <w:jc w:val="center"/>
              <w:rPr>
                <w:rFonts w:hint="eastAsia" w:ascii="宋体" w:hAnsi="宋体" w:eastAsia="宋体" w:cs="宋体"/>
                <w:i w:val="0"/>
                <w:iCs w:val="0"/>
                <w:color w:val="000000"/>
                <w:sz w:val="15"/>
                <w:szCs w:val="15"/>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17C92">
            <w:pPr>
              <w:jc w:val="center"/>
              <w:rPr>
                <w:rFonts w:hint="eastAsia" w:ascii="宋体" w:hAnsi="宋体" w:eastAsia="宋体" w:cs="宋体"/>
                <w:i w:val="0"/>
                <w:iCs w:val="0"/>
                <w:color w:val="000000"/>
                <w:sz w:val="15"/>
                <w:szCs w:val="15"/>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B1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目标实现</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36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7B3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评价部门绩效目标实际实现程度与预期目标的偏离度。</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527E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DEB8">
            <w:pPr>
              <w:jc w:val="center"/>
              <w:rPr>
                <w:rFonts w:hint="eastAsia" w:ascii="宋体" w:hAnsi="宋体" w:eastAsia="宋体" w:cs="宋体"/>
                <w:i w:val="0"/>
                <w:iCs w:val="0"/>
                <w:color w:val="000000"/>
                <w:sz w:val="15"/>
                <w:szCs w:val="15"/>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97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11BA">
            <w:pPr>
              <w:jc w:val="center"/>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813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84D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8E6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r>
      <w:tr w14:paraId="0447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1552">
            <w:pPr>
              <w:jc w:val="center"/>
              <w:rPr>
                <w:rFonts w:hint="eastAsia" w:ascii="宋体" w:hAnsi="宋体" w:eastAsia="宋体" w:cs="宋体"/>
                <w:i w:val="0"/>
                <w:iCs w:val="0"/>
                <w:color w:val="000000"/>
                <w:sz w:val="15"/>
                <w:szCs w:val="15"/>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93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动态调整（20分）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58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支出控制</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00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5F9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部门公用经费及非定额公用支出控制情况。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EDE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计算部门日常公用经费、项目支出中“办公费、印刷费、水费、电费、物业管理费”等科目年初预算数与决算数偏差程度。                                                            预决算偏差程度在10%以内的，得5分。偏差度在10%-20%之间的，得2分，偏差度超过20%的，不得分。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5D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0312">
            <w:pP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F6DD">
            <w:pPr>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87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37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B5EC">
            <w:pPr>
              <w:rPr>
                <w:rFonts w:hint="eastAsia" w:ascii="宋体" w:hAnsi="宋体" w:eastAsia="宋体" w:cs="宋体"/>
                <w:i w:val="0"/>
                <w:iCs w:val="0"/>
                <w:color w:val="000000"/>
                <w:sz w:val="15"/>
                <w:szCs w:val="15"/>
                <w:u w:val="none"/>
              </w:rPr>
            </w:pPr>
          </w:p>
        </w:tc>
      </w:tr>
    </w:tbl>
    <w:p w14:paraId="6F8AACC4">
      <w:pPr>
        <w:jc w:val="center"/>
        <w:rPr>
          <w:rFonts w:hint="eastAsia" w:ascii="宋体" w:hAnsi="宋体" w:eastAsia="宋体" w:cs="宋体"/>
          <w:i w:val="0"/>
          <w:iCs w:val="0"/>
          <w:color w:val="000000"/>
          <w:sz w:val="15"/>
          <w:szCs w:val="15"/>
          <w:u w:val="none"/>
        </w:rPr>
        <w:sectPr>
          <w:pgSz w:w="16838" w:h="11906" w:orient="landscape"/>
          <w:pgMar w:top="1803" w:right="1440" w:bottom="1803" w:left="1440" w:header="851" w:footer="992" w:gutter="0"/>
          <w:pgNumType w:fmt="decimal" w:start="1"/>
          <w:cols w:space="0" w:num="1"/>
          <w:titlePg/>
          <w:rtlGutter w:val="0"/>
          <w:docGrid w:type="lines" w:linePitch="319" w:charSpace="0"/>
        </w:sect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877"/>
        <w:gridCol w:w="825"/>
        <w:gridCol w:w="495"/>
        <w:gridCol w:w="1658"/>
        <w:gridCol w:w="4743"/>
        <w:gridCol w:w="618"/>
        <w:gridCol w:w="621"/>
        <w:gridCol w:w="746"/>
        <w:gridCol w:w="689"/>
        <w:gridCol w:w="678"/>
        <w:gridCol w:w="1630"/>
      </w:tblGrid>
      <w:tr w14:paraId="4BAF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5" w:hRule="atLeast"/>
        </w:trPr>
        <w:tc>
          <w:tcPr>
            <w:tcW w:w="209" w:type="pct"/>
            <w:vMerge w:val="restart"/>
            <w:tcBorders>
              <w:top w:val="single" w:color="000000" w:sz="4" w:space="0"/>
              <w:left w:val="single" w:color="000000" w:sz="4" w:space="0"/>
              <w:right w:val="single" w:color="000000" w:sz="4" w:space="0"/>
            </w:tcBorders>
            <w:shd w:val="clear" w:color="auto" w:fill="auto"/>
            <w:vAlign w:val="center"/>
          </w:tcPr>
          <w:p w14:paraId="59240F5F">
            <w:pPr>
              <w:jc w:val="center"/>
              <w:rPr>
                <w:rFonts w:hint="eastAsia" w:ascii="宋体" w:hAnsi="宋体" w:eastAsia="宋体" w:cs="宋体"/>
                <w:i w:val="0"/>
                <w:iCs w:val="0"/>
                <w:color w:val="000000"/>
                <w:sz w:val="15"/>
                <w:szCs w:val="15"/>
                <w:u w:val="none"/>
              </w:rPr>
            </w:pPr>
          </w:p>
        </w:tc>
        <w:tc>
          <w:tcPr>
            <w:tcW w:w="309" w:type="pct"/>
            <w:vMerge w:val="restart"/>
            <w:tcBorders>
              <w:top w:val="single" w:color="000000" w:sz="4" w:space="0"/>
              <w:left w:val="single" w:color="000000" w:sz="4" w:space="0"/>
              <w:right w:val="single" w:color="000000" w:sz="4" w:space="0"/>
            </w:tcBorders>
            <w:shd w:val="clear" w:color="auto" w:fill="auto"/>
            <w:vAlign w:val="center"/>
          </w:tcPr>
          <w:p w14:paraId="1C630322">
            <w:pPr>
              <w:jc w:val="center"/>
              <w:rPr>
                <w:rFonts w:hint="eastAsia" w:ascii="宋体" w:hAnsi="宋体" w:eastAsia="宋体" w:cs="宋体"/>
                <w:i w:val="0"/>
                <w:iCs w:val="0"/>
                <w:color w:val="000000"/>
                <w:sz w:val="15"/>
                <w:szCs w:val="15"/>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29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及时处置</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1E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161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评价部门开展绩效运行监控后，将绩效监控结果应用到预算调整的情况。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11A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BE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E466">
            <w:pP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C071">
            <w:pPr>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98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26B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0EF9">
            <w:pPr>
              <w:rPr>
                <w:rFonts w:hint="eastAsia" w:ascii="宋体" w:hAnsi="宋体" w:eastAsia="宋体" w:cs="宋体"/>
                <w:i w:val="0"/>
                <w:iCs w:val="0"/>
                <w:color w:val="000000"/>
                <w:sz w:val="15"/>
                <w:szCs w:val="15"/>
                <w:u w:val="none"/>
              </w:rPr>
            </w:pPr>
          </w:p>
        </w:tc>
      </w:tr>
      <w:tr w14:paraId="3828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B6738">
            <w:pPr>
              <w:jc w:val="center"/>
              <w:rPr>
                <w:rFonts w:hint="eastAsia" w:ascii="宋体" w:hAnsi="宋体" w:eastAsia="宋体" w:cs="宋体"/>
                <w:i w:val="0"/>
                <w:iCs w:val="0"/>
                <w:color w:val="000000"/>
                <w:sz w:val="15"/>
                <w:szCs w:val="15"/>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38E89">
            <w:pPr>
              <w:jc w:val="center"/>
              <w:rPr>
                <w:rFonts w:hint="eastAsia" w:ascii="宋体" w:hAnsi="宋体" w:eastAsia="宋体" w:cs="宋体"/>
                <w:i w:val="0"/>
                <w:iCs w:val="0"/>
                <w:color w:val="000000"/>
                <w:sz w:val="15"/>
                <w:szCs w:val="15"/>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AD3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执行进度</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8A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41A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评价部门在6、9、11月的预算执行情况。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8D3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部门预算执行进度在6、9、11月应达到序时进度的80%、90%、90%，即实际支出进度分别达到40%、67.5%、82.5%。                                                     6、9、11月部门预算执行进度达到量化指标的分别得1、2、2分，未达到目标进度的的按其实际进度占目标进度的比重计算得分。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8C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3D0F">
            <w:pP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EAE6">
            <w:pPr>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E8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40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D8DA">
            <w:pPr>
              <w:rPr>
                <w:rFonts w:hint="eastAsia" w:ascii="宋体" w:hAnsi="宋体" w:eastAsia="宋体" w:cs="宋体"/>
                <w:i w:val="0"/>
                <w:iCs w:val="0"/>
                <w:color w:val="000000"/>
                <w:sz w:val="15"/>
                <w:szCs w:val="15"/>
                <w:u w:val="none"/>
              </w:rPr>
            </w:pPr>
          </w:p>
        </w:tc>
      </w:tr>
      <w:tr w14:paraId="353D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9DA64">
            <w:pPr>
              <w:jc w:val="center"/>
              <w:rPr>
                <w:rFonts w:hint="eastAsia" w:ascii="宋体" w:hAnsi="宋体" w:eastAsia="宋体" w:cs="宋体"/>
                <w:i w:val="0"/>
                <w:iCs w:val="0"/>
                <w:color w:val="000000"/>
                <w:sz w:val="15"/>
                <w:szCs w:val="15"/>
                <w:u w:val="none"/>
              </w:rPr>
            </w:pPr>
          </w:p>
        </w:tc>
        <w:tc>
          <w:tcPr>
            <w:tcW w:w="309" w:type="pct"/>
            <w:vMerge w:val="restart"/>
            <w:tcBorders>
              <w:top w:val="single" w:color="000000" w:sz="4" w:space="0"/>
              <w:left w:val="single" w:color="000000" w:sz="4" w:space="0"/>
              <w:bottom w:val="nil"/>
              <w:right w:val="single" w:color="000000" w:sz="4" w:space="0"/>
            </w:tcBorders>
            <w:shd w:val="clear" w:color="auto" w:fill="auto"/>
            <w:vAlign w:val="center"/>
          </w:tcPr>
          <w:p w14:paraId="6BC56A8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完成结果（20分）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AA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预算完成</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F0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8B2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评价部门预算项目年终预算执行情况。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57C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部门预算项目12月预算执行进度达到100%的，得10分，未达100%的，按照实际进度量化计算得分。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92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8DE8">
            <w:pP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2A0B">
            <w:pPr>
              <w:jc w:val="center"/>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0EE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169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58C6">
            <w:pPr>
              <w:rPr>
                <w:rFonts w:hint="eastAsia" w:ascii="宋体" w:hAnsi="宋体" w:eastAsia="宋体" w:cs="宋体"/>
                <w:i w:val="0"/>
                <w:iCs w:val="0"/>
                <w:color w:val="000000"/>
                <w:sz w:val="15"/>
                <w:szCs w:val="15"/>
                <w:u w:val="none"/>
              </w:rPr>
            </w:pPr>
          </w:p>
        </w:tc>
      </w:tr>
      <w:tr w14:paraId="6E68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FC491">
            <w:pPr>
              <w:jc w:val="center"/>
              <w:rPr>
                <w:rFonts w:hint="eastAsia" w:ascii="宋体" w:hAnsi="宋体" w:eastAsia="宋体" w:cs="宋体"/>
                <w:i w:val="0"/>
                <w:iCs w:val="0"/>
                <w:color w:val="000000"/>
                <w:sz w:val="15"/>
                <w:szCs w:val="15"/>
                <w:u w:val="none"/>
              </w:rPr>
            </w:pPr>
          </w:p>
        </w:tc>
        <w:tc>
          <w:tcPr>
            <w:tcW w:w="309" w:type="pct"/>
            <w:vMerge w:val="continue"/>
            <w:tcBorders>
              <w:top w:val="single" w:color="000000" w:sz="4" w:space="0"/>
              <w:left w:val="single" w:color="000000" w:sz="4" w:space="0"/>
              <w:bottom w:val="nil"/>
              <w:right w:val="single" w:color="000000" w:sz="4" w:space="0"/>
            </w:tcBorders>
            <w:shd w:val="clear" w:color="auto" w:fill="auto"/>
            <w:vAlign w:val="center"/>
          </w:tcPr>
          <w:p w14:paraId="486AA974">
            <w:pPr>
              <w:jc w:val="center"/>
              <w:rPr>
                <w:rFonts w:hint="eastAsia" w:ascii="宋体" w:hAnsi="宋体" w:eastAsia="宋体" w:cs="宋体"/>
                <w:i w:val="0"/>
                <w:iCs w:val="0"/>
                <w:color w:val="000000"/>
                <w:sz w:val="15"/>
                <w:szCs w:val="15"/>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7F0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资金结余率（低效无效率）</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438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D97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评价部门预算项目年终资金结余情况。                 </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7FB2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部门预算项目资金结余率小于0.1的项目数/部门预算项目总数*5。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49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F1B3">
            <w:pPr>
              <w:jc w:val="left"/>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5B66">
            <w:pPr>
              <w:jc w:val="left"/>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4A9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BA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7647">
            <w:pPr>
              <w:rPr>
                <w:rFonts w:hint="eastAsia" w:ascii="宋体" w:hAnsi="宋体" w:eastAsia="宋体" w:cs="宋体"/>
                <w:i w:val="0"/>
                <w:iCs w:val="0"/>
                <w:color w:val="000000"/>
                <w:sz w:val="15"/>
                <w:szCs w:val="15"/>
                <w:u w:val="none"/>
              </w:rPr>
            </w:pPr>
          </w:p>
        </w:tc>
      </w:tr>
      <w:tr w14:paraId="0061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A6F67">
            <w:pPr>
              <w:jc w:val="center"/>
              <w:rPr>
                <w:rFonts w:hint="eastAsia" w:ascii="宋体" w:hAnsi="宋体" w:eastAsia="宋体" w:cs="宋体"/>
                <w:i w:val="0"/>
                <w:iCs w:val="0"/>
                <w:color w:val="000000"/>
                <w:sz w:val="15"/>
                <w:szCs w:val="15"/>
                <w:u w:val="none"/>
              </w:rPr>
            </w:pPr>
          </w:p>
        </w:tc>
        <w:tc>
          <w:tcPr>
            <w:tcW w:w="309" w:type="pct"/>
            <w:vMerge w:val="continue"/>
            <w:tcBorders>
              <w:top w:val="single" w:color="000000" w:sz="4" w:space="0"/>
              <w:left w:val="single" w:color="000000" w:sz="4" w:space="0"/>
              <w:bottom w:val="nil"/>
              <w:right w:val="single" w:color="000000" w:sz="4" w:space="0"/>
            </w:tcBorders>
            <w:shd w:val="clear" w:color="auto" w:fill="auto"/>
            <w:vAlign w:val="center"/>
          </w:tcPr>
          <w:p w14:paraId="73A815F7">
            <w:pPr>
              <w:jc w:val="center"/>
              <w:rPr>
                <w:rFonts w:hint="eastAsia" w:ascii="宋体" w:hAnsi="宋体" w:eastAsia="宋体" w:cs="宋体"/>
                <w:i w:val="0"/>
                <w:iCs w:val="0"/>
                <w:color w:val="000000"/>
                <w:sz w:val="15"/>
                <w:szCs w:val="15"/>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A0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违规记录</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76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7A8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根据审计监督、财政检查结果反映部门上一年度部门预算管理是否合规。</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6BD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依据评价年度审计监督、财政检查结果，出现部门预算管理方面违纪违规问题的，每个问题扣0.5分，直至扣完。</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1CF0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B92D">
            <w:pPr>
              <w:jc w:val="left"/>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D484">
            <w:pPr>
              <w:jc w:val="left"/>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BAA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5B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907D">
            <w:pPr>
              <w:rPr>
                <w:rFonts w:hint="eastAsia" w:ascii="宋体" w:hAnsi="宋体" w:eastAsia="宋体" w:cs="宋体"/>
                <w:i w:val="0"/>
                <w:iCs w:val="0"/>
                <w:color w:val="000000"/>
                <w:sz w:val="15"/>
                <w:szCs w:val="15"/>
                <w:u w:val="none"/>
              </w:rPr>
            </w:pPr>
          </w:p>
        </w:tc>
      </w:tr>
    </w:tbl>
    <w:p w14:paraId="5D06B3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sectPr>
          <w:footerReference r:id="rId7" w:type="first"/>
          <w:footerReference r:id="rId6" w:type="default"/>
          <w:pgSz w:w="16838" w:h="11906" w:orient="landscape"/>
          <w:pgMar w:top="1803" w:right="1440" w:bottom="1803" w:left="1440" w:header="851" w:footer="992" w:gutter="0"/>
          <w:pgNumType w:fmt="decimal" w:start="1"/>
          <w:cols w:space="0" w:num="1"/>
          <w:titlePg/>
          <w:rtlGutter w:val="0"/>
          <w:docGrid w:type="lines" w:linePitch="319" w:charSpace="0"/>
        </w:sect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877"/>
        <w:gridCol w:w="825"/>
        <w:gridCol w:w="495"/>
        <w:gridCol w:w="1658"/>
        <w:gridCol w:w="4743"/>
        <w:gridCol w:w="618"/>
        <w:gridCol w:w="621"/>
        <w:gridCol w:w="746"/>
        <w:gridCol w:w="689"/>
        <w:gridCol w:w="678"/>
        <w:gridCol w:w="1630"/>
      </w:tblGrid>
      <w:tr w14:paraId="66299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9FC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绩效结果应用（20分）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466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内部应用（6分）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7E2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预算挂钩</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18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6F1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部门内部绩效结果与预算挂钩情况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185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将内设机构和下属单位绩效自评纳入考核体系，建立对内设机构和下属单位预算与绩效挂钩机制的，得6分，否则酌情扣分。    </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6C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465A">
            <w:pPr>
              <w:jc w:val="left"/>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3F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108A">
            <w:pPr>
              <w:jc w:val="center"/>
              <w:rPr>
                <w:rFonts w:hint="eastAsia" w:ascii="宋体" w:hAnsi="宋体" w:eastAsia="宋体" w:cs="宋体"/>
                <w:i w:val="0"/>
                <w:iCs w:val="0"/>
                <w:color w:val="000000"/>
                <w:sz w:val="15"/>
                <w:szCs w:val="15"/>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11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F55E">
            <w:pPr>
              <w:rPr>
                <w:rFonts w:hint="eastAsia" w:ascii="宋体" w:hAnsi="宋体" w:eastAsia="宋体" w:cs="宋体"/>
                <w:i w:val="0"/>
                <w:iCs w:val="0"/>
                <w:color w:val="000000"/>
                <w:sz w:val="15"/>
                <w:szCs w:val="15"/>
                <w:u w:val="none"/>
              </w:rPr>
            </w:pPr>
          </w:p>
        </w:tc>
      </w:tr>
      <w:tr w14:paraId="58BD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D810">
            <w:pPr>
              <w:jc w:val="center"/>
              <w:rPr>
                <w:rFonts w:hint="eastAsia" w:ascii="宋体" w:hAnsi="宋体" w:eastAsia="宋体" w:cs="宋体"/>
                <w:i w:val="0"/>
                <w:iCs w:val="0"/>
                <w:color w:val="000000"/>
                <w:sz w:val="15"/>
                <w:szCs w:val="15"/>
                <w:u w:val="none"/>
              </w:rPr>
            </w:pPr>
          </w:p>
        </w:tc>
        <w:tc>
          <w:tcPr>
            <w:tcW w:w="309" w:type="pct"/>
            <w:tcBorders>
              <w:top w:val="nil"/>
              <w:left w:val="single" w:color="000000" w:sz="4" w:space="0"/>
              <w:bottom w:val="single" w:color="000000" w:sz="4" w:space="0"/>
              <w:right w:val="single" w:color="000000" w:sz="4" w:space="0"/>
            </w:tcBorders>
            <w:shd w:val="clear" w:color="auto" w:fill="auto"/>
            <w:vAlign w:val="center"/>
          </w:tcPr>
          <w:p w14:paraId="3AC8ED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信息公开（4分)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2E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自评公开</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20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FF5B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评价部门是否按要求将部门整体绩效自评情况和自行组织的评价情况向社会公开。</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6AB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按要求将相关绩效信息随同决算公开的，得4分，否则不得分。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EE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8BF1">
            <w:pP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760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8215">
            <w:pPr>
              <w:rPr>
                <w:rFonts w:hint="eastAsia" w:ascii="宋体" w:hAnsi="宋体" w:eastAsia="宋体" w:cs="宋体"/>
                <w:i w:val="0"/>
                <w:iCs w:val="0"/>
                <w:color w:val="000000"/>
                <w:sz w:val="15"/>
                <w:szCs w:val="15"/>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D2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B482">
            <w:pPr>
              <w:rPr>
                <w:rFonts w:hint="eastAsia" w:ascii="宋体" w:hAnsi="宋体" w:eastAsia="宋体" w:cs="宋体"/>
                <w:i w:val="0"/>
                <w:iCs w:val="0"/>
                <w:color w:val="000000"/>
                <w:sz w:val="15"/>
                <w:szCs w:val="15"/>
                <w:u w:val="none"/>
              </w:rPr>
            </w:pPr>
          </w:p>
        </w:tc>
      </w:tr>
      <w:tr w14:paraId="3290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D389E">
            <w:pPr>
              <w:jc w:val="center"/>
              <w:rPr>
                <w:rFonts w:hint="eastAsia" w:ascii="宋体" w:hAnsi="宋体" w:eastAsia="宋体" w:cs="宋体"/>
                <w:i w:val="0"/>
                <w:iCs w:val="0"/>
                <w:color w:val="000000"/>
                <w:sz w:val="15"/>
                <w:szCs w:val="15"/>
                <w:u w:val="none"/>
              </w:rPr>
            </w:pP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618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整改反馈（10分）</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1E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问题整改</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3D3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BFF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评价部门根据绩效管理结果整改问题、完善政策、改进管理的情况。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E1B9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针对绩效管理过程中（包括绩效目标核查、绩效监控核查和重点绩效评价）提出的问题进行整改，得5分，否则酌情扣分。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67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5E93">
            <w:pP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58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127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B6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D46B">
            <w:pPr>
              <w:rPr>
                <w:rFonts w:hint="eastAsia" w:ascii="宋体" w:hAnsi="宋体" w:eastAsia="宋体" w:cs="宋体"/>
                <w:i w:val="0"/>
                <w:iCs w:val="0"/>
                <w:color w:val="000000"/>
                <w:sz w:val="15"/>
                <w:szCs w:val="15"/>
                <w:u w:val="none"/>
              </w:rPr>
            </w:pPr>
          </w:p>
        </w:tc>
      </w:tr>
      <w:tr w14:paraId="2E97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990C">
            <w:pPr>
              <w:jc w:val="center"/>
              <w:rPr>
                <w:rFonts w:hint="eastAsia" w:ascii="宋体" w:hAnsi="宋体" w:eastAsia="宋体" w:cs="宋体"/>
                <w:i w:val="0"/>
                <w:iCs w:val="0"/>
                <w:color w:val="000000"/>
                <w:sz w:val="15"/>
                <w:szCs w:val="15"/>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7A2F9">
            <w:pPr>
              <w:jc w:val="center"/>
              <w:rPr>
                <w:rFonts w:hint="eastAsia" w:ascii="宋体" w:hAnsi="宋体" w:eastAsia="宋体" w:cs="宋体"/>
                <w:i w:val="0"/>
                <w:iCs w:val="0"/>
                <w:color w:val="000000"/>
                <w:sz w:val="15"/>
                <w:szCs w:val="15"/>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1B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应用反馈</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70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0B9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评价部门按要求及时向财政部门反馈结果应用情况。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AD5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部门在规定时间内向财政部门反馈应用绩效结果报告的，得5分，否则不得分。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0FB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CB162">
            <w:pPr>
              <w:jc w:val="left"/>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24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D3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B38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697E7">
            <w:pPr>
              <w:rPr>
                <w:rFonts w:hint="eastAsia" w:ascii="宋体" w:hAnsi="宋体" w:eastAsia="宋体" w:cs="宋体"/>
                <w:i w:val="0"/>
                <w:iCs w:val="0"/>
                <w:color w:val="000000"/>
                <w:sz w:val="15"/>
                <w:szCs w:val="15"/>
                <w:u w:val="none"/>
              </w:rPr>
            </w:pPr>
          </w:p>
        </w:tc>
      </w:tr>
      <w:tr w14:paraId="68E8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76B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自评质量（10分）</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34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自评质量</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9D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自评质量</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0CF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61F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评价部门整体支出自评准确率。</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029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部门整体支出自评得分与评价组抽查得分差异在5%以内的，不扣分；在5%-10%之间的，扣4分，在10%-20%的，扣8分，在20%以上的，扣10分（此为财政重点绩效评价计分标准，部门参照该标准对部门及下属单位抽查计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96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8F4D">
            <w:pPr>
              <w:jc w:val="cente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9E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CA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011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9A26">
            <w:pPr>
              <w:rPr>
                <w:rFonts w:hint="eastAsia" w:ascii="宋体" w:hAnsi="宋体" w:eastAsia="宋体" w:cs="宋体"/>
                <w:i w:val="0"/>
                <w:iCs w:val="0"/>
                <w:color w:val="000000"/>
                <w:sz w:val="15"/>
                <w:szCs w:val="15"/>
                <w:u w:val="none"/>
              </w:rPr>
            </w:pPr>
          </w:p>
        </w:tc>
      </w:tr>
      <w:tr w14:paraId="1534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177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扣分项（10分）</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E4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6C1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被评价单位配合评价工作情况。</w:t>
            </w: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8CF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重点绩效评价工作开展过程中，评价组发现被评价对象拖延推诿、提交资料不及时等拒不配合评价工作的，经报财政厅复核确认后按0.5分/次予以扣分，最高扣10分（此为财政重点绩效评价计分标准，部门参照该标准对部门及下属单位计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801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0FC5">
            <w:pPr>
              <w:jc w:val="cente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B2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DD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DDCE">
            <w:pPr>
              <w:jc w:val="center"/>
              <w:rPr>
                <w:rFonts w:hint="eastAsia" w:ascii="宋体" w:hAnsi="宋体" w:eastAsia="宋体" w:cs="宋体"/>
                <w:i w:val="0"/>
                <w:iCs w:val="0"/>
                <w:color w:val="000000"/>
                <w:sz w:val="15"/>
                <w:szCs w:val="15"/>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A01B">
            <w:pPr>
              <w:rPr>
                <w:rFonts w:hint="eastAsia" w:ascii="宋体" w:hAnsi="宋体" w:eastAsia="宋体" w:cs="宋体"/>
                <w:i w:val="0"/>
                <w:iCs w:val="0"/>
                <w:color w:val="000000"/>
                <w:sz w:val="13"/>
                <w:szCs w:val="13"/>
                <w:u w:val="none"/>
              </w:rPr>
            </w:pPr>
          </w:p>
        </w:tc>
      </w:tr>
      <w:tr w14:paraId="3A4D7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1FC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06A36">
            <w:pPr>
              <w:jc w:val="center"/>
              <w:rPr>
                <w:rFonts w:hint="eastAsia" w:ascii="宋体" w:hAnsi="宋体" w:eastAsia="宋体" w:cs="宋体"/>
                <w:i w:val="0"/>
                <w:iCs w:val="0"/>
                <w:color w:val="000000"/>
                <w:sz w:val="15"/>
                <w:szCs w:val="15"/>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59600">
            <w:pPr>
              <w:rPr>
                <w:rFonts w:hint="eastAsia" w:ascii="宋体" w:hAnsi="宋体" w:eastAsia="宋体" w:cs="宋体"/>
                <w:i w:val="0"/>
                <w:iCs w:val="0"/>
                <w:color w:val="000000"/>
                <w:sz w:val="13"/>
                <w:szCs w:val="13"/>
                <w:u w:val="none"/>
              </w:rPr>
            </w:pPr>
          </w:p>
        </w:tc>
        <w:tc>
          <w:tcPr>
            <w:tcW w:w="1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2E13C">
            <w:pPr>
              <w:jc w:val="left"/>
              <w:rPr>
                <w:rFonts w:hint="eastAsia" w:ascii="宋体" w:hAnsi="宋体" w:eastAsia="宋体" w:cs="宋体"/>
                <w:i w:val="0"/>
                <w:iCs w:val="0"/>
                <w:color w:val="000000"/>
                <w:sz w:val="15"/>
                <w:szCs w:val="15"/>
                <w:u w:val="none"/>
              </w:rPr>
            </w:pP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B9A9">
            <w:pPr>
              <w:jc w:val="center"/>
              <w:rPr>
                <w:rFonts w:hint="eastAsia" w:ascii="宋体" w:hAnsi="宋体" w:eastAsia="宋体" w:cs="宋体"/>
                <w:i w:val="0"/>
                <w:iCs w:val="0"/>
                <w:color w:val="000000"/>
                <w:sz w:val="15"/>
                <w:szCs w:val="15"/>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D385">
            <w:pPr>
              <w:jc w:val="center"/>
              <w:rPr>
                <w:rFonts w:hint="eastAsia" w:ascii="宋体" w:hAnsi="宋体" w:eastAsia="宋体" w:cs="宋体"/>
                <w:i w:val="0"/>
                <w:iCs w:val="0"/>
                <w:color w:val="000000"/>
                <w:sz w:val="15"/>
                <w:szCs w:val="15"/>
                <w:u w:val="none"/>
              </w:rPr>
            </w:pPr>
          </w:p>
        </w:tc>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5460E">
            <w:pPr>
              <w:jc w:val="center"/>
              <w:rPr>
                <w:rFonts w:hint="eastAsia" w:ascii="宋体" w:hAnsi="宋体" w:eastAsia="宋体" w:cs="宋体"/>
                <w:i w:val="0"/>
                <w:iCs w:val="0"/>
                <w:color w:val="000000"/>
                <w:sz w:val="15"/>
                <w:szCs w:val="15"/>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8571">
            <w:pPr>
              <w:jc w:val="center"/>
              <w:rPr>
                <w:rFonts w:hint="eastAsia" w:ascii="宋体" w:hAnsi="宋体" w:eastAsia="宋体" w:cs="宋体"/>
                <w:i w:val="0"/>
                <w:iCs w:val="0"/>
                <w:color w:val="000000"/>
                <w:sz w:val="15"/>
                <w:szCs w:val="15"/>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55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84</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17C8">
            <w:pPr>
              <w:rPr>
                <w:rFonts w:hint="eastAsia" w:ascii="宋体" w:hAnsi="宋体" w:eastAsia="宋体" w:cs="宋体"/>
                <w:i w:val="0"/>
                <w:iCs w:val="0"/>
                <w:color w:val="000000"/>
                <w:sz w:val="13"/>
                <w:szCs w:val="13"/>
                <w:u w:val="none"/>
              </w:rPr>
            </w:pPr>
          </w:p>
        </w:tc>
      </w:tr>
    </w:tbl>
    <w:tbl>
      <w:tblPr>
        <w:tblStyle w:val="15"/>
        <w:tblpPr w:leftFromText="180" w:rightFromText="180" w:vertAnchor="text" w:horzAnchor="page" w:tblpX="1522" w:tblpY="147"/>
        <w:tblOverlap w:val="never"/>
        <w:tblW w:w="14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906"/>
        <w:gridCol w:w="335"/>
        <w:gridCol w:w="960"/>
        <w:gridCol w:w="188"/>
        <w:gridCol w:w="1493"/>
        <w:gridCol w:w="2011"/>
        <w:gridCol w:w="1211"/>
        <w:gridCol w:w="1210"/>
        <w:gridCol w:w="1509"/>
        <w:gridCol w:w="1506"/>
        <w:gridCol w:w="1122"/>
        <w:gridCol w:w="883"/>
      </w:tblGrid>
      <w:tr w14:paraId="4EAD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116" w:type="dxa"/>
            <w:gridSpan w:val="13"/>
            <w:tcBorders>
              <w:top w:val="nil"/>
              <w:left w:val="single" w:color="000000" w:sz="4" w:space="0"/>
              <w:bottom w:val="nil"/>
              <w:right w:val="single" w:color="000000" w:sz="4" w:space="0"/>
            </w:tcBorders>
            <w:shd w:val="clear" w:color="auto" w:fill="FFFFFF"/>
            <w:vAlign w:val="center"/>
          </w:tcPr>
          <w:p w14:paraId="5BFD80DA">
            <w:pPr>
              <w:keepNext w:val="0"/>
              <w:keepLines w:val="0"/>
              <w:widowControl/>
              <w:suppressLineNumbers w:val="0"/>
              <w:jc w:val="center"/>
              <w:textAlignment w:val="center"/>
              <w:rPr>
                <w:rFonts w:ascii="微软雅黑" w:hAnsi="微软雅黑" w:eastAsia="微软雅黑" w:cs="微软雅黑"/>
                <w:b/>
                <w:bCs/>
                <w:i w:val="0"/>
                <w:iCs w:val="0"/>
                <w:color w:val="808080"/>
                <w:sz w:val="24"/>
                <w:szCs w:val="24"/>
                <w:u w:val="none"/>
              </w:rPr>
            </w:pPr>
            <w:r>
              <w:rPr>
                <w:rFonts w:hint="eastAsia" w:ascii="微软雅黑" w:hAnsi="微软雅黑" w:eastAsia="微软雅黑" w:cs="微软雅黑"/>
                <w:b/>
                <w:bCs/>
                <w:i w:val="0"/>
                <w:iCs w:val="0"/>
                <w:color w:val="808080"/>
                <w:kern w:val="0"/>
                <w:sz w:val="24"/>
                <w:szCs w:val="24"/>
                <w:u w:val="none"/>
                <w:lang w:val="en-US" w:eastAsia="zh-CN" w:bidi="ar"/>
              </w:rPr>
              <w:t>部门（单位）整体支出绩效目标表</w:t>
            </w:r>
          </w:p>
        </w:tc>
      </w:tr>
      <w:tr w14:paraId="7FAF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16" w:type="dxa"/>
            <w:gridSpan w:val="13"/>
            <w:tcBorders>
              <w:top w:val="nil"/>
              <w:left w:val="single" w:color="000000" w:sz="4" w:space="0"/>
              <w:bottom w:val="nil"/>
              <w:right w:val="single" w:color="000000" w:sz="4" w:space="0"/>
            </w:tcBorders>
            <w:shd w:val="clear" w:color="auto" w:fill="auto"/>
            <w:noWrap/>
            <w:vAlign w:val="center"/>
          </w:tcPr>
          <w:p w14:paraId="5A5F69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预算年度:2022</w:t>
            </w:r>
          </w:p>
        </w:tc>
      </w:tr>
      <w:tr w14:paraId="1165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23" w:type="dxa"/>
            <w:gridSpan w:val="3"/>
            <w:tcBorders>
              <w:top w:val="nil"/>
              <w:left w:val="single" w:color="000000" w:sz="4" w:space="0"/>
              <w:bottom w:val="single" w:color="000000" w:sz="4" w:space="0"/>
              <w:right w:val="nil"/>
            </w:tcBorders>
            <w:shd w:val="clear" w:color="auto" w:fill="FFFFFF"/>
            <w:vAlign w:val="center"/>
          </w:tcPr>
          <w:p w14:paraId="09B418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预算（单位）名称：</w:t>
            </w:r>
          </w:p>
        </w:tc>
        <w:tc>
          <w:tcPr>
            <w:tcW w:w="10088" w:type="dxa"/>
            <w:gridSpan w:val="8"/>
            <w:tcBorders>
              <w:top w:val="nil"/>
              <w:left w:val="nil"/>
              <w:bottom w:val="single" w:color="000000" w:sz="4" w:space="0"/>
              <w:right w:val="nil"/>
            </w:tcBorders>
            <w:shd w:val="clear" w:color="auto" w:fill="FFFFFF"/>
            <w:vAlign w:val="center"/>
          </w:tcPr>
          <w:p w14:paraId="350426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504-人力资源和社会保障局</w:t>
            </w:r>
          </w:p>
        </w:tc>
        <w:tc>
          <w:tcPr>
            <w:tcW w:w="2005" w:type="dxa"/>
            <w:gridSpan w:val="2"/>
            <w:tcBorders>
              <w:top w:val="nil"/>
              <w:left w:val="nil"/>
              <w:bottom w:val="single" w:color="000000" w:sz="4" w:space="0"/>
              <w:right w:val="single" w:color="000000" w:sz="4" w:space="0"/>
            </w:tcBorders>
            <w:shd w:val="clear" w:color="auto" w:fill="FFFFFF"/>
            <w:vAlign w:val="center"/>
          </w:tcPr>
          <w:p w14:paraId="274324AE">
            <w:pPr>
              <w:jc w:val="right"/>
              <w:rPr>
                <w:rFonts w:hint="eastAsia" w:ascii="宋体" w:hAnsi="宋体" w:eastAsia="宋体" w:cs="宋体"/>
                <w:b/>
                <w:bCs/>
                <w:i w:val="0"/>
                <w:iCs w:val="0"/>
                <w:color w:val="FF0000"/>
                <w:sz w:val="20"/>
                <w:szCs w:val="20"/>
                <w:u w:val="none"/>
              </w:rPr>
            </w:pPr>
          </w:p>
        </w:tc>
      </w:tr>
      <w:tr w14:paraId="65F2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688"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FEA6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总体资金情况（元）</w:t>
            </w:r>
          </w:p>
        </w:tc>
        <w:tc>
          <w:tcPr>
            <w:tcW w:w="1483" w:type="dxa"/>
            <w:gridSpan w:val="3"/>
            <w:vMerge w:val="restart"/>
            <w:tcBorders>
              <w:top w:val="nil"/>
              <w:left w:val="single" w:color="000000" w:sz="4" w:space="0"/>
              <w:bottom w:val="single" w:color="000000" w:sz="4" w:space="0"/>
              <w:right w:val="single" w:color="000000" w:sz="4" w:space="0"/>
            </w:tcBorders>
            <w:shd w:val="clear" w:color="auto" w:fill="FFFFFF"/>
            <w:vAlign w:val="center"/>
          </w:tcPr>
          <w:p w14:paraId="63A7EF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预算支出总额</w:t>
            </w:r>
          </w:p>
        </w:tc>
        <w:tc>
          <w:tcPr>
            <w:tcW w:w="5925" w:type="dxa"/>
            <w:gridSpan w:val="4"/>
            <w:tcBorders>
              <w:top w:val="nil"/>
              <w:left w:val="single" w:color="000000" w:sz="4" w:space="0"/>
              <w:bottom w:val="single" w:color="000000" w:sz="4" w:space="0"/>
              <w:right w:val="single" w:color="000000" w:sz="4" w:space="0"/>
            </w:tcBorders>
            <w:shd w:val="clear" w:color="auto" w:fill="FFFFFF"/>
            <w:vAlign w:val="center"/>
          </w:tcPr>
          <w:p w14:paraId="413021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基本支出</w:t>
            </w:r>
          </w:p>
        </w:tc>
        <w:tc>
          <w:tcPr>
            <w:tcW w:w="5020" w:type="dxa"/>
            <w:gridSpan w:val="4"/>
            <w:tcBorders>
              <w:top w:val="nil"/>
              <w:left w:val="single" w:color="000000" w:sz="4" w:space="0"/>
              <w:bottom w:val="single" w:color="000000" w:sz="4" w:space="0"/>
              <w:right w:val="single" w:color="000000" w:sz="4" w:space="0"/>
            </w:tcBorders>
            <w:shd w:val="clear" w:color="auto" w:fill="auto"/>
            <w:vAlign w:val="center"/>
          </w:tcPr>
          <w:p w14:paraId="0B6043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项目支出</w:t>
            </w:r>
          </w:p>
        </w:tc>
      </w:tr>
      <w:tr w14:paraId="15E2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68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2935FF7">
            <w:pPr>
              <w:jc w:val="center"/>
              <w:rPr>
                <w:rFonts w:hint="eastAsia" w:ascii="宋体" w:hAnsi="宋体" w:eastAsia="宋体" w:cs="宋体"/>
                <w:i w:val="0"/>
                <w:iCs w:val="0"/>
                <w:color w:val="000000"/>
                <w:sz w:val="20"/>
                <w:szCs w:val="20"/>
                <w:u w:val="none"/>
              </w:rPr>
            </w:pPr>
          </w:p>
        </w:tc>
        <w:tc>
          <w:tcPr>
            <w:tcW w:w="1483" w:type="dxa"/>
            <w:gridSpan w:val="3"/>
            <w:vMerge w:val="continue"/>
            <w:tcBorders>
              <w:top w:val="nil"/>
              <w:left w:val="single" w:color="000000" w:sz="4" w:space="0"/>
              <w:bottom w:val="single" w:color="000000" w:sz="4" w:space="0"/>
              <w:right w:val="single" w:color="000000" w:sz="4" w:space="0"/>
            </w:tcBorders>
            <w:shd w:val="clear" w:color="auto" w:fill="FFFFFF"/>
            <w:vAlign w:val="center"/>
          </w:tcPr>
          <w:p w14:paraId="12258FBA">
            <w:pPr>
              <w:jc w:val="center"/>
              <w:rPr>
                <w:rFonts w:hint="eastAsia" w:ascii="宋体" w:hAnsi="宋体" w:eastAsia="宋体" w:cs="宋体"/>
                <w:b/>
                <w:bCs/>
                <w:i w:val="0"/>
                <w:iCs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4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A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3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专户资金</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8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4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1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E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专户资金</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1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14:paraId="2D70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88"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D9650C0">
            <w:pPr>
              <w:jc w:val="center"/>
              <w:rPr>
                <w:rFonts w:hint="eastAsia" w:ascii="宋体" w:hAnsi="宋体" w:eastAsia="宋体" w:cs="宋体"/>
                <w:i w:val="0"/>
                <w:iCs w:val="0"/>
                <w:color w:val="000000"/>
                <w:sz w:val="20"/>
                <w:szCs w:val="20"/>
                <w:u w:val="none"/>
              </w:rPr>
            </w:pPr>
          </w:p>
        </w:tc>
        <w:tc>
          <w:tcPr>
            <w:tcW w:w="148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F4742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105090240.50 </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F8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105090240.50 </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13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105090240.50 </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712C">
            <w:pPr>
              <w:jc w:val="right"/>
              <w:rPr>
                <w:rFonts w:hint="eastAsia" w:ascii="宋体" w:hAnsi="宋体" w:eastAsia="宋体" w:cs="宋体"/>
                <w:i w:val="0"/>
                <w:iCs w:val="0"/>
                <w:color w:val="000000"/>
                <w:sz w:val="20"/>
                <w:szCs w:val="20"/>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84A3">
            <w:pPr>
              <w:jc w:val="right"/>
              <w:rPr>
                <w:rFonts w:hint="eastAsia" w:ascii="宋体" w:hAnsi="宋体" w:eastAsia="宋体" w:cs="宋体"/>
                <w:i w:val="0"/>
                <w:iCs w:val="0"/>
                <w:color w:val="000000"/>
                <w:sz w:val="20"/>
                <w:szCs w:val="20"/>
                <w:u w:val="none"/>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41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105090240.50 </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5C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105090240.50 </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F44B">
            <w:pPr>
              <w:jc w:val="right"/>
              <w:rPr>
                <w:rFonts w:hint="eastAsia" w:ascii="宋体" w:hAnsi="宋体" w:eastAsia="宋体" w:cs="宋体"/>
                <w:i w:val="0"/>
                <w:iCs w:val="0"/>
                <w:color w:val="000000"/>
                <w:sz w:val="20"/>
                <w:szCs w:val="20"/>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57A">
            <w:pPr>
              <w:jc w:val="right"/>
              <w:rPr>
                <w:rFonts w:hint="eastAsia" w:ascii="宋体" w:hAnsi="宋体" w:eastAsia="宋体" w:cs="宋体"/>
                <w:i w:val="0"/>
                <w:iCs w:val="0"/>
                <w:color w:val="000000"/>
                <w:sz w:val="20"/>
                <w:szCs w:val="20"/>
                <w:u w:val="none"/>
              </w:rPr>
            </w:pPr>
          </w:p>
        </w:tc>
      </w:tr>
      <w:tr w14:paraId="20F5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1B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整体绩效目标</w:t>
            </w:r>
          </w:p>
        </w:tc>
        <w:tc>
          <w:tcPr>
            <w:tcW w:w="12428"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529E5E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紧扣市委“1238”总体思路，围绕全市工作大局，以登山不止、实干图强的毅力，充分发挥人社职能，为全市经济社会高质量发展贡献力量</w:t>
            </w:r>
          </w:p>
        </w:tc>
      </w:tr>
      <w:tr w14:paraId="38EE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69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年度主要任务</w:t>
            </w: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4DF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任务名称</w:t>
            </w:r>
          </w:p>
        </w:tc>
        <w:tc>
          <w:tcPr>
            <w:tcW w:w="11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478D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p>
        </w:tc>
      </w:tr>
      <w:tr w14:paraId="4AB6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D4D2C">
            <w:pPr>
              <w:jc w:val="center"/>
              <w:rPr>
                <w:rFonts w:hint="eastAsia" w:ascii="宋体" w:hAnsi="宋体" w:eastAsia="宋体" w:cs="宋体"/>
                <w:i w:val="0"/>
                <w:iCs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05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持续做好“六稳六保”</w:t>
            </w:r>
          </w:p>
        </w:tc>
        <w:tc>
          <w:tcPr>
            <w:tcW w:w="11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CF5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快推动文旅等服务业企业发展，发挥吸纳就业主力军作用；围绕新经济培育开发新职业新工种新岗位，鼓励支持灵活就业；实施创业领航，优化创业服务手段，发挥“乐创汇”创新创业联合会作用，为有意愿的劳动者提供精准创业服务，不断提高劳动者就业创业能力。</w:t>
            </w:r>
          </w:p>
        </w:tc>
      </w:tr>
      <w:tr w14:paraId="31E3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850B2">
            <w:pPr>
              <w:jc w:val="center"/>
              <w:rPr>
                <w:rFonts w:hint="eastAsia" w:ascii="宋体" w:hAnsi="宋体" w:eastAsia="宋体" w:cs="宋体"/>
                <w:i w:val="0"/>
                <w:iCs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1D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加大人才工作力度</w:t>
            </w:r>
          </w:p>
        </w:tc>
        <w:tc>
          <w:tcPr>
            <w:tcW w:w="11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9B9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加大与乐山人社局汇报力度，加大人力产业园建设力度，高标准建设人力产业园，推进“以园带产、以人带产”，不断强化人力资源支撑经济高质量发展作用；以“三年职业技能提升行动”为抓手，动态掌握培训意愿，紧密对接全市经济和产业发展以及岗位需求，着力提升培训针对性和实效性。</w:t>
            </w:r>
          </w:p>
        </w:tc>
      </w:tr>
      <w:tr w14:paraId="3D17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6B7D">
            <w:pPr>
              <w:jc w:val="center"/>
              <w:rPr>
                <w:rFonts w:hint="eastAsia" w:ascii="宋体" w:hAnsi="宋体" w:eastAsia="宋体" w:cs="宋体"/>
                <w:i w:val="0"/>
                <w:iCs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E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强化民生资金安全</w:t>
            </w:r>
          </w:p>
        </w:tc>
        <w:tc>
          <w:tcPr>
            <w:tcW w:w="11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59B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贯彻落实好各项民生资金管理使用政策，规范资金管理，提高资金使用绩效，逐步建立积极的利用资金促进就业和社会保障的长效机制，做好资金分配、审核、拨付等重点环节的资金运行监管力度；切实压紧压实工作责任，通过警示教育、内部轮岗等方式，将责任传导至每一位工作人员；对民生资金管理漏洞“零容忍”，发现一起从严惩治一起，确保资金使用安全有效。</w:t>
            </w:r>
          </w:p>
        </w:tc>
      </w:tr>
      <w:tr w14:paraId="40E4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6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D01A">
            <w:pPr>
              <w:jc w:val="center"/>
              <w:rPr>
                <w:rFonts w:hint="eastAsia" w:ascii="宋体" w:hAnsi="宋体" w:eastAsia="宋体" w:cs="宋体"/>
                <w:i w:val="0"/>
                <w:iCs w:val="0"/>
                <w:color w:val="000000"/>
                <w:sz w:val="20"/>
                <w:szCs w:val="20"/>
                <w:u w:val="none"/>
              </w:rPr>
            </w:pPr>
          </w:p>
        </w:tc>
        <w:tc>
          <w:tcPr>
            <w:tcW w:w="12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4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构建和谐劳动关系</w:t>
            </w:r>
          </w:p>
        </w:tc>
        <w:tc>
          <w:tcPr>
            <w:tcW w:w="1113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05AB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强化责任落实，多方联动形成部门合力，狠抓农民工工资支付保障工作；持续抓好劳动人事争议仲裁，抓好司法衔接；深入推进劳动关系“和谐同行”能力提升三年行动，积极构建和谐劳动关系，维护全市和谐稳定大局，助推全市经济社会高质量发展。</w:t>
            </w:r>
          </w:p>
        </w:tc>
      </w:tr>
      <w:tr w14:paraId="01C8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FE1B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整</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体</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绩</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效</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情</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况</w:t>
            </w:r>
          </w:p>
        </w:tc>
        <w:tc>
          <w:tcPr>
            <w:tcW w:w="13334" w:type="dxa"/>
            <w:gridSpan w:val="12"/>
            <w:tcBorders>
              <w:top w:val="single" w:color="000000" w:sz="4" w:space="0"/>
              <w:left w:val="single" w:color="000000" w:sz="4" w:space="0"/>
              <w:bottom w:val="single" w:color="000000" w:sz="4" w:space="0"/>
              <w:right w:val="single" w:color="000000" w:sz="4" w:space="0"/>
            </w:tcBorders>
            <w:shd w:val="clear" w:color="auto" w:fill="FFFFFF"/>
            <w:vAlign w:val="center"/>
          </w:tcPr>
          <w:p w14:paraId="73F15170">
            <w:pPr>
              <w:keepNext w:val="0"/>
              <w:keepLines w:val="0"/>
              <w:widowControl/>
              <w:suppressLineNumbers w:val="0"/>
              <w:jc w:val="center"/>
              <w:textAlignment w:val="center"/>
              <w:rPr>
                <w:rFonts w:hint="eastAsia" w:ascii="微软雅黑" w:hAnsi="微软雅黑" w:eastAsia="微软雅黑" w:cs="微软雅黑"/>
                <w:b/>
                <w:bCs/>
                <w:i w:val="0"/>
                <w:iCs w:val="0"/>
                <w:color w:val="808080"/>
                <w:sz w:val="22"/>
                <w:szCs w:val="22"/>
                <w:u w:val="none"/>
              </w:rPr>
            </w:pPr>
            <w:r>
              <w:rPr>
                <w:rFonts w:hint="eastAsia" w:ascii="微软雅黑" w:hAnsi="微软雅黑" w:eastAsia="微软雅黑" w:cs="微软雅黑"/>
                <w:b/>
                <w:bCs/>
                <w:i w:val="0"/>
                <w:iCs w:val="0"/>
                <w:color w:val="808080"/>
                <w:kern w:val="0"/>
                <w:sz w:val="22"/>
                <w:szCs w:val="22"/>
                <w:u w:val="none"/>
                <w:lang w:val="en-US" w:eastAsia="zh-CN" w:bidi="ar"/>
              </w:rPr>
              <w:t>年度绩效指标</w:t>
            </w:r>
          </w:p>
        </w:tc>
      </w:tr>
      <w:tr w14:paraId="58A0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314CA">
            <w:pPr>
              <w:jc w:val="center"/>
              <w:rPr>
                <w:rFonts w:hint="eastAsia" w:ascii="宋体" w:hAnsi="宋体" w:eastAsia="宋体" w:cs="宋体"/>
                <w:b/>
                <w:bCs/>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1E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2976" w:type="dxa"/>
            <w:gridSpan w:val="4"/>
            <w:tcBorders>
              <w:top w:val="single" w:color="000000" w:sz="4" w:space="0"/>
              <w:left w:val="single" w:color="000000" w:sz="4" w:space="0"/>
              <w:bottom w:val="nil"/>
              <w:right w:val="single" w:color="000000" w:sz="4" w:space="0"/>
            </w:tcBorders>
            <w:shd w:val="clear" w:color="auto" w:fill="auto"/>
            <w:vAlign w:val="center"/>
          </w:tcPr>
          <w:p w14:paraId="3A4A8B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4432" w:type="dxa"/>
            <w:gridSpan w:val="3"/>
            <w:tcBorders>
              <w:top w:val="single" w:color="000000" w:sz="4" w:space="0"/>
              <w:left w:val="single" w:color="000000" w:sz="4" w:space="0"/>
              <w:bottom w:val="nil"/>
              <w:right w:val="single" w:color="000000" w:sz="4" w:space="0"/>
            </w:tcBorders>
            <w:shd w:val="clear" w:color="auto" w:fill="auto"/>
            <w:vAlign w:val="center"/>
          </w:tcPr>
          <w:p w14:paraId="703AC2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三级指标</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F70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绩效指标性质</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B2D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D6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绩效度量单位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43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w:t>
            </w:r>
          </w:p>
        </w:tc>
      </w:tr>
      <w:tr w14:paraId="7EE1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4792">
            <w:pPr>
              <w:jc w:val="center"/>
              <w:rPr>
                <w:rFonts w:hint="eastAsia" w:ascii="宋体" w:hAnsi="宋体" w:eastAsia="宋体" w:cs="宋体"/>
                <w:b/>
                <w:bCs/>
                <w:i w:val="0"/>
                <w:iCs w:val="0"/>
                <w:color w:val="000000"/>
                <w:sz w:val="20"/>
                <w:szCs w:val="20"/>
                <w:u w:val="none"/>
              </w:rPr>
            </w:pPr>
          </w:p>
        </w:tc>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6DF82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2976" w:type="dxa"/>
            <w:gridSpan w:val="4"/>
            <w:vMerge w:val="restart"/>
            <w:tcBorders>
              <w:top w:val="single" w:color="000000" w:sz="4" w:space="0"/>
              <w:left w:val="single" w:color="000000" w:sz="4" w:space="0"/>
              <w:bottom w:val="single" w:color="000000" w:sz="4" w:space="0"/>
              <w:right w:val="nil"/>
            </w:tcBorders>
            <w:shd w:val="clear" w:color="auto" w:fill="auto"/>
            <w:vAlign w:val="center"/>
          </w:tcPr>
          <w:p w14:paraId="503A6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82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城镇登记失业率</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31660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8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B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2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BFBC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00F9E">
            <w:pPr>
              <w:jc w:val="center"/>
              <w:rPr>
                <w:rFonts w:hint="eastAsia" w:ascii="宋体" w:hAnsi="宋体" w:eastAsia="宋体" w:cs="宋体"/>
                <w:b/>
                <w:bCs/>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4D799C32">
            <w:pPr>
              <w:jc w:val="left"/>
              <w:rPr>
                <w:rFonts w:hint="eastAsia" w:ascii="宋体" w:hAnsi="宋体" w:eastAsia="宋体" w:cs="宋体"/>
                <w:i w:val="0"/>
                <w:iCs w:val="0"/>
                <w:color w:val="000000"/>
                <w:sz w:val="20"/>
                <w:szCs w:val="20"/>
                <w:u w:val="none"/>
              </w:rPr>
            </w:pPr>
          </w:p>
        </w:tc>
        <w:tc>
          <w:tcPr>
            <w:tcW w:w="2976" w:type="dxa"/>
            <w:gridSpan w:val="4"/>
            <w:vMerge w:val="continue"/>
            <w:tcBorders>
              <w:top w:val="single" w:color="000000" w:sz="4" w:space="0"/>
              <w:left w:val="single" w:color="000000" w:sz="4" w:space="0"/>
              <w:bottom w:val="single" w:color="000000" w:sz="4" w:space="0"/>
              <w:right w:val="nil"/>
            </w:tcBorders>
            <w:shd w:val="clear" w:color="auto" w:fill="auto"/>
            <w:vAlign w:val="center"/>
          </w:tcPr>
          <w:p w14:paraId="7432BC34">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CEA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城镇新增就业</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1A1A6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C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7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54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7F4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89A1">
            <w:pPr>
              <w:jc w:val="center"/>
              <w:rPr>
                <w:rFonts w:hint="eastAsia" w:ascii="宋体" w:hAnsi="宋体" w:eastAsia="宋体" w:cs="宋体"/>
                <w:b/>
                <w:bCs/>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19C54116">
            <w:pPr>
              <w:jc w:val="left"/>
              <w:rPr>
                <w:rFonts w:hint="eastAsia" w:ascii="宋体" w:hAnsi="宋体" w:eastAsia="宋体" w:cs="宋体"/>
                <w:i w:val="0"/>
                <w:iCs w:val="0"/>
                <w:color w:val="000000"/>
                <w:sz w:val="20"/>
                <w:szCs w:val="20"/>
                <w:u w:val="none"/>
              </w:rPr>
            </w:pPr>
          </w:p>
        </w:tc>
        <w:tc>
          <w:tcPr>
            <w:tcW w:w="2976" w:type="dxa"/>
            <w:gridSpan w:val="4"/>
            <w:vMerge w:val="continue"/>
            <w:tcBorders>
              <w:top w:val="single" w:color="000000" w:sz="4" w:space="0"/>
              <w:left w:val="single" w:color="000000" w:sz="4" w:space="0"/>
              <w:bottom w:val="single" w:color="000000" w:sz="4" w:space="0"/>
              <w:right w:val="nil"/>
            </w:tcBorders>
            <w:shd w:val="clear" w:color="auto" w:fill="auto"/>
            <w:vAlign w:val="center"/>
          </w:tcPr>
          <w:p w14:paraId="5A150121">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FBB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发放创业担保贷款</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241446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8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5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59B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D6AA">
            <w:pPr>
              <w:jc w:val="center"/>
              <w:rPr>
                <w:rFonts w:hint="eastAsia" w:ascii="宋体" w:hAnsi="宋体" w:eastAsia="宋体" w:cs="宋体"/>
                <w:b/>
                <w:bCs/>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0AE46624">
            <w:pPr>
              <w:jc w:val="left"/>
              <w:rPr>
                <w:rFonts w:hint="eastAsia" w:ascii="宋体" w:hAnsi="宋体" w:eastAsia="宋体" w:cs="宋体"/>
                <w:i w:val="0"/>
                <w:iCs w:val="0"/>
                <w:color w:val="000000"/>
                <w:sz w:val="20"/>
                <w:szCs w:val="20"/>
                <w:u w:val="none"/>
              </w:rPr>
            </w:pPr>
          </w:p>
        </w:tc>
        <w:tc>
          <w:tcPr>
            <w:tcW w:w="2976" w:type="dxa"/>
            <w:gridSpan w:val="4"/>
            <w:vMerge w:val="continue"/>
            <w:tcBorders>
              <w:top w:val="single" w:color="000000" w:sz="4" w:space="0"/>
              <w:left w:val="single" w:color="000000" w:sz="4" w:space="0"/>
              <w:bottom w:val="single" w:color="000000" w:sz="4" w:space="0"/>
              <w:right w:val="nil"/>
            </w:tcBorders>
            <w:shd w:val="clear" w:color="auto" w:fill="auto"/>
            <w:vAlign w:val="center"/>
          </w:tcPr>
          <w:p w14:paraId="26935EF5">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0F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企业职工养老保险在职参保人数</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19545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A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8.84</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A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万人</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8D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0EC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D5BDC">
            <w:pPr>
              <w:jc w:val="center"/>
              <w:rPr>
                <w:rFonts w:hint="eastAsia" w:ascii="宋体" w:hAnsi="宋体" w:eastAsia="宋体" w:cs="宋体"/>
                <w:b/>
                <w:bCs/>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59D20700">
            <w:pPr>
              <w:jc w:val="left"/>
              <w:rPr>
                <w:rFonts w:hint="eastAsia" w:ascii="宋体" w:hAnsi="宋体" w:eastAsia="宋体" w:cs="宋体"/>
                <w:i w:val="0"/>
                <w:iCs w:val="0"/>
                <w:color w:val="000000"/>
                <w:sz w:val="20"/>
                <w:szCs w:val="20"/>
                <w:u w:val="none"/>
              </w:rPr>
            </w:pPr>
          </w:p>
        </w:tc>
        <w:tc>
          <w:tcPr>
            <w:tcW w:w="2976" w:type="dxa"/>
            <w:gridSpan w:val="4"/>
            <w:vMerge w:val="continue"/>
            <w:tcBorders>
              <w:top w:val="single" w:color="000000" w:sz="4" w:space="0"/>
              <w:left w:val="single" w:color="000000" w:sz="4" w:space="0"/>
              <w:bottom w:val="single" w:color="000000" w:sz="4" w:space="0"/>
              <w:right w:val="nil"/>
            </w:tcBorders>
            <w:shd w:val="clear" w:color="auto" w:fill="auto"/>
            <w:vAlign w:val="center"/>
          </w:tcPr>
          <w:p w14:paraId="77D63818">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63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失业保险参保人数</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3976B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A6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9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万人</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58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894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1BDD">
            <w:pPr>
              <w:jc w:val="center"/>
              <w:rPr>
                <w:rFonts w:hint="eastAsia" w:ascii="宋体" w:hAnsi="宋体" w:eastAsia="宋体" w:cs="宋体"/>
                <w:b/>
                <w:bCs/>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4275FC8A">
            <w:pPr>
              <w:jc w:val="left"/>
              <w:rPr>
                <w:rFonts w:hint="eastAsia" w:ascii="宋体" w:hAnsi="宋体" w:eastAsia="宋体" w:cs="宋体"/>
                <w:i w:val="0"/>
                <w:iCs w:val="0"/>
                <w:color w:val="000000"/>
                <w:sz w:val="20"/>
                <w:szCs w:val="20"/>
                <w:u w:val="none"/>
              </w:rPr>
            </w:pPr>
          </w:p>
        </w:tc>
        <w:tc>
          <w:tcPr>
            <w:tcW w:w="2976" w:type="dxa"/>
            <w:gridSpan w:val="4"/>
            <w:vMerge w:val="continue"/>
            <w:tcBorders>
              <w:top w:val="single" w:color="000000" w:sz="4" w:space="0"/>
              <w:left w:val="single" w:color="000000" w:sz="4" w:space="0"/>
              <w:bottom w:val="single" w:color="000000" w:sz="4" w:space="0"/>
              <w:right w:val="nil"/>
            </w:tcBorders>
            <w:shd w:val="clear" w:color="auto" w:fill="auto"/>
            <w:vAlign w:val="center"/>
          </w:tcPr>
          <w:p w14:paraId="2BFB503E">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38B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职业技能提升行动培训</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69A71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C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91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5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896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ED63A">
            <w:pPr>
              <w:jc w:val="center"/>
              <w:rPr>
                <w:rFonts w:hint="eastAsia" w:ascii="宋体" w:hAnsi="宋体" w:eastAsia="宋体" w:cs="宋体"/>
                <w:b/>
                <w:bCs/>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74D6D38D">
            <w:pPr>
              <w:jc w:val="left"/>
              <w:rPr>
                <w:rFonts w:hint="eastAsia" w:ascii="宋体" w:hAnsi="宋体" w:eastAsia="宋体" w:cs="宋体"/>
                <w:i w:val="0"/>
                <w:iCs w:val="0"/>
                <w:color w:val="000000"/>
                <w:sz w:val="20"/>
                <w:szCs w:val="20"/>
                <w:u w:val="none"/>
              </w:rPr>
            </w:pPr>
          </w:p>
        </w:tc>
        <w:tc>
          <w:tcPr>
            <w:tcW w:w="1483" w:type="dxa"/>
            <w:gridSpan w:val="3"/>
            <w:tcBorders>
              <w:top w:val="single" w:color="000000" w:sz="4" w:space="0"/>
              <w:left w:val="single" w:color="000000" w:sz="4" w:space="0"/>
              <w:bottom w:val="single" w:color="000000" w:sz="4" w:space="0"/>
              <w:right w:val="nil"/>
            </w:tcBorders>
            <w:shd w:val="clear" w:color="auto" w:fill="auto"/>
            <w:vAlign w:val="center"/>
          </w:tcPr>
          <w:p w14:paraId="1CFD1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效果指标</w:t>
            </w:r>
          </w:p>
        </w:tc>
        <w:tc>
          <w:tcPr>
            <w:tcW w:w="1493" w:type="dxa"/>
            <w:tcBorders>
              <w:top w:val="single" w:color="000000" w:sz="4" w:space="0"/>
              <w:left w:val="nil"/>
              <w:bottom w:val="single" w:color="000000" w:sz="4" w:space="0"/>
              <w:right w:val="nil"/>
            </w:tcBorders>
            <w:shd w:val="clear" w:color="auto" w:fill="auto"/>
            <w:vAlign w:val="center"/>
          </w:tcPr>
          <w:p w14:paraId="1D2DA53D">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70D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狠抓惠企惠民</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0514FA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F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8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6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6A1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0A384">
            <w:pPr>
              <w:jc w:val="center"/>
              <w:rPr>
                <w:rFonts w:hint="eastAsia" w:ascii="宋体" w:hAnsi="宋体" w:eastAsia="宋体" w:cs="宋体"/>
                <w:b/>
                <w:bCs/>
                <w:i w:val="0"/>
                <w:iCs w:val="0"/>
                <w:color w:val="000000"/>
                <w:sz w:val="20"/>
                <w:szCs w:val="20"/>
                <w:u w:val="none"/>
              </w:rPr>
            </w:pPr>
          </w:p>
        </w:tc>
        <w:tc>
          <w:tcPr>
            <w:tcW w:w="906" w:type="dxa"/>
            <w:tcBorders>
              <w:top w:val="single" w:color="000000" w:sz="4" w:space="0"/>
              <w:left w:val="single" w:color="000000" w:sz="4" w:space="0"/>
              <w:bottom w:val="single" w:color="000000" w:sz="4" w:space="0"/>
              <w:right w:val="nil"/>
            </w:tcBorders>
            <w:shd w:val="clear" w:color="auto" w:fill="auto"/>
            <w:vAlign w:val="center"/>
          </w:tcPr>
          <w:p w14:paraId="4D2AC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483" w:type="dxa"/>
            <w:gridSpan w:val="3"/>
            <w:tcBorders>
              <w:top w:val="single" w:color="000000" w:sz="4" w:space="0"/>
              <w:left w:val="single" w:color="000000" w:sz="4" w:space="0"/>
              <w:bottom w:val="single" w:color="000000" w:sz="4" w:space="0"/>
              <w:right w:val="nil"/>
            </w:tcBorders>
            <w:shd w:val="clear" w:color="auto" w:fill="auto"/>
            <w:vAlign w:val="center"/>
          </w:tcPr>
          <w:p w14:paraId="3775A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493" w:type="dxa"/>
            <w:tcBorders>
              <w:top w:val="single" w:color="000000" w:sz="4" w:space="0"/>
              <w:left w:val="nil"/>
              <w:bottom w:val="single" w:color="000000" w:sz="4" w:space="0"/>
              <w:right w:val="nil"/>
            </w:tcBorders>
            <w:shd w:val="clear" w:color="auto" w:fill="auto"/>
            <w:vAlign w:val="center"/>
          </w:tcPr>
          <w:p w14:paraId="00A878C4">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8A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化化再造人社服务流程，完成人社服务“一网通办，川渝通办”</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7B679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2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0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1B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9C1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8886">
            <w:pPr>
              <w:jc w:val="center"/>
              <w:rPr>
                <w:rFonts w:hint="eastAsia" w:ascii="宋体" w:hAnsi="宋体" w:eastAsia="宋体" w:cs="宋体"/>
                <w:b/>
                <w:bCs/>
                <w:i w:val="0"/>
                <w:iCs w:val="0"/>
                <w:color w:val="000000"/>
                <w:sz w:val="20"/>
                <w:szCs w:val="20"/>
                <w:u w:val="none"/>
              </w:rPr>
            </w:pPr>
          </w:p>
        </w:tc>
        <w:tc>
          <w:tcPr>
            <w:tcW w:w="906" w:type="dxa"/>
            <w:vMerge w:val="restart"/>
            <w:tcBorders>
              <w:top w:val="single" w:color="000000" w:sz="4" w:space="0"/>
              <w:left w:val="single" w:color="000000" w:sz="4" w:space="0"/>
              <w:bottom w:val="single" w:color="000000" w:sz="4" w:space="0"/>
              <w:right w:val="nil"/>
            </w:tcBorders>
            <w:shd w:val="clear" w:color="auto" w:fill="auto"/>
            <w:vAlign w:val="center"/>
          </w:tcPr>
          <w:p w14:paraId="76569C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2976" w:type="dxa"/>
            <w:gridSpan w:val="4"/>
            <w:vMerge w:val="restart"/>
            <w:tcBorders>
              <w:top w:val="single" w:color="000000" w:sz="4" w:space="0"/>
              <w:left w:val="single" w:color="000000" w:sz="4" w:space="0"/>
              <w:bottom w:val="single" w:color="000000" w:sz="4" w:space="0"/>
              <w:right w:val="nil"/>
            </w:tcBorders>
            <w:shd w:val="clear" w:color="auto" w:fill="auto"/>
            <w:vAlign w:val="center"/>
          </w:tcPr>
          <w:p w14:paraId="2BA67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2DE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大力开展便民服务，切实提升群众满意度</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6A334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6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1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9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BC0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C8990">
            <w:pPr>
              <w:jc w:val="center"/>
              <w:rPr>
                <w:rFonts w:hint="eastAsia" w:ascii="宋体" w:hAnsi="宋体" w:eastAsia="宋体" w:cs="宋体"/>
                <w:b/>
                <w:bCs/>
                <w:i w:val="0"/>
                <w:iCs w:val="0"/>
                <w:color w:val="000000"/>
                <w:sz w:val="20"/>
                <w:szCs w:val="20"/>
                <w:u w:val="none"/>
              </w:rPr>
            </w:pPr>
          </w:p>
        </w:tc>
        <w:tc>
          <w:tcPr>
            <w:tcW w:w="906" w:type="dxa"/>
            <w:vMerge w:val="continue"/>
            <w:tcBorders>
              <w:top w:val="single" w:color="000000" w:sz="4" w:space="0"/>
              <w:left w:val="single" w:color="000000" w:sz="4" w:space="0"/>
              <w:bottom w:val="single" w:color="000000" w:sz="4" w:space="0"/>
              <w:right w:val="nil"/>
            </w:tcBorders>
            <w:shd w:val="clear" w:color="auto" w:fill="auto"/>
            <w:vAlign w:val="center"/>
          </w:tcPr>
          <w:p w14:paraId="17E0AFA4">
            <w:pPr>
              <w:jc w:val="left"/>
              <w:rPr>
                <w:rFonts w:hint="eastAsia" w:ascii="宋体" w:hAnsi="宋体" w:eastAsia="宋体" w:cs="宋体"/>
                <w:i w:val="0"/>
                <w:iCs w:val="0"/>
                <w:color w:val="000000"/>
                <w:sz w:val="20"/>
                <w:szCs w:val="20"/>
                <w:u w:val="none"/>
              </w:rPr>
            </w:pPr>
          </w:p>
        </w:tc>
        <w:tc>
          <w:tcPr>
            <w:tcW w:w="2976" w:type="dxa"/>
            <w:gridSpan w:val="4"/>
            <w:vMerge w:val="continue"/>
            <w:tcBorders>
              <w:top w:val="single" w:color="000000" w:sz="4" w:space="0"/>
              <w:left w:val="single" w:color="000000" w:sz="4" w:space="0"/>
              <w:bottom w:val="single" w:color="000000" w:sz="4" w:space="0"/>
              <w:right w:val="nil"/>
            </w:tcBorders>
            <w:shd w:val="clear" w:color="auto" w:fill="auto"/>
            <w:vAlign w:val="center"/>
          </w:tcPr>
          <w:p w14:paraId="30A64F50">
            <w:pPr>
              <w:rPr>
                <w:rFonts w:hint="eastAsia" w:ascii="宋体" w:hAnsi="宋体" w:eastAsia="宋体" w:cs="宋体"/>
                <w:i w:val="0"/>
                <w:iCs w:val="0"/>
                <w:color w:val="000000"/>
                <w:sz w:val="20"/>
                <w:szCs w:val="20"/>
                <w:u w:val="none"/>
              </w:rPr>
            </w:pPr>
          </w:p>
        </w:tc>
        <w:tc>
          <w:tcPr>
            <w:tcW w:w="4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CD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松建和谐劳动关系，维护全市和谐</w:t>
            </w:r>
          </w:p>
        </w:tc>
        <w:tc>
          <w:tcPr>
            <w:tcW w:w="1509" w:type="dxa"/>
            <w:tcBorders>
              <w:top w:val="single" w:color="000000" w:sz="4" w:space="0"/>
              <w:left w:val="nil"/>
              <w:bottom w:val="single" w:color="000000" w:sz="4" w:space="0"/>
              <w:right w:val="single" w:color="000000" w:sz="4" w:space="0"/>
            </w:tcBorders>
            <w:shd w:val="clear" w:color="auto" w:fill="auto"/>
            <w:vAlign w:val="center"/>
          </w:tcPr>
          <w:p w14:paraId="193BE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F3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F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7B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D44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6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其他说明</w:t>
            </w:r>
          </w:p>
        </w:tc>
        <w:tc>
          <w:tcPr>
            <w:tcW w:w="1333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F3C68F5">
            <w:pPr>
              <w:jc w:val="left"/>
              <w:rPr>
                <w:rFonts w:hint="eastAsia" w:ascii="宋体" w:hAnsi="宋体" w:eastAsia="宋体" w:cs="宋体"/>
                <w:i w:val="0"/>
                <w:iCs w:val="0"/>
                <w:color w:val="000000"/>
                <w:sz w:val="20"/>
                <w:szCs w:val="20"/>
                <w:u w:val="none"/>
              </w:rPr>
            </w:pPr>
          </w:p>
        </w:tc>
      </w:tr>
    </w:tbl>
    <w:p w14:paraId="17E9D7E6">
      <w:pPr>
        <w:pStyle w:val="2"/>
        <w:rPr>
          <w:rFonts w:hint="eastAsia" w:ascii="黑体" w:hAnsi="黑体" w:eastAsia="黑体"/>
          <w:sz w:val="44"/>
          <w:szCs w:val="44"/>
        </w:rPr>
        <w:sectPr>
          <w:footerReference r:id="rId9" w:type="first"/>
          <w:footerReference r:id="rId8" w:type="default"/>
          <w:pgSz w:w="16838" w:h="11906" w:orient="landscape"/>
          <w:pgMar w:top="1803" w:right="1440" w:bottom="1803" w:left="1440" w:header="851" w:footer="992" w:gutter="0"/>
          <w:pgNumType w:fmt="decimal" w:start="37"/>
          <w:cols w:space="0" w:num="1"/>
          <w:titlePg/>
          <w:rtlGutter w:val="0"/>
          <w:docGrid w:type="lines" w:linePitch="319" w:charSpace="0"/>
        </w:sectPr>
      </w:pPr>
    </w:p>
    <w:p w14:paraId="407C4B66">
      <w:pPr>
        <w:spacing w:line="600" w:lineRule="exact"/>
        <w:jc w:val="center"/>
        <w:outlineLvl w:val="0"/>
        <w:rPr>
          <w:rFonts w:ascii="仿宋" w:hAnsi="仿宋" w:eastAsia="仿宋"/>
        </w:rPr>
      </w:pPr>
      <w:r>
        <w:rPr>
          <w:rFonts w:hint="eastAsia" w:ascii="黑体" w:hAnsi="黑体" w:eastAsia="黑体"/>
          <w:sz w:val="44"/>
          <w:szCs w:val="44"/>
        </w:rPr>
        <w:t>第</w:t>
      </w:r>
      <w:r>
        <w:rPr>
          <w:rStyle w:val="28"/>
          <w:rFonts w:hint="eastAsia" w:ascii="黑体" w:hAnsi="黑体" w:eastAsia="黑体"/>
          <w:b w:val="0"/>
        </w:rPr>
        <w:t>五部分 附表</w:t>
      </w:r>
      <w:bookmarkEnd w:id="53"/>
      <w:bookmarkEnd w:id="55"/>
      <w:bookmarkStart w:id="56" w:name="_Toc15396619"/>
    </w:p>
    <w:p w14:paraId="26F007A0">
      <w:pPr>
        <w:pStyle w:val="4"/>
        <w:rPr>
          <w:rFonts w:hint="eastAsia" w:ascii="仿宋" w:hAnsi="仿宋" w:eastAsia="仿宋"/>
          <w:b w:val="0"/>
        </w:rPr>
      </w:pPr>
    </w:p>
    <w:p w14:paraId="2A148E2C">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6"/>
    </w:p>
    <w:p w14:paraId="5618575A">
      <w:pPr>
        <w:pStyle w:val="4"/>
        <w:rPr>
          <w:rFonts w:ascii="仿宋" w:hAnsi="仿宋" w:eastAsia="仿宋"/>
        </w:rPr>
      </w:pPr>
      <w:bookmarkStart w:id="57" w:name="_Toc15396620"/>
      <w:r>
        <w:rPr>
          <w:rFonts w:hint="eastAsia" w:ascii="仿宋" w:hAnsi="仿宋" w:eastAsia="仿宋"/>
          <w:b w:val="0"/>
        </w:rPr>
        <w:t>二、收</w:t>
      </w:r>
      <w:r>
        <w:rPr>
          <w:rStyle w:val="29"/>
          <w:rFonts w:hint="eastAsia" w:ascii="仿宋" w:hAnsi="仿宋" w:eastAsia="仿宋"/>
          <w:b w:val="0"/>
          <w:bCs w:val="0"/>
        </w:rPr>
        <w:t>入决算表</w:t>
      </w:r>
      <w:bookmarkEnd w:id="57"/>
    </w:p>
    <w:p w14:paraId="25EE1361">
      <w:pPr>
        <w:pStyle w:val="4"/>
        <w:rPr>
          <w:rFonts w:ascii="仿宋" w:hAnsi="仿宋" w:eastAsia="仿宋"/>
        </w:rPr>
      </w:pPr>
      <w:bookmarkStart w:id="58"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8"/>
    </w:p>
    <w:p w14:paraId="21595DC5">
      <w:pPr>
        <w:pStyle w:val="4"/>
        <w:rPr>
          <w:rFonts w:ascii="仿宋" w:hAnsi="仿宋" w:eastAsia="仿宋"/>
          <w:b w:val="0"/>
        </w:rPr>
      </w:pPr>
      <w:bookmarkStart w:id="59"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9"/>
    </w:p>
    <w:p w14:paraId="60E04F99">
      <w:pPr>
        <w:pStyle w:val="4"/>
        <w:rPr>
          <w:rStyle w:val="29"/>
          <w:rFonts w:ascii="仿宋" w:hAnsi="仿宋" w:eastAsia="仿宋"/>
          <w:b w:val="0"/>
          <w:bCs w:val="0"/>
        </w:rPr>
      </w:pPr>
      <w:bookmarkStart w:id="60"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60"/>
      <w:bookmarkStart w:id="61" w:name="_Toc15396624"/>
    </w:p>
    <w:p w14:paraId="0F360E30">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61"/>
    </w:p>
    <w:p w14:paraId="3855CC91">
      <w:pPr>
        <w:pStyle w:val="4"/>
        <w:rPr>
          <w:rFonts w:ascii="仿宋" w:hAnsi="仿宋" w:eastAsia="仿宋"/>
        </w:rPr>
      </w:pPr>
      <w:bookmarkStart w:id="62"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2"/>
    </w:p>
    <w:p w14:paraId="02890DA5">
      <w:pPr>
        <w:pStyle w:val="4"/>
        <w:rPr>
          <w:rFonts w:ascii="仿宋" w:hAnsi="仿宋" w:eastAsia="仿宋"/>
        </w:rPr>
      </w:pPr>
      <w:bookmarkStart w:id="6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3"/>
    </w:p>
    <w:p w14:paraId="493DAB22">
      <w:pPr>
        <w:pStyle w:val="4"/>
        <w:rPr>
          <w:rFonts w:ascii="仿宋" w:hAnsi="仿宋" w:eastAsia="仿宋"/>
        </w:rPr>
      </w:pPr>
      <w:bookmarkStart w:id="64"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4"/>
    </w:p>
    <w:p w14:paraId="0208E149">
      <w:pPr>
        <w:pStyle w:val="4"/>
        <w:rPr>
          <w:rFonts w:ascii="仿宋" w:hAnsi="仿宋" w:eastAsia="仿宋"/>
        </w:rPr>
      </w:pPr>
      <w:bookmarkStart w:id="65" w:name="_Toc15396628"/>
      <w:r>
        <w:rPr>
          <w:rStyle w:val="29"/>
          <w:rFonts w:hint="eastAsia" w:ascii="仿宋" w:hAnsi="仿宋" w:eastAsia="仿宋"/>
          <w:b w:val="0"/>
          <w:bCs w:val="0"/>
        </w:rPr>
        <w:t>十、</w:t>
      </w:r>
      <w:bookmarkEnd w:id="65"/>
      <w:r>
        <w:rPr>
          <w:rFonts w:hint="eastAsia" w:ascii="仿宋" w:hAnsi="仿宋" w:eastAsia="仿宋"/>
          <w:b w:val="0"/>
        </w:rPr>
        <w:t>政</w:t>
      </w:r>
      <w:r>
        <w:rPr>
          <w:rStyle w:val="29"/>
          <w:rFonts w:hint="eastAsia" w:ascii="仿宋" w:hAnsi="仿宋" w:eastAsia="仿宋"/>
          <w:b w:val="0"/>
          <w:bCs w:val="0"/>
        </w:rPr>
        <w:t>府性基金预算财政拨款收入支出决算表</w:t>
      </w:r>
    </w:p>
    <w:p w14:paraId="0F448FB2">
      <w:pPr>
        <w:pStyle w:val="4"/>
        <w:rPr>
          <w:rFonts w:ascii="仿宋" w:hAnsi="仿宋" w:eastAsia="仿宋"/>
        </w:rPr>
      </w:pPr>
      <w:bookmarkStart w:id="66" w:name="_Toc15396629"/>
      <w:r>
        <w:rPr>
          <w:rStyle w:val="29"/>
          <w:rFonts w:hint="eastAsia" w:ascii="仿宋" w:hAnsi="仿宋" w:eastAsia="仿宋"/>
          <w:b w:val="0"/>
          <w:bCs w:val="0"/>
        </w:rPr>
        <w:t>十一、</w:t>
      </w:r>
      <w:bookmarkEnd w:id="66"/>
      <w:r>
        <w:rPr>
          <w:rFonts w:hint="eastAsia" w:ascii="仿宋" w:hAnsi="仿宋" w:eastAsia="仿宋"/>
          <w:b w:val="0"/>
        </w:rPr>
        <w:t>国</w:t>
      </w:r>
      <w:r>
        <w:rPr>
          <w:rStyle w:val="29"/>
          <w:rFonts w:hint="eastAsia" w:ascii="仿宋" w:hAnsi="仿宋" w:eastAsia="仿宋"/>
          <w:b w:val="0"/>
          <w:bCs w:val="0"/>
        </w:rPr>
        <w:t>有资本经营预算财政拨款收入支出决算表</w:t>
      </w:r>
    </w:p>
    <w:p w14:paraId="663278C5">
      <w:pPr>
        <w:pStyle w:val="4"/>
        <w:rPr>
          <w:rFonts w:ascii="仿宋" w:hAnsi="仿宋" w:eastAsia="仿宋"/>
        </w:rPr>
      </w:pPr>
      <w:bookmarkStart w:id="67" w:name="_Toc15396630"/>
      <w:r>
        <w:rPr>
          <w:rStyle w:val="29"/>
          <w:rFonts w:hint="eastAsia" w:ascii="仿宋" w:hAnsi="仿宋" w:eastAsia="仿宋"/>
          <w:b w:val="0"/>
          <w:bCs w:val="0"/>
        </w:rPr>
        <w:t>十二、</w:t>
      </w:r>
      <w:bookmarkEnd w:id="67"/>
      <w:r>
        <w:rPr>
          <w:rStyle w:val="29"/>
          <w:rFonts w:hint="eastAsia" w:ascii="仿宋" w:hAnsi="仿宋" w:eastAsia="仿宋"/>
          <w:b w:val="0"/>
          <w:bCs w:val="0"/>
        </w:rPr>
        <w:t>国有资本经营预算财政拨款支出决算表</w:t>
      </w:r>
    </w:p>
    <w:p w14:paraId="6EB4AA19">
      <w:pPr>
        <w:pStyle w:val="4"/>
        <w:rPr>
          <w:rFonts w:eastAsia="仿宋"/>
        </w:rPr>
      </w:pPr>
      <w:bookmarkStart w:id="68" w:name="_Toc15396631"/>
      <w:r>
        <w:rPr>
          <w:rStyle w:val="29"/>
          <w:rFonts w:hint="eastAsia" w:ascii="仿宋" w:hAnsi="仿宋" w:eastAsia="仿宋"/>
          <w:b w:val="0"/>
          <w:bCs w:val="0"/>
        </w:rPr>
        <w:t>十三、</w:t>
      </w:r>
      <w:bookmarkEnd w:id="68"/>
      <w:r>
        <w:rPr>
          <w:rStyle w:val="29"/>
          <w:rFonts w:hint="eastAsia" w:ascii="仿宋" w:hAnsi="仿宋" w:eastAsia="仿宋"/>
          <w:b w:val="0"/>
          <w:bCs w:val="0"/>
        </w:rPr>
        <w:t>财政拨款“三公”经费支出决算表</w:t>
      </w:r>
    </w:p>
    <w:sectPr>
      <w:pgSz w:w="11906" w:h="16838"/>
      <w:pgMar w:top="1440" w:right="1803" w:bottom="1440" w:left="1803" w:header="851" w:footer="992" w:gutter="0"/>
      <w:pgNumType w:fmt="decimal"/>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20CE">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B3B4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3B3B47">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1DF34C6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EFC69">
    <w:pPr>
      <w:pStyle w:val="9"/>
      <w:jc w:val="center"/>
      <w:rPr>
        <w:rFonts w:hint="default" w:eastAsia="宋体"/>
        <w:lang w:val="en-US" w:eastAsia="zh-CN"/>
      </w:rPr>
    </w:pPr>
  </w:p>
  <w:p w14:paraId="4FE3C543">
    <w:pPr>
      <w:pStyle w:val="9"/>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posOffset>4180205</wp:posOffset>
              </wp:positionH>
              <wp:positionV relativeFrom="paragraph">
                <wp:posOffset>-3131820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D2E6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9.15pt;margin-top:-246.6pt;height:144pt;width:144pt;mso-position-horizontal-relative:margin;mso-wrap-style:none;z-index:251660288;mso-width-relative:page;mso-height-relative:page;" filled="f" stroked="f" coordsize="21600,21600" o:gfxdata="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G2fGtoAAAANAQAADwAAAAAAAAABACAAAAAiAAAAZHJzL2Rvd25yZXYu&#10;eG1sUEsBAhQAFAAAAAgAh07iQC5WZn4yAgAAYwQAAA4AAAAAAAAAAQAgAAAAKQEAAGRycy9lMm9E&#10;b2MueG1sUEsFBgAAAAAGAAYAWQEAAM0FAAAAAA==&#10;">
              <v:fill on="f" focussize="0,0"/>
              <v:stroke on="f" weight="0.5pt"/>
              <v:imagedata o:title=""/>
              <o:lock v:ext="edit" aspectratio="f"/>
              <v:textbox inset="0mm,0mm,0mm,0mm" style="mso-fit-shape-to-text:t;">
                <w:txbxContent>
                  <w:p w14:paraId="2E5D2E6B">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6A67">
    <w:pPr>
      <w:pStyle w:val="9"/>
      <w:jc w:val="center"/>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posOffset>4437380</wp:posOffset>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B38DC">
                          <w:pPr>
                            <w:pStyle w:val="9"/>
                            <w:rPr>
                              <w:rFonts w:hint="default" w:eastAsia="宋体"/>
                              <w:lang w:val="en-US" w:eastAsia="zh-CN"/>
                            </w:rPr>
                          </w:pPr>
                          <w:r>
                            <w:rPr>
                              <w:rFonts w:hint="eastAsia"/>
                              <w:lang w:val="en-US" w:eastAsia="zh-CN"/>
                            </w:rPr>
                            <w:t>38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9.4pt;margin-top:0pt;height:144pt;width:144pt;mso-position-horizontal-relative:margin;mso-wrap-style:none;z-index:251661312;mso-width-relative:page;mso-height-relative:page;" filled="f" stroked="f" coordsize="21600,21600" o:gfxdata="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xFbDdQAAAAIAQAADwAAAAAAAAABACAAAAAiAAAAZHJzL2Rvd25yZXYueG1sUEsB&#10;AhQAFAAAAAgAh07iQCMFE50yAgAAYwQAAA4AAAAAAAAAAQAgAAAAIwEAAGRycy9lMm9Eb2MueG1s&#10;UEsFBgAAAAAGAAYAWQEAAMcFAAAAAA==&#10;">
              <v:fill on="f" focussize="0,0"/>
              <v:stroke on="f" weight="0.5pt"/>
              <v:imagedata o:title=""/>
              <o:lock v:ext="edit" aspectratio="f"/>
              <v:textbox inset="0mm,0mm,0mm,0mm" style="mso-fit-shape-to-text:t;">
                <w:txbxContent>
                  <w:p w14:paraId="7EAB38DC">
                    <w:pPr>
                      <w:pStyle w:val="9"/>
                      <w:rPr>
                        <w:rFonts w:hint="default" w:eastAsia="宋体"/>
                        <w:lang w:val="en-US" w:eastAsia="zh-CN"/>
                      </w:rPr>
                    </w:pPr>
                    <w:r>
                      <w:rPr>
                        <w:rFonts w:hint="eastAsia"/>
                        <w:lang w:val="en-US" w:eastAsia="zh-CN"/>
                      </w:rPr>
                      <w:t>38</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E678">
    <w:pPr>
      <w:pStyle w:val="9"/>
      <w:jc w:val="center"/>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posOffset>4408805</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6314A">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15pt;margin-top:0pt;height:144pt;width:144pt;mso-position-horizontal-relative:margin;mso-wrap-style:none;z-index:251662336;mso-width-relative:page;mso-height-relative:page;" filled="f" stroked="f" coordsize="21600,21600" o:gfxdata="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Huzr1QAAAAgBAAAPAAAAAAAAAAEAIAAAACIAAABkcnMvZG93bnJldi54bWxQ&#10;SwECFAAUAAAACACHTuJAYa2EcjMCAABjBAAADgAAAAAAAAABACAAAAAkAQAAZHJzL2Uyb0RvYy54&#10;bWxQSwUGAAAAAAYABgBZAQAAyQUAAAAA&#10;">
              <v:fill on="f" focussize="0,0"/>
              <v:stroke on="f" weight="0.5pt"/>
              <v:imagedata o:title=""/>
              <o:lock v:ext="edit" aspectratio="f"/>
              <v:textbox inset="0mm,0mm,0mm,0mm" style="mso-fit-shape-to-text:t;">
                <w:txbxContent>
                  <w:p w14:paraId="0576314A">
                    <w:pPr>
                      <w:pStyle w:val="9"/>
                    </w:pPr>
                  </w:p>
                </w:txbxContent>
              </v:textbox>
            </v:shape>
          </w:pict>
        </mc:Fallback>
      </mc:AlternateContent>
    </w:r>
    <w:r>
      <w:rPr>
        <w:rFonts w:hint="eastAsia"/>
        <w:lang w:val="en-US" w:eastAsia="zh-CN"/>
      </w:rPr>
      <w:t>36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E1A3">
    <w:pPr>
      <w:pStyle w:val="9"/>
      <w:jc w:val="center"/>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00A6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E300A67">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39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1A98">
    <w:pPr>
      <w:pStyle w:val="9"/>
      <w:jc w:val="center"/>
      <w:rPr>
        <w:rFonts w:hint="default" w:eastAsia="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D7A7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E5D7A79">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67456" behindDoc="0" locked="0" layoutInCell="1" allowOverlap="1">
              <wp:simplePos x="0" y="0"/>
              <wp:positionH relativeFrom="margin">
                <wp:posOffset>4408805</wp:posOffset>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7DE55">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15pt;margin-top:0pt;height:144pt;width:144pt;mso-position-horizontal-relative:margin;mso-wrap-style:none;z-index:251667456;mso-width-relative:page;mso-height-relative:page;" filled="f" stroked="f" coordsize="21600,21600" o:gfxdata="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4e7OvVAAAACAEAAA8AAAAAAAAAAQAgAAAAIgAAAGRycy9kb3ducmV2LnhtbFBL&#10;AQIUABQAAAAIAIdO4kCk+9p2MgIAAGMEAAAOAAAAAAAAAAEAIAAAACQBAABkcnMvZTJvRG9jLnht&#10;bFBLBQYAAAAABgAGAFkBAADIBQAAAAA=&#10;">
              <v:fill on="f" focussize="0,0"/>
              <v:stroke on="f" weight="0.5pt"/>
              <v:imagedata o:title=""/>
              <o:lock v:ext="edit" aspectratio="f"/>
              <v:textbox inset="0mm,0mm,0mm,0mm" style="mso-fit-shape-to-text:t;">
                <w:txbxContent>
                  <w:p w14:paraId="0DC7DE55">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36B2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C40AC"/>
    <w:multiLevelType w:val="singleLevel"/>
    <w:tmpl w:val="9D2C40AC"/>
    <w:lvl w:ilvl="0" w:tentative="0">
      <w:start w:val="2"/>
      <w:numFmt w:val="decimal"/>
      <w:suff w:val="nothing"/>
      <w:lvlText w:val="%1、"/>
      <w:lvlJc w:val="left"/>
      <w:pPr>
        <w:ind w:left="1600" w:leftChars="0" w:firstLine="0" w:firstLineChars="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009A3B8C"/>
    <w:multiLevelType w:val="singleLevel"/>
    <w:tmpl w:val="009A3B8C"/>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62631B39"/>
    <w:multiLevelType w:val="singleLevel"/>
    <w:tmpl w:val="62631B39"/>
    <w:lvl w:ilvl="0" w:tentative="0">
      <w:start w:val="4"/>
      <w:numFmt w:val="chineseCounting"/>
      <w:suff w:val="nothing"/>
      <w:lvlText w:val="（%1）"/>
      <w:lvlJc w:val="left"/>
      <w:rPr>
        <w:rFonts w:hint="eastAsia"/>
      </w:rPr>
    </w:lvl>
  </w:abstractNum>
  <w:num w:numId="1">
    <w:abstractNumId w:val="6"/>
  </w:num>
  <w:num w:numId="2">
    <w:abstractNumId w:val="1"/>
  </w:num>
  <w:num w:numId="3">
    <w:abstractNumId w:val="3"/>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NjA0OGZjMjdkNTJlNTQ2ZjFjYTlmM2ExMWM4ZD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6D3254C"/>
    <w:rsid w:val="07996F6E"/>
    <w:rsid w:val="08FE5222"/>
    <w:rsid w:val="0A2032A3"/>
    <w:rsid w:val="0F98263C"/>
    <w:rsid w:val="101860EC"/>
    <w:rsid w:val="10C055FF"/>
    <w:rsid w:val="118107EC"/>
    <w:rsid w:val="135C3795"/>
    <w:rsid w:val="13D50BC4"/>
    <w:rsid w:val="150E712C"/>
    <w:rsid w:val="16BB723D"/>
    <w:rsid w:val="188A655F"/>
    <w:rsid w:val="195837B1"/>
    <w:rsid w:val="1BE8440E"/>
    <w:rsid w:val="1D155CEE"/>
    <w:rsid w:val="1D81494F"/>
    <w:rsid w:val="1DC57A74"/>
    <w:rsid w:val="1E2B7834"/>
    <w:rsid w:val="1E3D6C02"/>
    <w:rsid w:val="1FF35744"/>
    <w:rsid w:val="23860B96"/>
    <w:rsid w:val="239874C9"/>
    <w:rsid w:val="240371BF"/>
    <w:rsid w:val="26972E64"/>
    <w:rsid w:val="29FD04D3"/>
    <w:rsid w:val="2A5002AB"/>
    <w:rsid w:val="2C8A61B5"/>
    <w:rsid w:val="2DF04E50"/>
    <w:rsid w:val="2F040D46"/>
    <w:rsid w:val="319F7F4E"/>
    <w:rsid w:val="3304709D"/>
    <w:rsid w:val="350C2558"/>
    <w:rsid w:val="36AA5135"/>
    <w:rsid w:val="37004409"/>
    <w:rsid w:val="376D39B2"/>
    <w:rsid w:val="37E16F03"/>
    <w:rsid w:val="38D469F0"/>
    <w:rsid w:val="3C2F7BD1"/>
    <w:rsid w:val="3D98207C"/>
    <w:rsid w:val="3E78745D"/>
    <w:rsid w:val="40BE31BD"/>
    <w:rsid w:val="42A15BB4"/>
    <w:rsid w:val="43536FE4"/>
    <w:rsid w:val="44E268DA"/>
    <w:rsid w:val="49B85B71"/>
    <w:rsid w:val="4A627F82"/>
    <w:rsid w:val="4B0E749A"/>
    <w:rsid w:val="4B4F25DA"/>
    <w:rsid w:val="4BE068DB"/>
    <w:rsid w:val="4CA76D71"/>
    <w:rsid w:val="4D577224"/>
    <w:rsid w:val="4EAB630A"/>
    <w:rsid w:val="4ECE2238"/>
    <w:rsid w:val="519344B9"/>
    <w:rsid w:val="51BA49DE"/>
    <w:rsid w:val="52452416"/>
    <w:rsid w:val="537E6D0A"/>
    <w:rsid w:val="577B5FC5"/>
    <w:rsid w:val="58024677"/>
    <w:rsid w:val="5AF92295"/>
    <w:rsid w:val="5CD71FC4"/>
    <w:rsid w:val="5E5C16D6"/>
    <w:rsid w:val="61D669DA"/>
    <w:rsid w:val="62BF6229"/>
    <w:rsid w:val="638906B4"/>
    <w:rsid w:val="64116879"/>
    <w:rsid w:val="647A4C53"/>
    <w:rsid w:val="663E7534"/>
    <w:rsid w:val="69D262F3"/>
    <w:rsid w:val="6ABD1915"/>
    <w:rsid w:val="6AC41146"/>
    <w:rsid w:val="6C4A05C8"/>
    <w:rsid w:val="6E7E3605"/>
    <w:rsid w:val="6E981DCB"/>
    <w:rsid w:val="6FF5CC65"/>
    <w:rsid w:val="715C0E4B"/>
    <w:rsid w:val="72734D90"/>
    <w:rsid w:val="73AD73D5"/>
    <w:rsid w:val="73B6EB34"/>
    <w:rsid w:val="73D03795"/>
    <w:rsid w:val="744731E5"/>
    <w:rsid w:val="76E3355F"/>
    <w:rsid w:val="778769C8"/>
    <w:rsid w:val="78B17078"/>
    <w:rsid w:val="79EE5BA4"/>
    <w:rsid w:val="7A894339"/>
    <w:rsid w:val="7AD91B54"/>
    <w:rsid w:val="7B953796"/>
    <w:rsid w:val="7EEF11D3"/>
    <w:rsid w:val="7F954211"/>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next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10"/>
    <w:pPr>
      <w:spacing w:line="620" w:lineRule="exact"/>
      <w:ind w:firstLine="640" w:firstLineChars="200"/>
    </w:pPr>
    <w:rPr>
      <w:rFonts w:ascii="仿宋_GB2312" w:hAnsi="Calibri" w:eastAsia="仿宋_GB2312" w:cs="Times New Roman"/>
      <w:sz w:val="32"/>
      <w:szCs w:val="32"/>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Body Text First Indent 21"/>
    <w:qFormat/>
    <w:uiPriority w:val="0"/>
    <w:pPr>
      <w:widowControl w:val="0"/>
      <w:spacing w:after="120"/>
      <w:ind w:left="420" w:leftChars="200" w:firstLine="420" w:firstLineChars="200"/>
      <w:jc w:val="both"/>
    </w:pPr>
    <w:rPr>
      <w:rFonts w:ascii="Calibri" w:hAnsi="Calibri" w:eastAsia="宋体" w:cs="Calibr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manualLayout>
          <c:xMode val="edge"/>
          <c:yMode val="edge"/>
          <c:x val="0.205875"/>
          <c:y val="0.025"/>
        </c:manualLayout>
      </c:layout>
      <c:overlay val="0"/>
      <c:spPr>
        <a:noFill/>
        <a:ln>
          <a:noFill/>
        </a:ln>
        <a:effectLst/>
      </c:spPr>
    </c:title>
    <c:autoTitleDeleted val="0"/>
    <c:plotArea>
      <c:layout>
        <c:manualLayout>
          <c:layoutTarget val="inner"/>
          <c:xMode val="edge"/>
          <c:yMode val="edge"/>
          <c:x val="0.06995"/>
          <c:y val="0.2118669250646"/>
          <c:w val="0.904875"/>
          <c:h val="0.715633333333333"/>
        </c:manualLayout>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10509.03</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12803.63</c:v>
                </c:pt>
              </c:numCache>
            </c:numRef>
          </c:val>
        </c:ser>
        <c:dLbls>
          <c:showLegendKey val="0"/>
          <c:showVal val="1"/>
          <c:showCatName val="0"/>
          <c:showSerName val="0"/>
          <c:showPercent val="0"/>
          <c:showBubbleSize val="0"/>
        </c:dLbls>
        <c:gapWidth val="219"/>
        <c:overlap val="-27"/>
        <c:axId val="576970678"/>
        <c:axId val="25304242"/>
      </c:barChart>
      <c:catAx>
        <c:axId val="57697067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04242"/>
        <c:crosses val="autoZero"/>
        <c:auto val="1"/>
        <c:lblAlgn val="ctr"/>
        <c:lblOffset val="100"/>
        <c:noMultiLvlLbl val="0"/>
      </c:catAx>
      <c:valAx>
        <c:axId val="253042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6970678"/>
        <c:crosses val="autoZero"/>
        <c:crossBetween val="between"/>
      </c:valAx>
      <c:spPr>
        <a:noFill/>
        <a:ln>
          <a:noFill/>
        </a:ln>
        <a:effectLst/>
      </c:spPr>
    </c:plotArea>
    <c:legend>
      <c:legendPos val="b"/>
      <c:layout>
        <c:manualLayout>
          <c:xMode val="edge"/>
          <c:yMode val="edge"/>
          <c:x val="0.399"/>
          <c:y val="0.930232558139535"/>
          <c:w val="0.202125"/>
          <c:h val="0.06511627906976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e36e5c-826e-4ff5-acbc-ead5cb48be6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manualLayout>
          <c:layoutTarget val="inner"/>
          <c:xMode val="edge"/>
          <c:yMode val="edge"/>
          <c:x val="0.0275"/>
          <c:y val="0.127"/>
          <c:w val="0.945"/>
          <c:h val="0.719666666666667"/>
        </c:manualLayout>
      </c:layout>
      <c:pieChart>
        <c:varyColors val="1"/>
        <c:ser>
          <c:idx val="0"/>
          <c:order val="0"/>
          <c:tx>
            <c:strRef>
              <c:f>Sheet1!$B$1</c:f>
              <c:strCache>
                <c:ptCount val="1"/>
                <c:pt idx="0">
                  <c:v>本年收入</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一般公共预算财政拨款收入</c:v>
                </c:pt>
                <c:pt idx="1">
                  <c:v>政府性基金预算财政拨款</c:v>
                </c:pt>
              </c:strCache>
            </c:strRef>
          </c:cat>
          <c:val>
            <c:numRef>
              <c:f>Sheet1!$B$2:$B$3</c:f>
              <c:numCache>
                <c:formatCode>General</c:formatCode>
                <c:ptCount val="2"/>
                <c:pt idx="0">
                  <c:v>8377.88</c:v>
                </c:pt>
                <c:pt idx="1">
                  <c:v>1415.53</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f6fe72-a929-4abf-8fa9-1b9664a28d3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manualLayout>
          <c:layoutTarget val="inner"/>
          <c:xMode val="edge"/>
          <c:yMode val="edge"/>
          <c:x val="0.083075"/>
          <c:y val="0.204516129032258"/>
          <c:w val="0.8316"/>
          <c:h val="0.702795698924731"/>
        </c:manualLayout>
      </c:layout>
      <c:pieChart>
        <c:varyColors val="1"/>
        <c:ser>
          <c:idx val="0"/>
          <c:order val="0"/>
          <c:tx>
            <c:strRef>
              <c:f>Sheet1!$B$1</c:f>
              <c:strCache>
                <c:ptCount val="1"/>
                <c:pt idx="0">
                  <c:v>本年支出</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10000"/>
                  </a:prstClr>
                </a:outerShdw>
              </a:effectLst>
            </c:spPr>
          </c:dPt>
          <c:dPt>
            <c:idx val="1"/>
            <c:bubble3D val="0"/>
            <c:spPr>
              <a:solidFill>
                <a:schemeClr val="accent2"/>
              </a:solidFill>
              <a:ln>
                <a:noFill/>
              </a:ln>
              <a:effectLst>
                <a:outerShdw blurRad="88900" sx="102000" sy="102000" algn="ctr" rotWithShape="0">
                  <a:prstClr val="black">
                    <a:alpha val="1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1506.08</c:v>
                </c:pt>
                <c:pt idx="1">
                  <c:v>9002.95</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66821df-695e-4e1c-a9bb-a73cb707c28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97375"/>
          <c:y val="0.056559346062593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c:v>
                </c:pt>
              </c:strCache>
            </c:strRef>
          </c:cat>
          <c:val>
            <c:numRef>
              <c:f>Sheet1!$B$2</c:f>
              <c:numCache>
                <c:formatCode>General</c:formatCode>
                <c:ptCount val="1"/>
                <c:pt idx="0">
                  <c:v>10509.03</c:v>
                </c:pt>
              </c:numCache>
            </c:numRef>
          </c:val>
        </c:ser>
        <c:ser>
          <c:idx val="1"/>
          <c:order val="1"/>
          <c:tx>
            <c:strRef>
              <c:f>Sheet1!$C$1</c:f>
              <c:strCache>
                <c:ptCount val="1"/>
                <c:pt idx="0">
                  <c:v>2021年</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c:v>
                </c:pt>
              </c:strCache>
            </c:strRef>
          </c:cat>
          <c:val>
            <c:numRef>
              <c:f>Sheet1!$C$2</c:f>
              <c:numCache>
                <c:formatCode>General</c:formatCode>
                <c:ptCount val="1"/>
                <c:pt idx="0">
                  <c:v>12791.7</c:v>
                </c:pt>
              </c:numCache>
            </c:numRef>
          </c:val>
        </c:ser>
        <c:dLbls>
          <c:showLegendKey val="0"/>
          <c:showVal val="1"/>
          <c:showCatName val="0"/>
          <c:showSerName val="0"/>
          <c:showPercent val="0"/>
          <c:showBubbleSize val="0"/>
        </c:dLbls>
        <c:gapWidth val="100"/>
        <c:overlap val="-24"/>
        <c:axId val="272522336"/>
        <c:axId val="434880393"/>
      </c:barChart>
      <c:catAx>
        <c:axId val="27252233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880393"/>
        <c:crosses val="autoZero"/>
        <c:auto val="1"/>
        <c:lblAlgn val="ctr"/>
        <c:lblOffset val="100"/>
        <c:noMultiLvlLbl val="0"/>
      </c:catAx>
      <c:valAx>
        <c:axId val="4348803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522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2ede0e5-a59a-40fa-9232-5326589b13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129625"/>
          <c:y val="0.0530701625315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Sheet1!$B$2</c:f>
              <c:numCache>
                <c:formatCode>General</c:formatCode>
                <c:ptCount val="1"/>
                <c:pt idx="0">
                  <c:v>9093.5</c:v>
                </c:pt>
              </c:numCache>
            </c:numRef>
          </c:val>
        </c:ser>
        <c:ser>
          <c:idx val="1"/>
          <c:order val="1"/>
          <c:tx>
            <c:strRef>
              <c:f>Sheet1!$C$1</c:f>
              <c:strCache>
                <c:ptCount val="1"/>
                <c:pt idx="0">
                  <c:v>2021年</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c:v>
                </c:pt>
              </c:strCache>
            </c:strRef>
          </c:cat>
          <c:val>
            <c:numRef>
              <c:f>Sheet1!$C$2</c:f>
              <c:numCache>
                <c:formatCode>General</c:formatCode>
                <c:ptCount val="1"/>
                <c:pt idx="0">
                  <c:v>9750.3</c:v>
                </c:pt>
              </c:numCache>
            </c:numRef>
          </c:val>
        </c:ser>
        <c:dLbls>
          <c:showLegendKey val="0"/>
          <c:showVal val="1"/>
          <c:showCatName val="0"/>
          <c:showSerName val="0"/>
          <c:showPercent val="0"/>
          <c:showBubbleSize val="0"/>
        </c:dLbls>
        <c:gapWidth val="100"/>
        <c:overlap val="-24"/>
        <c:axId val="272522336"/>
        <c:axId val="434880393"/>
      </c:barChart>
      <c:catAx>
        <c:axId val="27252233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4880393"/>
        <c:crosses val="autoZero"/>
        <c:auto val="1"/>
        <c:lblAlgn val="ctr"/>
        <c:lblOffset val="100"/>
        <c:noMultiLvlLbl val="0"/>
      </c:catAx>
      <c:valAx>
        <c:axId val="43488039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25223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d8262b7-0646-4b64-a9a7-695d8f46848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c:v>
                </c:pt>
              </c:strCache>
            </c:strRef>
          </c:tx>
          <c:spPr>
            <a:scene3d>
              <a:camera prst="orthographicFront"/>
              <a:lightRig rig="threePt" dir="t"/>
            </a:scene3d>
            <a:sp3d contourW="9525"/>
          </c:spPr>
          <c:explosion val="0"/>
          <c:dPt>
            <c:idx val="0"/>
            <c:bubble3D val="0"/>
            <c:spPr>
              <a:solidFill>
                <a:schemeClr val="accent1"/>
              </a:solidFill>
              <a:ln>
                <a:noFill/>
              </a:ln>
              <a:effectLst>
                <a:outerShdw blurRad="88900" sx="102000" sy="102000" algn="ctr" rotWithShape="0">
                  <a:prstClr val="black">
                    <a:alpha val="20000"/>
                  </a:prstClr>
                </a:outerShdw>
              </a:effectLst>
            </c:spPr>
          </c:dPt>
          <c:dPt>
            <c:idx val="1"/>
            <c:bubble3D val="0"/>
            <c:spPr>
              <a:solidFill>
                <a:schemeClr val="accent2"/>
              </a:solidFill>
              <a:ln>
                <a:noFill/>
              </a:ln>
              <a:effectLst>
                <a:outerShdw blurRad="88900" sx="102000" sy="102000" algn="ctr" rotWithShape="0">
                  <a:prstClr val="black">
                    <a:alpha val="20000"/>
                  </a:prstClr>
                </a:outerShdw>
              </a:effectLst>
            </c:spPr>
          </c:dPt>
          <c:dPt>
            <c:idx val="2"/>
            <c:bubble3D val="0"/>
            <c:spPr>
              <a:solidFill>
                <a:schemeClr val="accent3"/>
              </a:solidFill>
              <a:ln>
                <a:noFill/>
              </a:ln>
              <a:effectLst>
                <a:outerShdw blurRad="88900" sx="102000" sy="102000" algn="ctr"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8963.58</c:v>
                </c:pt>
                <c:pt idx="1">
                  <c:v>30.3</c:v>
                </c:pt>
                <c:pt idx="2">
                  <c:v>99.62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b20ce5-d235-4fb6-856c-708838060afb}"/>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因公出国（境）费用</c:v>
                </c:pt>
                <c:pt idx="1">
                  <c:v>公务用车购置及运行维护费</c:v>
                </c:pt>
                <c:pt idx="2">
                  <c:v>公务接待费</c:v>
                </c:pt>
              </c:strCache>
            </c:strRef>
          </c:cat>
          <c:val>
            <c:numRef>
              <c:f>Sheet1!$B$2:$B$4</c:f>
              <c:numCache>
                <c:formatCode>General</c:formatCode>
                <c:ptCount val="3"/>
                <c:pt idx="0">
                  <c:v>0</c:v>
                </c:pt>
                <c:pt idx="1">
                  <c:v>11.55</c:v>
                </c:pt>
                <c:pt idx="2">
                  <c:v>1.46</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657e6e-2bd4-4909-b176-a6998d1fb77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1433</Words>
  <Characters>1530</Characters>
  <Lines>58</Lines>
  <Paragraphs>16</Paragraphs>
  <TotalTime>12</TotalTime>
  <ScaleCrop>false</ScaleCrop>
  <LinksUpToDate>false</LinksUpToDate>
  <CharactersWithSpaces>1554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WPS_1657002862</cp:lastModifiedBy>
  <cp:lastPrinted>2023-07-31T02:35:00Z</cp:lastPrinted>
  <dcterms:modified xsi:type="dcterms:W3CDTF">2025-03-18T02:25:34Z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3D41A8ADB023450DA0A7B75C01BEBA00_12</vt:lpwstr>
  </property>
  <property fmtid="{D5CDD505-2E9C-101B-9397-08002B2CF9AE}" pid="4" name="KSOTemplateDocerSaveRecord">
    <vt:lpwstr>eyJoZGlkIjoiZDQ4MGI4YTM0MDJkNWY4ODJlMDUwNjdlYmJlOWEyNTciLCJ1c2VySWQiOiIxMzkxMTI1NDc2In0=</vt:lpwstr>
  </property>
</Properties>
</file>