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sz w:val="72"/>
          <w:szCs w:val="72"/>
        </w:rPr>
      </w:pPr>
      <w:bookmarkStart w:id="0" w:name="_Toc15378441"/>
      <w:bookmarkStart w:id="1" w:name="_Toc15377193"/>
      <w:bookmarkStart w:id="2" w:name="_Toc15396597"/>
      <w:bookmarkStart w:id="3" w:name="_Toc15396475"/>
      <w:bookmarkStart w:id="4" w:name="_Toc15377425"/>
      <w:bookmarkStart w:id="5" w:name="_Toc15306267"/>
      <w:r>
        <w:rPr>
          <w:rFonts w:hint="eastAsia" w:ascii="方正小标宋简体" w:hAnsi="宋体" w:eastAsia="方正小标宋简体"/>
          <w:sz w:val="72"/>
          <w:szCs w:val="72"/>
        </w:rPr>
        <w:t xml:space="preserve">     </w:t>
      </w: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77194"/>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峨眉山市文化体育和旅游局部门决算</w:t>
      </w:r>
      <w:bookmarkEnd w:id="6"/>
      <w:bookmarkEnd w:id="7"/>
      <w:bookmarkEnd w:id="8"/>
      <w:bookmarkEnd w:id="9"/>
      <w:bookmarkEnd w:id="10"/>
      <w:bookmarkEnd w:id="11"/>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sz w:val="32"/>
          <w:szCs w:val="32"/>
        </w:rPr>
      </w:pPr>
      <w:r>
        <w:rPr>
          <w:rFonts w:hint="eastAsia"/>
          <w:sz w:val="32"/>
          <w:szCs w:val="32"/>
        </w:rPr>
        <w:t>公开时间：2023年</w:t>
      </w:r>
      <w:r>
        <w:rPr>
          <w:sz w:val="32"/>
          <w:szCs w:val="32"/>
        </w:rPr>
        <w:t>11</w:t>
      </w:r>
      <w:r>
        <w:rPr>
          <w:rFonts w:hint="eastAsia"/>
          <w:sz w:val="32"/>
          <w:szCs w:val="32"/>
        </w:rPr>
        <w:t>月</w:t>
      </w:r>
      <w:r>
        <w:rPr>
          <w:sz w:val="32"/>
          <w:szCs w:val="32"/>
        </w:rPr>
        <w:t>30</w:t>
      </w:r>
      <w:r>
        <w:rPr>
          <w:rFonts w:hint="eastAsia"/>
          <w:sz w:val="32"/>
          <w:szCs w:val="32"/>
        </w:rPr>
        <w:t>日</w:t>
      </w:r>
    </w:p>
    <w:p>
      <w:pPr>
        <w:rPr>
          <w:rFonts w:ascii="仿宋" w:hAnsi="仿宋" w:eastAsia="仿宋"/>
          <w:sz w:val="32"/>
          <w:szCs w:val="32"/>
        </w:rPr>
      </w:pPr>
    </w:p>
    <w:p>
      <w:pPr>
        <w:pStyle w:val="11"/>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部门概况</w:t>
      </w:r>
      <w:r>
        <w:rPr>
          <w:sz w:val="32"/>
          <w:szCs w:val="32"/>
        </w:rPr>
        <w:tab/>
      </w:r>
      <w:r>
        <w:rPr>
          <w:sz w:val="32"/>
          <w:szCs w:val="32"/>
        </w:rPr>
        <w:t>4</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一、部门职责</w:t>
      </w:r>
      <w:r>
        <w:rPr>
          <w:rFonts w:asciiTheme="minorEastAsia" w:hAnsiTheme="minorEastAsia" w:eastAsiaTheme="minorEastAsia"/>
          <w:sz w:val="32"/>
          <w:szCs w:val="32"/>
        </w:rPr>
        <w:tab/>
      </w:r>
      <w:r>
        <w:rPr>
          <w:rFonts w:asciiTheme="minorEastAsia" w:hAnsiTheme="minorEastAsia" w:eastAsiaTheme="minorEastAsia"/>
          <w:sz w:val="32"/>
          <w:szCs w:val="32"/>
        </w:rPr>
        <w:t>4</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二、机构设置</w:t>
      </w:r>
      <w:r>
        <w:rPr>
          <w:rFonts w:asciiTheme="minorEastAsia" w:hAnsiTheme="minorEastAsia" w:eastAsiaTheme="minorEastAsia"/>
          <w:sz w:val="32"/>
          <w:szCs w:val="32"/>
        </w:rPr>
        <w:tab/>
      </w:r>
      <w:r>
        <w:rPr>
          <w:rFonts w:asciiTheme="minorEastAsia" w:hAnsiTheme="minorEastAsia" w:eastAsiaTheme="minorEastAsia"/>
          <w:sz w:val="32"/>
          <w:szCs w:val="32"/>
        </w:rPr>
        <w:t>14</w:t>
      </w:r>
    </w:p>
    <w:p>
      <w:pPr>
        <w:pStyle w:val="11"/>
        <w:adjustRightInd w:val="0"/>
        <w:snapToGrid w:val="0"/>
        <w:spacing w:before="0" w:line="440" w:lineRule="exact"/>
        <w:jc w:val="left"/>
        <w:rPr>
          <w:b/>
          <w:sz w:val="32"/>
          <w:szCs w:val="32"/>
        </w:rPr>
      </w:pPr>
      <w:r>
        <w:rPr>
          <w:rFonts w:hint="eastAsia"/>
          <w:b/>
          <w:sz w:val="32"/>
          <w:szCs w:val="32"/>
        </w:rPr>
        <w:t>第二部分 2022年度部门决算情况说明</w:t>
      </w:r>
      <w:r>
        <w:rPr>
          <w:sz w:val="32"/>
          <w:szCs w:val="32"/>
        </w:rPr>
        <w:tab/>
      </w:r>
      <w:r>
        <w:rPr>
          <w:sz w:val="32"/>
          <w:szCs w:val="32"/>
        </w:rPr>
        <w:t>16</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一、收入支出决算总体情况说明</w:t>
      </w:r>
      <w:r>
        <w:rPr>
          <w:rFonts w:asciiTheme="minorEastAsia" w:hAnsiTheme="minorEastAsia" w:eastAsiaTheme="minorEastAsia"/>
          <w:sz w:val="32"/>
          <w:szCs w:val="32"/>
        </w:rPr>
        <w:tab/>
      </w:r>
      <w:r>
        <w:rPr>
          <w:rFonts w:asciiTheme="minorEastAsia" w:hAnsiTheme="minorEastAsia" w:eastAsiaTheme="minorEastAsia"/>
          <w:sz w:val="32"/>
          <w:szCs w:val="32"/>
        </w:rPr>
        <w:t>16</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二、收入决算情况说明</w:t>
      </w:r>
      <w:r>
        <w:rPr>
          <w:rFonts w:asciiTheme="minorEastAsia" w:hAnsiTheme="minorEastAsia" w:eastAsiaTheme="minorEastAsia"/>
          <w:sz w:val="32"/>
          <w:szCs w:val="32"/>
        </w:rPr>
        <w:tab/>
      </w:r>
      <w:r>
        <w:rPr>
          <w:rFonts w:asciiTheme="minorEastAsia" w:hAnsiTheme="minorEastAsia" w:eastAsiaTheme="minorEastAsia"/>
          <w:sz w:val="32"/>
          <w:szCs w:val="32"/>
        </w:rPr>
        <w:t>16</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三、支出决算情况说明</w:t>
      </w:r>
      <w:r>
        <w:rPr>
          <w:rFonts w:asciiTheme="minorEastAsia" w:hAnsiTheme="minorEastAsia" w:eastAsiaTheme="minorEastAsia"/>
          <w:sz w:val="32"/>
          <w:szCs w:val="32"/>
        </w:rPr>
        <w:tab/>
      </w:r>
      <w:r>
        <w:rPr>
          <w:rFonts w:asciiTheme="minorEastAsia" w:hAnsiTheme="minorEastAsia" w:eastAsiaTheme="minorEastAsia"/>
          <w:sz w:val="32"/>
          <w:szCs w:val="32"/>
        </w:rPr>
        <w:t>17</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四、财政拨款收入支出决算总体情况说明</w:t>
      </w:r>
      <w:r>
        <w:rPr>
          <w:rFonts w:asciiTheme="minorEastAsia" w:hAnsiTheme="minorEastAsia" w:eastAsiaTheme="minorEastAsia"/>
          <w:sz w:val="32"/>
          <w:szCs w:val="32"/>
        </w:rPr>
        <w:tab/>
      </w:r>
      <w:r>
        <w:rPr>
          <w:rFonts w:asciiTheme="minorEastAsia" w:hAnsiTheme="minorEastAsia" w:eastAsiaTheme="minorEastAsia"/>
          <w:sz w:val="32"/>
          <w:szCs w:val="32"/>
        </w:rPr>
        <w:t>18</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五、一般公共预算财政拨款支出决算情况说明</w:t>
      </w:r>
      <w:r>
        <w:rPr>
          <w:rFonts w:asciiTheme="minorEastAsia" w:hAnsiTheme="minorEastAsia" w:eastAsiaTheme="minorEastAsia"/>
          <w:sz w:val="32"/>
          <w:szCs w:val="32"/>
        </w:rPr>
        <w:tab/>
      </w:r>
      <w:r>
        <w:rPr>
          <w:rFonts w:asciiTheme="minorEastAsia" w:hAnsiTheme="minorEastAsia" w:eastAsiaTheme="minorEastAsia"/>
          <w:sz w:val="32"/>
          <w:szCs w:val="32"/>
        </w:rPr>
        <w:t>19</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六、一般公共预算财政拨款基本支出决算情况说明</w:t>
      </w:r>
      <w:r>
        <w:rPr>
          <w:rFonts w:asciiTheme="minorEastAsia" w:hAnsiTheme="minorEastAsia" w:eastAsiaTheme="minorEastAsia"/>
          <w:sz w:val="32"/>
          <w:szCs w:val="32"/>
        </w:rPr>
        <w:tab/>
      </w:r>
      <w:r>
        <w:rPr>
          <w:rFonts w:asciiTheme="minorEastAsia" w:hAnsiTheme="minorEastAsia" w:eastAsiaTheme="minorEastAsia"/>
          <w:sz w:val="32"/>
          <w:szCs w:val="32"/>
        </w:rPr>
        <w:t>25</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七、财政拨款“三公”经费支出决算情况说明</w:t>
      </w:r>
      <w:r>
        <w:rPr>
          <w:rFonts w:asciiTheme="minorEastAsia" w:hAnsiTheme="minorEastAsia" w:eastAsiaTheme="minorEastAsia"/>
          <w:sz w:val="32"/>
          <w:szCs w:val="32"/>
        </w:rPr>
        <w:tab/>
      </w:r>
      <w:r>
        <w:rPr>
          <w:rFonts w:asciiTheme="minorEastAsia" w:hAnsiTheme="minorEastAsia" w:eastAsiaTheme="minorEastAsia"/>
          <w:sz w:val="32"/>
          <w:szCs w:val="32"/>
        </w:rPr>
        <w:t>26</w:t>
      </w:r>
    </w:p>
    <w:p>
      <w:pPr>
        <w:pStyle w:val="12"/>
        <w:adjustRightInd w:val="0"/>
        <w:snapToGrid w:val="0"/>
        <w:spacing w:line="440" w:lineRule="exact"/>
        <w:jc w:val="left"/>
        <w:rPr>
          <w:rFonts w:asciiTheme="minorEastAsia" w:hAnsiTheme="minorEastAsia" w:eastAsiaTheme="minorEastAsia" w:cstheme="minorBidi"/>
          <w:sz w:val="32"/>
          <w:szCs w:val="32"/>
        </w:rPr>
      </w:pPr>
      <w:r>
        <w:rPr>
          <w:rFonts w:hint="eastAsia" w:asciiTheme="minorEastAsia" w:hAnsiTheme="minorEastAsia" w:eastAsiaTheme="minorEastAsia"/>
          <w:sz w:val="32"/>
          <w:szCs w:val="32"/>
        </w:rPr>
        <w:t>八、政府性基金预算支出决算情况说明</w:t>
      </w:r>
      <w:r>
        <w:rPr>
          <w:rFonts w:asciiTheme="minorEastAsia" w:hAnsiTheme="minorEastAsia" w:eastAsiaTheme="minorEastAsia"/>
          <w:sz w:val="32"/>
          <w:szCs w:val="32"/>
        </w:rPr>
        <w:tab/>
      </w:r>
      <w:r>
        <w:rPr>
          <w:rFonts w:asciiTheme="minorEastAsia" w:hAnsiTheme="minorEastAsia" w:eastAsiaTheme="minorEastAsia"/>
          <w:sz w:val="32"/>
          <w:szCs w:val="32"/>
        </w:rPr>
        <w:t>28</w:t>
      </w:r>
    </w:p>
    <w:p>
      <w:pPr>
        <w:pStyle w:val="12"/>
        <w:adjustRightInd w:val="0"/>
        <w:snapToGrid w:val="0"/>
        <w:spacing w:line="440" w:lineRule="exact"/>
        <w:ind w:leftChars="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九、国有资本经营预算支出决算情况说明</w:t>
      </w:r>
      <w:r>
        <w:rPr>
          <w:rFonts w:asciiTheme="minorEastAsia" w:hAnsiTheme="minorEastAsia" w:eastAsiaTheme="minorEastAsia" w:cstheme="minorEastAsia"/>
          <w:sz w:val="32"/>
          <w:szCs w:val="32"/>
        </w:rPr>
        <w:tab/>
      </w:r>
      <w:r>
        <w:rPr>
          <w:rFonts w:asciiTheme="minorEastAsia" w:hAnsiTheme="minorEastAsia" w:eastAsiaTheme="minorEastAsia" w:cstheme="minorEastAsia"/>
          <w:sz w:val="32"/>
          <w:szCs w:val="32"/>
        </w:rPr>
        <w:t>28</w:t>
      </w:r>
    </w:p>
    <w:p>
      <w:pPr>
        <w:pStyle w:val="12"/>
        <w:adjustRightInd w:val="0"/>
        <w:snapToGrid w:val="0"/>
        <w:spacing w:line="440" w:lineRule="exact"/>
        <w:ind w:leftChars="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十</w:t>
      </w:r>
      <w:r>
        <w:rPr>
          <w:rFonts w:hint="eastAsia" w:asciiTheme="minorEastAsia" w:hAnsiTheme="minorEastAsia" w:eastAsiaTheme="minorEastAsia" w:cstheme="minorEastAsia"/>
          <w:sz w:val="32"/>
          <w:szCs w:val="32"/>
        </w:rPr>
        <w:t>、其他重要事项的情况说明</w:t>
      </w:r>
      <w:r>
        <w:rPr>
          <w:rFonts w:hint="eastAsia" w:asciiTheme="minorEastAsia" w:hAnsiTheme="minorEastAsia" w:eastAsiaTheme="minorEastAsia" w:cstheme="minorEastAsia"/>
          <w:sz w:val="32"/>
          <w:szCs w:val="32"/>
        </w:rPr>
        <w:tab/>
      </w:r>
      <w:r>
        <w:rPr>
          <w:rFonts w:asciiTheme="minorEastAsia" w:hAnsiTheme="minorEastAsia" w:eastAsiaTheme="minorEastAsia" w:cstheme="minorEastAsia"/>
          <w:sz w:val="32"/>
          <w:szCs w:val="32"/>
        </w:rPr>
        <w:t>29</w:t>
      </w:r>
    </w:p>
    <w:p>
      <w:pPr>
        <w:pStyle w:val="11"/>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Pr>
          <w:sz w:val="32"/>
          <w:szCs w:val="32"/>
        </w:rPr>
        <w:tab/>
      </w:r>
      <w:r>
        <w:rPr>
          <w:sz w:val="32"/>
          <w:szCs w:val="32"/>
        </w:rPr>
        <w:t>31</w:t>
      </w:r>
    </w:p>
    <w:p>
      <w:pPr>
        <w:pStyle w:val="11"/>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Pr>
          <w:sz w:val="32"/>
          <w:szCs w:val="32"/>
        </w:rPr>
        <w:tab/>
      </w:r>
      <w:r>
        <w:rPr>
          <w:sz w:val="32"/>
          <w:szCs w:val="32"/>
        </w:rPr>
        <w:t>37</w:t>
      </w:r>
    </w:p>
    <w:p>
      <w:pPr>
        <w:pStyle w:val="11"/>
        <w:adjustRightInd w:val="0"/>
        <w:snapToGrid w:val="0"/>
        <w:spacing w:before="0" w:line="440" w:lineRule="exact"/>
        <w:jc w:val="left"/>
        <w:rPr>
          <w:rFonts w:hint="default" w:eastAsia="仿宋" w:cstheme="minorBidi"/>
          <w:b/>
          <w:sz w:val="32"/>
          <w:szCs w:val="32"/>
          <w:lang w:val="en-US" w:eastAsia="zh-CN"/>
        </w:rPr>
      </w:pPr>
      <w:r>
        <w:rPr>
          <w:rFonts w:hint="eastAsia"/>
          <w:b/>
          <w:sz w:val="32"/>
          <w:szCs w:val="32"/>
        </w:rPr>
        <w:t>第五部分</w:t>
      </w:r>
      <w:r>
        <w:rPr>
          <w:b/>
          <w:sz w:val="32"/>
          <w:szCs w:val="32"/>
        </w:rPr>
        <w:t xml:space="preserve"> </w:t>
      </w:r>
      <w:r>
        <w:rPr>
          <w:rFonts w:hint="eastAsia"/>
          <w:b/>
          <w:sz w:val="32"/>
          <w:szCs w:val="32"/>
        </w:rPr>
        <w:t>附表</w:t>
      </w:r>
      <w:r>
        <w:rPr>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一、收入支出决算总表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二、收入决算表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三、支出决算表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四、财政拨款收入支出决算总表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五、财政拨款支出决算明细表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六、一般公共预算财政拨款支出决算表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七、一般公共预算财政拨款支出决算明细表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八、一般公共预算财政拨款基本支出决算明细表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九、一般公共预算财政拨款项目支出决算表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十、政府性基金预算财政拨款收入支出决算表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十一、国有资本经营预算财政拨款收入支出决算表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十二、国有资本经营预算财政拨款支出决算表</w:t>
      </w:r>
      <w:r>
        <w:rPr>
          <w:rFonts w:asciiTheme="minorEastAsia" w:hAnsiTheme="minorEastAsia" w:eastAsiaTheme="minorEastAsia"/>
          <w:sz w:val="32"/>
          <w:szCs w:val="32"/>
        </w:rPr>
        <w:tab/>
      </w:r>
      <w:r>
        <w:rPr>
          <w:rFonts w:hint="eastAsia"/>
          <w:sz w:val="32"/>
          <w:szCs w:val="32"/>
          <w:lang w:val="en-US" w:eastAsia="zh-CN"/>
        </w:rPr>
        <w:t>102</w:t>
      </w:r>
    </w:p>
    <w:p>
      <w:pPr>
        <w:pStyle w:val="12"/>
        <w:adjustRightInd w:val="0"/>
        <w:snapToGrid w:val="0"/>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十三、财政拨款“三公”经费支出决算表</w:t>
      </w:r>
      <w:r>
        <w:rPr>
          <w:rFonts w:asciiTheme="minorEastAsia" w:hAnsiTheme="minorEastAsia" w:eastAsiaTheme="minorEastAsia"/>
          <w:sz w:val="32"/>
          <w:szCs w:val="32"/>
        </w:rPr>
        <w:tab/>
      </w:r>
      <w:r>
        <w:rPr>
          <w:rFonts w:hint="eastAsia"/>
          <w:sz w:val="32"/>
          <w:szCs w:val="32"/>
          <w:lang w:val="en-US" w:eastAsia="zh-CN"/>
        </w:rPr>
        <w:t>102</w:t>
      </w:r>
      <w:bookmarkStart w:id="75" w:name="_GoBack"/>
      <w:bookmarkEnd w:id="75"/>
    </w:p>
    <w:p/>
    <w:p>
      <w:pPr>
        <w:pStyle w:val="2"/>
        <w:spacing w:before="93"/>
      </w:pPr>
    </w:p>
    <w:p/>
    <w:p>
      <w:pPr>
        <w:pStyle w:val="2"/>
        <w:spacing w:before="93"/>
      </w:pPr>
    </w:p>
    <w:p/>
    <w:p>
      <w:pPr>
        <w:pStyle w:val="2"/>
        <w:spacing w:before="93"/>
      </w:pPr>
    </w:p>
    <w:p/>
    <w:p>
      <w:pPr>
        <w:pStyle w:val="2"/>
        <w:spacing w:before="93"/>
      </w:pPr>
    </w:p>
    <w:p/>
    <w:p>
      <w:pPr>
        <w:pStyle w:val="2"/>
        <w:spacing w:before="93"/>
      </w:pPr>
    </w:p>
    <w:p/>
    <w:p>
      <w:pPr>
        <w:pStyle w:val="2"/>
        <w:spacing w:before="93"/>
      </w:pPr>
    </w:p>
    <w:p/>
    <w:p>
      <w:pPr>
        <w:pStyle w:val="2"/>
        <w:spacing w:before="93"/>
      </w:pPr>
    </w:p>
    <w:p/>
    <w:p>
      <w:pPr>
        <w:pStyle w:val="2"/>
        <w:spacing w:before="93"/>
      </w:pPr>
    </w:p>
    <w:p/>
    <w:p>
      <w:pPr>
        <w:pStyle w:val="2"/>
        <w:spacing w:before="93"/>
      </w:pPr>
    </w:p>
    <w:p>
      <w:pPr>
        <w:pStyle w:val="3"/>
        <w:jc w:val="center"/>
        <w:rPr>
          <w:rStyle w:val="27"/>
          <w:rFonts w:ascii="黑体" w:hAnsi="黑体" w:eastAsia="黑体"/>
          <w:b/>
          <w:bCs w:val="0"/>
        </w:rPr>
      </w:pPr>
      <w:bookmarkStart w:id="12" w:name="_Toc15396599"/>
      <w:bookmarkStart w:id="13" w:name="_Toc15377196"/>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部门职责</w:t>
      </w:r>
    </w:p>
    <w:p>
      <w:pPr>
        <w:ind w:firstLine="320" w:firstLineChars="100"/>
        <w:rPr>
          <w:rFonts w:ascii="仿宋" w:hAnsi="仿宋" w:eastAsia="仿宋"/>
          <w:sz w:val="32"/>
          <w:szCs w:val="32"/>
        </w:rPr>
      </w:pPr>
      <w:r>
        <w:rPr>
          <w:rFonts w:hint="eastAsia" w:ascii="仿宋" w:hAnsi="仿宋" w:eastAsia="仿宋"/>
          <w:sz w:val="32"/>
          <w:szCs w:val="32"/>
        </w:rPr>
        <w:t>（一）职能职责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拟订文化、体育、旅游、广播电视、文物保护相关的政策措施和规范性文件并组织实施，负责本部门依法行政工作。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组织推动全市文化事业、文化产业、体育事业、体育产业、旅游业、广播电视、文物保护业发展，研究解决发展中的问题并提出政策建议，拟订发展规划并组织实施;推进文化、体育、旅游和广播电视体制机制改革落实。</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管理全市重大文化、体育、旅游、广播电视活动，指导全市重点文化、体育、旅游、广播电视、文物设施建设，组织全市文化和旅游整体形象推广，制定旅游市场开发战略并组织实施，推进全域旅游。</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推进文化和旅游融合发展，推动文化作品创作和旅游产品开发，促进文化和旅游产业深度融合。</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指导管理文艺事业，推动艺术创作生产，扶持体现社会主义核心价值观、具有导向性代表性示范性的文艺作品，推动各门类艺术、各艺术品种发展，推动中华优秀传统文化和地方特色文化传承发展。</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负责公共文化、体育事业发展，推进全市公共文化服务体系建设、旅游公共服务建设、多元化体育服务体系建设，深入实施文化惠民工程，统筹推进基本公共文化服务标准化、均等</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统筹规划全市群众体育发展，负责推行全民健身计划，监督实施国家体育锻炼标准，推动全市国民体质监测和社会体育指导工作队伍制度建设，指导公共体育设施建设，负责对公共体育设施的监督管理。</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推进文化、旅游和广播电视科技创新发展，推进文化和旅游行业信息化、标准化、规范化建设。</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负责非物质文化遗产保护，推动非物质文化遗产的保护、传承、普及、弘扬和振兴。</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组织实施文化和旅游资源普查、挖掘、保护与利用工作，促进文化产业和旅游产业发展。</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指导文化旅游和广播电视市场发展，对市场经营进行行业监管，推进文化旅游和广播电视行业信用体系建设，依法规范文化旅游和广播电视市场。</w:t>
      </w:r>
    </w:p>
    <w:p>
      <w:pPr>
        <w:ind w:firstLine="640" w:firstLineChars="200"/>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拟订文化和旅游市场经营场所、设施、服务、产品等标准并监督实施。监督管理旅游市场秩序、旅游服务质量。指导全市文化旅游市场综合执法，维护市场秩序。</w:t>
      </w:r>
    </w:p>
    <w:p>
      <w:pPr>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负责管理文化、体育、旅游、广播电视和文物对外交流合作与宣传推广工作。组织大型文化、体育、旅游、广播电视、文物对外交流活动。</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指导、协调全市性重大广播电视宣传活动，组织实施广播电视节目评价工作。监督管理、审查广播电视和网络视听节目的内容及质量。指导、监督广播电视广告播放。</w:t>
      </w:r>
    </w:p>
    <w:p>
      <w:pPr>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负责组织文化遗产、历史文化名城(镇、村)的申报和监督管理工作。</w:t>
      </w:r>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推动完善全市文物和博物馆公共服务体系建设。指导博物馆建设管理和社会文物管理工作。组织指导文物和博物馆，领域重大科研项目、科技保护、标准化建设。推动文物和博物馆领域装备技术提升。</w:t>
      </w:r>
    </w:p>
    <w:p>
      <w:pPr>
        <w:ind w:firstLine="640" w:firstLineChars="200"/>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负责职责范围内的安全生产和职业健康、生态环境保护、审批服务便民化等工作。</w:t>
      </w:r>
    </w:p>
    <w:p>
      <w:pPr>
        <w:ind w:firstLine="640" w:firstLineChars="200"/>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完成市委、市政府交办的其他工作。</w:t>
      </w:r>
    </w:p>
    <w:p>
      <w:pPr>
        <w:ind w:firstLine="640" w:firstLineChars="200"/>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职能转变。</w:t>
      </w:r>
    </w:p>
    <w:p>
      <w:pPr>
        <w:ind w:firstLine="640" w:firstLineChars="200"/>
        <w:rPr>
          <w:rFonts w:ascii="仿宋" w:hAnsi="仿宋" w:eastAsia="仿宋"/>
          <w:sz w:val="32"/>
          <w:szCs w:val="32"/>
        </w:rPr>
      </w:pPr>
      <w:r>
        <w:rPr>
          <w:rFonts w:hint="eastAsia" w:ascii="仿宋" w:hAnsi="仿宋" w:eastAsia="仿宋"/>
          <w:sz w:val="32"/>
          <w:szCs w:val="32"/>
        </w:rPr>
        <w:t>（1）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ind w:firstLine="640" w:firstLineChars="200"/>
        <w:rPr>
          <w:rFonts w:ascii="仿宋" w:hAnsi="仿宋" w:eastAsia="仿宋"/>
          <w:sz w:val="32"/>
          <w:szCs w:val="32"/>
        </w:rPr>
      </w:pPr>
      <w:r>
        <w:rPr>
          <w:rFonts w:hint="eastAsia" w:ascii="仿宋" w:hAnsi="仿宋" w:eastAsia="仿宋"/>
          <w:sz w:val="32"/>
          <w:szCs w:val="32"/>
        </w:rPr>
        <w:t>（2）统筹推进承担行政职能的事业单位改革，市文物管理局不再承担相关行政职责,交由市文体旅游局机关有关内设机构承担。</w:t>
      </w:r>
    </w:p>
    <w:p>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有关职责分工。</w:t>
      </w:r>
    </w:p>
    <w:p>
      <w:pPr>
        <w:ind w:firstLine="640" w:firstLineChars="200"/>
        <w:rPr>
          <w:rFonts w:ascii="仿宋" w:hAnsi="仿宋" w:eastAsia="仿宋"/>
          <w:sz w:val="32"/>
          <w:szCs w:val="32"/>
        </w:rPr>
      </w:pPr>
      <w:r>
        <w:rPr>
          <w:rFonts w:hint="eastAsia" w:ascii="仿宋" w:hAnsi="仿宋" w:eastAsia="仿宋"/>
          <w:sz w:val="32"/>
          <w:szCs w:val="32"/>
        </w:rPr>
        <w:t>与市商务局有关职责分工。市商务局负责住宿业的行业管理。市文体旅游局负责星级酒店、星级农家乐、精品民宿的日常管理和安全监督管理。</w:t>
      </w:r>
    </w:p>
    <w:p>
      <w:pPr>
        <w:pStyle w:val="2"/>
        <w:spacing w:before="93"/>
        <w:rPr>
          <w:rFonts w:ascii="仿宋" w:hAnsi="仿宋" w:eastAsia="仿宋"/>
          <w:sz w:val="32"/>
          <w:szCs w:val="32"/>
        </w:rPr>
      </w:pPr>
      <w:r>
        <w:rPr>
          <w:rFonts w:hint="eastAsia" w:ascii="仿宋" w:hAnsi="仿宋" w:eastAsia="仿宋"/>
          <w:sz w:val="32"/>
          <w:szCs w:val="32"/>
        </w:rPr>
        <w:t>（二）2022年重点工作完成情况</w:t>
      </w:r>
    </w:p>
    <w:p>
      <w:pPr>
        <w:tabs>
          <w:tab w:val="center" w:pos="4153"/>
        </w:tabs>
        <w:spacing w:line="600" w:lineRule="exact"/>
        <w:ind w:firstLine="640" w:firstLineChars="200"/>
        <w:rPr>
          <w:rFonts w:hint="eastAsia" w:ascii="仿宋" w:hAnsi="仿宋" w:eastAsia="仿宋" w:cs="黑体"/>
          <w:sz w:val="32"/>
          <w:szCs w:val="32"/>
          <w:lang w:val="en-US" w:eastAsia="zh-CN"/>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cs="仿宋_GB2312"/>
          <w:sz w:val="32"/>
          <w:szCs w:val="32"/>
        </w:rPr>
        <w:t>做好疫情防控</w:t>
      </w:r>
    </w:p>
    <w:p>
      <w:pPr>
        <w:tabs>
          <w:tab w:val="center" w:pos="4153"/>
        </w:tabs>
        <w:spacing w:line="600" w:lineRule="exact"/>
        <w:ind w:firstLine="640" w:firstLineChars="200"/>
        <w:rPr>
          <w:rFonts w:ascii="仿宋" w:hAnsi="仿宋" w:eastAsia="仿宋"/>
          <w:sz w:val="32"/>
          <w:szCs w:val="32"/>
        </w:rPr>
      </w:pPr>
      <w:r>
        <w:rPr>
          <w:rFonts w:hint="eastAsia" w:ascii="仿宋" w:hAnsi="仿宋" w:eastAsia="仿宋"/>
          <w:sz w:val="32"/>
          <w:szCs w:val="32"/>
        </w:rPr>
        <w:t>持续常态化开展疫情防控工作，督促指导文体旅行业落实日常防控工作。结合我市实际，</w:t>
      </w:r>
      <w:r>
        <w:rPr>
          <w:rFonts w:hint="eastAsia" w:ascii="仿宋" w:hAnsi="仿宋" w:eastAsia="仿宋" w:cs="仿宋_GB2312"/>
          <w:sz w:val="32"/>
          <w:szCs w:val="32"/>
        </w:rPr>
        <w:t>制定了《峨眉山市民宿（农家乐、网约房）疫情防控管理办法》《峨眉山市文化娱乐场所疫情防控管理办法》，优化流程，</w:t>
      </w:r>
      <w:r>
        <w:rPr>
          <w:rFonts w:hint="eastAsia" w:ascii="仿宋" w:hAnsi="仿宋" w:eastAsia="仿宋"/>
          <w:sz w:val="32"/>
          <w:szCs w:val="32"/>
        </w:rPr>
        <w:t>摸清全市文化体育旅游场所底数，落实了重点场所从业人员定期核酸检测。</w:t>
      </w:r>
    </w:p>
    <w:p>
      <w:pPr>
        <w:tabs>
          <w:tab w:val="center" w:pos="4153"/>
        </w:tabs>
        <w:spacing w:line="600" w:lineRule="exact"/>
        <w:ind w:firstLine="640" w:firstLineChars="200"/>
        <w:rPr>
          <w:rFonts w:ascii="仿宋" w:hAnsi="仿宋" w:eastAsia="仿宋" w:cs="楷体"/>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cs="楷体_GB2312"/>
          <w:sz w:val="32"/>
          <w:szCs w:val="32"/>
        </w:rPr>
        <w:t>优化文旅格局</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编制规划。已完成“十四五”文旅融合发展规划、“十四五”文旅康养产业发展规划、“十四五”武术产业发展规划三项规划，并通过专家评审，即将提交常务会审议。全力推进乡镇级片区旅游专项规划编制工作，已完成峨眉南山度假片区成果编制和审核。环峨眉山康养片区旅游专规、九里绿色材料片区和双福峨眉山茶片区两个片区的旅游专章编制工作也已基本完成。牵头制定了有关峨眉山市旅游民宿发展、峨眉山市文化和旅游市场信用建设等5个政策文件。</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挂图作战。悦榕庄酒店主体已封顶，目前进入装修阶段，预计明年6月正式开业；冰雪大世界展览馆地下室砌筑隔墙施工完毕，展览馆钢结构主体完成80%。展览馆地上结构砌筑完成。太阳谷国际旅游康养度假区项目已签约，正在推进规划设计等前期工作。</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提质增效。牵头实施全市“2022年十大文旅项目”中的峨眉山康养民宿示范工程、旅博天地景区综合提升工程、峨秀湖旅游度假区提升工程，分别制定了工作方案、梳理了子项目；目前绥山荷叶、高桥寨子等片区正抓紧推进民宿建设发展，龙门乡溯溪山居、绥山镇“天上的街市”、大行普悦民宿、高桥镇寨子茶里民宿等项目已完工；峨眉绿道符汶桥至旅博大桥北岸正抓紧施工，预计年底前完工；峨秀湖热气球、帐篷、童趣乐园等项目正常营业。</w:t>
      </w:r>
    </w:p>
    <w:p>
      <w:pPr>
        <w:spacing w:line="600" w:lineRule="exact"/>
        <w:ind w:firstLine="640" w:firstLineChars="200"/>
        <w:rPr>
          <w:rFonts w:ascii="仿宋" w:hAnsi="仿宋" w:eastAsia="仿宋" w:cs="仿宋_GB2312"/>
          <w:sz w:val="32"/>
          <w:szCs w:val="32"/>
        </w:rPr>
      </w:pPr>
      <w:r>
        <w:rPr>
          <w:rFonts w:hint="eastAsia" w:ascii="仿宋" w:hAnsi="仿宋" w:eastAsia="仿宋" w:cs="黑体"/>
          <w:sz w:val="32"/>
          <w:szCs w:val="32"/>
          <w:lang w:val="en-US" w:eastAsia="zh-CN"/>
        </w:rPr>
        <w:t>(4)</w:t>
      </w:r>
      <w:r>
        <w:rPr>
          <w:rFonts w:hint="eastAsia" w:ascii="仿宋" w:hAnsi="仿宋" w:eastAsia="仿宋" w:cs="黑体"/>
          <w:sz w:val="32"/>
          <w:szCs w:val="32"/>
        </w:rPr>
        <w:t>牵头开展文旅深改工作。对照县级市改革、县域集成改革试点等部署任务，制定了文旅专项小组全面深化改革2022年工作计划，并形成改革落实台账。对照省委关于双城经济圈改革文旅板块支持事项，加强积极向上对接汇报，确保支持事项尽快落地实施。</w:t>
      </w:r>
    </w:p>
    <w:p>
      <w:pPr>
        <w:tabs>
          <w:tab w:val="center" w:pos="4153"/>
        </w:tabs>
        <w:spacing w:line="600" w:lineRule="exact"/>
        <w:ind w:firstLine="640" w:firstLineChars="200"/>
        <w:rPr>
          <w:rFonts w:ascii="仿宋" w:hAnsi="仿宋" w:eastAsia="仿宋" w:cs="楷体"/>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cs="楷体_GB2312"/>
          <w:sz w:val="32"/>
          <w:szCs w:val="32"/>
        </w:rPr>
        <w:t>擦亮文旅品牌</w:t>
      </w:r>
    </w:p>
    <w:p>
      <w:pPr>
        <w:spacing w:line="560" w:lineRule="exact"/>
        <w:ind w:firstLine="640" w:firstLineChars="200"/>
        <w:jc w:val="left"/>
        <w:rPr>
          <w:rFonts w:ascii="仿宋" w:hAnsi="仿宋" w:eastAsia="仿宋" w:cs="方正小标宋简体"/>
          <w:sz w:val="44"/>
          <w:szCs w:val="44"/>
        </w:rPr>
      </w:pPr>
      <w:r>
        <w:rPr>
          <w:rFonts w:hint="eastAsia" w:ascii="仿宋" w:hAnsi="仿宋" w:eastAsia="仿宋" w:cs="仿宋_GB2312"/>
          <w:sz w:val="32"/>
          <w:szCs w:val="32"/>
          <w:lang w:val="en-US" w:eastAsia="zh-CN"/>
        </w:rPr>
        <w:t>(1)</w:t>
      </w:r>
      <w:r>
        <w:rPr>
          <w:rFonts w:hint="eastAsia" w:ascii="仿宋" w:hAnsi="仿宋" w:eastAsia="仿宋" w:cs="仿宋_GB2312"/>
          <w:b/>
          <w:bCs/>
          <w:sz w:val="32"/>
          <w:szCs w:val="32"/>
        </w:rPr>
        <w:t>一是</w:t>
      </w:r>
      <w:r>
        <w:rPr>
          <w:rFonts w:hint="eastAsia" w:ascii="仿宋" w:hAnsi="仿宋" w:eastAsia="仿宋" w:cs="仿宋_GB2312"/>
          <w:sz w:val="32"/>
          <w:szCs w:val="32"/>
        </w:rPr>
        <w:t>开展好百场文旅主题消费等活动</w:t>
      </w:r>
      <w:r>
        <w:rPr>
          <w:rFonts w:hint="eastAsia" w:ascii="仿宋" w:hAnsi="仿宋" w:eastAsia="仿宋" w:cs="仿宋_GB2312"/>
          <w:sz w:val="32"/>
          <w:szCs w:val="32"/>
          <w:lang w:val="en"/>
        </w:rPr>
        <w:t>。</w:t>
      </w:r>
      <w:r>
        <w:rPr>
          <w:rFonts w:hint="eastAsia" w:ascii="仿宋" w:hAnsi="仿宋" w:eastAsia="仿宋" w:cs="黑体"/>
          <w:sz w:val="32"/>
          <w:szCs w:val="32"/>
        </w:rPr>
        <w:t>截止目前共计启动开展99场次文旅主题消费活动，其中既定百场文旅主题消费活动53场次，其他文旅促销费46场次。</w:t>
      </w:r>
      <w:r>
        <w:rPr>
          <w:rFonts w:hint="eastAsia" w:ascii="仿宋" w:hAnsi="仿宋" w:eastAsia="仿宋" w:cs="仿宋_GB2312"/>
          <w:b/>
          <w:bCs/>
          <w:sz w:val="32"/>
          <w:szCs w:val="32"/>
        </w:rPr>
        <w:t>二是</w:t>
      </w:r>
      <w:r>
        <w:rPr>
          <w:rFonts w:hint="eastAsia" w:ascii="仿宋" w:hAnsi="仿宋" w:eastAsia="仿宋" w:cs="仿宋_GB2312"/>
          <w:sz w:val="32"/>
          <w:szCs w:val="32"/>
        </w:rPr>
        <w:t>开展线上系列文化活动。通过文图两馆网站、微信公众号、数字云平台、抖音账号等网络平台开展网上教学培训、线上展览展示、数字阅读推广等线上服务，为广大市民群众提供优质的线上公共文化服务，点击量4000余人次。</w:t>
      </w:r>
      <w:r>
        <w:rPr>
          <w:rFonts w:hint="eastAsia" w:ascii="仿宋" w:hAnsi="仿宋" w:eastAsia="仿宋" w:cs="仿宋_GB2312"/>
          <w:b/>
          <w:bCs/>
          <w:sz w:val="32"/>
          <w:szCs w:val="32"/>
        </w:rPr>
        <w:t>三是</w:t>
      </w:r>
      <w:r>
        <w:rPr>
          <w:rFonts w:hint="eastAsia" w:ascii="仿宋" w:hAnsi="仿宋" w:eastAsia="仿宋" w:cs="仿宋_GB2312"/>
          <w:sz w:val="32"/>
          <w:szCs w:val="32"/>
        </w:rPr>
        <w:t>全力筹备和全面备战省十四运会，除广场舞比赛因疫情原因取消外，其余任务均圆满完成，取得8金3银6铜优秀成绩。峨眉武术正式列入省运会比赛项目。四是圆满举办“香港赛马会”杯第八届海峡两岸暨港澳地区健身气功交流比赛和第六届国际标准舞（体育舞蹈）公开赛等赛事。</w:t>
      </w:r>
    </w:p>
    <w:p>
      <w:pPr>
        <w:spacing w:line="600" w:lineRule="exact"/>
        <w:ind w:firstLine="640" w:firstLineChars="200"/>
        <w:rPr>
          <w:rFonts w:ascii="仿宋" w:hAnsi="仿宋" w:eastAsia="仿宋"/>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擦亮文旅品牌。</w:t>
      </w:r>
      <w:r>
        <w:rPr>
          <w:rFonts w:hint="eastAsia" w:ascii="仿宋" w:hAnsi="仿宋" w:eastAsia="仿宋" w:cs="黑体"/>
          <w:sz w:val="32"/>
          <w:szCs w:val="32"/>
        </w:rPr>
        <w:t>包装峨眉山市“峨眉山下慢生活文化旅游区”，</w:t>
      </w:r>
      <w:r>
        <w:rPr>
          <w:rFonts w:hint="eastAsia" w:ascii="仿宋" w:hAnsi="仿宋" w:eastAsia="仿宋" w:cs="仿宋_GB2312"/>
          <w:sz w:val="32"/>
          <w:szCs w:val="32"/>
        </w:rPr>
        <w:t>积极</w:t>
      </w:r>
      <w:r>
        <w:rPr>
          <w:rFonts w:hint="eastAsia" w:ascii="仿宋" w:hAnsi="仿宋" w:eastAsia="仿宋" w:cs="黑体"/>
          <w:sz w:val="32"/>
          <w:szCs w:val="32"/>
        </w:rPr>
        <w:t>争创国家级夜间文化和旅游消费集聚区。开展省级乡村旅游品牌的创建申报工作，积极推荐绥山镇荷叶村和双福镇塘房村为省级乡村旅游重点村，其中双福镇塘房村已入选省级乡村旅游重点村。积极开展天府旅游名县2022年提升建设考评工作，以及全域旅游示范区复核迎检工作。</w:t>
      </w:r>
    </w:p>
    <w:p>
      <w:pPr>
        <w:tabs>
          <w:tab w:val="center" w:pos="4153"/>
        </w:tabs>
        <w:spacing w:line="600" w:lineRule="exact"/>
        <w:ind w:firstLine="640" w:firstLineChars="200"/>
        <w:rPr>
          <w:rFonts w:ascii="仿宋" w:hAnsi="仿宋" w:eastAsia="仿宋" w:cs="楷体"/>
          <w:sz w:val="32"/>
          <w:szCs w:val="32"/>
        </w:rPr>
      </w:pP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cs="楷体_GB2312"/>
          <w:sz w:val="32"/>
          <w:szCs w:val="32"/>
        </w:rPr>
        <w:t>提升文旅品质</w:t>
      </w:r>
    </w:p>
    <w:p>
      <w:pPr>
        <w:tabs>
          <w:tab w:val="center" w:pos="4153"/>
        </w:tabs>
        <w:spacing w:line="600" w:lineRule="exact"/>
        <w:ind w:firstLine="640" w:firstLineChars="200"/>
        <w:rPr>
          <w:rFonts w:ascii="仿宋" w:hAnsi="仿宋" w:eastAsia="仿宋"/>
          <w:color w:val="0070C0"/>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规范文旅市场。</w:t>
      </w:r>
      <w:r>
        <w:rPr>
          <w:rFonts w:hint="eastAsia" w:ascii="仿宋" w:hAnsi="仿宋" w:eastAsia="仿宋" w:cs="楷体"/>
          <w:sz w:val="32"/>
          <w:szCs w:val="32"/>
        </w:rPr>
        <w:t>一</w:t>
      </w:r>
      <w:r>
        <w:rPr>
          <w:rFonts w:hint="eastAsia" w:ascii="仿宋" w:hAnsi="仿宋" w:eastAsia="仿宋"/>
          <w:b/>
          <w:bCs/>
          <w:sz w:val="32"/>
          <w:szCs w:val="32"/>
        </w:rPr>
        <w:t>是</w:t>
      </w:r>
      <w:r>
        <w:rPr>
          <w:rFonts w:hint="eastAsia" w:ascii="仿宋" w:hAnsi="仿宋" w:eastAsia="仿宋"/>
          <w:sz w:val="32"/>
          <w:szCs w:val="32"/>
        </w:rPr>
        <w:t>联合整治旅游通道。提升重要旅游干道沿线旅游环境， 建立常态化联合巡查机制，对重要旅游通道沿线、路口、区域进行严格管控，规范景区景点、高铁站、火车站及其周边旅游秩序，重点整治车辆非法运营、拉客揽客、围追兜售、车辆乱停乱放等违法违规行为。</w:t>
      </w:r>
      <w:r>
        <w:rPr>
          <w:rFonts w:hint="eastAsia" w:ascii="仿宋" w:hAnsi="仿宋" w:eastAsia="仿宋"/>
          <w:b/>
          <w:bCs/>
          <w:sz w:val="32"/>
          <w:szCs w:val="32"/>
        </w:rPr>
        <w:t>二是</w:t>
      </w:r>
      <w:r>
        <w:rPr>
          <w:rFonts w:hint="eastAsia" w:ascii="仿宋" w:hAnsi="仿宋" w:eastAsia="仿宋"/>
          <w:sz w:val="32"/>
          <w:szCs w:val="32"/>
        </w:rPr>
        <w:t>规范文旅市场。引导企业安全管理、诚信经营，游客文明旅游。全面规范旅游购物、旅游演艺场所经营行为，严查无证经营、虚假宣传、诱导消费等违法行为。</w:t>
      </w:r>
      <w:r>
        <w:rPr>
          <w:rFonts w:hint="eastAsia" w:ascii="仿宋" w:hAnsi="仿宋" w:eastAsia="仿宋"/>
          <w:b/>
          <w:bCs/>
          <w:sz w:val="32"/>
          <w:szCs w:val="32"/>
        </w:rPr>
        <w:t>三是</w:t>
      </w:r>
      <w:r>
        <w:rPr>
          <w:rFonts w:hint="eastAsia" w:ascii="仿宋" w:hAnsi="仿宋" w:eastAsia="仿宋"/>
          <w:sz w:val="32"/>
          <w:szCs w:val="32"/>
        </w:rPr>
        <w:t>处理文体旅投诉。对峨眉山市所辖文化体育旅游场所进行全覆盖的拉网式执法检查；共受理各类渠道文体旅投诉189起，投诉办结率100%。</w:t>
      </w: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开展营销推广。</w:t>
      </w:r>
      <w:r>
        <w:rPr>
          <w:rFonts w:hint="eastAsia" w:ascii="仿宋" w:hAnsi="仿宋" w:eastAsia="仿宋" w:cs="仿宋_GB2312"/>
          <w:b/>
          <w:bCs/>
          <w:sz w:val="32"/>
          <w:szCs w:val="32"/>
        </w:rPr>
        <w:t>一是</w:t>
      </w:r>
      <w:r>
        <w:rPr>
          <w:rFonts w:hint="eastAsia" w:ascii="仿宋" w:hAnsi="仿宋" w:eastAsia="仿宋" w:cs="仿宋_GB2312"/>
          <w:sz w:val="32"/>
          <w:szCs w:val="32"/>
        </w:rPr>
        <w:t>常态化线上宣传。推进官微、官博等官方宣传媒体运营工作，做好“中国旅游日”宣传推广工作，在微博连续开展旅游日二十四节气宣传；按照上级要求开展新媒体账号自查，主动关闭粉丝量少、内容质量不高的微信公众号《畅游峨眉》；不定期上传智游天府的旅游信息、点位照片、志愿活动等内容；与中国移动、联动、电信合作，做好节前游客提示短信、景区分流提示工作。</w:t>
      </w:r>
      <w:r>
        <w:rPr>
          <w:rFonts w:hint="eastAsia" w:ascii="仿宋" w:hAnsi="仿宋" w:eastAsia="仿宋" w:cs="仿宋_GB2312"/>
          <w:b/>
          <w:bCs/>
          <w:sz w:val="32"/>
          <w:szCs w:val="32"/>
        </w:rPr>
        <w:t>二是</w:t>
      </w:r>
      <w:r>
        <w:rPr>
          <w:rFonts w:hint="eastAsia" w:ascii="仿宋" w:hAnsi="仿宋" w:eastAsia="仿宋" w:cs="仿宋_GB2312"/>
          <w:sz w:val="32"/>
          <w:szCs w:val="32"/>
        </w:rPr>
        <w:t>配合乐山开展文旅全球营销成都站宣推活动系列推广宣传活动。牵头开展峨眉山市2022下半年“聚人气促复苏”文旅营销活动，先后举行峨眉山文旅营销成都、北京、郑州推介会（发布会）。</w:t>
      </w:r>
      <w:r>
        <w:rPr>
          <w:rFonts w:hint="eastAsia" w:ascii="仿宋" w:hAnsi="仿宋" w:eastAsia="仿宋" w:cs="仿宋_GB2312"/>
          <w:b/>
          <w:bCs/>
          <w:sz w:val="32"/>
          <w:szCs w:val="32"/>
        </w:rPr>
        <w:t>三是</w:t>
      </w:r>
      <w:r>
        <w:rPr>
          <w:rFonts w:hint="eastAsia" w:ascii="仿宋" w:hAnsi="仿宋" w:eastAsia="仿宋" w:cs="仿宋_GB2312"/>
          <w:sz w:val="32"/>
          <w:szCs w:val="32"/>
        </w:rPr>
        <w:t>举办“大峨眉”联盟文旅发展联盟（视频）工作推进会，做好联盟信息报送工作。</w:t>
      </w:r>
      <w:r>
        <w:rPr>
          <w:rFonts w:hint="eastAsia" w:ascii="仿宋" w:hAnsi="仿宋" w:eastAsia="仿宋" w:cs="仿宋_GB2312"/>
          <w:b/>
          <w:bCs/>
          <w:sz w:val="32"/>
          <w:szCs w:val="32"/>
        </w:rPr>
        <w:t>四是</w:t>
      </w:r>
      <w:r>
        <w:rPr>
          <w:rFonts w:hint="eastAsia" w:ascii="仿宋" w:hAnsi="仿宋" w:eastAsia="仿宋" w:cs="仿宋_GB2312"/>
          <w:sz w:val="32"/>
          <w:szCs w:val="32"/>
        </w:rPr>
        <w:t>在四川电视台录制了非遗贺新春峨眉武术并播出。牵头开展峨眉山市2022下半年“聚人气促复苏”文旅营销活动，先后在成都举行峨眉山文旅营销发布会，在北京、郑州举办文旅营销推介会。</w:t>
      </w:r>
      <w:r>
        <w:rPr>
          <w:rFonts w:hint="eastAsia" w:ascii="仿宋" w:hAnsi="仿宋" w:eastAsia="仿宋" w:cs="仿宋_GB2312"/>
          <w:b/>
          <w:bCs/>
          <w:sz w:val="32"/>
          <w:szCs w:val="32"/>
        </w:rPr>
        <w:t>五是</w:t>
      </w:r>
      <w:r>
        <w:rPr>
          <w:rFonts w:hint="eastAsia" w:ascii="仿宋" w:hAnsi="仿宋" w:eastAsia="仿宋" w:cs="仿宋_GB2312"/>
          <w:sz w:val="32"/>
          <w:szCs w:val="32"/>
        </w:rPr>
        <w:t>拍摄“文旅局长说文旅”峨眉宣传片，引发广泛转发讨论。</w:t>
      </w:r>
      <w:r>
        <w:rPr>
          <w:rFonts w:hint="eastAsia" w:ascii="仿宋" w:hAnsi="仿宋" w:eastAsia="仿宋" w:cs="仿宋_GB2312"/>
          <w:b/>
          <w:sz w:val="32"/>
          <w:szCs w:val="32"/>
        </w:rPr>
        <w:t>六是</w:t>
      </w:r>
      <w:r>
        <w:rPr>
          <w:rFonts w:hint="eastAsia" w:ascii="仿宋" w:hAnsi="仿宋" w:eastAsia="仿宋" w:cs="仿宋_GB2312"/>
          <w:sz w:val="32"/>
          <w:szCs w:val="32"/>
        </w:rPr>
        <w:t>协助乐山举办第九届四川国际旅游交易博览会。</w:t>
      </w:r>
    </w:p>
    <w:p>
      <w:pPr>
        <w:pStyle w:val="2"/>
        <w:spacing w:before="93"/>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做好非遗保护传承。</w:t>
      </w:r>
      <w:r>
        <w:rPr>
          <w:rFonts w:hint="eastAsia" w:ascii="仿宋" w:hAnsi="仿宋" w:eastAsia="仿宋" w:cs="仿宋_GB2312"/>
          <w:kern w:val="2"/>
          <w:sz w:val="32"/>
          <w:szCs w:val="32"/>
        </w:rPr>
        <w:t>开展各级申报，组织乐山市级项目参与第六批省级非遗项目申报，四川绿茶制作技艺（峨眉茶传统制作技艺）、峨眉扎染</w:t>
      </w:r>
      <w:r>
        <w:rPr>
          <w:rFonts w:hint="eastAsia" w:ascii="仿宋" w:hAnsi="仿宋" w:eastAsia="仿宋" w:cs="仿宋_GB2312"/>
          <w:sz w:val="32"/>
          <w:szCs w:val="32"/>
        </w:rPr>
        <w:t>传统技艺项目成功入围第六批省级非物质文化遗产代表性项目；成功申报乐山市第一批中华优秀传统文化传承基地4个；成功入选乐山十大非遗伴手礼2项、乐山十大非遗保护传承基地4个、乐山年度非遗人物3人、乐山精品非遗旅游线路1项。</w:t>
      </w:r>
    </w:p>
    <w:p>
      <w:pPr>
        <w:pStyle w:val="34"/>
        <w:ind w:left="0" w:leftChars="0" w:firstLine="640" w:firstLineChars="200"/>
        <w:rPr>
          <w:rFonts w:ascii="仿宋" w:hAnsi="仿宋" w:eastAsia="仿宋"/>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做好文物保护工作。强化文物安全保护巡查，每月对全市51处文保单位开展“四防”（防火、防盗、防破坏、防违建）等常规巡查，联合消防队开展专项联合检查，督促文物保护单位对存在的问题进行限期整改；持续推进文物保护单位责任人公示公告牌建设工作，今年已完成36处市、县保责任人公示公告牌前期制作，预计12月完成标志牌定点安装；完成拆楼圣堂保护维修一期工程进行竣工验收；正在积极推进祝家大院抢救性维修的设计工作。</w:t>
      </w:r>
    </w:p>
    <w:p>
      <w:pPr>
        <w:tabs>
          <w:tab w:val="left" w:pos="1282"/>
        </w:tabs>
        <w:spacing w:line="600" w:lineRule="exact"/>
        <w:ind w:firstLine="640" w:firstLineChars="200"/>
        <w:jc w:val="left"/>
        <w:rPr>
          <w:rFonts w:ascii="仿宋" w:hAnsi="仿宋" w:eastAsia="仿宋" w:cs="楷体"/>
          <w:sz w:val="32"/>
          <w:szCs w:val="32"/>
        </w:rPr>
      </w:pP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cs="楷体"/>
          <w:sz w:val="32"/>
          <w:szCs w:val="32"/>
        </w:rPr>
        <w:t>助推全市中心工作</w:t>
      </w: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开展乡村振兴工作。积极推荐高桥里成功创建乐山市级“农村家庭能人”培养实训基地，分别推荐马丽萍、万仕全为峨眉山市“农村家庭能人”和乡村旅游“技能型”代表</w:t>
      </w:r>
      <w:r>
        <w:rPr>
          <w:rFonts w:hint="eastAsia" w:ascii="仿宋" w:hAnsi="仿宋" w:eastAsia="仿宋" w:cs="黑体"/>
          <w:sz w:val="32"/>
          <w:szCs w:val="32"/>
        </w:rPr>
        <w:t>，成功推荐四川省乡村文化和旅游能人库中的古来茗心茶叶公司总经理王敏为四川省2022年度“突出贡献乡村文旅能人”。制定了峨眉山市“农村家庭能人”能人培训方案，开展了市级家庭能人培训第18期、第26期、第36期、第49期、第50期、第54期、第71期共计7期，培训农村家庭能人350余人。</w:t>
      </w:r>
      <w:r>
        <w:rPr>
          <w:rFonts w:hint="eastAsia" w:ascii="仿宋" w:hAnsi="仿宋" w:eastAsia="仿宋" w:cs="仿宋_GB2312"/>
          <w:sz w:val="32"/>
          <w:szCs w:val="32"/>
        </w:rPr>
        <w:t>持续巩固脱贫攻坚成果，我局共计帮扶脱贫户134户，帮扶干部每月坚持严格按照组织部要求开展入户走访。</w:t>
      </w:r>
    </w:p>
    <w:p>
      <w:pPr>
        <w:spacing w:line="600" w:lineRule="exact"/>
        <w:ind w:firstLine="640" w:firstLineChars="200"/>
        <w:rPr>
          <w:rFonts w:ascii="仿宋" w:hAnsi="仿宋" w:eastAsia="仿宋" w:cs="黑体"/>
          <w:sz w:val="32"/>
          <w:szCs w:val="32"/>
        </w:rPr>
      </w:pPr>
      <w:r>
        <w:rPr>
          <w:rFonts w:hint="eastAsia" w:ascii="仿宋" w:hAnsi="仿宋" w:eastAsia="仿宋" w:cs="仿宋_GB2312"/>
          <w:sz w:val="32"/>
          <w:szCs w:val="32"/>
          <w:lang w:val="en-US" w:eastAsia="zh-CN"/>
        </w:rPr>
        <w:t>(2)</w:t>
      </w:r>
      <w:r>
        <w:rPr>
          <w:rFonts w:hint="eastAsia" w:ascii="仿宋" w:hAnsi="仿宋" w:eastAsia="仿宋" w:cs="黑体"/>
          <w:sz w:val="32"/>
          <w:szCs w:val="32"/>
        </w:rPr>
        <w:t>推进“我为群众办实事‘百日攻坚’”第三产业帮扶队专项行动，并结合峨眉山市率先印发的《关于促进服务业领域困难行业恢复发展的若干措施》政策及相关细则，制定了工作方案，积极开展走访调研和政策宣讲，广泛宣传并发放我局印制的“峨眉山市文旅行业促进恢复发展政策明白卡”300余份，积极帮助企业纾难解困，为3家文旅小微企业办理享受优惠水费政策资格认定，为2家文旅企业办理服务业风险补偿金贷款180万元资格认定，为4家文旅市场主体办理服务业贷款贴息29908元。</w:t>
      </w:r>
    </w:p>
    <w:p>
      <w:pPr>
        <w:spacing w:line="600" w:lineRule="exact"/>
        <w:ind w:firstLine="640" w:firstLineChars="200"/>
        <w:jc w:val="left"/>
        <w:rPr>
          <w:rFonts w:ascii="仿宋" w:hAnsi="仿宋" w:eastAsia="仿宋" w:cs="仿宋_GB2312"/>
          <w:bCs/>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落实“双创工作”。</w:t>
      </w:r>
      <w:r>
        <w:rPr>
          <w:rFonts w:hint="eastAsia" w:ascii="仿宋" w:hAnsi="仿宋" w:eastAsia="仿宋" w:cs="仿宋_GB2312"/>
          <w:bCs/>
          <w:sz w:val="32"/>
          <w:szCs w:val="32"/>
        </w:rPr>
        <w:t>对责任片区进行环境卫生集中整治和文明秩序值守巡查；督促责任片区和行业内相关商家严格落实有关工作要求，对景区景点、星级酒店、网吧、文化场所进行突击巡查，督促整改落实；定时开展责任片区大扫除活动。</w:t>
      </w:r>
    </w:p>
    <w:p>
      <w:pPr>
        <w:spacing w:line="600" w:lineRule="exact"/>
        <w:ind w:firstLine="640" w:firstLineChars="200"/>
        <w:jc w:val="left"/>
        <w:rPr>
          <w:rFonts w:ascii="仿宋" w:hAnsi="仿宋" w:eastAsia="仿宋" w:cs="仿宋_GB2312"/>
          <w:bCs/>
          <w:sz w:val="32"/>
          <w:szCs w:val="32"/>
        </w:rPr>
      </w:pP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cs="楷体_GB2312"/>
          <w:bCs/>
          <w:sz w:val="32"/>
          <w:szCs w:val="32"/>
        </w:rPr>
        <w:t>完善惠民设施工程</w:t>
      </w:r>
    </w:p>
    <w:p>
      <w:pPr>
        <w:tabs>
          <w:tab w:val="center" w:pos="4153"/>
        </w:tabs>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 xml:space="preserve">认真做好农村广播村村响、电视户户通维护工作，确保农村广播村村响、电视户户通正常运行，截止目前已维修194个自然村260余次。成功申报应急广播体系建设和智慧广电建设项目。    </w:t>
      </w:r>
    </w:p>
    <w:p>
      <w:pPr>
        <w:tabs>
          <w:tab w:val="center" w:pos="4153"/>
        </w:tabs>
        <w:spacing w:line="600" w:lineRule="exact"/>
        <w:ind w:firstLine="640" w:firstLineChars="200"/>
        <w:rPr>
          <w:rFonts w:ascii="仿宋" w:hAnsi="仿宋" w:eastAsia="仿宋" w:cs="仿宋_GB2312"/>
          <w:bCs/>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做好两馆一站免费开放工作。举办美术、音乐、舞蹈、走秀等春季培训班5期约60节课。积极为全市各支文艺宣传队伍提供声乐、舞蹈等指导。开展乡镇综合文化站自查工作，针对存在问题进行整改，提升文化站服务效能。</w:t>
      </w:r>
      <w:r>
        <w:rPr>
          <w:rFonts w:hint="eastAsia" w:ascii="仿宋" w:hAnsi="仿宋" w:eastAsia="仿宋" w:cs="仿宋_GB2312"/>
          <w:bCs/>
          <w:sz w:val="32"/>
          <w:szCs w:val="32"/>
        </w:rPr>
        <w:t>完成全国公共图书馆第七次评估定级工作。完成国家公共文化服务体系示范区创新发展复核工作资料报送。</w:t>
      </w:r>
    </w:p>
    <w:p>
      <w:pPr>
        <w:tabs>
          <w:tab w:val="center" w:pos="4153"/>
        </w:tabs>
        <w:spacing w:line="600" w:lineRule="exact"/>
        <w:ind w:firstLine="640" w:firstLineChars="200"/>
        <w:rPr>
          <w:rFonts w:ascii="仿宋" w:hAnsi="仿宋" w:eastAsia="仿宋"/>
          <w:sz w:val="32"/>
          <w:szCs w:val="32"/>
        </w:rPr>
      </w:pPr>
      <w:r>
        <w:rPr>
          <w:rFonts w:hint="eastAsia" w:ascii="仿宋" w:hAnsi="仿宋" w:eastAsia="仿宋" w:cs="仿宋_GB2312"/>
          <w:sz w:val="32"/>
          <w:szCs w:val="32"/>
          <w:lang w:val="en-US" w:eastAsia="zh-CN"/>
        </w:rPr>
        <w:t>(3)</w:t>
      </w:r>
      <w:r>
        <w:rPr>
          <w:rFonts w:hint="eastAsia" w:ascii="仿宋" w:hAnsi="仿宋" w:eastAsia="仿宋"/>
          <w:sz w:val="32"/>
          <w:szCs w:val="32"/>
        </w:rPr>
        <w:t>做好体育馆免费开放，提供羽毛球、乒乓球、气排球、武术等项目。完成全市体育场地普查工作，人均面积达2.31</w:t>
      </w:r>
      <w:r>
        <w:rPr>
          <w:rFonts w:hint="eastAsia" w:ascii="仿宋" w:hAnsi="仿宋" w:eastAsia="仿宋" w:cs="宋体"/>
          <w:sz w:val="32"/>
          <w:szCs w:val="32"/>
        </w:rPr>
        <w:t>㎡。</w:t>
      </w:r>
      <w:r>
        <w:rPr>
          <w:rFonts w:hint="eastAsia" w:ascii="仿宋" w:hAnsi="仿宋" w:eastAsia="仿宋"/>
          <w:sz w:val="32"/>
          <w:szCs w:val="32"/>
        </w:rPr>
        <w:t>绥山太泉全民健身运动场和峨山街道全民健身运动场主体已完成，预计十二月下旬完成建设。</w:t>
      </w:r>
    </w:p>
    <w:p>
      <w:pPr>
        <w:pStyle w:val="4"/>
        <w:rPr>
          <w:rStyle w:val="28"/>
          <w:b w:val="0"/>
          <w:bCs w:val="0"/>
          <w:highlight w:val="none"/>
        </w:rPr>
      </w:pPr>
      <w:bookmarkStart w:id="14" w:name="_Toc15396601"/>
      <w:bookmarkStart w:id="15" w:name="_Toc15377200"/>
      <w:r>
        <w:rPr>
          <w:rFonts w:hint="eastAsia" w:ascii="黑体" w:eastAsia="黑体"/>
          <w:b w:val="0"/>
          <w:highlight w:val="none"/>
        </w:rPr>
        <w:t>二、</w:t>
      </w:r>
      <w:r>
        <w:rPr>
          <w:rFonts w:hint="eastAsia" w:ascii="黑体" w:hAnsi="黑体" w:eastAsia="黑体"/>
          <w:b w:val="0"/>
          <w:highlight w:val="none"/>
        </w:rPr>
        <w:t>机</w:t>
      </w:r>
      <w:r>
        <w:rPr>
          <w:rStyle w:val="28"/>
          <w:rFonts w:hint="eastAsia" w:ascii="黑体" w:hAnsi="黑体" w:eastAsia="黑体"/>
          <w:b w:val="0"/>
          <w:bCs w:val="0"/>
          <w:highlight w:val="none"/>
        </w:rPr>
        <w:t>构设置</w:t>
      </w:r>
      <w:bookmarkEnd w:id="14"/>
      <w:bookmarkEnd w:id="15"/>
    </w:p>
    <w:p>
      <w:pPr>
        <w:ind w:firstLine="800" w:firstLineChars="250"/>
        <w:rPr>
          <w:rFonts w:ascii="仿宋" w:hAnsi="仿宋" w:eastAsia="仿宋"/>
          <w:sz w:val="32"/>
          <w:szCs w:val="32"/>
        </w:rPr>
      </w:pPr>
      <w:r>
        <w:rPr>
          <w:rFonts w:hint="eastAsia" w:ascii="仿宋" w:hAnsi="仿宋" w:eastAsia="仿宋"/>
          <w:sz w:val="32"/>
          <w:szCs w:val="32"/>
        </w:rPr>
        <w:t>峨眉山市文化体育和旅游局下属二级预算单位</w:t>
      </w:r>
      <w:r>
        <w:rPr>
          <w:rFonts w:ascii="仿宋" w:hAnsi="仿宋" w:eastAsia="仿宋"/>
          <w:sz w:val="32"/>
          <w:szCs w:val="32"/>
        </w:rPr>
        <w:t>6</w:t>
      </w:r>
      <w:r>
        <w:rPr>
          <w:rFonts w:hint="eastAsia" w:ascii="仿宋" w:hAnsi="仿宋" w:eastAsia="仿宋"/>
          <w:sz w:val="32"/>
          <w:szCs w:val="32"/>
        </w:rPr>
        <w:t>个，其中行政单位</w:t>
      </w:r>
      <w:r>
        <w:rPr>
          <w:rFonts w:ascii="仿宋" w:hAnsi="仿宋" w:eastAsia="仿宋"/>
          <w:sz w:val="32"/>
          <w:szCs w:val="32"/>
        </w:rPr>
        <w:t>1</w:t>
      </w:r>
      <w:r>
        <w:rPr>
          <w:rFonts w:hint="eastAsia" w:ascii="仿宋" w:hAnsi="仿宋" w:eastAsia="仿宋"/>
          <w:sz w:val="32"/>
          <w:szCs w:val="32"/>
        </w:rPr>
        <w:t>个，参照公务员法管理的事业单位</w:t>
      </w:r>
      <w:r>
        <w:rPr>
          <w:rFonts w:ascii="仿宋" w:hAnsi="仿宋" w:eastAsia="仿宋"/>
          <w:bCs/>
          <w:sz w:val="32"/>
          <w:szCs w:val="32"/>
        </w:rPr>
        <w:t>1</w:t>
      </w:r>
      <w:r>
        <w:rPr>
          <w:rFonts w:hint="eastAsia" w:ascii="仿宋" w:hAnsi="仿宋" w:eastAsia="仿宋"/>
          <w:sz w:val="32"/>
          <w:szCs w:val="32"/>
        </w:rPr>
        <w:t>个，其他事业单位</w:t>
      </w:r>
      <w:r>
        <w:rPr>
          <w:rFonts w:ascii="仿宋" w:hAnsi="仿宋" w:eastAsia="仿宋"/>
          <w:sz w:val="32"/>
          <w:szCs w:val="32"/>
        </w:rPr>
        <w:t>4</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纳入峨眉山市文化体育和旅游局2022年度部门决算编制范围的二级预算单位包括：</w:t>
      </w:r>
    </w:p>
    <w:p>
      <w:pPr>
        <w:pStyle w:val="2"/>
        <w:numPr>
          <w:numId w:val="0"/>
        </w:numPr>
        <w:adjustRightInd w:val="0"/>
        <w:snapToGrid w:val="0"/>
        <w:spacing w:before="93" w:line="600" w:lineRule="exact"/>
        <w:ind w:left="672" w:leftChars="0"/>
        <w:outlineLvl w:val="2"/>
        <w:rPr>
          <w:rFonts w:ascii="仿宋" w:hAnsi="仿宋" w:eastAsia="仿宋"/>
          <w:sz w:val="32"/>
          <w:szCs w:val="32"/>
        </w:rPr>
      </w:pPr>
      <w:bookmarkStart w:id="16" w:name="_Toc15377202"/>
      <w:bookmarkStart w:id="17" w:name="_Toc15306276"/>
      <w:bookmarkStart w:id="18" w:name="_Toc15377433"/>
      <w:bookmarkStart w:id="19" w:name="_Toc15378449"/>
      <w:r>
        <w:rPr>
          <w:rFonts w:hint="eastAsia" w:ascii="仿宋" w:hAnsi="仿宋" w:eastAsia="仿宋"/>
          <w:sz w:val="32"/>
          <w:szCs w:val="32"/>
          <w:lang w:val="en-US" w:eastAsia="zh-CN"/>
        </w:rPr>
        <w:t>(一)</w:t>
      </w:r>
      <w:r>
        <w:rPr>
          <w:rFonts w:hint="eastAsia" w:ascii="仿宋" w:hAnsi="仿宋" w:eastAsia="仿宋"/>
          <w:sz w:val="32"/>
          <w:szCs w:val="32"/>
        </w:rPr>
        <w:t>峨眉山市文化体育和旅游局（本级）</w:t>
      </w:r>
      <w:bookmarkEnd w:id="16"/>
      <w:bookmarkEnd w:id="17"/>
      <w:bookmarkEnd w:id="18"/>
      <w:bookmarkEnd w:id="19"/>
    </w:p>
    <w:p>
      <w:pPr>
        <w:pStyle w:val="2"/>
        <w:numPr>
          <w:numId w:val="0"/>
        </w:numPr>
        <w:adjustRightInd w:val="0"/>
        <w:snapToGrid w:val="0"/>
        <w:spacing w:before="93" w:line="600" w:lineRule="exact"/>
        <w:ind w:left="672" w:leftChars="0"/>
        <w:outlineLvl w:val="2"/>
        <w:rPr>
          <w:rFonts w:ascii="仿宋" w:hAnsi="仿宋" w:eastAsia="仿宋"/>
          <w:sz w:val="32"/>
          <w:szCs w:val="32"/>
        </w:rPr>
      </w:pPr>
      <w:bookmarkStart w:id="20" w:name="_Toc15377203"/>
      <w:bookmarkStart w:id="21" w:name="_Toc15306277"/>
      <w:bookmarkStart w:id="22" w:name="_Toc15377434"/>
      <w:bookmarkStart w:id="23" w:name="_Toc15378450"/>
      <w:r>
        <w:rPr>
          <w:rFonts w:hint="eastAsia" w:ascii="仿宋" w:hAnsi="仿宋" w:eastAsia="仿宋"/>
          <w:sz w:val="32"/>
          <w:szCs w:val="32"/>
          <w:lang w:val="en-US" w:eastAsia="zh-CN"/>
        </w:rPr>
        <w:t>(二)</w:t>
      </w:r>
      <w:r>
        <w:rPr>
          <w:rFonts w:hint="eastAsia"/>
          <w:color w:val="000000"/>
          <w:sz w:val="32"/>
          <w:szCs w:val="32"/>
        </w:rPr>
        <w:t>峨眉山市文化旅游和度假服务中心</w:t>
      </w:r>
      <w:bookmarkEnd w:id="20"/>
      <w:bookmarkEnd w:id="21"/>
      <w:bookmarkEnd w:id="22"/>
      <w:bookmarkEnd w:id="23"/>
    </w:p>
    <w:p>
      <w:pPr>
        <w:pStyle w:val="2"/>
        <w:numPr>
          <w:numId w:val="0"/>
        </w:numPr>
        <w:adjustRightInd w:val="0"/>
        <w:snapToGrid w:val="0"/>
        <w:spacing w:before="93" w:line="600" w:lineRule="exact"/>
        <w:ind w:left="672" w:leftChars="0"/>
        <w:outlineLvl w:val="2"/>
        <w:rPr>
          <w:rFonts w:ascii="仿宋" w:hAnsi="仿宋" w:eastAsia="仿宋"/>
          <w:sz w:val="32"/>
          <w:szCs w:val="32"/>
        </w:rPr>
      </w:pPr>
      <w:r>
        <w:rPr>
          <w:rFonts w:hint="eastAsia" w:ascii="仿宋" w:hAnsi="仿宋" w:eastAsia="仿宋"/>
          <w:sz w:val="32"/>
          <w:szCs w:val="32"/>
          <w:lang w:val="en-US" w:eastAsia="zh-CN"/>
        </w:rPr>
        <w:t>(三)</w:t>
      </w:r>
      <w:r>
        <w:rPr>
          <w:rFonts w:hint="eastAsia"/>
          <w:color w:val="000000"/>
          <w:sz w:val="32"/>
          <w:szCs w:val="32"/>
        </w:rPr>
        <w:t>峨眉山市文化馆</w:t>
      </w:r>
    </w:p>
    <w:p>
      <w:pPr>
        <w:pStyle w:val="2"/>
        <w:numPr>
          <w:numId w:val="0"/>
        </w:numPr>
        <w:adjustRightInd w:val="0"/>
        <w:snapToGrid w:val="0"/>
        <w:spacing w:before="93" w:line="600" w:lineRule="exact"/>
        <w:ind w:left="672" w:leftChars="0"/>
        <w:outlineLvl w:val="2"/>
        <w:rPr>
          <w:rFonts w:ascii="仿宋" w:hAnsi="仿宋" w:eastAsia="仿宋"/>
          <w:sz w:val="32"/>
          <w:szCs w:val="32"/>
        </w:rPr>
      </w:pPr>
      <w:r>
        <w:rPr>
          <w:rFonts w:hint="eastAsia" w:ascii="仿宋" w:hAnsi="仿宋" w:eastAsia="仿宋"/>
          <w:sz w:val="32"/>
          <w:szCs w:val="32"/>
          <w:lang w:val="en-US" w:eastAsia="zh-CN"/>
        </w:rPr>
        <w:t>(四)</w:t>
      </w:r>
      <w:r>
        <w:rPr>
          <w:rFonts w:hint="eastAsia"/>
          <w:color w:val="000000"/>
          <w:sz w:val="32"/>
          <w:szCs w:val="32"/>
        </w:rPr>
        <w:t>峨眉山市图书馆</w:t>
      </w:r>
    </w:p>
    <w:p>
      <w:pPr>
        <w:pStyle w:val="2"/>
        <w:numPr>
          <w:numId w:val="0"/>
        </w:numPr>
        <w:adjustRightInd w:val="0"/>
        <w:snapToGrid w:val="0"/>
        <w:spacing w:before="93" w:line="600" w:lineRule="exact"/>
        <w:ind w:left="672" w:leftChars="0"/>
        <w:outlineLvl w:val="2"/>
        <w:rPr>
          <w:rFonts w:ascii="仿宋" w:hAnsi="仿宋" w:eastAsia="仿宋"/>
          <w:sz w:val="32"/>
          <w:szCs w:val="32"/>
        </w:rPr>
      </w:pPr>
      <w:r>
        <w:rPr>
          <w:rFonts w:hint="eastAsia" w:ascii="仿宋" w:hAnsi="仿宋" w:eastAsia="仿宋"/>
          <w:sz w:val="32"/>
          <w:szCs w:val="32"/>
          <w:lang w:val="en-US" w:eastAsia="zh-CN"/>
        </w:rPr>
        <w:t>(五)</w:t>
      </w:r>
      <w:r>
        <w:rPr>
          <w:rFonts w:hint="eastAsia"/>
          <w:color w:val="000000"/>
          <w:sz w:val="32"/>
          <w:szCs w:val="32"/>
        </w:rPr>
        <w:t>峨眉山市博物馆</w:t>
      </w:r>
    </w:p>
    <w:p>
      <w:pPr>
        <w:pStyle w:val="2"/>
        <w:numPr>
          <w:numId w:val="0"/>
        </w:numPr>
        <w:adjustRightInd w:val="0"/>
        <w:snapToGrid w:val="0"/>
        <w:spacing w:before="93" w:line="600" w:lineRule="exact"/>
        <w:ind w:left="672" w:leftChars="0"/>
        <w:outlineLvl w:val="2"/>
        <w:rPr>
          <w:rFonts w:ascii="仿宋" w:hAnsi="仿宋" w:eastAsia="仿宋"/>
          <w:sz w:val="32"/>
          <w:szCs w:val="32"/>
        </w:rPr>
      </w:pPr>
      <w:r>
        <w:rPr>
          <w:rFonts w:hint="eastAsia" w:ascii="仿宋" w:hAnsi="仿宋" w:eastAsia="仿宋"/>
          <w:sz w:val="32"/>
          <w:szCs w:val="32"/>
          <w:lang w:val="en-US" w:eastAsia="zh-CN"/>
        </w:rPr>
        <w:t>(六)</w:t>
      </w:r>
      <w:r>
        <w:rPr>
          <w:rFonts w:hint="eastAsia"/>
          <w:color w:val="000000"/>
          <w:sz w:val="32"/>
          <w:szCs w:val="32"/>
        </w:rPr>
        <w:t>峨眉山市体育发展中心</w:t>
      </w:r>
      <w:r>
        <w:rPr>
          <w:rFonts w:ascii="仿宋" w:hAnsi="仿宋" w:eastAsia="仿宋"/>
          <w:sz w:val="32"/>
          <w:szCs w:val="32"/>
        </w:rPr>
        <w:br w:type="page"/>
      </w:r>
    </w:p>
    <w:p>
      <w:pPr>
        <w:pStyle w:val="3"/>
        <w:ind w:right="440"/>
        <w:jc w:val="center"/>
        <w:rPr>
          <w:rStyle w:val="27"/>
          <w:rFonts w:ascii="黑体" w:hAnsi="黑体" w:eastAsia="黑体"/>
          <w:b w:val="0"/>
          <w:bCs/>
        </w:rPr>
      </w:pPr>
      <w:bookmarkStart w:id="24" w:name="_Toc15396602"/>
      <w:bookmarkStart w:id="25" w:name="_Toc15377204"/>
      <w:r>
        <w:rPr>
          <w:rFonts w:hint="eastAsia" w:ascii="黑体" w:hAnsi="黑体" w:eastAsia="黑体"/>
          <w:b w:val="0"/>
        </w:rPr>
        <w:t>第二部分 2022年度</w:t>
      </w:r>
      <w:r>
        <w:rPr>
          <w:rStyle w:val="27"/>
          <w:rFonts w:hint="eastAsia" w:ascii="黑体" w:hAnsi="黑体" w:eastAsia="黑体"/>
          <w:b w:val="0"/>
          <w:bCs/>
        </w:rPr>
        <w:t>部门决算情况说明</w:t>
      </w:r>
      <w:bookmarkEnd w:id="24"/>
      <w:bookmarkEnd w:id="25"/>
    </w:p>
    <w:p/>
    <w:p>
      <w:pPr>
        <w:pStyle w:val="26"/>
        <w:numPr>
          <w:ilvl w:val="0"/>
          <w:numId w:val="2"/>
        </w:numPr>
        <w:spacing w:line="600" w:lineRule="exact"/>
        <w:ind w:firstLineChars="0"/>
        <w:outlineLvl w:val="1"/>
        <w:rPr>
          <w:rStyle w:val="28"/>
          <w:rFonts w:ascii="黑体" w:hAnsi="黑体" w:eastAsia="黑体"/>
          <w:b w:val="0"/>
        </w:rPr>
      </w:pPr>
      <w:bookmarkStart w:id="26" w:name="_Toc15396603"/>
      <w:bookmarkStart w:id="27"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15831.51</w:t>
      </w:r>
      <w:r>
        <w:rPr>
          <w:rFonts w:hint="eastAsia" w:ascii="仿宋" w:hAnsi="仿宋" w:eastAsia="仿宋"/>
          <w:sz w:val="32"/>
          <w:szCs w:val="32"/>
        </w:rPr>
        <w:t>万元。与2021年相比，收、支总计各减少</w:t>
      </w:r>
      <w:r>
        <w:rPr>
          <w:rFonts w:ascii="仿宋" w:hAnsi="仿宋" w:eastAsia="仿宋"/>
          <w:sz w:val="32"/>
          <w:szCs w:val="32"/>
        </w:rPr>
        <w:t>9295.74</w:t>
      </w:r>
      <w:r>
        <w:rPr>
          <w:rFonts w:hint="eastAsia" w:ascii="仿宋" w:hAnsi="仿宋" w:eastAsia="仿宋"/>
          <w:sz w:val="32"/>
          <w:szCs w:val="32"/>
        </w:rPr>
        <w:t>万元，下降</w:t>
      </w:r>
      <w:r>
        <w:rPr>
          <w:rFonts w:ascii="仿宋" w:hAnsi="仿宋" w:eastAsia="仿宋"/>
          <w:sz w:val="32"/>
          <w:szCs w:val="32"/>
        </w:rPr>
        <w:t>36.99%</w:t>
      </w:r>
      <w:r>
        <w:rPr>
          <w:rFonts w:hint="eastAsia" w:ascii="仿宋" w:hAnsi="仿宋" w:eastAsia="仿宋"/>
          <w:sz w:val="32"/>
          <w:szCs w:val="32"/>
        </w:rPr>
        <w:t>。主要变动原因是项目减少，人员减少。</w:t>
      </w:r>
    </w:p>
    <w:p>
      <w:pPr>
        <w:pStyle w:val="2"/>
        <w:spacing w:before="93"/>
      </w:pPr>
      <w:r>
        <w:drawing>
          <wp:inline distT="0" distB="0" distL="0" distR="0">
            <wp:extent cx="5658485" cy="4817110"/>
            <wp:effectExtent l="0" t="0" r="0" b="2540"/>
            <wp:docPr id="8" name="图片 8" descr="C:\Users\Administrator\Desktop\定期要删除的临时资料\微信\WeChat Files\wxid_1y4uycj7qfjk21\FileStorage\Temp\1701266499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定期要删除的临时资料\微信\WeChat Files\wxid_1y4uycj7qfjk21\FileStorage\Temp\17012664994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68459" cy="4825222"/>
                    </a:xfrm>
                    <a:prstGeom prst="rect">
                      <a:avLst/>
                    </a:prstGeom>
                    <a:noFill/>
                    <a:ln>
                      <a:noFill/>
                    </a:ln>
                  </pic:spPr>
                </pic:pic>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pPr>
    </w:p>
    <w:p>
      <w:pPr>
        <w:pStyle w:val="26"/>
        <w:numPr>
          <w:ilvl w:val="0"/>
          <w:numId w:val="2"/>
        </w:numPr>
        <w:spacing w:line="600" w:lineRule="exact"/>
        <w:ind w:firstLineChars="0"/>
        <w:outlineLvl w:val="1"/>
        <w:rPr>
          <w:rStyle w:val="28"/>
          <w:rFonts w:ascii="黑体" w:hAnsi="黑体" w:eastAsia="黑体"/>
          <w:b w:val="0"/>
        </w:rPr>
      </w:pPr>
      <w:bookmarkStart w:id="28" w:name="_Toc15377206"/>
      <w:bookmarkStart w:id="29" w:name="_Toc15396604"/>
      <w:r>
        <w:rPr>
          <w:rFonts w:hint="eastAsia" w:ascii="黑体" w:hAnsi="黑体" w:eastAsia="黑体"/>
          <w:sz w:val="32"/>
          <w:szCs w:val="32"/>
        </w:rPr>
        <w:t>收</w:t>
      </w:r>
      <w:r>
        <w:rPr>
          <w:rStyle w:val="28"/>
          <w:rFonts w:hint="eastAsia" w:ascii="黑体" w:hAnsi="黑体" w:eastAsia="黑体"/>
          <w:b w:val="0"/>
        </w:rPr>
        <w:t>入决算情况说明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3584.06</w:t>
      </w:r>
      <w:r>
        <w:rPr>
          <w:rFonts w:hint="eastAsia" w:ascii="仿宋" w:hAnsi="仿宋" w:eastAsia="仿宋"/>
          <w:sz w:val="32"/>
          <w:szCs w:val="32"/>
        </w:rPr>
        <w:t>万元，其中：一般公共预算财政拨款收入</w:t>
      </w:r>
      <w:r>
        <w:rPr>
          <w:rFonts w:ascii="仿宋" w:hAnsi="仿宋" w:eastAsia="仿宋"/>
          <w:sz w:val="32"/>
          <w:szCs w:val="32"/>
        </w:rPr>
        <w:t>2132.06</w:t>
      </w:r>
      <w:r>
        <w:rPr>
          <w:rFonts w:hint="eastAsia" w:ascii="仿宋" w:hAnsi="仿宋" w:eastAsia="仿宋"/>
          <w:sz w:val="32"/>
          <w:szCs w:val="32"/>
        </w:rPr>
        <w:t>万元，占</w:t>
      </w:r>
      <w:r>
        <w:rPr>
          <w:rFonts w:ascii="仿宋" w:hAnsi="仿宋" w:eastAsia="仿宋"/>
          <w:sz w:val="32"/>
          <w:szCs w:val="32"/>
        </w:rPr>
        <w:t>59.49%</w:t>
      </w:r>
      <w:r>
        <w:rPr>
          <w:rFonts w:hint="eastAsia" w:ascii="仿宋" w:hAnsi="仿宋" w:eastAsia="仿宋"/>
          <w:sz w:val="32"/>
          <w:szCs w:val="32"/>
        </w:rPr>
        <w:t>；政府性基金预算财政拨款收入</w:t>
      </w:r>
      <w:r>
        <w:rPr>
          <w:rFonts w:ascii="仿宋" w:hAnsi="仿宋" w:eastAsia="仿宋"/>
          <w:sz w:val="32"/>
          <w:szCs w:val="32"/>
        </w:rPr>
        <w:t>1452</w:t>
      </w:r>
      <w:r>
        <w:rPr>
          <w:rFonts w:hint="eastAsia" w:ascii="仿宋" w:hAnsi="仿宋" w:eastAsia="仿宋"/>
          <w:sz w:val="32"/>
          <w:szCs w:val="32"/>
        </w:rPr>
        <w:t>万元，占</w:t>
      </w:r>
      <w:r>
        <w:rPr>
          <w:rFonts w:ascii="仿宋" w:hAnsi="仿宋" w:eastAsia="仿宋"/>
          <w:sz w:val="32"/>
          <w:szCs w:val="32"/>
        </w:rPr>
        <w:t>40.51%</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pStyle w:val="2"/>
        <w:spacing w:before="93"/>
      </w:pPr>
      <w:r>
        <w:drawing>
          <wp:inline distT="0" distB="0" distL="0" distR="0">
            <wp:extent cx="5632450" cy="4207510"/>
            <wp:effectExtent l="0" t="0" r="6350" b="2540"/>
            <wp:docPr id="9" name="图片 9" descr="C:\Users\Administrator\Desktop\定期要删除的临时资料\微信\WeChat Files\wxid_1y4uycj7qfjk21\FileStorage\Temp\1701266574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定期要删除的临时资料\微信\WeChat Files\wxid_1y4uycj7qfjk21\FileStorage\Temp\17012665741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38857" cy="4211848"/>
                    </a:xfrm>
                    <a:prstGeom prst="rect">
                      <a:avLst/>
                    </a:prstGeom>
                    <a:noFill/>
                    <a:ln>
                      <a:noFill/>
                    </a:ln>
                  </pic:spPr>
                </pic:pic>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30" w:name="_Toc15377207"/>
      <w:bookmarkStart w:id="31" w:name="_Toc15396605"/>
      <w:r>
        <w:rPr>
          <w:rFonts w:hint="eastAsia" w:ascii="黑体" w:hAnsi="黑体" w:eastAsia="黑体"/>
          <w:sz w:val="32"/>
          <w:szCs w:val="32"/>
        </w:rPr>
        <w:t>支</w:t>
      </w:r>
      <w:r>
        <w:rPr>
          <w:rStyle w:val="28"/>
          <w:rFonts w:hint="eastAsia" w:ascii="黑体" w:hAnsi="黑体" w:eastAsia="黑体"/>
          <w:b w:val="0"/>
        </w:rPr>
        <w:t>出决算情况说明</w:t>
      </w:r>
      <w:bookmarkEnd w:id="30"/>
      <w:bookmarkEnd w:id="3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15670.13</w:t>
      </w:r>
      <w:r>
        <w:rPr>
          <w:rFonts w:hint="eastAsia" w:ascii="仿宋" w:hAnsi="仿宋" w:eastAsia="仿宋"/>
          <w:sz w:val="32"/>
          <w:szCs w:val="32"/>
        </w:rPr>
        <w:t>万元，其中：基本支出</w:t>
      </w:r>
      <w:r>
        <w:rPr>
          <w:rFonts w:ascii="仿宋" w:hAnsi="仿宋" w:eastAsia="仿宋"/>
          <w:sz w:val="32"/>
          <w:szCs w:val="32"/>
        </w:rPr>
        <w:t>1328.97</w:t>
      </w:r>
      <w:r>
        <w:rPr>
          <w:rFonts w:hint="eastAsia" w:ascii="仿宋" w:hAnsi="仿宋" w:eastAsia="仿宋"/>
          <w:sz w:val="32"/>
          <w:szCs w:val="32"/>
        </w:rPr>
        <w:t>万元，占</w:t>
      </w:r>
      <w:r>
        <w:rPr>
          <w:rFonts w:ascii="仿宋" w:hAnsi="仿宋" w:eastAsia="仿宋"/>
          <w:sz w:val="32"/>
          <w:szCs w:val="32"/>
        </w:rPr>
        <w:t>8.48%</w:t>
      </w:r>
      <w:r>
        <w:rPr>
          <w:rFonts w:hint="eastAsia" w:ascii="仿宋" w:hAnsi="仿宋" w:eastAsia="仿宋"/>
          <w:sz w:val="32"/>
          <w:szCs w:val="32"/>
        </w:rPr>
        <w:t>；项目支出</w:t>
      </w:r>
      <w:r>
        <w:rPr>
          <w:rFonts w:ascii="仿宋" w:hAnsi="仿宋" w:eastAsia="仿宋"/>
          <w:sz w:val="32"/>
          <w:szCs w:val="32"/>
        </w:rPr>
        <w:t>14341.16</w:t>
      </w:r>
      <w:r>
        <w:rPr>
          <w:rFonts w:hint="eastAsia" w:ascii="仿宋" w:hAnsi="仿宋" w:eastAsia="仿宋"/>
          <w:sz w:val="32"/>
          <w:szCs w:val="32"/>
        </w:rPr>
        <w:t>万元，占</w:t>
      </w:r>
      <w:r>
        <w:rPr>
          <w:rFonts w:ascii="仿宋" w:hAnsi="仿宋" w:eastAsia="仿宋"/>
          <w:sz w:val="32"/>
          <w:szCs w:val="32"/>
        </w:rPr>
        <w:t>91.52%</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pStyle w:val="2"/>
        <w:spacing w:before="93"/>
        <w:ind w:firstLine="300" w:firstLineChars="100"/>
      </w:pPr>
      <w:r>
        <w:drawing>
          <wp:inline distT="0" distB="0" distL="0" distR="0">
            <wp:extent cx="5274310" cy="4164330"/>
            <wp:effectExtent l="0" t="0" r="2540" b="7620"/>
            <wp:docPr id="10" name="图片 10" descr="C:\Users\Administrator\Desktop\定期要删除的临时资料\微信\WeChat Files\wxid_1y4uycj7qfjk21\FileStorage\Temp\1701266663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定期要删除的临时资料\微信\WeChat Files\wxid_1y4uycj7qfjk21\FileStorage\Temp\17012666635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4164789"/>
                    </a:xfrm>
                    <a:prstGeom prst="rect">
                      <a:avLst/>
                    </a:prstGeom>
                    <a:noFill/>
                    <a:ln>
                      <a:noFill/>
                    </a:ln>
                  </pic:spPr>
                </pic:pic>
              </a:graphicData>
            </a:graphic>
          </wp:inline>
        </w:drawing>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32" w:name="_Toc15396606"/>
      <w:bookmarkStart w:id="33"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2"/>
      <w:bookmarkEnd w:id="3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15680.78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9220.34</w:t>
      </w:r>
      <w:r>
        <w:rPr>
          <w:rFonts w:hint="eastAsia" w:ascii="仿宋" w:hAnsi="仿宋" w:eastAsia="仿宋"/>
          <w:sz w:val="32"/>
          <w:szCs w:val="32"/>
        </w:rPr>
        <w:t>万元，下降</w:t>
      </w:r>
      <w:r>
        <w:rPr>
          <w:rFonts w:ascii="仿宋" w:hAnsi="仿宋" w:eastAsia="仿宋"/>
          <w:sz w:val="32"/>
          <w:szCs w:val="32"/>
        </w:rPr>
        <w:t>37.03%</w:t>
      </w:r>
      <w:r>
        <w:rPr>
          <w:rFonts w:hint="eastAsia" w:ascii="仿宋" w:hAnsi="仿宋" w:eastAsia="仿宋"/>
          <w:sz w:val="32"/>
          <w:szCs w:val="32"/>
        </w:rPr>
        <w:t>。主要变动原因是项目减少，人员减少。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spacing w:before="93"/>
      </w:pPr>
      <w:r>
        <w:drawing>
          <wp:inline distT="0" distB="0" distL="0" distR="0">
            <wp:extent cx="5443220" cy="4925060"/>
            <wp:effectExtent l="0" t="0" r="5080" b="8890"/>
            <wp:docPr id="11" name="图片 11" descr="C:\Users\Administrator\Desktop\定期要删除的临时资料\微信\WeChat Files\wxid_1y4uycj7qfjk21\FileStorage\Temp\1701266751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定期要删除的临时资料\微信\WeChat Files\wxid_1y4uycj7qfjk21\FileStorage\Temp\170126675136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45808" cy="4927358"/>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34" w:name="_Toc15377209"/>
      <w:bookmarkStart w:id="35"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4"/>
      <w:bookmarkEnd w:id="35"/>
    </w:p>
    <w:p>
      <w:pPr>
        <w:spacing w:line="600" w:lineRule="exact"/>
        <w:ind w:firstLine="643" w:firstLineChars="200"/>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2270.42</w:t>
      </w:r>
      <w:r>
        <w:rPr>
          <w:rFonts w:hint="eastAsia" w:ascii="仿宋" w:hAnsi="仿宋" w:eastAsia="仿宋"/>
          <w:sz w:val="32"/>
          <w:szCs w:val="32"/>
        </w:rPr>
        <w:t>万元，占本年支出合计的</w:t>
      </w:r>
      <w:r>
        <w:rPr>
          <w:rFonts w:ascii="仿宋" w:hAnsi="仿宋" w:eastAsia="仿宋"/>
          <w:sz w:val="32"/>
          <w:szCs w:val="32"/>
        </w:rPr>
        <w:t>14.49%</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307.17</w:t>
      </w:r>
      <w:r>
        <w:rPr>
          <w:rFonts w:hint="eastAsia" w:ascii="仿宋" w:hAnsi="仿宋" w:eastAsia="仿宋"/>
          <w:sz w:val="32"/>
          <w:szCs w:val="32"/>
        </w:rPr>
        <w:t>万元，增长</w:t>
      </w:r>
      <w:r>
        <w:rPr>
          <w:rFonts w:ascii="仿宋" w:hAnsi="仿宋" w:eastAsia="仿宋"/>
          <w:sz w:val="32"/>
          <w:szCs w:val="32"/>
        </w:rPr>
        <w:t>15.65%</w:t>
      </w:r>
      <w:r>
        <w:rPr>
          <w:rFonts w:hint="eastAsia" w:ascii="仿宋" w:hAnsi="仿宋" w:eastAsia="仿宋"/>
          <w:sz w:val="32"/>
          <w:szCs w:val="32"/>
        </w:rPr>
        <w:t>。主要变动原因是新增公共预算财政拨款项目，支出增加。</w:t>
      </w:r>
    </w:p>
    <w:p>
      <w:pPr>
        <w:pStyle w:val="2"/>
        <w:spacing w:before="93"/>
      </w:pPr>
      <w:r>
        <w:drawing>
          <wp:inline distT="0" distB="0" distL="0" distR="0">
            <wp:extent cx="5330825" cy="4330700"/>
            <wp:effectExtent l="0" t="0" r="3175" b="0"/>
            <wp:docPr id="12" name="图片 12" descr="C:\Users\Administrator\Desktop\定期要删除的临时资料\微信\WeChat Files\wxid_1y4uycj7qfjk21\FileStorage\Temp\1701266824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定期要删除的临时资料\微信\WeChat Files\wxid_1y4uycj7qfjk21\FileStorage\Temp\17012668242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33848" cy="4332912"/>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7" w:name="_Toc15377211"/>
      <w:r>
        <w:rPr>
          <w:rFonts w:hint="eastAsia" w:ascii="仿宋" w:hAnsi="仿宋" w:eastAsia="仿宋"/>
          <w:b/>
          <w:sz w:val="32"/>
          <w:szCs w:val="32"/>
        </w:rPr>
        <w:t>（二）一般公共预算财政拨款支出决算结构情况</w:t>
      </w:r>
      <w:bookmarkEnd w:id="3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2270.42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w:t>
      </w:r>
      <w:r>
        <w:rPr>
          <w:rFonts w:hint="eastAsia" w:ascii="仿宋" w:hAnsi="仿宋" w:eastAsia="仿宋"/>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；教育支出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；科学技术</w:t>
      </w:r>
      <w:r>
        <w:rPr>
          <w:rFonts w:hint="eastAsia" w:ascii="仿宋" w:hAnsi="仿宋" w:eastAsia="仿宋"/>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Cs/>
          <w:sz w:val="32"/>
          <w:szCs w:val="32"/>
        </w:rPr>
        <w:t>文化旅游体育与传媒支出</w:t>
      </w:r>
      <w:r>
        <w:rPr>
          <w:rFonts w:ascii="仿宋" w:hAnsi="仿宋" w:eastAsia="仿宋"/>
          <w:bCs/>
          <w:sz w:val="32"/>
          <w:szCs w:val="32"/>
        </w:rPr>
        <w:t>1976.16</w:t>
      </w:r>
      <w:r>
        <w:rPr>
          <w:rFonts w:hint="eastAsia" w:ascii="仿宋" w:hAnsi="仿宋" w:eastAsia="仿宋"/>
          <w:bCs/>
          <w:sz w:val="32"/>
          <w:szCs w:val="32"/>
        </w:rPr>
        <w:t>万元，占</w:t>
      </w:r>
      <w:r>
        <w:rPr>
          <w:rFonts w:ascii="仿宋" w:hAnsi="仿宋" w:eastAsia="仿宋"/>
          <w:bCs/>
          <w:sz w:val="32"/>
          <w:szCs w:val="32"/>
        </w:rPr>
        <w:t>87.04%</w:t>
      </w:r>
      <w:r>
        <w:rPr>
          <w:rFonts w:hint="eastAsia" w:ascii="仿宋" w:hAnsi="仿宋" w:eastAsia="仿宋"/>
          <w:sz w:val="32"/>
          <w:szCs w:val="32"/>
        </w:rPr>
        <w:t>；社会保障和就业</w:t>
      </w:r>
      <w:r>
        <w:rPr>
          <w:rFonts w:hint="eastAsia" w:ascii="仿宋" w:hAnsi="仿宋" w:eastAsia="仿宋"/>
          <w:bCs/>
          <w:sz w:val="32"/>
          <w:szCs w:val="32"/>
        </w:rPr>
        <w:t>支出</w:t>
      </w:r>
      <w:r>
        <w:rPr>
          <w:rFonts w:ascii="仿宋" w:hAnsi="仿宋" w:eastAsia="仿宋"/>
          <w:sz w:val="32"/>
          <w:szCs w:val="32"/>
        </w:rPr>
        <w:t>164.33</w:t>
      </w:r>
      <w:r>
        <w:rPr>
          <w:rFonts w:hint="eastAsia" w:ascii="仿宋" w:hAnsi="仿宋" w:eastAsia="仿宋"/>
          <w:sz w:val="32"/>
          <w:szCs w:val="32"/>
        </w:rPr>
        <w:t>万元，占</w:t>
      </w:r>
      <w:r>
        <w:rPr>
          <w:rFonts w:ascii="仿宋" w:hAnsi="仿宋" w:eastAsia="仿宋"/>
          <w:sz w:val="32"/>
          <w:szCs w:val="32"/>
        </w:rPr>
        <w:t>7.24%</w:t>
      </w:r>
      <w:r>
        <w:rPr>
          <w:rFonts w:hint="eastAsia" w:ascii="仿宋" w:hAnsi="仿宋" w:eastAsia="仿宋"/>
          <w:sz w:val="32"/>
          <w:szCs w:val="32"/>
        </w:rPr>
        <w:t>；</w:t>
      </w:r>
      <w:r>
        <w:rPr>
          <w:rFonts w:hint="eastAsia" w:ascii="仿宋" w:hAnsi="仿宋" w:eastAsia="仿宋"/>
          <w:bCs/>
          <w:sz w:val="32"/>
          <w:szCs w:val="32"/>
        </w:rPr>
        <w:t>卫生健康支出</w:t>
      </w:r>
      <w:r>
        <w:rPr>
          <w:rFonts w:ascii="仿宋" w:hAnsi="仿宋" w:eastAsia="仿宋"/>
          <w:sz w:val="32"/>
          <w:szCs w:val="32"/>
        </w:rPr>
        <w:t>36.44</w:t>
      </w:r>
      <w:r>
        <w:rPr>
          <w:rFonts w:hint="eastAsia" w:ascii="仿宋" w:hAnsi="仿宋" w:eastAsia="仿宋"/>
          <w:sz w:val="32"/>
          <w:szCs w:val="32"/>
        </w:rPr>
        <w:t>万元，占</w:t>
      </w:r>
      <w:r>
        <w:rPr>
          <w:rFonts w:ascii="仿宋" w:hAnsi="仿宋" w:eastAsia="仿宋"/>
          <w:sz w:val="32"/>
          <w:szCs w:val="32"/>
        </w:rPr>
        <w:t>1.6%</w:t>
      </w:r>
      <w:r>
        <w:rPr>
          <w:rFonts w:hint="eastAsia" w:ascii="仿宋" w:hAnsi="仿宋" w:eastAsia="仿宋"/>
          <w:sz w:val="32"/>
          <w:szCs w:val="32"/>
        </w:rPr>
        <w:t>；</w:t>
      </w:r>
      <w:r>
        <w:rPr>
          <w:rFonts w:hint="eastAsia" w:ascii="仿宋" w:hAnsi="仿宋" w:eastAsia="仿宋"/>
          <w:bCs/>
          <w:sz w:val="32"/>
          <w:szCs w:val="32"/>
        </w:rPr>
        <w:t>住房保障支出</w:t>
      </w:r>
      <w:r>
        <w:rPr>
          <w:rFonts w:ascii="仿宋" w:hAnsi="仿宋" w:eastAsia="仿宋"/>
          <w:sz w:val="32"/>
          <w:szCs w:val="32"/>
        </w:rPr>
        <w:t>93.49</w:t>
      </w:r>
      <w:r>
        <w:rPr>
          <w:rFonts w:hint="eastAsia" w:ascii="仿宋" w:hAnsi="仿宋" w:eastAsia="仿宋"/>
          <w:sz w:val="32"/>
          <w:szCs w:val="32"/>
        </w:rPr>
        <w:t>万元，占</w:t>
      </w:r>
      <w:r>
        <w:rPr>
          <w:rFonts w:ascii="仿宋" w:hAnsi="仿宋" w:eastAsia="仿宋"/>
          <w:sz w:val="32"/>
          <w:szCs w:val="32"/>
        </w:rPr>
        <w:t>4.12%</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pStyle w:val="2"/>
        <w:spacing w:before="93"/>
      </w:pPr>
      <w:r>
        <w:drawing>
          <wp:inline distT="0" distB="0" distL="0" distR="0">
            <wp:extent cx="5477510" cy="4486275"/>
            <wp:effectExtent l="0" t="0" r="8890" b="0"/>
            <wp:docPr id="13" name="图片 13" descr="C:\Users\Administrator\Desktop\定期要删除的临时资料\微信\WeChat Files\wxid_1y4uycj7qfjk21\FileStorage\Temp\1701266920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定期要删除的临时资料\微信\WeChat Files\wxid_1y4uycj7qfjk21\FileStorage\Temp\17012669206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79830" cy="4487959"/>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8" w:name="_Toc15377212"/>
      <w:r>
        <w:rPr>
          <w:rFonts w:hint="eastAsia" w:ascii="仿宋" w:hAnsi="仿宋" w:eastAsia="仿宋"/>
          <w:b/>
          <w:sz w:val="32"/>
          <w:szCs w:val="32"/>
        </w:rPr>
        <w:t>（三）一般公共预算财政拨款支出决算具体情况</w:t>
      </w:r>
      <w:bookmarkEnd w:id="38"/>
    </w:p>
    <w:p>
      <w:pPr>
        <w:spacing w:line="600" w:lineRule="exact"/>
        <w:ind w:firstLine="640" w:firstLineChars="200"/>
        <w:outlineLvl w:val="2"/>
        <w:rPr>
          <w:rFonts w:ascii="仿宋" w:hAnsi="仿宋" w:eastAsia="仿宋"/>
          <w:b/>
          <w:sz w:val="32"/>
          <w:szCs w:val="32"/>
        </w:rPr>
      </w:pPr>
      <w:bookmarkStart w:id="39" w:name="_Toc15377444"/>
      <w:bookmarkStart w:id="40" w:name="_Toc15378460"/>
      <w:bookmarkStart w:id="41" w:name="_Toc15377213"/>
      <w:r>
        <w:rPr>
          <w:rFonts w:hint="eastAsia" w:ascii="仿宋" w:hAnsi="仿宋" w:eastAsia="仿宋"/>
          <w:sz w:val="32"/>
          <w:szCs w:val="32"/>
        </w:rPr>
        <w:t>2022年一般公共预算支出决算数为</w:t>
      </w:r>
      <w:r>
        <w:rPr>
          <w:rFonts w:ascii="仿宋" w:hAnsi="仿宋" w:eastAsia="仿宋"/>
          <w:sz w:val="32"/>
          <w:szCs w:val="32"/>
        </w:rPr>
        <w:t>2270.42</w:t>
      </w:r>
      <w:r>
        <w:rPr>
          <w:rFonts w:hint="eastAsia" w:ascii="仿宋" w:hAnsi="仿宋" w:eastAsia="仿宋"/>
          <w:sz w:val="32"/>
          <w:szCs w:val="32"/>
        </w:rPr>
        <w:t>，</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。其中：</w:t>
      </w:r>
      <w:bookmarkEnd w:id="39"/>
      <w:bookmarkEnd w:id="40"/>
      <w:bookmarkEnd w:id="41"/>
    </w:p>
    <w:p>
      <w:pPr>
        <w:spacing w:line="600" w:lineRule="exact"/>
        <w:ind w:firstLine="640" w:firstLineChars="200"/>
        <w:rPr>
          <w:rFonts w:ascii="仿宋" w:hAnsi="仿宋" w:eastAsia="仿宋"/>
          <w:b/>
          <w:sz w:val="32"/>
          <w:szCs w:val="32"/>
        </w:rPr>
      </w:pPr>
      <w:r>
        <w:rPr>
          <w:rStyle w:val="16"/>
          <w:rFonts w:ascii="仿宋" w:hAnsi="仿宋" w:eastAsia="仿宋"/>
          <w:b w:val="0"/>
          <w:bCs/>
          <w:sz w:val="32"/>
          <w:szCs w:val="32"/>
        </w:rPr>
        <w:t>1.</w:t>
      </w:r>
      <w:r>
        <w:rPr>
          <w:rStyle w:val="16"/>
          <w:rFonts w:hint="eastAsia" w:ascii="仿宋" w:hAnsi="仿宋" w:eastAsia="仿宋"/>
          <w:b w:val="0"/>
          <w:bCs/>
          <w:sz w:val="32"/>
          <w:szCs w:val="32"/>
        </w:rPr>
        <w:t>一般公共服务（类）</w:t>
      </w:r>
      <w:r>
        <w:rPr>
          <w:rStyle w:val="16"/>
          <w:rFonts w:ascii="仿宋" w:hAnsi="仿宋" w:eastAsia="仿宋"/>
          <w:b w:val="0"/>
          <w:bCs/>
          <w:sz w:val="32"/>
          <w:szCs w:val="32"/>
        </w:rPr>
        <w:t>***</w:t>
      </w:r>
      <w:r>
        <w:rPr>
          <w:rStyle w:val="16"/>
          <w:rFonts w:hint="eastAsia" w:ascii="仿宋" w:hAnsi="仿宋" w:eastAsia="仿宋"/>
          <w:b w:val="0"/>
          <w:bCs/>
          <w:sz w:val="32"/>
          <w:szCs w:val="32"/>
        </w:rPr>
        <w:t>（款）</w:t>
      </w:r>
      <w:r>
        <w:rPr>
          <w:rStyle w:val="16"/>
          <w:rFonts w:ascii="仿宋" w:hAnsi="仿宋" w:eastAsia="仿宋"/>
          <w:b w:val="0"/>
          <w:bCs/>
          <w:sz w:val="32"/>
          <w:szCs w:val="32"/>
        </w:rPr>
        <w:t>***</w:t>
      </w:r>
      <w:r>
        <w:rPr>
          <w:rStyle w:val="16"/>
          <w:rFonts w:hint="eastAsia" w:ascii="仿宋" w:hAnsi="仿宋" w:eastAsia="仿宋"/>
          <w:b w:val="0"/>
          <w:bCs/>
          <w:sz w:val="32"/>
          <w:szCs w:val="32"/>
        </w:rPr>
        <w:t>（项）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本年无此项业务发生。</w:t>
      </w:r>
    </w:p>
    <w:p>
      <w:pPr>
        <w:spacing w:line="600" w:lineRule="exact"/>
        <w:ind w:firstLine="640" w:firstLineChars="200"/>
        <w:rPr>
          <w:rFonts w:ascii="仿宋" w:hAnsi="仿宋" w:eastAsia="仿宋"/>
          <w:b/>
          <w:sz w:val="32"/>
          <w:szCs w:val="32"/>
        </w:rPr>
      </w:pPr>
      <w:r>
        <w:rPr>
          <w:rStyle w:val="16"/>
          <w:rFonts w:ascii="仿宋" w:hAnsi="仿宋" w:eastAsia="仿宋"/>
          <w:b w:val="0"/>
          <w:bCs/>
          <w:sz w:val="32"/>
          <w:szCs w:val="32"/>
        </w:rPr>
        <w:t>2.</w:t>
      </w:r>
      <w:r>
        <w:rPr>
          <w:rStyle w:val="16"/>
          <w:rFonts w:hint="eastAsia" w:ascii="仿宋" w:hAnsi="仿宋" w:eastAsia="仿宋"/>
          <w:b w:val="0"/>
          <w:bCs/>
          <w:sz w:val="32"/>
          <w:szCs w:val="32"/>
        </w:rPr>
        <w:t>教育（类）</w:t>
      </w:r>
      <w:r>
        <w:rPr>
          <w:rStyle w:val="16"/>
          <w:rFonts w:ascii="仿宋" w:hAnsi="仿宋" w:eastAsia="仿宋"/>
          <w:b w:val="0"/>
          <w:bCs/>
          <w:sz w:val="32"/>
          <w:szCs w:val="32"/>
        </w:rPr>
        <w:t>***</w:t>
      </w:r>
      <w:r>
        <w:rPr>
          <w:rStyle w:val="16"/>
          <w:rFonts w:hint="eastAsia" w:ascii="仿宋" w:hAnsi="仿宋" w:eastAsia="仿宋"/>
          <w:b w:val="0"/>
          <w:bCs/>
          <w:sz w:val="32"/>
          <w:szCs w:val="32"/>
        </w:rPr>
        <w:t>（款）</w:t>
      </w:r>
      <w:r>
        <w:rPr>
          <w:rStyle w:val="16"/>
          <w:rFonts w:ascii="仿宋" w:hAnsi="仿宋" w:eastAsia="仿宋"/>
          <w:b w:val="0"/>
          <w:bCs/>
          <w:sz w:val="32"/>
          <w:szCs w:val="32"/>
        </w:rPr>
        <w:t>***</w:t>
      </w:r>
      <w:r>
        <w:rPr>
          <w:rStyle w:val="16"/>
          <w:rFonts w:hint="eastAsia" w:ascii="仿宋" w:hAnsi="仿宋" w:eastAsia="仿宋"/>
          <w:b w:val="0"/>
          <w:bCs/>
          <w:sz w:val="32"/>
          <w:szCs w:val="32"/>
        </w:rPr>
        <w:t>（项）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本年无此项业务发生。</w:t>
      </w:r>
    </w:p>
    <w:p>
      <w:pPr>
        <w:spacing w:line="600" w:lineRule="exact"/>
        <w:ind w:firstLine="640" w:firstLineChars="200"/>
        <w:rPr>
          <w:rFonts w:ascii="仿宋" w:hAnsi="仿宋" w:eastAsia="仿宋"/>
          <w:b/>
          <w:sz w:val="32"/>
          <w:szCs w:val="32"/>
        </w:rPr>
      </w:pPr>
      <w:r>
        <w:rPr>
          <w:rStyle w:val="16"/>
          <w:rFonts w:ascii="仿宋" w:hAnsi="仿宋" w:eastAsia="仿宋"/>
          <w:b w:val="0"/>
          <w:bCs/>
          <w:sz w:val="32"/>
          <w:szCs w:val="32"/>
        </w:rPr>
        <w:t>3.</w:t>
      </w:r>
      <w:r>
        <w:rPr>
          <w:rStyle w:val="16"/>
          <w:rFonts w:hint="eastAsia" w:ascii="仿宋" w:hAnsi="仿宋" w:eastAsia="仿宋"/>
          <w:b w:val="0"/>
          <w:bCs/>
          <w:sz w:val="32"/>
          <w:szCs w:val="32"/>
        </w:rPr>
        <w:t>科学技术（类）</w:t>
      </w:r>
      <w:r>
        <w:rPr>
          <w:rStyle w:val="16"/>
          <w:rFonts w:ascii="仿宋" w:hAnsi="仿宋" w:eastAsia="仿宋"/>
          <w:b w:val="0"/>
          <w:bCs/>
          <w:sz w:val="32"/>
          <w:szCs w:val="32"/>
        </w:rPr>
        <w:t>***</w:t>
      </w:r>
      <w:r>
        <w:rPr>
          <w:rStyle w:val="16"/>
          <w:rFonts w:hint="eastAsia" w:ascii="仿宋" w:hAnsi="仿宋" w:eastAsia="仿宋"/>
          <w:b w:val="0"/>
          <w:bCs/>
          <w:sz w:val="32"/>
          <w:szCs w:val="32"/>
        </w:rPr>
        <w:t>（款）</w:t>
      </w:r>
      <w:r>
        <w:rPr>
          <w:rStyle w:val="16"/>
          <w:rFonts w:ascii="仿宋" w:hAnsi="仿宋" w:eastAsia="仿宋"/>
          <w:b w:val="0"/>
          <w:bCs/>
          <w:sz w:val="32"/>
          <w:szCs w:val="32"/>
        </w:rPr>
        <w:t>***</w:t>
      </w:r>
      <w:r>
        <w:rPr>
          <w:rStyle w:val="16"/>
          <w:rFonts w:hint="eastAsia" w:ascii="仿宋" w:hAnsi="仿宋" w:eastAsia="仿宋"/>
          <w:b w:val="0"/>
          <w:bCs/>
          <w:sz w:val="32"/>
          <w:szCs w:val="32"/>
        </w:rPr>
        <w:t>（项）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本年无此项业务发生。</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4.</w:t>
      </w:r>
      <w:r>
        <w:rPr>
          <w:rFonts w:hint="eastAsia"/>
        </w:rPr>
        <w:t xml:space="preserve"> </w:t>
      </w:r>
      <w:r>
        <w:rPr>
          <w:rStyle w:val="16"/>
          <w:rFonts w:hint="eastAsia" w:ascii="仿宋" w:hAnsi="仿宋" w:eastAsia="仿宋"/>
          <w:b w:val="0"/>
          <w:bCs/>
          <w:sz w:val="32"/>
          <w:szCs w:val="32"/>
        </w:rPr>
        <w:t>文化旅游体育与传媒（类）文化和旅游（款）行政运行（项）:支出决算数为</w:t>
      </w:r>
      <w:r>
        <w:rPr>
          <w:rStyle w:val="16"/>
          <w:rFonts w:ascii="仿宋" w:hAnsi="仿宋" w:eastAsia="仿宋"/>
          <w:b w:val="0"/>
          <w:bCs/>
          <w:sz w:val="32"/>
          <w:szCs w:val="32"/>
        </w:rPr>
        <w:t>488.73</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hint="eastAsia" w:ascii="仿宋" w:hAnsi="仿宋" w:eastAsia="仿宋"/>
          <w:b w:val="0"/>
          <w:bCs/>
          <w:sz w:val="32"/>
          <w:szCs w:val="32"/>
        </w:rPr>
        <w:t>5.文化旅游体育与传媒（类）文化和旅游（款）一般行政管理事务（项）:支出决算数为</w:t>
      </w:r>
      <w:r>
        <w:rPr>
          <w:rStyle w:val="16"/>
          <w:rFonts w:ascii="仿宋" w:hAnsi="仿宋" w:eastAsia="仿宋"/>
          <w:b w:val="0"/>
          <w:bCs/>
          <w:sz w:val="32"/>
          <w:szCs w:val="32"/>
        </w:rPr>
        <w:t>18.47</w:t>
      </w:r>
      <w:r>
        <w:rPr>
          <w:rStyle w:val="16"/>
          <w:rFonts w:hint="eastAsia" w:ascii="仿宋" w:hAnsi="仿宋" w:eastAsia="仿宋"/>
          <w:b w:val="0"/>
          <w:bCs/>
          <w:sz w:val="32"/>
          <w:szCs w:val="32"/>
        </w:rPr>
        <w:t>万元，完成预算100%，决算数与预算数持平。</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文化旅游体育与传媒（类）文化和旅游（款）图书馆（项）: 支出决算为95.09万元，完成预算100%，决算数与预算数持平。</w:t>
      </w:r>
    </w:p>
    <w:p>
      <w:pPr>
        <w:pStyle w:val="2"/>
        <w:spacing w:before="93"/>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文化旅游体育与传媒（类）文化和旅游（款）群众文化（项）: 支出决算数为80.64万元，完成预算100%，决算数与预算数持平。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8</w:t>
      </w:r>
      <w:r>
        <w:rPr>
          <w:rStyle w:val="16"/>
          <w:rFonts w:hint="eastAsia" w:ascii="仿宋" w:hAnsi="仿宋" w:eastAsia="仿宋"/>
          <w:b w:val="0"/>
          <w:bCs/>
          <w:sz w:val="32"/>
          <w:szCs w:val="32"/>
        </w:rPr>
        <w:t>.文化旅游体育与传媒（类）文化和旅游（款）旅游宣传（项）:支出决算数为</w:t>
      </w:r>
      <w:r>
        <w:rPr>
          <w:rStyle w:val="16"/>
          <w:rFonts w:ascii="仿宋" w:hAnsi="仿宋" w:eastAsia="仿宋"/>
          <w:b w:val="0"/>
          <w:bCs/>
          <w:sz w:val="32"/>
          <w:szCs w:val="32"/>
        </w:rPr>
        <w:t>11.36</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9</w:t>
      </w:r>
      <w:r>
        <w:rPr>
          <w:rStyle w:val="16"/>
          <w:rFonts w:hint="eastAsia" w:ascii="仿宋" w:hAnsi="仿宋" w:eastAsia="仿宋"/>
          <w:b w:val="0"/>
          <w:bCs/>
          <w:sz w:val="32"/>
          <w:szCs w:val="32"/>
        </w:rPr>
        <w:t>.文化旅游体育与传媒（类）文化和旅游（款）文化和旅游管理事务（项）:支出决算数为</w:t>
      </w:r>
      <w:r>
        <w:rPr>
          <w:rStyle w:val="16"/>
          <w:rFonts w:ascii="仿宋" w:hAnsi="仿宋" w:eastAsia="仿宋"/>
          <w:b w:val="0"/>
          <w:bCs/>
          <w:sz w:val="32"/>
          <w:szCs w:val="32"/>
        </w:rPr>
        <w:t>44.2</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10</w:t>
      </w:r>
      <w:r>
        <w:rPr>
          <w:rStyle w:val="16"/>
          <w:rFonts w:hint="eastAsia" w:ascii="仿宋" w:hAnsi="仿宋" w:eastAsia="仿宋"/>
          <w:b w:val="0"/>
          <w:bCs/>
          <w:sz w:val="32"/>
          <w:szCs w:val="32"/>
        </w:rPr>
        <w:t>.文化旅游体育与传媒（类）文化和旅游（款）其他文化和旅游支出（项）:支出决算数为</w:t>
      </w:r>
      <w:r>
        <w:rPr>
          <w:rStyle w:val="16"/>
          <w:rFonts w:ascii="仿宋" w:hAnsi="仿宋" w:eastAsia="仿宋"/>
          <w:b w:val="0"/>
          <w:bCs/>
          <w:sz w:val="32"/>
          <w:szCs w:val="32"/>
        </w:rPr>
        <w:t>251.88</w:t>
      </w:r>
      <w:r>
        <w:rPr>
          <w:rStyle w:val="16"/>
          <w:rFonts w:hint="eastAsia" w:ascii="仿宋" w:hAnsi="仿宋" w:eastAsia="仿宋"/>
          <w:b w:val="0"/>
          <w:bCs/>
          <w:sz w:val="32"/>
          <w:szCs w:val="32"/>
        </w:rPr>
        <w:t>万元，完成预算100%，决算数与预算数持平。</w:t>
      </w:r>
    </w:p>
    <w:p>
      <w:pPr>
        <w:pStyle w:val="2"/>
        <w:spacing w:before="93"/>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文化旅游体育与传媒支出（类）文物（款）其他文物支出（项）: 支出决算数为120.99万元，完成预算100%，决算数与预算数持平。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12.</w:t>
      </w:r>
      <w:r>
        <w:rPr>
          <w:rStyle w:val="16"/>
          <w:rFonts w:hint="eastAsia" w:ascii="仿宋" w:hAnsi="仿宋" w:eastAsia="仿宋"/>
          <w:b w:val="0"/>
          <w:bCs/>
          <w:sz w:val="32"/>
          <w:szCs w:val="32"/>
        </w:rPr>
        <w:t>文化旅游体育与传媒（类）体育（款）体育场馆（项）:支出决算数为</w:t>
      </w:r>
      <w:r>
        <w:rPr>
          <w:rStyle w:val="16"/>
          <w:rFonts w:ascii="仿宋" w:hAnsi="仿宋" w:eastAsia="仿宋"/>
          <w:b w:val="0"/>
          <w:bCs/>
          <w:sz w:val="32"/>
          <w:szCs w:val="32"/>
        </w:rPr>
        <w:t>83.24</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13.</w:t>
      </w:r>
      <w:r>
        <w:rPr>
          <w:rStyle w:val="16"/>
          <w:rFonts w:hint="eastAsia" w:ascii="仿宋" w:hAnsi="仿宋" w:eastAsia="仿宋"/>
          <w:b w:val="0"/>
          <w:bCs/>
          <w:sz w:val="32"/>
          <w:szCs w:val="32"/>
        </w:rPr>
        <w:t>文化旅游体育与传媒（类）体育（款）群众体育（项）:支出决算数为</w:t>
      </w:r>
      <w:r>
        <w:rPr>
          <w:rStyle w:val="16"/>
          <w:rFonts w:ascii="仿宋" w:hAnsi="仿宋" w:eastAsia="仿宋"/>
          <w:b w:val="0"/>
          <w:bCs/>
          <w:sz w:val="32"/>
          <w:szCs w:val="32"/>
        </w:rPr>
        <w:t>130</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14.</w:t>
      </w:r>
      <w:r>
        <w:rPr>
          <w:rStyle w:val="16"/>
          <w:rFonts w:hint="eastAsia" w:ascii="仿宋" w:hAnsi="仿宋" w:eastAsia="仿宋"/>
          <w:b w:val="0"/>
          <w:bCs/>
          <w:sz w:val="32"/>
          <w:szCs w:val="32"/>
        </w:rPr>
        <w:t>文化旅游体育与传媒（类）体育（款）其他体育支出（项）:支出决算数为</w:t>
      </w:r>
      <w:r>
        <w:rPr>
          <w:rStyle w:val="16"/>
          <w:rFonts w:ascii="仿宋" w:hAnsi="仿宋" w:eastAsia="仿宋"/>
          <w:b w:val="0"/>
          <w:bCs/>
          <w:sz w:val="32"/>
          <w:szCs w:val="32"/>
        </w:rPr>
        <w:t>214.67</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15.</w:t>
      </w:r>
      <w:r>
        <w:rPr>
          <w:rStyle w:val="16"/>
          <w:rFonts w:hint="eastAsia" w:ascii="仿宋" w:hAnsi="仿宋" w:eastAsia="仿宋"/>
          <w:b w:val="0"/>
          <w:bCs/>
          <w:sz w:val="32"/>
          <w:szCs w:val="32"/>
        </w:rPr>
        <w:t>文化旅游体育与传媒（类）广播电视（款）其他广播电视支出（项）:支出决算数为</w:t>
      </w:r>
      <w:r>
        <w:rPr>
          <w:rStyle w:val="16"/>
          <w:rFonts w:ascii="仿宋" w:hAnsi="仿宋" w:eastAsia="仿宋"/>
          <w:b w:val="0"/>
          <w:bCs/>
          <w:sz w:val="32"/>
          <w:szCs w:val="32"/>
        </w:rPr>
        <w:t>320.89</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16.</w:t>
      </w:r>
      <w:r>
        <w:rPr>
          <w:rStyle w:val="16"/>
          <w:rFonts w:hint="eastAsia" w:ascii="仿宋" w:hAnsi="仿宋" w:eastAsia="仿宋"/>
          <w:b w:val="0"/>
          <w:bCs/>
          <w:sz w:val="32"/>
          <w:szCs w:val="32"/>
        </w:rPr>
        <w:t>文化旅游体育与传媒（类）其他文化体育与传媒支出（款）其他文化体育与传媒支出（项）:支出决算数为</w:t>
      </w:r>
      <w:r>
        <w:rPr>
          <w:rStyle w:val="16"/>
          <w:rFonts w:ascii="仿宋" w:hAnsi="仿宋" w:eastAsia="仿宋"/>
          <w:b w:val="0"/>
          <w:bCs/>
          <w:sz w:val="32"/>
          <w:szCs w:val="32"/>
        </w:rPr>
        <w:t>116</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17.</w:t>
      </w:r>
      <w:r>
        <w:rPr>
          <w:rStyle w:val="16"/>
          <w:rFonts w:hint="eastAsia" w:ascii="仿宋" w:hAnsi="仿宋" w:eastAsia="仿宋"/>
          <w:b w:val="0"/>
          <w:bCs/>
          <w:sz w:val="32"/>
          <w:szCs w:val="32"/>
        </w:rPr>
        <w:t>社会保障和就业（类）行政事业单位养老支出（款）机关事业单位基本养老保险缴费支出（项）:支出决算数为</w:t>
      </w:r>
      <w:r>
        <w:rPr>
          <w:rStyle w:val="16"/>
          <w:rFonts w:ascii="仿宋" w:hAnsi="仿宋" w:eastAsia="仿宋"/>
          <w:b w:val="0"/>
          <w:bCs/>
          <w:sz w:val="32"/>
          <w:szCs w:val="32"/>
        </w:rPr>
        <w:t>78.06</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18.</w:t>
      </w:r>
      <w:r>
        <w:rPr>
          <w:rStyle w:val="16"/>
          <w:rFonts w:hint="eastAsia" w:ascii="仿宋" w:hAnsi="仿宋" w:eastAsia="仿宋"/>
          <w:b w:val="0"/>
          <w:bCs/>
          <w:sz w:val="32"/>
          <w:szCs w:val="32"/>
        </w:rPr>
        <w:t>社会保障和就业（类）行政事业单位养老支出（款）机关事业单位职业年金缴费支出（项）:支出决算数为</w:t>
      </w:r>
      <w:r>
        <w:rPr>
          <w:rStyle w:val="16"/>
          <w:rFonts w:ascii="仿宋" w:hAnsi="仿宋" w:eastAsia="仿宋"/>
          <w:b w:val="0"/>
          <w:bCs/>
          <w:sz w:val="32"/>
          <w:szCs w:val="32"/>
        </w:rPr>
        <w:t>38.14</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19.</w:t>
      </w:r>
      <w:r>
        <w:rPr>
          <w:rStyle w:val="16"/>
          <w:rFonts w:hint="eastAsia" w:ascii="仿宋" w:hAnsi="仿宋" w:eastAsia="仿宋"/>
          <w:b w:val="0"/>
          <w:bCs/>
          <w:sz w:val="32"/>
          <w:szCs w:val="32"/>
        </w:rPr>
        <w:t>社会保障和就业（类）抚恤（款）死亡抚恤（项）:支出决算数为</w:t>
      </w:r>
      <w:r>
        <w:rPr>
          <w:rStyle w:val="16"/>
          <w:rFonts w:ascii="仿宋" w:hAnsi="仿宋" w:eastAsia="仿宋"/>
          <w:b w:val="0"/>
          <w:bCs/>
          <w:sz w:val="32"/>
          <w:szCs w:val="32"/>
        </w:rPr>
        <w:t>44.76</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20.</w:t>
      </w:r>
      <w:r>
        <w:rPr>
          <w:rStyle w:val="16"/>
          <w:rFonts w:hint="eastAsia" w:ascii="仿宋" w:hAnsi="仿宋" w:eastAsia="仿宋"/>
          <w:b w:val="0"/>
          <w:bCs/>
          <w:sz w:val="32"/>
          <w:szCs w:val="32"/>
        </w:rPr>
        <w:t>社会保障和就业（类）其他社会保障和就业支出（款）其他社会保障和就业支出（项）:支出决算数为</w:t>
      </w:r>
      <w:r>
        <w:rPr>
          <w:rStyle w:val="16"/>
          <w:rFonts w:ascii="仿宋" w:hAnsi="仿宋" w:eastAsia="仿宋"/>
          <w:b w:val="0"/>
          <w:bCs/>
          <w:sz w:val="32"/>
          <w:szCs w:val="32"/>
        </w:rPr>
        <w:t>3.37</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21.</w:t>
      </w:r>
      <w:r>
        <w:rPr>
          <w:rStyle w:val="16"/>
          <w:rFonts w:hint="eastAsia" w:ascii="仿宋" w:hAnsi="仿宋" w:eastAsia="仿宋"/>
          <w:b w:val="0"/>
          <w:bCs/>
          <w:sz w:val="32"/>
          <w:szCs w:val="32"/>
        </w:rPr>
        <w:t>卫生健康支出（类）行政事业单位医疗（款）行政单位医疗（项）:支出决算数为</w:t>
      </w:r>
      <w:r>
        <w:rPr>
          <w:rStyle w:val="16"/>
          <w:rFonts w:ascii="仿宋" w:hAnsi="仿宋" w:eastAsia="仿宋"/>
          <w:b w:val="0"/>
          <w:bCs/>
          <w:sz w:val="32"/>
          <w:szCs w:val="32"/>
        </w:rPr>
        <w:t>12.6</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22.</w:t>
      </w:r>
      <w:r>
        <w:rPr>
          <w:rStyle w:val="16"/>
          <w:rFonts w:hint="eastAsia" w:ascii="仿宋" w:hAnsi="仿宋" w:eastAsia="仿宋"/>
          <w:b w:val="0"/>
          <w:bCs/>
          <w:sz w:val="32"/>
          <w:szCs w:val="32"/>
        </w:rPr>
        <w:t>卫生健康支出（类）行政事业单位医疗（款）事业单位医疗（项）:支出决算数为</w:t>
      </w:r>
      <w:r>
        <w:rPr>
          <w:rStyle w:val="16"/>
          <w:rFonts w:ascii="仿宋" w:hAnsi="仿宋" w:eastAsia="仿宋"/>
          <w:b w:val="0"/>
          <w:bCs/>
          <w:sz w:val="32"/>
          <w:szCs w:val="32"/>
        </w:rPr>
        <w:t>16.19</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23.</w:t>
      </w:r>
      <w:r>
        <w:rPr>
          <w:rStyle w:val="16"/>
          <w:rFonts w:hint="eastAsia" w:ascii="仿宋" w:hAnsi="仿宋" w:eastAsia="仿宋"/>
          <w:b w:val="0"/>
          <w:bCs/>
          <w:sz w:val="32"/>
          <w:szCs w:val="32"/>
        </w:rPr>
        <w:t>卫生健康支出（类）行政事业单位医疗（款）公务员医疗补助（项）:支出决算数为</w:t>
      </w:r>
      <w:r>
        <w:rPr>
          <w:rStyle w:val="16"/>
          <w:rFonts w:ascii="仿宋" w:hAnsi="仿宋" w:eastAsia="仿宋"/>
          <w:b w:val="0"/>
          <w:bCs/>
          <w:sz w:val="32"/>
          <w:szCs w:val="32"/>
        </w:rPr>
        <w:t>7.65</w:t>
      </w:r>
      <w:r>
        <w:rPr>
          <w:rStyle w:val="16"/>
          <w:rFonts w:hint="eastAsia" w:ascii="仿宋" w:hAnsi="仿宋" w:eastAsia="仿宋"/>
          <w:b w:val="0"/>
          <w:bCs/>
          <w:sz w:val="32"/>
          <w:szCs w:val="32"/>
        </w:rPr>
        <w:t>万元，完成预算100%，决算数与预算数持平。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24.</w:t>
      </w:r>
      <w:r>
        <w:rPr>
          <w:rStyle w:val="16"/>
          <w:rFonts w:hint="eastAsia" w:ascii="仿宋" w:hAnsi="仿宋" w:eastAsia="仿宋"/>
          <w:b w:val="0"/>
          <w:bCs/>
          <w:sz w:val="32"/>
          <w:szCs w:val="32"/>
        </w:rPr>
        <w:t>住房保障支出（类）住房改革支出（款）住房公积金（项）:支出决算数为</w:t>
      </w:r>
      <w:r>
        <w:rPr>
          <w:rStyle w:val="16"/>
          <w:rFonts w:ascii="仿宋" w:hAnsi="仿宋" w:eastAsia="仿宋"/>
          <w:b w:val="0"/>
          <w:bCs/>
          <w:sz w:val="32"/>
          <w:szCs w:val="32"/>
        </w:rPr>
        <w:t>93.49</w:t>
      </w:r>
      <w:r>
        <w:rPr>
          <w:rStyle w:val="16"/>
          <w:rFonts w:hint="eastAsia" w:ascii="仿宋" w:hAnsi="仿宋" w:eastAsia="仿宋"/>
          <w:b w:val="0"/>
          <w:bCs/>
          <w:sz w:val="32"/>
          <w:szCs w:val="32"/>
        </w:rPr>
        <w:t>万元，完成预算100%，决算数与预算数持平。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42" w:name="_Toc15396608"/>
      <w:bookmarkStart w:id="4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2"/>
      <w:bookmarkEnd w:id="43"/>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1328.97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1163.89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165.08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44" w:name="_Toc15396609"/>
      <w:bookmarkStart w:id="45"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4"/>
      <w:bookmarkEnd w:id="45"/>
    </w:p>
    <w:p>
      <w:pPr>
        <w:spacing w:line="600" w:lineRule="exact"/>
        <w:ind w:firstLine="640"/>
        <w:outlineLvl w:val="2"/>
        <w:rPr>
          <w:rFonts w:ascii="仿宋" w:hAnsi="仿宋" w:eastAsia="仿宋"/>
          <w:b/>
          <w:sz w:val="32"/>
          <w:szCs w:val="32"/>
        </w:rPr>
      </w:pPr>
      <w:bookmarkStart w:id="46" w:name="_Toc15377216"/>
      <w:r>
        <w:rPr>
          <w:rFonts w:hint="eastAsia" w:ascii="仿宋" w:hAnsi="仿宋" w:eastAsia="仿宋"/>
          <w:b/>
          <w:sz w:val="32"/>
          <w:szCs w:val="32"/>
        </w:rPr>
        <w:t>（一）“三公”经费财政拨款支出决算总体情况说明</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5.15</w:t>
      </w:r>
      <w:r>
        <w:rPr>
          <w:rFonts w:hint="eastAsia" w:ascii="仿宋" w:hAnsi="仿宋" w:eastAsia="仿宋"/>
          <w:sz w:val="32"/>
          <w:szCs w:val="32"/>
        </w:rPr>
        <w:t>万元，完成预算</w:t>
      </w:r>
      <w:r>
        <w:rPr>
          <w:rFonts w:ascii="仿宋" w:hAnsi="仿宋" w:eastAsia="仿宋"/>
          <w:sz w:val="32"/>
          <w:szCs w:val="32"/>
        </w:rPr>
        <w:t>74.42%</w:t>
      </w:r>
      <w:r>
        <w:rPr>
          <w:rFonts w:hint="eastAsia" w:ascii="仿宋" w:hAnsi="仿宋" w:eastAsia="仿宋"/>
          <w:sz w:val="32"/>
          <w:szCs w:val="32"/>
        </w:rPr>
        <w:t>，较上年减少</w:t>
      </w:r>
      <w:r>
        <w:rPr>
          <w:rFonts w:ascii="仿宋" w:hAnsi="仿宋" w:eastAsia="仿宋"/>
          <w:sz w:val="32"/>
          <w:szCs w:val="32"/>
        </w:rPr>
        <w:t>3.14</w:t>
      </w:r>
      <w:r>
        <w:rPr>
          <w:rFonts w:hint="eastAsia" w:ascii="仿宋" w:hAnsi="仿宋" w:eastAsia="仿宋"/>
          <w:sz w:val="32"/>
          <w:szCs w:val="32"/>
        </w:rPr>
        <w:t>万元，下降</w:t>
      </w:r>
      <w:r>
        <w:rPr>
          <w:rFonts w:ascii="仿宋" w:hAnsi="仿宋" w:eastAsia="仿宋"/>
          <w:sz w:val="32"/>
          <w:szCs w:val="32"/>
        </w:rPr>
        <w:t>37.88</w:t>
      </w:r>
      <w:r>
        <w:rPr>
          <w:rFonts w:hint="eastAsia" w:ascii="仿宋" w:hAnsi="仿宋" w:eastAsia="仿宋"/>
          <w:sz w:val="32"/>
          <w:szCs w:val="32"/>
        </w:rPr>
        <w:t>%。决算数小于预算数的主要原因是本年三公经费类工作开展较少，经费支出较少。</w:t>
      </w:r>
    </w:p>
    <w:p>
      <w:pPr>
        <w:spacing w:line="600" w:lineRule="exact"/>
        <w:ind w:firstLine="640"/>
        <w:outlineLvl w:val="2"/>
        <w:rPr>
          <w:rFonts w:ascii="仿宋" w:hAnsi="仿宋" w:eastAsia="仿宋"/>
          <w:b/>
          <w:sz w:val="32"/>
          <w:szCs w:val="32"/>
        </w:rPr>
      </w:pPr>
      <w:bookmarkStart w:id="47" w:name="_Toc15377217"/>
      <w:r>
        <w:rPr>
          <w:rFonts w:hint="eastAsia" w:ascii="仿宋" w:hAnsi="仿宋" w:eastAsia="仿宋"/>
          <w:b/>
          <w:sz w:val="32"/>
          <w:szCs w:val="32"/>
        </w:rPr>
        <w:t>（二）“三公”经费财政拨款支出决算具体情况说明</w:t>
      </w:r>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；公务用车购置及运行维护费支出决算3</w:t>
      </w:r>
      <w:r>
        <w:rPr>
          <w:rFonts w:ascii="仿宋" w:hAnsi="仿宋" w:eastAsia="仿宋"/>
          <w:sz w:val="32"/>
          <w:szCs w:val="32"/>
        </w:rPr>
        <w:t>.6</w:t>
      </w:r>
      <w:r>
        <w:rPr>
          <w:rFonts w:hint="eastAsia" w:ascii="仿宋" w:hAnsi="仿宋" w:eastAsia="仿宋"/>
          <w:sz w:val="32"/>
          <w:szCs w:val="32"/>
        </w:rPr>
        <w:t>万元，占</w:t>
      </w:r>
      <w:r>
        <w:rPr>
          <w:rFonts w:ascii="仿宋" w:hAnsi="仿宋" w:eastAsia="仿宋"/>
          <w:sz w:val="32"/>
          <w:szCs w:val="32"/>
        </w:rPr>
        <w:t>69.9%</w:t>
      </w:r>
      <w:r>
        <w:rPr>
          <w:rFonts w:hint="eastAsia" w:ascii="仿宋" w:hAnsi="仿宋" w:eastAsia="仿宋"/>
          <w:sz w:val="32"/>
          <w:szCs w:val="32"/>
        </w:rPr>
        <w:t>；公务接待费支出决算</w:t>
      </w:r>
      <w:r>
        <w:rPr>
          <w:rFonts w:ascii="仿宋" w:hAnsi="仿宋" w:eastAsia="仿宋"/>
          <w:sz w:val="32"/>
          <w:szCs w:val="32"/>
        </w:rPr>
        <w:t>1.55</w:t>
      </w:r>
      <w:r>
        <w:rPr>
          <w:rFonts w:hint="eastAsia" w:ascii="仿宋" w:hAnsi="仿宋" w:eastAsia="仿宋"/>
          <w:sz w:val="32"/>
          <w:szCs w:val="32"/>
        </w:rPr>
        <w:t>万元，占</w:t>
      </w:r>
      <w:r>
        <w:rPr>
          <w:rFonts w:ascii="仿宋" w:hAnsi="仿宋" w:eastAsia="仿宋"/>
          <w:sz w:val="32"/>
          <w:szCs w:val="32"/>
        </w:rPr>
        <w:t>30.1%</w:t>
      </w:r>
      <w:r>
        <w:rPr>
          <w:rFonts w:hint="eastAsia" w:ascii="仿宋" w:hAnsi="仿宋" w:eastAsia="仿宋"/>
          <w:sz w:val="32"/>
          <w:szCs w:val="32"/>
        </w:rPr>
        <w:t>。具体情况如下：</w:t>
      </w:r>
    </w:p>
    <w:p>
      <w:pPr>
        <w:pStyle w:val="2"/>
        <w:spacing w:before="93"/>
      </w:pPr>
    </w:p>
    <w:p>
      <w:pPr>
        <w:pStyle w:val="2"/>
        <w:spacing w:before="93"/>
      </w:pPr>
      <w:r>
        <w:drawing>
          <wp:inline distT="0" distB="0" distL="0" distR="0">
            <wp:extent cx="5391150" cy="4249420"/>
            <wp:effectExtent l="0" t="0" r="0" b="0"/>
            <wp:docPr id="14" name="图片 14" descr="C:\Users\Administrator\Desktop\定期要删除的临时资料\微信\WeChat Files\wxid_1y4uycj7qfjk21\FileStorage\Temp\1701267355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定期要删除的临时资料\微信\WeChat Files\wxid_1y4uycj7qfjk21\FileStorage\Temp\170126735505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94365" cy="4251670"/>
                    </a:xfrm>
                    <a:prstGeom prst="rect">
                      <a:avLst/>
                    </a:prstGeom>
                    <a:noFill/>
                    <a:ln>
                      <a:noFill/>
                    </a:ln>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sz w:val="32"/>
          <w:szCs w:val="32"/>
        </w:rPr>
        <w:t>1.</w:t>
      </w:r>
      <w:r>
        <w:rPr>
          <w:rFonts w:hint="eastAsia" w:ascii="仿宋_GB2312" w:eastAsia="仿宋_GB2312"/>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人。本年无此项经费支出。</w:t>
      </w:r>
    </w:p>
    <w:p>
      <w:pPr>
        <w:spacing w:line="600" w:lineRule="exact"/>
        <w:ind w:firstLine="640"/>
        <w:rPr>
          <w:rFonts w:ascii="仿宋_GB2312" w:eastAsia="仿宋_GB2312"/>
          <w:b/>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3.6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66.92%</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2.16</w:t>
      </w:r>
      <w:r>
        <w:rPr>
          <w:rFonts w:hint="eastAsia" w:ascii="仿宋_GB2312" w:eastAsia="仿宋_GB2312"/>
          <w:sz w:val="32"/>
          <w:szCs w:val="32"/>
        </w:rPr>
        <w:t>万元，下降</w:t>
      </w:r>
      <w:r>
        <w:rPr>
          <w:rFonts w:ascii="仿宋_GB2312" w:eastAsia="仿宋_GB2312"/>
          <w:sz w:val="32"/>
          <w:szCs w:val="32"/>
        </w:rPr>
        <w:t>37.5%</w:t>
      </w:r>
      <w:r>
        <w:rPr>
          <w:rFonts w:hint="eastAsia" w:ascii="仿宋_GB2312" w:eastAsia="仿宋_GB2312"/>
          <w:sz w:val="32"/>
          <w:szCs w:val="32"/>
        </w:rPr>
        <w:t>。主要原因是本年公车外出运行量减少，纳入公车统一管理，单位支出减少。</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15</w:t>
      </w:r>
      <w:r>
        <w:rPr>
          <w:rFonts w:hint="eastAsia" w:ascii="仿宋_GB2312" w:eastAsia="仿宋_GB2312"/>
          <w:sz w:val="32"/>
          <w:szCs w:val="32"/>
        </w:rPr>
        <w:t>辆，其中：轿车7辆、越野车3辆、载客汽车3辆、其他车型2辆。</w:t>
      </w:r>
    </w:p>
    <w:p>
      <w:pPr>
        <w:spacing w:line="600" w:lineRule="exact"/>
        <w:ind w:left="319" w:leftChars="152" w:firstLine="652" w:firstLineChars="204"/>
        <w:rPr>
          <w:rFonts w:ascii="仿宋_GB2312" w:eastAsia="仿宋_GB2312"/>
          <w:sz w:val="32"/>
          <w:szCs w:val="32"/>
        </w:rPr>
      </w:pPr>
      <w:r>
        <w:rPr>
          <w:rFonts w:hint="eastAsia" w:ascii="仿宋_GB2312" w:eastAsia="仿宋_GB2312"/>
          <w:sz w:val="32"/>
          <w:szCs w:val="32"/>
        </w:rPr>
        <w:t>公务用车运行维护费支出</w:t>
      </w:r>
      <w:r>
        <w:rPr>
          <w:rFonts w:ascii="仿宋_GB2312" w:eastAsia="仿宋_GB2312"/>
          <w:sz w:val="32"/>
          <w:szCs w:val="32"/>
        </w:rPr>
        <w:t>3.6</w:t>
      </w:r>
      <w:r>
        <w:rPr>
          <w:rFonts w:hint="eastAsia" w:ascii="仿宋_GB2312" w:eastAsia="仿宋_GB2312"/>
          <w:sz w:val="32"/>
          <w:szCs w:val="32"/>
        </w:rPr>
        <w:t>万元。主要用于文体旅业务工作、旅游执法等（具体工作）等所需的公务用车燃料费、维修费、过路过桥费、保险费等支出。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1.55</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0.98</w:t>
      </w:r>
      <w:r>
        <w:rPr>
          <w:rFonts w:hint="eastAsia" w:ascii="仿宋_GB2312" w:eastAsia="仿宋_GB2312"/>
          <w:sz w:val="32"/>
          <w:szCs w:val="32"/>
        </w:rPr>
        <w:t>万元，下降</w:t>
      </w:r>
      <w:r>
        <w:rPr>
          <w:rFonts w:ascii="仿宋_GB2312" w:eastAsia="仿宋_GB2312"/>
          <w:sz w:val="32"/>
          <w:szCs w:val="32"/>
        </w:rPr>
        <w:t>38.74%</w:t>
      </w:r>
      <w:r>
        <w:rPr>
          <w:rFonts w:hint="eastAsia" w:ascii="仿宋_GB2312" w:eastAsia="仿宋_GB2312"/>
          <w:sz w:val="32"/>
          <w:szCs w:val="32"/>
        </w:rPr>
        <w:t>。主要原因是厉行节约。其中：</w:t>
      </w:r>
    </w:p>
    <w:p>
      <w:pPr>
        <w:spacing w:line="600" w:lineRule="exact"/>
        <w:ind w:firstLine="640"/>
        <w:rPr>
          <w:rFonts w:ascii="仿宋_GB2312" w:eastAsia="仿宋_GB2312"/>
          <w:sz w:val="32"/>
          <w:szCs w:val="32"/>
        </w:rPr>
      </w:pPr>
      <w:r>
        <w:rPr>
          <w:rFonts w:hint="eastAsia" w:ascii="仿宋" w:hAnsi="仿宋" w:eastAsia="仿宋"/>
          <w:sz w:val="32"/>
          <w:szCs w:val="32"/>
        </w:rPr>
        <w:t>国内公务接待支出</w:t>
      </w:r>
      <w:r>
        <w:rPr>
          <w:rFonts w:ascii="仿宋" w:hAnsi="仿宋" w:eastAsia="仿宋"/>
          <w:sz w:val="32"/>
          <w:szCs w:val="32"/>
        </w:rPr>
        <w:t>1.55</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15</w:t>
      </w:r>
      <w:r>
        <w:rPr>
          <w:rFonts w:hint="eastAsia" w:ascii="仿宋_GB2312" w:eastAsia="仿宋_GB2312"/>
          <w:sz w:val="32"/>
          <w:szCs w:val="32"/>
        </w:rPr>
        <w:t>批次，</w:t>
      </w:r>
      <w:r>
        <w:rPr>
          <w:rFonts w:ascii="仿宋_GB2312" w:eastAsia="仿宋_GB2312"/>
          <w:sz w:val="32"/>
          <w:szCs w:val="32"/>
        </w:rPr>
        <w:t>194</w:t>
      </w:r>
      <w:r>
        <w:rPr>
          <w:rFonts w:hint="eastAsia" w:ascii="仿宋_GB2312" w:eastAsia="仿宋_GB2312"/>
          <w:sz w:val="32"/>
          <w:szCs w:val="32"/>
        </w:rPr>
        <w:t>人次（不包括陪同人员），共计支出</w:t>
      </w:r>
      <w:r>
        <w:rPr>
          <w:rFonts w:ascii="仿宋_GB2312" w:eastAsia="仿宋_GB2312"/>
          <w:sz w:val="32"/>
          <w:szCs w:val="32"/>
        </w:rPr>
        <w:t>1.55</w:t>
      </w:r>
      <w:r>
        <w:rPr>
          <w:rFonts w:hint="eastAsia" w:ascii="仿宋_GB2312" w:eastAsia="仿宋_GB2312"/>
          <w:sz w:val="32"/>
          <w:szCs w:val="32"/>
        </w:rPr>
        <w:t>万元，具体内容包括：天府旅游名县集中宣传接待费</w:t>
      </w:r>
      <w:r>
        <w:rPr>
          <w:rFonts w:ascii="仿宋_GB2312" w:eastAsia="仿宋_GB2312"/>
          <w:sz w:val="32"/>
          <w:szCs w:val="32"/>
        </w:rPr>
        <w:t>0.092万</w:t>
      </w:r>
      <w:r>
        <w:rPr>
          <w:rFonts w:hint="eastAsia" w:ascii="仿宋_GB2312" w:eastAsia="仿宋_GB2312"/>
          <w:sz w:val="32"/>
          <w:szCs w:val="32"/>
        </w:rPr>
        <w:t>元、中医药大健康线路调研接待费0</w:t>
      </w:r>
      <w:r>
        <w:rPr>
          <w:rFonts w:ascii="仿宋_GB2312" w:eastAsia="仿宋_GB2312"/>
          <w:sz w:val="32"/>
          <w:szCs w:val="32"/>
        </w:rPr>
        <w:t>.</w:t>
      </w:r>
      <w:r>
        <w:rPr>
          <w:rFonts w:hint="eastAsia" w:ascii="仿宋_GB2312" w:eastAsia="仿宋_GB2312"/>
          <w:sz w:val="32"/>
          <w:szCs w:val="32"/>
        </w:rPr>
        <w:t>13万元、信用经济试点“回头看”接待费0</w:t>
      </w:r>
      <w:r>
        <w:rPr>
          <w:rFonts w:ascii="仿宋_GB2312" w:eastAsia="仿宋_GB2312"/>
          <w:sz w:val="32"/>
          <w:szCs w:val="32"/>
        </w:rPr>
        <w:t>.0</w:t>
      </w:r>
      <w:r>
        <w:rPr>
          <w:rFonts w:hint="eastAsia" w:ascii="仿宋_GB2312" w:eastAsia="仿宋_GB2312"/>
          <w:sz w:val="32"/>
          <w:szCs w:val="32"/>
        </w:rPr>
        <w:t>8万元以及接待绵阳市安川区来峨考察餐费0</w:t>
      </w:r>
      <w:r>
        <w:rPr>
          <w:rFonts w:ascii="仿宋_GB2312" w:eastAsia="仿宋_GB2312"/>
          <w:sz w:val="32"/>
          <w:szCs w:val="32"/>
        </w:rPr>
        <w:t>.</w:t>
      </w:r>
      <w:r>
        <w:rPr>
          <w:rFonts w:hint="eastAsia" w:ascii="仿宋_GB2312" w:eastAsia="仿宋_GB2312"/>
          <w:sz w:val="32"/>
          <w:szCs w:val="32"/>
        </w:rPr>
        <w:t>178万元等。</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_GB2312" w:eastAsia="仿宋_GB2312"/>
          <w:sz w:val="32"/>
          <w:szCs w:val="32"/>
        </w:rPr>
        <w:t>万元，外事接待0批次，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8" w:name="_Toc15396610"/>
      <w:bookmarkStart w:id="49"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8"/>
      <w:bookmarkEnd w:id="4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w:t>
      </w:r>
      <w:r>
        <w:rPr>
          <w:rFonts w:ascii="仿宋" w:hAnsi="仿宋" w:eastAsia="仿宋"/>
          <w:sz w:val="32"/>
          <w:szCs w:val="32"/>
        </w:rPr>
        <w:t>13399.71</w:t>
      </w:r>
      <w:r>
        <w:rPr>
          <w:rFonts w:hint="eastAsia" w:ascii="仿宋" w:hAnsi="仿宋" w:eastAsia="仿宋"/>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50" w:name="_Toc15396611"/>
      <w:bookmarkStart w:id="51" w:name="_Toc15377219"/>
      <w:r>
        <w:rPr>
          <w:rStyle w:val="28"/>
          <w:rFonts w:hint="eastAsia" w:ascii="黑体" w:hAnsi="黑体" w:eastAsia="黑体"/>
          <w:b w:val="0"/>
        </w:rPr>
        <w:t>国有资本经营预算支出决算情况说明</w:t>
      </w:r>
      <w:bookmarkEnd w:id="50"/>
      <w:bookmarkEnd w:id="5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w:t>
      </w:r>
      <w:r>
        <w:rPr>
          <w:rFonts w:ascii="仿宋" w:hAnsi="仿宋" w:eastAsia="仿宋"/>
          <w:sz w:val="32"/>
          <w:szCs w:val="32"/>
        </w:rPr>
        <w:t>0</w:t>
      </w:r>
      <w:r>
        <w:rPr>
          <w:rFonts w:hint="eastAsia" w:ascii="仿宋" w:hAnsi="仿宋" w:eastAsia="仿宋"/>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52" w:name="_Toc15396612"/>
      <w:bookmarkStart w:id="53" w:name="_Toc15377221"/>
      <w:r>
        <w:rPr>
          <w:rStyle w:val="28"/>
          <w:rFonts w:hint="eastAsia" w:ascii="黑体" w:hAnsi="黑体" w:eastAsia="黑体"/>
          <w:b w:val="0"/>
        </w:rPr>
        <w:t>其他重要事项的情况说明</w:t>
      </w:r>
      <w:bookmarkEnd w:id="52"/>
      <w:bookmarkEnd w:id="53"/>
    </w:p>
    <w:p>
      <w:pPr>
        <w:spacing w:line="600" w:lineRule="exact"/>
        <w:ind w:firstLine="643" w:firstLineChars="200"/>
        <w:outlineLvl w:val="2"/>
        <w:rPr>
          <w:rFonts w:ascii="仿宋" w:hAnsi="仿宋" w:eastAsia="仿宋"/>
          <w:sz w:val="32"/>
          <w:szCs w:val="32"/>
        </w:rPr>
      </w:pPr>
      <w:bookmarkStart w:id="54" w:name="_Toc15377222"/>
      <w:r>
        <w:rPr>
          <w:rFonts w:hint="eastAsia" w:ascii="仿宋" w:hAnsi="仿宋" w:eastAsia="仿宋"/>
          <w:b/>
          <w:sz w:val="32"/>
          <w:szCs w:val="32"/>
        </w:rPr>
        <w:t>（一）机关运行经费支出情况</w:t>
      </w:r>
      <w:bookmarkEnd w:id="5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22年，峨眉山市文化体育和旅游局机关运行经费支出</w:t>
      </w:r>
      <w:r>
        <w:rPr>
          <w:rFonts w:ascii="仿宋" w:hAnsi="仿宋" w:eastAsia="仿宋"/>
          <w:sz w:val="32"/>
          <w:szCs w:val="32"/>
        </w:rPr>
        <w:t>115.55</w:t>
      </w:r>
      <w:r>
        <w:rPr>
          <w:rFonts w:hint="eastAsia" w:ascii="仿宋" w:hAnsi="仿宋" w:eastAsia="仿宋"/>
          <w:sz w:val="32"/>
          <w:szCs w:val="32"/>
        </w:rPr>
        <w:t>万元，比2021年减少2.77万元，下降2.34%。主要原因是厉行节约，节能降耗。</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5" w:name="_Toc15377223"/>
      <w:r>
        <w:rPr>
          <w:rFonts w:hint="eastAsia" w:ascii="仿宋" w:hAnsi="仿宋" w:eastAsia="仿宋"/>
          <w:b/>
          <w:sz w:val="32"/>
          <w:szCs w:val="32"/>
        </w:rPr>
        <w:t>（二）政府采购支出情况</w:t>
      </w:r>
      <w:bookmarkEnd w:id="5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22年，峨眉山市文化体育和旅游局政府采购支出总额</w:t>
      </w:r>
      <w:r>
        <w:rPr>
          <w:rFonts w:ascii="仿宋" w:hAnsi="仿宋" w:eastAsia="仿宋"/>
          <w:sz w:val="32"/>
          <w:szCs w:val="32"/>
        </w:rPr>
        <w:t>844.59</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652.06</w:t>
      </w:r>
      <w:r>
        <w:rPr>
          <w:rFonts w:hint="eastAsia" w:ascii="仿宋" w:hAnsi="仿宋" w:eastAsia="仿宋"/>
          <w:sz w:val="32"/>
          <w:szCs w:val="32"/>
        </w:rPr>
        <w:t>万元、政府采购服务支出</w:t>
      </w:r>
      <w:r>
        <w:rPr>
          <w:rFonts w:ascii="仿宋" w:hAnsi="仿宋" w:eastAsia="仿宋"/>
          <w:sz w:val="32"/>
          <w:szCs w:val="32"/>
        </w:rPr>
        <w:t>192.53</w:t>
      </w:r>
      <w:r>
        <w:rPr>
          <w:rFonts w:hint="eastAsia" w:ascii="仿宋" w:hAnsi="仿宋" w:eastAsia="仿宋"/>
          <w:sz w:val="32"/>
          <w:szCs w:val="32"/>
        </w:rPr>
        <w:t>万元。主要用于峨眉山市应急广播系统建设项目652.06万元，2022年峨眉山市地面数字电视全覆盖运行维护服务59.03万元，中央广播电视无线覆盖、省级数字化覆盖及广播电视户户通运行维护项目34.2万元，2022四川冬季旅游启动仪式暨2022四川冰雪和温泉旅游节开幕式99.3万元。授予中小企业合同金额0万元，占政府采购支出总额的0，其中：授予小微企业合同金额0万元，占政府采购支出总额的0。</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6" w:name="_Toc15377224"/>
      <w:r>
        <w:rPr>
          <w:rFonts w:hint="eastAsia" w:ascii="仿宋" w:hAnsi="仿宋" w:eastAsia="仿宋"/>
          <w:b/>
          <w:sz w:val="32"/>
          <w:szCs w:val="32"/>
        </w:rPr>
        <w:t>（三）国有资产占有使用情况</w:t>
      </w:r>
      <w:bookmarkEnd w:id="56"/>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日，峨眉山市文化体育和旅游局共有车辆</w:t>
      </w:r>
      <w:r>
        <w:rPr>
          <w:rFonts w:ascii="仿宋" w:hAnsi="仿宋" w:eastAsia="仿宋"/>
          <w:sz w:val="32"/>
          <w:szCs w:val="32"/>
        </w:rPr>
        <w:t>15</w:t>
      </w:r>
      <w:r>
        <w:rPr>
          <w:rFonts w:hint="eastAsia" w:ascii="仿宋" w:hAnsi="仿宋" w:eastAsia="仿宋"/>
          <w:sz w:val="32"/>
          <w:szCs w:val="32"/>
        </w:rPr>
        <w:t>辆，其中：主要领导干部用车</w:t>
      </w:r>
      <w:r>
        <w:rPr>
          <w:rFonts w:ascii="仿宋" w:hAnsi="仿宋" w:eastAsia="仿宋"/>
          <w:sz w:val="32"/>
          <w:szCs w:val="32"/>
        </w:rPr>
        <w:t>0</w:t>
      </w:r>
      <w:r>
        <w:rPr>
          <w:rFonts w:hint="eastAsia" w:ascii="仿宋" w:hAnsi="仿宋" w:eastAsia="仿宋"/>
          <w:sz w:val="32"/>
          <w:szCs w:val="32"/>
        </w:rPr>
        <w:t>辆、机要通信用车</w:t>
      </w:r>
      <w:r>
        <w:rPr>
          <w:rFonts w:ascii="仿宋" w:hAnsi="仿宋" w:eastAsia="仿宋"/>
          <w:sz w:val="32"/>
          <w:szCs w:val="32"/>
        </w:rPr>
        <w:t>0</w:t>
      </w:r>
      <w:r>
        <w:rPr>
          <w:rFonts w:hint="eastAsia" w:ascii="仿宋" w:hAnsi="仿宋" w:eastAsia="仿宋"/>
          <w:sz w:val="32"/>
          <w:szCs w:val="32"/>
        </w:rPr>
        <w:t>辆、应急保障用车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15</w:t>
      </w:r>
      <w:r>
        <w:rPr>
          <w:rFonts w:hint="eastAsia" w:ascii="仿宋" w:hAnsi="仿宋" w:eastAsia="仿宋"/>
          <w:sz w:val="32"/>
          <w:szCs w:val="32"/>
        </w:rPr>
        <w:t>辆，其他用车主要是用于业务工作、行业检查等。单价</w:t>
      </w:r>
      <w:r>
        <w:rPr>
          <w:rFonts w:ascii="仿宋" w:hAnsi="仿宋" w:eastAsia="仿宋"/>
          <w:sz w:val="32"/>
          <w:szCs w:val="32"/>
        </w:rPr>
        <w:t>100</w:t>
      </w:r>
      <w:r>
        <w:rPr>
          <w:rFonts w:hint="eastAsia" w:ascii="仿宋" w:hAnsi="仿宋" w:eastAsia="仿宋"/>
          <w:sz w:val="32"/>
          <w:szCs w:val="32"/>
        </w:rPr>
        <w:t>万元以上专用设备</w:t>
      </w:r>
      <w:r>
        <w:rPr>
          <w:rFonts w:ascii="仿宋" w:hAnsi="仿宋" w:eastAsia="仿宋"/>
          <w:sz w:val="32"/>
          <w:szCs w:val="32"/>
        </w:rPr>
        <w:t>0</w:t>
      </w:r>
      <w:r>
        <w:rPr>
          <w:rFonts w:hint="eastAsia" w:ascii="仿宋" w:hAnsi="仿宋" w:eastAsia="仿宋"/>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根据预算绩效管理要求，本部门在2022年度预算编制阶段，组织对旅游宣传营销、地面数字更新维护费、免低开地方配套经费、十四届运动会承办级训练经费、旅游咨询点公共服务费、文物保护费等</w:t>
      </w:r>
      <w:r>
        <w:rPr>
          <w:rFonts w:ascii="仿宋" w:hAnsi="仿宋" w:eastAsia="仿宋" w:cs="仿宋_GB2312"/>
          <w:sz w:val="32"/>
          <w:szCs w:val="32"/>
        </w:rPr>
        <w:t>17</w:t>
      </w:r>
      <w:r>
        <w:rPr>
          <w:rFonts w:hint="eastAsia" w:ascii="仿宋" w:hAnsi="仿宋" w:eastAsia="仿宋" w:cs="仿宋_GB2312"/>
          <w:sz w:val="32"/>
          <w:szCs w:val="32"/>
        </w:rPr>
        <w:t>个项目开展了预算事前绩效评估</w:t>
      </w:r>
      <w:r>
        <w:rPr>
          <w:rFonts w:hint="eastAsia" w:ascii="仿宋" w:hAnsi="仿宋" w:eastAsia="仿宋" w:cs="仿宋_GB2312"/>
          <w:sz w:val="32"/>
          <w:szCs w:val="32"/>
          <w:highlight w:val="none"/>
        </w:rPr>
        <w:t>，对</w:t>
      </w:r>
      <w:r>
        <w:rPr>
          <w:rFonts w:ascii="仿宋" w:hAnsi="仿宋" w:eastAsia="仿宋" w:cs="仿宋_GB2312"/>
          <w:sz w:val="32"/>
          <w:szCs w:val="32"/>
          <w:highlight w:val="none"/>
        </w:rPr>
        <w:t>4</w:t>
      </w:r>
      <w:r>
        <w:rPr>
          <w:rFonts w:hint="eastAsia" w:ascii="仿宋" w:hAnsi="仿宋" w:eastAsia="仿宋" w:cs="仿宋_GB2312"/>
          <w:sz w:val="32"/>
          <w:szCs w:val="32"/>
          <w:highlight w:val="none"/>
          <w:lang w:val="en-US" w:eastAsia="zh-CN"/>
        </w:rPr>
        <w:t>6</w:t>
      </w:r>
      <w:r>
        <w:rPr>
          <w:rFonts w:hint="eastAsia" w:ascii="仿宋" w:hAnsi="仿宋" w:eastAsia="仿宋" w:cs="仿宋_GB2312"/>
          <w:sz w:val="32"/>
          <w:szCs w:val="32"/>
          <w:highlight w:val="none"/>
        </w:rPr>
        <w:t>个项目编制了绩效目标，预算执行过程中，选取</w:t>
      </w:r>
      <w:r>
        <w:rPr>
          <w:rFonts w:ascii="仿宋" w:hAnsi="仿宋" w:eastAsia="仿宋" w:cs="仿宋_GB2312"/>
          <w:sz w:val="32"/>
          <w:szCs w:val="32"/>
          <w:highlight w:val="none"/>
        </w:rPr>
        <w:t>4</w:t>
      </w:r>
      <w:r>
        <w:rPr>
          <w:rFonts w:hint="eastAsia" w:ascii="仿宋" w:hAnsi="仿宋" w:eastAsia="仿宋" w:cs="仿宋_GB2312"/>
          <w:sz w:val="32"/>
          <w:szCs w:val="32"/>
          <w:highlight w:val="none"/>
          <w:lang w:val="en-US" w:eastAsia="zh-CN"/>
        </w:rPr>
        <w:t>6</w:t>
      </w:r>
      <w:r>
        <w:rPr>
          <w:rFonts w:hint="eastAsia" w:ascii="仿宋" w:hAnsi="仿宋" w:eastAsia="仿宋" w:cs="仿宋_GB2312"/>
          <w:sz w:val="32"/>
          <w:szCs w:val="32"/>
          <w:highlight w:val="none"/>
        </w:rPr>
        <w:t>个项目开展绩效监控。</w:t>
      </w:r>
    </w:p>
    <w:p>
      <w:pPr>
        <w:widowControl/>
        <w:ind w:firstLine="640" w:firstLineChars="200"/>
        <w:jc w:val="left"/>
        <w:rPr>
          <w:rFonts w:ascii="仿宋" w:hAnsi="仿宋" w:eastAsia="仿宋"/>
          <w:b/>
          <w:sz w:val="32"/>
          <w:szCs w:val="32"/>
        </w:rPr>
      </w:pPr>
      <w:r>
        <w:rPr>
          <w:rFonts w:hint="eastAsia" w:ascii="仿宋" w:hAnsi="仿宋" w:eastAsia="仿宋" w:cs="仿宋_GB2312"/>
          <w:sz w:val="32"/>
          <w:szCs w:val="32"/>
        </w:rPr>
        <w:t>组织对2022年度一般公共预算、政府性基金预算、国有资本经营预算、社会保险基金预算以及资本资产、债券资金等全面开展绩效自评，形成文体旅部门整体绩效自评报告、文体旅预算项目绩效自评报告，绩效自评报告详见附件。</w:t>
      </w:r>
      <w:r>
        <w:rPr>
          <w:rFonts w:ascii="仿宋" w:hAnsi="仿宋" w:eastAsia="仿宋"/>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57" w:name="_Toc15377225"/>
      <w:bookmarkStart w:id="58" w:name="_Toc15396613"/>
      <w:r>
        <w:rPr>
          <w:rFonts w:hint="eastAsia" w:ascii="黑体" w:hAnsi="黑体" w:eastAsia="黑体"/>
          <w:sz w:val="44"/>
          <w:szCs w:val="44"/>
        </w:rPr>
        <w:t>名</w:t>
      </w:r>
      <w:r>
        <w:rPr>
          <w:rStyle w:val="27"/>
          <w:rFonts w:hint="eastAsia" w:ascii="黑体" w:hAnsi="黑体" w:eastAsia="黑体"/>
          <w:b w:val="0"/>
        </w:rPr>
        <w:t>词解释</w:t>
      </w:r>
      <w:bookmarkEnd w:id="57"/>
      <w:bookmarkEnd w:id="58"/>
    </w:p>
    <w:p>
      <w:pPr>
        <w:spacing w:line="600" w:lineRule="exact"/>
        <w:jc w:val="left"/>
        <w:rPr>
          <w:rFonts w:ascii="宋体"/>
          <w:b/>
          <w:sz w:val="44"/>
          <w:szCs w:val="44"/>
        </w:rPr>
      </w:pPr>
    </w:p>
    <w:p>
      <w:pPr>
        <w:pStyle w:val="25"/>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5"/>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5"/>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sz w:val="32"/>
          <w:szCs w:val="32"/>
        </w:rPr>
      </w:pPr>
      <w:r>
        <w:rPr>
          <w:rFonts w:hint="eastAsia" w:ascii="仿宋" w:hAnsi="仿宋" w:eastAsia="仿宋"/>
          <w:sz w:val="32"/>
          <w:szCs w:val="32"/>
        </w:rPr>
        <w:t>9. 文化体育与传媒（类）文化和旅游（款）行政运行（项）：指文化、旅游、文物、体育、广播电视、电影、新闻出版等行政单位（包括实行公务员管理的事业单）的基本支出。</w:t>
      </w:r>
    </w:p>
    <w:p>
      <w:pPr>
        <w:ind w:firstLine="640" w:firstLineChars="200"/>
        <w:rPr>
          <w:rFonts w:ascii="仿宋" w:hAnsi="仿宋" w:eastAsia="仿宋"/>
          <w:sz w:val="32"/>
          <w:szCs w:val="32"/>
        </w:rPr>
      </w:pPr>
      <w:r>
        <w:rPr>
          <w:rFonts w:hint="eastAsia" w:ascii="仿宋" w:hAnsi="仿宋" w:eastAsia="仿宋"/>
          <w:sz w:val="32"/>
          <w:szCs w:val="32"/>
        </w:rPr>
        <w:t>10.文化体育与传媒（类）文化和旅游（款）一般行政事务管理（项）：指文化、旅游、文物、体育、广播电视、电影、新闻出版等行政单位（包括实行公务员管理的事业单）未单独设置项级科目的其他项目支出。</w:t>
      </w:r>
    </w:p>
    <w:p>
      <w:pPr>
        <w:ind w:firstLine="640"/>
        <w:rPr>
          <w:rFonts w:ascii="仿宋" w:hAnsi="仿宋" w:eastAsia="仿宋" w:cs="仿宋"/>
          <w:kern w:val="0"/>
          <w:sz w:val="32"/>
          <w:szCs w:val="32"/>
        </w:rPr>
      </w:pPr>
      <w:r>
        <w:rPr>
          <w:rFonts w:ascii="仿宋" w:hAnsi="仿宋" w:eastAsia="仿宋" w:cs="仿宋"/>
          <w:kern w:val="0"/>
          <w:sz w:val="32"/>
          <w:szCs w:val="32"/>
        </w:rPr>
        <w:t>11.</w:t>
      </w:r>
      <w:r>
        <w:rPr>
          <w:rFonts w:hint="eastAsia" w:ascii="仿宋" w:hAnsi="仿宋" w:eastAsia="仿宋" w:cs="仿宋"/>
          <w:kern w:val="0"/>
          <w:sz w:val="32"/>
          <w:szCs w:val="32"/>
        </w:rPr>
        <w:t>文化旅游体育与传媒（类）文化和旅游（款）图书馆（项）</w:t>
      </w:r>
      <w:r>
        <w:rPr>
          <w:rFonts w:ascii="仿宋" w:hAnsi="仿宋" w:eastAsia="仿宋" w:cs="仿宋"/>
          <w:kern w:val="0"/>
          <w:sz w:val="32"/>
          <w:szCs w:val="32"/>
        </w:rPr>
        <w:t xml:space="preserve">: </w:t>
      </w:r>
      <w:r>
        <w:rPr>
          <w:rFonts w:hint="eastAsia" w:ascii="仿宋" w:hAnsi="仿宋" w:eastAsia="仿宋" w:cs="仿宋"/>
          <w:kern w:val="0"/>
          <w:sz w:val="32"/>
          <w:szCs w:val="32"/>
        </w:rPr>
        <w:t>反映图书馆的支出。</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文化旅游体育与传媒（类）文化和旅游（款）群众文化（项）: 反映群众文化方面的支出，包括基层文化馆（站）、群众艺术馆支出等。</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文化体育与传媒（类）文化和旅游（款）旅游宣传（项）：指反映在境内外开展各类旅游宣传促销活动的支出，包括驻外旅游机构宣传费、境外宣传促销费、境内宣传促销费、海外记者及旅行商接待费、旅游宣传品制作费及设备购置费等。</w:t>
      </w:r>
    </w:p>
    <w:p>
      <w:pPr>
        <w:ind w:firstLine="640" w:firstLineChars="200"/>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文化体育与传媒（类）文化和旅游（款）文化和旅游管理事务（项）：指反映文化和旅游管理事务支出。</w:t>
      </w:r>
    </w:p>
    <w:p>
      <w:pPr>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文化体育与传媒（类）文化和旅游（款）其他文化和旅游支出（项）：指反映除上述项目以外其他用于文化和旅游方面的支出。</w:t>
      </w:r>
    </w:p>
    <w:p>
      <w:pPr>
        <w:pStyle w:val="2"/>
        <w:spacing w:before="93"/>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文化旅游体育与传媒（类）文物（款）其他文物支出（项）: 反映除上述项目以外的其他用于文物方面的支出。</w:t>
      </w:r>
    </w:p>
    <w:p>
      <w:pPr>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文化体育与传媒（类）体育（款）体育场馆（项）：指反映体育场馆建设及维护等方面的支出。</w:t>
      </w:r>
    </w:p>
    <w:p>
      <w:pPr>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文化体育与传媒（类）体育（款）群众体育（项）：指反映业余体校和全民健身等群众体育活动方面的支出。</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文化体育与传媒（类）体育（款）其他体育支出（项）：指反映除上述项目以外其他用于体育方面的支出。</w:t>
      </w:r>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文化体育与传媒（类）广播电视（款）其他广播电视支出（项）：指反映除上述项目以外其他用于广播电视方面的支出。</w:t>
      </w:r>
    </w:p>
    <w:p>
      <w:pPr>
        <w:ind w:firstLine="640" w:firstLineChars="200"/>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文化体育与传媒（类）其他文化体育与传媒支出（款）其他文化体育与传媒支出（项）：指反映除上述项目以外的其他文化体育与传媒方面的支出。</w:t>
      </w:r>
    </w:p>
    <w:p>
      <w:pPr>
        <w:ind w:firstLine="640" w:firstLineChars="200"/>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社会保障和就业（类）行政事业单位养老支出（款）机关事业单位基本养老保险缴费支出（项）:指反映机关事业单位实施养老保险制度由单位缴纳的基本养老保险支出。</w:t>
      </w:r>
    </w:p>
    <w:p>
      <w:pPr>
        <w:ind w:firstLine="640" w:firstLineChars="200"/>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社会保障和就业（类）行政事业单位养老支出（款）机关事业单位职业年金缴费支出（项）:指反映机关事业单位实施养老保险制度由单位实际缴纳的职业年金支出。</w:t>
      </w:r>
    </w:p>
    <w:p>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社会保障和就业（类）抚恤（款）死亡抚恤（项）:指反映按规定用于烈士和牺牲、病故人员家属的一次性和定期抚恤金以及丧葬补助费。</w:t>
      </w:r>
    </w:p>
    <w:p>
      <w:pPr>
        <w:ind w:firstLine="640" w:firstLineChars="200"/>
        <w:rPr>
          <w:rFonts w:ascii="仿宋" w:hAnsi="仿宋" w:eastAsia="仿宋"/>
          <w:sz w:val="32"/>
          <w:szCs w:val="32"/>
        </w:rPr>
      </w:pPr>
      <w:r>
        <w:rPr>
          <w:rFonts w:ascii="仿宋" w:hAnsi="仿宋" w:eastAsia="仿宋"/>
          <w:sz w:val="32"/>
          <w:szCs w:val="32"/>
        </w:rPr>
        <w:t>25.</w:t>
      </w:r>
      <w:r>
        <w:rPr>
          <w:rFonts w:hint="eastAsia" w:ascii="仿宋" w:hAnsi="仿宋" w:eastAsia="仿宋"/>
          <w:sz w:val="32"/>
          <w:szCs w:val="32"/>
        </w:rPr>
        <w:t>社会保障和就业（类）其他社会保障和就业支出（款）其他社会保障和就业支出（项）:是指反映除上述项目以外其他用于社会保障和就业方面的支出。</w:t>
      </w:r>
    </w:p>
    <w:p>
      <w:pPr>
        <w:ind w:firstLine="640" w:firstLineChars="200"/>
        <w:rPr>
          <w:rFonts w:ascii="仿宋" w:hAnsi="仿宋" w:eastAsia="仿宋"/>
          <w:sz w:val="32"/>
          <w:szCs w:val="32"/>
        </w:rPr>
      </w:pPr>
      <w:r>
        <w:rPr>
          <w:rFonts w:ascii="仿宋" w:hAnsi="仿宋" w:eastAsia="仿宋"/>
          <w:sz w:val="32"/>
          <w:szCs w:val="32"/>
        </w:rPr>
        <w:t>26.</w:t>
      </w:r>
      <w:r>
        <w:rPr>
          <w:rFonts w:hint="eastAsia" w:ascii="仿宋" w:hAnsi="仿宋" w:eastAsia="仿宋"/>
          <w:sz w:val="32"/>
          <w:szCs w:val="32"/>
        </w:rPr>
        <w:t>卫生健康支出（类）行政事业单位医疗（款）行政单位医疗（项）:指反映财政部门集中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ascii="仿宋" w:hAnsi="仿宋" w:eastAsia="仿宋"/>
          <w:sz w:val="32"/>
          <w:szCs w:val="32"/>
        </w:rPr>
      </w:pPr>
      <w:r>
        <w:rPr>
          <w:rFonts w:ascii="仿宋" w:hAnsi="仿宋" w:eastAsia="仿宋"/>
          <w:sz w:val="32"/>
          <w:szCs w:val="32"/>
        </w:rPr>
        <w:t>27.</w:t>
      </w:r>
      <w:r>
        <w:rPr>
          <w:rFonts w:hint="eastAsia" w:ascii="仿宋" w:hAnsi="仿宋" w:eastAsia="仿宋"/>
          <w:sz w:val="32"/>
          <w:szCs w:val="32"/>
        </w:rPr>
        <w:t>卫生健康支出（类）行政事业单位医疗（款）事业单位医疗（项）: 反映财政部门安排的事业单位基本医疗保险缴费经费，未参加医疗保险的事业单位的公费医疗经费，按国家规定享受离休人员待遇的医疗经费。</w:t>
      </w:r>
    </w:p>
    <w:p>
      <w:pPr>
        <w:ind w:firstLine="640" w:firstLineChars="200"/>
        <w:rPr>
          <w:rFonts w:ascii="仿宋" w:hAnsi="仿宋" w:eastAsia="仿宋"/>
          <w:sz w:val="32"/>
          <w:szCs w:val="32"/>
        </w:rPr>
      </w:pPr>
      <w:r>
        <w:rPr>
          <w:rFonts w:ascii="仿宋" w:hAnsi="仿宋" w:eastAsia="仿宋"/>
          <w:sz w:val="32"/>
          <w:szCs w:val="32"/>
        </w:rPr>
        <w:t>28.</w:t>
      </w:r>
      <w:r>
        <w:rPr>
          <w:rFonts w:hint="eastAsia" w:ascii="仿宋" w:hAnsi="仿宋" w:eastAsia="仿宋"/>
          <w:sz w:val="32"/>
          <w:szCs w:val="32"/>
        </w:rPr>
        <w:t>卫生健康支出（类）行政事业单位医疗（款）公务员医疗补助（项）:反映财政部门安排的公务员医疗补助经费。</w:t>
      </w:r>
    </w:p>
    <w:p>
      <w:pPr>
        <w:ind w:firstLine="640" w:firstLineChars="200"/>
        <w:rPr>
          <w:rFonts w:ascii="仿宋" w:hAnsi="仿宋" w:eastAsia="仿宋"/>
          <w:sz w:val="32"/>
          <w:szCs w:val="32"/>
        </w:rPr>
      </w:pPr>
      <w:r>
        <w:rPr>
          <w:rFonts w:ascii="仿宋" w:hAnsi="仿宋" w:eastAsia="仿宋"/>
          <w:sz w:val="32"/>
          <w:szCs w:val="32"/>
        </w:rPr>
        <w:t>29.</w:t>
      </w:r>
      <w:r>
        <w:rPr>
          <w:rFonts w:hint="eastAsia" w:ascii="仿宋" w:hAnsi="仿宋" w:eastAsia="仿宋"/>
          <w:sz w:val="32"/>
          <w:szCs w:val="32"/>
        </w:rPr>
        <w:t>城乡社区支出（类）国有土地使用权出让收入安排的支出（款）土地开发支出（项）：反映新疆生产建设兵团和地方政府用于前期土地开发性支出以及与前期土地开发相关的费用等支出。</w:t>
      </w:r>
    </w:p>
    <w:p>
      <w:pPr>
        <w:ind w:firstLine="640" w:firstLineChars="200"/>
        <w:rPr>
          <w:rFonts w:ascii="仿宋" w:hAnsi="仿宋" w:eastAsia="仿宋"/>
          <w:sz w:val="32"/>
          <w:szCs w:val="32"/>
        </w:rPr>
      </w:pPr>
      <w:r>
        <w:rPr>
          <w:rFonts w:ascii="仿宋" w:hAnsi="仿宋" w:eastAsia="仿宋"/>
          <w:sz w:val="32"/>
          <w:szCs w:val="32"/>
        </w:rPr>
        <w:t>30.</w:t>
      </w:r>
      <w:r>
        <w:rPr>
          <w:rFonts w:hint="eastAsia" w:ascii="仿宋" w:hAnsi="仿宋" w:eastAsia="仿宋"/>
          <w:sz w:val="32"/>
          <w:szCs w:val="32"/>
        </w:rPr>
        <w:t>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pPr>
        <w:ind w:firstLine="640" w:firstLineChars="200"/>
        <w:rPr>
          <w:rFonts w:ascii="仿宋" w:hAnsi="仿宋" w:eastAsia="仿宋"/>
          <w:sz w:val="32"/>
          <w:szCs w:val="32"/>
        </w:rPr>
      </w:pPr>
      <w:r>
        <w:rPr>
          <w:rFonts w:ascii="仿宋" w:hAnsi="仿宋" w:eastAsia="仿宋"/>
          <w:sz w:val="32"/>
          <w:szCs w:val="32"/>
        </w:rPr>
        <w:t>31.</w:t>
      </w:r>
      <w:r>
        <w:rPr>
          <w:rFonts w:hint="eastAsia" w:ascii="仿宋" w:hAnsi="仿宋" w:eastAsia="仿宋"/>
          <w:sz w:val="32"/>
          <w:szCs w:val="32"/>
        </w:rPr>
        <w:t>城乡社区支出（类）国有土地收益基金安排的支出（款）  其他国有土地收益基金支出（项）：反映从国有土地收益基金安排用于其他支出。</w:t>
      </w:r>
    </w:p>
    <w:p>
      <w:pPr>
        <w:ind w:firstLine="640" w:firstLineChars="200"/>
        <w:rPr>
          <w:rFonts w:ascii="仿宋" w:hAnsi="仿宋" w:eastAsia="仿宋"/>
          <w:sz w:val="32"/>
          <w:szCs w:val="32"/>
        </w:rPr>
      </w:pPr>
      <w:r>
        <w:rPr>
          <w:rFonts w:ascii="仿宋" w:hAnsi="仿宋" w:eastAsia="仿宋"/>
          <w:sz w:val="32"/>
          <w:szCs w:val="32"/>
        </w:rPr>
        <w:t>32.</w:t>
      </w:r>
      <w:r>
        <w:rPr>
          <w:rFonts w:hint="eastAsia" w:ascii="仿宋" w:hAnsi="仿宋" w:eastAsia="仿宋"/>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ascii="仿宋" w:hAnsi="仿宋" w:eastAsia="仿宋"/>
          <w:sz w:val="32"/>
          <w:szCs w:val="32"/>
        </w:rPr>
        <w:t>33.</w:t>
      </w:r>
      <w:r>
        <w:rPr>
          <w:rFonts w:hint="eastAsia" w:ascii="仿宋" w:hAnsi="仿宋" w:eastAsia="仿宋"/>
          <w:sz w:val="32"/>
          <w:szCs w:val="32"/>
        </w:rPr>
        <w:t>其他支出（类）其他政府性基金及对应专项债务收入安排的支出（款）其他地方自行试点项目收益专项债券收入（项）:指其他地方自行试点项目收益专项债券收入安排的支出。</w:t>
      </w:r>
    </w:p>
    <w:p>
      <w:pPr>
        <w:ind w:firstLine="640" w:firstLineChars="200"/>
        <w:rPr>
          <w:rFonts w:ascii="仿宋" w:hAnsi="仿宋" w:eastAsia="仿宋"/>
          <w:sz w:val="32"/>
          <w:szCs w:val="32"/>
        </w:rPr>
      </w:pPr>
      <w:r>
        <w:rPr>
          <w:rFonts w:ascii="仿宋" w:hAnsi="仿宋" w:eastAsia="仿宋"/>
          <w:sz w:val="32"/>
          <w:szCs w:val="32"/>
        </w:rPr>
        <w:t>34.</w:t>
      </w:r>
      <w:r>
        <w:rPr>
          <w:rFonts w:hint="eastAsia" w:ascii="仿宋" w:hAnsi="仿宋" w:eastAsia="仿宋"/>
          <w:sz w:val="32"/>
          <w:szCs w:val="32"/>
        </w:rPr>
        <w:t>其他支出（类）彩票公益金安排的支出（款）用于体育事业的彩票公益金支出（项）:反映用于体育事业的彩票公益金支出。</w:t>
      </w:r>
    </w:p>
    <w:p>
      <w:pPr>
        <w:ind w:firstLine="640" w:firstLineChars="200"/>
        <w:rPr>
          <w:rFonts w:ascii="仿宋" w:hAnsi="仿宋" w:eastAsia="仿宋"/>
          <w:sz w:val="32"/>
          <w:szCs w:val="32"/>
        </w:rPr>
      </w:pPr>
      <w:r>
        <w:rPr>
          <w:rFonts w:ascii="仿宋" w:hAnsi="仿宋" w:eastAsia="仿宋"/>
          <w:sz w:val="32"/>
          <w:szCs w:val="32"/>
        </w:rPr>
        <w:t>35.</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36.</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37.</w:t>
      </w:r>
      <w:r>
        <w:rPr>
          <w:rFonts w:hint="eastAsia" w:ascii="仿宋" w:hAnsi="仿宋" w:eastAsia="仿宋"/>
          <w:sz w:val="32"/>
          <w:szCs w:val="32"/>
        </w:rPr>
        <w:t>经营支出：指事业单位在专业业务活动及其辅助活动之外开展非独立核算经营活动发生的支出。</w:t>
      </w:r>
    </w:p>
    <w:p>
      <w:pPr>
        <w:pStyle w:val="25"/>
        <w:spacing w:line="560" w:lineRule="exact"/>
        <w:ind w:firstLine="640" w:firstLineChars="200"/>
        <w:rPr>
          <w:rFonts w:hAnsi="仿宋"/>
          <w:color w:val="auto"/>
          <w:sz w:val="32"/>
          <w:szCs w:val="32"/>
        </w:rPr>
      </w:pPr>
      <w:r>
        <w:rPr>
          <w:rFonts w:hAnsi="仿宋"/>
          <w:color w:val="auto"/>
          <w:sz w:val="32"/>
          <w:szCs w:val="32"/>
        </w:rPr>
        <w:t>38.</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color w:val="auto"/>
          <w:sz w:val="32"/>
          <w:szCs w:val="32"/>
        </w:rPr>
      </w:pPr>
      <w:r>
        <w:rPr>
          <w:rFonts w:hAnsi="仿宋"/>
          <w:color w:val="auto"/>
          <w:sz w:val="32"/>
          <w:szCs w:val="32"/>
        </w:rPr>
        <w:t>39.</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rPr>
      </w:pPr>
    </w:p>
    <w:p>
      <w:pPr>
        <w:ind w:firstLine="420" w:firstLineChars="200"/>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Fonts w:ascii="黑体" w:hAnsi="黑体" w:eastAsia="黑体"/>
          <w:sz w:val="44"/>
          <w:szCs w:val="44"/>
        </w:rPr>
      </w:pPr>
      <w:bookmarkStart w:id="59" w:name="_Toc15396614"/>
      <w:bookmarkStart w:id="60"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59"/>
    </w:p>
    <w:p>
      <w:pPr>
        <w:spacing w:line="572" w:lineRule="exact"/>
        <w:jc w:val="left"/>
        <w:outlineLvl w:val="0"/>
        <w:rPr>
          <w:rFonts w:ascii="仿宋" w:hAnsi="仿宋" w:eastAsia="仿宋" w:cs="黑体"/>
          <w:b/>
          <w:sz w:val="32"/>
          <w:szCs w:val="32"/>
        </w:rPr>
      </w:pPr>
      <w:r>
        <w:rPr>
          <w:rFonts w:hint="eastAsia" w:ascii="仿宋" w:hAnsi="仿宋" w:eastAsia="仿宋" w:cs="黑体"/>
          <w:b/>
          <w:sz w:val="32"/>
          <w:szCs w:val="32"/>
        </w:rPr>
        <w:t>附件1</w:t>
      </w:r>
    </w:p>
    <w:p>
      <w:pPr>
        <w:widowControl/>
        <w:spacing w:line="580" w:lineRule="exact"/>
        <w:contextualSpacing/>
        <w:rPr>
          <w:rFonts w:ascii="宋体" w:hAnsi="宋体"/>
          <w:b/>
          <w:sz w:val="44"/>
          <w:szCs w:val="44"/>
          <w:shd w:val="clear" w:color="auto" w:fill="FFFFFF"/>
        </w:rPr>
      </w:pPr>
    </w:p>
    <w:p>
      <w:pPr>
        <w:widowControl/>
        <w:spacing w:line="580" w:lineRule="exact"/>
        <w:ind w:firstLine="964" w:firstLineChars="300"/>
        <w:contextualSpacing/>
        <w:jc w:val="center"/>
        <w:rPr>
          <w:rFonts w:ascii="宋体" w:hAnsi="宋体"/>
          <w:b/>
          <w:sz w:val="32"/>
          <w:szCs w:val="32"/>
          <w:shd w:val="clear" w:color="auto" w:fill="FFFFFF"/>
        </w:rPr>
      </w:pPr>
      <w:r>
        <w:rPr>
          <w:rFonts w:hint="eastAsia" w:ascii="宋体" w:hAnsi="宋体"/>
          <w:b/>
          <w:sz w:val="32"/>
          <w:szCs w:val="32"/>
          <w:shd w:val="clear" w:color="auto" w:fill="FFFFFF"/>
        </w:rPr>
        <w:t>峨眉山市文化体育和旅游局</w:t>
      </w:r>
    </w:p>
    <w:p>
      <w:pPr>
        <w:widowControl/>
        <w:spacing w:line="580" w:lineRule="exact"/>
        <w:ind w:firstLine="964" w:firstLineChars="300"/>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2023年部门整体支出绩效评价报告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60" w:lineRule="exact"/>
        <w:ind w:firstLine="643" w:firstLineChars="200"/>
        <w:contextualSpacing/>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zh-CN"/>
        </w:rPr>
        <w:t>市文体旅局及下属二级预算单位</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lang w:val="zh-CN"/>
        </w:rPr>
        <w:t>个，其中行政单位</w:t>
      </w:r>
      <w:r>
        <w:rPr>
          <w:rFonts w:hint="eastAsia"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lang w:val="zh-CN"/>
        </w:rPr>
        <w:t>个，其他事业单位</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lang w:val="zh-CN"/>
        </w:rPr>
        <w:t>个。主要包括：峨眉山市文化馆、峨眉山市图书馆、峨眉山市博物馆、峨眉山市体育发展中心、峨眉山市文化旅游和度假服务中心等。</w:t>
      </w:r>
    </w:p>
    <w:p>
      <w:pPr>
        <w:ind w:firstLine="960" w:firstLineChars="300"/>
        <w:rPr>
          <w:rFonts w:ascii="仿宋" w:hAnsi="仿宋" w:eastAsia="仿宋"/>
          <w:sz w:val="32"/>
          <w:szCs w:val="32"/>
        </w:rPr>
      </w:pPr>
      <w:r>
        <w:rPr>
          <w:rFonts w:hint="eastAsia" w:ascii="仿宋" w:hAnsi="仿宋" w:eastAsia="仿宋"/>
          <w:sz w:val="32"/>
          <w:szCs w:val="32"/>
        </w:rPr>
        <w:t>职能职责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拟订文化、体育、旅游、广播电视、文物保护相关的政策措施和规范性文件并组织实施，负责本部门依法行政工作。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组织推动全市文化事业、文化产业、体育事业、体育产业、旅游业、广播电视、文物保护业发展，研究解决发展中的问题并提出政策建议，拟订发展规划并组织实施;推进文化、体育、旅游和广播电视体制机制改革落实。</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管理全市重大文化、体育、旅游、广播电视活动，指导全市重点文化、体育、旅游、广播电视、文物设施建设，组织全市文化和旅游整体形象推广，制定旅游市场开发战略并组织实施，推进全域旅游。</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推进文化和旅游融合发展，推动文化作品创作和旅游产品开发，促进文化和旅游产业深度融合。</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指导管理文艺事业，推动艺术创作生产，扶持体现社会主义核心价值观、具有导向性代表性示范性的文艺作品，推动各门类艺术、各艺术品种发展，推动中华优秀传统文化和地方特色文化传承发展。</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负责公共文化、体育事业发展，推进全市公共文化服务体系建设、旅游公共服务建设、多元化体育服务体系建设，深入实施文化惠民工程，统筹推进基本公共文化服务标准化、均等</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统筹规划全市群众体育发展，负责推行全民健身计划，监督实施国家体育锻炼标准，推动全市国民体质监测和社会体育指导工作队伍制度建设，指导公共体育设施建设，负责对公共体育设施的监督管理。</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推进文化、旅游和广播电视科技创新发展，推进文化和旅游行业信息化、标准化、规范化建设。</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负责非物质文化遗产保护，推动非物质文化遗产的保护、传承、普及、弘扬和振兴。</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组织实施文化和旅游资源普查、挖掘、保护与利用工作，促进文化产业和旅游产业发展。</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指导文化旅游和广播电视市场发展，对市场经营进行行业监管，推进文化旅游和广播电视行业信用体系建设，依法规范文化旅游和广播电视市场。</w:t>
      </w:r>
    </w:p>
    <w:p>
      <w:pPr>
        <w:ind w:firstLine="640" w:firstLineChars="200"/>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拟订文化和旅游市场经营场所、设施、服务、产品等标准并监督实施。监督管理旅游市场秩序、旅游服务质量。指导全市文化旅游市场综合执法，维护市场秩序。</w:t>
      </w:r>
    </w:p>
    <w:p>
      <w:pPr>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负责管理文化、体育、旅游、广播电视和文物对外交流合作与宣传推广工作。组织大型文化、体育、旅游、广播电视、文物对外交流活动。</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指导、协调全市性重大广播电视宣传活动，组织实施广播电视节目评价工作。监督管理、审查广播电视和网络视听节目的内容及质量。指导、监督广播电视广告播放。</w:t>
      </w:r>
    </w:p>
    <w:p>
      <w:pPr>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负责组织文化遗产、历史文化名城(镇、村)的申报和监督管理工作。</w:t>
      </w:r>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推动完善全市文物和博物馆公共服务体系建设。指导博物馆建设管理和社会文物管理工作。组织指导文物和博物馆，领域重大科研项目、科技保护、标准化建设。推动文物和博物馆领域装备技术提升。</w:t>
      </w:r>
    </w:p>
    <w:p>
      <w:pPr>
        <w:ind w:firstLine="640" w:firstLineChars="200"/>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负责职责范围内的安全生产和职业健康、生态环境保护、审批服务便民化等工作。</w:t>
      </w:r>
    </w:p>
    <w:p>
      <w:pPr>
        <w:ind w:firstLine="640" w:firstLineChars="200"/>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完成市委、市政府交办的其他工作。</w:t>
      </w:r>
    </w:p>
    <w:p>
      <w:pPr>
        <w:ind w:firstLine="640" w:firstLineChars="200"/>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职能转变。</w:t>
      </w:r>
    </w:p>
    <w:p>
      <w:pPr>
        <w:ind w:firstLine="640" w:firstLineChars="200"/>
        <w:rPr>
          <w:rFonts w:ascii="仿宋" w:hAnsi="仿宋" w:eastAsia="仿宋"/>
          <w:sz w:val="32"/>
          <w:szCs w:val="32"/>
        </w:rPr>
      </w:pPr>
      <w:r>
        <w:rPr>
          <w:rFonts w:hint="eastAsia" w:ascii="仿宋" w:hAnsi="仿宋" w:eastAsia="仿宋"/>
          <w:sz w:val="32"/>
          <w:szCs w:val="32"/>
        </w:rPr>
        <w:t>（1）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ind w:firstLine="640" w:firstLineChars="200"/>
        <w:rPr>
          <w:rFonts w:ascii="仿宋" w:hAnsi="仿宋" w:eastAsia="仿宋"/>
          <w:sz w:val="32"/>
          <w:szCs w:val="32"/>
        </w:rPr>
      </w:pPr>
      <w:r>
        <w:rPr>
          <w:rFonts w:hint="eastAsia" w:ascii="仿宋" w:hAnsi="仿宋" w:eastAsia="仿宋"/>
          <w:sz w:val="32"/>
          <w:szCs w:val="32"/>
        </w:rPr>
        <w:t>（2）统筹推进承担行政职能的事业单位改革，市文物管理局不再承担相关行政职责,交由市文体旅游局机关有关内设机构承担。</w:t>
      </w:r>
    </w:p>
    <w:p>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有关职责分工。</w:t>
      </w:r>
    </w:p>
    <w:p>
      <w:pPr>
        <w:ind w:firstLine="640" w:firstLineChars="200"/>
        <w:rPr>
          <w:rFonts w:ascii="仿宋" w:hAnsi="仿宋" w:eastAsia="仿宋"/>
          <w:sz w:val="32"/>
          <w:szCs w:val="32"/>
        </w:rPr>
      </w:pPr>
      <w:r>
        <w:rPr>
          <w:rFonts w:hint="eastAsia" w:ascii="仿宋" w:hAnsi="仿宋" w:eastAsia="仿宋"/>
          <w:sz w:val="32"/>
          <w:szCs w:val="32"/>
        </w:rPr>
        <w:t>与市商务局有关职责分工。市商务局负责住宿业的行业管理。市文体旅游局负责星级酒店、星级农家乐、精品民宿的日常管理和安全监督管理。</w:t>
      </w:r>
    </w:p>
    <w:p>
      <w:pPr>
        <w:widowControl/>
        <w:numPr>
          <w:ilvl w:val="0"/>
          <w:numId w:val="5"/>
        </w:numPr>
        <w:adjustRightInd w:val="0"/>
        <w:snapToGrid w:val="0"/>
        <w:spacing w:line="560" w:lineRule="exact"/>
        <w:ind w:firstLine="643" w:firstLineChars="200"/>
        <w:contextualSpacing/>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人员概况</w:t>
      </w:r>
    </w:p>
    <w:p>
      <w:pPr>
        <w:spacing w:line="600" w:lineRule="exact"/>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文体旅游局部门</w:t>
      </w:r>
      <w:r>
        <w:rPr>
          <w:rFonts w:hint="eastAsia" w:ascii="仿宋_GB2312" w:hAnsi="仿宋" w:eastAsia="仿宋_GB2312"/>
          <w:sz w:val="32"/>
          <w:szCs w:val="32"/>
        </w:rPr>
        <w:t>总编制6</w:t>
      </w:r>
      <w:r>
        <w:rPr>
          <w:rFonts w:ascii="仿宋_GB2312" w:hAnsi="仿宋" w:eastAsia="仿宋_GB2312"/>
          <w:sz w:val="32"/>
          <w:szCs w:val="32"/>
        </w:rPr>
        <w:t>3</w:t>
      </w:r>
      <w:r>
        <w:rPr>
          <w:rFonts w:hint="eastAsia" w:ascii="仿宋_GB2312" w:hAnsi="仿宋" w:eastAsia="仿宋_GB2312"/>
          <w:sz w:val="32"/>
          <w:szCs w:val="32"/>
        </w:rPr>
        <w:t>个，其中:行政编制</w:t>
      </w:r>
      <w:r>
        <w:rPr>
          <w:rFonts w:ascii="仿宋_GB2312" w:hAnsi="仿宋" w:eastAsia="仿宋_GB2312"/>
          <w:sz w:val="32"/>
          <w:szCs w:val="32"/>
        </w:rPr>
        <w:t>15</w:t>
      </w:r>
      <w:r>
        <w:rPr>
          <w:rFonts w:hint="eastAsia" w:ascii="仿宋_GB2312" w:hAnsi="仿宋" w:eastAsia="仿宋_GB2312"/>
          <w:sz w:val="32"/>
          <w:szCs w:val="32"/>
        </w:rPr>
        <w:t>个，</w:t>
      </w:r>
      <w:r>
        <w:rPr>
          <w:rFonts w:ascii="仿宋" w:hAnsi="仿宋" w:eastAsia="仿宋" w:cs="仿宋"/>
          <w:color w:val="000000"/>
          <w:kern w:val="0"/>
          <w:sz w:val="32"/>
          <w:szCs w:val="32"/>
          <w:shd w:val="clear" w:color="auto" w:fill="FFFFFF"/>
        </w:rPr>
        <w:t>参照公务员管理编制</w:t>
      </w:r>
      <w:r>
        <w:rPr>
          <w:rFonts w:hint="eastAsia" w:ascii="仿宋" w:hAnsi="仿宋" w:eastAsia="仿宋" w:cs="仿宋"/>
          <w:color w:val="000000"/>
          <w:kern w:val="0"/>
          <w:sz w:val="32"/>
          <w:szCs w:val="32"/>
          <w:shd w:val="clear" w:color="auto" w:fill="FFFFFF"/>
        </w:rPr>
        <w:t>1</w:t>
      </w:r>
      <w:r>
        <w:rPr>
          <w:rFonts w:ascii="仿宋" w:hAnsi="仿宋" w:eastAsia="仿宋" w:cs="仿宋"/>
          <w:color w:val="000000"/>
          <w:kern w:val="0"/>
          <w:sz w:val="32"/>
          <w:szCs w:val="32"/>
          <w:shd w:val="clear" w:color="auto" w:fill="FFFFFF"/>
        </w:rPr>
        <w:t>1人，</w:t>
      </w:r>
      <w:r>
        <w:rPr>
          <w:rFonts w:hint="eastAsia" w:ascii="仿宋_GB2312" w:hAnsi="仿宋" w:eastAsia="仿宋_GB2312"/>
          <w:sz w:val="32"/>
          <w:szCs w:val="32"/>
        </w:rPr>
        <w:t>工勤编制2个，事业编制</w:t>
      </w:r>
      <w:r>
        <w:rPr>
          <w:rFonts w:ascii="仿宋_GB2312" w:hAnsi="仿宋" w:eastAsia="仿宋_GB2312"/>
          <w:sz w:val="32"/>
          <w:szCs w:val="32"/>
        </w:rPr>
        <w:t>35</w:t>
      </w:r>
      <w:r>
        <w:rPr>
          <w:rFonts w:hint="eastAsia" w:ascii="仿宋_GB2312" w:hAnsi="仿宋" w:eastAsia="仿宋_GB2312"/>
          <w:sz w:val="32"/>
          <w:szCs w:val="32"/>
        </w:rPr>
        <w:t>个。在职人员总数</w:t>
      </w:r>
      <w:r>
        <w:rPr>
          <w:rFonts w:ascii="仿宋_GB2312" w:hAnsi="仿宋" w:eastAsia="仿宋_GB2312"/>
          <w:sz w:val="32"/>
          <w:szCs w:val="32"/>
        </w:rPr>
        <w:t>76</w:t>
      </w:r>
      <w:r>
        <w:rPr>
          <w:rFonts w:hint="eastAsia" w:ascii="仿宋_GB2312" w:hAnsi="仿宋" w:eastAsia="仿宋_GB2312"/>
          <w:sz w:val="32"/>
          <w:szCs w:val="32"/>
        </w:rPr>
        <w:t>个，</w:t>
      </w:r>
      <w:r>
        <w:rPr>
          <w:rFonts w:hint="eastAsia" w:ascii="仿宋" w:hAnsi="仿宋" w:eastAsia="仿宋" w:cs="仿宋"/>
          <w:color w:val="000000"/>
          <w:kern w:val="0"/>
          <w:sz w:val="32"/>
          <w:szCs w:val="32"/>
          <w:shd w:val="clear" w:color="auto" w:fill="FFFFFF"/>
        </w:rPr>
        <w:t>其中：行政编制2</w:t>
      </w:r>
      <w:r>
        <w:rPr>
          <w:rFonts w:ascii="仿宋" w:hAnsi="仿宋" w:eastAsia="仿宋" w:cs="仿宋"/>
          <w:color w:val="000000"/>
          <w:kern w:val="0"/>
          <w:sz w:val="32"/>
          <w:szCs w:val="32"/>
          <w:shd w:val="clear" w:color="auto" w:fill="FFFFFF"/>
        </w:rPr>
        <w:t>9人，参公编制11人，事业编制</w:t>
      </w:r>
      <w:r>
        <w:rPr>
          <w:rFonts w:hint="eastAsia" w:ascii="仿宋" w:hAnsi="仿宋" w:eastAsia="仿宋" w:cs="仿宋"/>
          <w:color w:val="000000"/>
          <w:kern w:val="0"/>
          <w:sz w:val="32"/>
          <w:szCs w:val="32"/>
          <w:shd w:val="clear" w:color="auto" w:fill="FFFFFF"/>
        </w:rPr>
        <w:t>3</w:t>
      </w:r>
      <w:r>
        <w:rPr>
          <w:rFonts w:ascii="仿宋" w:hAnsi="仿宋" w:eastAsia="仿宋" w:cs="仿宋"/>
          <w:color w:val="000000"/>
          <w:kern w:val="0"/>
          <w:sz w:val="32"/>
          <w:szCs w:val="32"/>
          <w:shd w:val="clear" w:color="auto" w:fill="FFFFFF"/>
        </w:rPr>
        <w:t>6人</w:t>
      </w:r>
      <w:r>
        <w:rPr>
          <w:rFonts w:hint="eastAsia" w:ascii="仿宋" w:hAnsi="仿宋" w:eastAsia="仿宋" w:cs="仿宋"/>
          <w:color w:val="000000"/>
          <w:kern w:val="0"/>
          <w:sz w:val="32"/>
          <w:szCs w:val="32"/>
          <w:shd w:val="clear" w:color="auto" w:fill="FFFFFF"/>
        </w:rPr>
        <w:t>。</w:t>
      </w:r>
    </w:p>
    <w:p>
      <w:pPr>
        <w:widowControl/>
        <w:adjustRightInd w:val="0"/>
        <w:snapToGrid w:val="0"/>
        <w:spacing w:line="580" w:lineRule="exact"/>
        <w:ind w:firstLine="643" w:firstLineChars="200"/>
        <w:contextualSpacing/>
        <w:jc w:val="left"/>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spacing w:line="600"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2022年财政资金收入总额为</w:t>
      </w:r>
      <w:r>
        <w:rPr>
          <w:rFonts w:ascii="仿宋" w:hAnsi="仿宋" w:eastAsia="仿宋" w:cs="仿宋"/>
          <w:color w:val="000000"/>
          <w:kern w:val="0"/>
          <w:sz w:val="32"/>
          <w:szCs w:val="32"/>
          <w:shd w:val="clear" w:color="auto" w:fill="FFFFFF"/>
        </w:rPr>
        <w:t>3584.06</w:t>
      </w:r>
      <w:r>
        <w:rPr>
          <w:rFonts w:hint="eastAsia" w:ascii="仿宋" w:hAnsi="仿宋" w:eastAsia="仿宋" w:cs="仿宋"/>
          <w:color w:val="000000"/>
          <w:kern w:val="0"/>
          <w:sz w:val="32"/>
          <w:szCs w:val="32"/>
          <w:shd w:val="clear" w:color="auto" w:fill="FFFFFF"/>
        </w:rPr>
        <w:t>万元，全部为财政拨款收入。预算收入为</w:t>
      </w:r>
      <w:r>
        <w:rPr>
          <w:rFonts w:ascii="仿宋" w:hAnsi="仿宋" w:eastAsia="仿宋" w:cs="仿宋"/>
          <w:color w:val="000000"/>
          <w:kern w:val="0"/>
          <w:sz w:val="32"/>
          <w:szCs w:val="32"/>
          <w:shd w:val="clear" w:color="auto" w:fill="FFFFFF"/>
        </w:rPr>
        <w:t>2132.06</w:t>
      </w:r>
      <w:r>
        <w:rPr>
          <w:rFonts w:hint="eastAsia" w:ascii="仿宋" w:hAnsi="仿宋" w:eastAsia="仿宋" w:cs="仿宋"/>
          <w:color w:val="000000"/>
          <w:kern w:val="0"/>
          <w:sz w:val="32"/>
          <w:szCs w:val="32"/>
          <w:shd w:val="clear" w:color="auto" w:fill="FFFFFF"/>
        </w:rPr>
        <w:t>万元，其中政府性基金预算资金</w:t>
      </w:r>
      <w:r>
        <w:rPr>
          <w:rFonts w:ascii="仿宋" w:hAnsi="仿宋" w:eastAsia="仿宋" w:cs="仿宋"/>
          <w:color w:val="000000"/>
          <w:kern w:val="0"/>
          <w:sz w:val="32"/>
          <w:szCs w:val="32"/>
          <w:shd w:val="clear" w:color="auto" w:fill="FFFFFF"/>
        </w:rPr>
        <w:t>1452</w:t>
      </w:r>
      <w:r>
        <w:rPr>
          <w:rFonts w:hint="eastAsia" w:ascii="仿宋" w:hAnsi="仿宋" w:eastAsia="仿宋" w:cs="仿宋"/>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（二）部门财政资金支出情况。</w:t>
      </w:r>
    </w:p>
    <w:p>
      <w:pPr>
        <w:spacing w:line="600"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2022年财政资金支出总额为</w:t>
      </w:r>
      <w:r>
        <w:rPr>
          <w:rFonts w:ascii="仿宋" w:hAnsi="仿宋" w:eastAsia="仿宋" w:cs="仿宋"/>
          <w:color w:val="000000"/>
          <w:kern w:val="0"/>
          <w:sz w:val="32"/>
          <w:szCs w:val="32"/>
          <w:shd w:val="clear" w:color="auto" w:fill="FFFFFF"/>
        </w:rPr>
        <w:t>15670.13</w:t>
      </w:r>
      <w:r>
        <w:rPr>
          <w:rFonts w:hint="eastAsia" w:ascii="仿宋" w:hAnsi="仿宋" w:eastAsia="仿宋" w:cs="仿宋"/>
          <w:color w:val="000000"/>
          <w:kern w:val="0"/>
          <w:sz w:val="32"/>
          <w:szCs w:val="32"/>
          <w:shd w:val="clear" w:color="auto" w:fill="FFFFFF"/>
        </w:rPr>
        <w:t>万元。其中：基本支出</w:t>
      </w:r>
      <w:r>
        <w:rPr>
          <w:rFonts w:ascii="仿宋" w:hAnsi="仿宋" w:eastAsia="仿宋" w:cs="仿宋"/>
          <w:color w:val="000000"/>
          <w:kern w:val="0"/>
          <w:sz w:val="32"/>
          <w:szCs w:val="32"/>
          <w:shd w:val="clear" w:color="auto" w:fill="FFFFFF"/>
        </w:rPr>
        <w:t>1328.97</w:t>
      </w:r>
      <w:r>
        <w:rPr>
          <w:rFonts w:hint="eastAsia" w:ascii="仿宋" w:hAnsi="仿宋" w:eastAsia="仿宋" w:cs="仿宋"/>
          <w:color w:val="000000"/>
          <w:kern w:val="0"/>
          <w:sz w:val="32"/>
          <w:szCs w:val="32"/>
          <w:shd w:val="clear" w:color="auto" w:fill="FFFFFF"/>
        </w:rPr>
        <w:t>万元，项目支出</w:t>
      </w:r>
      <w:r>
        <w:rPr>
          <w:rFonts w:ascii="仿宋" w:hAnsi="仿宋" w:eastAsia="仿宋" w:cs="仿宋"/>
          <w:color w:val="000000"/>
          <w:kern w:val="0"/>
          <w:sz w:val="32"/>
          <w:szCs w:val="32"/>
          <w:shd w:val="clear" w:color="auto" w:fill="FFFFFF"/>
        </w:rPr>
        <w:t>14341.16</w:t>
      </w:r>
      <w:r>
        <w:rPr>
          <w:rFonts w:hint="eastAsia" w:ascii="仿宋" w:hAnsi="仿宋" w:eastAsia="仿宋" w:cs="仿宋"/>
          <w:color w:val="000000"/>
          <w:kern w:val="0"/>
          <w:sz w:val="32"/>
          <w:szCs w:val="32"/>
          <w:shd w:val="clear" w:color="auto" w:fill="FFFFFF"/>
        </w:rPr>
        <w:t>万元。基本支出较预算增加</w:t>
      </w:r>
      <w:r>
        <w:rPr>
          <w:rFonts w:ascii="仿宋" w:hAnsi="仿宋" w:eastAsia="仿宋" w:cs="仿宋"/>
          <w:color w:val="000000"/>
          <w:kern w:val="0"/>
          <w:sz w:val="32"/>
          <w:szCs w:val="32"/>
          <w:shd w:val="clear" w:color="auto" w:fill="FFFFFF"/>
        </w:rPr>
        <w:t>414.07</w:t>
      </w:r>
      <w:r>
        <w:rPr>
          <w:rFonts w:hint="eastAsia" w:ascii="仿宋" w:hAnsi="仿宋" w:eastAsia="仿宋" w:cs="仿宋"/>
          <w:color w:val="000000"/>
          <w:kern w:val="0"/>
          <w:sz w:val="32"/>
          <w:szCs w:val="32"/>
          <w:shd w:val="clear" w:color="auto" w:fill="FFFFFF"/>
        </w:rPr>
        <w:t>万元，主要原因为人员经费增加年度目标奖和物业管理费。项目支出较预算增加133</w:t>
      </w:r>
      <w:r>
        <w:rPr>
          <w:rFonts w:ascii="仿宋" w:hAnsi="仿宋" w:eastAsia="仿宋" w:cs="仿宋"/>
          <w:color w:val="000000"/>
          <w:kern w:val="0"/>
          <w:sz w:val="32"/>
          <w:szCs w:val="32"/>
          <w:shd w:val="clear" w:color="auto" w:fill="FFFFFF"/>
        </w:rPr>
        <w:t>44.7</w:t>
      </w:r>
      <w:r>
        <w:rPr>
          <w:rFonts w:hint="eastAsia" w:ascii="仿宋" w:hAnsi="仿宋" w:eastAsia="仿宋" w:cs="仿宋"/>
          <w:color w:val="000000"/>
          <w:kern w:val="0"/>
          <w:sz w:val="32"/>
          <w:szCs w:val="32"/>
          <w:shd w:val="clear" w:color="auto" w:fill="FFFFFF"/>
        </w:rPr>
        <w:t>万元，主要为本年支付了上年度结转的项目经费。</w:t>
      </w:r>
    </w:p>
    <w:p>
      <w:pPr>
        <w:widowControl/>
        <w:numPr>
          <w:ilvl w:val="0"/>
          <w:numId w:val="6"/>
        </w:numPr>
        <w:adjustRightInd w:val="0"/>
        <w:snapToGrid w:val="0"/>
        <w:spacing w:line="580" w:lineRule="exact"/>
        <w:ind w:firstLine="643"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部门整体预算绩效管理情况</w:t>
      </w:r>
      <w:r>
        <w:rPr>
          <w:rFonts w:hint="eastAsia" w:ascii="仿宋" w:hAnsi="仿宋" w:eastAsia="仿宋" w:cs="仿宋"/>
          <w:color w:val="000000"/>
          <w:kern w:val="0"/>
          <w:sz w:val="32"/>
          <w:szCs w:val="32"/>
          <w:shd w:val="clear" w:color="auto" w:fill="FFFFFF"/>
        </w:rPr>
        <w:t>。</w:t>
      </w:r>
    </w:p>
    <w:p>
      <w:pPr>
        <w:widowControl/>
        <w:numPr>
          <w:numId w:val="0"/>
        </w:numPr>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numPr>
          <w:numId w:val="0"/>
        </w:numPr>
        <w:spacing w:line="600" w:lineRule="exact"/>
        <w:ind w:firstLine="640" w:firstLineChars="200"/>
        <w:rPr>
          <w:rFonts w:ascii="仿宋" w:hAnsi="仿宋" w:eastAsia="仿宋" w:cs="仿宋"/>
          <w:sz w:val="32"/>
          <w:szCs w:val="32"/>
        </w:rPr>
      </w:pPr>
      <w:r>
        <w:rPr>
          <w:rStyle w:val="16"/>
          <w:rFonts w:hint="eastAsia" w:ascii="仿宋" w:hAnsi="仿宋" w:eastAsia="仿宋"/>
          <w:b w:val="0"/>
          <w:bCs/>
          <w:sz w:val="32"/>
          <w:szCs w:val="32"/>
          <w:lang w:val="en-US" w:eastAsia="zh-CN"/>
        </w:rPr>
        <w:t>1</w:t>
      </w:r>
      <w:r>
        <w:rPr>
          <w:rStyle w:val="16"/>
          <w:rFonts w:ascii="仿宋" w:hAnsi="仿宋" w:eastAsia="仿宋"/>
          <w:b w:val="0"/>
          <w:bCs/>
          <w:sz w:val="32"/>
          <w:szCs w:val="32"/>
        </w:rPr>
        <w:t>.</w:t>
      </w:r>
      <w:r>
        <w:rPr>
          <w:rFonts w:hint="eastAsia" w:ascii="仿宋" w:hAnsi="仿宋" w:eastAsia="仿宋" w:cs="仿宋"/>
          <w:sz w:val="32"/>
          <w:szCs w:val="32"/>
        </w:rPr>
        <w:t>绩效目标制定：</w:t>
      </w:r>
    </w:p>
    <w:p>
      <w:pPr>
        <w:spacing w:line="600" w:lineRule="exact"/>
        <w:ind w:firstLine="640" w:firstLineChars="200"/>
        <w:rPr>
          <w:rFonts w:ascii="仿宋" w:hAnsi="仿宋" w:eastAsia="仿宋" w:cs="仿宋_GB2312"/>
          <w:sz w:val="32"/>
          <w:szCs w:val="32"/>
        </w:rPr>
      </w:pPr>
      <w:r>
        <w:rPr>
          <w:rFonts w:hint="eastAsia" w:ascii="仿宋" w:hAnsi="仿宋" w:eastAsia="仿宋" w:cs="仿宋"/>
          <w:sz w:val="32"/>
          <w:szCs w:val="32"/>
        </w:rPr>
        <w:t>根据预算绩效管理要求，本部门在年初预算编制阶段，将部门绩效目标纳入单位党组会（办公会）集体决策议题，根据绩效目标要素，组织成员对单位特定目标</w:t>
      </w:r>
      <w:r>
        <w:rPr>
          <w:rFonts w:hint="eastAsia" w:ascii="仿宋" w:hAnsi="仿宋" w:eastAsia="仿宋" w:cs="仿宋_GB2312"/>
          <w:sz w:val="32"/>
          <w:szCs w:val="32"/>
        </w:rPr>
        <w:t>项目开展了预算事前绩效评估，编制了细化量化的绩效目标，绩效此项得分15分。</w:t>
      </w:r>
    </w:p>
    <w:p>
      <w:pPr>
        <w:numPr>
          <w:numId w:val="0"/>
        </w:numPr>
        <w:spacing w:line="600" w:lineRule="exact"/>
        <w:ind w:firstLine="640" w:firstLineChars="200"/>
        <w:rPr>
          <w:rFonts w:ascii="仿宋" w:hAnsi="仿宋" w:eastAsia="仿宋" w:cs="仿宋_GB2312"/>
          <w:sz w:val="32"/>
          <w:szCs w:val="32"/>
        </w:rPr>
      </w:pPr>
      <w:r>
        <w:rPr>
          <w:rStyle w:val="16"/>
          <w:rFonts w:ascii="仿宋" w:hAnsi="仿宋" w:eastAsia="仿宋"/>
          <w:b w:val="0"/>
          <w:bCs/>
          <w:sz w:val="32"/>
          <w:szCs w:val="32"/>
        </w:rPr>
        <w:t>2.</w:t>
      </w:r>
      <w:r>
        <w:rPr>
          <w:rFonts w:hint="eastAsia" w:ascii="仿宋" w:hAnsi="仿宋" w:eastAsia="仿宋" w:cs="仿宋_GB2312"/>
          <w:sz w:val="32"/>
          <w:szCs w:val="32"/>
        </w:rPr>
        <w:t>绩效目标实现：</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202</w:t>
      </w:r>
      <w:r>
        <w:rPr>
          <w:rFonts w:hint="eastAsia" w:ascii="仿宋" w:hAnsi="仿宋" w:eastAsia="仿宋" w:cs="仿宋_GB2312"/>
          <w:sz w:val="32"/>
          <w:szCs w:val="32"/>
        </w:rPr>
        <w:t>2年部门整体支出开展绩效自评，从评价情况来看，项目执行情况良好。2022年度本部门共有</w:t>
      </w:r>
      <w:r>
        <w:rPr>
          <w:rFonts w:ascii="仿宋" w:hAnsi="仿宋" w:eastAsia="仿宋" w:cs="仿宋_GB2312"/>
          <w:sz w:val="32"/>
          <w:szCs w:val="32"/>
        </w:rPr>
        <w:t>49</w:t>
      </w:r>
      <w:r>
        <w:rPr>
          <w:rFonts w:hint="eastAsia" w:ascii="仿宋" w:hAnsi="仿宋" w:eastAsia="仿宋" w:cs="仿宋_GB2312"/>
          <w:sz w:val="32"/>
          <w:szCs w:val="32"/>
        </w:rPr>
        <w:t>个项目，均为运转类项目。本部门在预算执行过程中，对</w:t>
      </w:r>
      <w:r>
        <w:rPr>
          <w:rFonts w:ascii="仿宋" w:hAnsi="仿宋" w:eastAsia="仿宋" w:cs="仿宋_GB2312"/>
          <w:sz w:val="32"/>
          <w:szCs w:val="32"/>
        </w:rPr>
        <w:t>49</w:t>
      </w:r>
      <w:r>
        <w:rPr>
          <w:rFonts w:hint="eastAsia" w:ascii="仿宋" w:hAnsi="仿宋" w:eastAsia="仿宋" w:cs="仿宋_GB2312"/>
          <w:sz w:val="32"/>
          <w:szCs w:val="32"/>
        </w:rPr>
        <w:t>个项目开展绩效监控，年终执行完毕后，本部门按照项目支出绩效表要求对项目继续了绩效自评，项目执行情况良好，综合得分</w:t>
      </w:r>
      <w:r>
        <w:rPr>
          <w:rFonts w:ascii="仿宋" w:hAnsi="仿宋" w:eastAsia="仿宋" w:cs="仿宋_GB2312"/>
          <w:sz w:val="32"/>
          <w:szCs w:val="32"/>
        </w:rPr>
        <w:t>97</w:t>
      </w:r>
      <w:r>
        <w:rPr>
          <w:rFonts w:hint="eastAsia" w:ascii="仿宋" w:hAnsi="仿宋" w:eastAsia="仿宋" w:cs="仿宋_GB2312"/>
          <w:sz w:val="32"/>
          <w:szCs w:val="32"/>
        </w:rPr>
        <w:t>分。</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rPr>
        <w:t>支出控制：</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2022年人员类全年预算数</w:t>
      </w:r>
      <w:r>
        <w:rPr>
          <w:rFonts w:ascii="仿宋" w:hAnsi="仿宋" w:eastAsia="仿宋" w:cs="仿宋_GB2312"/>
          <w:sz w:val="32"/>
          <w:szCs w:val="32"/>
        </w:rPr>
        <w:t>718.91</w:t>
      </w:r>
      <w:r>
        <w:rPr>
          <w:rFonts w:hint="eastAsia" w:ascii="仿宋" w:hAnsi="仿宋" w:eastAsia="仿宋" w:cs="仿宋_GB2312"/>
          <w:sz w:val="32"/>
          <w:szCs w:val="32"/>
        </w:rPr>
        <w:t>万元，全年支出数</w:t>
      </w:r>
      <w:r>
        <w:rPr>
          <w:rFonts w:ascii="仿宋" w:hAnsi="仿宋" w:eastAsia="仿宋" w:cs="仿宋_GB2312"/>
          <w:sz w:val="32"/>
          <w:szCs w:val="32"/>
        </w:rPr>
        <w:t>1163.89</w:t>
      </w:r>
      <w:r>
        <w:rPr>
          <w:rFonts w:hint="eastAsia" w:ascii="仿宋" w:hAnsi="仿宋" w:eastAsia="仿宋" w:cs="仿宋_GB2312"/>
          <w:sz w:val="32"/>
          <w:szCs w:val="32"/>
        </w:rPr>
        <w:t>万元，全年执行率100%；运转类经费全年预算数</w:t>
      </w:r>
      <w:r>
        <w:rPr>
          <w:rFonts w:ascii="仿宋" w:hAnsi="仿宋" w:eastAsia="仿宋" w:cs="仿宋_GB2312"/>
          <w:sz w:val="32"/>
          <w:szCs w:val="32"/>
        </w:rPr>
        <w:t>195.99</w:t>
      </w:r>
      <w:r>
        <w:rPr>
          <w:rFonts w:hint="eastAsia" w:ascii="仿宋" w:hAnsi="仿宋" w:eastAsia="仿宋" w:cs="仿宋_GB2312"/>
          <w:sz w:val="32"/>
          <w:szCs w:val="32"/>
        </w:rPr>
        <w:t>万元，全年支出数</w:t>
      </w:r>
      <w:r>
        <w:rPr>
          <w:rFonts w:ascii="仿宋" w:hAnsi="仿宋" w:eastAsia="仿宋" w:cs="仿宋_GB2312"/>
          <w:sz w:val="32"/>
          <w:szCs w:val="32"/>
        </w:rPr>
        <w:t>165.08</w:t>
      </w:r>
      <w:r>
        <w:rPr>
          <w:rFonts w:hint="eastAsia" w:ascii="仿宋" w:hAnsi="仿宋" w:eastAsia="仿宋" w:cs="仿宋_GB2312"/>
          <w:sz w:val="32"/>
          <w:szCs w:val="32"/>
        </w:rPr>
        <w:t>万元，全年执行率</w:t>
      </w:r>
      <w:r>
        <w:rPr>
          <w:rFonts w:ascii="仿宋" w:hAnsi="仿宋" w:eastAsia="仿宋" w:cs="仿宋_GB2312"/>
          <w:sz w:val="32"/>
          <w:szCs w:val="32"/>
        </w:rPr>
        <w:t>84.23</w:t>
      </w:r>
      <w:r>
        <w:rPr>
          <w:rFonts w:hint="eastAsia" w:ascii="仿宋" w:hAnsi="仿宋" w:eastAsia="仿宋" w:cs="仿宋_GB2312"/>
          <w:sz w:val="32"/>
          <w:szCs w:val="32"/>
        </w:rPr>
        <w:t>%；特定目标类项目预算数</w:t>
      </w:r>
      <w:r>
        <w:rPr>
          <w:rFonts w:ascii="仿宋" w:hAnsi="仿宋" w:eastAsia="仿宋" w:cs="仿宋_GB2312"/>
          <w:sz w:val="32"/>
          <w:szCs w:val="32"/>
        </w:rPr>
        <w:t>996.46</w:t>
      </w:r>
      <w:r>
        <w:rPr>
          <w:rFonts w:hint="eastAsia" w:ascii="仿宋" w:hAnsi="仿宋" w:eastAsia="仿宋" w:cs="仿宋_GB2312"/>
          <w:sz w:val="32"/>
          <w:szCs w:val="32"/>
        </w:rPr>
        <w:t>万元，全年支出数为</w:t>
      </w:r>
      <w:r>
        <w:rPr>
          <w:rFonts w:ascii="仿宋" w:hAnsi="仿宋" w:eastAsia="仿宋" w:cs="仿宋_GB2312"/>
          <w:sz w:val="32"/>
          <w:szCs w:val="32"/>
        </w:rPr>
        <w:t>14341.16</w:t>
      </w:r>
      <w:r>
        <w:rPr>
          <w:rFonts w:hint="eastAsia" w:ascii="仿宋" w:hAnsi="仿宋" w:eastAsia="仿宋" w:cs="仿宋_GB2312"/>
          <w:sz w:val="32"/>
          <w:szCs w:val="32"/>
        </w:rPr>
        <w:t>万元，全年执行率</w:t>
      </w:r>
      <w:r>
        <w:rPr>
          <w:rFonts w:ascii="仿宋" w:hAnsi="仿宋" w:eastAsia="仿宋" w:cs="仿宋_GB2312"/>
          <w:sz w:val="32"/>
          <w:szCs w:val="32"/>
        </w:rPr>
        <w:t>100</w:t>
      </w:r>
      <w:r>
        <w:rPr>
          <w:rFonts w:hint="eastAsia" w:ascii="仿宋" w:hAnsi="仿宋" w:eastAsia="仿宋" w:cs="仿宋_GB2312"/>
          <w:sz w:val="32"/>
          <w:szCs w:val="32"/>
        </w:rPr>
        <w:t>%。2022年1-6月支出13626.4万元，占全年支出数9</w:t>
      </w:r>
      <w:r>
        <w:rPr>
          <w:rFonts w:ascii="仿宋" w:hAnsi="仿宋" w:eastAsia="仿宋" w:cs="仿宋_GB2312"/>
          <w:sz w:val="32"/>
          <w:szCs w:val="32"/>
        </w:rPr>
        <w:t>5.02</w:t>
      </w:r>
      <w:r>
        <w:rPr>
          <w:rFonts w:hint="eastAsia" w:ascii="仿宋" w:hAnsi="仿宋" w:eastAsia="仿宋" w:cs="仿宋_GB2312"/>
          <w:sz w:val="32"/>
          <w:szCs w:val="32"/>
        </w:rPr>
        <w:t>%。 2022年1-9月支出13926.00万元，占全年支出数9</w:t>
      </w:r>
      <w:r>
        <w:rPr>
          <w:rFonts w:ascii="仿宋" w:hAnsi="仿宋" w:eastAsia="仿宋" w:cs="仿宋_GB2312"/>
          <w:sz w:val="32"/>
          <w:szCs w:val="32"/>
        </w:rPr>
        <w:t>7.11</w:t>
      </w:r>
      <w:r>
        <w:rPr>
          <w:rFonts w:hint="eastAsia" w:ascii="仿宋" w:hAnsi="仿宋" w:eastAsia="仿宋" w:cs="仿宋_GB2312"/>
          <w:sz w:val="32"/>
          <w:szCs w:val="32"/>
        </w:rPr>
        <w:t>%。2022年1-11月支出14109.8万元，占全年支出数</w:t>
      </w:r>
      <w:r>
        <w:rPr>
          <w:rFonts w:ascii="仿宋" w:hAnsi="仿宋" w:eastAsia="仿宋" w:cs="仿宋_GB2312"/>
          <w:sz w:val="32"/>
          <w:szCs w:val="32"/>
        </w:rPr>
        <w:t>98.39</w:t>
      </w:r>
      <w:r>
        <w:rPr>
          <w:rFonts w:hint="eastAsia" w:ascii="仿宋" w:hAnsi="仿宋" w:eastAsia="仿宋" w:cs="仿宋_GB2312"/>
          <w:sz w:val="32"/>
          <w:szCs w:val="32"/>
        </w:rPr>
        <w:t>%。全年支出执行良好。6月、9月、11月、全年执行进度达到了本部门应达到的执行进度、中期评估无预算调整。</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（三）</w:t>
      </w:r>
      <w:r>
        <w:rPr>
          <w:rFonts w:hint="eastAsia" w:ascii="仿宋" w:hAnsi="仿宋" w:eastAsia="仿宋" w:cs="仿宋_GB2312"/>
          <w:sz w:val="32"/>
          <w:szCs w:val="32"/>
        </w:rPr>
        <w:t>及时处置：</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2022年部门绩效监控调整取消额和结余注销额均为0万元，根据绩效指标体系计分标准评分，此项得分10分。</w:t>
      </w:r>
    </w:p>
    <w:p>
      <w:pPr>
        <w:pStyle w:val="2"/>
        <w:widowControl/>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（四）</w:t>
      </w:r>
      <w:r>
        <w:rPr>
          <w:rFonts w:hint="eastAsia" w:ascii="仿宋" w:hAnsi="仿宋" w:eastAsia="仿宋" w:cs="仿宋_GB2312"/>
          <w:sz w:val="32"/>
          <w:szCs w:val="32"/>
        </w:rPr>
        <w:t>执行进度:</w:t>
      </w:r>
    </w:p>
    <w:p>
      <w:pPr>
        <w:pStyle w:val="2"/>
        <w:widowControl/>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本部门总预算执行进度在6、9、11月均达到序时进度的80%、90%，实际资金支出进度分别9</w:t>
      </w:r>
      <w:r>
        <w:rPr>
          <w:rFonts w:ascii="仿宋" w:hAnsi="仿宋" w:eastAsia="仿宋" w:cs="仿宋_GB2312"/>
          <w:sz w:val="32"/>
          <w:szCs w:val="32"/>
        </w:rPr>
        <w:t>5.02</w:t>
      </w:r>
      <w:r>
        <w:rPr>
          <w:rFonts w:hint="eastAsia" w:ascii="仿宋" w:hAnsi="仿宋" w:eastAsia="仿宋" w:cs="仿宋_GB2312"/>
          <w:sz w:val="32"/>
          <w:szCs w:val="32"/>
        </w:rPr>
        <w:t>%、9</w:t>
      </w:r>
      <w:r>
        <w:rPr>
          <w:rFonts w:ascii="仿宋" w:hAnsi="仿宋" w:eastAsia="仿宋" w:cs="仿宋_GB2312"/>
          <w:sz w:val="32"/>
          <w:szCs w:val="32"/>
        </w:rPr>
        <w:t>7.11</w:t>
      </w:r>
      <w:r>
        <w:rPr>
          <w:rFonts w:hint="eastAsia" w:ascii="仿宋" w:hAnsi="仿宋" w:eastAsia="仿宋" w:cs="仿宋_GB2312"/>
          <w:sz w:val="32"/>
          <w:szCs w:val="32"/>
        </w:rPr>
        <w:t>%、9</w:t>
      </w:r>
      <w:r>
        <w:rPr>
          <w:rFonts w:ascii="仿宋" w:hAnsi="仿宋" w:eastAsia="仿宋" w:cs="仿宋_GB2312"/>
          <w:sz w:val="32"/>
          <w:szCs w:val="32"/>
        </w:rPr>
        <w:t>8.39</w:t>
      </w:r>
      <w:r>
        <w:rPr>
          <w:rFonts w:hint="eastAsia" w:ascii="仿宋" w:hAnsi="仿宋" w:eastAsia="仿宋" w:cs="仿宋_GB2312"/>
          <w:sz w:val="32"/>
          <w:szCs w:val="32"/>
        </w:rPr>
        <w:t>%，</w:t>
      </w:r>
      <w:r>
        <w:rPr>
          <w:rFonts w:hint="eastAsia" w:ascii="仿宋" w:hAnsi="仿宋" w:eastAsia="仿宋" w:cs="仿宋_GB2312"/>
          <w:kern w:val="2"/>
          <w:sz w:val="32"/>
          <w:szCs w:val="32"/>
        </w:rPr>
        <w:t>根据绩效指标体系计分标准评分，</w:t>
      </w:r>
      <w:r>
        <w:rPr>
          <w:rFonts w:hint="eastAsia" w:ascii="仿宋" w:hAnsi="仿宋" w:eastAsia="仿宋" w:cs="仿宋_GB2312"/>
          <w:sz w:val="32"/>
          <w:szCs w:val="32"/>
        </w:rPr>
        <w:t>此项得分5分。</w:t>
      </w:r>
    </w:p>
    <w:p>
      <w:pPr>
        <w:pStyle w:val="2"/>
        <w:widowControl/>
        <w:numPr>
          <w:numId w:val="0"/>
        </w:numPr>
        <w:spacing w:before="93"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lang w:eastAsia="zh-CN"/>
        </w:rPr>
        <w:t>四、</w:t>
      </w:r>
      <w:r>
        <w:rPr>
          <w:rFonts w:hint="eastAsia" w:ascii="仿宋" w:hAnsi="仿宋" w:eastAsia="仿宋" w:cs="仿宋_GB2312"/>
          <w:b/>
          <w:bCs/>
          <w:sz w:val="32"/>
          <w:szCs w:val="32"/>
        </w:rPr>
        <w:t>预算完成情况：</w:t>
      </w:r>
    </w:p>
    <w:p>
      <w:pPr>
        <w:pStyle w:val="2"/>
        <w:widowControl/>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本部门预算项目12月预算绩效目标均已达成，但因财政资金支付困难等原因实际资金支付进度为95.8%，</w:t>
      </w:r>
      <w:r>
        <w:rPr>
          <w:rFonts w:hint="eastAsia" w:ascii="仿宋" w:hAnsi="仿宋" w:eastAsia="仿宋" w:cs="仿宋_GB2312"/>
          <w:kern w:val="2"/>
          <w:sz w:val="32"/>
          <w:szCs w:val="32"/>
        </w:rPr>
        <w:t>根据绩效指标体系计分标准评分，</w:t>
      </w:r>
      <w:r>
        <w:rPr>
          <w:rFonts w:hint="eastAsia" w:ascii="仿宋" w:hAnsi="仿宋" w:eastAsia="仿宋" w:cs="仿宋_GB2312"/>
          <w:sz w:val="32"/>
          <w:szCs w:val="32"/>
        </w:rPr>
        <w:t>此项得分为9.58分。</w:t>
      </w:r>
    </w:p>
    <w:p>
      <w:pPr>
        <w:pStyle w:val="2"/>
        <w:widowControl/>
        <w:numPr>
          <w:numId w:val="0"/>
        </w:numPr>
        <w:spacing w:before="93"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lang w:eastAsia="zh-CN"/>
        </w:rPr>
        <w:t>五、</w:t>
      </w:r>
      <w:r>
        <w:rPr>
          <w:rFonts w:hint="eastAsia" w:ascii="仿宋" w:hAnsi="仿宋" w:eastAsia="仿宋" w:cs="仿宋_GB2312"/>
          <w:b/>
          <w:bCs/>
          <w:sz w:val="32"/>
          <w:szCs w:val="32"/>
        </w:rPr>
        <w:t>资金结余率：</w:t>
      </w:r>
    </w:p>
    <w:p>
      <w:pPr>
        <w:pStyle w:val="2"/>
        <w:widowControl/>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本部门预算项目资金年末无结余，此项得分5分。</w:t>
      </w:r>
    </w:p>
    <w:p>
      <w:pPr>
        <w:pStyle w:val="2"/>
        <w:widowControl/>
        <w:numPr>
          <w:numId w:val="0"/>
        </w:numPr>
        <w:spacing w:before="93"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lang w:eastAsia="zh-CN"/>
        </w:rPr>
        <w:t>六、</w:t>
      </w:r>
      <w:r>
        <w:rPr>
          <w:rFonts w:hint="eastAsia" w:ascii="仿宋" w:hAnsi="仿宋" w:eastAsia="仿宋" w:cs="仿宋_GB2312"/>
          <w:b/>
          <w:bCs/>
          <w:sz w:val="32"/>
          <w:szCs w:val="32"/>
        </w:rPr>
        <w:t>违规记录：</w:t>
      </w:r>
    </w:p>
    <w:p>
      <w:pPr>
        <w:pStyle w:val="2"/>
        <w:widowControl/>
        <w:spacing w:before="93" w:line="600" w:lineRule="exact"/>
        <w:ind w:firstLine="640" w:firstLineChars="200"/>
        <w:rPr>
          <w:rFonts w:ascii="仿宋" w:hAnsi="仿宋" w:eastAsia="仿宋"/>
          <w:sz w:val="32"/>
          <w:szCs w:val="32"/>
          <w:lang w:val="zh-CN"/>
        </w:rPr>
      </w:pPr>
      <w:r>
        <w:rPr>
          <w:rFonts w:hint="eastAsia" w:ascii="仿宋" w:hAnsi="仿宋" w:eastAsia="仿宋" w:cs="仿宋_GB2312"/>
          <w:sz w:val="32"/>
          <w:szCs w:val="32"/>
        </w:rPr>
        <w:t>本部门依据年度审计监督、财政检查结果，未出现部门预算管理方面违纪违规问题，此项得分5分。</w:t>
      </w:r>
    </w:p>
    <w:p>
      <w:pPr>
        <w:widowControl/>
        <w:adjustRightInd w:val="0"/>
        <w:snapToGrid w:val="0"/>
        <w:spacing w:line="580" w:lineRule="exact"/>
        <w:ind w:firstLine="643" w:firstLineChars="200"/>
        <w:contextualSpacing/>
        <w:jc w:val="left"/>
        <w:rPr>
          <w:rFonts w:ascii="仿宋" w:hAnsi="仿宋" w:eastAsia="仿宋" w:cs="宋体"/>
          <w:b/>
          <w:bCs/>
          <w:color w:val="000000"/>
          <w:kern w:val="0"/>
          <w:sz w:val="32"/>
          <w:szCs w:val="32"/>
          <w:highlight w:val="none"/>
          <w:shd w:val="clear" w:color="auto" w:fill="FFFFFF"/>
          <w:lang w:val="zh-CN"/>
        </w:rPr>
      </w:pPr>
      <w:r>
        <w:rPr>
          <w:rFonts w:hint="eastAsia" w:ascii="仿宋" w:hAnsi="仿宋" w:eastAsia="仿宋" w:cs="宋体"/>
          <w:b/>
          <w:bCs/>
          <w:color w:val="000000"/>
          <w:kern w:val="0"/>
          <w:sz w:val="32"/>
          <w:szCs w:val="32"/>
          <w:highlight w:val="none"/>
          <w:shd w:val="clear" w:color="auto" w:fill="FFFFFF"/>
          <w:lang w:val="zh-CN"/>
        </w:rPr>
        <w:t>七、结果应用情况。</w:t>
      </w:r>
    </w:p>
    <w:p>
      <w:pPr>
        <w:pStyle w:val="2"/>
        <w:spacing w:before="93" w:line="600" w:lineRule="exact"/>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预算挂钩：</w:t>
      </w:r>
    </w:p>
    <w:p>
      <w:pPr>
        <w:pStyle w:val="2"/>
        <w:spacing w:before="93" w:line="600" w:lineRule="exact"/>
        <w:ind w:firstLine="640" w:firstLineChars="200"/>
        <w:rPr>
          <w:rFonts w:ascii="仿宋" w:hAnsi="仿宋" w:eastAsia="仿宋"/>
          <w:sz w:val="32"/>
          <w:szCs w:val="32"/>
        </w:rPr>
      </w:pPr>
      <w:r>
        <w:rPr>
          <w:rFonts w:hint="eastAsia" w:ascii="仿宋" w:hAnsi="仿宋" w:eastAsia="仿宋"/>
          <w:sz w:val="32"/>
          <w:szCs w:val="32"/>
        </w:rPr>
        <w:t>本部门已将内设机构绩效自评纳入预算绩效考核体系，建立预算与绩效挂钩制度，此项得分6分。</w:t>
      </w:r>
    </w:p>
    <w:p>
      <w:pPr>
        <w:pStyle w:val="2"/>
        <w:spacing w:before="93" w:line="600" w:lineRule="exact"/>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自评公开：</w:t>
      </w:r>
    </w:p>
    <w:p>
      <w:pPr>
        <w:pStyle w:val="2"/>
        <w:spacing w:before="93" w:line="600" w:lineRule="exact"/>
        <w:ind w:firstLine="640" w:firstLineChars="200"/>
        <w:rPr>
          <w:rFonts w:ascii="仿宋" w:hAnsi="仿宋" w:eastAsia="仿宋"/>
          <w:sz w:val="32"/>
          <w:szCs w:val="32"/>
        </w:rPr>
      </w:pPr>
      <w:r>
        <w:rPr>
          <w:rFonts w:hint="eastAsia" w:ascii="仿宋" w:hAnsi="仿宋" w:eastAsia="仿宋"/>
          <w:sz w:val="32"/>
          <w:szCs w:val="32"/>
        </w:rPr>
        <w:t>本部门按财政要求将部门整体绩效自评情况信息随决决算公开在政府网站向社会公开，此项得分4分。</w:t>
      </w:r>
    </w:p>
    <w:p>
      <w:pPr>
        <w:pStyle w:val="2"/>
        <w:numPr>
          <w:ilvl w:val="0"/>
          <w:numId w:val="5"/>
        </w:numPr>
        <w:spacing w:before="93" w:line="600" w:lineRule="exact"/>
        <w:ind w:left="0" w:leftChars="0" w:firstLine="640" w:firstLineChars="200"/>
        <w:rPr>
          <w:rFonts w:hint="eastAsia" w:ascii="仿宋" w:hAnsi="仿宋" w:eastAsia="仿宋"/>
          <w:sz w:val="32"/>
          <w:szCs w:val="32"/>
        </w:rPr>
      </w:pPr>
      <w:r>
        <w:rPr>
          <w:rFonts w:hint="eastAsia" w:ascii="仿宋" w:hAnsi="仿宋" w:eastAsia="仿宋"/>
          <w:sz w:val="32"/>
          <w:szCs w:val="32"/>
        </w:rPr>
        <w:t>问题整改：</w:t>
      </w:r>
    </w:p>
    <w:p>
      <w:pPr>
        <w:pStyle w:val="2"/>
        <w:numPr>
          <w:numId w:val="0"/>
        </w:numPr>
        <w:spacing w:before="93" w:line="600" w:lineRule="exact"/>
        <w:ind w:firstLine="640" w:firstLineChars="200"/>
        <w:rPr>
          <w:rFonts w:ascii="仿宋" w:hAnsi="仿宋" w:eastAsia="仿宋"/>
          <w:sz w:val="32"/>
          <w:szCs w:val="32"/>
        </w:rPr>
      </w:pPr>
      <w:r>
        <w:rPr>
          <w:rFonts w:ascii="仿宋" w:hAnsi="仿宋" w:eastAsia="仿宋"/>
          <w:sz w:val="32"/>
          <w:szCs w:val="32"/>
        </w:rPr>
        <w:t>本部门</w:t>
      </w:r>
      <w:r>
        <w:rPr>
          <w:rFonts w:hint="eastAsia" w:ascii="仿宋" w:hAnsi="仿宋" w:eastAsia="仿宋"/>
          <w:sz w:val="32"/>
          <w:szCs w:val="32"/>
        </w:rPr>
        <w:t>重视绩效管理结果，针对绩效管理过程中提出的问题完善政策，改进管理，此项得分5分。</w:t>
      </w:r>
    </w:p>
    <w:p>
      <w:pPr>
        <w:pStyle w:val="2"/>
        <w:spacing w:before="93" w:line="600" w:lineRule="exact"/>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应用反馈：</w:t>
      </w:r>
    </w:p>
    <w:p>
      <w:pPr>
        <w:pStyle w:val="2"/>
        <w:spacing w:before="93" w:line="600" w:lineRule="exact"/>
        <w:ind w:firstLine="640" w:firstLineChars="200"/>
        <w:rPr>
          <w:rFonts w:ascii="仿宋" w:hAnsi="仿宋" w:eastAsia="仿宋"/>
          <w:sz w:val="32"/>
          <w:szCs w:val="32"/>
        </w:rPr>
      </w:pPr>
      <w:r>
        <w:rPr>
          <w:rFonts w:hint="eastAsia" w:ascii="仿宋" w:hAnsi="仿宋" w:eastAsia="仿宋"/>
          <w:sz w:val="32"/>
          <w:szCs w:val="32"/>
        </w:rPr>
        <w:t>本部门一直按照财政部门要求在规定时间内反馈绩效结果报告从不拖延，此项得分5分。</w:t>
      </w:r>
    </w:p>
    <w:p>
      <w:pPr>
        <w:pStyle w:val="2"/>
        <w:spacing w:before="93"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（五）自评质量</w:t>
      </w:r>
    </w:p>
    <w:p>
      <w:pPr>
        <w:pStyle w:val="2"/>
        <w:spacing w:before="93" w:line="600" w:lineRule="exact"/>
        <w:ind w:left="420" w:leftChars="200"/>
        <w:rPr>
          <w:rFonts w:ascii="仿宋" w:hAnsi="仿宋" w:eastAsia="仿宋"/>
          <w:sz w:val="32"/>
          <w:szCs w:val="32"/>
        </w:rPr>
      </w:pPr>
      <w:r>
        <w:rPr>
          <w:rFonts w:hint="eastAsia" w:ascii="仿宋" w:hAnsi="仿宋" w:eastAsia="仿宋"/>
          <w:sz w:val="32"/>
          <w:szCs w:val="32"/>
        </w:rPr>
        <w:t xml:space="preserve">   参照财政重点绩效评价计分标准，本部门整体支出自评得分与评价组抽查得分差异在5%以内，此项得分10分。</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lang w:eastAsia="zh-CN"/>
        </w:rPr>
        <w:t>八</w:t>
      </w:r>
      <w:r>
        <w:rPr>
          <w:rFonts w:hint="eastAsia" w:ascii="黑体" w:hAnsi="宋体" w:eastAsia="黑体" w:cs="宋体"/>
          <w:color w:val="000000"/>
          <w:kern w:val="0"/>
          <w:sz w:val="32"/>
          <w:szCs w:val="32"/>
          <w:highlight w:val="none"/>
          <w:shd w:val="clear" w:color="auto" w:fill="FFFFFF"/>
        </w:rPr>
        <w:t>、评价结论及建议</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pPr>
        <w:pStyle w:val="2"/>
        <w:spacing w:before="93"/>
        <w:ind w:left="420" w:leftChars="200" w:firstLine="640" w:firstLineChars="200"/>
        <w:rPr>
          <w:rFonts w:ascii="仿宋" w:hAnsi="仿宋" w:eastAsia="仿宋"/>
          <w:sz w:val="32"/>
          <w:szCs w:val="32"/>
        </w:rPr>
      </w:pPr>
      <w:r>
        <w:rPr>
          <w:rFonts w:hint="eastAsia" w:ascii="仿宋" w:hAnsi="仿宋" w:eastAsia="仿宋"/>
          <w:sz w:val="32"/>
          <w:szCs w:val="32"/>
        </w:rPr>
        <w:t>2022年本部门整体绩效自评分得分97.58分。评价结果和应用结果反馈较好。</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无</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pPr>
        <w:pStyle w:val="2"/>
        <w:spacing w:before="93"/>
        <w:ind w:left="640" w:hanging="640" w:hangingChars="200"/>
        <w:rPr>
          <w:rFonts w:ascii="仿宋" w:hAnsi="仿宋" w:eastAsia="仿宋"/>
          <w:sz w:val="32"/>
          <w:szCs w:val="32"/>
          <w:lang w:val="zh-CN"/>
        </w:rPr>
      </w:pPr>
      <w:r>
        <w:rPr>
          <w:rFonts w:hint="eastAsia" w:ascii="仿宋" w:hAnsi="仿宋" w:eastAsia="仿宋" w:cs="宋体"/>
          <w:color w:val="000000"/>
          <w:sz w:val="32"/>
          <w:szCs w:val="32"/>
          <w:shd w:val="clear" w:color="auto" w:fill="FFFFFF"/>
        </w:rPr>
        <w:t xml:space="preserve">        </w:t>
      </w:r>
      <w:r>
        <w:rPr>
          <w:rFonts w:hint="eastAsia" w:ascii="仿宋" w:hAnsi="仿宋" w:eastAsia="仿宋"/>
          <w:sz w:val="32"/>
          <w:szCs w:val="32"/>
          <w:lang w:val="zh-CN"/>
        </w:rPr>
        <w:t>及时跟进、追踪财政资金支付申请，建议资金主管部门及时拨付资金。</w:t>
      </w:r>
    </w:p>
    <w:p>
      <w:pPr>
        <w:ind w:firstLine="640"/>
        <w:jc w:val="right"/>
        <w:rPr>
          <w:sz w:val="32"/>
          <w:szCs w:val="32"/>
        </w:rPr>
      </w:pPr>
    </w:p>
    <w:p>
      <w:pPr>
        <w:rPr>
          <w:sz w:val="32"/>
          <w:szCs w:val="32"/>
          <w:lang w:val="zh-CN"/>
        </w:rPr>
      </w:pPr>
    </w:p>
    <w:p>
      <w:pPr>
        <w:spacing w:line="600" w:lineRule="exact"/>
        <w:outlineLvl w:val="0"/>
        <w:rPr>
          <w:rFonts w:ascii="黑体" w:hAnsi="黑体" w:eastAsia="黑体"/>
          <w:sz w:val="32"/>
          <w:szCs w:val="32"/>
        </w:rPr>
      </w:pPr>
      <w:bookmarkStart w:id="61" w:name="_Toc15396618"/>
    </w:p>
    <w:p>
      <w:pPr>
        <w:pStyle w:val="2"/>
        <w:spacing w:before="93"/>
      </w:pPr>
    </w:p>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39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4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51118122T000000390052-旅游宣传营销</w:t>
            </w:r>
          </w:p>
        </w:tc>
      </w:tr>
      <w:tr>
        <w:tblPrEx>
          <w:tblCellMar>
            <w:top w:w="0" w:type="dxa"/>
            <w:left w:w="108" w:type="dxa"/>
            <w:bottom w:w="0" w:type="dxa"/>
            <w:right w:w="108" w:type="dxa"/>
          </w:tblCellMar>
        </w:tblPrEx>
        <w:trPr>
          <w:trHeight w:val="54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4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完成2022年全市旅游宣传营销工作。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完成2022年全市旅游宣传营销工作。</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2022年全市旅游宣传营销工作</w:t>
            </w:r>
          </w:p>
        </w:tc>
      </w:tr>
      <w:tr>
        <w:tblPrEx>
          <w:tblCellMar>
            <w:top w:w="0" w:type="dxa"/>
            <w:left w:w="108" w:type="dxa"/>
            <w:bottom w:w="0" w:type="dxa"/>
            <w:right w:w="108" w:type="dxa"/>
          </w:tblCellMar>
        </w:tblPrEx>
        <w:trPr>
          <w:trHeight w:val="54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11.36</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11.36</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11.36</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11.36</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54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发放超过700万次来峨旅客温馨提示短信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完成至少5个新媒体平台推介</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家/个/批次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至少开展10次线上营销</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至少开展10次线下营销</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积极完成是能优秀文旅资源宣传开发工作</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积极开展乐山峨眉文化旅游系列宣传推介活动</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形成宣传视频长期各大平台播放长效机制</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来峨旅客满意度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4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4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rPr>
      </w:pPr>
      <w:r>
        <w:rPr>
          <w:rFonts w:ascii="仿宋" w:hAnsi="仿宋" w:eastAsia="仿宋"/>
          <w:b/>
        </w:rPr>
        <w:t>附件</w:t>
      </w:r>
      <w:r>
        <w:rPr>
          <w:rFonts w:hint="eastAsia" w:ascii="仿宋" w:hAnsi="仿宋" w:eastAsia="仿宋"/>
          <w:b/>
        </w:rPr>
        <w:t>2</w:t>
      </w:r>
      <w:r>
        <w:rPr>
          <w:rFonts w:ascii="仿宋" w:hAnsi="仿宋" w:eastAsia="仿宋"/>
          <w:b/>
        </w:rPr>
        <w:t>-2</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36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51118122T000000390061-旅游咨询点公共服务费</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36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1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完成符溪、彭桥、高铁、大佛禅院、火车站旅游咨询点公共服务费。</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完成符溪、彭桥、高铁、大佛禅院、火车站旅游咨询点公共服务费。</w:t>
            </w:r>
          </w:p>
        </w:tc>
      </w:tr>
      <w:tr>
        <w:trPr>
          <w:trHeight w:val="67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符溪、彭桥、高铁、大佛禅院、火车站旅游咨询点公共服务费。</w:t>
            </w:r>
          </w:p>
        </w:tc>
      </w:tr>
      <w:tr>
        <w:trPr>
          <w:trHeight w:val="51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咨询点人员配置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服务质量</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为旅客提供旅游咨询服务及时有效</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效果指标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达到旅游服务专业有效</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解决旅游专业人才就业</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促进旅游行业发展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提高旅游服务水平带动旅游行业良性发展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提高旅客满意度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1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1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sz w:val="32"/>
          <w:szCs w:val="32"/>
        </w:rPr>
      </w:pPr>
      <w:r>
        <w:rPr>
          <w:rFonts w:ascii="仿宋" w:hAnsi="仿宋" w:eastAsia="仿宋"/>
          <w:b/>
          <w:sz w:val="32"/>
          <w:szCs w:val="32"/>
        </w:rPr>
        <w:t>附件2-3</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49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49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51118122T000000390069-黄金周小长假业务费</w:t>
            </w:r>
          </w:p>
        </w:tc>
      </w:tr>
      <w:tr>
        <w:tblPrEx>
          <w:tblCellMar>
            <w:top w:w="0" w:type="dxa"/>
            <w:left w:w="108" w:type="dxa"/>
            <w:bottom w:w="0" w:type="dxa"/>
            <w:right w:w="108" w:type="dxa"/>
          </w:tblCellMar>
        </w:tblPrEx>
        <w:trPr>
          <w:trHeight w:val="49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4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保障2022年黄金周小长假节假日文化旅游市场秩序正常运行。</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完成2022年黄金周小长假节假日文化旅游市场秩序正常运行。</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2022年黄金周小长假节假日文化旅游市场秩序</w:t>
            </w:r>
          </w:p>
        </w:tc>
      </w:tr>
      <w:tr>
        <w:trPr>
          <w:trHeight w:val="4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至少组织300人次进行维保工作</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开展至少5次小长假黄金周运维工作</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提高全市节假日文化旅游市场发展水平</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按时完成节假日服务工作</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效果指标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使我市文化旅游市场多样化运行</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提高来峨旅客体验感</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运行机制可持续发展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来峨旅客满意</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4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9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-4</w:t>
      </w:r>
    </w:p>
    <w:tbl>
      <w:tblPr>
        <w:tblStyle w:val="14"/>
        <w:tblW w:w="9480" w:type="dxa"/>
        <w:tblInd w:w="113" w:type="dxa"/>
        <w:tblLayout w:type="autofit"/>
        <w:tblCellMar>
          <w:top w:w="0" w:type="dxa"/>
          <w:left w:w="108" w:type="dxa"/>
          <w:bottom w:w="0" w:type="dxa"/>
          <w:right w:w="108" w:type="dxa"/>
        </w:tblCellMar>
      </w:tblPr>
      <w:tblGrid>
        <w:gridCol w:w="877"/>
        <w:gridCol w:w="1017"/>
        <w:gridCol w:w="1177"/>
        <w:gridCol w:w="1177"/>
        <w:gridCol w:w="519"/>
        <w:gridCol w:w="698"/>
        <w:gridCol w:w="499"/>
        <w:gridCol w:w="1098"/>
        <w:gridCol w:w="520"/>
        <w:gridCol w:w="486"/>
        <w:gridCol w:w="1412"/>
      </w:tblGrid>
      <w:tr>
        <w:tblPrEx>
          <w:tblCellMar>
            <w:top w:w="0" w:type="dxa"/>
            <w:left w:w="108" w:type="dxa"/>
            <w:bottom w:w="0" w:type="dxa"/>
            <w:right w:w="108" w:type="dxa"/>
          </w:tblCellMar>
        </w:tblPrEx>
        <w:trPr>
          <w:trHeight w:val="49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49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51118122T000000390083-老体协专项经费</w:t>
            </w:r>
          </w:p>
        </w:tc>
      </w:tr>
      <w:tr>
        <w:tblPrEx>
          <w:tblCellMar>
            <w:top w:w="0" w:type="dxa"/>
            <w:left w:w="108" w:type="dxa"/>
            <w:bottom w:w="0" w:type="dxa"/>
            <w:right w:w="108" w:type="dxa"/>
          </w:tblCellMar>
        </w:tblPrEx>
        <w:trPr>
          <w:trHeight w:val="49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4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市老体协2022年经费支出</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完成市老体协2022年经费支出。</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市老体协2022年经费支出</w:t>
            </w:r>
          </w:p>
        </w:tc>
      </w:tr>
      <w:tr>
        <w:trPr>
          <w:trHeight w:val="4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按时支付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老体协项目经费、工作经费125万元</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镇乡老体协专项业务费18万元</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18</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为市老年人提供多样化老年体育活动，提高老年人业余生活质量</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形成常态化可持续发展机制，丰富老年人精神生活增强体质</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市老体协人员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老体协人员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9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4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9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-5</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45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45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51118122T000000390107-地面数字更新维护费</w:t>
            </w:r>
          </w:p>
        </w:tc>
      </w:tr>
      <w:tr>
        <w:tblPrEx>
          <w:tblCellMar>
            <w:top w:w="0" w:type="dxa"/>
            <w:left w:w="108" w:type="dxa"/>
            <w:bottom w:w="0" w:type="dxa"/>
            <w:right w:w="108" w:type="dxa"/>
          </w:tblCellMar>
        </w:tblPrEx>
        <w:trPr>
          <w:trHeight w:val="45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45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完成2022年全市13个乡镇街道办地面数字系统更新维护工作。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完成2022年全市13个乡镇街道办地面数字系统更新维护工作。</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2022年全市13个乡镇街道办地面数字系统更新维护工作</w:t>
            </w:r>
          </w:p>
        </w:tc>
      </w:tr>
      <w:tr>
        <w:trPr>
          <w:trHeight w:val="45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59.50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6.29</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59.50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6.29</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完成全市13个乡镇街道办地面数字户户通更新工作</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提高全市地面数字运行质量</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按时保质保量推进项目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效果指标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村村响户户通运行水平达到全国正常水平</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带动全市地面数字换代升级</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使全市地面数字系统运行保持高效可持续发展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人民群众满意度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5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45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5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5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-6</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52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2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51118122T000000390120-两馆一站免低开地方配套</w:t>
            </w:r>
          </w:p>
        </w:tc>
      </w:tr>
      <w:tr>
        <w:tblPrEx>
          <w:tblCellMar>
            <w:top w:w="0" w:type="dxa"/>
            <w:left w:w="108" w:type="dxa"/>
            <w:bottom w:w="0" w:type="dxa"/>
            <w:right w:w="108" w:type="dxa"/>
          </w:tblCellMar>
        </w:tblPrEx>
        <w:trPr>
          <w:trHeight w:val="52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2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完成2022年两馆一站免低开工作，为丰富人民群众文化活动提供必要的场所环境。</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完成2022年两馆一站免低开工作，为丰富人民群众文化活动提供必要的场所环境。</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两馆一站免低开工作，为丰富人民群众文化活动提供必要的场所环境。</w:t>
            </w:r>
          </w:p>
        </w:tc>
      </w:tr>
      <w:tr>
        <w:trPr>
          <w:trHeight w:val="52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2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文化馆全年免费向公众开放、图书馆</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13个乡镇社区文化站全年免费向公众开放</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提供优质有保障的服务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效果指标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提高人民群众文化生活水平，丰富群众生活形式</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促进全市文化产业发展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99</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运行机制可持续，组织管理可持续</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人民群众满意度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读者满意度指标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图书馆读者满意度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2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2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2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2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2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pPr>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-7</w:t>
      </w:r>
    </w:p>
    <w:tbl>
      <w:tblPr>
        <w:tblStyle w:val="14"/>
        <w:tblW w:w="9480" w:type="dxa"/>
        <w:tblInd w:w="113" w:type="dxa"/>
        <w:tblLayout w:type="autofit"/>
        <w:tblCellMar>
          <w:top w:w="0" w:type="dxa"/>
          <w:left w:w="108" w:type="dxa"/>
          <w:bottom w:w="0" w:type="dxa"/>
          <w:right w:w="108" w:type="dxa"/>
        </w:tblCellMar>
      </w:tblPr>
      <w:tblGrid>
        <w:gridCol w:w="878"/>
        <w:gridCol w:w="1017"/>
        <w:gridCol w:w="1177"/>
        <w:gridCol w:w="1176"/>
        <w:gridCol w:w="519"/>
        <w:gridCol w:w="698"/>
        <w:gridCol w:w="499"/>
        <w:gridCol w:w="1098"/>
        <w:gridCol w:w="520"/>
        <w:gridCol w:w="486"/>
        <w:gridCol w:w="1412"/>
      </w:tblGrid>
      <w:tr>
        <w:tblPrEx>
          <w:tblCellMar>
            <w:top w:w="0" w:type="dxa"/>
            <w:left w:w="108" w:type="dxa"/>
            <w:bottom w:w="0" w:type="dxa"/>
            <w:right w:w="108" w:type="dxa"/>
          </w:tblCellMar>
        </w:tblPrEx>
        <w:trPr>
          <w:trHeight w:val="55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51118122T000005113720-省十四届运动会承办级训练经费</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圆满完成赛事承办任务</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完成完成赛事承办任务。</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2022年成果承办省十四届运动会相关赛事活动。</w:t>
            </w:r>
          </w:p>
        </w:tc>
      </w:tr>
      <w:tr>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至少7个省级体育赛事项目圆满完成</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提升全市体育赛事承办水平</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按时完成赛事承办任务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提升赛事承办水平</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扩大赛事活动对我市的影响力</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-8</w:t>
      </w:r>
    </w:p>
    <w:tbl>
      <w:tblPr>
        <w:tblStyle w:val="14"/>
        <w:tblW w:w="9480" w:type="dxa"/>
        <w:tblInd w:w="113" w:type="dxa"/>
        <w:tblLayout w:type="autofit"/>
        <w:tblCellMar>
          <w:top w:w="0" w:type="dxa"/>
          <w:left w:w="108" w:type="dxa"/>
          <w:bottom w:w="0" w:type="dxa"/>
          <w:right w:w="108" w:type="dxa"/>
        </w:tblCellMar>
      </w:tblPr>
      <w:tblGrid>
        <w:gridCol w:w="878"/>
        <w:gridCol w:w="1017"/>
        <w:gridCol w:w="1177"/>
        <w:gridCol w:w="1176"/>
        <w:gridCol w:w="519"/>
        <w:gridCol w:w="698"/>
        <w:gridCol w:w="499"/>
        <w:gridCol w:w="1098"/>
        <w:gridCol w:w="520"/>
        <w:gridCol w:w="486"/>
        <w:gridCol w:w="1412"/>
      </w:tblGrid>
      <w:tr>
        <w:tblPrEx>
          <w:tblCellMar>
            <w:top w:w="0" w:type="dxa"/>
            <w:left w:w="108" w:type="dxa"/>
            <w:bottom w:w="0" w:type="dxa"/>
            <w:right w:w="108" w:type="dxa"/>
          </w:tblCellMar>
        </w:tblPrEx>
        <w:trPr>
          <w:trHeight w:val="51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1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51118122T000005113737-体育馆运行维护及物业费</w:t>
            </w:r>
          </w:p>
        </w:tc>
      </w:tr>
      <w:tr>
        <w:tblPrEx>
          <w:tblCellMar>
            <w:top w:w="0" w:type="dxa"/>
            <w:left w:w="108" w:type="dxa"/>
            <w:bottom w:w="0" w:type="dxa"/>
            <w:right w:w="108" w:type="dxa"/>
          </w:tblCellMar>
        </w:tblPrEx>
        <w:trPr>
          <w:trHeight w:val="51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1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保障体育馆正常免费低收入向社会开放。</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完成体育馆正常免费低收入向社会开放。</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完成2022年体育馆日常运维。</w:t>
            </w:r>
          </w:p>
        </w:tc>
      </w:tr>
      <w:tr>
        <w:trPr>
          <w:trHeight w:val="51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1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完成人民体质监测</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提高体育馆运维水平</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确保2022年体育馆正常运行</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为体育爱好者、运动员日常锻炼训练提供优质场所良好环境</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增强市民健身满意度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1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1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1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-9</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55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51118122T000005156574-第八届旅博会配套项目</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保障第八届旅博会成功举办。</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完成峨眉山市第八届旅博会氛围营造项目。</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完成峨眉山市第八届旅博会氛围营造项目。</w:t>
            </w:r>
          </w:p>
        </w:tc>
      </w:tr>
      <w:tr>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21.44</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21.44</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21.44</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21.44</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-10</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57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7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51118122T000005694270-中信国安物业费（2020-2021年度）</w:t>
            </w:r>
          </w:p>
        </w:tc>
      </w:tr>
      <w:tr>
        <w:tblPrEx>
          <w:tblCellMar>
            <w:top w:w="0" w:type="dxa"/>
            <w:left w:w="108" w:type="dxa"/>
            <w:bottom w:w="0" w:type="dxa"/>
            <w:right w:w="108" w:type="dxa"/>
          </w:tblCellMar>
        </w:tblPrEx>
        <w:trPr>
          <w:trHeight w:val="57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7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支付中信国安物业费。</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完成按进度支付中信国安体育馆物业管理费。</w:t>
            </w: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按进度支付中信国安体育馆物业管理费</w:t>
            </w:r>
          </w:p>
        </w:tc>
      </w:tr>
      <w:tr>
        <w:trPr>
          <w:trHeight w:val="57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7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7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7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7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7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7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sz w:val="32"/>
          <w:szCs w:val="32"/>
        </w:rPr>
      </w:pPr>
      <w:r>
        <w:rPr>
          <w:rFonts w:ascii="仿宋" w:hAnsi="仿宋" w:eastAsia="仿宋"/>
          <w:b/>
          <w:sz w:val="32"/>
          <w:szCs w:val="32"/>
        </w:rPr>
        <w:t>附件2-11</w:t>
      </w:r>
    </w:p>
    <w:tbl>
      <w:tblPr>
        <w:tblStyle w:val="14"/>
        <w:tblW w:w="9480" w:type="dxa"/>
        <w:tblInd w:w="113" w:type="dxa"/>
        <w:tblLayout w:type="autofit"/>
        <w:tblCellMar>
          <w:top w:w="0" w:type="dxa"/>
          <w:left w:w="108" w:type="dxa"/>
          <w:bottom w:w="0" w:type="dxa"/>
          <w:right w:w="108" w:type="dxa"/>
        </w:tblCellMar>
      </w:tblPr>
      <w:tblGrid>
        <w:gridCol w:w="877"/>
        <w:gridCol w:w="1017"/>
        <w:gridCol w:w="1175"/>
        <w:gridCol w:w="1179"/>
        <w:gridCol w:w="519"/>
        <w:gridCol w:w="698"/>
        <w:gridCol w:w="499"/>
        <w:gridCol w:w="1098"/>
        <w:gridCol w:w="520"/>
        <w:gridCol w:w="486"/>
        <w:gridCol w:w="1412"/>
      </w:tblGrid>
      <w:tr>
        <w:tblPrEx>
          <w:tblCellMar>
            <w:top w:w="0" w:type="dxa"/>
            <w:left w:w="108" w:type="dxa"/>
            <w:bottom w:w="0" w:type="dxa"/>
            <w:right w:w="108" w:type="dxa"/>
          </w:tblCellMar>
        </w:tblPrEx>
        <w:trPr>
          <w:trHeight w:val="55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51118122T000005733704-峨眉山风景名胜区环境保护及体质增效建设项目</w:t>
            </w:r>
          </w:p>
        </w:tc>
      </w:tr>
      <w:tr>
        <w:tblPrEx>
          <w:tblCellMar>
            <w:top w:w="0" w:type="dxa"/>
            <w:left w:w="108" w:type="dxa"/>
            <w:bottom w:w="0" w:type="dxa"/>
            <w:right w:w="108" w:type="dxa"/>
          </w:tblCellMar>
        </w:tblPrEx>
        <w:trPr>
          <w:trHeight w:val="55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按时完成峨眉山风景名胜区环境保护及体质增效建设项目支付</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完成峨眉山风景名胜区环境保护及体质增效建设项目支付</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牵头实施全市“2022年十大文旅项目”中的峨眉山康养民宿示范工程、旅博天地景区综合提升工程、峨秀湖旅游度假区提升工程，分别制定了工作方案、梳理了子项目。</w:t>
            </w:r>
          </w:p>
        </w:tc>
      </w:tr>
      <w:tr>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11,900.00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11,900.00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11,900.00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11,900.00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5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5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5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-12</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79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79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51118122T000005733944-公共文化服务体系建设专项资金（存量资金）</w:t>
            </w:r>
          </w:p>
        </w:tc>
      </w:tr>
      <w:tr>
        <w:tblPrEx>
          <w:tblCellMar>
            <w:top w:w="0" w:type="dxa"/>
            <w:left w:w="108" w:type="dxa"/>
            <w:bottom w:w="0" w:type="dxa"/>
            <w:right w:w="108" w:type="dxa"/>
          </w:tblCellMar>
        </w:tblPrEx>
        <w:trPr>
          <w:trHeight w:val="79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7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完成2022年公共文化服务体系建设</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完成2022年公共文化服务体系建设</w:t>
            </w: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全市新春百姓大联欢，开展线上系列文化活动。通过文图两馆网站、微信公众号、数字云平台、抖音账号等网络平台开展网上教学培训、线上展览展示、数字阅读推广等线上服务，为广大市民群众提供优质的线上公共文化服务，点击量4000余人次。</w:t>
            </w:r>
          </w:p>
        </w:tc>
      </w:tr>
      <w:tr>
        <w:trPr>
          <w:trHeight w:val="7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25.20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25.20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9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9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96</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项目自评总分96分，严格按照有关项目管理和经费管理规定执行。各项预算支出顺利进行。</w:t>
            </w:r>
          </w:p>
        </w:tc>
      </w:tr>
      <w:tr>
        <w:tblPrEx>
          <w:tblCellMar>
            <w:top w:w="0" w:type="dxa"/>
            <w:left w:w="108" w:type="dxa"/>
            <w:bottom w:w="0" w:type="dxa"/>
            <w:right w:w="108" w:type="dxa"/>
          </w:tblCellMar>
        </w:tblPrEx>
        <w:trPr>
          <w:trHeight w:val="7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79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79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-13</w:t>
      </w:r>
    </w:p>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58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8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51118122T000005734061-体彩公益金（2020.12-2021.3市级资金存量资金）</w:t>
            </w:r>
          </w:p>
        </w:tc>
      </w:tr>
      <w:tr>
        <w:tblPrEx>
          <w:tblCellMar>
            <w:top w:w="0" w:type="dxa"/>
            <w:left w:w="108" w:type="dxa"/>
            <w:bottom w:w="0" w:type="dxa"/>
            <w:right w:w="108" w:type="dxa"/>
          </w:tblCellMar>
        </w:tblPrEx>
        <w:trPr>
          <w:trHeight w:val="58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8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9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确保体彩公益金正常支付完成全市体育工作。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完成全市体育场地普查工作，人均面积达2.31㎡。绥山太泉全民健身运动场和峨山街道全民健身运动场主体已完成。</w:t>
            </w: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体育馆免费开放，提供羽毛球、乒乓球、气排球、武术等项目。完成全市体育场地普查工作，人均面积达2.31㎡。绥山太泉全民健身运动场和峨山街道全民健身运动场主体已完成。</w:t>
            </w:r>
          </w:p>
        </w:tc>
      </w:tr>
      <w:tr>
        <w:trPr>
          <w:trHeight w:val="58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31.04</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31.04</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31.04</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31.04</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8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8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8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8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8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8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8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pPr>
    </w:p>
    <w:p/>
    <w:p>
      <w:pPr>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-14</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3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3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51118122T000005734100-体彩公益金（2020年10-11月体育彩票公益金存量资金）</w:t>
            </w:r>
          </w:p>
        </w:tc>
      </w:tr>
      <w:tr>
        <w:tblPrEx>
          <w:tblCellMar>
            <w:top w:w="0" w:type="dxa"/>
            <w:left w:w="108" w:type="dxa"/>
            <w:bottom w:w="0" w:type="dxa"/>
            <w:right w:w="108" w:type="dxa"/>
          </w:tblCellMar>
        </w:tblPrEx>
        <w:trPr>
          <w:trHeight w:val="63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3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8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确保体彩公益金正常支付完成全市体育工作。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完成全市体育场地普查工作，人均面积达2.31㎡。绥山太泉全民健身运动场和峨山街道全民健身运动场主体已完成。</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体育馆免费开放，提供羽毛球、乒乓球、气排球、武术等项目。完成全市体育场地普查工作，人均面积达2.31㎡。绥山太泉全民健身运动场和峨山街道全民健身运动场主体已完成。</w:t>
            </w:r>
          </w:p>
        </w:tc>
      </w:tr>
      <w:tr>
        <w:trPr>
          <w:trHeight w:val="63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16.67</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16.67</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16.67</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16.67</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3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3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ascii="仿宋" w:hAnsi="仿宋" w:eastAsia="仿宋"/>
          <w:b/>
          <w:sz w:val="32"/>
          <w:szCs w:val="32"/>
        </w:rPr>
      </w:pPr>
      <w:r>
        <w:rPr>
          <w:rFonts w:hint="eastAsia" w:ascii="仿宋" w:hAnsi="仿宋" w:eastAsia="仿宋"/>
          <w:b/>
          <w:sz w:val="32"/>
          <w:szCs w:val="32"/>
        </w:rPr>
        <w:t>附件2</w:t>
      </w:r>
      <w:r>
        <w:rPr>
          <w:rFonts w:ascii="仿宋" w:hAnsi="仿宋" w:eastAsia="仿宋"/>
          <w:b/>
          <w:sz w:val="32"/>
          <w:szCs w:val="32"/>
        </w:rPr>
        <w:t>-15</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3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3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51118122T000005734125-广播电视重点项目（存量资金）</w:t>
            </w:r>
          </w:p>
        </w:tc>
      </w:tr>
      <w:tr>
        <w:tblPrEx>
          <w:tblCellMar>
            <w:top w:w="0" w:type="dxa"/>
            <w:left w:w="108" w:type="dxa"/>
            <w:bottom w:w="0" w:type="dxa"/>
            <w:right w:w="108" w:type="dxa"/>
          </w:tblCellMar>
        </w:tblPrEx>
        <w:trPr>
          <w:trHeight w:val="63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3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81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完善惠民设施工程</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完成农村广播村村响、电视户户通维护工作，确保农村广播村村响、电视户户通正常运行。</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认真做好农村广播村村响、电视户户通维护工作，确保农村广播村村响、电视户户通正常运行</w:t>
            </w:r>
          </w:p>
        </w:tc>
      </w:tr>
      <w:tr>
        <w:trPr>
          <w:trHeight w:val="63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3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3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3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-16</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78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78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51118122T000005734184-广播电视户户通运行维护存量资金</w:t>
            </w:r>
          </w:p>
        </w:tc>
      </w:tr>
      <w:tr>
        <w:tblPrEx>
          <w:tblCellMar>
            <w:top w:w="0" w:type="dxa"/>
            <w:left w:w="108" w:type="dxa"/>
            <w:bottom w:w="0" w:type="dxa"/>
            <w:right w:w="108" w:type="dxa"/>
          </w:tblCellMar>
        </w:tblPrEx>
        <w:trPr>
          <w:trHeight w:val="78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78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完善惠民设施工程</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完成农村广播村村响、电视户户通维护工作，确保农村广播村村响、电视户户通正常运行。</w:t>
            </w: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认真做好农村广播村村响、电视户户通维护工作，确保农村广播村村响、电视户户通正常运行</w:t>
            </w:r>
          </w:p>
        </w:tc>
      </w:tr>
      <w:tr>
        <w:trPr>
          <w:trHeight w:val="78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8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78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78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78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rPr>
          <w:rFonts w:ascii="仿宋" w:hAnsi="仿宋" w:eastAsia="仿宋"/>
          <w:sz w:val="32"/>
          <w:szCs w:val="32"/>
        </w:rPr>
      </w:pPr>
    </w:p>
    <w:p>
      <w:pPr>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-17</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540"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4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51118122T000005734267-中央文化人才专项经费（存量资金）</w:t>
            </w:r>
          </w:p>
        </w:tc>
      </w:tr>
      <w:tr>
        <w:tblPrEx>
          <w:tblCellMar>
            <w:top w:w="0" w:type="dxa"/>
            <w:left w:w="108" w:type="dxa"/>
            <w:bottom w:w="0" w:type="dxa"/>
            <w:right w:w="108" w:type="dxa"/>
          </w:tblCellMar>
        </w:tblPrEx>
        <w:trPr>
          <w:trHeight w:val="54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54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做好非遗保护传承</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完成支付国家级非遗传承人经费。</w:t>
            </w:r>
          </w:p>
        </w:tc>
      </w:tr>
      <w:tr>
        <w:trPr>
          <w:trHeight w:val="78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支付国家级非遗传承人经费</w:t>
            </w:r>
          </w:p>
        </w:tc>
      </w:tr>
      <w:tr>
        <w:trPr>
          <w:trHeight w:val="54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40"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5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4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4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40"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pPr>
    </w:p>
    <w:p>
      <w:pPr>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-18</w:t>
      </w:r>
    </w:p>
    <w:tbl>
      <w:tblPr>
        <w:tblStyle w:val="14"/>
        <w:tblW w:w="9480" w:type="dxa"/>
        <w:tblInd w:w="113" w:type="dxa"/>
        <w:tblLayout w:type="autofit"/>
        <w:tblCellMar>
          <w:top w:w="0" w:type="dxa"/>
          <w:left w:w="108" w:type="dxa"/>
          <w:bottom w:w="0" w:type="dxa"/>
          <w:right w:w="108" w:type="dxa"/>
        </w:tblCellMar>
      </w:tblPr>
      <w:tblGrid>
        <w:gridCol w:w="877"/>
        <w:gridCol w:w="1017"/>
        <w:gridCol w:w="1176"/>
        <w:gridCol w:w="1177"/>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51118122T000005734394-演艺中心达创文旅项目</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演艺中心达创文旅项目</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完成完成演艺中心达创文旅项目。</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完成演艺中心达创文旅项目。</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-19</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51118122T000006086670-2021.4-6月市级体彩公益金</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确保体彩公益金正常支付完成全市体育工作。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完成全市体育场地普查工作，人均面积达2.31㎡。绥山太泉全民健身运动场和峨山街道全民健身运动场主体。</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体育馆免费开放，提供羽毛球、乒乓球、气排球、武术等项目。完成全市体育场地普查工作，人均面积达2.31㎡。绥山太泉全民健身运动场和峨山街道全民健身运动场主体已完成。</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17.15</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4.83</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28.16%</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17.15</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4.83</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28.16%</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96</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项目自评总分96分，严格按照有关项目管理和经费管理规定执行。各项预算支出顺利进行。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-2</w:t>
      </w:r>
      <w:r>
        <w:rPr>
          <w:rFonts w:hint="eastAsia" w:ascii="仿宋" w:hAnsi="仿宋" w:eastAsia="仿宋"/>
          <w:b/>
          <w:sz w:val="32"/>
          <w:szCs w:val="32"/>
          <w:lang w:val="en-US" w:eastAsia="zh-CN"/>
        </w:rPr>
        <w:t>0</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51118122T000006590306-峨眉山市应急广播系统建设项目</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完成峨眉山市应急广播系统建设项目</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完成峨眉山市应急广播系统建设项目。</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成功申报应急广播体系建设和智慧广电建设项目并实施。</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608.10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49.33%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608.10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49.33%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98</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项目自评总分98分，严格按照有关项目管理和经费管理规定执行。各项预算支出顺利进行。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-2</w:t>
      </w:r>
      <w:r>
        <w:rPr>
          <w:rFonts w:hint="eastAsia" w:ascii="仿宋" w:hAnsi="仿宋" w:eastAsia="仿宋"/>
          <w:b/>
          <w:sz w:val="32"/>
          <w:szCs w:val="32"/>
          <w:lang w:val="en-US" w:eastAsia="zh-CN"/>
        </w:rPr>
        <w:t>1</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51118122T000006652229-两馆一站免低开中省资金</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159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做好两馆一站免费开放工作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举办美术、音乐、舞蹈、走秀等春季培训班5期约60节课。积极为全市各支文艺宣传队伍提供声乐、舞蹈等指导。开展乡镇综合文化站自查工作，针对存在问题进行整改，提升文化站服务效能。完成全国公共图书馆第七次评估定级工作。</w:t>
            </w:r>
          </w:p>
        </w:tc>
      </w:tr>
      <w:tr>
        <w:trPr>
          <w:trHeight w:val="840"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举办美术、音乐、舞蹈、走秀等春季培训班5期约60节课。积极为全市各支文艺宣传队伍提供声乐、舞蹈等指导。开展乡镇综合文化站自查工作，针对存在问题进行整改，提升文化站服务效能。完成全国公共图书馆第七次评估定级工作。</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92.40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92.40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92.40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92.40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-2</w:t>
      </w:r>
      <w:r>
        <w:rPr>
          <w:rFonts w:hint="eastAsia" w:ascii="仿宋" w:hAnsi="仿宋" w:eastAsia="仿宋"/>
          <w:b/>
          <w:sz w:val="32"/>
          <w:szCs w:val="32"/>
          <w:lang w:val="en-US" w:eastAsia="zh-CN"/>
        </w:rPr>
        <w:t>2</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51118122T000006664454-2022年四川省十四运会备战专项经费</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备战省十四运会</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完成2022年四川省十四运会备战专项经费。</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完成2022年四川省十四运会备战专项经费。</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33.53%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33.53%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96</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项目自评总分96分，严格按照有关项目管理和经费管理规定执行。各项预算支出顺利进行。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-2</w:t>
      </w:r>
      <w:r>
        <w:rPr>
          <w:rFonts w:hint="eastAsia" w:ascii="仿宋" w:hAnsi="仿宋" w:eastAsia="仿宋"/>
          <w:b/>
          <w:sz w:val="32"/>
          <w:szCs w:val="32"/>
          <w:lang w:val="en-US" w:eastAsia="zh-CN"/>
        </w:rPr>
        <w:t>3</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51118122T000006730480-2022年广播电视户户通运行维护</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91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2022年广播电视户户通运行维护</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完成农村广播村村响、电视户户通维护工作，确保农村广播村村响、电视户户通正常运行，维修194个自然村260余次。</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农村广播村村响、电视户户通维护工作，确保农村广播村村响、电视户户通正常运行，维修194个自然村260余次</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9.98</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9.98</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96</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项目自评总分96分，严格按照有关项目管理和经费管理规定执行。各项预算支出顺利进行。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-2</w:t>
      </w:r>
      <w:r>
        <w:rPr>
          <w:rFonts w:hint="eastAsia" w:ascii="仿宋" w:hAnsi="仿宋" w:eastAsia="仿宋"/>
          <w:b/>
          <w:sz w:val="32"/>
          <w:szCs w:val="32"/>
          <w:lang w:val="en-US" w:eastAsia="zh-CN"/>
        </w:rPr>
        <w:t>4</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51118122T000006798288-2022年体育馆免低开中省补助资金</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确保体育馆免低开正常运行</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完成体育馆免低开正常运行。</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完成2022年体育馆免低开运行工作。</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86.50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83.24</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96.23%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86.50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83.24</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96.23%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项目自评总分99分，严格按照有关项目管理和经费管理规定执行。各项预算支出顺利进行。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-2</w:t>
      </w:r>
      <w:r>
        <w:rPr>
          <w:rFonts w:hint="eastAsia" w:ascii="仿宋" w:hAnsi="仿宋" w:eastAsia="仿宋"/>
          <w:b/>
          <w:sz w:val="32"/>
          <w:szCs w:val="32"/>
          <w:lang w:val="en-US" w:eastAsia="zh-CN"/>
        </w:rPr>
        <w:t>5</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51118122T000006798320-体彩金地方分成资金（2021.1-12清算及2022.1-3月）</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确保体彩公益金正常支付完成全市体育工作。</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完成体育馆免费开放，提供羽毛球、乒乓球、气排球、武术等经费支出</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体育馆免费开放，提供羽毛球、乒乓球、气排球、武术等项目。完成全市体育场地普查工作，人均面积达2.31㎡。绥山太泉全民健身运动场和峨山街道全民健身运动场主体已完成。</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93.61</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18.16</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19.40%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93.61</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18.16</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19.40%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92</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项目自评总分92分，严格按照有关项目管理和经费管理规定执行。各项预算支出顺利进行。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-2</w:t>
      </w:r>
      <w:r>
        <w:rPr>
          <w:rFonts w:hint="eastAsia" w:ascii="仿宋" w:hAnsi="仿宋" w:eastAsia="仿宋"/>
          <w:b/>
          <w:sz w:val="32"/>
          <w:szCs w:val="32"/>
          <w:lang w:val="en-US" w:eastAsia="zh-CN"/>
        </w:rPr>
        <w:t>6</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51118122T000006913058-中信国安体育馆综合服务项目</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确保体育馆正常运行</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完成2022年体育馆运行工作。</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完成2022年体育馆运行工作</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-2</w:t>
      </w:r>
      <w:r>
        <w:rPr>
          <w:rFonts w:hint="eastAsia" w:ascii="仿宋" w:hAnsi="仿宋" w:eastAsia="仿宋"/>
          <w:b/>
          <w:sz w:val="32"/>
          <w:szCs w:val="32"/>
          <w:lang w:val="en-US" w:eastAsia="zh-CN"/>
        </w:rPr>
        <w:t>7</w:t>
      </w:r>
    </w:p>
    <w:tbl>
      <w:tblPr>
        <w:tblStyle w:val="14"/>
        <w:tblW w:w="9480" w:type="dxa"/>
        <w:tblInd w:w="113" w:type="dxa"/>
        <w:tblLayout w:type="autofit"/>
        <w:tblCellMar>
          <w:top w:w="0" w:type="dxa"/>
          <w:left w:w="108" w:type="dxa"/>
          <w:bottom w:w="0" w:type="dxa"/>
          <w:right w:w="108" w:type="dxa"/>
        </w:tblCellMar>
      </w:tblPr>
      <w:tblGrid>
        <w:gridCol w:w="880"/>
        <w:gridCol w:w="1020"/>
        <w:gridCol w:w="1180"/>
        <w:gridCol w:w="1180"/>
        <w:gridCol w:w="520"/>
        <w:gridCol w:w="700"/>
        <w:gridCol w:w="500"/>
        <w:gridCol w:w="1100"/>
        <w:gridCol w:w="520"/>
        <w:gridCol w:w="460"/>
        <w:gridCol w:w="1420"/>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51118122T000007085638-省十四运会市级资金</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备战省十四运会</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完成省十四运会承办参赛等赛事活动。</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完成省十四运会承办参赛等赛事活动</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74.57</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16.09%</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74.57</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16.09%</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96</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项目自评总分96分，严格按照有关项目管理和经费管理规定执行。各项预算支出顺利进行。</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28</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51118122T000007462300-旅博会氛围营造项目</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旅博会氛围营造项目</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完成旅博会氛围营造经费支出。</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完成旅博会氛围营造</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29</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51118123T000007583441-峨眉南山度假片区旅游专项规划</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6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开展峨眉南山度假片区旅游专项规划</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完成推进乡镇级片区旅游专项规划编制工作，完成峨眉南山度假片区成果编制和审核。</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全力推进乡镇级片区旅游专项规划编制工作，完成峨眉南山度假片区成果编制和审核</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30</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51118123T000007724230-服务业市场主体贷款贴息项目</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服务业市场主体贷款贴息项目，提高服务行业积极性</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完成服务业市场主体贷款贴息项目补贴发放工作。</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完成服务业市场主体贷款贴息项目补贴发放工作。</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-3</w:t>
      </w:r>
      <w:r>
        <w:rPr>
          <w:rFonts w:hint="eastAsia" w:ascii="仿宋" w:hAnsi="仿宋" w:eastAsia="仿宋"/>
          <w:b/>
          <w:sz w:val="32"/>
          <w:szCs w:val="32"/>
          <w:lang w:val="en-US" w:eastAsia="zh-CN"/>
        </w:rPr>
        <w:t>1</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51118123T000007876903-向外来游客发送温馨提示短信经费</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向外来游客发送温馨提示短信经费</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完成向外来游客发送温馨提示短信工作。</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完成向外来游客发送温馨提示短信工作。</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-3</w:t>
      </w:r>
      <w:r>
        <w:rPr>
          <w:rFonts w:hint="eastAsia" w:ascii="仿宋" w:hAnsi="仿宋" w:eastAsia="仿宋"/>
          <w:b/>
          <w:sz w:val="32"/>
          <w:szCs w:val="32"/>
          <w:lang w:val="en-US" w:eastAsia="zh-CN"/>
        </w:rPr>
        <w:t>2</w:t>
      </w:r>
    </w:p>
    <w:tbl>
      <w:tblPr>
        <w:tblStyle w:val="14"/>
        <w:tblW w:w="9480" w:type="dxa"/>
        <w:tblInd w:w="113" w:type="dxa"/>
        <w:tblLayout w:type="autofit"/>
        <w:tblCellMar>
          <w:top w:w="0" w:type="dxa"/>
          <w:left w:w="108" w:type="dxa"/>
          <w:bottom w:w="0" w:type="dxa"/>
          <w:right w:w="108" w:type="dxa"/>
        </w:tblCellMar>
      </w:tblPr>
      <w:tblGrid>
        <w:gridCol w:w="878"/>
        <w:gridCol w:w="1017"/>
        <w:gridCol w:w="1176"/>
        <w:gridCol w:w="1176"/>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51118123T000008396840-冰雪大世界项目投资补贴</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按时拨付冰雪大世界项目投资补贴</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完成冰雪大世界项目投资补贴。</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拨付冰雪大世界项目投资补贴</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49.08</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49.08</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49.08</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49.08</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-3</w:t>
      </w:r>
      <w:r>
        <w:rPr>
          <w:rFonts w:hint="eastAsia" w:ascii="仿宋" w:hAnsi="仿宋" w:eastAsia="仿宋"/>
          <w:b/>
          <w:sz w:val="32"/>
          <w:szCs w:val="32"/>
          <w:lang w:val="en-US" w:eastAsia="zh-CN"/>
        </w:rPr>
        <w:t>3</w:t>
      </w:r>
    </w:p>
    <w:tbl>
      <w:tblPr>
        <w:tblStyle w:val="14"/>
        <w:tblW w:w="9480" w:type="dxa"/>
        <w:tblInd w:w="113" w:type="dxa"/>
        <w:tblLayout w:type="autofit"/>
        <w:tblCellMar>
          <w:top w:w="0" w:type="dxa"/>
          <w:left w:w="108" w:type="dxa"/>
          <w:bottom w:w="0" w:type="dxa"/>
          <w:right w:w="108" w:type="dxa"/>
        </w:tblCellMar>
      </w:tblPr>
      <w:tblGrid>
        <w:gridCol w:w="877"/>
        <w:gridCol w:w="1017"/>
        <w:gridCol w:w="1176"/>
        <w:gridCol w:w="1177"/>
        <w:gridCol w:w="519"/>
        <w:gridCol w:w="698"/>
        <w:gridCol w:w="499"/>
        <w:gridCol w:w="1098"/>
        <w:gridCol w:w="520"/>
        <w:gridCol w:w="486"/>
        <w:gridCol w:w="1413"/>
      </w:tblGrid>
      <w:tr>
        <w:tblPrEx>
          <w:tblCellMar>
            <w:top w:w="0" w:type="dxa"/>
            <w:left w:w="108" w:type="dxa"/>
            <w:bottom w:w="0" w:type="dxa"/>
            <w:right w:w="108" w:type="dxa"/>
          </w:tblCellMar>
        </w:tblPrEx>
        <w:trPr>
          <w:trHeight w:val="645"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80" w:type="dxa"/>
            <w:gridSpan w:val="9"/>
            <w:tcBorders>
              <w:top w:val="single" w:color="000000" w:sz="4" w:space="0"/>
              <w:left w:val="nil"/>
              <w:bottom w:val="single" w:color="000000" w:sz="4" w:space="0"/>
              <w:right w:val="single" w:color="000000" w:sz="4" w:space="0"/>
            </w:tcBorders>
            <w:shd w:val="clear" w:color="000000" w:fill="FFFFFF" w:themeFill="background1"/>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51118123T000008489826-建设项目补贴款</w:t>
            </w:r>
          </w:p>
        </w:tc>
      </w:tr>
      <w:tr>
        <w:tblPrEx>
          <w:tblCellMar>
            <w:top w:w="0" w:type="dxa"/>
            <w:left w:w="108" w:type="dxa"/>
            <w:bottom w:w="0" w:type="dxa"/>
            <w:right w:w="108" w:type="dxa"/>
          </w:tblCellMar>
        </w:tblPrEx>
        <w:trPr>
          <w:trHeight w:val="645"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80" w:type="dxa"/>
            <w:gridSpan w:val="5"/>
            <w:tcBorders>
              <w:top w:val="single" w:color="000000" w:sz="4" w:space="0"/>
              <w:left w:val="nil"/>
              <w:bottom w:val="single" w:color="000000" w:sz="4" w:space="0"/>
              <w:right w:val="single" w:color="000000" w:sz="4" w:space="0"/>
            </w:tcBorders>
            <w:shd w:val="clear" w:color="000000" w:fill="FFFFFF" w:themeFill="background1"/>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000000" w:fill="FFFFFF" w:themeFill="background1"/>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峨眉山市文化体育和旅游局</w:t>
            </w:r>
          </w:p>
        </w:tc>
      </w:tr>
      <w:tr>
        <w:tblPrEx>
          <w:tblCellMar>
            <w:top w:w="0" w:type="dxa"/>
            <w:left w:w="108" w:type="dxa"/>
            <w:bottom w:w="0" w:type="dxa"/>
            <w:right w:w="108" w:type="dxa"/>
          </w:tblCellMar>
        </w:tblPrEx>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8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按时拨付经费</w:t>
            </w:r>
          </w:p>
        </w:tc>
        <w:tc>
          <w:tcPr>
            <w:tcW w:w="350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hint="eastAsia" w:ascii="宋体" w:hAnsi="宋体" w:cs="宋体"/>
                <w:color w:val="000000"/>
                <w:kern w:val="0"/>
                <w:sz w:val="18"/>
                <w:szCs w:val="18"/>
              </w:rPr>
              <w:t>完成拨付只有峨眉山演艺剧场补贴款</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8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完成拨付只有峨眉山演艺剧场补贴款</w:t>
            </w: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45" w:hRule="atLeast"/>
        </w:trPr>
        <w:tc>
          <w:tcPr>
            <w:tcW w:w="8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45" w:hRule="atLeast"/>
        </w:trPr>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45"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4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8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0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47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项目负责人：苏真武</w:t>
            </w:r>
          </w:p>
        </w:tc>
        <w:tc>
          <w:tcPr>
            <w:tcW w:w="470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财务负责人：颜佐江</w:t>
            </w:r>
          </w:p>
        </w:tc>
      </w:tr>
    </w:tbl>
    <w:p>
      <w:pPr>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-3</w:t>
      </w:r>
      <w:r>
        <w:rPr>
          <w:rFonts w:hint="eastAsia" w:ascii="仿宋" w:hAnsi="仿宋" w:eastAsia="仿宋"/>
          <w:b/>
          <w:sz w:val="32"/>
          <w:szCs w:val="32"/>
          <w:lang w:val="en-US" w:eastAsia="zh-CN"/>
        </w:rPr>
        <w:t>4</w:t>
      </w:r>
    </w:p>
    <w:tbl>
      <w:tblPr>
        <w:tblStyle w:val="14"/>
        <w:tblW w:w="9720" w:type="dxa"/>
        <w:tblInd w:w="113" w:type="dxa"/>
        <w:tblLayout w:type="autofit"/>
        <w:tblCellMar>
          <w:top w:w="0" w:type="dxa"/>
          <w:left w:w="108" w:type="dxa"/>
          <w:bottom w:w="0" w:type="dxa"/>
          <w:right w:w="108" w:type="dxa"/>
        </w:tblCellMar>
      </w:tblPr>
      <w:tblGrid>
        <w:gridCol w:w="699"/>
        <w:gridCol w:w="1272"/>
        <w:gridCol w:w="1213"/>
        <w:gridCol w:w="1470"/>
        <w:gridCol w:w="519"/>
        <w:gridCol w:w="576"/>
        <w:gridCol w:w="400"/>
        <w:gridCol w:w="919"/>
        <w:gridCol w:w="520"/>
        <w:gridCol w:w="486"/>
        <w:gridCol w:w="1646"/>
      </w:tblGrid>
      <w:tr>
        <w:tblPrEx>
          <w:tblCellMar>
            <w:top w:w="0" w:type="dxa"/>
            <w:left w:w="108" w:type="dxa"/>
            <w:bottom w:w="0" w:type="dxa"/>
            <w:right w:w="108" w:type="dxa"/>
          </w:tblCellMar>
        </w:tblPrEx>
        <w:trPr>
          <w:trHeight w:val="855"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78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51118122T000000348858-文艺创作、艺术团训练、文化活动</w:t>
            </w:r>
          </w:p>
        </w:tc>
      </w:tr>
      <w:tr>
        <w:tblPrEx>
          <w:tblCellMar>
            <w:top w:w="0" w:type="dxa"/>
            <w:left w:w="108" w:type="dxa"/>
            <w:bottom w:w="0" w:type="dxa"/>
            <w:right w:w="108" w:type="dxa"/>
          </w:tblCellMar>
        </w:tblPrEx>
        <w:trPr>
          <w:trHeight w:val="78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峨眉山市文化馆</w:t>
            </w:r>
          </w:p>
        </w:tc>
      </w:tr>
      <w:tr>
        <w:tblPrEx>
          <w:tblCellMar>
            <w:top w:w="0" w:type="dxa"/>
            <w:left w:w="108" w:type="dxa"/>
            <w:bottom w:w="0" w:type="dxa"/>
            <w:right w:w="108" w:type="dxa"/>
          </w:tblCellMar>
        </w:tblPrEx>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积极开展峨眉山文艺创作、艺术团训练等，开展各类文化活动。</w:t>
            </w:r>
          </w:p>
        </w:tc>
        <w:tc>
          <w:tcPr>
            <w:tcW w:w="35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积极开展峨眉山文艺创作、艺术团训练等，开展各类文化活动。</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积极开展峨眉山文艺创作、艺术团训练等，开展各类文化活动。</w:t>
            </w:r>
          </w:p>
        </w:tc>
      </w:tr>
      <w:tr>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培训、教学及文化活动展示展演人次、场次等</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培训、教学及文化活动展示展演参与人次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2022年内完成</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预算内开展各类文化培训、教学、活动工作</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保障广大群众基本文化权益受益人次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满足群众基本文化需求</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随机开展服务对象满意度测评</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8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积极开展峨眉山文艺创作、艺术团训练等，开展各类文化活动。</w:t>
            </w:r>
          </w:p>
        </w:tc>
      </w:tr>
      <w:tr>
        <w:tblPrEx>
          <w:tblCellMar>
            <w:top w:w="0" w:type="dxa"/>
            <w:left w:w="108" w:type="dxa"/>
            <w:bottom w:w="0" w:type="dxa"/>
            <w:right w:w="108" w:type="dxa"/>
          </w:tblCellMar>
        </w:tblPrEx>
        <w:trPr>
          <w:trHeight w:val="78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78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780" w:hRule="atLeast"/>
        </w:trPr>
        <w:tc>
          <w:tcPr>
            <w:tcW w:w="5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项目负责人：杨斐</w:t>
            </w:r>
          </w:p>
        </w:tc>
        <w:tc>
          <w:tcPr>
            <w:tcW w:w="45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财务负责人：陆阿倩</w:t>
            </w:r>
          </w:p>
        </w:tc>
      </w:tr>
    </w:tbl>
    <w:p>
      <w:pPr>
        <w:pStyle w:val="2"/>
        <w:spacing w:before="93"/>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-3</w:t>
      </w:r>
      <w:r>
        <w:rPr>
          <w:rFonts w:hint="eastAsia" w:ascii="仿宋" w:hAnsi="仿宋" w:eastAsia="仿宋"/>
          <w:b/>
          <w:sz w:val="32"/>
          <w:szCs w:val="32"/>
          <w:lang w:val="en-US" w:eastAsia="zh-CN"/>
        </w:rPr>
        <w:t>5</w:t>
      </w:r>
    </w:p>
    <w:tbl>
      <w:tblPr>
        <w:tblStyle w:val="14"/>
        <w:tblW w:w="9720" w:type="dxa"/>
        <w:tblInd w:w="113" w:type="dxa"/>
        <w:tblLayout w:type="autofit"/>
        <w:tblCellMar>
          <w:top w:w="0" w:type="dxa"/>
          <w:left w:w="108" w:type="dxa"/>
          <w:bottom w:w="0" w:type="dxa"/>
          <w:right w:w="108" w:type="dxa"/>
        </w:tblCellMar>
      </w:tblPr>
      <w:tblGrid>
        <w:gridCol w:w="699"/>
        <w:gridCol w:w="1272"/>
        <w:gridCol w:w="1213"/>
        <w:gridCol w:w="1470"/>
        <w:gridCol w:w="519"/>
        <w:gridCol w:w="576"/>
        <w:gridCol w:w="400"/>
        <w:gridCol w:w="919"/>
        <w:gridCol w:w="520"/>
        <w:gridCol w:w="486"/>
        <w:gridCol w:w="1646"/>
      </w:tblGrid>
      <w:tr>
        <w:tblPrEx>
          <w:tblCellMar>
            <w:top w:w="0" w:type="dxa"/>
            <w:left w:w="108" w:type="dxa"/>
            <w:bottom w:w="0" w:type="dxa"/>
            <w:right w:w="108" w:type="dxa"/>
          </w:tblCellMar>
        </w:tblPrEx>
        <w:trPr>
          <w:trHeight w:val="780"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78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51118122T000005186220-免低开地方配套经费</w:t>
            </w:r>
          </w:p>
        </w:tc>
      </w:tr>
      <w:tr>
        <w:tblPrEx>
          <w:tblCellMar>
            <w:top w:w="0" w:type="dxa"/>
            <w:left w:w="108" w:type="dxa"/>
            <w:bottom w:w="0" w:type="dxa"/>
            <w:right w:w="108" w:type="dxa"/>
          </w:tblCellMar>
        </w:tblPrEx>
        <w:trPr>
          <w:trHeight w:val="78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峨眉山市文化馆</w:t>
            </w:r>
          </w:p>
        </w:tc>
      </w:tr>
      <w:tr>
        <w:tblPrEx>
          <w:tblCellMar>
            <w:top w:w="0" w:type="dxa"/>
            <w:left w:w="108" w:type="dxa"/>
            <w:bottom w:w="0" w:type="dxa"/>
            <w:right w:w="108" w:type="dxa"/>
          </w:tblCellMar>
        </w:tblPrEx>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开展公共文化服务体系建设，开展各类培训、教学及文化活动展演展示。</w:t>
            </w:r>
          </w:p>
        </w:tc>
        <w:tc>
          <w:tcPr>
            <w:tcW w:w="35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开展公共文化服务体系建设，开展各类培训、教学及文化活动展演展示，保障并满足广大群众基本文化需求。</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开展公共文化服务体系建设，开展各类培训、教学及文化活动展演展示。</w:t>
            </w:r>
          </w:p>
        </w:tc>
      </w:tr>
      <w:tr>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220"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80"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80" w:type="dxa"/>
            <w:gridSpan w:val="3"/>
            <w:tcBorders>
              <w:top w:val="single" w:color="000000" w:sz="4" w:space="0"/>
              <w:left w:val="nil"/>
              <w:bottom w:val="nil"/>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nil"/>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12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培训、教学及文化活动展演展示人次、场次等、馆内日常设备设施维护</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培训、教学及文化活动展演展示参与人次等</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2022年内完成</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预算内开展公共文化服务体系建设工作</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保障广大群众基本文化权益受益人次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满足群众基本文化需求人次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随机开展服务对象满意度测评</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4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开展公共文化服务体系建设，开展各类培训、教学及文化活动展演展示，保障并满足广大群众基本文化需求。</w:t>
            </w:r>
          </w:p>
        </w:tc>
      </w:tr>
      <w:tr>
        <w:tblPrEx>
          <w:tblCellMar>
            <w:top w:w="0" w:type="dxa"/>
            <w:left w:w="108" w:type="dxa"/>
            <w:bottom w:w="0" w:type="dxa"/>
            <w:right w:w="108" w:type="dxa"/>
          </w:tblCellMar>
        </w:tblPrEx>
        <w:trPr>
          <w:trHeight w:val="64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45" w:hRule="atLeast"/>
        </w:trPr>
        <w:tc>
          <w:tcPr>
            <w:tcW w:w="52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项目负责人：杨斐</w:t>
            </w:r>
          </w:p>
        </w:tc>
        <w:tc>
          <w:tcPr>
            <w:tcW w:w="4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财务负责人：陆阿倩</w:t>
            </w:r>
          </w:p>
        </w:tc>
      </w:tr>
    </w:tbl>
    <w:p>
      <w:pPr>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-3</w:t>
      </w:r>
      <w:r>
        <w:rPr>
          <w:rFonts w:hint="eastAsia" w:ascii="仿宋" w:hAnsi="仿宋" w:eastAsia="仿宋"/>
          <w:b/>
          <w:sz w:val="32"/>
          <w:szCs w:val="32"/>
          <w:lang w:val="en-US" w:eastAsia="zh-CN"/>
        </w:rPr>
        <w:t>6</w:t>
      </w:r>
    </w:p>
    <w:tbl>
      <w:tblPr>
        <w:tblStyle w:val="14"/>
        <w:tblW w:w="9720" w:type="dxa"/>
        <w:tblInd w:w="113" w:type="dxa"/>
        <w:tblLayout w:type="autofit"/>
        <w:tblCellMar>
          <w:top w:w="0" w:type="dxa"/>
          <w:left w:w="108" w:type="dxa"/>
          <w:bottom w:w="0" w:type="dxa"/>
          <w:right w:w="108" w:type="dxa"/>
        </w:tblCellMar>
      </w:tblPr>
      <w:tblGrid>
        <w:gridCol w:w="698"/>
        <w:gridCol w:w="1275"/>
        <w:gridCol w:w="1216"/>
        <w:gridCol w:w="1475"/>
        <w:gridCol w:w="519"/>
        <w:gridCol w:w="559"/>
        <w:gridCol w:w="400"/>
        <w:gridCol w:w="920"/>
        <w:gridCol w:w="520"/>
        <w:gridCol w:w="486"/>
        <w:gridCol w:w="1652"/>
      </w:tblGrid>
      <w:tr>
        <w:tblPrEx>
          <w:tblCellMar>
            <w:top w:w="0" w:type="dxa"/>
            <w:left w:w="108" w:type="dxa"/>
            <w:bottom w:w="0" w:type="dxa"/>
            <w:right w:w="108" w:type="dxa"/>
          </w:tblCellMar>
        </w:tblPrEx>
        <w:trPr>
          <w:trHeight w:val="780" w:hRule="atLeast"/>
        </w:trPr>
        <w:tc>
          <w:tcPr>
            <w:tcW w:w="97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780" w:hRule="atLeast"/>
        </w:trPr>
        <w:tc>
          <w:tcPr>
            <w:tcW w:w="198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40" w:type="dxa"/>
            <w:gridSpan w:val="9"/>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51118122T000005385437-两馆一站免低开存量资金</w:t>
            </w:r>
          </w:p>
        </w:tc>
      </w:tr>
      <w:tr>
        <w:tblPrEx>
          <w:tblCellMar>
            <w:top w:w="0" w:type="dxa"/>
            <w:left w:w="108" w:type="dxa"/>
            <w:bottom w:w="0" w:type="dxa"/>
            <w:right w:w="108" w:type="dxa"/>
          </w:tblCellMar>
        </w:tblPrEx>
        <w:trPr>
          <w:trHeight w:val="78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峨眉山市文化馆</w:t>
            </w:r>
          </w:p>
        </w:tc>
      </w:tr>
      <w:tr>
        <w:tblPrEx>
          <w:tblCellMar>
            <w:top w:w="0" w:type="dxa"/>
            <w:left w:w="108" w:type="dxa"/>
            <w:bottom w:w="0" w:type="dxa"/>
            <w:right w:w="108" w:type="dxa"/>
          </w:tblCellMar>
        </w:tblPrEx>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5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保障文化馆免费开放工作顺利开展，保障馆内群众文化工作，积极开展各类培训、教学及文化活动展演展示。</w:t>
            </w:r>
          </w:p>
        </w:tc>
        <w:tc>
          <w:tcPr>
            <w:tcW w:w="35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保障文化馆免费开放工作顺利开展，保障馆内群众文化工作，积极开展各类培训、教学及文化活动展演展示。</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保障文化馆免费开放工作顺利开展，保障馆内群众文化工作，积极开展各类培训、教学及文化活动展演展示。</w:t>
            </w:r>
          </w:p>
        </w:tc>
      </w:tr>
      <w:tr>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13.63</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13.63</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6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13.63</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13.63</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7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78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780" w:hRule="atLeast"/>
        </w:trPr>
        <w:tc>
          <w:tcPr>
            <w:tcW w:w="7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r>
              <w:rPr>
                <w:rFonts w:hint="eastAsia" w:ascii="宋体" w:hAnsi="宋体" w:cs="宋体"/>
                <w:color w:val="000000"/>
                <w:kern w:val="0"/>
                <w:sz w:val="18"/>
                <w:szCs w:val="18"/>
              </w:rPr>
              <w:t>　</w:t>
            </w:r>
          </w:p>
        </w:tc>
        <w:tc>
          <w:tcPr>
            <w:tcW w:w="1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555"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保障文化馆免费开放工作顺利开展，保障馆内群众文化工作，积极开展各类培训、教学及文化活动展演展示。</w:t>
            </w:r>
          </w:p>
        </w:tc>
      </w:tr>
      <w:tr>
        <w:tblPrEx>
          <w:tblCellMar>
            <w:top w:w="0" w:type="dxa"/>
            <w:left w:w="108" w:type="dxa"/>
            <w:bottom w:w="0" w:type="dxa"/>
            <w:right w:w="108" w:type="dxa"/>
          </w:tblCellMar>
        </w:tblPrEx>
        <w:trPr>
          <w:trHeight w:val="555"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5" w:hRule="atLeast"/>
        </w:trPr>
        <w:tc>
          <w:tcPr>
            <w:tcW w:w="5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项目负责人：杨斐</w:t>
            </w:r>
          </w:p>
        </w:tc>
        <w:tc>
          <w:tcPr>
            <w:tcW w:w="45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财务负责人：陆阿倩</w:t>
            </w:r>
          </w:p>
        </w:tc>
      </w:tr>
    </w:tbl>
    <w:p>
      <w:pPr>
        <w:pStyle w:val="2"/>
        <w:spacing w:before="93"/>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37</w:t>
      </w:r>
    </w:p>
    <w:tbl>
      <w:tblPr>
        <w:tblStyle w:val="14"/>
        <w:tblW w:w="9857" w:type="dxa"/>
        <w:tblInd w:w="113" w:type="dxa"/>
        <w:tblLayout w:type="autofit"/>
        <w:tblCellMar>
          <w:top w:w="0" w:type="dxa"/>
          <w:left w:w="108" w:type="dxa"/>
          <w:bottom w:w="0" w:type="dxa"/>
          <w:right w:w="108" w:type="dxa"/>
        </w:tblCellMar>
      </w:tblPr>
      <w:tblGrid>
        <w:gridCol w:w="623"/>
        <w:gridCol w:w="1201"/>
        <w:gridCol w:w="1290"/>
        <w:gridCol w:w="1291"/>
        <w:gridCol w:w="464"/>
        <w:gridCol w:w="743"/>
        <w:gridCol w:w="463"/>
        <w:gridCol w:w="982"/>
        <w:gridCol w:w="486"/>
        <w:gridCol w:w="486"/>
        <w:gridCol w:w="1828"/>
      </w:tblGrid>
      <w:tr>
        <w:tblPrEx>
          <w:tblCellMar>
            <w:top w:w="0" w:type="dxa"/>
            <w:left w:w="108" w:type="dxa"/>
            <w:bottom w:w="0" w:type="dxa"/>
            <w:right w:w="108" w:type="dxa"/>
          </w:tblCellMar>
        </w:tblPrEx>
        <w:trPr>
          <w:trHeight w:val="906" w:hRule="atLeast"/>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23" w:hRule="atLeast"/>
        </w:trPr>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019"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51118122T000004706833-竞技体育训练工作经费</w:t>
            </w:r>
          </w:p>
        </w:tc>
      </w:tr>
      <w:tr>
        <w:tblPrEx>
          <w:tblCellMar>
            <w:top w:w="0" w:type="dxa"/>
            <w:left w:w="108" w:type="dxa"/>
            <w:bottom w:w="0" w:type="dxa"/>
            <w:right w:w="108" w:type="dxa"/>
          </w:tblCellMar>
        </w:tblPrEx>
        <w:trPr>
          <w:trHeight w:val="515" w:hRule="atLeast"/>
        </w:trPr>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28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83"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峨眉山市体育发展中心</w:t>
            </w:r>
          </w:p>
        </w:tc>
      </w:tr>
      <w:tr>
        <w:tblPrEx>
          <w:tblCellMar>
            <w:top w:w="0" w:type="dxa"/>
            <w:left w:w="108" w:type="dxa"/>
            <w:bottom w:w="0" w:type="dxa"/>
            <w:right w:w="108" w:type="dxa"/>
          </w:tblCellMar>
        </w:tblPrEx>
        <w:trPr>
          <w:trHeight w:val="285" w:hRule="atLeast"/>
        </w:trPr>
        <w:tc>
          <w:tcPr>
            <w:tcW w:w="62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28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36"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1308"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28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做好举重、武术、篮球、田径等项目的业余训练，维修、维护运动场地，保证省市级比赛的参加。举重队运动员伙食补助，向上一级培养输送优秀运动员，保证教练员培训学习。</w:t>
            </w:r>
          </w:p>
        </w:tc>
        <w:tc>
          <w:tcPr>
            <w:tcW w:w="3736"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严格执行相关政策，完成举重、武术、篮球、田径等项目的业余训练，维修、维护运动场地，保证省市级比赛的参加。保障举重队运动员伙食补助，向上一级培养输送优秀运动员，保证教练员培训学习，预算执行率达到100%。</w:t>
            </w:r>
          </w:p>
        </w:tc>
      </w:tr>
      <w:tr>
        <w:trPr>
          <w:trHeight w:val="695"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019"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做好举重、武术、篮球、田径等项目的业余训练，维修、维护运动场地，保证省市级比赛的参加。举重队运动员伙食补助，向上一级培养输送优秀运动员，保证教练员培训学习。</w:t>
            </w:r>
          </w:p>
        </w:tc>
      </w:tr>
      <w:tr>
        <w:trPr>
          <w:trHeight w:val="360" w:hRule="atLeast"/>
        </w:trPr>
        <w:tc>
          <w:tcPr>
            <w:tcW w:w="62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8"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67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3"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67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8"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3"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842" w:hRule="atLeast"/>
        </w:trPr>
        <w:tc>
          <w:tcPr>
            <w:tcW w:w="62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842"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参加省市级比赛</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42"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为峨眉体育事业的发展培养优秀的体育苗子</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15</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42"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峨眉山市竞技体育大幅度提高</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42"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体育人才实现梯队式发展</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42"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30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得到学生家长和社会认可</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42" w:hRule="atLeast"/>
        </w:trPr>
        <w:tc>
          <w:tcPr>
            <w:tcW w:w="62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社会满意度大大提高</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4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5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5" w:hRule="atLeast"/>
        </w:trPr>
        <w:tc>
          <w:tcPr>
            <w:tcW w:w="7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35" w:hRule="atLeast"/>
        </w:trPr>
        <w:tc>
          <w:tcPr>
            <w:tcW w:w="62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32"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56" w:hRule="atLeast"/>
        </w:trPr>
        <w:tc>
          <w:tcPr>
            <w:tcW w:w="62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32"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56" w:hRule="atLeast"/>
        </w:trPr>
        <w:tc>
          <w:tcPr>
            <w:tcW w:w="62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32"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90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项目负责人：斯大军</w:t>
            </w:r>
          </w:p>
        </w:tc>
        <w:tc>
          <w:tcPr>
            <w:tcW w:w="495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财务负责人：徐志远</w:t>
            </w:r>
          </w:p>
        </w:tc>
      </w:tr>
    </w:tbl>
    <w:p/>
    <w:p>
      <w:pPr>
        <w:spacing w:line="600" w:lineRule="exact"/>
        <w:outlineLvl w:val="0"/>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38</w:t>
      </w:r>
    </w:p>
    <w:tbl>
      <w:tblPr>
        <w:tblStyle w:val="14"/>
        <w:tblW w:w="9720" w:type="dxa"/>
        <w:tblInd w:w="113" w:type="dxa"/>
        <w:tblLayout w:type="autofit"/>
        <w:tblCellMar>
          <w:top w:w="0" w:type="dxa"/>
          <w:left w:w="108" w:type="dxa"/>
          <w:bottom w:w="0" w:type="dxa"/>
          <w:right w:w="108" w:type="dxa"/>
        </w:tblCellMar>
      </w:tblPr>
      <w:tblGrid>
        <w:gridCol w:w="699"/>
        <w:gridCol w:w="1057"/>
        <w:gridCol w:w="1037"/>
        <w:gridCol w:w="1355"/>
        <w:gridCol w:w="519"/>
        <w:gridCol w:w="877"/>
        <w:gridCol w:w="519"/>
        <w:gridCol w:w="920"/>
        <w:gridCol w:w="520"/>
        <w:gridCol w:w="486"/>
        <w:gridCol w:w="1731"/>
      </w:tblGrid>
      <w:tr>
        <w:tblPrEx>
          <w:tblCellMar>
            <w:top w:w="0" w:type="dxa"/>
            <w:left w:w="108" w:type="dxa"/>
            <w:bottom w:w="0" w:type="dxa"/>
            <w:right w:w="108" w:type="dxa"/>
          </w:tblCellMar>
        </w:tblPrEx>
        <w:trPr>
          <w:trHeight w:val="904"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630"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51118122T000000352610-网络使用费</w:t>
            </w:r>
          </w:p>
        </w:tc>
      </w:tr>
      <w:tr>
        <w:tblPrEx>
          <w:tblCellMar>
            <w:top w:w="0" w:type="dxa"/>
            <w:left w:w="108" w:type="dxa"/>
            <w:bottom w:w="0" w:type="dxa"/>
            <w:right w:w="108" w:type="dxa"/>
          </w:tblCellMar>
        </w:tblPrEx>
        <w:trPr>
          <w:trHeight w:val="5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7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峨眉山市图书馆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82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继续运行优质快速的网络服务，保障读者得到快速便捷的网络服务。</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继续运行优质快速的网络服务，保障读者得到快速便捷的网络服务。预算执行率100%</w:t>
            </w:r>
          </w:p>
        </w:tc>
      </w:tr>
      <w:tr>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继续运行优质快速的网络服务，保障读者得到快速便捷的网络服务。</w:t>
            </w:r>
          </w:p>
        </w:tc>
      </w:tr>
      <w:tr>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7.09</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7.09</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7.09</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7.09</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提高网络运行速度，优化读者上网体验</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TB</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保障服务器质量，加强日常维修维护</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信息有时效性，服务读者所需</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用有限的经费拓展服务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普及信息资源，扩大影响</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不断增强机房容量，提高网络运行效果</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为读者提供优良在线阅读服务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万人次</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打通信息资源，完善资源整合，提高读者满意度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81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读者满意度指标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加强网络覆盖和运行，满足读者阅读需求</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00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项目自评总分100分，继续运行优质快速的网络服务，保障读者得到快速便捷的网络服务。预算执行率100%</w:t>
            </w:r>
            <w:r>
              <w:rPr>
                <w:rFonts w:ascii="微软雅黑" w:hAnsi="微软雅黑" w:eastAsia="微软雅黑" w:cs="宋体"/>
                <w:i/>
                <w:iCs/>
                <w:color w:val="000000"/>
                <w:kern w:val="0"/>
                <w:sz w:val="16"/>
                <w:szCs w:val="16"/>
              </w:rPr>
              <w:t>。</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6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项目负责人：马雪萍</w:t>
            </w:r>
          </w:p>
        </w:tc>
        <w:tc>
          <w:tcPr>
            <w:tcW w:w="504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财务负责人：周赛容</w:t>
            </w:r>
          </w:p>
        </w:tc>
      </w:tr>
    </w:tbl>
    <w:p>
      <w:pPr>
        <w:spacing w:line="600" w:lineRule="exact"/>
        <w:outlineLvl w:val="0"/>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39</w:t>
      </w:r>
    </w:p>
    <w:tbl>
      <w:tblPr>
        <w:tblStyle w:val="14"/>
        <w:tblW w:w="9720" w:type="dxa"/>
        <w:tblInd w:w="113" w:type="dxa"/>
        <w:tblLayout w:type="autofit"/>
        <w:tblCellMar>
          <w:top w:w="0" w:type="dxa"/>
          <w:left w:w="108" w:type="dxa"/>
          <w:bottom w:w="0" w:type="dxa"/>
          <w:right w:w="108" w:type="dxa"/>
        </w:tblCellMar>
      </w:tblPr>
      <w:tblGrid>
        <w:gridCol w:w="699"/>
        <w:gridCol w:w="1057"/>
        <w:gridCol w:w="1037"/>
        <w:gridCol w:w="1355"/>
        <w:gridCol w:w="519"/>
        <w:gridCol w:w="878"/>
        <w:gridCol w:w="519"/>
        <w:gridCol w:w="919"/>
        <w:gridCol w:w="520"/>
        <w:gridCol w:w="486"/>
        <w:gridCol w:w="1731"/>
      </w:tblGrid>
      <w:tr>
        <w:tblPrEx>
          <w:tblCellMar>
            <w:top w:w="0" w:type="dxa"/>
            <w:left w:w="108" w:type="dxa"/>
            <w:bottom w:w="0" w:type="dxa"/>
            <w:right w:w="108" w:type="dxa"/>
          </w:tblCellMar>
        </w:tblPrEx>
        <w:trPr>
          <w:trHeight w:val="904"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51118122T000000389893-购置图书订阅报刊（图书馆）</w:t>
            </w:r>
          </w:p>
        </w:tc>
      </w:tr>
      <w:tr>
        <w:tblPrEx>
          <w:tblCellMar>
            <w:top w:w="0" w:type="dxa"/>
            <w:left w:w="108" w:type="dxa"/>
            <w:bottom w:w="0" w:type="dxa"/>
            <w:right w:w="108" w:type="dxa"/>
          </w:tblCellMar>
        </w:tblPrEx>
        <w:trPr>
          <w:trHeight w:val="5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7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峨眉山市图书馆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13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文新版图书约5000册，订购全年报刊约200种，采购专题数据库和数字资源应用平台2个，通过年度项目实施，进一步丰富、优化图书馆文献资源馆藏体系，满足读者阅读和学习需求，保持图书馆读者流通量的持续提升，充分实现图书馆公共文化服务的社会效益。</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通过年度项目实施，进一步丰富、优化图书馆文献资源馆藏体系，满足读者阅读和学习需求，保持图书馆读者流通量的持续提升，充分实现图书馆公共文化服务的社会效益。预算执行率100%</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文新版图书约5000册，订购全年报刊约200种，采购专题数据库和数字资源应用平台2个，通过年度项目实施，进一步丰富、优化图书馆文献资源馆藏体系，满足读者阅读和学习需求，保持图书馆读者流通量的持续提升，充分实现图书馆公共文化服务的社会效益。</w:t>
            </w:r>
          </w:p>
        </w:tc>
      </w:tr>
      <w:tr>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3.38</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3.38</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3.38</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3.38</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采购中文新版图书约5000册，订购全年报刊约200种</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册</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保障文献资源丰富</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信息有时效性，服务读者所需</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优化经费支出，拓展服务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图书借阅量、读者流量持续增长</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万人次</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优化电子文献资源采购，保障流通时效性</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册</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丰富了图书馆的文献馆藏资源</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举办读书节活动，促进阅读活动的普及</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读者满意度指标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发放调查问卷，真是反应读者满意度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00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项目自评总分100分，通过年度项目实施，进一步丰富、优化图书馆文献资源馆藏体系，满足读者阅读和学习需求，保持图书馆读者流通量的持续提升，充分实现图书馆公共文化服务的社会效益。预算执行率100%</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财政资金不能按时拨付</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6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项目负责人：马雪萍</w:t>
            </w:r>
          </w:p>
        </w:tc>
        <w:tc>
          <w:tcPr>
            <w:tcW w:w="504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财务负责人：周赛容</w:t>
            </w:r>
          </w:p>
        </w:tc>
      </w:tr>
    </w:tbl>
    <w:p>
      <w:pPr>
        <w:pStyle w:val="2"/>
        <w:spacing w:before="93"/>
        <w:rPr>
          <w:rFonts w:hint="default"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w:t>
      </w:r>
      <w:r>
        <w:rPr>
          <w:rFonts w:hint="eastAsia" w:ascii="仿宋" w:hAnsi="仿宋" w:eastAsia="仿宋"/>
          <w:b/>
          <w:sz w:val="32"/>
          <w:szCs w:val="32"/>
          <w:lang w:val="en-US" w:eastAsia="zh-CN"/>
        </w:rPr>
        <w:t>40</w:t>
      </w:r>
    </w:p>
    <w:tbl>
      <w:tblPr>
        <w:tblStyle w:val="14"/>
        <w:tblW w:w="9720" w:type="dxa"/>
        <w:tblInd w:w="113" w:type="dxa"/>
        <w:tblLayout w:type="autofit"/>
        <w:tblCellMar>
          <w:top w:w="0" w:type="dxa"/>
          <w:left w:w="108" w:type="dxa"/>
          <w:bottom w:w="0" w:type="dxa"/>
          <w:right w:w="108" w:type="dxa"/>
        </w:tblCellMar>
      </w:tblPr>
      <w:tblGrid>
        <w:gridCol w:w="699"/>
        <w:gridCol w:w="1057"/>
        <w:gridCol w:w="1037"/>
        <w:gridCol w:w="1355"/>
        <w:gridCol w:w="519"/>
        <w:gridCol w:w="877"/>
        <w:gridCol w:w="519"/>
        <w:gridCol w:w="920"/>
        <w:gridCol w:w="520"/>
        <w:gridCol w:w="486"/>
        <w:gridCol w:w="1731"/>
      </w:tblGrid>
      <w:tr>
        <w:tblPrEx>
          <w:tblCellMar>
            <w:top w:w="0" w:type="dxa"/>
            <w:left w:w="108" w:type="dxa"/>
            <w:bottom w:w="0" w:type="dxa"/>
            <w:right w:w="108" w:type="dxa"/>
          </w:tblCellMar>
        </w:tblPrEx>
        <w:trPr>
          <w:trHeight w:val="904"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51118122T000000390228-免费开放服务</w:t>
            </w:r>
          </w:p>
        </w:tc>
      </w:tr>
      <w:tr>
        <w:tblPrEx>
          <w:tblCellMar>
            <w:top w:w="0" w:type="dxa"/>
            <w:left w:w="108" w:type="dxa"/>
            <w:bottom w:w="0" w:type="dxa"/>
            <w:right w:w="108" w:type="dxa"/>
          </w:tblCellMar>
        </w:tblPrEx>
        <w:trPr>
          <w:trHeight w:val="5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7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峨眉山市图书馆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专用于图书馆场馆日常维修维护和运行，保障图书馆免费开放活动正常开展，推动全民阅读，拓展图书馆服务范围，覆盖所有读者，促进峨眉山市精神文明建设。</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全馆免费开放工作全面完成，达到所有服务项目100%全免费开放。</w:t>
            </w:r>
          </w:p>
        </w:tc>
      </w:tr>
      <w:tr>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专用于图书馆场馆日常维修维护和运行，保障图书馆免费开放活动正常开展，推动全民阅读，拓展图书馆服务范围，覆盖所有读者，促进峨眉山市精神文明建设。</w:t>
            </w:r>
          </w:p>
        </w:tc>
      </w:tr>
      <w:tr>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筹建2个特色书屋</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打造温馨有序的环境</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提高服务水平，优化公众号服务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开源节流，服务做到实处</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2.4</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进入社区和学校开展3-5次阅读活动</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场次</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不断改善图书馆的软件服务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项/站点</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促进读者养成阅读习惯</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给读者提供温馨的阅读环境</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读者满意度指标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读者增多，提高流通量</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00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项目自评总分100分，全馆免费开放工作全面完成，达到所有服务项目100%全免费开放。</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6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项目负责人：马雪萍</w:t>
            </w:r>
          </w:p>
        </w:tc>
        <w:tc>
          <w:tcPr>
            <w:tcW w:w="504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财务负责人：周赛容</w:t>
            </w:r>
          </w:p>
        </w:tc>
      </w:tr>
    </w:tbl>
    <w:p>
      <w:pPr>
        <w:rPr>
          <w:rFonts w:hint="eastAsia" w:ascii="仿宋" w:hAnsi="仿宋" w:eastAsia="仿宋"/>
          <w:b/>
          <w:sz w:val="32"/>
          <w:szCs w:val="32"/>
          <w:lang w:val="en-US" w:eastAsia="zh-CN"/>
        </w:rPr>
      </w:pPr>
      <w:r>
        <w:rPr>
          <w:rFonts w:hint="eastAsia" w:ascii="仿宋" w:hAnsi="仿宋" w:eastAsia="仿宋"/>
          <w:b/>
          <w:sz w:val="32"/>
          <w:szCs w:val="32"/>
        </w:rPr>
        <w:t>附件2</w:t>
      </w:r>
      <w:r>
        <w:rPr>
          <w:rFonts w:ascii="仿宋" w:hAnsi="仿宋" w:eastAsia="仿宋"/>
          <w:b/>
          <w:sz w:val="32"/>
          <w:szCs w:val="32"/>
        </w:rPr>
        <w:t>-4</w:t>
      </w:r>
      <w:r>
        <w:rPr>
          <w:rFonts w:hint="eastAsia" w:ascii="仿宋" w:hAnsi="仿宋" w:eastAsia="仿宋"/>
          <w:b/>
          <w:sz w:val="32"/>
          <w:szCs w:val="32"/>
          <w:lang w:val="en-US" w:eastAsia="zh-CN"/>
        </w:rPr>
        <w:t>1</w:t>
      </w:r>
    </w:p>
    <w:tbl>
      <w:tblPr>
        <w:tblStyle w:val="14"/>
        <w:tblW w:w="9720" w:type="dxa"/>
        <w:tblInd w:w="113" w:type="dxa"/>
        <w:tblLayout w:type="autofit"/>
        <w:tblCellMar>
          <w:top w:w="0" w:type="dxa"/>
          <w:left w:w="108" w:type="dxa"/>
          <w:bottom w:w="0" w:type="dxa"/>
          <w:right w:w="108" w:type="dxa"/>
        </w:tblCellMar>
      </w:tblPr>
      <w:tblGrid>
        <w:gridCol w:w="699"/>
        <w:gridCol w:w="1057"/>
        <w:gridCol w:w="1037"/>
        <w:gridCol w:w="1355"/>
        <w:gridCol w:w="519"/>
        <w:gridCol w:w="877"/>
        <w:gridCol w:w="519"/>
        <w:gridCol w:w="920"/>
        <w:gridCol w:w="520"/>
        <w:gridCol w:w="486"/>
        <w:gridCol w:w="1731"/>
      </w:tblGrid>
      <w:tr>
        <w:tblPrEx>
          <w:tblCellMar>
            <w:top w:w="0" w:type="dxa"/>
            <w:left w:w="108" w:type="dxa"/>
            <w:bottom w:w="0" w:type="dxa"/>
            <w:right w:w="108" w:type="dxa"/>
          </w:tblCellMar>
        </w:tblPrEx>
        <w:trPr>
          <w:trHeight w:val="904"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51118122T000000390625-非物质文化遗产收集和整理（含指画）</w:t>
            </w:r>
          </w:p>
        </w:tc>
      </w:tr>
      <w:tr>
        <w:tblPrEx>
          <w:tblCellMar>
            <w:top w:w="0" w:type="dxa"/>
            <w:left w:w="108" w:type="dxa"/>
            <w:bottom w:w="0" w:type="dxa"/>
            <w:right w:w="108" w:type="dxa"/>
          </w:tblCellMar>
        </w:tblPrEx>
        <w:trPr>
          <w:trHeight w:val="5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7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峨眉山市图书馆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开展本土非物质文化遗产收集和整理工作，加强指画的传承与推广</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开展本土非物质文化遗产收集和整理工作，加强指画的传承与推广，预算执行率100%</w:t>
            </w:r>
          </w:p>
        </w:tc>
      </w:tr>
      <w:tr>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开展本土非物质文化遗产收集和整理工作，加强指画的传承与推广</w:t>
            </w:r>
          </w:p>
        </w:tc>
      </w:tr>
      <w:tr>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开展非遗展示活动</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场次</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保障非遗活动展示完成率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按时完成非遗活动展示进校园</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制作非遗项目宣传册子、非遗活动展示</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普及非遗项目认知，扩大影响</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通过全面系统的梳理非遗项目，做好传承、保护和研究</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"激发中小学生参与非遗活动的热情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社会公众对非遗宣传册子的满意度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1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读者满意度指标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中小学生满意度</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00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项目自评总分100分，开展本土非物质文化遗产收集和整理工作，加强指画的传承与推广，预算执行率100%</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6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项目负责人：马雪萍</w:t>
            </w:r>
          </w:p>
        </w:tc>
        <w:tc>
          <w:tcPr>
            <w:tcW w:w="504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财务负责人：周赛容</w:t>
            </w:r>
          </w:p>
        </w:tc>
      </w:tr>
    </w:tbl>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-4</w:t>
      </w:r>
      <w:r>
        <w:rPr>
          <w:rFonts w:hint="eastAsia" w:ascii="仿宋" w:hAnsi="仿宋" w:eastAsia="仿宋"/>
          <w:b/>
          <w:sz w:val="32"/>
          <w:szCs w:val="32"/>
          <w:lang w:val="en-US" w:eastAsia="zh-CN"/>
        </w:rPr>
        <w:t>2</w:t>
      </w:r>
    </w:p>
    <w:tbl>
      <w:tblPr>
        <w:tblStyle w:val="14"/>
        <w:tblW w:w="9720" w:type="dxa"/>
        <w:tblInd w:w="113" w:type="dxa"/>
        <w:tblLayout w:type="autofit"/>
        <w:tblCellMar>
          <w:top w:w="0" w:type="dxa"/>
          <w:left w:w="108" w:type="dxa"/>
          <w:bottom w:w="0" w:type="dxa"/>
          <w:right w:w="108" w:type="dxa"/>
        </w:tblCellMar>
      </w:tblPr>
      <w:tblGrid>
        <w:gridCol w:w="699"/>
        <w:gridCol w:w="1057"/>
        <w:gridCol w:w="1037"/>
        <w:gridCol w:w="1355"/>
        <w:gridCol w:w="519"/>
        <w:gridCol w:w="877"/>
        <w:gridCol w:w="519"/>
        <w:gridCol w:w="920"/>
        <w:gridCol w:w="520"/>
        <w:gridCol w:w="486"/>
        <w:gridCol w:w="1731"/>
      </w:tblGrid>
      <w:tr>
        <w:tblPrEx>
          <w:tblCellMar>
            <w:top w:w="0" w:type="dxa"/>
            <w:left w:w="108" w:type="dxa"/>
            <w:bottom w:w="0" w:type="dxa"/>
            <w:right w:w="108" w:type="dxa"/>
          </w:tblCellMar>
        </w:tblPrEx>
        <w:trPr>
          <w:trHeight w:val="904" w:hRule="atLeast"/>
        </w:trPr>
        <w:tc>
          <w:tcPr>
            <w:tcW w:w="9720" w:type="dxa"/>
            <w:gridSpan w:val="11"/>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51118122T000005394257-两馆一站免费开放（存量资金）</w:t>
            </w:r>
          </w:p>
        </w:tc>
      </w:tr>
      <w:tr>
        <w:tblPrEx>
          <w:tblCellMar>
            <w:top w:w="0" w:type="dxa"/>
            <w:left w:w="108" w:type="dxa"/>
            <w:bottom w:w="0" w:type="dxa"/>
            <w:right w:w="108" w:type="dxa"/>
          </w:tblCellMar>
        </w:tblPrEx>
        <w:trPr>
          <w:trHeight w:val="5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920" w:type="dxa"/>
            <w:tcBorders>
              <w:top w:val="nil"/>
              <w:left w:val="nil"/>
              <w:bottom w:val="nil"/>
              <w:right w:val="nil"/>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7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峨眉山市图书馆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6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109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32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专用于图书馆场馆日常维修维护和运行，保障图书馆免费开放活动正常开展，推动全民阅读，拓展图书馆服务范围，覆盖所有读者，促进峨眉山市精神文明建设。</w:t>
            </w:r>
          </w:p>
        </w:tc>
        <w:tc>
          <w:tcPr>
            <w:tcW w:w="364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全馆免费开放工作全面完成，达到所有服务项目100%全免费开放。</w:t>
            </w:r>
          </w:p>
        </w:tc>
      </w:tr>
      <w:tr>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专用于图书馆场馆日常维修维护和运行，保障图书馆免费开放活动正常开展，推动全民阅读，拓展图书馆服务范围，覆盖所有读者，促进峨眉山市精神文明建设。</w:t>
            </w:r>
          </w:p>
        </w:tc>
      </w:tr>
      <w:tr>
        <w:trPr>
          <w:trHeight w:val="600"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4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2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40"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000"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项目自评总分100分，全馆免费开放工作全面完成，达到所有服务项目100%全免费开放。</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20" w:type="dxa"/>
            <w:gridSpan w:val="10"/>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680" w:type="dxa"/>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项目负责人：马雪萍</w:t>
            </w:r>
          </w:p>
        </w:tc>
        <w:tc>
          <w:tcPr>
            <w:tcW w:w="5040" w:type="dxa"/>
            <w:gridSpan w:val="6"/>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财务负责人：周赛容</w:t>
            </w:r>
          </w:p>
        </w:tc>
      </w:tr>
    </w:tbl>
    <w:p/>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-4</w:t>
      </w:r>
      <w:r>
        <w:rPr>
          <w:rFonts w:hint="eastAsia" w:ascii="仿宋" w:hAnsi="仿宋" w:eastAsia="仿宋"/>
          <w:b/>
          <w:sz w:val="32"/>
          <w:szCs w:val="32"/>
          <w:lang w:val="en-US" w:eastAsia="zh-CN"/>
        </w:rPr>
        <w:t>3</w:t>
      </w:r>
    </w:p>
    <w:tbl>
      <w:tblPr>
        <w:tblStyle w:val="14"/>
        <w:tblW w:w="9500" w:type="dxa"/>
        <w:tblInd w:w="113" w:type="dxa"/>
        <w:tblLayout w:type="autofit"/>
        <w:tblCellMar>
          <w:top w:w="0" w:type="dxa"/>
          <w:left w:w="108" w:type="dxa"/>
          <w:bottom w:w="0" w:type="dxa"/>
          <w:right w:w="108" w:type="dxa"/>
        </w:tblCellMar>
      </w:tblPr>
      <w:tblGrid>
        <w:gridCol w:w="699"/>
        <w:gridCol w:w="1076"/>
        <w:gridCol w:w="1216"/>
        <w:gridCol w:w="1196"/>
        <w:gridCol w:w="519"/>
        <w:gridCol w:w="1037"/>
        <w:gridCol w:w="519"/>
        <w:gridCol w:w="1098"/>
        <w:gridCol w:w="520"/>
        <w:gridCol w:w="486"/>
        <w:gridCol w:w="1134"/>
      </w:tblGrid>
      <w:tr>
        <w:tblPrEx>
          <w:tblCellMar>
            <w:top w:w="0" w:type="dxa"/>
            <w:left w:w="108" w:type="dxa"/>
            <w:bottom w:w="0" w:type="dxa"/>
            <w:right w:w="108" w:type="dxa"/>
          </w:tblCellMar>
        </w:tblPrEx>
        <w:trPr>
          <w:trHeight w:val="904" w:hRule="atLeast"/>
        </w:trPr>
        <w:tc>
          <w:tcPr>
            <w:tcW w:w="95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51118122T000000347375-飞来殿安保</w:t>
            </w:r>
          </w:p>
        </w:tc>
      </w:tr>
      <w:tr>
        <w:tblPrEx>
          <w:tblCellMar>
            <w:top w:w="0" w:type="dxa"/>
            <w:left w:w="108" w:type="dxa"/>
            <w:bottom w:w="0" w:type="dxa"/>
            <w:right w:w="108" w:type="dxa"/>
          </w:tblCellMar>
        </w:tblPrEx>
        <w:trPr>
          <w:trHeight w:val="514"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峨眉山市博物馆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2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5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全国重点文物保护单位大庙飞来殿安保人员全年24小时值守。</w:t>
            </w:r>
          </w:p>
        </w:tc>
        <w:tc>
          <w:tcPr>
            <w:tcW w:w="322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完成大庙飞来殿安保工作，确保安全工作。</w:t>
            </w:r>
          </w:p>
        </w:tc>
      </w:tr>
      <w:tr>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加强大庙飞来殿安保工作，确保安全工作。</w:t>
            </w:r>
          </w:p>
        </w:tc>
      </w:tr>
      <w:tr>
        <w:trPr>
          <w:trHeight w:val="54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飞来殿安保人数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飞来殿安全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2022年飞来殿安保值守</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飞来殿安保经费</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11.52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飞来殿安全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增强全民文物保护意识</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完成安保协议内容</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00" w:hRule="atLeast"/>
        </w:trPr>
        <w:tc>
          <w:tcPr>
            <w:tcW w:w="7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项目负责人：代成刚</w:t>
            </w:r>
          </w:p>
        </w:tc>
        <w:tc>
          <w:tcPr>
            <w:tcW w:w="47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财务负责人：张莉</w:t>
            </w:r>
          </w:p>
        </w:tc>
      </w:tr>
    </w:tbl>
    <w:p/>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-4</w:t>
      </w:r>
      <w:r>
        <w:rPr>
          <w:rFonts w:hint="eastAsia" w:ascii="仿宋" w:hAnsi="仿宋" w:eastAsia="仿宋"/>
          <w:b/>
          <w:sz w:val="32"/>
          <w:szCs w:val="32"/>
          <w:lang w:val="en-US" w:eastAsia="zh-CN"/>
        </w:rPr>
        <w:t>4</w:t>
      </w:r>
    </w:p>
    <w:tbl>
      <w:tblPr>
        <w:tblStyle w:val="14"/>
        <w:tblW w:w="9500" w:type="dxa"/>
        <w:tblInd w:w="113" w:type="dxa"/>
        <w:tblLayout w:type="autofit"/>
        <w:tblCellMar>
          <w:top w:w="0" w:type="dxa"/>
          <w:left w:w="108" w:type="dxa"/>
          <w:bottom w:w="0" w:type="dxa"/>
          <w:right w:w="108" w:type="dxa"/>
        </w:tblCellMar>
      </w:tblPr>
      <w:tblGrid>
        <w:gridCol w:w="699"/>
        <w:gridCol w:w="1076"/>
        <w:gridCol w:w="1216"/>
        <w:gridCol w:w="1196"/>
        <w:gridCol w:w="519"/>
        <w:gridCol w:w="1037"/>
        <w:gridCol w:w="519"/>
        <w:gridCol w:w="1098"/>
        <w:gridCol w:w="520"/>
        <w:gridCol w:w="486"/>
        <w:gridCol w:w="1134"/>
      </w:tblGrid>
      <w:tr>
        <w:tblPrEx>
          <w:tblCellMar>
            <w:top w:w="0" w:type="dxa"/>
            <w:left w:w="108" w:type="dxa"/>
            <w:bottom w:w="0" w:type="dxa"/>
            <w:right w:w="108" w:type="dxa"/>
          </w:tblCellMar>
        </w:tblPrEx>
        <w:trPr>
          <w:trHeight w:val="904" w:hRule="atLeast"/>
        </w:trPr>
        <w:tc>
          <w:tcPr>
            <w:tcW w:w="95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51118122T000000391847-文物保护费</w:t>
            </w:r>
          </w:p>
        </w:tc>
      </w:tr>
      <w:tr>
        <w:tblPrEx>
          <w:tblCellMar>
            <w:top w:w="0" w:type="dxa"/>
            <w:left w:w="108" w:type="dxa"/>
            <w:bottom w:w="0" w:type="dxa"/>
            <w:right w:w="108" w:type="dxa"/>
          </w:tblCellMar>
        </w:tblPrEx>
        <w:trPr>
          <w:trHeight w:val="514"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0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峨眉山市博物馆</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22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5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加强文物保护，保证文物保护资金的有效合理使用，确保全市文物安全。</w:t>
            </w:r>
          </w:p>
        </w:tc>
        <w:tc>
          <w:tcPr>
            <w:tcW w:w="322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完成全市2022年文物保护工作。</w:t>
            </w:r>
          </w:p>
        </w:tc>
      </w:tr>
      <w:tr>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完成全市2022年文物保护工作。</w:t>
            </w:r>
          </w:p>
        </w:tc>
      </w:tr>
      <w:tr>
        <w:trPr>
          <w:trHeight w:val="61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9.71</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9.71</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9.71</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1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文物保护单位（点）的专项检查和日常巡查次数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天/月</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文物库房监控和看护，无人为安全责任事故</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12月31日前完成当年计划标志牌的制作安装</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每处文物保护单位标志牌制作费用成本控制</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元/个</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飞来殿消防实施设备正常运行，确保飞来殿安全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文物库房监控出现问题及时整改率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文保所对文物库房监控服务情况满意度</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10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文保所对文物保护单位义务看护人当年义务看护协议执行情况满意度</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项目负责人：代成刚</w:t>
            </w:r>
          </w:p>
        </w:tc>
        <w:tc>
          <w:tcPr>
            <w:tcW w:w="47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财务负责人：张莉</w:t>
            </w:r>
          </w:p>
        </w:tc>
      </w:tr>
    </w:tbl>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-4</w:t>
      </w:r>
      <w:r>
        <w:rPr>
          <w:rFonts w:hint="eastAsia" w:ascii="仿宋" w:hAnsi="仿宋" w:eastAsia="仿宋"/>
          <w:b/>
          <w:sz w:val="32"/>
          <w:szCs w:val="32"/>
          <w:lang w:val="en-US" w:eastAsia="zh-CN"/>
        </w:rPr>
        <w:t>5</w:t>
      </w:r>
    </w:p>
    <w:tbl>
      <w:tblPr>
        <w:tblStyle w:val="14"/>
        <w:tblW w:w="9444" w:type="dxa"/>
        <w:tblInd w:w="113" w:type="dxa"/>
        <w:tblLayout w:type="autofit"/>
        <w:tblCellMar>
          <w:top w:w="0" w:type="dxa"/>
          <w:left w:w="108" w:type="dxa"/>
          <w:bottom w:w="0" w:type="dxa"/>
          <w:right w:w="108" w:type="dxa"/>
        </w:tblCellMar>
      </w:tblPr>
      <w:tblGrid>
        <w:gridCol w:w="718"/>
        <w:gridCol w:w="1270"/>
        <w:gridCol w:w="1208"/>
        <w:gridCol w:w="1066"/>
        <w:gridCol w:w="475"/>
        <w:gridCol w:w="473"/>
        <w:gridCol w:w="473"/>
        <w:gridCol w:w="1131"/>
        <w:gridCol w:w="535"/>
        <w:gridCol w:w="500"/>
        <w:gridCol w:w="1595"/>
      </w:tblGrid>
      <w:tr>
        <w:tblPrEx>
          <w:tblCellMar>
            <w:top w:w="0" w:type="dxa"/>
            <w:left w:w="108" w:type="dxa"/>
            <w:bottom w:w="0" w:type="dxa"/>
            <w:right w:w="108" w:type="dxa"/>
          </w:tblCellMar>
        </w:tblPrEx>
        <w:trPr>
          <w:trHeight w:val="904" w:hRule="atLeast"/>
        </w:trPr>
        <w:tc>
          <w:tcPr>
            <w:tcW w:w="9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456"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51118122T000007464971-景城一体化运行机构开办经费</w:t>
            </w:r>
          </w:p>
        </w:tc>
      </w:tr>
      <w:tr>
        <w:tblPrEx>
          <w:tblCellMar>
            <w:top w:w="0" w:type="dxa"/>
            <w:left w:w="108" w:type="dxa"/>
            <w:bottom w:w="0" w:type="dxa"/>
            <w:right w:w="108" w:type="dxa"/>
          </w:tblCellMar>
        </w:tblPrEx>
        <w:trPr>
          <w:trHeight w:val="514" w:hRule="atLeast"/>
        </w:trPr>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69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29" w:type="dxa"/>
            <w:tcBorders>
              <w:top w:val="nil"/>
              <w:left w:val="nil"/>
              <w:bottom w:val="nil"/>
              <w:right w:val="nil"/>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峨眉山市文化旅游和度假服务中心</w:t>
            </w:r>
          </w:p>
        </w:tc>
      </w:tr>
      <w:tr>
        <w:tblPrEx>
          <w:tblCellMar>
            <w:top w:w="0" w:type="dxa"/>
            <w:left w:w="108" w:type="dxa"/>
            <w:bottom w:w="0" w:type="dxa"/>
            <w:right w:w="108" w:type="dxa"/>
          </w:tblCellMar>
        </w:tblPrEx>
        <w:trPr>
          <w:trHeight w:val="375" w:hRule="atLeast"/>
        </w:trPr>
        <w:tc>
          <w:tcPr>
            <w:tcW w:w="7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27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69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7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09"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69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办公设备的购置等经费支出</w:t>
            </w:r>
          </w:p>
        </w:tc>
        <w:tc>
          <w:tcPr>
            <w:tcW w:w="37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完成景城一体化运行机构公办装修、办公设备采购等日常开销</w:t>
            </w:r>
          </w:p>
        </w:tc>
      </w:tr>
      <w:tr>
        <w:trPr>
          <w:trHeight w:val="694"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56"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完成景城一体化运行机构公办装修、办公设备采购等日常开销</w:t>
            </w:r>
          </w:p>
        </w:tc>
      </w:tr>
      <w:tr>
        <w:trPr>
          <w:trHeight w:val="540" w:hRule="atLeast"/>
        </w:trPr>
        <w:tc>
          <w:tcPr>
            <w:tcW w:w="7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4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59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rPr>
          <w:trHeight w:val="387"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14.06</w:t>
            </w:r>
          </w:p>
        </w:tc>
        <w:tc>
          <w:tcPr>
            <w:tcW w:w="14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14.06</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5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2"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14.06</w:t>
            </w:r>
          </w:p>
        </w:tc>
        <w:tc>
          <w:tcPr>
            <w:tcW w:w="14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14.06</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9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7"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4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9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2"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4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9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79"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95"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585" w:hRule="atLeast"/>
        </w:trPr>
        <w:tc>
          <w:tcPr>
            <w:tcW w:w="7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4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4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59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2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59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0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59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872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74"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872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872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项目负责人：卢翔云</w:t>
            </w:r>
          </w:p>
        </w:tc>
        <w:tc>
          <w:tcPr>
            <w:tcW w:w="47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财务负责人：王旭霞</w:t>
            </w:r>
          </w:p>
        </w:tc>
      </w:tr>
    </w:tbl>
    <w:p>
      <w:pPr>
        <w:pStyle w:val="2"/>
        <w:spacing w:before="93"/>
        <w:rPr>
          <w:rFonts w:hint="eastAsia" w:ascii="仿宋" w:hAnsi="仿宋" w:eastAsia="仿宋"/>
          <w:b/>
          <w:sz w:val="32"/>
          <w:szCs w:val="32"/>
          <w:lang w:val="en-US" w:eastAsia="zh-CN"/>
        </w:rPr>
      </w:pPr>
      <w:r>
        <w:rPr>
          <w:rFonts w:ascii="仿宋" w:hAnsi="仿宋" w:eastAsia="仿宋"/>
          <w:b/>
          <w:sz w:val="32"/>
          <w:szCs w:val="32"/>
        </w:rPr>
        <w:t>附件</w:t>
      </w:r>
      <w:r>
        <w:rPr>
          <w:rFonts w:hint="eastAsia" w:ascii="仿宋" w:hAnsi="仿宋" w:eastAsia="仿宋"/>
          <w:b/>
          <w:sz w:val="32"/>
          <w:szCs w:val="32"/>
        </w:rPr>
        <w:t>2</w:t>
      </w:r>
      <w:r>
        <w:rPr>
          <w:rFonts w:ascii="仿宋" w:hAnsi="仿宋" w:eastAsia="仿宋"/>
          <w:b/>
          <w:sz w:val="32"/>
          <w:szCs w:val="32"/>
        </w:rPr>
        <w:t>-4</w:t>
      </w:r>
      <w:r>
        <w:rPr>
          <w:rFonts w:hint="eastAsia" w:ascii="仿宋" w:hAnsi="仿宋" w:eastAsia="仿宋"/>
          <w:b/>
          <w:sz w:val="32"/>
          <w:szCs w:val="32"/>
          <w:lang w:val="en-US" w:eastAsia="zh-CN"/>
        </w:rPr>
        <w:t>6</w:t>
      </w:r>
    </w:p>
    <w:tbl>
      <w:tblPr>
        <w:tblStyle w:val="14"/>
        <w:tblW w:w="9524" w:type="dxa"/>
        <w:tblInd w:w="113" w:type="dxa"/>
        <w:tblLayout w:type="autofit"/>
        <w:tblCellMar>
          <w:top w:w="0" w:type="dxa"/>
          <w:left w:w="108" w:type="dxa"/>
          <w:bottom w:w="0" w:type="dxa"/>
          <w:right w:w="108" w:type="dxa"/>
        </w:tblCellMar>
      </w:tblPr>
      <w:tblGrid>
        <w:gridCol w:w="724"/>
        <w:gridCol w:w="1280"/>
        <w:gridCol w:w="1218"/>
        <w:gridCol w:w="1075"/>
        <w:gridCol w:w="480"/>
        <w:gridCol w:w="477"/>
        <w:gridCol w:w="477"/>
        <w:gridCol w:w="1141"/>
        <w:gridCol w:w="539"/>
        <w:gridCol w:w="503"/>
        <w:gridCol w:w="1610"/>
      </w:tblGrid>
      <w:tr>
        <w:tblPrEx>
          <w:tblCellMar>
            <w:top w:w="0" w:type="dxa"/>
            <w:left w:w="108" w:type="dxa"/>
            <w:bottom w:w="0" w:type="dxa"/>
            <w:right w:w="108" w:type="dxa"/>
          </w:tblCellMar>
        </w:tblPrEx>
        <w:trPr>
          <w:trHeight w:val="909" w:hRule="atLeast"/>
        </w:trPr>
        <w:tc>
          <w:tcPr>
            <w:tcW w:w="95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6"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51118122T000007465504-国家级旅游度假区复核迎检提升工作经费</w:t>
            </w:r>
          </w:p>
        </w:tc>
      </w:tr>
      <w:tr>
        <w:tblPrEx>
          <w:tblCellMar>
            <w:top w:w="0" w:type="dxa"/>
            <w:left w:w="108" w:type="dxa"/>
            <w:bottom w:w="0" w:type="dxa"/>
            <w:right w:w="108" w:type="dxa"/>
          </w:tblCellMar>
        </w:tblPrEx>
        <w:trPr>
          <w:trHeight w:val="516"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727"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文化体育和旅游局</w:t>
            </w:r>
          </w:p>
        </w:tc>
        <w:tc>
          <w:tcPr>
            <w:tcW w:w="1140" w:type="dxa"/>
            <w:tcBorders>
              <w:top w:val="nil"/>
              <w:left w:val="nil"/>
              <w:bottom w:val="nil"/>
              <w:right w:val="nil"/>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峨眉山市文化旅游和度假服务中心</w:t>
            </w:r>
          </w:p>
        </w:tc>
      </w:tr>
      <w:tr>
        <w:tblPrEx>
          <w:tblCellMar>
            <w:top w:w="0" w:type="dxa"/>
            <w:left w:w="108" w:type="dxa"/>
            <w:bottom w:w="0" w:type="dxa"/>
            <w:right w:w="108" w:type="dxa"/>
          </w:tblCellMar>
        </w:tblPrEx>
        <w:trPr>
          <w:trHeight w:val="286" w:hRule="atLeast"/>
        </w:trPr>
        <w:tc>
          <w:tcPr>
            <w:tcW w:w="7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27"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79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rPr>
          <w:trHeight w:val="713"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727"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旅游度假区复核迎检工作经费</w:t>
            </w:r>
          </w:p>
        </w:tc>
        <w:tc>
          <w:tcPr>
            <w:tcW w:w="379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完成旅游度假区复核迎检工作经费</w:t>
            </w:r>
          </w:p>
        </w:tc>
      </w:tr>
      <w:tr>
        <w:trPr>
          <w:trHeight w:val="698"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提升旅游度假区复核迎检工作经费</w:t>
            </w:r>
          </w:p>
        </w:tc>
      </w:tr>
      <w:tr>
        <w:trPr>
          <w:trHeight w:val="572" w:hRule="atLeast"/>
        </w:trPr>
        <w:tc>
          <w:tcPr>
            <w:tcW w:w="7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43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rPr>
          <w:trHeight w:val="388"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12.73</w:t>
            </w:r>
          </w:p>
        </w:tc>
        <w:tc>
          <w:tcPr>
            <w:tcW w:w="143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12.73</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rPr>
          <w:trHeight w:val="434"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12.73</w:t>
            </w:r>
          </w:p>
        </w:tc>
        <w:tc>
          <w:tcPr>
            <w:tcW w:w="143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12.73</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49"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43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403"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43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380"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3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rPr>
          <w:trHeight w:val="633" w:hRule="atLeast"/>
        </w:trPr>
        <w:tc>
          <w:tcPr>
            <w:tcW w:w="7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47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47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9"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2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0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7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7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6" w:hRule="atLeast"/>
        </w:trPr>
        <w:tc>
          <w:tcPr>
            <w:tcW w:w="6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0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rPr>
          <w:trHeight w:val="606"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项目自评总分100分，严格按照有关项目管理和经费管理规定执行。各项预算支出顺利进行，并按计划圆满完成。</w:t>
            </w:r>
          </w:p>
        </w:tc>
      </w:tr>
      <w:tr>
        <w:tblPrEx>
          <w:tblCellMar>
            <w:top w:w="0" w:type="dxa"/>
            <w:left w:w="108" w:type="dxa"/>
            <w:bottom w:w="0" w:type="dxa"/>
            <w:right w:w="108" w:type="dxa"/>
          </w:tblCellMar>
        </w:tblPrEx>
        <w:trPr>
          <w:trHeight w:val="576"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7"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88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6" w:hRule="atLeast"/>
        </w:trPr>
        <w:tc>
          <w:tcPr>
            <w:tcW w:w="4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cs="Courier New"/>
                <w:color w:val="000000"/>
                <w:kern w:val="0"/>
                <w:sz w:val="18"/>
                <w:szCs w:val="18"/>
              </w:rPr>
            </w:pPr>
            <w:r>
              <w:rPr>
                <w:rFonts w:ascii="Courier New" w:hAnsi="Courier New" w:cs="Courier New"/>
                <w:color w:val="000000"/>
                <w:kern w:val="0"/>
                <w:sz w:val="18"/>
                <w:szCs w:val="18"/>
              </w:rPr>
              <w:t>项目负责人：卢翔云</w:t>
            </w:r>
          </w:p>
        </w:tc>
        <w:tc>
          <w:tcPr>
            <w:tcW w:w="474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财务负责人：王旭霞</w:t>
            </w:r>
          </w:p>
        </w:tc>
      </w:tr>
    </w:tbl>
    <w:p/>
    <w:p>
      <w:pPr>
        <w:pStyle w:val="2"/>
        <w:spacing w:before="93"/>
      </w:pPr>
    </w:p>
    <w:p/>
    <w:p>
      <w:pPr>
        <w:pStyle w:val="2"/>
        <w:spacing w:before="93"/>
      </w:pPr>
    </w:p>
    <w:p/>
    <w:p>
      <w:pPr>
        <w:pStyle w:val="2"/>
        <w:spacing w:before="93"/>
      </w:pPr>
    </w:p>
    <w:p/>
    <w:p>
      <w:pPr>
        <w:pStyle w:val="2"/>
        <w:spacing w:before="93"/>
      </w:pPr>
    </w:p>
    <w:p>
      <w:pPr>
        <w:pStyle w:val="2"/>
        <w:spacing w:before="93"/>
      </w:pPr>
    </w:p>
    <w:p/>
    <w:p>
      <w:pPr>
        <w:pStyle w:val="2"/>
        <w:spacing w:before="93"/>
      </w:pPr>
    </w:p>
    <w:p/>
    <w:p>
      <w:pPr>
        <w:pStyle w:val="2"/>
        <w:spacing w:before="93"/>
      </w:pPr>
    </w:p>
    <w:p/>
    <w:p>
      <w:pPr>
        <w:pStyle w:val="2"/>
        <w:spacing w:before="93"/>
      </w:pPr>
    </w:p>
    <w:p/>
    <w:p>
      <w:pPr>
        <w:pStyle w:val="2"/>
        <w:spacing w:before="93"/>
        <w:rPr>
          <w:rFonts w:hint="eastAsia"/>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60"/>
      <w:bookmarkEnd w:id="61"/>
      <w:bookmarkStart w:id="62"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62"/>
    </w:p>
    <w:p>
      <w:pPr>
        <w:pStyle w:val="4"/>
        <w:rPr>
          <w:rFonts w:ascii="仿宋" w:hAnsi="仿宋" w:eastAsia="仿宋"/>
        </w:rPr>
      </w:pPr>
      <w:bookmarkStart w:id="63" w:name="_Toc15396620"/>
      <w:r>
        <w:rPr>
          <w:rFonts w:hint="eastAsia" w:ascii="仿宋" w:hAnsi="仿宋" w:eastAsia="仿宋"/>
          <w:b w:val="0"/>
        </w:rPr>
        <w:t>二、收</w:t>
      </w:r>
      <w:r>
        <w:rPr>
          <w:rStyle w:val="28"/>
          <w:rFonts w:hint="eastAsia" w:ascii="仿宋" w:hAnsi="仿宋" w:eastAsia="仿宋"/>
          <w:b w:val="0"/>
          <w:bCs w:val="0"/>
        </w:rPr>
        <w:t>入决算表</w:t>
      </w:r>
      <w:bookmarkEnd w:id="63"/>
    </w:p>
    <w:p>
      <w:pPr>
        <w:pStyle w:val="4"/>
        <w:rPr>
          <w:rFonts w:ascii="仿宋" w:hAnsi="仿宋" w:eastAsia="仿宋"/>
        </w:rPr>
      </w:pPr>
      <w:bookmarkStart w:id="64"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64"/>
    </w:p>
    <w:p>
      <w:pPr>
        <w:pStyle w:val="4"/>
        <w:rPr>
          <w:rFonts w:ascii="仿宋" w:hAnsi="仿宋" w:eastAsia="仿宋"/>
          <w:b w:val="0"/>
        </w:rPr>
      </w:pPr>
      <w:bookmarkStart w:id="6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65"/>
    </w:p>
    <w:p>
      <w:pPr>
        <w:pStyle w:val="4"/>
        <w:rPr>
          <w:rStyle w:val="28"/>
          <w:rFonts w:ascii="仿宋" w:hAnsi="仿宋" w:eastAsia="仿宋"/>
          <w:b w:val="0"/>
          <w:bCs w:val="0"/>
        </w:rPr>
      </w:pPr>
      <w:bookmarkStart w:id="66"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66"/>
      <w:bookmarkStart w:id="67"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7"/>
    </w:p>
    <w:p>
      <w:pPr>
        <w:pStyle w:val="4"/>
        <w:rPr>
          <w:rFonts w:ascii="仿宋" w:hAnsi="仿宋" w:eastAsia="仿宋"/>
        </w:rPr>
      </w:pPr>
      <w:bookmarkStart w:id="68"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8"/>
    </w:p>
    <w:p>
      <w:pPr>
        <w:pStyle w:val="4"/>
        <w:rPr>
          <w:rFonts w:ascii="仿宋" w:hAnsi="仿宋" w:eastAsia="仿宋"/>
        </w:rPr>
      </w:pPr>
      <w:bookmarkStart w:id="69"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9"/>
    </w:p>
    <w:p>
      <w:pPr>
        <w:pStyle w:val="4"/>
        <w:rPr>
          <w:rFonts w:ascii="仿宋" w:hAnsi="仿宋" w:eastAsia="仿宋"/>
        </w:rPr>
      </w:pPr>
      <w:bookmarkStart w:id="70"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70"/>
    </w:p>
    <w:p>
      <w:pPr>
        <w:pStyle w:val="4"/>
        <w:rPr>
          <w:rFonts w:ascii="仿宋" w:hAnsi="仿宋" w:eastAsia="仿宋"/>
        </w:rPr>
      </w:pPr>
      <w:bookmarkStart w:id="71" w:name="_Toc15396628"/>
      <w:r>
        <w:rPr>
          <w:rStyle w:val="28"/>
          <w:rFonts w:hint="eastAsia" w:ascii="仿宋" w:hAnsi="仿宋" w:eastAsia="仿宋"/>
          <w:b w:val="0"/>
          <w:bCs w:val="0"/>
        </w:rPr>
        <w:t>十、</w:t>
      </w:r>
      <w:bookmarkEnd w:id="71"/>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72" w:name="_Toc15396629"/>
      <w:r>
        <w:rPr>
          <w:rStyle w:val="28"/>
          <w:rFonts w:hint="eastAsia" w:ascii="仿宋" w:hAnsi="仿宋" w:eastAsia="仿宋"/>
          <w:b w:val="0"/>
          <w:bCs w:val="0"/>
        </w:rPr>
        <w:t>十一、</w:t>
      </w:r>
      <w:bookmarkEnd w:id="72"/>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73" w:name="_Toc15396630"/>
      <w:r>
        <w:rPr>
          <w:rStyle w:val="28"/>
          <w:rFonts w:hint="eastAsia" w:ascii="仿宋" w:hAnsi="仿宋" w:eastAsia="仿宋"/>
          <w:b w:val="0"/>
          <w:bCs w:val="0"/>
        </w:rPr>
        <w:t>十二、</w:t>
      </w:r>
      <w:bookmarkEnd w:id="73"/>
      <w:r>
        <w:rPr>
          <w:rStyle w:val="28"/>
          <w:rFonts w:hint="eastAsia" w:ascii="仿宋" w:hAnsi="仿宋" w:eastAsia="仿宋"/>
          <w:b w:val="0"/>
          <w:bCs w:val="0"/>
        </w:rPr>
        <w:t>国有资本经营预算财政拨款支出决算表</w:t>
      </w:r>
    </w:p>
    <w:p>
      <w:pPr>
        <w:pStyle w:val="4"/>
        <w:rPr>
          <w:rFonts w:eastAsia="仿宋"/>
        </w:rPr>
      </w:pPr>
      <w:bookmarkStart w:id="74" w:name="_Toc15396631"/>
      <w:r>
        <w:rPr>
          <w:rStyle w:val="28"/>
          <w:rFonts w:hint="eastAsia" w:ascii="仿宋" w:hAnsi="仿宋" w:eastAsia="仿宋"/>
          <w:b w:val="0"/>
          <w:bCs w:val="0"/>
        </w:rPr>
        <w:t>十三、</w:t>
      </w:r>
      <w:bookmarkEnd w:id="74"/>
      <w:r>
        <w:rPr>
          <w:rStyle w:val="28"/>
          <w:rFonts w:hint="eastAsia" w:ascii="仿宋" w:hAnsi="仿宋" w:eastAsia="仿宋"/>
          <w:b w:val="0"/>
          <w:bCs w:val="0"/>
        </w:rPr>
        <w:t>财政拨款“三公”经费支出决算表</w:t>
      </w: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11803"/>
    </w:sdtPr>
    <w:sdtEndPr>
      <w:rPr>
        <w:rFonts w:ascii="仿宋" w:hAnsi="仿宋" w:eastAsia="仿宋"/>
        <w:sz w:val="32"/>
        <w:szCs w:val="32"/>
      </w:rPr>
    </w:sdtEndPr>
    <w:sdtContent>
      <w:p>
        <w:pPr>
          <w:pStyle w:val="9"/>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102</w:t>
        </w:r>
        <w:r>
          <w:rPr>
            <w:rFonts w:ascii="仿宋" w:hAnsi="仿宋" w:eastAsia="仿宋"/>
            <w:sz w:val="32"/>
            <w:szCs w:val="32"/>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 w:hAnsi="仿宋" w:eastAsia="仿宋"/>
        <w:sz w:val="32"/>
        <w:szCs w:val="32"/>
      </w:rPr>
    </w:pP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7169A"/>
    <w:multiLevelType w:val="singleLevel"/>
    <w:tmpl w:val="9A27169A"/>
    <w:lvl w:ilvl="0" w:tentative="0">
      <w:start w:val="2"/>
      <w:numFmt w:val="chineseCounting"/>
      <w:suff w:val="nothing"/>
      <w:lvlText w:val="（%1）"/>
      <w:lvlJc w:val="left"/>
      <w:rPr>
        <w:rFonts w:hint="eastAsia"/>
      </w:rPr>
    </w:lvl>
  </w:abstractNum>
  <w:abstractNum w:abstractNumId="1">
    <w:nsid w:val="BE15B188"/>
    <w:multiLevelType w:val="singleLevel"/>
    <w:tmpl w:val="BE15B188"/>
    <w:lvl w:ilvl="0" w:tentative="0">
      <w:start w:val="3"/>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FBD2E1E"/>
    <w:multiLevelType w:val="multilevel"/>
    <w:tmpl w:val="2FBD2E1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mI3Y2ViYzQxZDBjY2FiZWViZWQzYThhMDBmZGYifQ=="/>
  </w:docVars>
  <w:rsids>
    <w:rsidRoot w:val="00F1361C"/>
    <w:rsid w:val="000222C6"/>
    <w:rsid w:val="0002549F"/>
    <w:rsid w:val="0002735A"/>
    <w:rsid w:val="000468DB"/>
    <w:rsid w:val="0006151C"/>
    <w:rsid w:val="0006487A"/>
    <w:rsid w:val="00065C53"/>
    <w:rsid w:val="00065F8F"/>
    <w:rsid w:val="00070A43"/>
    <w:rsid w:val="000768F2"/>
    <w:rsid w:val="00082BD5"/>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70B"/>
    <w:rsid w:val="00174518"/>
    <w:rsid w:val="0018106D"/>
    <w:rsid w:val="001877A7"/>
    <w:rsid w:val="00190293"/>
    <w:rsid w:val="00191536"/>
    <w:rsid w:val="00196687"/>
    <w:rsid w:val="001B1453"/>
    <w:rsid w:val="001B296B"/>
    <w:rsid w:val="001B75B1"/>
    <w:rsid w:val="001C0962"/>
    <w:rsid w:val="001D409D"/>
    <w:rsid w:val="001D7531"/>
    <w:rsid w:val="001E737D"/>
    <w:rsid w:val="001F0592"/>
    <w:rsid w:val="001F7506"/>
    <w:rsid w:val="002006CD"/>
    <w:rsid w:val="00202027"/>
    <w:rsid w:val="00202B36"/>
    <w:rsid w:val="00204B7A"/>
    <w:rsid w:val="00204CDE"/>
    <w:rsid w:val="002067DE"/>
    <w:rsid w:val="0021101A"/>
    <w:rsid w:val="00220536"/>
    <w:rsid w:val="00235629"/>
    <w:rsid w:val="00237DBD"/>
    <w:rsid w:val="00260C38"/>
    <w:rsid w:val="002616C0"/>
    <w:rsid w:val="00265372"/>
    <w:rsid w:val="002662AA"/>
    <w:rsid w:val="0027422F"/>
    <w:rsid w:val="00280496"/>
    <w:rsid w:val="00294DC9"/>
    <w:rsid w:val="00295495"/>
    <w:rsid w:val="002A31DE"/>
    <w:rsid w:val="002B2613"/>
    <w:rsid w:val="002D2CC8"/>
    <w:rsid w:val="002D6D05"/>
    <w:rsid w:val="002F1818"/>
    <w:rsid w:val="002F567B"/>
    <w:rsid w:val="003216A9"/>
    <w:rsid w:val="003217A2"/>
    <w:rsid w:val="00335A74"/>
    <w:rsid w:val="00357A5B"/>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1EAF"/>
    <w:rsid w:val="004608F1"/>
    <w:rsid w:val="00471401"/>
    <w:rsid w:val="00473F31"/>
    <w:rsid w:val="0048263A"/>
    <w:rsid w:val="00487E5D"/>
    <w:rsid w:val="004A711F"/>
    <w:rsid w:val="004B199D"/>
    <w:rsid w:val="004B4690"/>
    <w:rsid w:val="004C08FB"/>
    <w:rsid w:val="004E0A2D"/>
    <w:rsid w:val="004E206B"/>
    <w:rsid w:val="004E6DF7"/>
    <w:rsid w:val="004F0FBD"/>
    <w:rsid w:val="00505A47"/>
    <w:rsid w:val="00512FDA"/>
    <w:rsid w:val="00520DA0"/>
    <w:rsid w:val="005664BB"/>
    <w:rsid w:val="00566FFA"/>
    <w:rsid w:val="0057481D"/>
    <w:rsid w:val="0058486E"/>
    <w:rsid w:val="00585B33"/>
    <w:rsid w:val="0059014D"/>
    <w:rsid w:val="0059565F"/>
    <w:rsid w:val="005B5C64"/>
    <w:rsid w:val="005C5337"/>
    <w:rsid w:val="005C6BD0"/>
    <w:rsid w:val="005D1C8B"/>
    <w:rsid w:val="005D468D"/>
    <w:rsid w:val="005D5CED"/>
    <w:rsid w:val="005D662A"/>
    <w:rsid w:val="005E3EE0"/>
    <w:rsid w:val="005F1A4C"/>
    <w:rsid w:val="00605688"/>
    <w:rsid w:val="006070AF"/>
    <w:rsid w:val="00607E6C"/>
    <w:rsid w:val="006101B1"/>
    <w:rsid w:val="00614E44"/>
    <w:rsid w:val="0061783A"/>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33F5C"/>
    <w:rsid w:val="0073558D"/>
    <w:rsid w:val="007416B6"/>
    <w:rsid w:val="00746F48"/>
    <w:rsid w:val="0075404D"/>
    <w:rsid w:val="0076182A"/>
    <w:rsid w:val="00767B7E"/>
    <w:rsid w:val="007770C3"/>
    <w:rsid w:val="00784D24"/>
    <w:rsid w:val="00785FBA"/>
    <w:rsid w:val="00786E4A"/>
    <w:rsid w:val="007875EB"/>
    <w:rsid w:val="0079426B"/>
    <w:rsid w:val="00797308"/>
    <w:rsid w:val="007D1682"/>
    <w:rsid w:val="007D312A"/>
    <w:rsid w:val="007D3F19"/>
    <w:rsid w:val="007E23B0"/>
    <w:rsid w:val="007E23E5"/>
    <w:rsid w:val="007F1991"/>
    <w:rsid w:val="007F2C2F"/>
    <w:rsid w:val="007F4A6F"/>
    <w:rsid w:val="007F55FC"/>
    <w:rsid w:val="007F5665"/>
    <w:rsid w:val="00800112"/>
    <w:rsid w:val="00813348"/>
    <w:rsid w:val="008168A0"/>
    <w:rsid w:val="008253BB"/>
    <w:rsid w:val="00830AFF"/>
    <w:rsid w:val="0083706E"/>
    <w:rsid w:val="008408F6"/>
    <w:rsid w:val="008423A5"/>
    <w:rsid w:val="00850625"/>
    <w:rsid w:val="00853718"/>
    <w:rsid w:val="00855221"/>
    <w:rsid w:val="00860645"/>
    <w:rsid w:val="00871F71"/>
    <w:rsid w:val="00872FD8"/>
    <w:rsid w:val="0087568E"/>
    <w:rsid w:val="00885AF4"/>
    <w:rsid w:val="008939CD"/>
    <w:rsid w:val="008A07D1"/>
    <w:rsid w:val="008B768C"/>
    <w:rsid w:val="008C4DB1"/>
    <w:rsid w:val="008C4EAF"/>
    <w:rsid w:val="008C5176"/>
    <w:rsid w:val="008C7FD0"/>
    <w:rsid w:val="008E1DE7"/>
    <w:rsid w:val="008E707C"/>
    <w:rsid w:val="00900B08"/>
    <w:rsid w:val="00902155"/>
    <w:rsid w:val="00902FA3"/>
    <w:rsid w:val="00914A37"/>
    <w:rsid w:val="00917EF0"/>
    <w:rsid w:val="00923564"/>
    <w:rsid w:val="0092392E"/>
    <w:rsid w:val="009315F9"/>
    <w:rsid w:val="00933499"/>
    <w:rsid w:val="00935C98"/>
    <w:rsid w:val="00946945"/>
    <w:rsid w:val="009473F4"/>
    <w:rsid w:val="00951248"/>
    <w:rsid w:val="0095152F"/>
    <w:rsid w:val="00954C49"/>
    <w:rsid w:val="00955E37"/>
    <w:rsid w:val="0097099F"/>
    <w:rsid w:val="00971997"/>
    <w:rsid w:val="00971FFC"/>
    <w:rsid w:val="00983FE7"/>
    <w:rsid w:val="0098660A"/>
    <w:rsid w:val="009931C3"/>
    <w:rsid w:val="00997962"/>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991"/>
    <w:rsid w:val="00A67AB5"/>
    <w:rsid w:val="00A733B2"/>
    <w:rsid w:val="00A741C2"/>
    <w:rsid w:val="00A87332"/>
    <w:rsid w:val="00A91760"/>
    <w:rsid w:val="00A93B00"/>
    <w:rsid w:val="00A93C21"/>
    <w:rsid w:val="00AB64C9"/>
    <w:rsid w:val="00AC3C6A"/>
    <w:rsid w:val="00AD5620"/>
    <w:rsid w:val="00AD656B"/>
    <w:rsid w:val="00AD7C1B"/>
    <w:rsid w:val="00AE16BA"/>
    <w:rsid w:val="00AE1EBE"/>
    <w:rsid w:val="00B03C9D"/>
    <w:rsid w:val="00B060AE"/>
    <w:rsid w:val="00B10517"/>
    <w:rsid w:val="00B14E04"/>
    <w:rsid w:val="00B14E76"/>
    <w:rsid w:val="00B161B8"/>
    <w:rsid w:val="00B2048C"/>
    <w:rsid w:val="00B310B9"/>
    <w:rsid w:val="00B35F3F"/>
    <w:rsid w:val="00B36CBB"/>
    <w:rsid w:val="00B425E0"/>
    <w:rsid w:val="00B440AA"/>
    <w:rsid w:val="00B44B70"/>
    <w:rsid w:val="00B45701"/>
    <w:rsid w:val="00B53C56"/>
    <w:rsid w:val="00B57DAF"/>
    <w:rsid w:val="00B77EA6"/>
    <w:rsid w:val="00B81598"/>
    <w:rsid w:val="00B841F1"/>
    <w:rsid w:val="00B944D6"/>
    <w:rsid w:val="00B94FC7"/>
    <w:rsid w:val="00BB4DF0"/>
    <w:rsid w:val="00BC289F"/>
    <w:rsid w:val="00BC2D50"/>
    <w:rsid w:val="00BC5361"/>
    <w:rsid w:val="00BC5460"/>
    <w:rsid w:val="00BC6B50"/>
    <w:rsid w:val="00BD0E25"/>
    <w:rsid w:val="00BF5BD6"/>
    <w:rsid w:val="00C03E31"/>
    <w:rsid w:val="00C31B24"/>
    <w:rsid w:val="00C33E72"/>
    <w:rsid w:val="00C354B2"/>
    <w:rsid w:val="00C35554"/>
    <w:rsid w:val="00C42709"/>
    <w:rsid w:val="00C533CC"/>
    <w:rsid w:val="00C5751C"/>
    <w:rsid w:val="00C61BFC"/>
    <w:rsid w:val="00C62B85"/>
    <w:rsid w:val="00C65438"/>
    <w:rsid w:val="00C87FD8"/>
    <w:rsid w:val="00C91381"/>
    <w:rsid w:val="00C91CBB"/>
    <w:rsid w:val="00CB1830"/>
    <w:rsid w:val="00CB4E70"/>
    <w:rsid w:val="00CC09B6"/>
    <w:rsid w:val="00CC666F"/>
    <w:rsid w:val="00CD1E3F"/>
    <w:rsid w:val="00CE44F6"/>
    <w:rsid w:val="00CE49DA"/>
    <w:rsid w:val="00CE7B61"/>
    <w:rsid w:val="00D00095"/>
    <w:rsid w:val="00D114F0"/>
    <w:rsid w:val="00D13783"/>
    <w:rsid w:val="00D20620"/>
    <w:rsid w:val="00D254F7"/>
    <w:rsid w:val="00D26091"/>
    <w:rsid w:val="00D2685C"/>
    <w:rsid w:val="00D308B2"/>
    <w:rsid w:val="00D34E7C"/>
    <w:rsid w:val="00D35489"/>
    <w:rsid w:val="00D36AFE"/>
    <w:rsid w:val="00D51276"/>
    <w:rsid w:val="00D7035F"/>
    <w:rsid w:val="00D915F3"/>
    <w:rsid w:val="00DA0EC4"/>
    <w:rsid w:val="00DA634F"/>
    <w:rsid w:val="00DA65AC"/>
    <w:rsid w:val="00DB100E"/>
    <w:rsid w:val="00DB1913"/>
    <w:rsid w:val="00DC410D"/>
    <w:rsid w:val="00DC5A81"/>
    <w:rsid w:val="00DC68CA"/>
    <w:rsid w:val="00DC7CBA"/>
    <w:rsid w:val="00DD73B7"/>
    <w:rsid w:val="00DF28BC"/>
    <w:rsid w:val="00DF34B9"/>
    <w:rsid w:val="00E01053"/>
    <w:rsid w:val="00E07ACF"/>
    <w:rsid w:val="00E13C7A"/>
    <w:rsid w:val="00E17371"/>
    <w:rsid w:val="00E1762F"/>
    <w:rsid w:val="00E331A1"/>
    <w:rsid w:val="00E33202"/>
    <w:rsid w:val="00E336A9"/>
    <w:rsid w:val="00E472B1"/>
    <w:rsid w:val="00E50624"/>
    <w:rsid w:val="00E568DF"/>
    <w:rsid w:val="00E64269"/>
    <w:rsid w:val="00E82267"/>
    <w:rsid w:val="00E853CE"/>
    <w:rsid w:val="00E867B6"/>
    <w:rsid w:val="00E9790A"/>
    <w:rsid w:val="00EA010F"/>
    <w:rsid w:val="00EA12D1"/>
    <w:rsid w:val="00ED1B63"/>
    <w:rsid w:val="00ED3C1F"/>
    <w:rsid w:val="00ED4085"/>
    <w:rsid w:val="00ED420E"/>
    <w:rsid w:val="00ED6FBE"/>
    <w:rsid w:val="00EE2F57"/>
    <w:rsid w:val="00EE5FE3"/>
    <w:rsid w:val="00EF4C34"/>
    <w:rsid w:val="00EF77C6"/>
    <w:rsid w:val="00F05438"/>
    <w:rsid w:val="00F11CDE"/>
    <w:rsid w:val="00F1361C"/>
    <w:rsid w:val="00F156F0"/>
    <w:rsid w:val="00F160C7"/>
    <w:rsid w:val="00F20DF4"/>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EF7314C"/>
    <w:rsid w:val="0F98263C"/>
    <w:rsid w:val="101860EC"/>
    <w:rsid w:val="10C055FF"/>
    <w:rsid w:val="118107EC"/>
    <w:rsid w:val="13D50BC4"/>
    <w:rsid w:val="16BB723D"/>
    <w:rsid w:val="18A11068"/>
    <w:rsid w:val="1AB46029"/>
    <w:rsid w:val="1BE8440E"/>
    <w:rsid w:val="1D155CEE"/>
    <w:rsid w:val="1DD9508E"/>
    <w:rsid w:val="1E906CF7"/>
    <w:rsid w:val="1FF35744"/>
    <w:rsid w:val="201C59E1"/>
    <w:rsid w:val="23860B96"/>
    <w:rsid w:val="240371BF"/>
    <w:rsid w:val="2966374D"/>
    <w:rsid w:val="29FD04D3"/>
    <w:rsid w:val="2C8A61B5"/>
    <w:rsid w:val="2DB93B97"/>
    <w:rsid w:val="2DF04E50"/>
    <w:rsid w:val="2F040D46"/>
    <w:rsid w:val="30802EAE"/>
    <w:rsid w:val="319F7F4E"/>
    <w:rsid w:val="3304709D"/>
    <w:rsid w:val="33AE21B4"/>
    <w:rsid w:val="36AA5135"/>
    <w:rsid w:val="376D39B2"/>
    <w:rsid w:val="37E16F03"/>
    <w:rsid w:val="38D469F0"/>
    <w:rsid w:val="3D98207C"/>
    <w:rsid w:val="3E78745D"/>
    <w:rsid w:val="40A44693"/>
    <w:rsid w:val="44E268DA"/>
    <w:rsid w:val="4A627F82"/>
    <w:rsid w:val="4B0E749A"/>
    <w:rsid w:val="4B392411"/>
    <w:rsid w:val="4B4F25DA"/>
    <w:rsid w:val="4B851196"/>
    <w:rsid w:val="4BE068DB"/>
    <w:rsid w:val="4D577224"/>
    <w:rsid w:val="4EAB630A"/>
    <w:rsid w:val="4ECE2238"/>
    <w:rsid w:val="536575C5"/>
    <w:rsid w:val="537E6D0A"/>
    <w:rsid w:val="5A5B0254"/>
    <w:rsid w:val="5AF92295"/>
    <w:rsid w:val="5CD71FC4"/>
    <w:rsid w:val="62491309"/>
    <w:rsid w:val="646C4B46"/>
    <w:rsid w:val="67F2315C"/>
    <w:rsid w:val="6C4A05C8"/>
    <w:rsid w:val="6E7E3605"/>
    <w:rsid w:val="6FF5CC65"/>
    <w:rsid w:val="715C0E4B"/>
    <w:rsid w:val="72734D90"/>
    <w:rsid w:val="727A0031"/>
    <w:rsid w:val="72880C5B"/>
    <w:rsid w:val="73AD73D5"/>
    <w:rsid w:val="73B6EB34"/>
    <w:rsid w:val="744731E5"/>
    <w:rsid w:val="76E3355F"/>
    <w:rsid w:val="778769C8"/>
    <w:rsid w:val="79EE5BA4"/>
    <w:rsid w:val="7A390649"/>
    <w:rsid w:val="7A894339"/>
    <w:rsid w:val="7ED23D7E"/>
    <w:rsid w:val="7ED63520"/>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paragraph" w:customStyle="1" w:styleId="34">
    <w:name w:val="图表目录1"/>
    <w:basedOn w:val="1"/>
    <w:next w:val="1"/>
    <w:qFormat/>
    <w:uiPriority w:val="0"/>
    <w:pPr>
      <w:ind w:left="200" w:leftChars="200" w:hanging="200" w:hanging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105</Pages>
  <Words>40660</Words>
  <Characters>15363</Characters>
  <Lines>128</Lines>
  <Paragraphs>111</Paragraphs>
  <TotalTime>1</TotalTime>
  <ScaleCrop>false</ScaleCrop>
  <LinksUpToDate>false</LinksUpToDate>
  <CharactersWithSpaces>55912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2023-12-15T08:02:00Z</cp:lastPrinted>
  <dcterms:modified xsi:type="dcterms:W3CDTF">2023-12-15T09:37:20Z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9161799483CD40BFB9443C21646E8551</vt:lpwstr>
  </property>
</Properties>
</file>