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7193"/>
      <w:bookmarkStart w:id="2" w:name="_Toc15378441"/>
      <w:bookmarkStart w:id="3" w:name="_Toc15396597"/>
      <w:bookmarkStart w:id="4" w:name="_Toc15306267"/>
      <w:bookmarkStart w:id="5" w:name="_Toc15377425"/>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jc w:val="center"/>
        <w:outlineLvl w:val="0"/>
        <w:rPr>
          <w:rFonts w:ascii="方正小标宋简体" w:hAnsi="宋体" w:eastAsia="方正小标宋简体"/>
          <w:sz w:val="72"/>
          <w:szCs w:val="72"/>
        </w:rPr>
      </w:pPr>
    </w:p>
    <w:bookmarkEnd w:id="0"/>
    <w:bookmarkEnd w:id="1"/>
    <w:bookmarkEnd w:id="2"/>
    <w:bookmarkEnd w:id="3"/>
    <w:bookmarkEnd w:id="4"/>
    <w:bookmarkEnd w:id="5"/>
    <w:p>
      <w:pPr>
        <w:adjustRightInd w:val="0"/>
        <w:snapToGrid w:val="0"/>
        <w:jc w:val="center"/>
        <w:outlineLvl w:val="0"/>
        <w:rPr>
          <w:rFonts w:ascii="方正小标宋简体" w:hAnsi="宋体" w:eastAsia="方正小标宋简体"/>
          <w:sz w:val="72"/>
          <w:szCs w:val="72"/>
        </w:rPr>
      </w:pPr>
      <w:r>
        <w:rPr>
          <w:rFonts w:hint="eastAsia" w:ascii="方正小标宋简体" w:hAnsi="宋体" w:eastAsia="方正小标宋简体"/>
          <w:sz w:val="72"/>
          <w:szCs w:val="72"/>
        </w:rPr>
        <w:t>峨眉山市农业农村局</w:t>
      </w:r>
    </w:p>
    <w:p>
      <w:pPr>
        <w:adjustRightInd w:val="0"/>
        <w:snapToGrid w:val="0"/>
        <w:jc w:val="center"/>
        <w:outlineLvl w:val="0"/>
        <w:rPr>
          <w:rFonts w:ascii="方正小标宋简体" w:hAnsi="宋体" w:eastAsia="方正小标宋简体"/>
          <w:sz w:val="72"/>
          <w:szCs w:val="72"/>
        </w:rPr>
      </w:pPr>
      <w:r>
        <w:rPr>
          <w:rFonts w:hint="eastAsia" w:ascii="方正小标宋简体" w:hAnsi="宋体" w:eastAsia="方正小标宋简体"/>
          <w:sz w:val="72"/>
          <w:szCs w:val="72"/>
        </w:rPr>
        <w:t>202</w:t>
      </w:r>
      <w:r>
        <w:rPr>
          <w:rFonts w:hint="eastAsia" w:ascii="方正小标宋简体" w:hAnsi="宋体" w:eastAsia="方正小标宋简体"/>
          <w:sz w:val="72"/>
          <w:szCs w:val="72"/>
          <w:lang w:val="en-US" w:eastAsia="zh-CN"/>
        </w:rPr>
        <w:t>2</w:t>
      </w:r>
      <w:r>
        <w:rPr>
          <w:rFonts w:hint="eastAsia" w:ascii="方正小标宋简体" w:hAnsi="宋体" w:eastAsia="方正小标宋简体"/>
          <w:sz w:val="72"/>
          <w:szCs w:val="72"/>
        </w:rPr>
        <w:t>年部门决算编制说明</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8"/>
          <w:szCs w:val="48"/>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72"/>
          <w:szCs w:val="72"/>
        </w:rPr>
        <w:t>目</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录</w:t>
      </w:r>
    </w:p>
    <w:p>
      <w:pPr>
        <w:pStyle w:val="2"/>
      </w:pPr>
    </w:p>
    <w:p>
      <w:pPr>
        <w:pStyle w:val="14"/>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14</w:t>
      </w:r>
      <w:r>
        <w:rPr>
          <w:rFonts w:hint="eastAsia" w:ascii="楷体_GB2312" w:hAnsi="楷体_GB2312" w:eastAsia="楷体_GB2312" w:cs="楷体_GB2312"/>
          <w:color w:val="000000" w:themeColor="text1"/>
          <w:sz w:val="32"/>
          <w:szCs w:val="32"/>
          <w14:textFill>
            <w14:solidFill>
              <w14:schemeClr w14:val="tx1"/>
            </w14:solidFill>
          </w14:textFill>
        </w:rPr>
        <w:t>日</w:t>
      </w:r>
    </w:p>
    <w:p>
      <w:pPr>
        <w:spacing w:line="600" w:lineRule="exact"/>
      </w:pPr>
    </w:p>
    <w:p>
      <w:pPr>
        <w:pStyle w:val="14"/>
        <w:jc w:val="left"/>
        <w:rPr>
          <w:rFonts w:hint="eastAsia" w:ascii="黑体" w:hAnsi="黑体" w:eastAsia="黑体" w:cs="黑体"/>
        </w:rPr>
      </w:pPr>
      <w:r>
        <w:rPr>
          <w:rFonts w:hint="eastAsia" w:ascii="黑体" w:hAnsi="黑体" w:eastAsia="黑体" w:cs="黑体"/>
        </w:rPr>
        <w:t>第一部分 部门概况</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一、</w:t>
      </w:r>
      <w:r>
        <w:rPr>
          <w:rFonts w:hint="eastAsia" w:ascii="Times New Roman" w:hAnsi="Times New Roman" w:eastAsia="宋体" w:cs="Times New Roman"/>
          <w:sz w:val="24"/>
          <w:lang w:val="en-US" w:eastAsia="zh-CN"/>
        </w:rPr>
        <w:t>部门职责..................</w:t>
      </w:r>
      <w:r>
        <w:rPr>
          <w:rFonts w:hint="eastAsia" w:cs="Times New Roman"/>
          <w:sz w:val="24"/>
          <w:lang w:val="en-US" w:eastAsia="zh-CN"/>
        </w:rPr>
        <w:t>..........</w:t>
      </w:r>
      <w:r>
        <w:rPr>
          <w:rFonts w:hint="eastAsia" w:ascii="Times New Roman" w:hAnsi="Times New Roman" w:eastAsia="宋体" w:cs="Times New Roman"/>
          <w:sz w:val="24"/>
          <w:lang w:val="en-US" w:eastAsia="zh-CN"/>
        </w:rPr>
        <w:t>......4</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二、机构设置</w:t>
      </w:r>
      <w:r>
        <w:rPr>
          <w:rFonts w:hint="eastAsia" w:ascii="Times New Roman" w:hAnsi="Times New Roman" w:eastAsia="宋体" w:cs="Times New Roman"/>
          <w:sz w:val="24"/>
          <w:lang w:val="en-US" w:eastAsia="zh-CN"/>
        </w:rPr>
        <w:t>..................................1</w:t>
      </w:r>
      <w:r>
        <w:rPr>
          <w:rFonts w:hint="eastAsia" w:cs="Times New Roman"/>
          <w:sz w:val="24"/>
          <w:lang w:val="en-US" w:eastAsia="zh-CN"/>
        </w:rPr>
        <w:t>2</w:t>
      </w:r>
    </w:p>
    <w:p>
      <w:pPr>
        <w:pStyle w:val="14"/>
        <w:jc w:val="left"/>
        <w:rPr>
          <w:rFonts w:hint="eastAsia" w:cs="Times New Roman"/>
        </w:rPr>
      </w:pPr>
      <w:r>
        <w:rPr>
          <w:rFonts w:hint="eastAsia" w:ascii="黑体" w:hAnsi="黑体" w:eastAsia="黑体" w:cs="黑体"/>
        </w:rPr>
        <w:t>第二部分 202</w:t>
      </w:r>
      <w:r>
        <w:rPr>
          <w:rFonts w:hint="eastAsia" w:ascii="黑体" w:hAnsi="黑体" w:eastAsia="黑体" w:cs="黑体"/>
          <w:lang w:val="en-US" w:eastAsia="zh-CN"/>
        </w:rPr>
        <w:t>2</w:t>
      </w:r>
      <w:r>
        <w:rPr>
          <w:rFonts w:hint="eastAsia" w:ascii="黑体" w:hAnsi="黑体" w:eastAsia="黑体" w:cs="黑体"/>
        </w:rPr>
        <w:t>年度部门决算情况说明</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一、收入支出决算总体情况说明</w:t>
      </w:r>
      <w:r>
        <w:rPr>
          <w:rFonts w:hint="eastAsia" w:ascii="Times New Roman" w:hAnsi="Times New Roman" w:eastAsia="宋体" w:cs="Times New Roman"/>
          <w:sz w:val="24"/>
          <w:lang w:val="en-US" w:eastAsia="zh-CN"/>
        </w:rPr>
        <w:t>............</w:t>
      </w:r>
      <w:r>
        <w:rPr>
          <w:rFonts w:hint="eastAsia" w:cs="Times New Roman"/>
          <w:sz w:val="24"/>
          <w:lang w:val="en-US" w:eastAsia="zh-CN"/>
        </w:rPr>
        <w:t>.......</w:t>
      </w:r>
      <w:r>
        <w:rPr>
          <w:rFonts w:hint="eastAsia" w:ascii="Times New Roman" w:hAnsi="Times New Roman" w:eastAsia="宋体" w:cs="Times New Roman"/>
          <w:sz w:val="24"/>
          <w:lang w:val="en-US" w:eastAsia="zh-CN"/>
        </w:rPr>
        <w:t>......1</w:t>
      </w:r>
      <w:r>
        <w:rPr>
          <w:rFonts w:hint="eastAsia" w:cs="Times New Roman"/>
          <w:sz w:val="24"/>
          <w:lang w:val="en-US" w:eastAsia="zh-CN"/>
        </w:rPr>
        <w:t>3</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二、收入决算情况说明</w:t>
      </w:r>
      <w:r>
        <w:rPr>
          <w:rFonts w:hint="eastAsia" w:ascii="Times New Roman" w:hAnsi="Times New Roman" w:eastAsia="宋体" w:cs="Times New Roman"/>
          <w:sz w:val="24"/>
          <w:lang w:val="en-US" w:eastAsia="zh-CN"/>
        </w:rPr>
        <w:t>....................</w:t>
      </w:r>
      <w:r>
        <w:rPr>
          <w:rFonts w:hint="eastAsia" w:cs="Times New Roman"/>
          <w:sz w:val="24"/>
          <w:lang w:val="en-US" w:eastAsia="zh-CN"/>
        </w:rPr>
        <w:t>...............</w:t>
      </w:r>
      <w:r>
        <w:rPr>
          <w:rFonts w:hint="eastAsia" w:ascii="Times New Roman" w:hAnsi="Times New Roman" w:eastAsia="宋体" w:cs="Times New Roman"/>
          <w:sz w:val="24"/>
          <w:lang w:val="en-US" w:eastAsia="zh-CN"/>
        </w:rPr>
        <w:t>......1</w:t>
      </w:r>
      <w:r>
        <w:rPr>
          <w:rFonts w:hint="eastAsia" w:cs="Times New Roman"/>
          <w:sz w:val="24"/>
          <w:lang w:val="en-US" w:eastAsia="zh-CN"/>
        </w:rPr>
        <w:t>4</w:t>
      </w:r>
    </w:p>
    <w:p>
      <w:pPr>
        <w:pStyle w:val="15"/>
        <w:adjustRightInd w:val="0"/>
        <w:snapToGrid w:val="0"/>
        <w:spacing w:line="440" w:lineRule="exact"/>
        <w:jc w:val="left"/>
        <w:rPr>
          <w:rFonts w:hint="eastAsia" w:cs="Times New Roman"/>
          <w:sz w:val="24"/>
          <w:lang w:val="en-US" w:eastAsia="zh-CN"/>
        </w:rPr>
      </w:pPr>
      <w:r>
        <w:rPr>
          <w:rFonts w:hint="eastAsia" w:ascii="Times New Roman" w:hAnsi="Times New Roman" w:eastAsia="宋体" w:cs="Times New Roman"/>
          <w:sz w:val="24"/>
        </w:rPr>
        <w:t>三、支出决算情况说明</w:t>
      </w:r>
      <w:r>
        <w:rPr>
          <w:rFonts w:hint="eastAsia" w:ascii="Times New Roman" w:hAnsi="Times New Roman" w:eastAsia="宋体" w:cs="Times New Roman"/>
          <w:sz w:val="24"/>
          <w:lang w:val="en-US" w:eastAsia="zh-CN"/>
        </w:rPr>
        <w:t>...................</w:t>
      </w:r>
      <w:r>
        <w:rPr>
          <w:rFonts w:hint="eastAsia" w:cs="Times New Roman"/>
          <w:sz w:val="24"/>
          <w:lang w:val="en-US" w:eastAsia="zh-CN"/>
        </w:rPr>
        <w:t>................</w:t>
      </w:r>
      <w:r>
        <w:rPr>
          <w:rFonts w:hint="eastAsia" w:ascii="Times New Roman" w:hAnsi="Times New Roman" w:eastAsia="宋体" w:cs="Times New Roman"/>
          <w:sz w:val="24"/>
          <w:lang w:val="en-US" w:eastAsia="zh-CN"/>
        </w:rPr>
        <w:t>.......1</w:t>
      </w:r>
      <w:r>
        <w:rPr>
          <w:rFonts w:hint="eastAsia" w:cs="Times New Roman"/>
          <w:sz w:val="24"/>
          <w:lang w:val="en-US" w:eastAsia="zh-CN"/>
        </w:rPr>
        <w:t>5</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四、财政拨款收入支出决算总体情况说明</w:t>
      </w:r>
      <w:r>
        <w:rPr>
          <w:rFonts w:hint="eastAsia" w:ascii="Times New Roman" w:hAnsi="Times New Roman" w:eastAsia="宋体" w:cs="Times New Roman"/>
          <w:sz w:val="24"/>
          <w:lang w:val="en-US" w:eastAsia="zh-CN"/>
        </w:rPr>
        <w:t>..........</w:t>
      </w:r>
      <w:r>
        <w:rPr>
          <w:rFonts w:hint="eastAsia" w:cs="Times New Roman"/>
          <w:sz w:val="24"/>
          <w:lang w:val="en-US" w:eastAsia="zh-CN"/>
        </w:rPr>
        <w:t>16</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五、一般公共预算财政拨款支出决算情况说明</w:t>
      </w:r>
      <w:r>
        <w:rPr>
          <w:rFonts w:hint="eastAsia" w:ascii="Times New Roman" w:hAnsi="Times New Roman" w:eastAsia="宋体" w:cs="Times New Roman"/>
          <w:sz w:val="24"/>
          <w:lang w:val="en-US" w:eastAsia="zh-CN"/>
        </w:rPr>
        <w:t>....</w:t>
      </w:r>
      <w:r>
        <w:rPr>
          <w:rFonts w:hint="eastAsia" w:cs="Times New Roman"/>
          <w:sz w:val="24"/>
          <w:lang w:val="en-US" w:eastAsia="zh-CN"/>
        </w:rPr>
        <w:t>....</w:t>
      </w:r>
      <w:r>
        <w:rPr>
          <w:rFonts w:hint="eastAsia" w:ascii="Times New Roman" w:hAnsi="Times New Roman" w:eastAsia="宋体" w:cs="Times New Roman"/>
          <w:sz w:val="24"/>
          <w:lang w:val="en-US" w:eastAsia="zh-CN"/>
        </w:rPr>
        <w:t>..1</w:t>
      </w:r>
      <w:r>
        <w:rPr>
          <w:rFonts w:hint="eastAsia" w:cs="Times New Roman"/>
          <w:sz w:val="24"/>
          <w:lang w:val="en-US" w:eastAsia="zh-CN"/>
        </w:rPr>
        <w:t>7</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六、一般公共预算财政拨款基本支出决算情况说明</w:t>
      </w:r>
      <w:r>
        <w:rPr>
          <w:rFonts w:hint="eastAsia" w:ascii="Times New Roman" w:hAnsi="Times New Roman" w:eastAsia="宋体" w:cs="Times New Roman"/>
          <w:sz w:val="24"/>
          <w:lang w:val="en-US" w:eastAsia="zh-CN"/>
        </w:rPr>
        <w:t>..</w:t>
      </w:r>
      <w:r>
        <w:rPr>
          <w:rFonts w:hint="eastAsia" w:cs="Times New Roman"/>
          <w:sz w:val="24"/>
          <w:lang w:val="en-US" w:eastAsia="zh-CN"/>
        </w:rPr>
        <w:t>20</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七、“三公”经费财政拨款支出决算情况说明</w:t>
      </w:r>
      <w:r>
        <w:rPr>
          <w:rFonts w:hint="eastAsia" w:ascii="Times New Roman" w:hAnsi="Times New Roman" w:eastAsia="宋体" w:cs="Times New Roman"/>
          <w:sz w:val="24"/>
          <w:lang w:val="en-US" w:eastAsia="zh-CN"/>
        </w:rPr>
        <w:t>......</w:t>
      </w:r>
      <w:r>
        <w:rPr>
          <w:rFonts w:hint="eastAsia" w:cs="Times New Roman"/>
          <w:sz w:val="24"/>
          <w:lang w:val="en-US" w:eastAsia="zh-CN"/>
        </w:rPr>
        <w:t>...</w:t>
      </w:r>
      <w:r>
        <w:rPr>
          <w:rFonts w:hint="eastAsia" w:ascii="Times New Roman" w:hAnsi="Times New Roman" w:eastAsia="宋体" w:cs="Times New Roman"/>
          <w:sz w:val="24"/>
          <w:lang w:val="en-US" w:eastAsia="zh-CN"/>
        </w:rPr>
        <w:t>.</w:t>
      </w:r>
      <w:r>
        <w:rPr>
          <w:rFonts w:hint="eastAsia" w:cs="Times New Roman"/>
          <w:sz w:val="24"/>
          <w:lang w:val="en-US" w:eastAsia="zh-CN"/>
        </w:rPr>
        <w:t>21</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八、政府性基金预算支出决算情况说明</w:t>
      </w:r>
      <w:r>
        <w:rPr>
          <w:rFonts w:hint="eastAsia" w:ascii="Times New Roman" w:hAnsi="Times New Roman" w:eastAsia="宋体" w:cs="Times New Roman"/>
          <w:sz w:val="24"/>
          <w:lang w:val="en-US" w:eastAsia="zh-CN"/>
        </w:rPr>
        <w:t>.....</w:t>
      </w:r>
      <w:r>
        <w:rPr>
          <w:rFonts w:hint="eastAsia" w:cs="Times New Roman"/>
          <w:sz w:val="24"/>
          <w:lang w:val="en-US" w:eastAsia="zh-CN"/>
        </w:rPr>
        <w:t>..</w:t>
      </w:r>
      <w:r>
        <w:rPr>
          <w:rFonts w:hint="eastAsia" w:ascii="Times New Roman" w:hAnsi="Times New Roman" w:eastAsia="宋体" w:cs="Times New Roman"/>
          <w:sz w:val="24"/>
          <w:lang w:val="en-US" w:eastAsia="zh-CN"/>
        </w:rPr>
        <w:t>.......23</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九、国有资本经营预算支出决算情况说明</w:t>
      </w:r>
      <w:r>
        <w:rPr>
          <w:rFonts w:hint="eastAsia" w:ascii="Times New Roman" w:hAnsi="Times New Roman" w:eastAsia="宋体" w:cs="Times New Roman"/>
          <w:sz w:val="24"/>
          <w:lang w:val="en-US" w:eastAsia="zh-CN"/>
        </w:rPr>
        <w:t>..........2</w:t>
      </w:r>
      <w:r>
        <w:rPr>
          <w:rFonts w:hint="eastAsia" w:cs="Times New Roman"/>
          <w:sz w:val="24"/>
          <w:lang w:val="en-US" w:eastAsia="zh-CN"/>
        </w:rPr>
        <w:t>3</w:t>
      </w:r>
    </w:p>
    <w:p>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十、其他重要事项的情况说明</w:t>
      </w:r>
      <w:r>
        <w:rPr>
          <w:rFonts w:hint="eastAsia" w:ascii="Times New Roman" w:hAnsi="Times New Roman" w:eastAsia="宋体" w:cs="Times New Roman"/>
          <w:sz w:val="24"/>
          <w:lang w:val="en-US" w:eastAsia="zh-CN"/>
        </w:rPr>
        <w:t>..................</w:t>
      </w:r>
      <w:r>
        <w:rPr>
          <w:rFonts w:hint="eastAsia" w:cs="Times New Roman"/>
          <w:sz w:val="24"/>
          <w:lang w:val="en-US" w:eastAsia="zh-CN"/>
        </w:rPr>
        <w:t>..........</w:t>
      </w:r>
      <w:r>
        <w:rPr>
          <w:rFonts w:hint="eastAsia" w:ascii="Times New Roman" w:hAnsi="Times New Roman" w:eastAsia="宋体" w:cs="Times New Roman"/>
          <w:sz w:val="24"/>
          <w:lang w:val="en-US" w:eastAsia="zh-CN"/>
        </w:rPr>
        <w:t>..</w:t>
      </w:r>
      <w:r>
        <w:rPr>
          <w:rFonts w:hint="eastAsia" w:cs="Times New Roman"/>
          <w:sz w:val="24"/>
          <w:lang w:val="en-US" w:eastAsia="zh-CN"/>
        </w:rPr>
        <w:t>23</w:t>
      </w:r>
    </w:p>
    <w:p>
      <w:pPr>
        <w:pStyle w:val="14"/>
        <w:jc w:val="left"/>
        <w:rPr>
          <w:rFonts w:hint="default" w:cs="Times New Roman"/>
          <w:lang w:val="en-US" w:eastAsia="zh-CN"/>
        </w:rPr>
      </w:pPr>
      <w:r>
        <w:rPr>
          <w:rFonts w:hint="eastAsia" w:ascii="黑体" w:hAnsi="黑体" w:eastAsia="黑体" w:cs="黑体"/>
        </w:rPr>
        <w:t>第三部分 名词解释</w:t>
      </w:r>
      <w:r>
        <w:rPr>
          <w:rFonts w:hint="eastAsia" w:cs="Times New Roman"/>
          <w:lang w:val="en-US" w:eastAsia="zh-CN"/>
        </w:rPr>
        <w:t>..................................25</w:t>
      </w:r>
    </w:p>
    <w:p>
      <w:pPr>
        <w:pStyle w:val="14"/>
        <w:jc w:val="left"/>
        <w:rPr>
          <w:rFonts w:hint="default" w:eastAsia="黑体"/>
          <w:lang w:val="en-US"/>
        </w:rPr>
      </w:pPr>
      <w:r>
        <w:rPr>
          <w:rFonts w:hint="eastAsia" w:ascii="黑体" w:hAnsi="黑体" w:eastAsia="黑体" w:cs="黑体"/>
        </w:rPr>
        <w:t>第四部分 附件</w:t>
      </w:r>
      <w:r>
        <w:rPr>
          <w:rFonts w:hint="eastAsia" w:cs="Times New Roman"/>
          <w:lang w:val="en-US" w:eastAsia="zh-CN"/>
        </w:rPr>
        <w:t>......................................27</w:t>
      </w:r>
    </w:p>
    <w:p>
      <w:pPr>
        <w:pStyle w:val="14"/>
        <w:jc w:val="left"/>
        <w:rPr>
          <w:rFonts w:hint="default" w:cs="Times New Roman"/>
          <w:lang w:val="en-US" w:eastAsia="zh-CN"/>
        </w:rPr>
      </w:pPr>
      <w:r>
        <w:rPr>
          <w:rFonts w:hint="eastAsia" w:ascii="黑体" w:hAnsi="黑体" w:eastAsia="黑体" w:cs="黑体"/>
        </w:rPr>
        <w:t>第五部分 附表</w:t>
      </w:r>
      <w:r>
        <w:rPr>
          <w:rFonts w:hint="eastAsia" w:cs="Times New Roman"/>
          <w:lang w:val="en-US" w:eastAsia="zh-CN"/>
        </w:rPr>
        <w:t>......................................27</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一、收入支出决算总表</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二、收入决算表</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三、支出决算表</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四、财政拨款收入支出决算总表</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五、财政拨款支出决算明细表</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六、一般公共预算财政拨款支出决算表</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七、一般公共预算财政拨款支出决算明细表</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八、一般公共预算财政拨款基本支出决算表</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九、一般公共预算财政拨款项目支出决算表</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十、一般公共预算财政拨款“三公”经费支出决算表</w:t>
      </w:r>
    </w:p>
    <w:p>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十一、政府性基金预算财政拨款收入支出决算表</w:t>
      </w:r>
    </w:p>
    <w:p>
      <w:pPr>
        <w:pStyle w:val="15"/>
        <w:adjustRightInd w:val="0"/>
        <w:snapToGrid w:val="0"/>
        <w:spacing w:line="440" w:lineRule="exact"/>
        <w:jc w:val="left"/>
        <w:rPr>
          <w:sz w:val="24"/>
        </w:rPr>
      </w:pPr>
      <w:bookmarkStart w:id="6" w:name="_Toc15396599"/>
      <w:bookmarkStart w:id="7" w:name="_Toc15377196"/>
      <w:r>
        <w:rPr>
          <w:rFonts w:hint="eastAsia"/>
          <w:sz w:val="24"/>
        </w:rPr>
        <w:t>十二、国有资本经营预算财政拨款支出决算表</w:t>
      </w:r>
    </w:p>
    <w:p>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spacing w:line="600" w:lineRule="exact"/>
        <w:jc w:val="left"/>
        <w:rPr>
          <w:rFonts w:ascii="仿宋_GB2312" w:hAnsi="仿宋_GB2312" w:eastAsia="仿宋_GB2312" w:cs="仿宋_GB2312"/>
          <w:bCs/>
          <w:kern w:val="44"/>
          <w:sz w:val="32"/>
          <w:szCs w:val="32"/>
        </w:rPr>
      </w:pPr>
      <w:r>
        <w:rPr>
          <w:rFonts w:hint="eastAsia" w:ascii="仿宋_GB2312" w:hAnsi="仿宋_GB2312" w:eastAsia="仿宋_GB2312" w:cs="仿宋_GB2312"/>
          <w:b/>
          <w:sz w:val="32"/>
          <w:szCs w:val="32"/>
        </w:rPr>
        <w:br w:type="page"/>
      </w:r>
    </w:p>
    <w:p>
      <w:pPr>
        <w:pStyle w:val="3"/>
        <w:jc w:val="center"/>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第一部分 部门概况</w:t>
      </w:r>
      <w:bookmarkEnd w:id="6"/>
      <w:bookmarkEnd w:id="7"/>
    </w:p>
    <w:p>
      <w:pPr>
        <w:spacing w:line="600" w:lineRule="exact"/>
        <w:rPr>
          <w:rFonts w:ascii="仿宋_GB2312" w:hAnsi="仿宋_GB2312" w:eastAsia="仿宋_GB2312" w:cs="仿宋_GB2312"/>
          <w:sz w:val="32"/>
          <w:szCs w:val="32"/>
        </w:rPr>
      </w:pPr>
    </w:p>
    <w:p>
      <w:pPr>
        <w:pStyle w:val="4"/>
        <w:ind w:firstLine="640" w:firstLineChars="200"/>
        <w:rPr>
          <w:rFonts w:hint="eastAsia" w:ascii="黑体" w:hAnsi="黑体" w:eastAsia="黑体"/>
          <w:b w:val="0"/>
        </w:rPr>
      </w:pPr>
      <w:bookmarkStart w:id="8" w:name="_Toc15377197"/>
      <w:bookmarkStart w:id="9" w:name="_Toc15396600"/>
      <w:r>
        <w:rPr>
          <w:rFonts w:hint="eastAsia" w:ascii="黑体" w:hAnsi="黑体" w:eastAsia="黑体"/>
          <w:b w:val="0"/>
        </w:rPr>
        <w:t>一、</w:t>
      </w:r>
      <w:bookmarkEnd w:id="8"/>
      <w:bookmarkEnd w:id="9"/>
      <w:r>
        <w:rPr>
          <w:rFonts w:hint="eastAsia" w:ascii="黑体" w:hAnsi="黑体" w:eastAsia="黑体"/>
          <w:b w:val="0"/>
        </w:rPr>
        <w:t>部门职责</w:t>
      </w:r>
    </w:p>
    <w:p>
      <w:pPr>
        <w:spacing w:line="600" w:lineRule="exact"/>
        <w:ind w:firstLine="643" w:firstLineChars="200"/>
        <w:outlineLvl w:val="2"/>
        <w:rPr>
          <w:rFonts w:hint="eastAsia" w:ascii="楷体_GB2312" w:hAnsi="楷体_GB2312" w:eastAsia="楷体_GB2312" w:cs="楷体_GB2312"/>
          <w:b/>
          <w:sz w:val="32"/>
          <w:szCs w:val="32"/>
        </w:rPr>
      </w:pPr>
      <w:bookmarkStart w:id="10" w:name="_Toc15378445"/>
      <w:bookmarkStart w:id="11" w:name="_Toc15377198"/>
      <w:r>
        <w:rPr>
          <w:rFonts w:hint="eastAsia" w:ascii="楷体_GB2312" w:hAnsi="楷体_GB2312" w:eastAsia="楷体_GB2312" w:cs="楷体_GB2312"/>
          <w:b/>
          <w:sz w:val="32"/>
          <w:szCs w:val="32"/>
        </w:rPr>
        <w:t>（一）主要职能</w:t>
      </w:r>
      <w:bookmarkEnd w:id="10"/>
      <w:bookmarkEnd w:id="11"/>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统筹研究和组织实施全市“三农”工作的发展战略、中长期规划、重大决策。</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统筹实施乡村振兴战略，牵头组织改善全市农村人居环境。</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拟定深化全市农村经济体制改革和巩固完善农村基本经营制度的政策措施。</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指导全市乡村特色产业、农产品加工业（产地初加工）、休闲农业和乡村企业发展工作。</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负责全市种植业、畜牧业、渔业、农垦、农业机械化等农业各产业的监督管理。</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负责制定全市农业机械化、智能化、数字化发展规划并组织实施。</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负责全市农产品质量安全监督管理。</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组织开展全市农业资源区划和资源保护工作。</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负责全市有关农业生产资料和农业投入品的监督管理。</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负责全市农业防灾减灾、农作物重大病虫害防治工作。</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负责全市农业投资管理。</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负责全市农田建设管理。</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制定全市农业科研、农技推广的规划、计划和有关政策并组织实施，牵头推动农业科技体制改革和农业科技创新体系建设。</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指导全市农业农村人才工作。</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牵头开展全市农业对外合作工作。</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统筹协调和监督指导全市农业综合执法。</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贯彻执行国家扶贫开发和大中型水利水电工程扶贫开发法律法规和方针政策；负责拟定全市扶贫开发工作的中长期规划、年度计划，组织、协调、指导全市扶贫开发工作；负责扶贫开展项目和资金的管理工作。</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牵头组织农业博览和农产品展示展销活动。</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负责职责范围内的安全生产和职业健康、生态环境保护、审批服务便民化等工作。</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完成市委、市政府交办的其他工作。</w:t>
      </w:r>
    </w:p>
    <w:p>
      <w:pPr>
        <w:spacing w:line="600" w:lineRule="exact"/>
        <w:ind w:firstLine="640" w:firstLineChars="200"/>
        <w:rPr>
          <w:rFonts w:hint="eastAsia" w:ascii="楷体_GB2312" w:hAnsi="楷体_GB2312" w:eastAsia="楷体_GB2312" w:cs="楷体_GB2312"/>
          <w:sz w:val="32"/>
          <w:szCs w:val="32"/>
        </w:rPr>
      </w:pPr>
      <w:bookmarkStart w:id="12" w:name="_Toc15377199"/>
      <w:bookmarkStart w:id="13" w:name="_Toc15378446"/>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年重点工作完成情况</w:t>
      </w:r>
      <w:bookmarkEnd w:id="12"/>
      <w:bookmarkEnd w:id="13"/>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农业农村局认真贯彻落实中央、省、市关于“三农”工作系列决策部署，围绕峨眉山市委“1238”发展总体思路和“一核一带四区”空间布局，聚焦“1311”年度目标，扎实推进粮食生产、乡村振兴实绩考核等重点工作。</w:t>
      </w:r>
      <w:r>
        <w:rPr>
          <w:rFonts w:hint="eastAsia" w:ascii="仿宋_GB2312" w:hAnsi="仿宋_GB2312" w:eastAsia="仿宋_GB2312" w:cs="仿宋_GB2312"/>
          <w:sz w:val="32"/>
          <w:szCs w:val="32"/>
          <w:rtl w:val="0"/>
          <w:lang w:val="en-US" w:eastAsia="zh-CN"/>
        </w:rPr>
        <w:t>全年</w:t>
      </w:r>
      <w:r>
        <w:rPr>
          <w:rFonts w:hint="eastAsia" w:ascii="仿宋_GB2312" w:hAnsi="仿宋_GB2312" w:eastAsia="仿宋_GB2312" w:cs="仿宋_GB2312"/>
          <w:sz w:val="32"/>
          <w:szCs w:val="32"/>
          <w:lang w:val="en-US" w:eastAsia="zh-CN"/>
        </w:rPr>
        <w:t>实现第一产业增加值35.14亿元，居乐山第五位；增速为6.1%，居乐山第一位。农村居民人均可支配收入24684元，居乐山市第二位；增速为6.8%，居乐山市第四位，高出全省、乐山0.6、0.3个百分点。获评2022年度全国茶业百强县，成功纳入首批国家乡村振兴示范县创建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bookmarkStart w:id="14" w:name="_Toc15396601"/>
      <w:bookmarkStart w:id="15" w:name="_Toc15377200"/>
      <w:r>
        <w:rPr>
          <w:rFonts w:hint="eastAsia" w:ascii="黑体" w:hAnsi="黑体" w:eastAsia="黑体" w:cs="黑体"/>
          <w:sz w:val="32"/>
          <w:szCs w:val="32"/>
          <w:lang w:val="en-US" w:eastAsia="zh-CN"/>
        </w:rPr>
        <w:t>一、坚守粮食底线，推进现代农业发展</w:t>
      </w:r>
    </w:p>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baseline"/>
        <w:rPr>
          <w:rFonts w:hint="default" w:ascii="仿宋_GB2312" w:hAnsi="仿宋_GB2312" w:eastAsia="仿宋_GB2312" w:cs="仿宋_GB2312"/>
          <w:kern w:val="2"/>
          <w:sz w:val="32"/>
          <w:szCs w:val="32"/>
          <w:rtl w:val="0"/>
          <w:lang w:val="en-US" w:eastAsia="zh-CN" w:bidi="ar-SA"/>
        </w:rPr>
      </w:pPr>
      <w:r>
        <w:rPr>
          <w:rFonts w:hint="eastAsia" w:ascii="楷体_GB2312" w:hAnsi="楷体_GB2312" w:eastAsia="楷体_GB2312" w:cs="楷体_GB2312"/>
          <w:b w:val="0"/>
          <w:bCs w:val="0"/>
          <w:caps w:val="0"/>
          <w:kern w:val="2"/>
          <w:sz w:val="32"/>
          <w:szCs w:val="32"/>
          <w:rtl w:val="0"/>
          <w:lang w:val="en-US" w:eastAsia="zh-CN" w:bidi="ar-SA"/>
        </w:rPr>
        <w:t>（一）粮食生产能力稳步增长。</w:t>
      </w:r>
      <w:r>
        <w:rPr>
          <w:rFonts w:hint="eastAsia" w:ascii="仿宋_GB2312" w:hAnsi="仿宋_GB2312" w:eastAsia="仿宋_GB2312" w:cs="仿宋_GB2312"/>
          <w:kern w:val="2"/>
          <w:sz w:val="32"/>
          <w:szCs w:val="32"/>
          <w:rtl w:val="0"/>
          <w:lang w:val="en-US" w:eastAsia="zh-CN" w:bidi="ar-SA"/>
        </w:rPr>
        <w:t>坚决扛起粮食生产政治责任，</w:t>
      </w:r>
      <w:r>
        <w:rPr>
          <w:rFonts w:hint="eastAsia" w:ascii="仿宋_GB2312" w:hAnsi="仿宋_GB2312" w:eastAsia="仿宋_GB2312" w:cs="仿宋_GB2312"/>
          <w:kern w:val="2"/>
          <w:sz w:val="32"/>
          <w:szCs w:val="32"/>
          <w:lang w:val="en-US" w:eastAsia="zh-CN" w:bidi="ar-SA"/>
        </w:rPr>
        <w:t>深入贯彻落实“藏粮于地、藏粮于技”战略，新建成高标准农田4100亩，排查整治1年以上农户承包耕地撂荒931.94亩，大力推广大豆玉米带状复合种植等技术，农业主推技术到位率达96%，精准发放种粮、地力保护、农机购置等惠农补贴3420.25万元，确保粮食生产能力稳步增长。全年完成粮食播种面积28.15万亩、产量9.94万吨，其中小春面积3.89万亩、产量0.94万吨；大春面积24.26万亩、产量9万吨；大豆种植面积4.05万亩，超目标任务0.16万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（二）菜篮子供应量稳定充足。</w:t>
      </w:r>
      <w:r>
        <w:rPr>
          <w:rFonts w:hint="eastAsia" w:ascii="仿宋_GB2312" w:hAnsi="仿宋_GB2312" w:eastAsia="仿宋_GB2312" w:cs="仿宋_GB2312"/>
          <w:sz w:val="32"/>
          <w:szCs w:val="32"/>
          <w:rtl w:val="0"/>
          <w:lang w:val="en-US" w:eastAsia="zh-CN"/>
        </w:rPr>
        <w:t>全面落实“菜篮子”市长负责制，着力保障肉、菜、蛋、鱼、果等供给安全。2022年，全市生猪养殖规模场保有量达44个，全年生猪存栏12.06万头、能繁母猪存栏0.89万头、累计出栏18.06万头，同比增长13.03%、0.37%、1.86%；蔬菜面积21万亩、产量61.52万吨，位居全省前列；家禽出栏387.76万只，同比增长0.69%，禽蛋产量2.99万吨，同比增长4.31%；水产产量1600吨，同比增长5.1%；水果面积6.52万亩、产量6.16万吨。</w:t>
      </w:r>
    </w:p>
    <w:p>
      <w:pPr>
        <w:pStyle w:val="18"/>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caps w:val="0"/>
          <w:kern w:val="2"/>
          <w:sz w:val="32"/>
          <w:szCs w:val="32"/>
          <w:rtl w:val="0"/>
          <w:lang w:val="en-US" w:eastAsia="zh-CN" w:bidi="ar-SA"/>
        </w:rPr>
        <w:t>（三）茶叶主导优势成效显著。</w:t>
      </w:r>
      <w:r>
        <w:rPr>
          <w:rFonts w:hint="eastAsia" w:ascii="仿宋_GB2312" w:hAnsi="仿宋_GB2312" w:eastAsia="仿宋_GB2312" w:cs="仿宋_GB2312"/>
          <w:kern w:val="2"/>
          <w:sz w:val="32"/>
          <w:szCs w:val="32"/>
          <w:rtl w:val="0"/>
          <w:lang w:val="en-US" w:eastAsia="zh-CN" w:bidi="ar-SA"/>
        </w:rPr>
        <w:t>围绕创建全国茶业百强县，提升“峨眉山茶”品牌区域核心地位，落实茶产业“224”十四五发展战略，优化“一核一轴三片”空间布局，启动双福高山高端绿茶片区规划，推进双福高山绿茶加工园区、茶旅融合生态产业园、第二批国家农村产业融合发展示范园</w:t>
      </w:r>
      <w:r>
        <w:rPr>
          <w:rFonts w:hint="eastAsia" w:hAnsi="仿宋_GB2312" w:cs="仿宋_GB2312"/>
          <w:kern w:val="2"/>
          <w:sz w:val="32"/>
          <w:szCs w:val="32"/>
          <w:rtl w:val="0"/>
          <w:lang w:val="en-US" w:eastAsia="zh-CN" w:bidi="ar-SA"/>
        </w:rPr>
        <w:t>（</w:t>
      </w:r>
      <w:r>
        <w:rPr>
          <w:rFonts w:hint="eastAsia" w:ascii="仿宋_GB2312" w:hAnsi="仿宋_GB2312" w:eastAsia="仿宋_GB2312" w:cs="仿宋_GB2312"/>
          <w:kern w:val="2"/>
          <w:sz w:val="32"/>
          <w:szCs w:val="32"/>
          <w:rtl w:val="0"/>
          <w:lang w:val="en-US" w:eastAsia="zh-CN" w:bidi="ar-SA"/>
        </w:rPr>
        <w:t>二期）专项债项目及中央资金国家农村产业融合发展示范园等项目建设，推进基地提质、加工链条延伸、市场交易扩容、茶旅深度融合。全市茶叶基地23.22万亩，鲜叶产量10.7万吨、干茶产量2.38万吨，鲜叶产值9.5亿元、干茶产值12.58亿元。组织竹叶青、峨眉雪芽等20余家企业，积极参加中国</w:t>
      </w:r>
      <w:r>
        <w:rPr>
          <w:rFonts w:hint="eastAsia" w:hAnsi="仿宋_GB2312" w:cs="仿宋_GB2312"/>
          <w:kern w:val="2"/>
          <w:sz w:val="32"/>
          <w:szCs w:val="32"/>
          <w:rtl w:val="0"/>
          <w:lang w:val="en-US" w:eastAsia="zh-CN" w:bidi="ar-SA"/>
        </w:rPr>
        <w:t>（</w:t>
      </w:r>
      <w:r>
        <w:rPr>
          <w:rFonts w:hint="eastAsia" w:ascii="仿宋_GB2312" w:hAnsi="仿宋_GB2312" w:eastAsia="仿宋_GB2312" w:cs="仿宋_GB2312"/>
          <w:kern w:val="2"/>
          <w:sz w:val="32"/>
          <w:szCs w:val="32"/>
          <w:rtl w:val="0"/>
          <w:lang w:val="en-US" w:eastAsia="zh-CN" w:bidi="ar-SA"/>
        </w:rPr>
        <w:t>澳门</w:t>
      </w:r>
      <w:r>
        <w:rPr>
          <w:rFonts w:hint="eastAsia" w:hAnsi="仿宋_GB2312" w:cs="仿宋_GB2312"/>
          <w:kern w:val="2"/>
          <w:sz w:val="32"/>
          <w:szCs w:val="32"/>
          <w:rtl w:val="0"/>
          <w:lang w:val="en-US" w:eastAsia="zh-CN" w:bidi="ar-SA"/>
        </w:rPr>
        <w:t>）</w:t>
      </w:r>
      <w:r>
        <w:rPr>
          <w:rFonts w:hint="eastAsia" w:ascii="仿宋_GB2312" w:hAnsi="仿宋_GB2312" w:eastAsia="仿宋_GB2312" w:cs="仿宋_GB2312"/>
          <w:kern w:val="2"/>
          <w:sz w:val="32"/>
          <w:szCs w:val="32"/>
          <w:rtl w:val="0"/>
          <w:lang w:val="en-US" w:eastAsia="zh-CN" w:bidi="ar-SA"/>
        </w:rPr>
        <w:t>国际高品质消费博览会、四川国际茶业博览会、农博会等行业展会，“峨眉山茶”影响力不断扩大，区域品牌价值达41.76亿元，跻身2022中国绿茶区域公用品牌价值前十强。全市茶业综合产值达140亿元，名列“2022年度茶业百强县域”榜单前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（四）现代农业园区提质增效。</w:t>
      </w:r>
      <w:r>
        <w:rPr>
          <w:rFonts w:hint="eastAsia" w:ascii="仿宋_GB2312" w:hAnsi="仿宋_GB2312" w:eastAsia="仿宋_GB2312" w:cs="仿宋_GB2312"/>
          <w:sz w:val="32"/>
          <w:szCs w:val="32"/>
          <w:rtl w:val="0"/>
          <w:lang w:val="en-US" w:eastAsia="zh-CN"/>
        </w:rPr>
        <w:t>科学编制《峨眉山市“十四五”推进农业农村现代化规划》及环峨眉山康养片区、峨眉南山度假片区等4个乡镇级片区农业现代化专项规划，以片区拉练为契机，梯次构建国家、省、市、县现代农业园区，推动茶叶、蔬菜、水果、中药材等多元产业体系高质量发展。2022年，成功创建县级园区2个、市级园区1个，全市拥有各级园区16个，其中国家级园区1个、市级园区5个、县级园区10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二、巩固脱贫成果，加速衔接乡村振兴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（一）帮扶政策保持全面稳定。</w:t>
      </w:r>
      <w:r>
        <w:rPr>
          <w:rFonts w:hint="eastAsia" w:ascii="仿宋_GB2312" w:hAnsi="仿宋_GB2312" w:eastAsia="仿宋_GB2312" w:cs="仿宋_GB2312"/>
          <w:sz w:val="32"/>
          <w:szCs w:val="32"/>
          <w:rtl w:val="0"/>
          <w:lang w:val="en-US" w:eastAsia="zh-CN"/>
        </w:rPr>
        <w:t>对标“四个不摘”要求，优化调整衔接帮扶政策，形成“1+47”帮扶政策体系，涵盖“两不愁三保障”、安全饮水、防返贫致贫、财政投入、产业发展、金融帮扶、消费帮扶、生态保护等29个方面，过渡衔接期主要帮扶政策保持稳定，脱贫群众收入持续增长，实现年人均纯收入14012元，同比增长13.5%，顺利通过省级脱贫攻坚后评估实地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（二）动态监测帮扶精准落实。</w:t>
      </w:r>
      <w:r>
        <w:rPr>
          <w:rFonts w:hint="eastAsia" w:ascii="仿宋_GB2312" w:hAnsi="仿宋_GB2312" w:eastAsia="仿宋_GB2312" w:cs="仿宋_GB2312"/>
          <w:sz w:val="32"/>
          <w:szCs w:val="32"/>
          <w:rtl w:val="0"/>
          <w:lang w:val="en-US" w:eastAsia="zh-CN"/>
        </w:rPr>
        <w:t>建立部门联动风险信息筛查机制，形成县级统筹、乡镇主责、村组主体的监测帮扶网格化体系，落实监测网格员、入户核查员、监测帮扶员、防贫监测员2026名，精准开展防返贫动态监测帮扶。全年累计研判各类风险线索2.1万余条，入户核查农户8523户，新增监测对象33户92人，针对性落实措施95个，帮助1959户脱贫户发展产业，指导脱贫人口3551人外出务工，发放小额信贷贴息25.03万元、“雨露计划”补助资金29.4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（三）财政衔接资金高效使用。</w:t>
      </w:r>
      <w:r>
        <w:rPr>
          <w:rFonts w:hint="eastAsia" w:ascii="仿宋_GB2312" w:hAnsi="仿宋_GB2312" w:eastAsia="仿宋_GB2312" w:cs="仿宋_GB2312"/>
          <w:sz w:val="32"/>
          <w:szCs w:val="32"/>
          <w:rtl w:val="0"/>
          <w:lang w:val="en-US" w:eastAsia="zh-CN"/>
        </w:rPr>
        <w:t>突出项目牵引作用，着力提升农村基础设施，夯实产业发展基础，加速衔接乡村振兴。全年落实财政衔接推进乡村振兴补助资金6173.7万元，其中中央资金292万元、省级资金2280万元、乐山市级资金501.7万元、本级资金3100万元，精准实施道路整治、供水保障、场镇提升、集体经济、园区建设等项目50个。截至12月底，已完工项目44个，拨付（或正在拨付）资金</w:t>
      </w:r>
      <w:r>
        <w:rPr>
          <w:rFonts w:hint="eastAsia" w:ascii="仿宋_GB2312" w:hAnsi="仿宋_GB2312" w:eastAsia="仿宋_GB2312" w:cs="仿宋_GB2312"/>
          <w:sz w:val="32"/>
          <w:szCs w:val="32"/>
          <w:lang w:val="en-US" w:eastAsia="zh-CN"/>
        </w:rPr>
        <w:t>5534.72</w:t>
      </w:r>
      <w:r>
        <w:rPr>
          <w:rFonts w:hint="eastAsia" w:ascii="仿宋_GB2312" w:hAnsi="仿宋_GB2312" w:eastAsia="仿宋_GB2312" w:cs="仿宋_GB2312"/>
          <w:sz w:val="32"/>
          <w:szCs w:val="32"/>
        </w:rPr>
        <w:t>万元、资金拨付率</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三、践行生态理念，建设美丽宜居乡村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（一）人居环境整治有序推进。</w:t>
      </w:r>
      <w:r>
        <w:rPr>
          <w:rFonts w:hint="eastAsia" w:ascii="仿宋_GB2312" w:hAnsi="仿宋_GB2312" w:eastAsia="仿宋_GB2312" w:cs="仿宋_GB2312"/>
          <w:sz w:val="32"/>
          <w:szCs w:val="32"/>
          <w:rtl w:val="0"/>
          <w:lang w:val="en-US" w:eastAsia="zh-CN"/>
        </w:rPr>
        <w:t>编制南山度假片区、环峨眉山康养片区、九里绿色材料片区、双福峨眉山茶片区农村人居环境整治规划专页。完成农村“厕所革命”整村推进示范村建设7个、新（改）建户用无害化卫生厕所2987户，农村户用无害化卫生厕所普及率88.9%。深入推进农村“五清”行动，累计清理河道10236公里、堰渠7886公里、沟渠10516公里、道路29542公里、庭院90468户，拆除彩钢棚、废弃农业设施、残垣断壁、废旧农房共计146处。投入项目资金905万元，实施场镇建设提升项目13个，结合片区拉练，着力提升基础、优化环境、布局农旅、打造亮点，呈现出高桥寨子、桂花桥农业大公园、绥山荷叶、赵河等一批农旅融合美丽乡村。</w:t>
      </w:r>
    </w:p>
    <w:p>
      <w:pPr>
        <w:pStyle w:val="10"/>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2"/>
          <w:rtl w:val="0"/>
          <w:lang w:val="en-US" w:eastAsia="zh-CN" w:bidi="ar-SA"/>
        </w:rPr>
      </w:pPr>
      <w:r>
        <w:rPr>
          <w:rFonts w:hint="eastAsia" w:ascii="楷体_GB2312" w:hAnsi="楷体_GB2312" w:eastAsia="楷体_GB2312" w:cs="楷体_GB2312"/>
          <w:b w:val="0"/>
          <w:bCs w:val="0"/>
          <w:caps w:val="0"/>
          <w:kern w:val="2"/>
          <w:sz w:val="32"/>
          <w:szCs w:val="32"/>
          <w:rtl w:val="0"/>
          <w:lang w:val="en-US" w:eastAsia="zh-CN" w:bidi="ar-SA"/>
        </w:rPr>
        <w:t>（二）农业面源污染持续改善。</w:t>
      </w:r>
      <w:r>
        <w:rPr>
          <w:rFonts w:hint="eastAsia" w:ascii="仿宋_GB2312" w:hAnsi="仿宋_GB2312" w:eastAsia="仿宋_GB2312" w:cs="仿宋_GB2312"/>
          <w:kern w:val="2"/>
          <w:sz w:val="32"/>
          <w:szCs w:val="32"/>
          <w:rtl w:val="0"/>
          <w:lang w:val="en-US" w:eastAsia="zh-CN" w:bidi="ar-SA"/>
        </w:rPr>
        <w:t>严格落实禁烧工作，优化大小春季节秸秆综合利用技术，秸秆综合利用率达96.68%。加大畜禽养殖污染日常巡查力度，推广种养循环技术，畜禽粪污综合利用率88.2%。设立农业固体废物回收点35个，回收农药包装600余万个，废旧农膜238.5吨，农业固体废物回收率94.6%。建立农药肥料使用固定监测点75个，开展三大粮食作物肥料利用率田间试验1个、2+X肥效试验3个，实现化肥农药使用零增长。</w:t>
      </w:r>
    </w:p>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600" w:lineRule="exact"/>
        <w:ind w:right="0" w:rightChars="0" w:firstLine="640" w:firstLineChars="200"/>
        <w:jc w:val="both"/>
        <w:textAlignment w:val="baseline"/>
        <w:rPr>
          <w:rFonts w:hint="eastAsia" w:ascii="仿宋_GB2312" w:hAnsi="仿宋_GB2312" w:eastAsia="仿宋_GB2312" w:cs="仿宋_GB2312"/>
          <w:kern w:val="2"/>
          <w:sz w:val="32"/>
          <w:szCs w:val="32"/>
          <w:rtl w:val="0"/>
          <w:lang w:val="en-US" w:eastAsia="zh-CN" w:bidi="ar-SA"/>
        </w:rPr>
      </w:pPr>
      <w:r>
        <w:rPr>
          <w:rFonts w:hint="eastAsia" w:ascii="楷体_GB2312" w:hAnsi="楷体_GB2312" w:eastAsia="楷体_GB2312" w:cs="楷体_GB2312"/>
          <w:b w:val="0"/>
          <w:bCs w:val="0"/>
          <w:caps w:val="0"/>
          <w:kern w:val="2"/>
          <w:sz w:val="32"/>
          <w:szCs w:val="32"/>
          <w:rtl w:val="0"/>
          <w:lang w:val="en-US" w:eastAsia="zh-CN" w:bidi="ar-SA"/>
        </w:rPr>
        <w:t>（三）十年禁渔取得阶段成果。</w:t>
      </w:r>
      <w:r>
        <w:rPr>
          <w:rFonts w:hint="eastAsia" w:ascii="仿宋_GB2312" w:hAnsi="仿宋_GB2312" w:eastAsia="仿宋_GB2312" w:cs="仿宋_GB2312"/>
          <w:kern w:val="2"/>
          <w:sz w:val="32"/>
          <w:szCs w:val="32"/>
          <w:rtl w:val="0"/>
          <w:lang w:val="en-US" w:eastAsia="zh-CN" w:bidi="ar-SA"/>
        </w:rPr>
        <w:t>开展“春季禁渔”</w:t>
      </w:r>
      <w:r>
        <w:rPr>
          <w:rFonts w:hint="default" w:ascii="仿宋_GB2312" w:hAnsi="仿宋_GB2312" w:eastAsia="仿宋_GB2312" w:cs="仿宋_GB2312"/>
          <w:kern w:val="2"/>
          <w:sz w:val="32"/>
          <w:szCs w:val="32"/>
          <w:rtl w:val="0"/>
          <w:lang w:val="en-US" w:eastAsia="zh-CN" w:bidi="ar-SA"/>
        </w:rPr>
        <w:t>“护渔百日联合行动”“五一专项执法”“护渔亮剑”</w:t>
      </w:r>
      <w:r>
        <w:rPr>
          <w:rFonts w:hint="eastAsia" w:ascii="仿宋_GB2312" w:hAnsi="仿宋_GB2312" w:eastAsia="仿宋_GB2312" w:cs="仿宋_GB2312"/>
          <w:kern w:val="2"/>
          <w:sz w:val="32"/>
          <w:szCs w:val="32"/>
          <w:rtl w:val="0"/>
          <w:lang w:val="en-US" w:eastAsia="zh-CN" w:bidi="ar-SA"/>
        </w:rPr>
        <w:t>等</w:t>
      </w:r>
      <w:r>
        <w:rPr>
          <w:rFonts w:hint="default" w:ascii="仿宋_GB2312" w:hAnsi="仿宋_GB2312" w:eastAsia="仿宋_GB2312" w:cs="仿宋_GB2312"/>
          <w:kern w:val="2"/>
          <w:sz w:val="32"/>
          <w:szCs w:val="32"/>
          <w:rtl w:val="0"/>
          <w:lang w:val="en-US" w:eastAsia="zh-CN" w:bidi="ar-SA"/>
        </w:rPr>
        <w:t>系列专项执法行动，</w:t>
      </w:r>
      <w:r>
        <w:rPr>
          <w:rFonts w:hint="eastAsia" w:ascii="仿宋_GB2312" w:hAnsi="仿宋_GB2312" w:eastAsia="仿宋_GB2312" w:cs="仿宋_GB2312"/>
          <w:kern w:val="2"/>
          <w:sz w:val="32"/>
          <w:szCs w:val="32"/>
          <w:rtl w:val="0"/>
          <w:lang w:val="en-US" w:eastAsia="zh-CN" w:bidi="ar-SA"/>
        </w:rPr>
        <w:t>累计清理取缔违规网具</w:t>
      </w:r>
      <w:r>
        <w:rPr>
          <w:rFonts w:hint="default" w:ascii="仿宋_GB2312" w:hAnsi="仿宋_GB2312" w:eastAsia="仿宋_GB2312" w:cs="仿宋_GB2312"/>
          <w:kern w:val="2"/>
          <w:sz w:val="32"/>
          <w:szCs w:val="32"/>
          <w:rtl w:val="0"/>
          <w:lang w:val="en-US" w:eastAsia="zh-CN" w:bidi="ar-SA"/>
        </w:rPr>
        <w:t>30</w:t>
      </w:r>
      <w:r>
        <w:rPr>
          <w:rFonts w:hint="eastAsia" w:ascii="仿宋_GB2312" w:hAnsi="仿宋_GB2312" w:eastAsia="仿宋_GB2312" w:cs="仿宋_GB2312"/>
          <w:kern w:val="2"/>
          <w:sz w:val="32"/>
          <w:szCs w:val="32"/>
          <w:rtl w:val="0"/>
          <w:lang w:val="en-US" w:eastAsia="zh-CN" w:bidi="ar-SA"/>
        </w:rPr>
        <w:t>张（顶），暂扣违规钓具293个，劝离钓鱼人员</w:t>
      </w:r>
      <w:r>
        <w:rPr>
          <w:rFonts w:hint="default" w:ascii="仿宋_GB2312" w:hAnsi="仿宋_GB2312" w:eastAsia="仿宋_GB2312" w:cs="仿宋_GB2312"/>
          <w:kern w:val="2"/>
          <w:sz w:val="32"/>
          <w:szCs w:val="32"/>
          <w:rtl w:val="0"/>
          <w:lang w:val="en-US" w:eastAsia="zh-CN" w:bidi="ar-SA"/>
        </w:rPr>
        <w:t>20</w:t>
      </w:r>
      <w:r>
        <w:rPr>
          <w:rFonts w:hint="eastAsia" w:ascii="仿宋_GB2312" w:hAnsi="仿宋_GB2312" w:eastAsia="仿宋_GB2312" w:cs="仿宋_GB2312"/>
          <w:kern w:val="2"/>
          <w:sz w:val="32"/>
          <w:szCs w:val="32"/>
          <w:rtl w:val="0"/>
          <w:lang w:val="en-US" w:eastAsia="zh-CN" w:bidi="ar-SA"/>
        </w:rPr>
        <w:t>59人，查办违规垂钓102起，处理非法捕捞水产品案件39起。组织集中销毁活动2次，销毁违法违规渔具281张（个顶）。开展生态补偿6次，放生渔获物24500尾。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tl w:val="0"/>
          <w:lang w:val="en-US" w:eastAsia="zh-CN"/>
        </w:rPr>
      </w:pPr>
      <w:r>
        <w:rPr>
          <w:rFonts w:hint="eastAsia" w:ascii="黑体" w:hAnsi="黑体" w:eastAsia="黑体" w:cs="黑体"/>
          <w:sz w:val="32"/>
          <w:szCs w:val="32"/>
          <w:rtl w:val="0"/>
          <w:lang w:val="en-US" w:eastAsia="zh-CN"/>
        </w:rPr>
        <w:t>四、深化农村改革，激发农村发展活力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（一）集体经济不断发展壮大。</w:t>
      </w:r>
      <w:r>
        <w:rPr>
          <w:rFonts w:hint="eastAsia" w:ascii="仿宋_GB2312" w:hAnsi="仿宋_GB2312" w:eastAsia="仿宋_GB2312" w:cs="仿宋_GB2312"/>
          <w:sz w:val="32"/>
          <w:szCs w:val="32"/>
          <w:rtl w:val="0"/>
          <w:lang w:val="en-US" w:eastAsia="zh-CN"/>
        </w:rPr>
        <w:t>依托集体产权制度改革试点县成果，深挖各村发展优势，引导区位相邻、资源相似、产业相联的镇村联合策划，通过集体联营、资源联动、企业联带、金融联扶等方式，逐渐形成物业经济、资源经济、服务经济、抱团经济、飞地经济等五大发展模式，有效盘活农村活闲置资源资产。2022年，全市128个村集体经济收入达2082万元，同比增长41.5%，集体经济收入达3万元以上的村占比达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（二）新型农业主体培育培强。</w:t>
      </w:r>
      <w:r>
        <w:rPr>
          <w:rFonts w:hint="eastAsia" w:ascii="仿宋_GB2312" w:hAnsi="仿宋_GB2312" w:eastAsia="仿宋_GB2312" w:cs="仿宋_GB2312"/>
          <w:sz w:val="32"/>
          <w:szCs w:val="32"/>
          <w:rtl w:val="0"/>
          <w:lang w:val="en-US" w:eastAsia="zh-CN"/>
        </w:rPr>
        <w:t>持续开展深化家庭农场和农民合作社带头人职业化试点工作，遴选试点人员80人，支持适度扩大生产项目15个。实施高素质农民培育项目，开展农村家庭能人培训，累计培训2745余人次。新培育家庭农场156个、农民合作社7个、市级龙头企业5家，全市现有家庭农场849个、农民合作社454个、市级以上</w:t>
      </w:r>
      <w:r>
        <w:rPr>
          <w:rFonts w:hint="default" w:ascii="仿宋_GB2312" w:hAnsi="仿宋_GB2312" w:eastAsia="仿宋_GB2312" w:cs="仿宋_GB2312"/>
          <w:sz w:val="32"/>
          <w:szCs w:val="32"/>
          <w:rtl w:val="0"/>
          <w:lang w:val="en-US" w:eastAsia="zh-CN"/>
        </w:rPr>
        <w:t>龙头企业</w:t>
      </w:r>
      <w:r>
        <w:rPr>
          <w:rFonts w:hint="eastAsia" w:ascii="仿宋_GB2312" w:hAnsi="仿宋_GB2312" w:eastAsia="仿宋_GB2312" w:cs="仿宋_GB2312"/>
          <w:sz w:val="32"/>
          <w:szCs w:val="32"/>
          <w:rtl w:val="0"/>
          <w:lang w:val="en-US" w:eastAsia="zh-CN"/>
        </w:rPr>
        <w:t>24</w:t>
      </w:r>
      <w:r>
        <w:rPr>
          <w:rFonts w:hint="default" w:ascii="仿宋_GB2312" w:hAnsi="仿宋_GB2312" w:eastAsia="仿宋_GB2312" w:cs="仿宋_GB2312"/>
          <w:sz w:val="32"/>
          <w:szCs w:val="32"/>
          <w:rtl w:val="0"/>
          <w:lang w:val="en-US" w:eastAsia="zh-CN"/>
        </w:rPr>
        <w:t>家</w:t>
      </w:r>
      <w:r>
        <w:rPr>
          <w:rFonts w:hint="eastAsia" w:ascii="仿宋_GB2312" w:hAnsi="仿宋_GB2312" w:eastAsia="仿宋_GB2312" w:cs="仿宋_GB2312"/>
          <w:sz w:val="32"/>
          <w:szCs w:val="32"/>
          <w:rtl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（三）金融服务不断优化创新。</w:t>
      </w:r>
      <w:r>
        <w:rPr>
          <w:rFonts w:hint="eastAsia" w:ascii="仿宋_GB2312" w:hAnsi="仿宋_GB2312" w:eastAsia="仿宋_GB2312" w:cs="仿宋_GB2312"/>
          <w:sz w:val="32"/>
          <w:szCs w:val="32"/>
          <w:rtl w:val="0"/>
          <w:lang w:val="en-US" w:eastAsia="zh-CN"/>
        </w:rPr>
        <w:t>加强与农发行等金融机构合作，成功申报峨眉山市国家农村产业融合示范园北部片区基础设施建设项目3200万元、峨眉山市茶旅融合生态产业园项目1.4亿元。设置1000万元茶产业发展基金，支持茶农、茶企发展。修订乡村振兴农业产业发展贷款风偿金制度，推动农村普惠金融发展，有效破解三农领域融资难题。全年支持发放农担贷款85笔，贷款金额达1.04亿元，其中支持3个村集体经济组织贷款370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rtl w:val="0"/>
          <w:lang w:val="en-US" w:eastAsia="zh-CN"/>
        </w:rPr>
      </w:pPr>
      <w:r>
        <w:rPr>
          <w:rFonts w:hint="eastAsia" w:ascii="黑体" w:hAnsi="黑体" w:eastAsia="黑体" w:cs="黑体"/>
          <w:sz w:val="32"/>
          <w:szCs w:val="32"/>
          <w:rtl w:val="0"/>
          <w:lang w:val="en-US" w:eastAsia="zh-CN"/>
        </w:rPr>
        <w:t>五、强化安全责任，筑牢农村安全屏障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（一）行业安全监管全面加强。</w:t>
      </w:r>
      <w:r>
        <w:rPr>
          <w:rFonts w:hint="eastAsia" w:ascii="仿宋_GB2312" w:hAnsi="仿宋_GB2312" w:eastAsia="仿宋_GB2312" w:cs="仿宋_GB2312"/>
          <w:sz w:val="32"/>
          <w:szCs w:val="32"/>
          <w:rtl w:val="0"/>
          <w:lang w:val="en-US" w:eastAsia="zh-CN"/>
        </w:rPr>
        <w:t>巩固国家农安县创建成果，严格落实安全生产责任制，持续开展“治违禁、控药残、促提升”三年专项整治行动。全年累计派出检查组147个，检查农业行业企业及生产经营主体748家次，及时消除安全隐患62个，移交并立案查处违法使用农兽药案件3件；累计抽检蔬菜、茶叶、食用菌和水果等农产品602批次，检测合格率98.84%；开展“瘦肉精”检测7791头份，全部为阴性。积极推进食用农产品合格证制度，共开具合格证120620张，附带合格证上市的农产品达16217.8吨。全年无安全生产和农产品质量安全事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tl w:val="0"/>
          <w:lang w:val="en-US" w:eastAsia="zh-CN"/>
        </w:rPr>
      </w:pPr>
      <w:r>
        <w:rPr>
          <w:rFonts w:hint="eastAsia" w:ascii="楷体_GB2312" w:hAnsi="楷体_GB2312" w:eastAsia="楷体_GB2312" w:cs="楷体_GB2312"/>
          <w:b w:val="0"/>
          <w:bCs w:val="0"/>
          <w:caps w:val="0"/>
          <w:kern w:val="2"/>
          <w:sz w:val="32"/>
          <w:szCs w:val="32"/>
          <w:rtl w:val="0"/>
          <w:lang w:val="en-US" w:eastAsia="zh-CN" w:bidi="ar-SA"/>
        </w:rPr>
        <w:t>（二）重大动物疫病防控有效。</w:t>
      </w:r>
      <w:r>
        <w:rPr>
          <w:rFonts w:hint="eastAsia" w:ascii="仿宋_GB2312" w:hAnsi="仿宋_GB2312" w:eastAsia="仿宋_GB2312" w:cs="仿宋_GB2312"/>
          <w:sz w:val="32"/>
          <w:szCs w:val="32"/>
          <w:rtl w:val="0"/>
          <w:lang w:val="en-US" w:eastAsia="zh-CN"/>
        </w:rPr>
        <w:t>扎实开展春秋两季重大动物疫病强制免疫和监测，严防非洲猪瘟等重大动物疫病的发生和流行，确保全市清净无疫。全年累计免疫猪口蹄疫17.17万头、牛羊口蹄疫1.14万头、猪瘟17.38万头、高致病性禽流感464.1万羽、羊小反刍兽疫0.76万头，狂犬病2.04万只，疫密度达100%，抗体合格率85%以上。</w:t>
      </w:r>
    </w:p>
    <w:p>
      <w:pPr>
        <w:pStyle w:val="18"/>
        <w:keepNext w:val="0"/>
        <w:keepLines w:val="0"/>
        <w:pageBreakBefore w:val="0"/>
        <w:kinsoku/>
        <w:wordWrap/>
        <w:overflowPunct/>
        <w:topLinePunct w:val="0"/>
        <w:autoSpaceDE/>
        <w:autoSpaceDN/>
        <w:bidi w:val="0"/>
        <w:adjustRightInd/>
        <w:snapToGrid/>
        <w:spacing w:line="600" w:lineRule="exact"/>
        <w:ind w:left="0" w:leftChars="0" w:firstLine="0" w:firstLineChars="0"/>
        <w:jc w:val="both"/>
        <w:rPr>
          <w:rFonts w:hint="eastAsia" w:ascii="仿宋_GB2312" w:hAnsi="仿宋_GB2312" w:eastAsia="仿宋_GB2312" w:cs="仿宋_GB2312"/>
          <w:kern w:val="2"/>
          <w:sz w:val="32"/>
          <w:szCs w:val="32"/>
          <w:rtl w:val="0"/>
          <w:lang w:val="en-US" w:eastAsia="zh-CN" w:bidi="ar-SA"/>
        </w:rPr>
      </w:pPr>
      <w:r>
        <w:rPr>
          <w:rFonts w:hint="eastAsia" w:ascii="楷体_GB2312" w:hAnsi="楷体_GB2312" w:eastAsia="楷体_GB2312" w:cs="楷体_GB2312"/>
          <w:b w:val="0"/>
          <w:bCs w:val="0"/>
          <w:caps w:val="0"/>
          <w:kern w:val="2"/>
          <w:sz w:val="32"/>
          <w:szCs w:val="32"/>
          <w:rtl w:val="0"/>
          <w:lang w:val="en-US" w:eastAsia="zh-CN" w:bidi="ar-SA"/>
        </w:rPr>
        <w:t xml:space="preserve">   （三）农村地区疫情防控有力。</w:t>
      </w:r>
      <w:r>
        <w:rPr>
          <w:rFonts w:hint="eastAsia" w:ascii="仿宋_GB2312" w:hAnsi="仿宋_GB2312" w:eastAsia="仿宋_GB2312" w:cs="仿宋_GB2312"/>
          <w:kern w:val="2"/>
          <w:sz w:val="32"/>
          <w:szCs w:val="32"/>
          <w:rtl w:val="0"/>
          <w:lang w:val="en-US" w:eastAsia="zh-CN" w:bidi="ar-SA"/>
        </w:rPr>
        <w:t>围绕农村地区疫情防控要求，抽派32名干部组成8个督导小组，深入农村地区开展常态化疫情防控督导，累计检查涉农单位、农业经营主体820个，发现并整改问题178个。针对11月底本土疫情的发生，及时抽调50余人奔赴一线参加核酸监测</w:t>
      </w:r>
      <w:bookmarkStart w:id="67" w:name="_GoBack"/>
      <w:bookmarkEnd w:id="67"/>
      <w:r>
        <w:rPr>
          <w:rFonts w:hint="eastAsia" w:ascii="仿宋_GB2312" w:hAnsi="仿宋_GB2312" w:eastAsia="仿宋_GB2312" w:cs="仿宋_GB2312"/>
          <w:kern w:val="2"/>
          <w:sz w:val="32"/>
          <w:szCs w:val="32"/>
          <w:rtl w:val="0"/>
          <w:lang w:val="en-US" w:eastAsia="zh-CN" w:bidi="ar-SA"/>
        </w:rPr>
        <w:t>等应急处置工作。</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p>
    <w:p>
      <w:pPr>
        <w:ind w:firstLine="800" w:firstLineChars="25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峨眉山市农业农村局部门预算单位1个，下属二级预算单位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独立法人单位10个，编制人数177人，其中：行政编制20人，机关工勤编制3人，事业编制154人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2022年我单位内设机构情况：共设有6个科（股）室，分别为办公室、市委农办秘书股、畜牧渔业管理股、乡村建设股、产业发展股、农业安全监管股。</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jc w:val="center"/>
      </w:pPr>
      <w:bookmarkStart w:id="16" w:name="_Toc15377204"/>
      <w:bookmarkStart w:id="17" w:name="_Toc15396602"/>
      <w:r>
        <w:rPr>
          <w:rFonts w:hint="eastAsia" w:ascii="方正小标宋简体" w:hAnsi="方正小标宋简体" w:eastAsia="方正小标宋简体" w:cs="方正小标宋简体"/>
          <w:b w:val="0"/>
        </w:rPr>
        <w:t>第二部分 202</w:t>
      </w:r>
      <w:r>
        <w:rPr>
          <w:rFonts w:hint="eastAsia" w:ascii="方正小标宋简体" w:hAnsi="方正小标宋简体" w:eastAsia="方正小标宋简体" w:cs="方正小标宋简体"/>
          <w:b w:val="0"/>
          <w:lang w:val="en-US" w:eastAsia="zh-CN"/>
        </w:rPr>
        <w:t>2</w:t>
      </w:r>
      <w:r>
        <w:rPr>
          <w:rFonts w:hint="eastAsia" w:ascii="方正小标宋简体" w:hAnsi="方正小标宋简体" w:eastAsia="方正小标宋简体" w:cs="方正小标宋简体"/>
          <w:b w:val="0"/>
        </w:rPr>
        <w:t>年度部门决算情况说明</w:t>
      </w:r>
      <w:bookmarkEnd w:id="16"/>
      <w:bookmarkEnd w:id="17"/>
    </w:p>
    <w:p>
      <w:pPr>
        <w:pStyle w:val="31"/>
        <w:numPr>
          <w:ilvl w:val="0"/>
          <w:numId w:val="0"/>
        </w:numPr>
        <w:spacing w:line="600" w:lineRule="exact"/>
        <w:ind w:left="1360" w:leftChars="0" w:hanging="720" w:firstLineChars="0"/>
        <w:outlineLvl w:val="1"/>
        <w:rPr>
          <w:rFonts w:hint="eastAsia" w:ascii="黑体" w:hAnsi="黑体" w:eastAsia="黑体" w:cs="Times New Roman"/>
          <w:sz w:val="32"/>
          <w:szCs w:val="32"/>
        </w:rPr>
      </w:pPr>
      <w:bookmarkStart w:id="18" w:name="_Toc15396603"/>
      <w:bookmarkStart w:id="19" w:name="_Toc15377205"/>
      <w:r>
        <w:rPr>
          <w:rFonts w:hint="default" w:ascii="黑体" w:hAnsi="黑体" w:eastAsia="黑体" w:cs="Times New Roman"/>
          <w:b w:val="0"/>
          <w:kern w:val="2"/>
          <w:sz w:val="32"/>
          <w:szCs w:val="32"/>
          <w:lang w:val="en-US" w:eastAsia="zh-CN" w:bidi="ar-SA"/>
        </w:rPr>
        <w:t>一、</w:t>
      </w:r>
      <w:r>
        <w:rPr>
          <w:rFonts w:hint="eastAsia" w:ascii="黑体" w:hAnsi="黑体" w:eastAsia="黑体" w:cs="Times New Roman"/>
          <w:sz w:val="32"/>
          <w:szCs w:val="32"/>
        </w:rPr>
        <w:t>收入支出决算总体情况说明</w:t>
      </w:r>
      <w:bookmarkEnd w:id="18"/>
      <w:bookmarkEnd w:id="19"/>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2022年度收、支总计</w:t>
      </w:r>
      <w:r>
        <w:rPr>
          <w:rFonts w:hint="eastAsia" w:ascii="仿宋_GB2312" w:hAnsi="仿宋_GB2312" w:eastAsia="仿宋_GB2312" w:cs="仿宋_GB2312"/>
          <w:sz w:val="32"/>
          <w:szCs w:val="32"/>
          <w:lang w:val="en-US" w:eastAsia="zh-CN"/>
        </w:rPr>
        <w:t>45,964.94</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年相比，收、支总计</w:t>
      </w:r>
      <w:r>
        <w:rPr>
          <w:rFonts w:hint="eastAsia" w:ascii="仿宋_GB2312" w:hAnsi="仿宋_GB2312" w:eastAsia="仿宋_GB2312" w:cs="仿宋_GB2312"/>
          <w:sz w:val="32"/>
          <w:szCs w:val="32"/>
          <w:lang w:val="en-US" w:eastAsia="zh-CN"/>
        </w:rPr>
        <w:t>增加7,067.99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增长18.18</w:t>
      </w:r>
      <w:r>
        <w:rPr>
          <w:rFonts w:hint="eastAsia" w:ascii="仿宋_GB2312" w:hAnsi="仿宋_GB2312" w:eastAsia="仿宋_GB2312" w:cs="仿宋_GB2312"/>
          <w:sz w:val="32"/>
          <w:szCs w:val="32"/>
        </w:rPr>
        <w:t>%。主要变动原因是当年项目拨款收入和支出</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p>
    <w:p>
      <w:pPr>
        <w:pStyle w:val="4"/>
      </w:pPr>
      <w:r>
        <w:rPr>
          <w:rFonts w:hint="eastAsia"/>
        </w:rPr>
        <w:drawing>
          <wp:inline distT="0" distB="0" distL="114300" distR="114300">
            <wp:extent cx="5527040" cy="3810000"/>
            <wp:effectExtent l="4445" t="4445" r="1206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w:t>
      </w:r>
    </w:p>
    <w:p>
      <w:pPr>
        <w:pStyle w:val="4"/>
        <w:rPr>
          <w:rFonts w:ascii="仿宋_GB2312" w:hAnsi="仿宋_GB2312" w:eastAsia="仿宋_GB2312" w:cs="仿宋_GB2312"/>
        </w:rPr>
      </w:pPr>
    </w:p>
    <w:p/>
    <w:p>
      <w:pPr>
        <w:pStyle w:val="31"/>
        <w:numPr>
          <w:ilvl w:val="0"/>
          <w:numId w:val="0"/>
        </w:numPr>
        <w:spacing w:line="600" w:lineRule="exact"/>
        <w:ind w:left="1360" w:leftChars="0" w:hanging="720" w:firstLineChars="0"/>
        <w:outlineLvl w:val="1"/>
        <w:rPr>
          <w:rFonts w:hint="default" w:ascii="黑体" w:hAnsi="黑体" w:eastAsia="黑体" w:cs="Times New Roman"/>
          <w:b w:val="0"/>
          <w:kern w:val="2"/>
          <w:sz w:val="32"/>
          <w:szCs w:val="32"/>
          <w:lang w:val="en-US" w:eastAsia="zh-CN" w:bidi="ar-SA"/>
        </w:rPr>
      </w:pPr>
      <w:bookmarkStart w:id="20" w:name="_Toc15396604"/>
      <w:bookmarkStart w:id="21" w:name="_Toc15377206"/>
    </w:p>
    <w:p>
      <w:pPr>
        <w:pStyle w:val="31"/>
        <w:numPr>
          <w:ilvl w:val="0"/>
          <w:numId w:val="0"/>
        </w:numPr>
        <w:spacing w:line="600" w:lineRule="exact"/>
        <w:ind w:firstLine="640" w:firstLineChars="200"/>
        <w:outlineLvl w:val="1"/>
        <w:rPr>
          <w:rFonts w:hint="eastAsia" w:ascii="黑体" w:hAnsi="黑体" w:eastAsia="黑体" w:cs="Times New Roman"/>
          <w:sz w:val="32"/>
          <w:szCs w:val="32"/>
        </w:rPr>
      </w:pPr>
      <w:r>
        <w:rPr>
          <w:rFonts w:hint="default" w:ascii="黑体" w:hAnsi="黑体" w:eastAsia="黑体" w:cs="Times New Roman"/>
          <w:b w:val="0"/>
          <w:kern w:val="2"/>
          <w:sz w:val="32"/>
          <w:szCs w:val="32"/>
          <w:lang w:val="en-US" w:eastAsia="zh-CN" w:bidi="ar-SA"/>
        </w:rPr>
        <w:t>二、</w:t>
      </w:r>
      <w:r>
        <w:rPr>
          <w:rFonts w:hint="eastAsia" w:ascii="黑体" w:hAnsi="黑体" w:eastAsia="黑体" w:cs="Times New Roman"/>
          <w:sz w:val="32"/>
          <w:szCs w:val="32"/>
        </w:rPr>
        <w:t>收入决算情况说明</w:t>
      </w:r>
      <w:bookmarkEnd w:id="20"/>
      <w:bookmarkEnd w:id="21"/>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20,093.08</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10,903.31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54.27</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9,189.77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45.73</w:t>
      </w:r>
      <w:r>
        <w:rPr>
          <w:rFonts w:hint="eastAsia" w:ascii="仿宋_GB2312" w:hAnsi="仿宋_GB2312" w:eastAsia="仿宋_GB2312" w:cs="仿宋_GB2312"/>
          <w:sz w:val="32"/>
          <w:szCs w:val="32"/>
        </w:rPr>
        <w:t>%；国有资本经营预算财政拨款收入0万元，占0%；上级补助收入0万元，占0%；事业收入0万元，占0%；经营收入0万元，占0%；附属单位上缴收入0万元，占0%；其他收入0万元，占0%。</w:t>
      </w:r>
    </w:p>
    <w:p>
      <w:pPr>
        <w:spacing w:line="600" w:lineRule="exact"/>
        <w:ind w:firstLine="640" w:firstLineChars="200"/>
        <w:outlineLvl w:val="1"/>
        <w:rPr>
          <w:rFonts w:ascii="仿宋_GB2312" w:hAnsi="仿宋_GB2312" w:eastAsia="仿宋_GB2312" w:cs="仿宋_GB2312"/>
          <w:sz w:val="32"/>
          <w:szCs w:val="32"/>
        </w:rPr>
      </w:pPr>
    </w:p>
    <w:p>
      <w:pPr>
        <w:pStyle w:val="4"/>
        <w:rPr>
          <w:rFonts w:ascii="仿宋_GB2312" w:hAnsi="仿宋_GB2312" w:eastAsia="仿宋_GB2312" w:cs="仿宋_GB2312"/>
          <w:b w:val="0"/>
          <w:bCs w:val="0"/>
        </w:rPr>
      </w:pPr>
      <w:r>
        <w:rPr>
          <w:rFonts w:hint="eastAsia" w:ascii="仿宋_GB2312" w:hAnsi="仿宋_GB2312" w:eastAsia="仿宋_GB2312" w:cs="仿宋_GB2312"/>
          <w:b w:val="0"/>
          <w:bCs w:val="0"/>
        </w:rPr>
        <w:drawing>
          <wp:inline distT="0" distB="0" distL="114300" distR="114300">
            <wp:extent cx="5708650" cy="4171315"/>
            <wp:effectExtent l="5080" t="4445" r="20320" b="152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w:t>
      </w:r>
    </w:p>
    <w:p>
      <w:pPr>
        <w:pStyle w:val="31"/>
        <w:numPr>
          <w:ilvl w:val="0"/>
          <w:numId w:val="0"/>
        </w:numPr>
        <w:spacing w:line="600" w:lineRule="exact"/>
        <w:ind w:left="1360" w:leftChars="0" w:hanging="720" w:firstLineChars="0"/>
        <w:outlineLvl w:val="1"/>
        <w:rPr>
          <w:rFonts w:hint="eastAsia" w:ascii="黑体" w:hAnsi="黑体" w:eastAsia="黑体" w:cs="Times New Roman"/>
          <w:sz w:val="32"/>
          <w:szCs w:val="32"/>
        </w:rPr>
      </w:pPr>
      <w:bookmarkStart w:id="22" w:name="_Toc15396605"/>
      <w:bookmarkStart w:id="23" w:name="_Toc15377207"/>
      <w:r>
        <w:rPr>
          <w:rFonts w:hint="default" w:ascii="黑体" w:hAnsi="黑体" w:eastAsia="黑体" w:cs="Times New Roman"/>
          <w:b w:val="0"/>
          <w:kern w:val="2"/>
          <w:sz w:val="32"/>
          <w:szCs w:val="32"/>
          <w:lang w:val="en-US" w:eastAsia="zh-CN" w:bidi="ar-SA"/>
        </w:rPr>
        <w:t>三、</w:t>
      </w:r>
      <w:r>
        <w:rPr>
          <w:rFonts w:hint="eastAsia" w:ascii="黑体" w:hAnsi="黑体" w:eastAsia="黑体" w:cs="Times New Roman"/>
          <w:sz w:val="32"/>
          <w:szCs w:val="32"/>
        </w:rPr>
        <w:t>支出决算情况说明</w:t>
      </w:r>
      <w:bookmarkEnd w:id="22"/>
      <w:bookmarkEnd w:id="23"/>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25,871.86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3,649.05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14.10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22,222.81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85.90</w:t>
      </w:r>
      <w:r>
        <w:rPr>
          <w:rFonts w:hint="eastAsia" w:ascii="仿宋_GB2312" w:hAnsi="仿宋_GB2312" w:eastAsia="仿宋_GB2312" w:cs="仿宋_GB2312"/>
          <w:sz w:val="32"/>
          <w:szCs w:val="32"/>
        </w:rPr>
        <w:t>%；上缴上级支出0万元，占0%；经营支出0万元，占0%；对附属单位补助支出0万元，占0%。</w:t>
      </w:r>
    </w:p>
    <w:p>
      <w:pPr>
        <w:spacing w:line="600" w:lineRule="exact"/>
        <w:ind w:firstLine="640"/>
        <w:rPr>
          <w:rFonts w:ascii="仿宋_GB2312" w:hAnsi="仿宋_GB2312" w:eastAsia="仿宋_GB2312" w:cs="仿宋_GB2312"/>
          <w:bCs/>
          <w:sz w:val="32"/>
          <w:szCs w:val="32"/>
          <w:shd w:val="pct10" w:color="auto" w:fill="FFFFFF"/>
        </w:rPr>
      </w:pPr>
    </w:p>
    <w:p>
      <w:pPr>
        <w:pStyle w:val="4"/>
      </w:pPr>
      <w:r>
        <w:rPr>
          <w:rFonts w:hint="eastAsia" w:ascii="仿宋_GB2312" w:hAnsi="仿宋_GB2312" w:eastAsia="仿宋_GB2312" w:cs="仿宋_GB2312"/>
          <w:b w:val="0"/>
          <w:shd w:val="pct10" w:color="auto" w:fill="FFFFFF"/>
        </w:rPr>
        <w:drawing>
          <wp:inline distT="0" distB="0" distL="114300" distR="114300">
            <wp:extent cx="5641340" cy="3837940"/>
            <wp:effectExtent l="5080" t="4445" r="11430" b="57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pPr>
        <w:ind w:firstLine="800" w:firstLineChars="250"/>
        <w:rPr>
          <w:rFonts w:hint="eastAsia" w:ascii="仿宋_GB2312" w:hAnsi="仿宋_GB2312" w:eastAsia="仿宋_GB2312" w:cs="仿宋_GB2312"/>
          <w:sz w:val="32"/>
          <w:szCs w:val="32"/>
        </w:rPr>
      </w:pPr>
    </w:p>
    <w:p/>
    <w:p/>
    <w:p>
      <w:pPr>
        <w:spacing w:line="600" w:lineRule="exact"/>
        <w:outlineLvl w:val="1"/>
        <w:rPr>
          <w:rFonts w:hint="eastAsia" w:ascii="黑体" w:hAnsi="黑体" w:eastAsia="黑体" w:cs="Times New Roman"/>
          <w:sz w:val="32"/>
          <w:szCs w:val="32"/>
        </w:rPr>
      </w:pPr>
      <w:bookmarkStart w:id="24" w:name="_Toc15396606"/>
      <w:bookmarkStart w:id="25" w:name="_Toc15377208"/>
    </w:p>
    <w:p>
      <w:pPr>
        <w:spacing w:line="600" w:lineRule="exact"/>
        <w:ind w:firstLine="640" w:firstLineChars="200"/>
        <w:outlineLvl w:val="1"/>
        <w:rPr>
          <w:rFonts w:hint="eastAsia" w:ascii="黑体" w:hAnsi="黑体" w:eastAsia="黑体" w:cs="Times New Roman"/>
          <w:sz w:val="32"/>
          <w:szCs w:val="32"/>
        </w:rPr>
      </w:pPr>
      <w:r>
        <w:rPr>
          <w:rFonts w:hint="eastAsia" w:ascii="黑体" w:hAnsi="黑体" w:eastAsia="黑体" w:cs="Times New Roman"/>
          <w:sz w:val="32"/>
          <w:szCs w:val="32"/>
        </w:rPr>
        <w:t>四、财政拨款收入支出决算总体情况说明</w:t>
      </w:r>
      <w:bookmarkEnd w:id="24"/>
      <w:bookmarkEnd w:id="25"/>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45,964.94</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年相比，财政拨款收、支总计</w:t>
      </w:r>
      <w:r>
        <w:rPr>
          <w:rFonts w:hint="eastAsia" w:ascii="仿宋_GB2312" w:hAnsi="仿宋_GB2312" w:eastAsia="仿宋_GB2312" w:cs="仿宋_GB2312"/>
          <w:sz w:val="32"/>
          <w:szCs w:val="32"/>
          <w:lang w:val="en-US" w:eastAsia="zh-CN"/>
        </w:rPr>
        <w:t>增加7,067.99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增长18.18</w:t>
      </w:r>
      <w:r>
        <w:rPr>
          <w:rFonts w:hint="eastAsia" w:ascii="仿宋_GB2312" w:hAnsi="仿宋_GB2312" w:eastAsia="仿宋_GB2312" w:cs="仿宋_GB2312"/>
          <w:sz w:val="32"/>
          <w:szCs w:val="32"/>
        </w:rPr>
        <w:t>%。主要变动原因是当年项目拨款收入和支出</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sz w:val="32"/>
          <w:szCs w:val="32"/>
        </w:rPr>
      </w:pPr>
    </w:p>
    <w:p>
      <w:pPr>
        <w:pStyle w:val="4"/>
      </w:pPr>
      <w:r>
        <w:rPr>
          <w:rFonts w:hint="eastAsia" w:ascii="仿宋_GB2312" w:hAnsi="仿宋_GB2312" w:eastAsia="仿宋_GB2312" w:cs="仿宋_GB2312"/>
          <w:b w:val="0"/>
          <w:bCs w:val="0"/>
        </w:rPr>
        <w:drawing>
          <wp:inline distT="0" distB="0" distL="114300" distR="114300">
            <wp:extent cx="6012815" cy="4144010"/>
            <wp:effectExtent l="4445" t="5080" r="21590" b="2286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pPr>
        <w:pStyle w:val="4"/>
        <w:rPr>
          <w:rFonts w:ascii="仿宋" w:hAnsi="仿宋" w:eastAsia="仿宋"/>
        </w:rPr>
      </w:pPr>
    </w:p>
    <w:p/>
    <w:p/>
    <w:p>
      <w:pPr>
        <w:spacing w:line="600" w:lineRule="exact"/>
        <w:ind w:firstLine="640" w:firstLineChars="200"/>
        <w:outlineLvl w:val="1"/>
        <w:rPr>
          <w:rFonts w:hint="eastAsia" w:ascii="黑体" w:hAnsi="黑体" w:eastAsia="黑体" w:cs="Times New Roman"/>
          <w:sz w:val="32"/>
          <w:szCs w:val="32"/>
        </w:rPr>
      </w:pPr>
      <w:bookmarkStart w:id="26" w:name="_Toc15377209"/>
      <w:bookmarkStart w:id="27" w:name="_Toc15396607"/>
      <w:r>
        <w:rPr>
          <w:rFonts w:hint="eastAsia" w:ascii="黑体" w:hAnsi="黑体" w:eastAsia="黑体" w:cs="Times New Roman"/>
          <w:sz w:val="32"/>
          <w:szCs w:val="32"/>
        </w:rPr>
        <w:t>五、一般公共预算财政拨款支出决算情况说明</w:t>
      </w:r>
      <w:bookmarkEnd w:id="26"/>
      <w:bookmarkEnd w:id="27"/>
    </w:p>
    <w:p>
      <w:pPr>
        <w:spacing w:line="600" w:lineRule="exact"/>
        <w:ind w:firstLine="643" w:firstLineChars="200"/>
        <w:outlineLvl w:val="2"/>
        <w:rPr>
          <w:rFonts w:hint="eastAsia" w:ascii="楷体_GB2312" w:hAnsi="楷体_GB2312" w:eastAsia="楷体_GB2312" w:cs="楷体_GB2312"/>
          <w:b/>
          <w:sz w:val="32"/>
          <w:szCs w:val="32"/>
        </w:rPr>
      </w:pPr>
      <w:bookmarkStart w:id="28" w:name="_Toc15377210"/>
      <w:r>
        <w:rPr>
          <w:rFonts w:hint="eastAsia" w:ascii="楷体_GB2312" w:hAnsi="楷体_GB2312" w:eastAsia="楷体_GB2312" w:cs="楷体_GB2312"/>
          <w:b/>
          <w:sz w:val="32"/>
          <w:szCs w:val="32"/>
        </w:rPr>
        <w:t>（一）一般公共预算财政拨款支出决算总体情况</w:t>
      </w:r>
      <w:bookmarkEnd w:id="28"/>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12,682.09</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49.02</w:t>
      </w:r>
      <w:r>
        <w:rPr>
          <w:rFonts w:hint="eastAsia" w:ascii="仿宋_GB2312" w:hAnsi="仿宋_GB2312" w:eastAsia="仿宋_GB2312" w:cs="仿宋_GB2312"/>
          <w:sz w:val="32"/>
          <w:szCs w:val="32"/>
        </w:rPr>
        <w:t>%。与202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年相比，一般公共预算财政拨款支出减少</w:t>
      </w:r>
      <w:r>
        <w:rPr>
          <w:rFonts w:hint="eastAsia" w:ascii="仿宋_GB2312" w:hAnsi="仿宋_GB2312" w:eastAsia="仿宋_GB2312" w:cs="仿宋_GB2312"/>
          <w:sz w:val="32"/>
          <w:szCs w:val="32"/>
          <w:lang w:val="en-US" w:eastAsia="zh-CN"/>
        </w:rPr>
        <w:t>3,873.17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23.40</w:t>
      </w:r>
      <w:r>
        <w:rPr>
          <w:rFonts w:hint="eastAsia" w:ascii="仿宋_GB2312" w:hAnsi="仿宋_GB2312" w:eastAsia="仿宋_GB2312" w:cs="仿宋_GB2312"/>
          <w:sz w:val="32"/>
          <w:szCs w:val="32"/>
        </w:rPr>
        <w:t>%。主要变动原因是项目支出减少。</w:t>
      </w:r>
    </w:p>
    <w:p>
      <w:pPr>
        <w:pStyle w:val="4"/>
        <w:rPr>
          <w:rFonts w:ascii="仿宋" w:hAnsi="仿宋" w:eastAsia="仿宋"/>
        </w:rPr>
      </w:pPr>
      <w:r>
        <w:rPr>
          <w:rFonts w:hint="eastAsia" w:ascii="仿宋" w:hAnsi="仿宋" w:eastAsia="仿宋"/>
        </w:rPr>
        <w:drawing>
          <wp:inline distT="0" distB="0" distL="114300" distR="114300">
            <wp:extent cx="5775325" cy="3933190"/>
            <wp:effectExtent l="4445" t="4445" r="11430" b="571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w:t>
      </w:r>
    </w:p>
    <w:p>
      <w:pPr>
        <w:pStyle w:val="4"/>
        <w:rPr>
          <w:rFonts w:ascii="仿宋" w:hAnsi="仿宋" w:eastAsia="仿宋"/>
        </w:rPr>
      </w:pPr>
    </w:p>
    <w:p>
      <w:pPr>
        <w:rPr>
          <w:rFonts w:ascii="仿宋" w:hAnsi="仿宋" w:eastAsia="仿宋"/>
        </w:rPr>
      </w:pPr>
    </w:p>
    <w:p>
      <w:pPr>
        <w:pStyle w:val="2"/>
      </w:pPr>
    </w:p>
    <w:p>
      <w:pPr>
        <w:spacing w:line="600" w:lineRule="exact"/>
        <w:ind w:firstLine="643" w:firstLineChars="200"/>
        <w:outlineLvl w:val="2"/>
        <w:rPr>
          <w:rFonts w:hint="eastAsia" w:ascii="楷体_GB2312" w:hAnsi="楷体_GB2312" w:eastAsia="楷体_GB2312" w:cs="楷体_GB2312"/>
          <w:b/>
          <w:sz w:val="32"/>
          <w:szCs w:val="32"/>
        </w:rPr>
      </w:pPr>
      <w:bookmarkStart w:id="29" w:name="_Toc15377211"/>
      <w:r>
        <w:rPr>
          <w:rFonts w:hint="eastAsia" w:ascii="楷体_GB2312" w:hAnsi="楷体_GB2312" w:eastAsia="楷体_GB2312" w:cs="楷体_GB2312"/>
          <w:b/>
          <w:sz w:val="32"/>
          <w:szCs w:val="32"/>
        </w:rPr>
        <w:t>（二）一般公共预算财政拨款支出决算结构情况</w:t>
      </w:r>
      <w:bookmarkEnd w:id="29"/>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12,682.09</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388.96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3.07</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73.45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0.58</w:t>
      </w:r>
      <w:r>
        <w:rPr>
          <w:rFonts w:hint="eastAsia" w:ascii="仿宋_GB2312" w:hAnsi="仿宋_GB2312" w:eastAsia="仿宋_GB2312" w:cs="仿宋_GB2312"/>
          <w:sz w:val="32"/>
          <w:szCs w:val="32"/>
        </w:rPr>
        <w:t>%；农林水支出（类）</w:t>
      </w:r>
      <w:r>
        <w:rPr>
          <w:rFonts w:hint="eastAsia" w:ascii="仿宋_GB2312" w:hAnsi="仿宋_GB2312" w:eastAsia="仿宋_GB2312" w:cs="仿宋_GB2312"/>
          <w:sz w:val="32"/>
          <w:szCs w:val="32"/>
          <w:lang w:val="en-US" w:eastAsia="zh-CN"/>
        </w:rPr>
        <w:t>11,991.89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94.55</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227.79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1.80</w:t>
      </w:r>
      <w:r>
        <w:rPr>
          <w:rFonts w:hint="eastAsia" w:ascii="仿宋_GB2312" w:hAnsi="仿宋_GB2312" w:eastAsia="仿宋_GB2312" w:cs="仿宋_GB2312"/>
          <w:sz w:val="32"/>
          <w:szCs w:val="32"/>
        </w:rPr>
        <w:t>%。</w:t>
      </w:r>
    </w:p>
    <w:p>
      <w:pPr>
        <w:spacing w:line="600" w:lineRule="exact"/>
        <w:ind w:firstLine="640"/>
        <w:rPr>
          <w:rFonts w:ascii="仿宋_GB2312" w:hAnsi="仿宋_GB2312" w:eastAsia="仿宋_GB2312" w:cs="仿宋_GB2312"/>
          <w:sz w:val="32"/>
          <w:szCs w:val="32"/>
        </w:rPr>
      </w:pPr>
    </w:p>
    <w:p>
      <w:pPr>
        <w:pStyle w:val="4"/>
        <w:rPr>
          <w:rFonts w:ascii="仿宋_GB2312" w:hAnsi="仿宋_GB2312" w:eastAsia="仿宋_GB2312" w:cs="仿宋_GB2312"/>
          <w:b w:val="0"/>
          <w:bCs w:val="0"/>
        </w:rPr>
      </w:pPr>
      <w:r>
        <w:rPr>
          <w:rFonts w:hint="eastAsia" w:ascii="仿宋_GB2312" w:hAnsi="仿宋_GB2312" w:eastAsia="仿宋_GB2312" w:cs="仿宋_GB2312"/>
          <w:b w:val="0"/>
          <w:bCs w:val="0"/>
        </w:rPr>
        <w:drawing>
          <wp:inline distT="0" distB="0" distL="114300" distR="114300">
            <wp:extent cx="5609590" cy="3583940"/>
            <wp:effectExtent l="4445" t="4445" r="5715" b="1206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w:t>
      </w:r>
    </w:p>
    <w:p>
      <w:pPr>
        <w:pStyle w:val="4"/>
      </w:pPr>
    </w:p>
    <w:p/>
    <w:p>
      <w:pPr>
        <w:pStyle w:val="2"/>
      </w:pPr>
    </w:p>
    <w:p>
      <w:pPr>
        <w:spacing w:line="600" w:lineRule="exact"/>
        <w:ind w:firstLine="643" w:firstLineChars="200"/>
        <w:outlineLvl w:val="2"/>
        <w:rPr>
          <w:rFonts w:hint="eastAsia" w:ascii="楷体_GB2312" w:hAnsi="楷体_GB2312" w:eastAsia="楷体_GB2312" w:cs="楷体_GB2312"/>
          <w:b/>
          <w:sz w:val="32"/>
          <w:szCs w:val="32"/>
        </w:rPr>
      </w:pPr>
      <w:bookmarkStart w:id="30" w:name="_Toc15377212"/>
      <w:r>
        <w:rPr>
          <w:rFonts w:hint="eastAsia" w:ascii="楷体_GB2312" w:hAnsi="楷体_GB2312" w:eastAsia="楷体_GB2312" w:cs="楷体_GB2312"/>
          <w:b/>
          <w:sz w:val="32"/>
          <w:szCs w:val="32"/>
        </w:rPr>
        <w:t>（三）一般公共预算财政拨款支出决算具体情况</w:t>
      </w:r>
      <w:bookmarkEnd w:id="30"/>
    </w:p>
    <w:p>
      <w:pPr>
        <w:ind w:firstLine="803" w:firstLineChars="250"/>
        <w:rPr>
          <w:rFonts w:hint="eastAsia" w:ascii="仿宋_GB2312" w:hAnsi="仿宋_GB2312" w:eastAsia="仿宋_GB2312" w:cs="仿宋_GB2312"/>
          <w:b/>
          <w:bCs/>
          <w:sz w:val="32"/>
          <w:szCs w:val="32"/>
        </w:rPr>
      </w:pPr>
      <w:bookmarkStart w:id="31" w:name="_Toc15377213"/>
      <w:bookmarkStart w:id="32" w:name="_Toc15378460"/>
      <w:bookmarkStart w:id="33" w:name="_Toc15377444"/>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年一般公共预算支出决算数为</w:t>
      </w:r>
      <w:r>
        <w:rPr>
          <w:rFonts w:hint="eastAsia" w:ascii="仿宋_GB2312" w:hAnsi="仿宋_GB2312" w:eastAsia="仿宋_GB2312" w:cs="仿宋_GB2312"/>
          <w:b/>
          <w:bCs/>
          <w:sz w:val="32"/>
          <w:szCs w:val="32"/>
          <w:lang w:val="en-US" w:eastAsia="zh-CN"/>
        </w:rPr>
        <w:t>12,682.09</w:t>
      </w:r>
      <w:r>
        <w:rPr>
          <w:rFonts w:hint="eastAsia" w:ascii="仿宋_GB2312" w:hAnsi="仿宋_GB2312" w:eastAsia="仿宋_GB2312" w:cs="仿宋_GB2312"/>
          <w:b/>
          <w:bCs/>
          <w:sz w:val="32"/>
          <w:szCs w:val="32"/>
        </w:rPr>
        <w:t>万元，完成预算</w:t>
      </w:r>
      <w:r>
        <w:rPr>
          <w:rFonts w:hint="eastAsia" w:ascii="仿宋_GB2312" w:hAnsi="仿宋_GB2312" w:eastAsia="仿宋_GB2312" w:cs="仿宋_GB2312"/>
          <w:b/>
          <w:bCs/>
          <w:sz w:val="32"/>
          <w:szCs w:val="32"/>
          <w:lang w:val="en-US" w:eastAsia="zh-CN"/>
        </w:rPr>
        <w:t>100.00</w:t>
      </w:r>
      <w:r>
        <w:rPr>
          <w:rFonts w:hint="eastAsia" w:ascii="仿宋_GB2312" w:hAnsi="仿宋_GB2312" w:eastAsia="仿宋_GB2312" w:cs="仿宋_GB2312"/>
          <w:b/>
          <w:bCs/>
          <w:sz w:val="32"/>
          <w:szCs w:val="32"/>
        </w:rPr>
        <w:t>%。其中：</w:t>
      </w:r>
      <w:bookmarkEnd w:id="31"/>
      <w:bookmarkEnd w:id="32"/>
      <w:bookmarkEnd w:id="33"/>
    </w:p>
    <w:p>
      <w:pPr>
        <w:ind w:firstLine="803" w:firstLineChars="25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1.社会保障和就业（类）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388.96</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%，决算数等于预算数。</w:t>
      </w:r>
    </w:p>
    <w:p>
      <w:pPr>
        <w:ind w:firstLine="803" w:firstLineChars="25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2.卫生健康（类）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73.45</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%，决算数等于预算数。</w:t>
      </w:r>
    </w:p>
    <w:p>
      <w:pPr>
        <w:ind w:firstLine="803" w:firstLineChars="25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3.农林水（类）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11,991.89</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%，决算数小于预算数的主要原因是项目支出结转下年。</w:t>
      </w:r>
    </w:p>
    <w:p>
      <w:pPr>
        <w:ind w:firstLine="803" w:firstLineChars="25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4.住房保障支出（类）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227.79</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%，决算数等于预算数。</w:t>
      </w:r>
    </w:p>
    <w:p>
      <w:pPr>
        <w:ind w:firstLine="525" w:firstLineChars="250"/>
      </w:pPr>
    </w:p>
    <w:p>
      <w:pPr>
        <w:pStyle w:val="2"/>
      </w:pPr>
    </w:p>
    <w:p>
      <w:pPr>
        <w:pStyle w:val="2"/>
      </w:pPr>
    </w:p>
    <w:p>
      <w:pPr>
        <w:pStyle w:val="2"/>
      </w:pPr>
    </w:p>
    <w:p>
      <w:pPr>
        <w:pStyle w:val="2"/>
      </w:pPr>
    </w:p>
    <w:p>
      <w:pPr>
        <w:pStyle w:val="2"/>
      </w:pPr>
    </w:p>
    <w:p>
      <w:pPr>
        <w:pStyle w:val="2"/>
      </w:pPr>
    </w:p>
    <w:p>
      <w:pPr>
        <w:pStyle w:val="2"/>
      </w:pPr>
    </w:p>
    <w:p>
      <w:pPr>
        <w:pStyle w:val="2"/>
      </w:pPr>
    </w:p>
    <w:p>
      <w:pPr>
        <w:tabs>
          <w:tab w:val="right" w:pos="8306"/>
        </w:tabs>
        <w:spacing w:line="600" w:lineRule="exact"/>
        <w:ind w:firstLine="640"/>
        <w:outlineLvl w:val="1"/>
        <w:rPr>
          <w:rFonts w:hint="eastAsia" w:ascii="黑体" w:hAnsi="Times New Roman" w:eastAsia="黑体" w:cs="Times New Roman"/>
          <w:sz w:val="32"/>
          <w:szCs w:val="32"/>
        </w:rPr>
      </w:pPr>
      <w:bookmarkStart w:id="34" w:name="_Toc15396608"/>
      <w:bookmarkStart w:id="35" w:name="_Toc15377214"/>
      <w:r>
        <w:rPr>
          <w:rFonts w:hint="eastAsia" w:ascii="黑体" w:hAnsi="Times New Roman" w:eastAsia="黑体" w:cs="Times New Roman"/>
          <w:sz w:val="32"/>
          <w:szCs w:val="32"/>
        </w:rPr>
        <w:t>六、一般公共预算财政拨款基本支出决算情况说明</w:t>
      </w:r>
      <w:bookmarkEnd w:id="34"/>
      <w:bookmarkEnd w:id="35"/>
      <w:r>
        <w:rPr>
          <w:rFonts w:hint="eastAsia" w:ascii="黑体" w:hAnsi="Times New Roman" w:eastAsia="黑体" w:cs="Times New Roman"/>
          <w:sz w:val="32"/>
          <w:szCs w:val="32"/>
        </w:rPr>
        <w:tab/>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3,649.05</w:t>
      </w:r>
      <w:r>
        <w:rPr>
          <w:rFonts w:hint="eastAsia" w:ascii="仿宋_GB2312" w:hAnsi="仿宋_GB2312" w:eastAsia="仿宋_GB2312" w:cs="仿宋_GB2312"/>
          <w:sz w:val="32"/>
          <w:szCs w:val="32"/>
        </w:rPr>
        <w:t>万元，其中：</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3,198.94</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450.11</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2"/>
        <w:rPr>
          <w:rFonts w:hint="eastAsia" w:ascii="仿宋" w:hAnsi="仿宋" w:eastAsia="仿宋" w:cs="Times New Roman"/>
          <w:sz w:val="32"/>
          <w:szCs w:val="32"/>
        </w:rPr>
      </w:pPr>
    </w:p>
    <w:p>
      <w:pPr>
        <w:pStyle w:val="2"/>
        <w:rPr>
          <w:rFonts w:hint="eastAsia" w:ascii="仿宋" w:hAnsi="仿宋" w:eastAsia="仿宋" w:cs="Times New Roman"/>
          <w:sz w:val="32"/>
          <w:szCs w:val="32"/>
        </w:rPr>
      </w:pPr>
    </w:p>
    <w:p>
      <w:pPr>
        <w:pStyle w:val="2"/>
        <w:rPr>
          <w:rFonts w:hint="eastAsia" w:ascii="仿宋" w:hAnsi="仿宋" w:eastAsia="仿宋" w:cs="Times New Roman"/>
          <w:sz w:val="32"/>
          <w:szCs w:val="32"/>
        </w:rPr>
      </w:pPr>
    </w:p>
    <w:p>
      <w:pPr>
        <w:pStyle w:val="2"/>
        <w:rPr>
          <w:rFonts w:hint="eastAsia" w:ascii="仿宋" w:hAnsi="仿宋" w:eastAsia="仿宋" w:cs="Times New Roman"/>
          <w:sz w:val="32"/>
          <w:szCs w:val="32"/>
        </w:rPr>
      </w:pPr>
    </w:p>
    <w:p>
      <w:pPr>
        <w:pStyle w:val="2"/>
        <w:rPr>
          <w:rFonts w:hint="eastAsia" w:ascii="仿宋" w:hAnsi="仿宋" w:eastAsia="仿宋" w:cs="Times New Roman"/>
          <w:sz w:val="32"/>
          <w:szCs w:val="32"/>
        </w:rPr>
      </w:pPr>
    </w:p>
    <w:p>
      <w:pPr>
        <w:pStyle w:val="2"/>
        <w:rPr>
          <w:rFonts w:hint="eastAsia" w:ascii="仿宋" w:hAnsi="仿宋" w:eastAsia="仿宋" w:cs="Times New Roman"/>
          <w:sz w:val="32"/>
          <w:szCs w:val="32"/>
        </w:rPr>
      </w:pPr>
    </w:p>
    <w:p>
      <w:pPr>
        <w:spacing w:line="600" w:lineRule="exact"/>
        <w:ind w:firstLine="640"/>
        <w:outlineLvl w:val="2"/>
        <w:rPr>
          <w:rFonts w:hint="eastAsia" w:ascii="黑体" w:hAnsi="Times New Roman" w:eastAsia="黑体" w:cs="Times New Roman"/>
          <w:sz w:val="32"/>
          <w:szCs w:val="32"/>
        </w:rPr>
      </w:pPr>
      <w:bookmarkStart w:id="36" w:name="_Toc15377215"/>
      <w:bookmarkStart w:id="37" w:name="_Toc15396609"/>
      <w:r>
        <w:rPr>
          <w:rFonts w:hint="eastAsia" w:ascii="黑体" w:hAnsi="Times New Roman" w:eastAsia="黑体" w:cs="Times New Roman"/>
          <w:sz w:val="32"/>
          <w:szCs w:val="32"/>
        </w:rPr>
        <w:t>七、“三公”经费财政拨款支出决算情况说明</w:t>
      </w:r>
      <w:bookmarkEnd w:id="36"/>
      <w:bookmarkEnd w:id="37"/>
    </w:p>
    <w:p>
      <w:pPr>
        <w:spacing w:line="600" w:lineRule="exact"/>
        <w:ind w:firstLine="640"/>
        <w:outlineLvl w:val="2"/>
        <w:rPr>
          <w:rFonts w:hint="eastAsia" w:ascii="楷体_GB2312" w:hAnsi="楷体_GB2312" w:eastAsia="楷体_GB2312" w:cs="楷体_GB2312"/>
          <w:b/>
          <w:sz w:val="32"/>
          <w:szCs w:val="32"/>
        </w:rPr>
      </w:pPr>
      <w:bookmarkStart w:id="38" w:name="_Toc15377216"/>
      <w:r>
        <w:rPr>
          <w:rFonts w:hint="eastAsia" w:ascii="楷体_GB2312" w:hAnsi="楷体_GB2312" w:eastAsia="楷体_GB2312" w:cs="楷体_GB2312"/>
          <w:b/>
          <w:sz w:val="32"/>
          <w:szCs w:val="32"/>
        </w:rPr>
        <w:t>（一）“三公”经费财政拨款支出决算总体情况说明</w:t>
      </w:r>
      <w:bookmarkEnd w:id="38"/>
    </w:p>
    <w:p>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年“三公”经费财政拨款支出决算为</w:t>
      </w:r>
      <w:r>
        <w:rPr>
          <w:rFonts w:hint="eastAsia" w:ascii="仿宋_GB2312" w:hAnsi="仿宋_GB2312" w:eastAsia="仿宋_GB2312" w:cs="仿宋_GB2312"/>
          <w:b w:val="0"/>
          <w:bCs/>
          <w:sz w:val="32"/>
          <w:szCs w:val="32"/>
          <w:lang w:val="en-US" w:eastAsia="zh-CN"/>
        </w:rPr>
        <w:t>31.01</w:t>
      </w:r>
      <w:r>
        <w:rPr>
          <w:rFonts w:hint="eastAsia" w:ascii="仿宋_GB2312" w:hAnsi="仿宋_GB2312" w:eastAsia="仿宋_GB2312" w:cs="仿宋_GB2312"/>
          <w:b w:val="0"/>
          <w:bCs/>
          <w:sz w:val="32"/>
          <w:szCs w:val="32"/>
        </w:rPr>
        <w:t>万元，完成预算</w:t>
      </w:r>
      <w:r>
        <w:rPr>
          <w:rFonts w:hint="eastAsia" w:ascii="仿宋_GB2312" w:hAnsi="仿宋_GB2312" w:eastAsia="仿宋_GB2312" w:cs="仿宋_GB2312"/>
          <w:b w:val="0"/>
          <w:bCs/>
          <w:sz w:val="32"/>
          <w:szCs w:val="32"/>
          <w:lang w:val="en-US" w:eastAsia="zh-CN"/>
        </w:rPr>
        <w:t>100.00</w:t>
      </w:r>
      <w:r>
        <w:rPr>
          <w:rFonts w:hint="eastAsia" w:ascii="仿宋_GB2312" w:hAnsi="仿宋_GB2312" w:eastAsia="仿宋_GB2312" w:cs="仿宋_GB2312"/>
          <w:b w:val="0"/>
          <w:bCs/>
          <w:sz w:val="32"/>
          <w:szCs w:val="32"/>
        </w:rPr>
        <w:t>%，较上年增加</w:t>
      </w:r>
      <w:r>
        <w:rPr>
          <w:rFonts w:hint="eastAsia" w:ascii="仿宋_GB2312" w:hAnsi="仿宋_GB2312" w:eastAsia="仿宋_GB2312" w:cs="仿宋_GB2312"/>
          <w:b w:val="0"/>
          <w:bCs/>
          <w:sz w:val="32"/>
          <w:szCs w:val="32"/>
          <w:lang w:val="en-US" w:eastAsia="zh-CN"/>
        </w:rPr>
        <w:t>5.65万元，</w:t>
      </w:r>
      <w:r>
        <w:rPr>
          <w:rFonts w:hint="eastAsia" w:ascii="仿宋_GB2312" w:hAnsi="仿宋_GB2312" w:eastAsia="仿宋_GB2312" w:cs="仿宋_GB2312"/>
          <w:b w:val="0"/>
          <w:bCs/>
          <w:sz w:val="32"/>
          <w:szCs w:val="32"/>
        </w:rPr>
        <w:t>增长</w:t>
      </w:r>
      <w:r>
        <w:rPr>
          <w:rFonts w:hint="eastAsia" w:ascii="仿宋_GB2312" w:hAnsi="仿宋_GB2312" w:eastAsia="仿宋_GB2312" w:cs="仿宋_GB2312"/>
          <w:b w:val="0"/>
          <w:bCs/>
          <w:sz w:val="32"/>
          <w:szCs w:val="32"/>
          <w:lang w:val="en-US" w:eastAsia="zh-CN"/>
        </w:rPr>
        <w:t>22.28%。</w:t>
      </w:r>
      <w:r>
        <w:rPr>
          <w:rFonts w:hint="eastAsia" w:ascii="仿宋_GB2312" w:hAnsi="仿宋_GB2312" w:eastAsia="仿宋_GB2312" w:cs="仿宋_GB2312"/>
          <w:b w:val="0"/>
          <w:bCs/>
          <w:sz w:val="32"/>
          <w:szCs w:val="32"/>
        </w:rPr>
        <w:t>决算数</w:t>
      </w:r>
      <w:r>
        <w:rPr>
          <w:rFonts w:hint="eastAsia" w:ascii="仿宋_GB2312" w:hAnsi="仿宋_GB2312" w:eastAsia="仿宋_GB2312" w:cs="仿宋_GB2312"/>
          <w:b w:val="0"/>
          <w:bCs/>
          <w:sz w:val="32"/>
          <w:szCs w:val="32"/>
          <w:lang w:val="en-US" w:eastAsia="zh-CN"/>
        </w:rPr>
        <w:t>等于</w:t>
      </w:r>
      <w:r>
        <w:rPr>
          <w:rFonts w:hint="eastAsia" w:ascii="仿宋_GB2312" w:hAnsi="仿宋_GB2312" w:eastAsia="仿宋_GB2312" w:cs="仿宋_GB2312"/>
          <w:b w:val="0"/>
          <w:bCs/>
          <w:sz w:val="32"/>
          <w:szCs w:val="32"/>
        </w:rPr>
        <w:t>预算数。</w:t>
      </w:r>
    </w:p>
    <w:p>
      <w:pPr>
        <w:spacing w:line="600" w:lineRule="exact"/>
        <w:ind w:firstLine="640"/>
        <w:outlineLvl w:val="2"/>
        <w:rPr>
          <w:rFonts w:hint="eastAsia" w:ascii="楷体_GB2312" w:hAnsi="楷体_GB2312" w:eastAsia="楷体_GB2312" w:cs="楷体_GB2312"/>
          <w:b/>
          <w:sz w:val="32"/>
          <w:szCs w:val="32"/>
        </w:rPr>
      </w:pPr>
      <w:bookmarkStart w:id="39" w:name="_Toc15377217"/>
      <w:r>
        <w:rPr>
          <w:rFonts w:hint="eastAsia" w:ascii="楷体_GB2312" w:hAnsi="楷体_GB2312" w:eastAsia="楷体_GB2312" w:cs="楷体_GB2312"/>
          <w:b/>
          <w:sz w:val="32"/>
          <w:szCs w:val="32"/>
        </w:rPr>
        <w:t>（二）“三公”经费财政拨款支出决算具体情况说明</w:t>
      </w:r>
      <w:bookmarkEnd w:id="39"/>
    </w:p>
    <w:p>
      <w:pPr>
        <w:spacing w:line="600" w:lineRule="exact"/>
        <w:ind w:firstLine="64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年“三公”经费财政拨款支出决算中，因公出国（境）费支出决算0万元，占0%；公务用车购置及运行维护费支出决算</w:t>
      </w:r>
      <w:r>
        <w:rPr>
          <w:rFonts w:hint="eastAsia" w:ascii="仿宋_GB2312" w:hAnsi="仿宋_GB2312" w:eastAsia="仿宋_GB2312" w:cs="仿宋_GB2312"/>
          <w:b w:val="0"/>
          <w:bCs/>
          <w:sz w:val="32"/>
          <w:szCs w:val="32"/>
          <w:lang w:val="en-US" w:eastAsia="zh-CN"/>
        </w:rPr>
        <w:t>25.64</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82.69</w:t>
      </w:r>
      <w:r>
        <w:rPr>
          <w:rFonts w:hint="eastAsia" w:ascii="仿宋_GB2312" w:hAnsi="仿宋_GB2312" w:eastAsia="仿宋_GB2312" w:cs="仿宋_GB2312"/>
          <w:b w:val="0"/>
          <w:bCs/>
          <w:sz w:val="32"/>
          <w:szCs w:val="32"/>
        </w:rPr>
        <w:t>%；公务接待费支出决算</w:t>
      </w:r>
      <w:r>
        <w:rPr>
          <w:rFonts w:hint="eastAsia" w:ascii="仿宋_GB2312" w:hAnsi="仿宋_GB2312" w:eastAsia="仿宋_GB2312" w:cs="仿宋_GB2312"/>
          <w:b w:val="0"/>
          <w:bCs/>
          <w:sz w:val="32"/>
          <w:szCs w:val="32"/>
          <w:lang w:val="en-US" w:eastAsia="zh-CN"/>
        </w:rPr>
        <w:t>5.37</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17.31</w:t>
      </w:r>
      <w:r>
        <w:rPr>
          <w:rFonts w:hint="eastAsia" w:ascii="仿宋_GB2312" w:hAnsi="仿宋_GB2312" w:eastAsia="仿宋_GB2312" w:cs="仿宋_GB2312"/>
          <w:b w:val="0"/>
          <w:bCs/>
          <w:sz w:val="32"/>
          <w:szCs w:val="32"/>
        </w:rPr>
        <w:t>%。具体情况如下：</w:t>
      </w:r>
    </w:p>
    <w:p>
      <w:pPr>
        <w:pStyle w:val="4"/>
        <w:rPr>
          <w:rFonts w:hint="eastAsia"/>
        </w:rPr>
      </w:pPr>
      <w:r>
        <w:rPr>
          <w:rFonts w:hint="eastAsia"/>
        </w:rPr>
        <w:drawing>
          <wp:inline distT="0" distB="0" distL="0" distR="0">
            <wp:extent cx="5486400" cy="32004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rPr>
          <w:rFonts w:hint="eastAsia"/>
        </w:rPr>
      </w:pPr>
    </w:p>
    <w:p>
      <w:pPr>
        <w:spacing w:line="600" w:lineRule="exact"/>
      </w:pPr>
      <w:r>
        <w:rPr>
          <w:rFonts w:hint="eastAsia" w:asciiTheme="majorHAnsi" w:hAnsiTheme="majorHAnsi" w:eastAsiaTheme="majorEastAsia" w:cstheme="majorBidi"/>
          <w:b/>
          <w:bCs/>
          <w:sz w:val="32"/>
          <w:szCs w:val="32"/>
        </w:rPr>
        <w:t xml:space="preserve">          </w:t>
      </w:r>
      <w:r>
        <w:rPr>
          <w:rFonts w:hint="eastAsia" w:ascii="仿宋_GB2312" w:hAnsi="仿宋_GB2312" w:eastAsia="仿宋_GB2312" w:cs="仿宋_GB2312"/>
          <w:sz w:val="32"/>
          <w:szCs w:val="32"/>
        </w:rPr>
        <w:t>（图7：“三公”经费财政拨款支出结构）</w:t>
      </w:r>
    </w:p>
    <w:p>
      <w:pPr>
        <w:spacing w:line="560" w:lineRule="exact"/>
        <w:ind w:firstLine="640"/>
        <w:rPr>
          <w:rFonts w:ascii="仿宋_GB2312" w:hAnsi="仿宋" w:eastAsia="仿宋_GB2312"/>
          <w:color w:val="000000"/>
          <w:sz w:val="32"/>
          <w:szCs w:val="32"/>
        </w:rPr>
      </w:pPr>
      <w:r>
        <w:rPr>
          <w:rFonts w:hint="eastAsia" w:ascii="仿宋_GB2312" w:hAnsi="Times New Roman" w:eastAsia="仿宋_GB2312" w:cs="Times New Roman"/>
          <w:b/>
          <w:sz w:val="32"/>
          <w:szCs w:val="32"/>
        </w:rPr>
        <w:t>1．因公出国（境）经费支出</w:t>
      </w:r>
      <w:r>
        <w:rPr>
          <w:rFonts w:hint="eastAsia" w:ascii="仿宋_GB2312" w:hAnsi="仿宋_GB2312" w:eastAsia="仿宋_GB2312" w:cs="仿宋_GB2312"/>
          <w:sz w:val="32"/>
          <w:szCs w:val="32"/>
        </w:rPr>
        <w:t>0万元，</w:t>
      </w:r>
      <w:r>
        <w:rPr>
          <w:rStyle w:val="22"/>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全年安排因公出国（境）团组0次，出国（境）0人。因公出国（境）支出决算等于202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年0万元，无增减。主要原因是</w:t>
      </w:r>
      <w:r>
        <w:rPr>
          <w:rFonts w:hint="eastAsia" w:ascii="仿宋_GB2312" w:hAnsi="仿宋" w:eastAsia="仿宋_GB2312"/>
          <w:color w:val="000000"/>
          <w:sz w:val="32"/>
          <w:szCs w:val="32"/>
        </w:rPr>
        <w:t>无因公出国（境）经费支出，无因公临时出国（境）安排人次。</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开支内容包括：无。</w:t>
      </w:r>
    </w:p>
    <w:p>
      <w:pPr>
        <w:spacing w:line="600" w:lineRule="exact"/>
        <w:ind w:firstLine="640"/>
        <w:rPr>
          <w:rFonts w:ascii="仿宋_GB2312" w:hAnsi="仿宋_GB2312" w:eastAsia="仿宋_GB2312" w:cs="仿宋_GB2312"/>
          <w:sz w:val="32"/>
          <w:szCs w:val="32"/>
        </w:rPr>
      </w:pPr>
      <w:r>
        <w:rPr>
          <w:rFonts w:hint="eastAsia" w:ascii="仿宋_GB2312" w:hAnsi="Times New Roman" w:eastAsia="仿宋_GB2312" w:cs="Times New Roman"/>
          <w:b/>
          <w:sz w:val="32"/>
          <w:szCs w:val="32"/>
        </w:rPr>
        <w:t>2．公务用车购置及运行维护费支出</w:t>
      </w:r>
      <w:r>
        <w:rPr>
          <w:rFonts w:hint="eastAsia" w:ascii="仿宋_GB2312" w:hAnsi="仿宋_GB2312" w:eastAsia="仿宋_GB2312" w:cs="仿宋_GB2312"/>
          <w:sz w:val="32"/>
          <w:szCs w:val="32"/>
          <w:lang w:val="en-US" w:eastAsia="zh-CN"/>
        </w:rPr>
        <w:t>25.64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Style w:val="22"/>
          <w:rFonts w:hint="eastAsia" w:ascii="仿宋_GB2312" w:hAnsi="仿宋_GB2312" w:eastAsia="仿宋_GB2312" w:cs="仿宋_GB2312"/>
          <w:b w:val="0"/>
          <w:sz w:val="32"/>
          <w:szCs w:val="32"/>
        </w:rPr>
        <w:t>完成预算</w:t>
      </w:r>
      <w:r>
        <w:rPr>
          <w:rStyle w:val="22"/>
          <w:rFonts w:hint="eastAsia" w:ascii="仿宋_GB2312" w:hAnsi="仿宋_GB2312" w:eastAsia="仿宋_GB2312" w:cs="仿宋_GB2312"/>
          <w:b w:val="0"/>
          <w:sz w:val="32"/>
          <w:szCs w:val="32"/>
          <w:lang w:val="en-US" w:eastAsia="zh-CN"/>
        </w:rPr>
        <w:t>100.00</w:t>
      </w:r>
      <w:r>
        <w:rPr>
          <w:rStyle w:val="22"/>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公务用车购置及运行维护费支出决算比202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增加8.68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增长51.18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公务用车使用年限增长，维修次数增加，</w:t>
      </w:r>
      <w:r>
        <w:rPr>
          <w:rFonts w:hint="eastAsia" w:ascii="仿宋_GB2312" w:eastAsia="仿宋_GB2312"/>
          <w:sz w:val="32"/>
          <w:szCs w:val="32"/>
        </w:rPr>
        <w:t>公务用车</w:t>
      </w:r>
      <w:r>
        <w:rPr>
          <w:rFonts w:hint="eastAsia" w:ascii="仿宋_GB2312" w:eastAsia="仿宋_GB2312"/>
          <w:sz w:val="32"/>
          <w:szCs w:val="32"/>
          <w:lang w:val="en-US" w:eastAsia="zh-CN"/>
        </w:rPr>
        <w:t>新车</w:t>
      </w:r>
      <w:r>
        <w:rPr>
          <w:rFonts w:hint="eastAsia" w:ascii="仿宋_GB2312" w:eastAsia="仿宋_GB2312"/>
          <w:sz w:val="32"/>
          <w:szCs w:val="32"/>
        </w:rPr>
        <w:t>购置和维护费用</w:t>
      </w:r>
      <w:r>
        <w:rPr>
          <w:rFonts w:hint="eastAsia" w:ascii="仿宋_GB2312" w:eastAsia="仿宋_GB2312"/>
          <w:sz w:val="32"/>
          <w:szCs w:val="32"/>
          <w:lang w:val="en-US" w:eastAsia="zh-CN"/>
        </w:rPr>
        <w:t>成本增加</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Times New Roman" w:eastAsia="仿宋_GB2312" w:cs="Times New Roman"/>
          <w:b/>
          <w:sz w:val="32"/>
          <w:szCs w:val="32"/>
        </w:rPr>
        <w:t>公务用车购置支出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Fonts w:hint="eastAsia" w:ascii="仿宋_GB2312" w:hAnsi="仿宋_GB2312" w:eastAsia="仿宋_GB2312" w:cs="仿宋_GB2312"/>
          <w:sz w:val="32"/>
          <w:szCs w:val="32"/>
        </w:rPr>
        <w:t>全年未购置新车，截至202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年12月底，单位共有公务用车7辆，其中：轿车3辆</w:t>
      </w:r>
      <w:r>
        <w:rPr>
          <w:rFonts w:hint="eastAsia" w:ascii="仿宋_GB2312" w:eastAsia="仿宋_GB2312"/>
          <w:sz w:val="32"/>
          <w:szCs w:val="32"/>
          <w:lang w:eastAsia="zh-CN"/>
        </w:rPr>
        <w:t>，</w:t>
      </w:r>
      <w:r>
        <w:rPr>
          <w:rFonts w:hint="eastAsia" w:ascii="仿宋_GB2312" w:eastAsia="仿宋_GB2312"/>
          <w:sz w:val="32"/>
          <w:szCs w:val="32"/>
          <w:lang w:val="en-US" w:eastAsia="zh-CN"/>
        </w:rPr>
        <w:t>原值共计约50.57万元；</w:t>
      </w:r>
      <w:r>
        <w:rPr>
          <w:rFonts w:hint="eastAsia" w:ascii="仿宋_GB2312" w:hAnsi="仿宋_GB2312" w:eastAsia="仿宋_GB2312" w:cs="仿宋_GB2312"/>
          <w:sz w:val="32"/>
          <w:szCs w:val="32"/>
        </w:rPr>
        <w:t>越野车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原值约23.18万元；微型车3辆，原值约13.99万元；</w:t>
      </w:r>
      <w:r>
        <w:rPr>
          <w:rFonts w:hint="eastAsia" w:ascii="仿宋_GB2312" w:hAnsi="仿宋_GB2312" w:eastAsia="仿宋_GB2312" w:cs="仿宋_GB2312"/>
          <w:sz w:val="32"/>
          <w:szCs w:val="32"/>
        </w:rPr>
        <w:t>载客汽车0辆。</w:t>
      </w:r>
    </w:p>
    <w:p>
      <w:pPr>
        <w:spacing w:line="600" w:lineRule="exact"/>
        <w:ind w:firstLine="640"/>
        <w:rPr>
          <w:rFonts w:ascii="仿宋_GB2312" w:hAnsi="仿宋_GB2312" w:eastAsia="仿宋_GB2312" w:cs="仿宋_GB2312"/>
          <w:sz w:val="32"/>
          <w:szCs w:val="32"/>
        </w:rPr>
      </w:pPr>
      <w:r>
        <w:rPr>
          <w:rFonts w:hint="eastAsia" w:ascii="仿宋_GB2312" w:hAnsi="Times New Roman" w:eastAsia="仿宋_GB2312" w:cs="Times New Roman"/>
          <w:b/>
          <w:sz w:val="32"/>
          <w:szCs w:val="32"/>
        </w:rPr>
        <w:t>公务用车运行维护费支出</w:t>
      </w:r>
      <w:r>
        <w:rPr>
          <w:rFonts w:hint="eastAsia" w:ascii="仿宋_GB2312" w:hAnsi="Times New Roman" w:eastAsia="仿宋_GB2312" w:cs="Times New Roman"/>
          <w:b w:val="0"/>
          <w:bCs/>
          <w:sz w:val="32"/>
          <w:szCs w:val="32"/>
          <w:lang w:val="en-US" w:eastAsia="zh-CN"/>
        </w:rPr>
        <w:t>25.64</w:t>
      </w:r>
      <w:r>
        <w:rPr>
          <w:rFonts w:hint="eastAsia" w:ascii="仿宋_GB2312" w:hAnsi="仿宋_GB2312" w:eastAsia="仿宋_GB2312" w:cs="仿宋_GB2312"/>
          <w:sz w:val="32"/>
          <w:szCs w:val="32"/>
        </w:rPr>
        <w:t>万元。主要用于</w:t>
      </w:r>
      <w:r>
        <w:rPr>
          <w:rFonts w:hint="eastAsia" w:ascii="仿宋_GB2312" w:eastAsia="仿宋_GB2312"/>
          <w:color w:val="000000"/>
          <w:sz w:val="32"/>
          <w:szCs w:val="32"/>
        </w:rPr>
        <w:t>脱贫攻坚、乡村振兴、</w:t>
      </w:r>
      <w:r>
        <w:rPr>
          <w:rFonts w:hint="eastAsia" w:ascii="仿宋_GB2312" w:eastAsia="仿宋_GB2312"/>
          <w:sz w:val="32"/>
          <w:szCs w:val="32"/>
        </w:rPr>
        <w:t>农业畜牧业产业发展、农产品质量监督管理</w:t>
      </w:r>
      <w:r>
        <w:rPr>
          <w:rFonts w:hint="eastAsia" w:ascii="仿宋_GB2312" w:eastAsia="仿宋_GB2312"/>
          <w:color w:val="000000"/>
          <w:sz w:val="32"/>
          <w:szCs w:val="32"/>
        </w:rPr>
        <w:t>等</w:t>
      </w:r>
      <w:r>
        <w:rPr>
          <w:rFonts w:hint="eastAsia" w:ascii="仿宋_GB2312" w:hAnsi="仿宋_GB2312" w:eastAsia="仿宋_GB2312" w:cs="仿宋_GB2312"/>
          <w:sz w:val="32"/>
          <w:szCs w:val="32"/>
        </w:rPr>
        <w:t>所需的公务用车燃料费、维修费、过路过桥费、保险费等支出。</w:t>
      </w:r>
    </w:p>
    <w:p>
      <w:pPr>
        <w:numPr>
          <w:ilvl w:val="0"/>
          <w:numId w:val="1"/>
        </w:numPr>
        <w:spacing w:line="600" w:lineRule="exact"/>
        <w:ind w:firstLine="640"/>
        <w:rPr>
          <w:rFonts w:hint="eastAsia" w:ascii="仿宋_GB2312" w:hAnsi="仿宋_GB2312" w:eastAsia="仿宋_GB2312" w:cs="仿宋_GB2312"/>
          <w:sz w:val="32"/>
          <w:szCs w:val="32"/>
        </w:rPr>
      </w:pPr>
      <w:r>
        <w:rPr>
          <w:rFonts w:hint="eastAsia" w:ascii="仿宋_GB2312" w:hAnsi="Times New Roman" w:eastAsia="仿宋_GB2312" w:cs="Times New Roman"/>
          <w:b/>
          <w:sz w:val="32"/>
          <w:szCs w:val="32"/>
        </w:rPr>
        <w:t>公务接待费支出</w:t>
      </w:r>
      <w:r>
        <w:rPr>
          <w:rFonts w:hint="eastAsia" w:ascii="仿宋_GB2312" w:hAnsi="仿宋_GB2312" w:eastAsia="仿宋_GB2312" w:cs="仿宋_GB2312"/>
          <w:sz w:val="32"/>
          <w:szCs w:val="32"/>
          <w:lang w:val="en-US" w:eastAsia="zh-CN"/>
        </w:rPr>
        <w:t>5.37</w:t>
      </w:r>
      <w:r>
        <w:rPr>
          <w:rFonts w:hint="eastAsia" w:ascii="仿宋_GB2312" w:hAnsi="仿宋_GB2312" w:eastAsia="仿宋_GB2312" w:cs="仿宋_GB2312"/>
          <w:sz w:val="32"/>
          <w:szCs w:val="32"/>
        </w:rPr>
        <w:t>万元，</w:t>
      </w:r>
      <w:r>
        <w:rPr>
          <w:rStyle w:val="22"/>
          <w:rFonts w:hint="eastAsia" w:ascii="仿宋_GB2312" w:hAnsi="仿宋_GB2312" w:eastAsia="仿宋_GB2312" w:cs="仿宋_GB2312"/>
          <w:b w:val="0"/>
          <w:sz w:val="32"/>
          <w:szCs w:val="32"/>
        </w:rPr>
        <w:t>完成预算</w:t>
      </w:r>
      <w:r>
        <w:rPr>
          <w:rStyle w:val="22"/>
          <w:rFonts w:hint="eastAsia" w:ascii="仿宋_GB2312" w:hAnsi="仿宋_GB2312" w:eastAsia="仿宋_GB2312" w:cs="仿宋_GB2312"/>
          <w:b w:val="0"/>
          <w:sz w:val="32"/>
          <w:szCs w:val="32"/>
          <w:lang w:val="en-US" w:eastAsia="zh-CN"/>
        </w:rPr>
        <w:t>100.00</w:t>
      </w:r>
      <w:r>
        <w:rPr>
          <w:rStyle w:val="22"/>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公务接待费支出决算比202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减少3.03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减少36.08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单</w:t>
      </w:r>
      <w:r>
        <w:rPr>
          <w:rFonts w:hint="eastAsia" w:ascii="仿宋_GB2312" w:hAnsi="仿宋_GB2312" w:eastAsia="仿宋_GB2312" w:cs="仿宋_GB2312"/>
          <w:sz w:val="32"/>
          <w:szCs w:val="32"/>
        </w:rPr>
        <w:t>位严格控制“三公”经费使用，倡导节约，</w:t>
      </w:r>
      <w:r>
        <w:rPr>
          <w:rFonts w:hint="eastAsia" w:ascii="仿宋_GB2312" w:eastAsia="仿宋_GB2312"/>
          <w:sz w:val="32"/>
          <w:szCs w:val="32"/>
          <w:lang w:val="en-US" w:eastAsia="zh-CN"/>
        </w:rPr>
        <w:t>精减了</w:t>
      </w:r>
      <w:r>
        <w:rPr>
          <w:rFonts w:hint="eastAsia" w:ascii="仿宋_GB2312" w:eastAsia="仿宋_GB2312"/>
          <w:sz w:val="32"/>
          <w:szCs w:val="32"/>
        </w:rPr>
        <w:t>公务</w:t>
      </w:r>
      <w:r>
        <w:rPr>
          <w:rFonts w:hint="eastAsia" w:ascii="仿宋_GB2312" w:eastAsia="仿宋_GB2312"/>
          <w:sz w:val="32"/>
          <w:szCs w:val="32"/>
          <w:lang w:val="en-US" w:eastAsia="zh-CN"/>
        </w:rPr>
        <w:t>接待</w:t>
      </w:r>
      <w:r>
        <w:rPr>
          <w:rFonts w:hint="eastAsia" w:ascii="仿宋_GB2312" w:eastAsia="仿宋_GB2312"/>
          <w:sz w:val="32"/>
          <w:szCs w:val="32"/>
        </w:rPr>
        <w:t>费用</w:t>
      </w:r>
      <w:r>
        <w:rPr>
          <w:rFonts w:hint="eastAsia" w:ascii="仿宋_GB2312" w:hAnsi="仿宋_GB2312" w:eastAsia="仿宋_GB2312" w:cs="仿宋_GB2312"/>
          <w:sz w:val="32"/>
          <w:szCs w:val="32"/>
        </w:rPr>
        <w:t>。其中：</w:t>
      </w:r>
    </w:p>
    <w:p>
      <w:pPr>
        <w:numPr>
          <w:ilvl w:val="0"/>
          <w:numId w:val="0"/>
        </w:numPr>
        <w:spacing w:line="600" w:lineRule="exact"/>
        <w:ind w:firstLine="643" w:firstLineChars="200"/>
        <w:rPr>
          <w:rFonts w:hint="eastAsia" w:ascii="仿宋_GB2312" w:eastAsia="仿宋_GB2312"/>
          <w:sz w:val="32"/>
          <w:szCs w:val="32"/>
        </w:rPr>
      </w:pPr>
      <w:r>
        <w:rPr>
          <w:rFonts w:hint="eastAsia" w:ascii="仿宋_GB2312" w:hAnsi="Times New Roman" w:eastAsia="仿宋_GB2312" w:cs="Times New Roman"/>
          <w:b/>
          <w:sz w:val="32"/>
          <w:szCs w:val="32"/>
        </w:rPr>
        <w:t>国内公务接待支出</w:t>
      </w:r>
      <w:r>
        <w:rPr>
          <w:rFonts w:hint="eastAsia" w:ascii="仿宋_GB2312" w:hAnsi="仿宋_GB2312" w:eastAsia="仿宋_GB2312" w:cs="仿宋_GB2312"/>
          <w:sz w:val="32"/>
          <w:szCs w:val="32"/>
          <w:lang w:val="en-US" w:eastAsia="zh-CN"/>
        </w:rPr>
        <w:t>5.37</w:t>
      </w:r>
      <w:r>
        <w:rPr>
          <w:rFonts w:hint="eastAsia" w:ascii="仿宋_GB2312" w:hAnsi="仿宋_GB2312" w:eastAsia="仿宋_GB2312" w:cs="仿宋_GB2312"/>
          <w:sz w:val="32"/>
          <w:szCs w:val="32"/>
        </w:rPr>
        <w:t>万元，主要用于执行公务、开展业务活动开支的交通费、住宿费、用餐费等。国内公务接待</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956</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5.37</w:t>
      </w:r>
      <w:r>
        <w:rPr>
          <w:rFonts w:hint="eastAsia" w:ascii="仿宋_GB2312" w:hAnsi="仿宋_GB2312" w:eastAsia="仿宋_GB2312" w:cs="仿宋_GB2312"/>
          <w:sz w:val="32"/>
          <w:szCs w:val="32"/>
        </w:rPr>
        <w:t>万元，具体内容包括：</w:t>
      </w:r>
      <w:r>
        <w:rPr>
          <w:rFonts w:hint="eastAsia" w:ascii="仿宋_GB2312" w:eastAsia="仿宋_GB2312"/>
          <w:sz w:val="32"/>
          <w:szCs w:val="32"/>
        </w:rPr>
        <w:t>接待脱贫攻坚、乡村振兴、农业产业发展、农产品质量监督管理等农业工作所发生的费用。</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外事接待支出</w:t>
      </w:r>
      <w:r>
        <w:rPr>
          <w:rFonts w:hint="eastAsia" w:ascii="仿宋_GB2312" w:hAnsi="仿宋_GB2312" w:eastAsia="仿宋_GB2312" w:cs="仿宋_GB2312"/>
          <w:sz w:val="32"/>
          <w:szCs w:val="32"/>
        </w:rPr>
        <w:t>0万元，外事接待0批次，0人，共计支出0万元。</w:t>
      </w:r>
    </w:p>
    <w:p>
      <w:pPr>
        <w:pStyle w:val="2"/>
      </w:pPr>
    </w:p>
    <w:p>
      <w:pPr>
        <w:spacing w:line="600" w:lineRule="exact"/>
        <w:ind w:firstLine="640"/>
        <w:outlineLvl w:val="1"/>
        <w:rPr>
          <w:rFonts w:hint="eastAsia" w:ascii="黑体" w:hAnsi="Times New Roman" w:eastAsia="黑体" w:cs="Times New Roman"/>
          <w:sz w:val="32"/>
          <w:szCs w:val="32"/>
        </w:rPr>
      </w:pPr>
      <w:bookmarkStart w:id="40" w:name="_Toc15396610"/>
      <w:bookmarkStart w:id="41" w:name="_Toc15377218"/>
      <w:r>
        <w:rPr>
          <w:rFonts w:hint="eastAsia" w:ascii="黑体" w:hAnsi="Times New Roman" w:eastAsia="黑体" w:cs="Times New Roman"/>
          <w:sz w:val="32"/>
          <w:szCs w:val="32"/>
        </w:rPr>
        <w:t>八、政府性基金预算支出决算情况说明</w:t>
      </w:r>
      <w:bookmarkEnd w:id="40"/>
      <w:bookmarkEnd w:id="41"/>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13,189.77</w:t>
      </w:r>
      <w:r>
        <w:rPr>
          <w:rFonts w:hint="eastAsia" w:ascii="仿宋_GB2312" w:eastAsia="仿宋_GB2312"/>
          <w:sz w:val="32"/>
          <w:szCs w:val="32"/>
        </w:rPr>
        <w:t>万元。</w:t>
      </w:r>
    </w:p>
    <w:p>
      <w:pPr>
        <w:pStyle w:val="2"/>
      </w:pPr>
    </w:p>
    <w:p>
      <w:pPr>
        <w:numPr>
          <w:ilvl w:val="0"/>
          <w:numId w:val="2"/>
        </w:numPr>
        <w:spacing w:line="600" w:lineRule="exact"/>
        <w:ind w:firstLine="640"/>
        <w:outlineLvl w:val="1"/>
        <w:rPr>
          <w:rStyle w:val="33"/>
          <w:rFonts w:ascii="黑体" w:hAnsi="黑体" w:eastAsia="黑体"/>
          <w:b w:val="0"/>
        </w:rPr>
      </w:pPr>
      <w:bookmarkStart w:id="42" w:name="_Toc15377219"/>
      <w:bookmarkStart w:id="43" w:name="_Toc15396611"/>
      <w:r>
        <w:rPr>
          <w:rStyle w:val="33"/>
          <w:rFonts w:hint="eastAsia" w:ascii="黑体" w:hAnsi="黑体" w:eastAsia="黑体"/>
          <w:b w:val="0"/>
        </w:rPr>
        <w:t>国有资本经营预算支出决算情况说明</w:t>
      </w:r>
      <w:bookmarkEnd w:id="42"/>
      <w:bookmarkEnd w:id="43"/>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年国有资本经营预算财政拨款支出0万元。</w:t>
      </w:r>
    </w:p>
    <w:p>
      <w:pPr>
        <w:pStyle w:val="2"/>
      </w:pPr>
    </w:p>
    <w:p>
      <w:pPr>
        <w:numPr>
          <w:ilvl w:val="0"/>
          <w:numId w:val="2"/>
        </w:numPr>
        <w:spacing w:line="600" w:lineRule="exact"/>
        <w:ind w:firstLine="640"/>
        <w:outlineLvl w:val="1"/>
        <w:rPr>
          <w:rStyle w:val="33"/>
          <w:rFonts w:ascii="黑体" w:hAnsi="黑体" w:eastAsia="黑体"/>
          <w:b w:val="0"/>
        </w:rPr>
      </w:pPr>
      <w:bookmarkStart w:id="44" w:name="_Toc15396612"/>
      <w:bookmarkStart w:id="45" w:name="_Toc15377221"/>
      <w:r>
        <w:rPr>
          <w:rStyle w:val="33"/>
          <w:rFonts w:hint="eastAsia" w:ascii="黑体" w:hAnsi="黑体" w:eastAsia="黑体"/>
          <w:b w:val="0"/>
        </w:rPr>
        <w:t>其他重要事项的情况说明</w:t>
      </w:r>
      <w:bookmarkEnd w:id="44"/>
      <w:bookmarkEnd w:id="45"/>
    </w:p>
    <w:p>
      <w:pPr>
        <w:spacing w:line="600" w:lineRule="exact"/>
        <w:ind w:firstLine="640"/>
        <w:outlineLvl w:val="2"/>
        <w:rPr>
          <w:rFonts w:hint="eastAsia" w:ascii="楷体_GB2312" w:hAnsi="楷体_GB2312" w:eastAsia="楷体_GB2312" w:cs="楷体_GB2312"/>
          <w:b/>
          <w:sz w:val="32"/>
          <w:szCs w:val="32"/>
        </w:rPr>
      </w:pPr>
      <w:bookmarkStart w:id="46" w:name="_Toc15377222"/>
      <w:r>
        <w:rPr>
          <w:rFonts w:hint="eastAsia" w:ascii="楷体_GB2312" w:hAnsi="楷体_GB2312" w:eastAsia="楷体_GB2312" w:cs="楷体_GB2312"/>
          <w:b/>
          <w:sz w:val="32"/>
          <w:szCs w:val="32"/>
        </w:rPr>
        <w:t>（一）机关运行经费支出情况</w:t>
      </w:r>
      <w:bookmarkEnd w:id="46"/>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年，峨眉山市农业农村局机关运行经费支出</w:t>
      </w:r>
      <w:r>
        <w:rPr>
          <w:rFonts w:hint="eastAsia" w:ascii="仿宋_GB2312" w:hAnsi="仿宋_GB2312" w:eastAsia="仿宋_GB2312" w:cs="仿宋_GB2312"/>
          <w:sz w:val="32"/>
          <w:szCs w:val="32"/>
          <w:lang w:val="en-US" w:eastAsia="zh-CN"/>
        </w:rPr>
        <w:t>450.11</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增加174.63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增长63.40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机关运行成本增加，包括人员经费、三公经费增加等</w:t>
      </w:r>
      <w:r>
        <w:rPr>
          <w:rFonts w:hint="eastAsia" w:ascii="仿宋_GB2312" w:hAnsi="仿宋_GB2312" w:eastAsia="仿宋_GB2312" w:cs="仿宋_GB2312"/>
          <w:sz w:val="32"/>
          <w:szCs w:val="32"/>
        </w:rPr>
        <w:t>。</w:t>
      </w:r>
    </w:p>
    <w:p>
      <w:pPr>
        <w:spacing w:line="600" w:lineRule="exact"/>
        <w:ind w:firstLine="640"/>
        <w:outlineLvl w:val="2"/>
        <w:rPr>
          <w:rFonts w:hint="eastAsia" w:ascii="楷体_GB2312" w:hAnsi="楷体_GB2312" w:eastAsia="楷体_GB2312" w:cs="楷体_GB2312"/>
          <w:b/>
          <w:sz w:val="32"/>
          <w:szCs w:val="32"/>
        </w:rPr>
      </w:pPr>
      <w:bookmarkStart w:id="47" w:name="_Toc15377223"/>
      <w:r>
        <w:rPr>
          <w:rFonts w:hint="eastAsia" w:ascii="楷体_GB2312" w:hAnsi="楷体_GB2312" w:eastAsia="楷体_GB2312" w:cs="楷体_GB2312"/>
          <w:b/>
          <w:sz w:val="32"/>
          <w:szCs w:val="32"/>
        </w:rPr>
        <w:t>（二）政府采购支出情况</w:t>
      </w:r>
      <w:bookmarkEnd w:id="4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年，峨眉山市农业农村局政府采购支出总额0万元。</w:t>
      </w:r>
    </w:p>
    <w:p>
      <w:pPr>
        <w:spacing w:line="600" w:lineRule="exact"/>
        <w:ind w:firstLine="640"/>
        <w:outlineLvl w:val="2"/>
        <w:rPr>
          <w:rFonts w:hint="eastAsia" w:ascii="楷体_GB2312" w:hAnsi="楷体_GB2312" w:eastAsia="楷体_GB2312" w:cs="楷体_GB2312"/>
          <w:b/>
          <w:sz w:val="32"/>
          <w:szCs w:val="32"/>
        </w:rPr>
      </w:pPr>
      <w:bookmarkStart w:id="48" w:name="_Toc15377224"/>
      <w:r>
        <w:rPr>
          <w:rFonts w:hint="eastAsia" w:ascii="楷体_GB2312" w:hAnsi="楷体_GB2312" w:eastAsia="楷体_GB2312" w:cs="楷体_GB2312"/>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年12月31日，峨眉山市农业农村局共有车辆7辆，其中：主要领导干部用车3辆、机要通信用车0辆、应急保障用车0辆、其他用车4辆。其他用车主要是用于</w:t>
      </w:r>
      <w:r>
        <w:rPr>
          <w:rFonts w:hint="eastAsia" w:ascii="仿宋_GB2312" w:eastAsia="仿宋_GB2312"/>
          <w:sz w:val="32"/>
          <w:szCs w:val="32"/>
        </w:rPr>
        <w:t>脱贫攻坚、乡村振兴、农业产业发展、农产品质量监督管理等农业工作。</w:t>
      </w:r>
      <w:r>
        <w:rPr>
          <w:rFonts w:hint="eastAsia" w:ascii="仿宋_GB2312" w:hAnsi="仿宋_GB2312" w:eastAsia="仿宋_GB2312" w:cs="仿宋_GB2312"/>
          <w:sz w:val="32"/>
          <w:szCs w:val="32"/>
        </w:rPr>
        <w:t>单价100万元以上专用设备0台（套）。</w:t>
      </w:r>
    </w:p>
    <w:p>
      <w:pPr>
        <w:spacing w:line="600" w:lineRule="exact"/>
        <w:ind w:firstLine="640"/>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（四）预算绩效管理情况</w:t>
      </w:r>
    </w:p>
    <w:p>
      <w:pPr>
        <w:spacing w:line="60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根据预算绩效管理要求，本部门在202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年度预算编制阶段，组织对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农业生产发展资金（耕地地力补贴）</w:t>
      </w:r>
      <w:r>
        <w:rPr>
          <w:rFonts w:hint="eastAsia" w:ascii="仿宋_GB2312" w:hAnsi="仿宋_GB2312" w:eastAsia="仿宋_GB2312" w:cs="仿宋_GB2312"/>
          <w:color w:val="000000" w:themeColor="text1"/>
          <w:sz w:val="32"/>
          <w:szCs w:val="32"/>
          <w14:textFill>
            <w14:solidFill>
              <w14:schemeClr w14:val="tx1"/>
            </w14:solidFill>
          </w14:textFill>
        </w:rPr>
        <w:t>项目（项目名称）等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个项目开展了预算事前绩效评估，对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个项目编制了绩效目标，预算执行过程中，选取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个项目开展绩效监控，年终执行完毕后，对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个项目开展了绩效自评。</w:t>
      </w:r>
    </w:p>
    <w:p>
      <w:pPr>
        <w:widowControl/>
        <w:ind w:firstLine="640" w:firstLineChars="200"/>
        <w:jc w:val="both"/>
        <w:rPr>
          <w:rFonts w:hint="eastAsia" w:hAnsi="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同时，</w:t>
      </w: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本部门对202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年部门整体开展绩效自评，</w:t>
      </w:r>
      <w:r>
        <w:rPr>
          <w:rFonts w:hint="eastAsia" w:ascii="仿宋_GB2312" w:hAnsi="仿宋_GB2312" w:eastAsia="仿宋_GB2312" w:cs="仿宋_GB2312"/>
          <w:sz w:val="32"/>
          <w:szCs w:val="32"/>
        </w:rPr>
        <w:t>形成</w:t>
      </w:r>
      <w:r>
        <w:rPr>
          <w:rFonts w:hint="eastAsia" w:ascii="仿宋_GB2312" w:hAnsi="仿宋_GB2312" w:eastAsia="仿宋_GB2312" w:cs="仿宋_GB2312"/>
          <w:sz w:val="32"/>
          <w:szCs w:val="32"/>
          <w:lang w:val="en-US" w:eastAsia="zh-CN"/>
        </w:rPr>
        <w:t>峨眉山市农业农村局2022年</w:t>
      </w:r>
      <w:r>
        <w:rPr>
          <w:rFonts w:hint="eastAsia" w:ascii="仿宋_GB2312" w:hAnsi="仿宋_GB2312" w:eastAsia="仿宋_GB2312" w:cs="仿宋_GB2312"/>
          <w:sz w:val="32"/>
          <w:szCs w:val="32"/>
        </w:rPr>
        <w:t>部门整体支出绩效评价报告</w:t>
      </w:r>
      <w:r>
        <w:rPr>
          <w:rFonts w:hint="eastAsia" w:ascii="仿宋_GB2312" w:hAnsi="仿宋_GB2312" w:eastAsia="仿宋_GB2312" w:cs="仿宋_GB2312"/>
          <w:sz w:val="32"/>
          <w:szCs w:val="32"/>
          <w:lang w:eastAsia="zh-CN"/>
        </w:rPr>
        <w:t>、2022年农业固体废弃物回收处置项目</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val="en-US" w:eastAsia="zh-CN"/>
        </w:rPr>
        <w:t>峨眉山市农业农村局2022年</w:t>
      </w:r>
      <w:r>
        <w:rPr>
          <w:rFonts w:hint="eastAsia" w:ascii="仿宋_GB2312" w:hAnsi="仿宋_GB2312" w:eastAsia="仿宋_GB2312" w:cs="仿宋_GB2312"/>
          <w:sz w:val="32"/>
          <w:szCs w:val="32"/>
        </w:rPr>
        <w:t>部门整体支出绩效自评得分为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绩效自评表详见第四部分附件。</w:t>
      </w:r>
    </w:p>
    <w:p>
      <w:pPr>
        <w:pStyle w:val="19"/>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p>
      <w:pPr>
        <w:pStyle w:val="19"/>
        <w:ind w:left="0" w:leftChars="0" w:firstLine="0" w:firstLineChars="0"/>
        <w:rPr>
          <w:rFonts w:hint="eastAsia" w:ascii="仿宋_GB2312" w:hAnsi="仿宋_GB2312" w:eastAsia="仿宋_GB2312" w:cs="仿宋_GB2312"/>
          <w:sz w:val="32"/>
          <w:szCs w:val="32"/>
        </w:rPr>
      </w:pPr>
    </w:p>
    <w:p>
      <w:pPr>
        <w:widowControl/>
        <w:spacing w:line="600" w:lineRule="exact"/>
        <w:jc w:val="left"/>
        <w:rPr>
          <w:rFonts w:hint="eastAsia" w:ascii="方正小标宋_GBK" w:hAnsi="方正小标宋_GBK" w:eastAsia="方正小标宋_GBK" w:cs="方正小标宋_GBK"/>
          <w:sz w:val="44"/>
          <w:szCs w:val="44"/>
        </w:rPr>
      </w:pPr>
      <w:bookmarkStart w:id="49" w:name="_Toc15377225"/>
      <w:bookmarkStart w:id="50" w:name="_Toc15396613"/>
    </w:p>
    <w:p>
      <w:pPr>
        <w:widowControl/>
        <w:spacing w:line="600" w:lineRule="exact"/>
        <w:ind w:firstLine="2640" w:firstLineChars="600"/>
        <w:jc w:val="left"/>
        <w:rPr>
          <w:rStyle w:val="32"/>
          <w:rFonts w:ascii="方正小标宋_GBK" w:hAnsi="方正小标宋_GBK" w:eastAsia="方正小标宋_GBK" w:cs="方正小标宋_GBK"/>
          <w:b w:val="0"/>
        </w:rPr>
      </w:pPr>
      <w:r>
        <w:rPr>
          <w:rFonts w:hint="eastAsia" w:ascii="方正小标宋_GBK" w:hAnsi="方正小标宋_GBK" w:eastAsia="方正小标宋_GBK" w:cs="方正小标宋_GBK"/>
          <w:sz w:val="44"/>
          <w:szCs w:val="44"/>
        </w:rPr>
        <w:t>第三部分名</w:t>
      </w:r>
      <w:r>
        <w:rPr>
          <w:rStyle w:val="32"/>
          <w:rFonts w:hint="eastAsia" w:ascii="方正小标宋_GBK" w:hAnsi="方正小标宋_GBK" w:eastAsia="方正小标宋_GBK" w:cs="方正小标宋_GBK"/>
          <w:b w:val="0"/>
        </w:rPr>
        <w:t>词解释</w:t>
      </w:r>
      <w:bookmarkEnd w:id="49"/>
      <w:bookmarkEnd w:id="50"/>
    </w:p>
    <w:p>
      <w:pPr>
        <w:spacing w:line="600" w:lineRule="exact"/>
        <w:jc w:val="left"/>
        <w:rPr>
          <w:rFonts w:ascii="宋体"/>
          <w:b/>
          <w:sz w:val="44"/>
          <w:szCs w:val="44"/>
        </w:rPr>
      </w:pPr>
    </w:p>
    <w:p>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一般公共服务（类）：指</w:t>
      </w:r>
      <w:r>
        <w:rPr>
          <w:rFonts w:hint="eastAsia" w:ascii="仿宋_GB2312" w:eastAsia="仿宋_GB2312"/>
          <w:color w:val="000000"/>
          <w:sz w:val="32"/>
          <w:szCs w:val="32"/>
          <w:lang w:val="en-US" w:eastAsia="zh-CN"/>
        </w:rPr>
        <w:t>反映政府提供一般公共服务的支出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社会保障和就业（类）：指</w:t>
      </w:r>
      <w:r>
        <w:rPr>
          <w:rFonts w:hint="eastAsia" w:ascii="仿宋_GB2312" w:eastAsia="仿宋_GB2312"/>
          <w:color w:val="000000"/>
          <w:sz w:val="32"/>
          <w:szCs w:val="32"/>
          <w:lang w:val="en-US" w:eastAsia="zh-CN"/>
        </w:rPr>
        <w:t>反映政府在社会保障与就业方面的支出</w:t>
      </w:r>
      <w:r>
        <w:rPr>
          <w:rFonts w:hint="eastAsia" w:ascii="仿宋_GB2312" w:eastAsia="仿宋_GB2312"/>
          <w:color w:val="000000"/>
          <w:sz w:val="32"/>
          <w:szCs w:val="32"/>
        </w:rPr>
        <w:t>。</w:t>
      </w:r>
    </w:p>
    <w:p>
      <w:pPr>
        <w:ind w:firstLine="420" w:firstLineChars="200"/>
        <w:rPr>
          <w:rFonts w:hint="default" w:ascii="仿宋_GB2312" w:eastAsia="仿宋_GB2312"/>
          <w:color w:val="000000"/>
          <w:sz w:val="32"/>
          <w:szCs w:val="32"/>
          <w:lang w:val="en-US" w:eastAsia="zh-CN"/>
        </w:rPr>
      </w:pPr>
      <w:r>
        <w:rPr>
          <w:rFonts w:hint="eastAsia" w:eastAsia="仿宋_GB2312"/>
          <w:lang w:val="en-US" w:eastAsia="zh-CN"/>
        </w:rPr>
        <w:t xml:space="preserve"> </w:t>
      </w:r>
      <w:r>
        <w:rPr>
          <w:rFonts w:hint="eastAsia"/>
          <w:lang w:val="en-US" w:eastAsia="zh-CN"/>
        </w:rPr>
        <w:t xml:space="preserve"> </w:t>
      </w:r>
      <w:r>
        <w:rPr>
          <w:rFonts w:hint="eastAsia" w:ascii="仿宋_GB2312" w:eastAsia="仿宋_GB2312"/>
          <w:color w:val="000000"/>
          <w:sz w:val="32"/>
          <w:szCs w:val="32"/>
          <w:lang w:val="en-US" w:eastAsia="zh-CN"/>
        </w:rPr>
        <w:t>11.卫生健康（类）：指反映政府卫生健康方面的支出。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12.农林水（类）：指反映政府农林水事务支出。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13.住房保障（类）：指反映政府用于住房方面的支出。</w:t>
      </w:r>
    </w:p>
    <w:p>
      <w:pPr>
        <w:ind w:firstLine="640" w:firstLineChars="200"/>
      </w:pPr>
      <w:r>
        <w:rPr>
          <w:rFonts w:hint="eastAsia" w:ascii="仿宋_GB2312" w:eastAsia="仿宋_GB2312"/>
          <w:color w:val="000000"/>
          <w:sz w:val="32"/>
          <w:szCs w:val="32"/>
          <w:lang w:val="en-US" w:eastAsia="zh-CN"/>
        </w:rPr>
        <w:t>14.基本支出：指为保障机构正常运转、完成日常工作任务而发生的人员支出和公用支出</w:t>
      </w:r>
      <w:r>
        <w:rPr>
          <w:rFonts w:hint="eastAsia"/>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方正小标宋简体" w:hAnsi="方正小标宋简体" w:eastAsia="方正小标宋简体" w:cs="方正小标宋简体"/>
          <w:b w:val="0"/>
          <w:bCs/>
          <w:kern w:val="44"/>
          <w:sz w:val="44"/>
          <w:szCs w:val="44"/>
          <w:lang w:val="en-US" w:eastAsia="zh-CN" w:bidi="ar-SA"/>
        </w:rPr>
      </w:pPr>
      <w:bookmarkStart w:id="51" w:name="_Toc15377226"/>
      <w:r>
        <w:rPr>
          <w:rFonts w:ascii="宋体"/>
          <w:b/>
          <w:sz w:val="44"/>
          <w:szCs w:val="44"/>
        </w:rPr>
        <w:br w:type="page"/>
      </w:r>
      <w:bookmarkStart w:id="52" w:name="_Toc15396614"/>
      <w:r>
        <w:rPr>
          <w:rFonts w:hint="eastAsia" w:ascii="方正小标宋简体" w:hAnsi="方正小标宋简体" w:eastAsia="方正小标宋简体" w:cs="方正小标宋简体"/>
          <w:b w:val="0"/>
          <w:bCs/>
          <w:kern w:val="44"/>
          <w:sz w:val="44"/>
          <w:szCs w:val="44"/>
          <w:lang w:val="en-US" w:eastAsia="zh-CN" w:bidi="ar-SA"/>
        </w:rPr>
        <w:t>第四部分 附件</w:t>
      </w:r>
      <w:bookmarkEnd w:id="52"/>
    </w:p>
    <w:p>
      <w:pPr>
        <w:spacing w:line="600" w:lineRule="exact"/>
        <w:ind w:firstLine="640" w:firstLineChars="200"/>
        <w:rPr>
          <w:rFonts w:hint="eastAsia" w:ascii="仿宋_GB2312" w:hAnsi="仿宋_GB2312" w:eastAsia="仿宋_GB2312" w:cs="仿宋_GB2312"/>
          <w:sz w:val="32"/>
          <w:szCs w:val="32"/>
          <w:lang w:val="en-US" w:eastAsia="zh-CN"/>
        </w:rPr>
      </w:pPr>
      <w:bookmarkStart w:id="53" w:name="_Toc15396618"/>
    </w:p>
    <w:p>
      <w:pPr>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峨眉山市农业农村局</w:t>
      </w:r>
      <w:r>
        <w:rPr>
          <w:rFonts w:hint="eastAsia" w:ascii="仿宋_GB2312" w:hAnsi="仿宋_GB2312" w:eastAsia="仿宋_GB2312" w:cs="仿宋_GB2312"/>
          <w:sz w:val="32"/>
          <w:szCs w:val="32"/>
          <w:lang w:val="zh-CN"/>
        </w:rPr>
        <w:t>预算项目支出绩效自评表（2022年度）</w:t>
      </w:r>
    </w:p>
    <w:p>
      <w:pPr>
        <w:pStyle w:val="2"/>
        <w:rPr>
          <w:rFonts w:hint="eastAsia"/>
          <w:lang w:val="zh-CN"/>
        </w:rPr>
      </w:pPr>
    </w:p>
    <w:p>
      <w:pPr>
        <w:spacing w:line="600" w:lineRule="exact"/>
        <w:jc w:val="center"/>
        <w:outlineLvl w:val="0"/>
        <w:rPr>
          <w:rFonts w:hint="eastAsia" w:ascii="方正小标宋简体" w:hAnsi="方正小标宋简体" w:eastAsia="方正小标宋简体" w:cs="方正小标宋简体"/>
          <w:b w:val="0"/>
          <w:bCs/>
          <w:kern w:val="44"/>
          <w:sz w:val="44"/>
          <w:szCs w:val="44"/>
          <w:lang w:val="en-US" w:eastAsia="zh-CN" w:bidi="ar-SA"/>
        </w:rPr>
      </w:pPr>
      <w:r>
        <w:rPr>
          <w:rFonts w:hint="eastAsia" w:ascii="方正小标宋简体" w:hAnsi="方正小标宋简体" w:eastAsia="方正小标宋简体" w:cs="方正小标宋简体"/>
          <w:b w:val="0"/>
          <w:bCs/>
          <w:kern w:val="44"/>
          <w:sz w:val="44"/>
          <w:szCs w:val="44"/>
          <w:lang w:val="en-US" w:eastAsia="zh-CN" w:bidi="ar-SA"/>
        </w:rPr>
        <w:t>第五部分 附表</w:t>
      </w:r>
      <w:bookmarkEnd w:id="51"/>
      <w:bookmarkEnd w:id="53"/>
      <w:bookmarkStart w:id="54" w:name="_Toc15396619"/>
    </w:p>
    <w:p>
      <w:pPr>
        <w:pStyle w:val="2"/>
        <w:spacing w:before="93" w:line="600" w:lineRule="exact"/>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4"/>
    </w:p>
    <w:p>
      <w:pPr>
        <w:spacing w:line="600" w:lineRule="exact"/>
        <w:ind w:firstLine="640" w:firstLineChars="200"/>
        <w:rPr>
          <w:rFonts w:ascii="仿宋_GB2312" w:hAnsi="仿宋_GB2312" w:eastAsia="仿宋_GB2312" w:cs="仿宋_GB2312"/>
          <w:sz w:val="32"/>
          <w:szCs w:val="32"/>
        </w:rPr>
      </w:pPr>
      <w:bookmarkStart w:id="55" w:name="_Toc15396620"/>
      <w:r>
        <w:rPr>
          <w:rFonts w:hint="eastAsia" w:ascii="仿宋_GB2312" w:hAnsi="仿宋_GB2312" w:eastAsia="仿宋_GB2312" w:cs="仿宋_GB2312"/>
          <w:sz w:val="32"/>
          <w:szCs w:val="32"/>
        </w:rPr>
        <w:t>二、收入决算表</w:t>
      </w:r>
      <w:bookmarkEnd w:id="55"/>
    </w:p>
    <w:p>
      <w:pPr>
        <w:spacing w:line="600" w:lineRule="exact"/>
        <w:ind w:firstLine="640" w:firstLineChars="200"/>
        <w:rPr>
          <w:rFonts w:ascii="仿宋_GB2312" w:hAnsi="仿宋_GB2312" w:eastAsia="仿宋_GB2312" w:cs="仿宋_GB2312"/>
          <w:sz w:val="32"/>
          <w:szCs w:val="32"/>
        </w:rPr>
      </w:pPr>
      <w:bookmarkStart w:id="56" w:name="_Toc15396621"/>
      <w:r>
        <w:rPr>
          <w:rFonts w:hint="eastAsia" w:ascii="仿宋_GB2312" w:hAnsi="仿宋_GB2312" w:eastAsia="仿宋_GB2312" w:cs="仿宋_GB2312"/>
          <w:sz w:val="32"/>
          <w:szCs w:val="32"/>
        </w:rPr>
        <w:t>三、支出决算表</w:t>
      </w:r>
      <w:bookmarkEnd w:id="56"/>
    </w:p>
    <w:p>
      <w:pPr>
        <w:spacing w:line="600" w:lineRule="exact"/>
        <w:ind w:firstLine="640" w:firstLineChars="200"/>
        <w:rPr>
          <w:rFonts w:ascii="仿宋_GB2312" w:hAnsi="仿宋_GB2312" w:eastAsia="仿宋_GB2312" w:cs="仿宋_GB2312"/>
          <w:sz w:val="32"/>
          <w:szCs w:val="32"/>
        </w:rPr>
      </w:pPr>
      <w:bookmarkStart w:id="57" w:name="_Toc15396622"/>
      <w:r>
        <w:rPr>
          <w:rFonts w:hint="eastAsia" w:ascii="仿宋_GB2312" w:hAnsi="仿宋_GB2312" w:eastAsia="仿宋_GB2312" w:cs="仿宋_GB2312"/>
          <w:sz w:val="32"/>
          <w:szCs w:val="32"/>
        </w:rPr>
        <w:t>四、财政拨款收入支出决算总表</w:t>
      </w:r>
      <w:bookmarkEnd w:id="57"/>
    </w:p>
    <w:p>
      <w:pPr>
        <w:spacing w:line="600" w:lineRule="exact"/>
        <w:ind w:firstLine="640" w:firstLineChars="200"/>
        <w:rPr>
          <w:rFonts w:ascii="仿宋_GB2312" w:hAnsi="仿宋_GB2312" w:eastAsia="仿宋_GB2312" w:cs="仿宋_GB2312"/>
          <w:sz w:val="32"/>
          <w:szCs w:val="32"/>
        </w:rPr>
      </w:pPr>
      <w:bookmarkStart w:id="58" w:name="_Toc15396623"/>
      <w:r>
        <w:rPr>
          <w:rFonts w:hint="eastAsia" w:ascii="仿宋_GB2312" w:hAnsi="仿宋_GB2312" w:eastAsia="仿宋_GB2312" w:cs="仿宋_GB2312"/>
          <w:sz w:val="32"/>
          <w:szCs w:val="32"/>
        </w:rPr>
        <w:t>五、财政拨款支出决算明细表</w:t>
      </w:r>
      <w:bookmarkEnd w:id="58"/>
      <w:bookmarkStart w:id="59"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9"/>
    </w:p>
    <w:p>
      <w:pPr>
        <w:spacing w:line="600" w:lineRule="exact"/>
        <w:ind w:firstLine="640" w:firstLineChars="200"/>
        <w:rPr>
          <w:rFonts w:ascii="仿宋_GB2312" w:hAnsi="仿宋_GB2312" w:eastAsia="仿宋_GB2312" w:cs="仿宋_GB2312"/>
          <w:sz w:val="32"/>
          <w:szCs w:val="32"/>
        </w:rPr>
      </w:pPr>
      <w:bookmarkStart w:id="60" w:name="_Toc15396625"/>
      <w:r>
        <w:rPr>
          <w:rFonts w:hint="eastAsia" w:ascii="仿宋_GB2312" w:hAnsi="仿宋_GB2312" w:eastAsia="仿宋_GB2312" w:cs="仿宋_GB2312"/>
          <w:sz w:val="32"/>
          <w:szCs w:val="32"/>
        </w:rPr>
        <w:t>七、一般公共预算财政拨款支出决算明细表</w:t>
      </w:r>
      <w:bookmarkEnd w:id="60"/>
    </w:p>
    <w:p>
      <w:pPr>
        <w:spacing w:line="600" w:lineRule="exact"/>
        <w:ind w:firstLine="640" w:firstLineChars="200"/>
        <w:rPr>
          <w:rFonts w:ascii="仿宋_GB2312" w:hAnsi="仿宋_GB2312" w:eastAsia="仿宋_GB2312" w:cs="仿宋_GB2312"/>
          <w:sz w:val="32"/>
          <w:szCs w:val="32"/>
        </w:rPr>
      </w:pPr>
      <w:bookmarkStart w:id="61" w:name="_Toc15396626"/>
      <w:r>
        <w:rPr>
          <w:rFonts w:hint="eastAsia" w:ascii="仿宋_GB2312" w:hAnsi="仿宋_GB2312" w:eastAsia="仿宋_GB2312" w:cs="仿宋_GB2312"/>
          <w:sz w:val="32"/>
          <w:szCs w:val="32"/>
        </w:rPr>
        <w:t>八、一般公共预算财政拨款基本支出决算表</w:t>
      </w:r>
      <w:bookmarkEnd w:id="61"/>
    </w:p>
    <w:p>
      <w:pPr>
        <w:spacing w:line="600" w:lineRule="exact"/>
        <w:ind w:firstLine="640" w:firstLineChars="200"/>
        <w:rPr>
          <w:rFonts w:ascii="仿宋_GB2312" w:hAnsi="仿宋_GB2312" w:eastAsia="仿宋_GB2312" w:cs="仿宋_GB2312"/>
          <w:sz w:val="32"/>
          <w:szCs w:val="32"/>
        </w:rPr>
      </w:pPr>
      <w:bookmarkStart w:id="62" w:name="_Toc15396627"/>
      <w:r>
        <w:rPr>
          <w:rFonts w:hint="eastAsia" w:ascii="仿宋_GB2312" w:hAnsi="仿宋_GB2312" w:eastAsia="仿宋_GB2312" w:cs="仿宋_GB2312"/>
          <w:sz w:val="32"/>
          <w:szCs w:val="32"/>
        </w:rPr>
        <w:t>九、一般公共预算财政拨款项目支出决算表</w:t>
      </w:r>
      <w:bookmarkEnd w:id="62"/>
    </w:p>
    <w:p>
      <w:pPr>
        <w:spacing w:line="600" w:lineRule="exact"/>
        <w:ind w:firstLine="640" w:firstLineChars="200"/>
        <w:rPr>
          <w:rFonts w:ascii="仿宋_GB2312" w:hAnsi="仿宋_GB2312" w:eastAsia="仿宋_GB2312" w:cs="仿宋_GB2312"/>
          <w:sz w:val="32"/>
          <w:szCs w:val="32"/>
        </w:rPr>
      </w:pPr>
      <w:bookmarkStart w:id="63" w:name="_Toc15396628"/>
      <w:r>
        <w:rPr>
          <w:rFonts w:hint="eastAsia" w:ascii="仿宋_GB2312" w:hAnsi="仿宋_GB2312" w:eastAsia="仿宋_GB2312" w:cs="仿宋_GB2312"/>
          <w:sz w:val="32"/>
          <w:szCs w:val="32"/>
        </w:rPr>
        <w:t>十、一般公共预算财政拨款“三公”经费支出决算表</w:t>
      </w:r>
      <w:bookmarkEnd w:id="63"/>
    </w:p>
    <w:p>
      <w:pPr>
        <w:spacing w:line="600" w:lineRule="exact"/>
        <w:ind w:firstLine="640" w:firstLineChars="200"/>
        <w:rPr>
          <w:rFonts w:ascii="仿宋_GB2312" w:hAnsi="仿宋_GB2312" w:eastAsia="仿宋_GB2312" w:cs="仿宋_GB2312"/>
          <w:sz w:val="32"/>
          <w:szCs w:val="32"/>
        </w:rPr>
      </w:pPr>
      <w:bookmarkStart w:id="64" w:name="_Toc15396629"/>
      <w:r>
        <w:rPr>
          <w:rFonts w:hint="eastAsia" w:ascii="仿宋_GB2312" w:hAnsi="仿宋_GB2312" w:eastAsia="仿宋_GB2312" w:cs="仿宋_GB2312"/>
          <w:sz w:val="32"/>
          <w:szCs w:val="32"/>
        </w:rPr>
        <w:t>十一、政府性基金预算财政拨款收入支出决算表</w:t>
      </w:r>
      <w:bookmarkEnd w:id="64"/>
    </w:p>
    <w:p>
      <w:pPr>
        <w:spacing w:line="600" w:lineRule="exact"/>
        <w:ind w:firstLine="640" w:firstLineChars="200"/>
        <w:rPr>
          <w:rFonts w:ascii="仿宋_GB2312" w:hAnsi="仿宋_GB2312" w:eastAsia="仿宋_GB2312" w:cs="仿宋_GB2312"/>
          <w:sz w:val="32"/>
          <w:szCs w:val="32"/>
        </w:rPr>
      </w:pPr>
      <w:bookmarkStart w:id="65" w:name="_Toc15396630"/>
      <w:r>
        <w:rPr>
          <w:rFonts w:hint="eastAsia" w:ascii="仿宋_GB2312" w:hAnsi="仿宋_GB2312" w:eastAsia="仿宋_GB2312" w:cs="仿宋_GB2312"/>
          <w:sz w:val="32"/>
          <w:szCs w:val="32"/>
        </w:rPr>
        <w:t>十二、政府性基金预算财政拨款“三公”经费支出决算表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31"/>
      <w:r>
        <w:rPr>
          <w:rFonts w:hint="eastAsia" w:ascii="仿宋_GB2312" w:hAnsi="仿宋_GB2312" w:eastAsia="仿宋_GB2312" w:cs="仿宋_GB2312"/>
          <w:sz w:val="32"/>
          <w:szCs w:val="32"/>
        </w:rPr>
        <w:t>十三、国有资本经营预算财政拨款收入支出决算表</w:t>
      </w:r>
      <w:bookmarkEnd w:id="66"/>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红豆小标宋简体">
    <w:panose1 w:val="02000509000000000000"/>
    <w:charset w:val="86"/>
    <w:family w:val="auto"/>
    <w:pitch w:val="default"/>
    <w:sig w:usb0="00000001" w:usb1="08010410" w:usb2="00000012" w:usb3="00000000" w:csb0="00040001" w:csb1="00000000"/>
  </w:font>
  <w:font w:name="汉仪力量黑简">
    <w:panose1 w:val="00020600040101010101"/>
    <w:charset w:val="86"/>
    <w:family w:val="auto"/>
    <w:pitch w:val="default"/>
    <w:sig w:usb0="A00002BF" w:usb1="18EF7CFA" w:usb2="00000016" w:usb3="00000000" w:csb0="00040000" w:csb1="00000000"/>
  </w:font>
  <w:font w:name="方正大标宋简体">
    <w:panose1 w:val="02010601030101010101"/>
    <w:charset w:val="86"/>
    <w:family w:val="auto"/>
    <w:pitch w:val="default"/>
    <w:sig w:usb0="00000001" w:usb1="080E0000" w:usb2="00000000" w:usb3="00000000" w:csb0="00040000" w:csb1="00000000"/>
  </w:font>
  <w:font w:name="汉仪书魂体简">
    <w:panose1 w:val="02010600000101010101"/>
    <w:charset w:val="86"/>
    <w:family w:val="auto"/>
    <w:pitch w:val="default"/>
    <w:sig w:usb0="00000001" w:usb1="080E0800" w:usb2="00000002"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a:effectLst/>
                    </wps:spPr>
                    <wps:txbx>
                      <w:txbxContent>
                        <w:p>
                          <w:pPr>
                            <w:pStyle w:val="12"/>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 o:spid="_x0000_s1026"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NMbeTWAAAABwEAAA8AAAAAAAAAAQAgAAAAIgAAAGRycy9k&#10;b3ducmV2LnhtbFBLAQIUABQAAAAIAIdO4kC4j2y0PQIAAHAEAAAOAAAAAAAAAAEAIAAAACUBAABk&#10;cnMvZTJvRG9jLnhtbFBLBQYAAAAABgAGAFkBAADUBQAAAAA=&#10;">
              <v:fill on="f" focussize="0,0"/>
              <v:stroke on="f" weight="0.5pt"/>
              <v:imagedata o:title=""/>
              <o:lock v:ext="edit" aspectratio="f"/>
              <v:textbox inset="0mm,0mm,0mm,0mm">
                <w:txbxContent>
                  <w:p>
                    <w:pPr>
                      <w:pStyle w:val="12"/>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LDnL9jgCAABvBAAADgAAAGRycy9lMm9Eb2MueG1srVTNjtMw&#10;EL4j8Q6W7zRpgVVV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6f8s3VAAAACAEAAA8AAAAAAAAAAQAgAAAAIgAAAGRycy9kb3ducmV2&#10;LnhtbFBLAQIUABQAAAAIAIdO4kAsOcv2OAIAAG8EAAAOAAAAAAAAAAEAIAAAACQBAABkcnMvZTJv&#10;RG9jLnhtbFBLBQYAAAAABgAGAFkBAADOBQ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exact"/>
      <w:ind w:firstLine="640"/>
      <w:outlineLvl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53A3FD32"/>
    <w:multiLevelType w:val="singleLevel"/>
    <w:tmpl w:val="53A3FD32"/>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OTM2NmIwMjZiMmJmMmE1ZTgzYjA4MDRhOTY5ZmEifQ=="/>
  </w:docVars>
  <w:rsids>
    <w:rsidRoot w:val="00F1361C"/>
    <w:rsid w:val="000222C6"/>
    <w:rsid w:val="0002549F"/>
    <w:rsid w:val="000468DB"/>
    <w:rsid w:val="0006487A"/>
    <w:rsid w:val="00064CDC"/>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708E"/>
    <w:rsid w:val="00102C3E"/>
    <w:rsid w:val="001034BA"/>
    <w:rsid w:val="00114E9B"/>
    <w:rsid w:val="00142216"/>
    <w:rsid w:val="00144D6A"/>
    <w:rsid w:val="0014729F"/>
    <w:rsid w:val="00157BAB"/>
    <w:rsid w:val="001654D1"/>
    <w:rsid w:val="00174518"/>
    <w:rsid w:val="0018106D"/>
    <w:rsid w:val="0018401F"/>
    <w:rsid w:val="001877A7"/>
    <w:rsid w:val="00191536"/>
    <w:rsid w:val="00196687"/>
    <w:rsid w:val="001A6FA4"/>
    <w:rsid w:val="001C0962"/>
    <w:rsid w:val="001D7531"/>
    <w:rsid w:val="001E737D"/>
    <w:rsid w:val="001F0592"/>
    <w:rsid w:val="001F7506"/>
    <w:rsid w:val="002006CD"/>
    <w:rsid w:val="00202B36"/>
    <w:rsid w:val="00204B7A"/>
    <w:rsid w:val="00204CDE"/>
    <w:rsid w:val="0021101A"/>
    <w:rsid w:val="00220536"/>
    <w:rsid w:val="00227D93"/>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12B51"/>
    <w:rsid w:val="003216A9"/>
    <w:rsid w:val="00335A74"/>
    <w:rsid w:val="00350671"/>
    <w:rsid w:val="00354D65"/>
    <w:rsid w:val="0036561B"/>
    <w:rsid w:val="0037013F"/>
    <w:rsid w:val="00380C92"/>
    <w:rsid w:val="0039187E"/>
    <w:rsid w:val="0039341A"/>
    <w:rsid w:val="00397B57"/>
    <w:rsid w:val="003A484F"/>
    <w:rsid w:val="003A4883"/>
    <w:rsid w:val="003B0B83"/>
    <w:rsid w:val="003B0BE0"/>
    <w:rsid w:val="003B0C1B"/>
    <w:rsid w:val="003B688C"/>
    <w:rsid w:val="003C0291"/>
    <w:rsid w:val="003C39AE"/>
    <w:rsid w:val="003C7B60"/>
    <w:rsid w:val="003D0C0F"/>
    <w:rsid w:val="003D1FB2"/>
    <w:rsid w:val="003D66DA"/>
    <w:rsid w:val="003E0737"/>
    <w:rsid w:val="003E1310"/>
    <w:rsid w:val="003E6F55"/>
    <w:rsid w:val="003F6E48"/>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1DF8"/>
    <w:rsid w:val="00505A47"/>
    <w:rsid w:val="00512FDA"/>
    <w:rsid w:val="00520DA0"/>
    <w:rsid w:val="0052197D"/>
    <w:rsid w:val="005664BB"/>
    <w:rsid w:val="00566FFA"/>
    <w:rsid w:val="0057481D"/>
    <w:rsid w:val="0058486E"/>
    <w:rsid w:val="00585B33"/>
    <w:rsid w:val="0059014D"/>
    <w:rsid w:val="005A1077"/>
    <w:rsid w:val="005B5C64"/>
    <w:rsid w:val="005C5337"/>
    <w:rsid w:val="005C6BD0"/>
    <w:rsid w:val="005D1C8B"/>
    <w:rsid w:val="005D468D"/>
    <w:rsid w:val="005D5CED"/>
    <w:rsid w:val="005F1A4C"/>
    <w:rsid w:val="005F2C76"/>
    <w:rsid w:val="00605688"/>
    <w:rsid w:val="006070AF"/>
    <w:rsid w:val="00607E6C"/>
    <w:rsid w:val="006101B1"/>
    <w:rsid w:val="00614E44"/>
    <w:rsid w:val="0062270A"/>
    <w:rsid w:val="00622830"/>
    <w:rsid w:val="00623DA0"/>
    <w:rsid w:val="0062654E"/>
    <w:rsid w:val="00630AEF"/>
    <w:rsid w:val="006325F8"/>
    <w:rsid w:val="00633463"/>
    <w:rsid w:val="00634C9A"/>
    <w:rsid w:val="006440E4"/>
    <w:rsid w:val="00651DE0"/>
    <w:rsid w:val="0065797C"/>
    <w:rsid w:val="006622AC"/>
    <w:rsid w:val="0066343B"/>
    <w:rsid w:val="00664777"/>
    <w:rsid w:val="006748A4"/>
    <w:rsid w:val="00681A31"/>
    <w:rsid w:val="00683E73"/>
    <w:rsid w:val="006919BE"/>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87BA4"/>
    <w:rsid w:val="0079426B"/>
    <w:rsid w:val="007A6328"/>
    <w:rsid w:val="007D1682"/>
    <w:rsid w:val="007D312A"/>
    <w:rsid w:val="007D3F19"/>
    <w:rsid w:val="007E23B0"/>
    <w:rsid w:val="007E23E5"/>
    <w:rsid w:val="007F1991"/>
    <w:rsid w:val="007F2C2F"/>
    <w:rsid w:val="007F55FC"/>
    <w:rsid w:val="007F5665"/>
    <w:rsid w:val="00800112"/>
    <w:rsid w:val="00812F53"/>
    <w:rsid w:val="00813348"/>
    <w:rsid w:val="00820C99"/>
    <w:rsid w:val="008253BB"/>
    <w:rsid w:val="0083706E"/>
    <w:rsid w:val="008408F6"/>
    <w:rsid w:val="008423A5"/>
    <w:rsid w:val="00850625"/>
    <w:rsid w:val="00853718"/>
    <w:rsid w:val="00855184"/>
    <w:rsid w:val="00855221"/>
    <w:rsid w:val="00860645"/>
    <w:rsid w:val="00871F71"/>
    <w:rsid w:val="00872FD8"/>
    <w:rsid w:val="00884759"/>
    <w:rsid w:val="00885AF4"/>
    <w:rsid w:val="008939CD"/>
    <w:rsid w:val="008B768C"/>
    <w:rsid w:val="008C4DB1"/>
    <w:rsid w:val="008C4EAF"/>
    <w:rsid w:val="008C5176"/>
    <w:rsid w:val="008C7FD0"/>
    <w:rsid w:val="008E1DE7"/>
    <w:rsid w:val="008E707C"/>
    <w:rsid w:val="00900B08"/>
    <w:rsid w:val="00902155"/>
    <w:rsid w:val="00902FA3"/>
    <w:rsid w:val="009178F4"/>
    <w:rsid w:val="00923564"/>
    <w:rsid w:val="0092392E"/>
    <w:rsid w:val="0092716F"/>
    <w:rsid w:val="009315F9"/>
    <w:rsid w:val="00933499"/>
    <w:rsid w:val="00935C98"/>
    <w:rsid w:val="00946945"/>
    <w:rsid w:val="00951248"/>
    <w:rsid w:val="0095152F"/>
    <w:rsid w:val="00954C49"/>
    <w:rsid w:val="00955E37"/>
    <w:rsid w:val="00963A13"/>
    <w:rsid w:val="0097099F"/>
    <w:rsid w:val="00971997"/>
    <w:rsid w:val="00971FFC"/>
    <w:rsid w:val="00985DD5"/>
    <w:rsid w:val="0098660A"/>
    <w:rsid w:val="009879E4"/>
    <w:rsid w:val="009931C3"/>
    <w:rsid w:val="009B2C43"/>
    <w:rsid w:val="009B4EAE"/>
    <w:rsid w:val="009B7573"/>
    <w:rsid w:val="009C22F4"/>
    <w:rsid w:val="009C2A4B"/>
    <w:rsid w:val="009C2E98"/>
    <w:rsid w:val="009D3447"/>
    <w:rsid w:val="009D4711"/>
    <w:rsid w:val="009E003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469E0"/>
    <w:rsid w:val="00A56DF2"/>
    <w:rsid w:val="00A56E6E"/>
    <w:rsid w:val="00A67AB5"/>
    <w:rsid w:val="00A733B2"/>
    <w:rsid w:val="00A741C2"/>
    <w:rsid w:val="00A86241"/>
    <w:rsid w:val="00A91760"/>
    <w:rsid w:val="00A93B00"/>
    <w:rsid w:val="00A93C21"/>
    <w:rsid w:val="00AB64C9"/>
    <w:rsid w:val="00AC3C6A"/>
    <w:rsid w:val="00AD5620"/>
    <w:rsid w:val="00AD656B"/>
    <w:rsid w:val="00AD7C1B"/>
    <w:rsid w:val="00AE16BA"/>
    <w:rsid w:val="00AE1EBE"/>
    <w:rsid w:val="00AF77F1"/>
    <w:rsid w:val="00B03C9D"/>
    <w:rsid w:val="00B060AE"/>
    <w:rsid w:val="00B10517"/>
    <w:rsid w:val="00B14E76"/>
    <w:rsid w:val="00B161B8"/>
    <w:rsid w:val="00B2048C"/>
    <w:rsid w:val="00B310B9"/>
    <w:rsid w:val="00B35F3F"/>
    <w:rsid w:val="00B36CBB"/>
    <w:rsid w:val="00B425E0"/>
    <w:rsid w:val="00B440AA"/>
    <w:rsid w:val="00B44B70"/>
    <w:rsid w:val="00B505A2"/>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27B4E"/>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278E"/>
    <w:rsid w:val="00D20620"/>
    <w:rsid w:val="00D254F7"/>
    <w:rsid w:val="00D26091"/>
    <w:rsid w:val="00D2685C"/>
    <w:rsid w:val="00D34E7C"/>
    <w:rsid w:val="00D35489"/>
    <w:rsid w:val="00D36AFE"/>
    <w:rsid w:val="00D50DE0"/>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0B34"/>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33FE"/>
    <w:rsid w:val="00FA23E8"/>
    <w:rsid w:val="00FC73AF"/>
    <w:rsid w:val="00FD3CC1"/>
    <w:rsid w:val="00FF1E02"/>
    <w:rsid w:val="00FF30B4"/>
    <w:rsid w:val="0105516F"/>
    <w:rsid w:val="01E21263"/>
    <w:rsid w:val="01EA2C1E"/>
    <w:rsid w:val="02274EC8"/>
    <w:rsid w:val="02315D47"/>
    <w:rsid w:val="025C5291"/>
    <w:rsid w:val="02A4476B"/>
    <w:rsid w:val="0348159A"/>
    <w:rsid w:val="041F054D"/>
    <w:rsid w:val="043B10FF"/>
    <w:rsid w:val="047A39D5"/>
    <w:rsid w:val="04CE00F8"/>
    <w:rsid w:val="05793D62"/>
    <w:rsid w:val="05864302"/>
    <w:rsid w:val="05FB3FFC"/>
    <w:rsid w:val="066A1827"/>
    <w:rsid w:val="066E0107"/>
    <w:rsid w:val="06982838"/>
    <w:rsid w:val="06F2019A"/>
    <w:rsid w:val="07996F6E"/>
    <w:rsid w:val="079D128C"/>
    <w:rsid w:val="08713341"/>
    <w:rsid w:val="087846CF"/>
    <w:rsid w:val="08C2594B"/>
    <w:rsid w:val="096D00E8"/>
    <w:rsid w:val="09BC4A90"/>
    <w:rsid w:val="0A0E6FC3"/>
    <w:rsid w:val="0A2032A3"/>
    <w:rsid w:val="0A253FFD"/>
    <w:rsid w:val="0A3D172D"/>
    <w:rsid w:val="0A6C7832"/>
    <w:rsid w:val="0B582596"/>
    <w:rsid w:val="0C4E2B00"/>
    <w:rsid w:val="0C6F7B97"/>
    <w:rsid w:val="0CB11F5E"/>
    <w:rsid w:val="0CF462EF"/>
    <w:rsid w:val="0D004C93"/>
    <w:rsid w:val="0D0202A9"/>
    <w:rsid w:val="0D3569F0"/>
    <w:rsid w:val="0E034A3B"/>
    <w:rsid w:val="0E0B7F16"/>
    <w:rsid w:val="0E5C267A"/>
    <w:rsid w:val="0E740B94"/>
    <w:rsid w:val="0ECB20BE"/>
    <w:rsid w:val="0F3B3192"/>
    <w:rsid w:val="0F5D44AF"/>
    <w:rsid w:val="0FEF171B"/>
    <w:rsid w:val="101860EC"/>
    <w:rsid w:val="105C6685"/>
    <w:rsid w:val="105E064F"/>
    <w:rsid w:val="10635C65"/>
    <w:rsid w:val="10B367AD"/>
    <w:rsid w:val="10BC1485"/>
    <w:rsid w:val="10C055FF"/>
    <w:rsid w:val="118107EC"/>
    <w:rsid w:val="11934328"/>
    <w:rsid w:val="11E95829"/>
    <w:rsid w:val="11F76665"/>
    <w:rsid w:val="11FD79F3"/>
    <w:rsid w:val="1272218F"/>
    <w:rsid w:val="12E87607"/>
    <w:rsid w:val="12F157AA"/>
    <w:rsid w:val="13632714"/>
    <w:rsid w:val="136E2957"/>
    <w:rsid w:val="137B1518"/>
    <w:rsid w:val="13D50BC4"/>
    <w:rsid w:val="150C75A6"/>
    <w:rsid w:val="15877D00"/>
    <w:rsid w:val="15AE34DE"/>
    <w:rsid w:val="15BB5BFB"/>
    <w:rsid w:val="15CA5E3E"/>
    <w:rsid w:val="15F80BFE"/>
    <w:rsid w:val="161C17C9"/>
    <w:rsid w:val="164107F7"/>
    <w:rsid w:val="168E3310"/>
    <w:rsid w:val="16BB723D"/>
    <w:rsid w:val="16C80BBA"/>
    <w:rsid w:val="16E01DBD"/>
    <w:rsid w:val="17575DF8"/>
    <w:rsid w:val="176127D3"/>
    <w:rsid w:val="17A821AF"/>
    <w:rsid w:val="17D9680D"/>
    <w:rsid w:val="183E2A1D"/>
    <w:rsid w:val="187A7FF0"/>
    <w:rsid w:val="194A79C2"/>
    <w:rsid w:val="196B16E7"/>
    <w:rsid w:val="19F34A84"/>
    <w:rsid w:val="1A352B79"/>
    <w:rsid w:val="1A383CBF"/>
    <w:rsid w:val="1A4F2DB6"/>
    <w:rsid w:val="1A516B2E"/>
    <w:rsid w:val="1A564145"/>
    <w:rsid w:val="1AD72BA8"/>
    <w:rsid w:val="1AE15BD2"/>
    <w:rsid w:val="1AF851FC"/>
    <w:rsid w:val="1B650AE3"/>
    <w:rsid w:val="1B673865"/>
    <w:rsid w:val="1BC03F6C"/>
    <w:rsid w:val="1BD01CD5"/>
    <w:rsid w:val="1BE063BC"/>
    <w:rsid w:val="1BE8440E"/>
    <w:rsid w:val="1C1D13BE"/>
    <w:rsid w:val="1C413A7E"/>
    <w:rsid w:val="1C4F7B5A"/>
    <w:rsid w:val="1CA4593B"/>
    <w:rsid w:val="1D155CEE"/>
    <w:rsid w:val="1D8C20E0"/>
    <w:rsid w:val="1DBC0F0B"/>
    <w:rsid w:val="1E85281E"/>
    <w:rsid w:val="1E9020A9"/>
    <w:rsid w:val="1EA30C33"/>
    <w:rsid w:val="1EB60582"/>
    <w:rsid w:val="1F044620"/>
    <w:rsid w:val="1F1476A0"/>
    <w:rsid w:val="1F3C7DAD"/>
    <w:rsid w:val="1FD779A5"/>
    <w:rsid w:val="1FE741BD"/>
    <w:rsid w:val="20F746E2"/>
    <w:rsid w:val="210675F3"/>
    <w:rsid w:val="21D4251F"/>
    <w:rsid w:val="21F229A5"/>
    <w:rsid w:val="22301B4F"/>
    <w:rsid w:val="229851FC"/>
    <w:rsid w:val="2314557F"/>
    <w:rsid w:val="2373013C"/>
    <w:rsid w:val="23860B96"/>
    <w:rsid w:val="240371BF"/>
    <w:rsid w:val="245E4322"/>
    <w:rsid w:val="24BD77A3"/>
    <w:rsid w:val="24F609FE"/>
    <w:rsid w:val="250E5D48"/>
    <w:rsid w:val="253908EB"/>
    <w:rsid w:val="25C3118A"/>
    <w:rsid w:val="2601406E"/>
    <w:rsid w:val="26B53D99"/>
    <w:rsid w:val="26C40753"/>
    <w:rsid w:val="273428CF"/>
    <w:rsid w:val="27826579"/>
    <w:rsid w:val="27D15A49"/>
    <w:rsid w:val="27DB3589"/>
    <w:rsid w:val="27F136FF"/>
    <w:rsid w:val="28043EC1"/>
    <w:rsid w:val="280D0539"/>
    <w:rsid w:val="28857398"/>
    <w:rsid w:val="288D39BF"/>
    <w:rsid w:val="28F120E8"/>
    <w:rsid w:val="28F90ABD"/>
    <w:rsid w:val="291458F7"/>
    <w:rsid w:val="2919115F"/>
    <w:rsid w:val="291B5010"/>
    <w:rsid w:val="294206B6"/>
    <w:rsid w:val="29DD3F3B"/>
    <w:rsid w:val="29F5112D"/>
    <w:rsid w:val="29FC6AB7"/>
    <w:rsid w:val="29FD04D3"/>
    <w:rsid w:val="2A7C7BF7"/>
    <w:rsid w:val="2ABC26AB"/>
    <w:rsid w:val="2AF97B0C"/>
    <w:rsid w:val="2AFD687F"/>
    <w:rsid w:val="2B85374B"/>
    <w:rsid w:val="2C1A49FF"/>
    <w:rsid w:val="2C3F71D8"/>
    <w:rsid w:val="2C752B50"/>
    <w:rsid w:val="2C8A61B5"/>
    <w:rsid w:val="2CCB2770"/>
    <w:rsid w:val="2CF717B7"/>
    <w:rsid w:val="2CFE1540"/>
    <w:rsid w:val="2D1C4D7A"/>
    <w:rsid w:val="2D2F7B08"/>
    <w:rsid w:val="2D39592C"/>
    <w:rsid w:val="2D83304B"/>
    <w:rsid w:val="2DB11966"/>
    <w:rsid w:val="2DE0049D"/>
    <w:rsid w:val="2DF04E50"/>
    <w:rsid w:val="2E0C3040"/>
    <w:rsid w:val="2E334ED8"/>
    <w:rsid w:val="2E692241"/>
    <w:rsid w:val="2E8C7BEE"/>
    <w:rsid w:val="2F4D3910"/>
    <w:rsid w:val="2F527179"/>
    <w:rsid w:val="2F803CE6"/>
    <w:rsid w:val="2F854E58"/>
    <w:rsid w:val="30661B74"/>
    <w:rsid w:val="30BD6874"/>
    <w:rsid w:val="310D5422"/>
    <w:rsid w:val="317C672F"/>
    <w:rsid w:val="319F7F4E"/>
    <w:rsid w:val="323112C7"/>
    <w:rsid w:val="3268280F"/>
    <w:rsid w:val="32A970B0"/>
    <w:rsid w:val="32BC21BD"/>
    <w:rsid w:val="32D560F7"/>
    <w:rsid w:val="32F347CF"/>
    <w:rsid w:val="3304078A"/>
    <w:rsid w:val="341E29A6"/>
    <w:rsid w:val="348F0527"/>
    <w:rsid w:val="34D449C8"/>
    <w:rsid w:val="34FA006D"/>
    <w:rsid w:val="35441312"/>
    <w:rsid w:val="3587256C"/>
    <w:rsid w:val="360867E3"/>
    <w:rsid w:val="3658719C"/>
    <w:rsid w:val="368318CD"/>
    <w:rsid w:val="369E4A52"/>
    <w:rsid w:val="36AA5135"/>
    <w:rsid w:val="36B63AA7"/>
    <w:rsid w:val="36CA686D"/>
    <w:rsid w:val="379C2918"/>
    <w:rsid w:val="37E16F03"/>
    <w:rsid w:val="37E85FD4"/>
    <w:rsid w:val="38C05153"/>
    <w:rsid w:val="38FB2CC8"/>
    <w:rsid w:val="3951224F"/>
    <w:rsid w:val="396D5AB5"/>
    <w:rsid w:val="39AE7086"/>
    <w:rsid w:val="39B051C8"/>
    <w:rsid w:val="39D0586A"/>
    <w:rsid w:val="3A216185"/>
    <w:rsid w:val="3A32322C"/>
    <w:rsid w:val="3BA0301A"/>
    <w:rsid w:val="3C0A04C6"/>
    <w:rsid w:val="3C0D0437"/>
    <w:rsid w:val="3C445FB4"/>
    <w:rsid w:val="3C620290"/>
    <w:rsid w:val="3C814BF9"/>
    <w:rsid w:val="3C942BA9"/>
    <w:rsid w:val="3CAB7EC8"/>
    <w:rsid w:val="3CD613E9"/>
    <w:rsid w:val="3D120D46"/>
    <w:rsid w:val="3D4445A5"/>
    <w:rsid w:val="3D45031D"/>
    <w:rsid w:val="3D6F7148"/>
    <w:rsid w:val="3D98207C"/>
    <w:rsid w:val="3DC259C8"/>
    <w:rsid w:val="3DDA4564"/>
    <w:rsid w:val="3DEC0798"/>
    <w:rsid w:val="3E3D7695"/>
    <w:rsid w:val="3E4D7489"/>
    <w:rsid w:val="3E4F1453"/>
    <w:rsid w:val="3EF92944"/>
    <w:rsid w:val="3F1104B7"/>
    <w:rsid w:val="3F757664"/>
    <w:rsid w:val="3FBF43B6"/>
    <w:rsid w:val="3FEF631E"/>
    <w:rsid w:val="403A57EB"/>
    <w:rsid w:val="407221ED"/>
    <w:rsid w:val="40C13A4C"/>
    <w:rsid w:val="40D43E92"/>
    <w:rsid w:val="40DC2D46"/>
    <w:rsid w:val="40F21C7A"/>
    <w:rsid w:val="41154B89"/>
    <w:rsid w:val="41801923"/>
    <w:rsid w:val="41AA4BF2"/>
    <w:rsid w:val="41CF6407"/>
    <w:rsid w:val="423D7815"/>
    <w:rsid w:val="424F168A"/>
    <w:rsid w:val="42957651"/>
    <w:rsid w:val="429F227D"/>
    <w:rsid w:val="42F779C3"/>
    <w:rsid w:val="43210EE4"/>
    <w:rsid w:val="432A5FEB"/>
    <w:rsid w:val="43363FE0"/>
    <w:rsid w:val="434A3F97"/>
    <w:rsid w:val="43655275"/>
    <w:rsid w:val="438C45B0"/>
    <w:rsid w:val="44290050"/>
    <w:rsid w:val="443773EC"/>
    <w:rsid w:val="445826E4"/>
    <w:rsid w:val="44676DCB"/>
    <w:rsid w:val="44965B23"/>
    <w:rsid w:val="44A31A2B"/>
    <w:rsid w:val="44CB735A"/>
    <w:rsid w:val="44E268DA"/>
    <w:rsid w:val="4530136C"/>
    <w:rsid w:val="459261EB"/>
    <w:rsid w:val="45C75D73"/>
    <w:rsid w:val="45C96E92"/>
    <w:rsid w:val="45F428E0"/>
    <w:rsid w:val="463B22BD"/>
    <w:rsid w:val="46647A66"/>
    <w:rsid w:val="46813A5C"/>
    <w:rsid w:val="468E4AE3"/>
    <w:rsid w:val="46C85294"/>
    <w:rsid w:val="470314CC"/>
    <w:rsid w:val="47C3256A"/>
    <w:rsid w:val="47C54534"/>
    <w:rsid w:val="47EA3F9B"/>
    <w:rsid w:val="481B05F8"/>
    <w:rsid w:val="4876582E"/>
    <w:rsid w:val="488F68F0"/>
    <w:rsid w:val="49836455"/>
    <w:rsid w:val="49D560C0"/>
    <w:rsid w:val="49D767A1"/>
    <w:rsid w:val="49D942C7"/>
    <w:rsid w:val="4A4A5F6F"/>
    <w:rsid w:val="4A627F82"/>
    <w:rsid w:val="4A9D75AB"/>
    <w:rsid w:val="4AD11442"/>
    <w:rsid w:val="4ADA02F6"/>
    <w:rsid w:val="4AF25F70"/>
    <w:rsid w:val="4B133808"/>
    <w:rsid w:val="4B223A4B"/>
    <w:rsid w:val="4B3814C1"/>
    <w:rsid w:val="4B4F25DA"/>
    <w:rsid w:val="4B533C05"/>
    <w:rsid w:val="4B7833B9"/>
    <w:rsid w:val="4BE068DB"/>
    <w:rsid w:val="4BE2279D"/>
    <w:rsid w:val="4BED06F1"/>
    <w:rsid w:val="4C341C88"/>
    <w:rsid w:val="4C3741AA"/>
    <w:rsid w:val="4C39104D"/>
    <w:rsid w:val="4D577224"/>
    <w:rsid w:val="4D6E4341"/>
    <w:rsid w:val="4DAE5A6A"/>
    <w:rsid w:val="4DE037C3"/>
    <w:rsid w:val="4DFE60AA"/>
    <w:rsid w:val="4E0B4C6B"/>
    <w:rsid w:val="4E4F4B57"/>
    <w:rsid w:val="4E81385E"/>
    <w:rsid w:val="4EAB630A"/>
    <w:rsid w:val="4EB96475"/>
    <w:rsid w:val="4EC40468"/>
    <w:rsid w:val="4ECE2238"/>
    <w:rsid w:val="4EDC43E6"/>
    <w:rsid w:val="4F037CF7"/>
    <w:rsid w:val="4F121377"/>
    <w:rsid w:val="4F133DD7"/>
    <w:rsid w:val="4F1C0BD2"/>
    <w:rsid w:val="4F355850"/>
    <w:rsid w:val="4F6E4B90"/>
    <w:rsid w:val="4FF43C08"/>
    <w:rsid w:val="4FF46373"/>
    <w:rsid w:val="504601DC"/>
    <w:rsid w:val="50772144"/>
    <w:rsid w:val="508807F5"/>
    <w:rsid w:val="509C2BD1"/>
    <w:rsid w:val="50D92DFE"/>
    <w:rsid w:val="511107EA"/>
    <w:rsid w:val="514364CA"/>
    <w:rsid w:val="51934373"/>
    <w:rsid w:val="51AE5BF4"/>
    <w:rsid w:val="52426781"/>
    <w:rsid w:val="52770B21"/>
    <w:rsid w:val="52F061DD"/>
    <w:rsid w:val="533F59FF"/>
    <w:rsid w:val="53815E89"/>
    <w:rsid w:val="53E915AA"/>
    <w:rsid w:val="54D2203E"/>
    <w:rsid w:val="54EF1D4E"/>
    <w:rsid w:val="555E48F9"/>
    <w:rsid w:val="556C5FEF"/>
    <w:rsid w:val="55807CEC"/>
    <w:rsid w:val="560C332E"/>
    <w:rsid w:val="56484A62"/>
    <w:rsid w:val="56A241DD"/>
    <w:rsid w:val="56B4027F"/>
    <w:rsid w:val="579E08FE"/>
    <w:rsid w:val="57AD3411"/>
    <w:rsid w:val="57DE0CFA"/>
    <w:rsid w:val="583B48F5"/>
    <w:rsid w:val="585711A2"/>
    <w:rsid w:val="586631C9"/>
    <w:rsid w:val="586A03F8"/>
    <w:rsid w:val="58931AE5"/>
    <w:rsid w:val="58ED7447"/>
    <w:rsid w:val="5919648E"/>
    <w:rsid w:val="594E3962"/>
    <w:rsid w:val="598D40DE"/>
    <w:rsid w:val="59A73A9A"/>
    <w:rsid w:val="59BB7AB4"/>
    <w:rsid w:val="59FF38D6"/>
    <w:rsid w:val="5A252C10"/>
    <w:rsid w:val="5AC8016B"/>
    <w:rsid w:val="5AD85C60"/>
    <w:rsid w:val="5AE605F2"/>
    <w:rsid w:val="5AF92295"/>
    <w:rsid w:val="5B0B62AA"/>
    <w:rsid w:val="5B5E1120"/>
    <w:rsid w:val="5C78171D"/>
    <w:rsid w:val="5C9347A9"/>
    <w:rsid w:val="5CC93D27"/>
    <w:rsid w:val="5CD5091E"/>
    <w:rsid w:val="5CD71FC4"/>
    <w:rsid w:val="5CF05758"/>
    <w:rsid w:val="5D672908"/>
    <w:rsid w:val="5E075281"/>
    <w:rsid w:val="5E547F68"/>
    <w:rsid w:val="5E6957C1"/>
    <w:rsid w:val="5E715C85"/>
    <w:rsid w:val="5EC51228"/>
    <w:rsid w:val="5EE50909"/>
    <w:rsid w:val="5F0C1FF0"/>
    <w:rsid w:val="5F506981"/>
    <w:rsid w:val="5FBE7D8F"/>
    <w:rsid w:val="5FC1264B"/>
    <w:rsid w:val="60124305"/>
    <w:rsid w:val="60251BBC"/>
    <w:rsid w:val="60363DC9"/>
    <w:rsid w:val="60675D31"/>
    <w:rsid w:val="60964868"/>
    <w:rsid w:val="612B4288"/>
    <w:rsid w:val="6151253D"/>
    <w:rsid w:val="61694648"/>
    <w:rsid w:val="62175534"/>
    <w:rsid w:val="622009C7"/>
    <w:rsid w:val="622C5484"/>
    <w:rsid w:val="627C183B"/>
    <w:rsid w:val="62DA4EE0"/>
    <w:rsid w:val="634C7460"/>
    <w:rsid w:val="63500CFE"/>
    <w:rsid w:val="63691DC0"/>
    <w:rsid w:val="63C941CD"/>
    <w:rsid w:val="63F9666F"/>
    <w:rsid w:val="648E0EE1"/>
    <w:rsid w:val="64D94D23"/>
    <w:rsid w:val="64EC0EFA"/>
    <w:rsid w:val="64F3306D"/>
    <w:rsid w:val="65077AE2"/>
    <w:rsid w:val="65362175"/>
    <w:rsid w:val="6571705B"/>
    <w:rsid w:val="65AD4F53"/>
    <w:rsid w:val="6646463A"/>
    <w:rsid w:val="66521231"/>
    <w:rsid w:val="6655487D"/>
    <w:rsid w:val="667F18FA"/>
    <w:rsid w:val="66A31A8D"/>
    <w:rsid w:val="66B27F22"/>
    <w:rsid w:val="67065B78"/>
    <w:rsid w:val="679C7E8D"/>
    <w:rsid w:val="67A374E7"/>
    <w:rsid w:val="67B6759E"/>
    <w:rsid w:val="67CF6087"/>
    <w:rsid w:val="67DA328C"/>
    <w:rsid w:val="690F68AB"/>
    <w:rsid w:val="696F3EA8"/>
    <w:rsid w:val="69C51D1A"/>
    <w:rsid w:val="69F00801"/>
    <w:rsid w:val="6A3938AE"/>
    <w:rsid w:val="6A725EC8"/>
    <w:rsid w:val="6B572E46"/>
    <w:rsid w:val="6BCC7390"/>
    <w:rsid w:val="6BF40694"/>
    <w:rsid w:val="6C1256EA"/>
    <w:rsid w:val="6C1D7BEB"/>
    <w:rsid w:val="6C303DC2"/>
    <w:rsid w:val="6C335661"/>
    <w:rsid w:val="6C3C1144"/>
    <w:rsid w:val="6C4A05C8"/>
    <w:rsid w:val="6CE60925"/>
    <w:rsid w:val="6CE64481"/>
    <w:rsid w:val="6D193A63"/>
    <w:rsid w:val="6DF80910"/>
    <w:rsid w:val="6E5042A8"/>
    <w:rsid w:val="6E7E3605"/>
    <w:rsid w:val="6FBD3DD5"/>
    <w:rsid w:val="6FF5CC65"/>
    <w:rsid w:val="70430561"/>
    <w:rsid w:val="70EB475C"/>
    <w:rsid w:val="70F03B20"/>
    <w:rsid w:val="71502811"/>
    <w:rsid w:val="715C0E4B"/>
    <w:rsid w:val="72331F17"/>
    <w:rsid w:val="72734D90"/>
    <w:rsid w:val="72EB27F1"/>
    <w:rsid w:val="735F0AE9"/>
    <w:rsid w:val="73AD73D5"/>
    <w:rsid w:val="73B6EB34"/>
    <w:rsid w:val="73C03AAE"/>
    <w:rsid w:val="74100036"/>
    <w:rsid w:val="74125E7A"/>
    <w:rsid w:val="74251D33"/>
    <w:rsid w:val="742C51FB"/>
    <w:rsid w:val="743E1047"/>
    <w:rsid w:val="746D116A"/>
    <w:rsid w:val="74B44E65"/>
    <w:rsid w:val="74C53BAA"/>
    <w:rsid w:val="74FF4332"/>
    <w:rsid w:val="754C28F1"/>
    <w:rsid w:val="757D42F0"/>
    <w:rsid w:val="76262FC3"/>
    <w:rsid w:val="76426BCC"/>
    <w:rsid w:val="76634D94"/>
    <w:rsid w:val="76A52BBD"/>
    <w:rsid w:val="77FE2FC7"/>
    <w:rsid w:val="78185266"/>
    <w:rsid w:val="78216CB5"/>
    <w:rsid w:val="78283BA0"/>
    <w:rsid w:val="783009D8"/>
    <w:rsid w:val="78793A13"/>
    <w:rsid w:val="78BD078C"/>
    <w:rsid w:val="79001C9C"/>
    <w:rsid w:val="794830FC"/>
    <w:rsid w:val="797B41A3"/>
    <w:rsid w:val="79D044EF"/>
    <w:rsid w:val="79EE5BA4"/>
    <w:rsid w:val="7A894339"/>
    <w:rsid w:val="7B4C229B"/>
    <w:rsid w:val="7BA671BD"/>
    <w:rsid w:val="7BB3231A"/>
    <w:rsid w:val="7BEE5100"/>
    <w:rsid w:val="7BEF219B"/>
    <w:rsid w:val="7C307302"/>
    <w:rsid w:val="7C3A66AB"/>
    <w:rsid w:val="7C650E5A"/>
    <w:rsid w:val="7C666D8C"/>
    <w:rsid w:val="7C6D4269"/>
    <w:rsid w:val="7CFA28AA"/>
    <w:rsid w:val="7D030C8C"/>
    <w:rsid w:val="7D8A0E59"/>
    <w:rsid w:val="7DFB130F"/>
    <w:rsid w:val="7DFC3B04"/>
    <w:rsid w:val="7DFD54DE"/>
    <w:rsid w:val="7DFE338E"/>
    <w:rsid w:val="7E6D31B3"/>
    <w:rsid w:val="7EEF11D3"/>
    <w:rsid w:val="7F21759B"/>
    <w:rsid w:val="7F467A3E"/>
    <w:rsid w:val="7F752A96"/>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2"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Normal Indent"/>
    <w:basedOn w:val="1"/>
    <w:unhideWhenUsed/>
    <w:qFormat/>
    <w:uiPriority w:val="99"/>
    <w:pPr>
      <w:ind w:firstLine="420"/>
    </w:pPr>
    <w:rPr>
      <w:rFonts w:ascii="Times New Roman" w:hAnsi="Times New Roman"/>
      <w:szCs w:val="20"/>
    </w:rPr>
  </w:style>
  <w:style w:type="paragraph" w:styleId="7">
    <w:name w:val="Body Text Indent"/>
    <w:basedOn w:val="1"/>
    <w:next w:val="8"/>
    <w:qFormat/>
    <w:uiPriority w:val="99"/>
    <w:pPr>
      <w:spacing w:after="120"/>
      <w:ind w:left="420" w:leftChars="200"/>
    </w:pPr>
  </w:style>
  <w:style w:type="paragraph" w:customStyle="1" w:styleId="8">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unhideWhenUsed/>
    <w:qFormat/>
    <w:uiPriority w:val="99"/>
    <w:rPr>
      <w:rFonts w:ascii="宋体" w:hAnsi="Courier New"/>
      <w:szCs w:val="20"/>
    </w:r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next w:val="1"/>
    <w:qFormat/>
    <w:uiPriority w:val="2"/>
    <w:pPr>
      <w:widowControl w:val="0"/>
      <w:adjustRightInd w:val="0"/>
      <w:snapToGrid w:val="0"/>
      <w:spacing w:line="660" w:lineRule="exact"/>
      <w:jc w:val="center"/>
    </w:pPr>
    <w:rPr>
      <w:rFonts w:ascii="方正小标宋简体" w:hAnsi="Cambria" w:eastAsia="方正小标宋简体" w:cs="Times New Roman"/>
      <w:bCs/>
      <w:kern w:val="2"/>
      <w:sz w:val="44"/>
      <w:szCs w:val="32"/>
      <w:lang w:val="en-US" w:eastAsia="zh-CN" w:bidi="ar-SA"/>
    </w:rPr>
  </w:style>
  <w:style w:type="paragraph" w:styleId="18">
    <w:name w:val="Body Text First Indent"/>
    <w:basedOn w:val="2"/>
    <w:qFormat/>
    <w:uiPriority w:val="0"/>
    <w:pPr>
      <w:ind w:firstLine="420" w:firstLineChars="100"/>
    </w:pPr>
  </w:style>
  <w:style w:type="paragraph" w:styleId="19">
    <w:name w:val="Body Text First Indent 2"/>
    <w:basedOn w:val="7"/>
    <w:qFormat/>
    <w:uiPriority w:val="99"/>
    <w:pPr>
      <w:ind w:firstLine="420" w:firstLineChars="200"/>
    </w:p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4">
    <w:name w:val="Header Char"/>
    <w:basedOn w:val="21"/>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21"/>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21"/>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1"/>
    <w:link w:val="3"/>
    <w:qFormat/>
    <w:uiPriority w:val="9"/>
    <w:rPr>
      <w:rFonts w:ascii="Times New Roman" w:hAnsi="Times New Roman"/>
      <w:b/>
      <w:bCs/>
      <w:kern w:val="44"/>
      <w:sz w:val="44"/>
      <w:szCs w:val="44"/>
    </w:rPr>
  </w:style>
  <w:style w:type="character" w:customStyle="1" w:styleId="33">
    <w:name w:val="标题 2 Char"/>
    <w:basedOn w:val="21"/>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1"/>
    <w:link w:val="11"/>
    <w:semiHidden/>
    <w:qFormat/>
    <w:uiPriority w:val="99"/>
    <w:rPr>
      <w:rFonts w:ascii="Times New Roman" w:hAnsi="Times New Roman"/>
      <w:kern w:val="2"/>
      <w:sz w:val="18"/>
      <w:szCs w:val="18"/>
    </w:rPr>
  </w:style>
  <w:style w:type="character" w:customStyle="1" w:styleId="36">
    <w:name w:val="标题 3 Char"/>
    <w:basedOn w:val="21"/>
    <w:link w:val="5"/>
    <w:qFormat/>
    <w:uiPriority w:val="9"/>
    <w:rPr>
      <w:rFonts w:ascii="Times New Roman" w:hAnsi="Times New Roman"/>
      <w:b/>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NormalCharacter"/>
    <w:qFormat/>
    <w:uiPriority w:val="0"/>
    <w:rPr>
      <w:rFonts w:ascii="Calibri" w:hAnsi="Calibri" w:eastAsia="宋体" w:cs="Times New Roman"/>
      <w:kern w:val="2"/>
      <w:sz w:val="21"/>
      <w:szCs w:val="24"/>
      <w:lang w:val="en-US" w:eastAsia="zh-CN" w:bidi="ar-SA"/>
    </w:rPr>
  </w:style>
  <w:style w:type="paragraph" w:customStyle="1" w:styleId="39">
    <w:name w:val="HtmlNormal"/>
    <w:basedOn w:val="1"/>
    <w:qFormat/>
    <w:uiPriority w:val="0"/>
    <w:pPr>
      <w:jc w:val="both"/>
      <w:textAlignment w:val="baseline"/>
    </w:pPr>
    <w:rPr>
      <w:rFonts w:ascii="Calibri" w:hAnsi="Calibri" w:eastAsia="宋体"/>
      <w:kern w:val="2"/>
      <w:sz w:val="24"/>
      <w:szCs w:val="24"/>
      <w:lang w:val="en-US" w:eastAsia="zh-CN" w:bidi="ar-SA"/>
    </w:rPr>
  </w:style>
  <w:style w:type="paragraph" w:customStyle="1" w:styleId="40">
    <w:name w:val="四号正文"/>
    <w:basedOn w:val="1"/>
    <w:qFormat/>
    <w:uiPriority w:val="0"/>
    <w:pPr>
      <w:spacing w:line="360" w:lineRule="auto"/>
    </w:pPr>
    <w:rPr>
      <w:rFonts w:ascii="??" w:hAnsi="??" w:eastAsia="宋体" w:cs="宋体"/>
      <w:color w:val="000000"/>
      <w:kern w:val="0"/>
      <w:sz w:val="28"/>
      <w:szCs w:val="21"/>
    </w:rPr>
  </w:style>
  <w:style w:type="paragraph" w:customStyle="1" w:styleId="41">
    <w:name w:val="样式 宋体 小四 首行缩进:  0.85 厘米 行距: 1.5 倍行距"/>
    <w:basedOn w:val="1"/>
    <w:qFormat/>
    <w:uiPriority w:val="0"/>
    <w:pPr>
      <w:spacing w:line="360" w:lineRule="auto"/>
      <w:ind w:firstLine="480"/>
    </w:pPr>
    <w:rPr>
      <w:rFonts w:ascii="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02"/>
          <c:y val="0.0416666666666667"/>
          <c:w val="0.927925"/>
          <c:h val="0.8069"/>
        </c:manualLayout>
      </c:layout>
      <c:barChart>
        <c:barDir val="col"/>
        <c:grouping val="clustered"/>
        <c:varyColors val="0"/>
        <c:ser>
          <c:idx val="0"/>
          <c:order val="0"/>
          <c:tx>
            <c:strRef>
              <c:f>Sheet1!$B$1</c:f>
              <c:strCache>
                <c:ptCount val="1"/>
                <c:pt idx="0">
                  <c:v>单位：千万元</c:v>
                </c:pt>
              </c:strCache>
            </c:strRef>
          </c:tx>
          <c:spPr>
            <a:solidFill>
              <a:schemeClr val="accent5"/>
            </a:solidFill>
            <a:ln>
              <a:noFill/>
            </a:ln>
            <a:effectLst/>
          </c:spPr>
          <c:invertIfNegative val="0"/>
          <c:dLbls>
            <c:delete val="1"/>
          </c:dLbls>
          <c:cat>
            <c:strRef>
              <c:f>Sheet1!$A$2:$A$3</c:f>
              <c:strCache>
                <c:ptCount val="2"/>
                <c:pt idx="0">
                  <c:v>2022年收、支总和</c:v>
                </c:pt>
                <c:pt idx="1">
                  <c:v>2021年收、支总和</c:v>
                </c:pt>
              </c:strCache>
            </c:strRef>
          </c:cat>
          <c:val>
            <c:numRef>
              <c:f>Sheet1!$B$2:$B$3</c:f>
              <c:numCache>
                <c:formatCode>General</c:formatCode>
                <c:ptCount val="2"/>
                <c:pt idx="0">
                  <c:v>4.6</c:v>
                </c:pt>
                <c:pt idx="1">
                  <c:v>3.89</c:v>
                </c:pt>
              </c:numCache>
            </c:numRef>
          </c:val>
        </c:ser>
        <c:dLbls>
          <c:showLegendKey val="0"/>
          <c:showVal val="0"/>
          <c:showCatName val="0"/>
          <c:showSerName val="0"/>
          <c:showPercent val="0"/>
          <c:showBubbleSize val="0"/>
        </c:dLbls>
        <c:gapWidth val="219"/>
        <c:overlap val="-27"/>
        <c:axId val="119192960"/>
        <c:axId val="119735424"/>
      </c:barChart>
      <c:catAx>
        <c:axId val="1191929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735424"/>
        <c:crosses val="autoZero"/>
        <c:auto val="1"/>
        <c:lblAlgn val="ctr"/>
        <c:lblOffset val="100"/>
        <c:noMultiLvlLbl val="0"/>
      </c:catAx>
      <c:valAx>
        <c:axId val="119735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1929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alpha val="97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占比情况如图所示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54.27</c:v>
                </c:pt>
                <c:pt idx="1">
                  <c:v>45.73</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占比情况如图所示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14.1</c:v>
                </c:pt>
                <c:pt idx="1">
                  <c:v>85.9</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单位：千万元</c:v>
                </c:pt>
              </c:strCache>
            </c:strRef>
          </c:tx>
          <c:spPr>
            <a:solidFill>
              <a:schemeClr val="accent1"/>
            </a:solidFill>
            <a:ln>
              <a:noFill/>
            </a:ln>
            <a:effectLst/>
          </c:spPr>
          <c:invertIfNegative val="0"/>
          <c:dLbls>
            <c:delete val="1"/>
          </c:dLbls>
          <c:cat>
            <c:strRef>
              <c:f>Sheet1!$A$2:$A$3</c:f>
              <c:strCache>
                <c:ptCount val="2"/>
                <c:pt idx="0">
                  <c:v>2022年财政拨款收、支总计</c:v>
                </c:pt>
                <c:pt idx="1">
                  <c:v>2021年财政拨款收、支总计</c:v>
                </c:pt>
              </c:strCache>
            </c:strRef>
          </c:cat>
          <c:val>
            <c:numRef>
              <c:f>Sheet1!$B$2:$B$3</c:f>
              <c:numCache>
                <c:formatCode>General</c:formatCode>
                <c:ptCount val="2"/>
                <c:pt idx="0">
                  <c:v>4.6</c:v>
                </c:pt>
                <c:pt idx="1">
                  <c:v>3.89</c:v>
                </c:pt>
              </c:numCache>
            </c:numRef>
          </c:val>
        </c:ser>
        <c:dLbls>
          <c:showLegendKey val="0"/>
          <c:showVal val="0"/>
          <c:showCatName val="0"/>
          <c:showSerName val="0"/>
          <c:showPercent val="0"/>
          <c:showBubbleSize val="0"/>
        </c:dLbls>
        <c:gapWidth val="219"/>
        <c:overlap val="-27"/>
        <c:axId val="121239808"/>
        <c:axId val="121241600"/>
      </c:barChart>
      <c:catAx>
        <c:axId val="1212398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241600"/>
        <c:crosses val="autoZero"/>
        <c:auto val="1"/>
        <c:lblAlgn val="ctr"/>
        <c:lblOffset val="100"/>
        <c:noMultiLvlLbl val="0"/>
      </c:catAx>
      <c:valAx>
        <c:axId val="12124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2398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0825"/>
          <c:y val="0.005"/>
          <c:w val="0.927925"/>
          <c:h val="0.716566666666667"/>
        </c:manualLayout>
      </c:layout>
      <c:barChart>
        <c:barDir val="col"/>
        <c:grouping val="clustered"/>
        <c:varyColors val="0"/>
        <c:ser>
          <c:idx val="1"/>
          <c:order val="0"/>
          <c:tx>
            <c:strRef>
              <c:f>Sheet1!$C$1</c:f>
              <c:strCache>
                <c:ptCount val="1"/>
                <c:pt idx="0">
                  <c:v>单位：千万元</c:v>
                </c:pt>
              </c:strCache>
            </c:strRef>
          </c:tx>
          <c:spPr>
            <a:solidFill>
              <a:schemeClr val="accent2"/>
            </a:solidFill>
            <a:ln>
              <a:noFill/>
            </a:ln>
            <a:effectLst/>
          </c:spPr>
          <c:invertIfNegative val="0"/>
          <c:dLbls>
            <c:delete val="1"/>
          </c:dLbls>
          <c:cat>
            <c:strRef>
              <c:f>Sheet1!$A$2:$A$3</c:f>
              <c:strCache>
                <c:ptCount val="2"/>
                <c:pt idx="0">
                  <c:v>2022年一般公共预算财政拨款支出</c:v>
                </c:pt>
                <c:pt idx="1">
                  <c:v>2021年一般公共预算财政拨款支出</c:v>
                </c:pt>
              </c:strCache>
            </c:strRef>
          </c:cat>
          <c:val>
            <c:numRef>
              <c:f>Sheet1!$C$2:$C$3</c:f>
              <c:numCache>
                <c:formatCode>General</c:formatCode>
                <c:ptCount val="2"/>
                <c:pt idx="0">
                  <c:v>1.27</c:v>
                </c:pt>
                <c:pt idx="1">
                  <c:v>1.65</c:v>
                </c:pt>
              </c:numCache>
            </c:numRef>
          </c:val>
        </c:ser>
        <c:dLbls>
          <c:showLegendKey val="0"/>
          <c:showVal val="0"/>
          <c:showCatName val="0"/>
          <c:showSerName val="0"/>
          <c:showPercent val="0"/>
          <c:showBubbleSize val="0"/>
        </c:dLbls>
        <c:gapWidth val="219"/>
        <c:overlap val="-27"/>
        <c:axId val="121253248"/>
        <c:axId val="121201792"/>
      </c:barChart>
      <c:catAx>
        <c:axId val="1212532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201792"/>
        <c:crosses val="autoZero"/>
        <c:auto val="1"/>
        <c:lblAlgn val="ctr"/>
        <c:lblOffset val="100"/>
        <c:noMultiLvlLbl val="0"/>
      </c:catAx>
      <c:valAx>
        <c:axId val="12120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2532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社会保障和就业（类）支出</c:v>
                </c:pt>
                <c:pt idx="1">
                  <c:v>卫生健康支出</c:v>
                </c:pt>
                <c:pt idx="2">
                  <c:v>农林水支出（类）</c:v>
                </c:pt>
                <c:pt idx="3">
                  <c:v>住房保障支出</c:v>
                </c:pt>
              </c:strCache>
            </c:strRef>
          </c:cat>
          <c:val>
            <c:numRef>
              <c:f>Sheet1!$B$2:$B$5</c:f>
              <c:numCache>
                <c:formatCode>General</c:formatCode>
                <c:ptCount val="4"/>
                <c:pt idx="0">
                  <c:v>3.07</c:v>
                </c:pt>
                <c:pt idx="1">
                  <c:v>0.58</c:v>
                </c:pt>
                <c:pt idx="2">
                  <c:v>94.55</c:v>
                </c:pt>
                <c:pt idx="3">
                  <c:v>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销售额</c:v>
                </c:pt>
              </c:strCache>
            </c:strRef>
          </c:tx>
          <c:explosion val="0"/>
          <c:dPt>
            <c:idx val="0"/>
            <c:bubble3D val="0"/>
          </c:dPt>
          <c:dPt>
            <c:idx val="1"/>
            <c:bubble3D val="0"/>
          </c:dPt>
          <c:dPt>
            <c:idx val="2"/>
            <c:bubble3D val="0"/>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82.69</c:v>
                </c:pt>
                <c:pt idx="2">
                  <c:v>17.31</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431738-7067-4654-8868-3D64A1EC8CF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57</Pages>
  <Words>22637</Words>
  <Characters>25425</Characters>
  <Lines>11</Lines>
  <Paragraphs>26</Paragraphs>
  <TotalTime>17</TotalTime>
  <ScaleCrop>false</ScaleCrop>
  <LinksUpToDate>false</LinksUpToDate>
  <CharactersWithSpaces>25488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WPS_1496332584</cp:lastModifiedBy>
  <cp:lastPrinted>2023-12-13T07:12:00Z</cp:lastPrinted>
  <dcterms:modified xsi:type="dcterms:W3CDTF">2023-12-14T09:26:21Z</dcterms:modified>
  <dc:title>四川省***</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49A89D7E0F5144018EE6D2EF49631758_13</vt:lpwstr>
  </property>
</Properties>
</file>