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77425"/>
      <w:bookmarkStart w:id="4" w:name="_Toc15396475"/>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峨眉山市文化馆</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spacing w:before="93"/>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sz w:val="32"/>
          <w:szCs w:val="32"/>
        </w:rPr>
      </w:pPr>
      <w:r>
        <w:rPr>
          <w:rFonts w:hint="eastAsia"/>
          <w:sz w:val="32"/>
          <w:szCs w:val="32"/>
        </w:rPr>
        <w:t>公开时间：2023年</w:t>
      </w:r>
      <w:r>
        <w:rPr>
          <w:rFonts w:hint="eastAsia"/>
          <w:sz w:val="32"/>
          <w:szCs w:val="32"/>
          <w:lang w:val="en-US" w:eastAsia="zh-CN"/>
        </w:rPr>
        <w:t>12</w:t>
      </w:r>
      <w:r>
        <w:rPr>
          <w:rFonts w:hint="eastAsia"/>
          <w:sz w:val="32"/>
          <w:szCs w:val="32"/>
        </w:rPr>
        <w:t xml:space="preserve"> 月</w:t>
      </w:r>
      <w:r>
        <w:rPr>
          <w:rFonts w:hint="eastAsia"/>
          <w:sz w:val="32"/>
          <w:szCs w:val="32"/>
          <w:lang w:val="en-US" w:eastAsia="zh-CN"/>
        </w:rPr>
        <w:t>15</w:t>
      </w:r>
      <w:r>
        <w:rPr>
          <w:rFonts w:hint="eastAsia"/>
          <w:sz w:val="32"/>
          <w:szCs w:val="32"/>
        </w:rPr>
        <w:t>日</w:t>
      </w:r>
    </w:p>
    <w:p>
      <w:pPr>
        <w:rPr>
          <w:rFonts w:ascii="仿宋" w:hAnsi="仿宋" w:eastAsia="仿宋"/>
          <w:sz w:val="32"/>
          <w:szCs w:val="32"/>
        </w:rPr>
      </w:pPr>
    </w:p>
    <w:p>
      <w:pPr>
        <w:pStyle w:val="10"/>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单位概况</w:t>
      </w:r>
      <w:r>
        <w:rPr>
          <w:sz w:val="32"/>
          <w:szCs w:val="32"/>
        </w:rPr>
        <w:tab/>
      </w:r>
      <w:r>
        <w:rPr>
          <w:rFonts w:hint="eastAsia"/>
          <w:sz w:val="32"/>
          <w:szCs w:val="32"/>
        </w:rPr>
        <w:t>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一、主要职责</w:t>
      </w:r>
      <w:r>
        <w:rPr>
          <w:rFonts w:ascii="仿宋" w:hAnsi="仿宋" w:eastAsia="仿宋"/>
          <w:sz w:val="32"/>
          <w:szCs w:val="32"/>
        </w:rPr>
        <w:tab/>
      </w:r>
      <w:r>
        <w:rPr>
          <w:rFonts w:hint="eastAsia" w:ascii="仿宋" w:hAnsi="仿宋" w:eastAsia="仿宋"/>
          <w:sz w:val="32"/>
          <w:szCs w:val="32"/>
        </w:rPr>
        <w:t>1</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二、机构设置</w:t>
      </w:r>
      <w:r>
        <w:rPr>
          <w:rFonts w:ascii="仿宋" w:hAnsi="仿宋" w:eastAsia="仿宋"/>
          <w:sz w:val="32"/>
          <w:szCs w:val="32"/>
        </w:rPr>
        <w:tab/>
      </w:r>
      <w:r>
        <w:rPr>
          <w:rFonts w:hint="eastAsia" w:ascii="仿宋" w:hAnsi="仿宋" w:eastAsia="仿宋"/>
          <w:sz w:val="32"/>
          <w:szCs w:val="32"/>
          <w:lang w:val="en-US" w:eastAsia="zh-CN"/>
        </w:rPr>
        <w:t>5</w:t>
      </w:r>
    </w:p>
    <w:p>
      <w:pPr>
        <w:pStyle w:val="10"/>
        <w:adjustRightInd w:val="0"/>
        <w:snapToGrid w:val="0"/>
        <w:spacing w:before="0" w:line="440" w:lineRule="exact"/>
        <w:jc w:val="left"/>
        <w:rPr>
          <w:rFonts w:hint="eastAsia" w:eastAsia="仿宋"/>
          <w:sz w:val="32"/>
          <w:szCs w:val="32"/>
          <w:lang w:eastAsia="zh-CN"/>
        </w:rPr>
      </w:pPr>
      <w:r>
        <w:rPr>
          <w:rFonts w:hint="eastAsia"/>
          <w:sz w:val="32"/>
          <w:szCs w:val="32"/>
        </w:rPr>
        <w:t>第二部分 2022年度单位决算情况说明</w:t>
      </w:r>
      <w:r>
        <w:rPr>
          <w:sz w:val="32"/>
          <w:szCs w:val="32"/>
        </w:rPr>
        <w:tab/>
      </w:r>
      <w:r>
        <w:rPr>
          <w:rFonts w:hint="eastAsia"/>
          <w:sz w:val="32"/>
          <w:szCs w:val="32"/>
          <w:lang w:val="en-US" w:eastAsia="zh-CN"/>
        </w:rPr>
        <w:t>6</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一、收入支出决算总体情况说明</w:t>
      </w:r>
      <w:r>
        <w:rPr>
          <w:rFonts w:ascii="仿宋" w:hAnsi="仿宋" w:eastAsia="仿宋"/>
          <w:sz w:val="32"/>
          <w:szCs w:val="32"/>
        </w:rPr>
        <w:tab/>
      </w:r>
      <w:r>
        <w:rPr>
          <w:rFonts w:hint="eastAsia" w:ascii="仿宋" w:hAnsi="仿宋" w:eastAsia="仿宋"/>
          <w:sz w:val="32"/>
          <w:szCs w:val="32"/>
          <w:lang w:val="en-US" w:eastAsia="zh-CN"/>
        </w:rPr>
        <w:t>6</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二、收入决算情况说明</w:t>
      </w:r>
      <w:r>
        <w:rPr>
          <w:rFonts w:ascii="仿宋" w:hAnsi="仿宋" w:eastAsia="仿宋"/>
          <w:sz w:val="32"/>
          <w:szCs w:val="32"/>
        </w:rPr>
        <w:tab/>
      </w:r>
      <w:r>
        <w:rPr>
          <w:rFonts w:hint="eastAsia" w:ascii="仿宋" w:hAnsi="仿宋" w:eastAsia="仿宋"/>
          <w:sz w:val="32"/>
          <w:szCs w:val="32"/>
          <w:lang w:val="en-US" w:eastAsia="zh-CN"/>
        </w:rPr>
        <w:t>7</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三、支出决算情况说明</w:t>
      </w:r>
      <w:r>
        <w:rPr>
          <w:rFonts w:ascii="仿宋" w:hAnsi="仿宋" w:eastAsia="仿宋"/>
          <w:sz w:val="32"/>
          <w:szCs w:val="32"/>
        </w:rPr>
        <w:tab/>
      </w:r>
      <w:r>
        <w:rPr>
          <w:rFonts w:hint="eastAsia" w:ascii="仿宋" w:hAnsi="仿宋" w:eastAsia="仿宋"/>
          <w:sz w:val="32"/>
          <w:szCs w:val="32"/>
          <w:lang w:val="en-US" w:eastAsia="zh-CN"/>
        </w:rPr>
        <w:t>8</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hint="eastAsia" w:ascii="仿宋" w:hAnsi="仿宋" w:eastAsia="仿宋"/>
          <w:sz w:val="32"/>
          <w:szCs w:val="32"/>
          <w:lang w:val="en-US" w:eastAsia="zh-CN"/>
        </w:rPr>
        <w:t>9</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hint="eastAsia" w:ascii="仿宋" w:hAnsi="仿宋" w:eastAsia="仿宋"/>
          <w:sz w:val="32"/>
          <w:szCs w:val="32"/>
          <w:lang w:val="en-US" w:eastAsia="zh-CN"/>
        </w:rPr>
        <w:t>10</w:t>
      </w:r>
    </w:p>
    <w:p>
      <w:pPr>
        <w:pStyle w:val="11"/>
        <w:adjustRightInd w:val="0"/>
        <w:snapToGrid w:val="0"/>
        <w:spacing w:line="440" w:lineRule="exact"/>
        <w:jc w:val="left"/>
        <w:rPr>
          <w:rFonts w:hint="default" w:ascii="仿宋" w:hAnsi="仿宋" w:eastAsia="仿宋" w:cstheme="minorBidi"/>
          <w:sz w:val="32"/>
          <w:szCs w:val="32"/>
          <w:lang w:val="en-US"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14</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en-US" w:eastAsia="zh-CN"/>
        </w:rPr>
        <w:t>5</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en-US" w:eastAsia="zh-CN"/>
        </w:rPr>
        <w:t>6</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en-US" w:eastAsia="zh-CN"/>
        </w:rPr>
        <w:t>6</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十、其他重要事项的情况说明</w:t>
      </w:r>
      <w:r>
        <w:rPr>
          <w:rFonts w:ascii="仿宋" w:hAnsi="仿宋" w:eastAsia="仿宋"/>
          <w:sz w:val="32"/>
          <w:szCs w:val="32"/>
        </w:rPr>
        <w:tab/>
      </w:r>
      <w:r>
        <w:rPr>
          <w:rFonts w:hint="eastAsia" w:ascii="仿宋" w:hAnsi="仿宋" w:eastAsia="仿宋"/>
          <w:sz w:val="32"/>
          <w:szCs w:val="32"/>
        </w:rPr>
        <w:t>1</w:t>
      </w:r>
      <w:r>
        <w:rPr>
          <w:rFonts w:hint="eastAsia" w:ascii="仿宋" w:hAnsi="仿宋" w:eastAsia="仿宋"/>
          <w:sz w:val="32"/>
          <w:szCs w:val="32"/>
          <w:lang w:val="en-US" w:eastAsia="zh-CN"/>
        </w:rPr>
        <w:t>6</w:t>
      </w:r>
    </w:p>
    <w:p>
      <w:pPr>
        <w:pStyle w:val="10"/>
        <w:adjustRightInd w:val="0"/>
        <w:snapToGrid w:val="0"/>
        <w:spacing w:before="0" w:line="440" w:lineRule="exact"/>
        <w:jc w:val="left"/>
        <w:rPr>
          <w:rFonts w:hint="eastAsia" w:eastAsia="仿宋" w:cstheme="minorBidi"/>
          <w:sz w:val="32"/>
          <w:szCs w:val="32"/>
          <w:lang w:eastAsia="zh-CN"/>
        </w:rPr>
      </w:pPr>
      <w:r>
        <w:rPr>
          <w:rFonts w:hint="eastAsia"/>
          <w:sz w:val="32"/>
          <w:szCs w:val="32"/>
        </w:rPr>
        <w:t>第三部分</w:t>
      </w:r>
      <w:r>
        <w:rPr>
          <w:sz w:val="32"/>
          <w:szCs w:val="32"/>
        </w:rPr>
        <w:t xml:space="preserve"> </w:t>
      </w:r>
      <w:r>
        <w:rPr>
          <w:rFonts w:hint="eastAsia"/>
          <w:sz w:val="32"/>
          <w:szCs w:val="32"/>
        </w:rPr>
        <w:t>名词解释</w:t>
      </w:r>
      <w:r>
        <w:rPr>
          <w:sz w:val="32"/>
          <w:szCs w:val="32"/>
        </w:rPr>
        <w:tab/>
      </w:r>
      <w:r>
        <w:rPr>
          <w:rFonts w:hint="eastAsia"/>
          <w:sz w:val="32"/>
          <w:szCs w:val="32"/>
        </w:rPr>
        <w:t>1</w:t>
      </w:r>
      <w:r>
        <w:rPr>
          <w:rFonts w:hint="eastAsia"/>
          <w:sz w:val="32"/>
          <w:szCs w:val="32"/>
          <w:lang w:val="en-US" w:eastAsia="zh-CN"/>
        </w:rPr>
        <w:t>9</w:t>
      </w:r>
    </w:p>
    <w:p>
      <w:pPr>
        <w:pStyle w:val="10"/>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第四部分</w:t>
      </w:r>
      <w:r>
        <w:rPr>
          <w:sz w:val="32"/>
          <w:szCs w:val="32"/>
        </w:rPr>
        <w:t xml:space="preserve"> </w:t>
      </w:r>
      <w:r>
        <w:rPr>
          <w:rFonts w:hint="eastAsia"/>
          <w:sz w:val="32"/>
          <w:szCs w:val="32"/>
        </w:rPr>
        <w:t>附件</w:t>
      </w:r>
      <w:r>
        <w:rPr>
          <w:sz w:val="32"/>
          <w:szCs w:val="32"/>
        </w:rPr>
        <w:tab/>
      </w:r>
      <w:r>
        <w:rPr>
          <w:rFonts w:hint="eastAsia"/>
          <w:sz w:val="32"/>
          <w:szCs w:val="32"/>
          <w:lang w:val="en-US" w:eastAsia="zh-CN"/>
        </w:rPr>
        <w:t>22</w:t>
      </w:r>
    </w:p>
    <w:p>
      <w:pPr>
        <w:pStyle w:val="10"/>
        <w:adjustRightInd w:val="0"/>
        <w:snapToGrid w:val="0"/>
        <w:spacing w:before="0" w:line="440" w:lineRule="exact"/>
        <w:jc w:val="left"/>
        <w:rPr>
          <w:rFonts w:hint="default" w:eastAsia="仿宋"/>
          <w:lang w:val="en-US" w:eastAsia="zh-CN"/>
        </w:rPr>
      </w:pPr>
      <w:r>
        <w:rPr>
          <w:rFonts w:hint="eastAsia"/>
          <w:sz w:val="32"/>
          <w:szCs w:val="32"/>
        </w:rPr>
        <w:t>第五部分</w:t>
      </w:r>
      <w:r>
        <w:rPr>
          <w:sz w:val="32"/>
          <w:szCs w:val="32"/>
        </w:rPr>
        <w:t xml:space="preserve"> </w:t>
      </w:r>
      <w:r>
        <w:rPr>
          <w:rFonts w:hint="eastAsia"/>
          <w:sz w:val="32"/>
          <w:szCs w:val="32"/>
        </w:rPr>
        <w:t>附表</w:t>
      </w:r>
      <w:r>
        <w:rPr>
          <w:sz w:val="32"/>
          <w:szCs w:val="32"/>
        </w:rPr>
        <w:tab/>
      </w:r>
      <w:r>
        <w:rPr>
          <w:rFonts w:hint="eastAsia"/>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eastAsia" w:ascii="仿宋" w:hAnsi="仿宋" w:eastAsia="仿宋"/>
          <w:sz w:val="32"/>
          <w:szCs w:val="32"/>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lang w:val="en-US" w:eastAsia="zh-CN"/>
        </w:rPr>
        <w:t>23</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lang w:val="en-US" w:eastAsia="zh-CN"/>
        </w:rPr>
        <w:t>23</w:t>
      </w:r>
    </w:p>
    <w:p>
      <w:pPr>
        <w:widowControl/>
        <w:spacing w:line="440" w:lineRule="exact"/>
        <w:jc w:val="left"/>
        <w:rPr>
          <w:rFonts w:hint="eastAsia" w:ascii="仿宋" w:hAnsi="仿宋" w:eastAsia="仿宋"/>
          <w:sz w:val="32"/>
          <w:szCs w:val="32"/>
          <w:lang w:val="en-US" w:eastAsia="zh-CN"/>
        </w:rPr>
      </w:pPr>
      <w:bookmarkStart w:id="12" w:name="_Toc15377196"/>
      <w:bookmarkStart w:id="13" w:name="_Toc15396599"/>
      <w:r>
        <w:rPr>
          <w:rFonts w:hint="eastAsia" w:ascii="仿宋" w:hAnsi="仿宋" w:eastAsia="仿宋"/>
          <w:sz w:val="32"/>
          <w:szCs w:val="32"/>
          <w:lang w:val="en-US" w:eastAsia="zh-CN"/>
        </w:rPr>
        <w:t xml:space="preserve">    </w:t>
      </w: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default" w:ascii="仿宋" w:hAnsi="仿宋" w:eastAsia="仿宋"/>
          <w:sz w:val="32"/>
          <w:szCs w:val="32"/>
          <w:lang w:val="en-US" w:eastAsia="zh-CN"/>
        </w:rPr>
      </w:pPr>
    </w:p>
    <w:p>
      <w:pPr>
        <w:pStyle w:val="3"/>
        <w:jc w:val="center"/>
        <w:rPr>
          <w:rFonts w:hint="eastAsia" w:ascii="黑体" w:hAnsi="黑体" w:eastAsia="黑体"/>
          <w:b w:val="0"/>
        </w:rPr>
        <w:sectPr>
          <w:footerReference r:id="rId9" w:type="first"/>
          <w:footerReference r:id="rId8" w:type="default"/>
          <w:pgSz w:w="11906" w:h="16838"/>
          <w:pgMar w:top="1440" w:right="1800" w:bottom="1440" w:left="1800" w:header="851" w:footer="992" w:gutter="0"/>
          <w:pgNumType w:start="0"/>
          <w:cols w:space="425" w:num="1"/>
          <w:titlePg/>
          <w:docGrid w:type="lines" w:linePitch="312" w:charSpace="0"/>
        </w:sectPr>
      </w:pPr>
      <w:bookmarkStart w:id="14" w:name="_Hlk146544157"/>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5" w:name="_Toc15377197"/>
      <w:bookmarkStart w:id="16" w:name="_Toc15396600"/>
      <w:r>
        <w:rPr>
          <w:rStyle w:val="25"/>
          <w:rFonts w:hint="eastAsia" w:ascii="黑体" w:hAnsi="黑体" w:eastAsia="黑体"/>
          <w:b w:val="0"/>
          <w:bCs w:val="0"/>
        </w:rPr>
        <w:t>主要职责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（一）职能职责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ascii="仿宋" w:hAnsi="仿宋" w:eastAsia="仿宋"/>
          <w:sz w:val="32"/>
        </w:rPr>
        <w:t>1、主要负责宣传国家文化方针、政策和法令,开展文化科学知识的普及宣传。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ascii="仿宋" w:hAnsi="仿宋" w:eastAsia="仿宋"/>
          <w:sz w:val="32"/>
        </w:rPr>
        <w:t>2、积极发挥公共文化服务主阵地作用，负责组织开展音乐、舞蹈、文学、戏曲、美术、书法、摄影等各类群众文化活动；通过举办各类展览、讲座、培训等，普及科学文化知识，开展社会教育，促进精神文明建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ascii="仿宋" w:hAnsi="仿宋" w:eastAsia="仿宋"/>
          <w:sz w:val="32"/>
        </w:rPr>
        <w:t>3、开展流动文化服务，负责指导群众业余文艺团队建设，辅导和培训群众文艺骨干、指导群众文艺创作，开展群众文化工作理论研究。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ascii="仿宋" w:hAnsi="仿宋" w:eastAsia="仿宋"/>
          <w:sz w:val="32"/>
        </w:rPr>
        <w:t>4、负责指导下一级文化馆（镇、乡综合文化站、社区文化中心）工作，培训文艺骨干和文艺积极分子，配送文化资源和文化服务。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ascii="仿宋" w:hAnsi="仿宋" w:eastAsia="仿宋"/>
          <w:sz w:val="32"/>
        </w:rPr>
        <w:t>5、负责收集、整理、研究非物质文化遗产，开展非物质文化遗产的普查、展示、宣传活动，指导传承人开展传习活动。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ascii="仿宋" w:hAnsi="仿宋" w:eastAsia="仿宋"/>
          <w:sz w:val="32"/>
        </w:rPr>
        <w:t>6、积极建设公共文化服务网络，开展数字化信息服务。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rPr>
      </w:pPr>
      <w:r>
        <w:rPr>
          <w:rFonts w:hint="eastAsia" w:ascii="仿宋" w:hAnsi="仿宋" w:eastAsia="仿宋"/>
          <w:sz w:val="32"/>
        </w:rPr>
        <w:t>7、负责为群众文娱活动提供免费场所、信息和资料。</w:t>
      </w:r>
    </w:p>
    <w:p>
      <w:pPr>
        <w:ind w:firstLine="640" w:firstLineChars="200"/>
        <w:rPr>
          <w:rFonts w:hint="eastAsia" w:ascii="楷体" w:hAnsi="楷体" w:eastAsia="楷体" w:cs="楷体"/>
          <w:sz w:val="32"/>
          <w:lang w:val="en-US" w:eastAsia="zh-CN"/>
        </w:rPr>
      </w:pPr>
      <w:r>
        <w:rPr>
          <w:rFonts w:hint="eastAsia" w:ascii="楷体" w:hAnsi="楷体" w:eastAsia="楷体" w:cs="楷体"/>
          <w:sz w:val="32"/>
          <w:lang w:val="en-US" w:eastAsia="zh-CN"/>
        </w:rPr>
        <w:t>（二）2022年重点工作完成情况</w:t>
      </w:r>
    </w:p>
    <w:p>
      <w:pPr>
        <w:spacing w:line="520" w:lineRule="exact"/>
        <w:ind w:firstLine="640"/>
        <w:rPr>
          <w:rFonts w:hint="eastAsia" w:ascii="仿宋_GB2312" w:hAnsi="宋体" w:eastAsia="仿宋_GB2312"/>
          <w:sz w:val="32"/>
        </w:rPr>
      </w:pPr>
      <w:r>
        <w:rPr>
          <w:rFonts w:hint="eastAsia" w:ascii="仿宋_GB2312" w:hAnsi="宋体" w:eastAsia="仿宋_GB2312"/>
          <w:sz w:val="32"/>
          <w:lang w:val="en-US" w:eastAsia="zh-CN"/>
        </w:rPr>
        <w:t>1.</w:t>
      </w:r>
      <w:r>
        <w:rPr>
          <w:rFonts w:hint="eastAsia" w:ascii="仿宋_GB2312" w:hAnsi="宋体" w:eastAsia="仿宋_GB2312"/>
          <w:sz w:val="32"/>
        </w:rPr>
        <w:t>加强文化馆基础设施建设，充分发挥阵地优势。</w:t>
      </w:r>
    </w:p>
    <w:p>
      <w:pPr>
        <w:spacing w:line="520" w:lineRule="exact"/>
        <w:ind w:firstLine="640"/>
        <w:rPr>
          <w:rFonts w:hint="eastAsia" w:ascii="仿宋_GB2312" w:hAnsi="宋体" w:eastAsia="仿宋_GB2312"/>
          <w:sz w:val="32"/>
        </w:rPr>
      </w:pPr>
      <w:r>
        <w:rPr>
          <w:rFonts w:hint="eastAsia" w:ascii="仿宋_GB2312" w:hAnsi="宋体" w:eastAsia="仿宋_GB2312"/>
          <w:sz w:val="32"/>
        </w:rPr>
        <w:t>我馆积极完善服务设施，创新服务内容，全面推进文化馆免费开放工作，做到公共空间设施场地免费开放，基本公共文化服务项目免费向群众提供。同时安全有序的举办了美术、音乐、舞蹈、走秀、非遗等培训班多期,积极为全市各支文艺宣传队伍提供声乐、舞蹈等指导。</w:t>
      </w:r>
    </w:p>
    <w:p>
      <w:pPr>
        <w:spacing w:line="520" w:lineRule="exact"/>
        <w:ind w:firstLine="640"/>
        <w:rPr>
          <w:rFonts w:hint="eastAsia" w:ascii="仿宋_GB2312" w:hAnsi="宋体" w:eastAsia="仿宋_GB2312"/>
          <w:sz w:val="32"/>
          <w:lang w:eastAsia="zh-CN"/>
        </w:rPr>
      </w:pPr>
      <w:r>
        <w:rPr>
          <w:rFonts w:hint="eastAsia" w:ascii="仿宋_GB2312" w:hAnsi="宋体" w:eastAsia="仿宋_GB2312"/>
          <w:sz w:val="32"/>
          <w:lang w:val="en-US" w:eastAsia="zh-CN"/>
        </w:rPr>
        <w:t>2.</w:t>
      </w:r>
      <w:r>
        <w:rPr>
          <w:rFonts w:hint="eastAsia" w:ascii="仿宋_GB2312" w:hAnsi="宋体" w:eastAsia="仿宋_GB2312"/>
          <w:sz w:val="32"/>
        </w:rPr>
        <w:t>积极开展各类群众性文化惠民活动</w:t>
      </w:r>
      <w:r>
        <w:rPr>
          <w:rFonts w:hint="eastAsia" w:ascii="仿宋_GB2312" w:hAnsi="宋体" w:eastAsia="仿宋_GB2312"/>
          <w:sz w:val="32"/>
          <w:lang w:eastAsia="zh-CN"/>
        </w:rPr>
        <w:t>。</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w:t>
      </w:r>
      <w:r>
        <w:rPr>
          <w:rFonts w:hint="eastAsia" w:ascii="仿宋_GB2312" w:hAnsi="宋体" w:eastAsia="仿宋_GB2312"/>
          <w:sz w:val="32"/>
          <w:lang w:eastAsia="zh-CN"/>
        </w:rPr>
        <w:t>）</w:t>
      </w:r>
      <w:r>
        <w:rPr>
          <w:rFonts w:hint="eastAsia" w:ascii="仿宋_GB2312" w:hAnsi="宋体" w:eastAsia="仿宋_GB2312"/>
          <w:sz w:val="32"/>
        </w:rPr>
        <w:t>举办了迎春美术摄影作品展，2月14日起，根据市委、市政府做好2022年元旦春节系列群众文化体育活动的要求，我馆在线上平台举办2022年峨眉山市新春书画作品展，让大家足不出户，将艺术之美尽收眼底。本次画展精心甄选了本市书画家共120副力作以飨观者，其中美术作品70件，书法作品50件。作品内容结合我市社会经济各方面所取得成绩，积极践行社会主义核心价值观，反映正能量，突出主旋律。积极向上，立意新颖，格调高雅，构思巧妙、含义深远，注重思想性和艺术性的统一</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2</w:t>
      </w:r>
      <w:r>
        <w:rPr>
          <w:rFonts w:hint="eastAsia" w:ascii="仿宋_GB2312" w:hAnsi="宋体" w:eastAsia="仿宋_GB2312"/>
          <w:sz w:val="32"/>
          <w:lang w:eastAsia="zh-CN"/>
        </w:rPr>
        <w:t>）</w:t>
      </w:r>
      <w:r>
        <w:rPr>
          <w:rFonts w:hint="eastAsia" w:ascii="仿宋_GB2312" w:hAnsi="宋体" w:eastAsia="仿宋_GB2312"/>
          <w:sz w:val="32"/>
        </w:rPr>
        <w:t>举办了闹元宵民俗文化展示活动，2月15日正值农历正月十五，由峨眉山市委宣传部、市文体旅游局主办，我馆承办的“虎跃新春迎盛世 登山不止续百年”主题活动在峨眉象城如期举行，本次活动由以武术、戏剧、茶艺等民俗文化为主要内容的特色文化展演，民间歌舞表演以及非遗展示、体验及游园活动三个部分组成，向市民、游客多角度全方位展现峨眉山市的特色民俗文化、民间艺术。在象城商业街还有豆腐脑、冻耙、峨眉糕、雪魔芋、麻糖等非遗美食及扎染、蝶翅画、泡菜母水等非遗技艺展示体验、产品展示销售。同时，在象城大剧院、古戏台区域开展猜灯谜、瞎子摸象等游园活动，吸引了大量市民游客前来游玩。这次活动将传统民俗文化有机融入新时代特色，彰显了峨眉民间的活力与独特生机。</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3</w:t>
      </w:r>
      <w:r>
        <w:rPr>
          <w:rFonts w:hint="eastAsia" w:ascii="仿宋_GB2312" w:hAnsi="宋体" w:eastAsia="仿宋_GB2312"/>
          <w:sz w:val="32"/>
          <w:lang w:eastAsia="zh-CN"/>
        </w:rPr>
        <w:t>）</w:t>
      </w:r>
      <w:r>
        <w:rPr>
          <w:rFonts w:hint="eastAsia" w:ascii="仿宋_GB2312" w:hAnsi="宋体" w:eastAsia="仿宋_GB2312"/>
          <w:sz w:val="32"/>
        </w:rPr>
        <w:t>举办了峨眉山市2022年 “家乡美”写生采风活动，2022年8月24日，峨眉山市文化馆、峨眉山市美术家协会组织本市书画家去往峨眉南山苦蒿坪村开展为期3天的“家乡美”写生采风活动。组织本域书画家深入生活，贴近群众，零距离接触大自然，感受乡土气息，捕捉美的真趣，激发灵感创作出大批具有本土特色的美术作品，为峨眉山市的文旅繁荣添砖加瓦。</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4</w:t>
      </w:r>
      <w:r>
        <w:rPr>
          <w:rFonts w:hint="eastAsia" w:ascii="仿宋_GB2312" w:hAnsi="宋体" w:eastAsia="仿宋_GB2312"/>
          <w:sz w:val="32"/>
          <w:lang w:eastAsia="zh-CN"/>
        </w:rPr>
        <w:t>）</w:t>
      </w:r>
      <w:r>
        <w:rPr>
          <w:rFonts w:hint="eastAsia" w:ascii="仿宋_GB2312" w:hAnsi="宋体" w:eastAsia="仿宋_GB2312"/>
          <w:sz w:val="32"/>
        </w:rPr>
        <w:t>会同峨眉山博物馆举办了喜迎二十大书画展，汇聚峨眉山众多书画艺术家，以‘翰墨丹青  峨眉胜景’为主题，创作了80余幅优秀的书画作品。宣扬文化自信与民族强盛，继承好中华民族传统文化，让更多的书画爱好者参与进来，凝聚人心，发展壮大中华民族传统文化。</w:t>
      </w:r>
    </w:p>
    <w:p>
      <w:pPr>
        <w:spacing w:line="520" w:lineRule="exact"/>
        <w:ind w:firstLine="640"/>
        <w:rPr>
          <w:rFonts w:hint="eastAsia" w:ascii="仿宋_GB2312" w:hAnsi="宋体" w:eastAsia="仿宋_GB2312"/>
          <w:sz w:val="32"/>
        </w:rPr>
      </w:pPr>
      <w:r>
        <w:rPr>
          <w:rFonts w:hint="eastAsia" w:ascii="仿宋_GB2312" w:hAnsi="宋体" w:eastAsia="仿宋_GB2312"/>
          <w:sz w:val="32"/>
          <w:lang w:val="en-US" w:eastAsia="zh-CN"/>
        </w:rPr>
        <w:t>3.</w:t>
      </w:r>
      <w:r>
        <w:rPr>
          <w:rFonts w:hint="eastAsia" w:ascii="仿宋_GB2312" w:hAnsi="宋体" w:eastAsia="仿宋_GB2312"/>
          <w:sz w:val="32"/>
        </w:rPr>
        <w:t>努力推进非物质文化遗产保护工作。</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w:t>
      </w:r>
      <w:r>
        <w:rPr>
          <w:rFonts w:hint="eastAsia" w:ascii="仿宋_GB2312" w:hAnsi="宋体" w:eastAsia="仿宋_GB2312"/>
          <w:sz w:val="32"/>
          <w:lang w:eastAsia="zh-CN"/>
        </w:rPr>
        <w:t>）</w:t>
      </w:r>
      <w:r>
        <w:rPr>
          <w:rFonts w:hint="eastAsia" w:ascii="仿宋_GB2312" w:hAnsi="宋体" w:eastAsia="仿宋_GB2312"/>
          <w:sz w:val="32"/>
        </w:rPr>
        <w:t>组织各非遗项目通过我馆公众号、抖音平台等开展“文化进万家、非遗过大年”视频展播活动；</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2</w:t>
      </w:r>
      <w:r>
        <w:rPr>
          <w:rFonts w:hint="eastAsia" w:ascii="仿宋_GB2312" w:hAnsi="宋体" w:eastAsia="仿宋_GB2312"/>
          <w:sz w:val="32"/>
          <w:lang w:eastAsia="zh-CN"/>
        </w:rPr>
        <w:t>）</w:t>
      </w:r>
      <w:r>
        <w:rPr>
          <w:rFonts w:hint="eastAsia" w:ascii="仿宋_GB2312" w:hAnsi="宋体" w:eastAsia="仿宋_GB2312"/>
          <w:sz w:val="32"/>
        </w:rPr>
        <w:t>积极组织乐山市级项目参与报第六批省级非遗项目申报；</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3</w:t>
      </w:r>
      <w:r>
        <w:rPr>
          <w:rFonts w:hint="eastAsia" w:ascii="仿宋_GB2312" w:hAnsi="宋体" w:eastAsia="仿宋_GB2312"/>
          <w:sz w:val="32"/>
          <w:lang w:eastAsia="zh-CN"/>
        </w:rPr>
        <w:t>）</w:t>
      </w:r>
      <w:r>
        <w:rPr>
          <w:rFonts w:hint="eastAsia" w:ascii="仿宋_GB2312" w:hAnsi="宋体" w:eastAsia="仿宋_GB2312"/>
          <w:sz w:val="32"/>
        </w:rPr>
        <w:t>积极开展峨眉山市非遗场馆建设情况调查，并形成调查问卷；</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4</w:t>
      </w:r>
      <w:r>
        <w:rPr>
          <w:rFonts w:hint="eastAsia" w:ascii="仿宋_GB2312" w:hAnsi="宋体" w:eastAsia="仿宋_GB2312"/>
          <w:sz w:val="32"/>
          <w:lang w:eastAsia="zh-CN"/>
        </w:rPr>
        <w:t>）</w:t>
      </w:r>
      <w:r>
        <w:rPr>
          <w:rFonts w:hint="eastAsia" w:ascii="仿宋_GB2312" w:hAnsi="宋体" w:eastAsia="仿宋_GB2312"/>
          <w:sz w:val="32"/>
        </w:rPr>
        <w:t>配合市委、市政府、市文体旅游局开展峨眉山市正月十五闹元宵民俗文化展示活动；</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5</w:t>
      </w:r>
      <w:r>
        <w:rPr>
          <w:rFonts w:hint="eastAsia" w:ascii="仿宋_GB2312" w:hAnsi="宋体" w:eastAsia="仿宋_GB2312"/>
          <w:sz w:val="32"/>
          <w:lang w:eastAsia="zh-CN"/>
        </w:rPr>
        <w:t>）</w:t>
      </w:r>
      <w:r>
        <w:rPr>
          <w:rFonts w:hint="eastAsia" w:ascii="仿宋_GB2312" w:hAnsi="宋体" w:eastAsia="仿宋_GB2312"/>
          <w:sz w:val="32"/>
        </w:rPr>
        <w:t>开展省级非遗代表性项目保护情况和存续状况检查；</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6</w:t>
      </w:r>
      <w:r>
        <w:rPr>
          <w:rFonts w:hint="eastAsia" w:ascii="仿宋_GB2312" w:hAnsi="宋体" w:eastAsia="仿宋_GB2312"/>
          <w:sz w:val="32"/>
          <w:lang w:eastAsia="zh-CN"/>
        </w:rPr>
        <w:t>）</w:t>
      </w:r>
      <w:r>
        <w:rPr>
          <w:rFonts w:hint="eastAsia" w:ascii="仿宋_GB2312" w:hAnsi="宋体" w:eastAsia="仿宋_GB2312"/>
          <w:sz w:val="32"/>
        </w:rPr>
        <w:t>配合省文旅厅、市文旅局开展省级、市级非遗传承人考核工作；</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7</w:t>
      </w:r>
      <w:r>
        <w:rPr>
          <w:rFonts w:hint="eastAsia" w:ascii="仿宋_GB2312" w:hAnsi="宋体" w:eastAsia="仿宋_GB2312"/>
          <w:sz w:val="32"/>
          <w:lang w:eastAsia="zh-CN"/>
        </w:rPr>
        <w:t>）</w:t>
      </w:r>
      <w:r>
        <w:rPr>
          <w:rFonts w:hint="eastAsia" w:ascii="仿宋_GB2312" w:hAnsi="宋体" w:eastAsia="仿宋_GB2312"/>
          <w:sz w:val="32"/>
        </w:rPr>
        <w:t>组织非遗项目、非遗传承人开展乡村文化和旅游能人申报、2022乐山文化旅游非遗品牌评选、2022四川非遗年度人物及非遗优秀案例申报；</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8</w:t>
      </w:r>
      <w:r>
        <w:rPr>
          <w:rFonts w:hint="eastAsia" w:ascii="仿宋_GB2312" w:hAnsi="宋体" w:eastAsia="仿宋_GB2312"/>
          <w:sz w:val="32"/>
          <w:lang w:eastAsia="zh-CN"/>
        </w:rPr>
        <w:t>）</w:t>
      </w:r>
      <w:r>
        <w:rPr>
          <w:rFonts w:hint="eastAsia" w:ascii="仿宋_GB2312" w:hAnsi="宋体" w:eastAsia="仿宋_GB2312"/>
          <w:sz w:val="32"/>
        </w:rPr>
        <w:t>开展2022文化和自然遗产日非遗活动，在黄湾、中信国安等开设非遗图片展；在高桥镇开展指画研学之旅；</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9</w:t>
      </w:r>
      <w:r>
        <w:rPr>
          <w:rFonts w:hint="eastAsia" w:ascii="仿宋_GB2312" w:hAnsi="宋体" w:eastAsia="仿宋_GB2312"/>
          <w:sz w:val="32"/>
          <w:lang w:eastAsia="zh-CN"/>
        </w:rPr>
        <w:t>）</w:t>
      </w:r>
      <w:r>
        <w:rPr>
          <w:rFonts w:hint="eastAsia" w:ascii="仿宋_GB2312" w:hAnsi="宋体" w:eastAsia="仿宋_GB2312"/>
          <w:sz w:val="32"/>
        </w:rPr>
        <w:t>7月28日，值此八一前夕，我市指画传承人林栩与其他书画家一起到解放军驻峨某部开展非遗进军营活动，给解放军官兵带去八一慰问。</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10</w:t>
      </w:r>
      <w:r>
        <w:rPr>
          <w:rFonts w:hint="eastAsia" w:ascii="仿宋_GB2312" w:hAnsi="宋体" w:eastAsia="仿宋_GB2312"/>
          <w:sz w:val="32"/>
          <w:lang w:eastAsia="zh-CN"/>
        </w:rPr>
        <w:t>）</w:t>
      </w:r>
      <w:r>
        <w:rPr>
          <w:rFonts w:hint="eastAsia" w:ascii="仿宋_GB2312" w:hAnsi="宋体" w:eastAsia="仿宋_GB2312"/>
          <w:sz w:val="32"/>
        </w:rPr>
        <w:t>9月28-29日，在符溪镇、绥山镇荷叶村，组织蝶翅画、竹编非遗传承人开展非遗传统技艺培训。</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11</w:t>
      </w:r>
      <w:r>
        <w:rPr>
          <w:rFonts w:hint="eastAsia" w:ascii="仿宋_GB2312" w:hAnsi="宋体" w:eastAsia="仿宋_GB2312"/>
          <w:sz w:val="32"/>
          <w:lang w:eastAsia="zh-CN"/>
        </w:rPr>
        <w:t>）</w:t>
      </w:r>
      <w:r>
        <w:rPr>
          <w:rFonts w:hint="eastAsia" w:ascii="仿宋_GB2312" w:hAnsi="宋体" w:eastAsia="仿宋_GB2312"/>
          <w:sz w:val="32"/>
        </w:rPr>
        <w:t>10月1日-3日期间，开展非遗进景区活动，收集我市非遗项目文图资料，在报国寺、黄湾门禁等峨眉山低山区景区景点进行非遗展示。</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12</w:t>
      </w:r>
      <w:r>
        <w:rPr>
          <w:rFonts w:hint="eastAsia" w:ascii="仿宋_GB2312" w:hAnsi="宋体" w:eastAsia="仿宋_GB2312"/>
          <w:sz w:val="32"/>
          <w:lang w:eastAsia="zh-CN"/>
        </w:rPr>
        <w:t>）</w:t>
      </w:r>
      <w:r>
        <w:rPr>
          <w:rFonts w:hint="eastAsia" w:ascii="仿宋_GB2312" w:hAnsi="宋体" w:eastAsia="仿宋_GB2312"/>
          <w:sz w:val="32"/>
        </w:rPr>
        <w:t>组织非遗项目参加乐山市非遗直播购物节；</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13</w:t>
      </w:r>
      <w:r>
        <w:rPr>
          <w:rFonts w:hint="eastAsia" w:ascii="仿宋_GB2312" w:hAnsi="宋体" w:eastAsia="仿宋_GB2312"/>
          <w:sz w:val="32"/>
          <w:lang w:eastAsia="zh-CN"/>
        </w:rPr>
        <w:t>）</w:t>
      </w:r>
      <w:r>
        <w:rPr>
          <w:rFonts w:hint="eastAsia" w:ascii="仿宋_GB2312" w:hAnsi="宋体" w:eastAsia="仿宋_GB2312"/>
          <w:sz w:val="32"/>
        </w:rPr>
        <w:t>积极组织非遗传承人开展四川非遗年度人物及优秀案例申报，峨眉武术及峨眉山指画传承人林栩成功入选；</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w:t>
      </w:r>
      <w:r>
        <w:rPr>
          <w:rFonts w:hint="eastAsia" w:ascii="仿宋_GB2312" w:hAnsi="宋体" w:eastAsia="仿宋_GB2312"/>
          <w:sz w:val="32"/>
          <w:lang w:val="en-US" w:eastAsia="zh-CN"/>
        </w:rPr>
        <w:t>14</w:t>
      </w:r>
      <w:r>
        <w:rPr>
          <w:rFonts w:hint="eastAsia" w:ascii="仿宋_GB2312" w:hAnsi="宋体" w:eastAsia="仿宋_GB2312"/>
          <w:sz w:val="32"/>
          <w:lang w:eastAsia="zh-CN"/>
        </w:rPr>
        <w:t>）</w:t>
      </w:r>
      <w:r>
        <w:rPr>
          <w:rFonts w:hint="eastAsia" w:ascii="仿宋_GB2312" w:hAnsi="宋体" w:eastAsia="仿宋_GB2312"/>
          <w:sz w:val="32"/>
        </w:rPr>
        <w:t>积极组织非遗项目参加2022小凉山非遗荟。</w:t>
      </w:r>
    </w:p>
    <w:p>
      <w:pPr>
        <w:spacing w:line="520" w:lineRule="exact"/>
        <w:ind w:firstLine="640"/>
        <w:rPr>
          <w:rFonts w:hint="eastAsia" w:ascii="仿宋_GB2312" w:hAnsi="宋体" w:eastAsia="仿宋_GB2312"/>
          <w:sz w:val="32"/>
        </w:rPr>
      </w:pPr>
      <w:r>
        <w:rPr>
          <w:rFonts w:hint="eastAsia" w:ascii="仿宋_GB2312" w:hAnsi="宋体" w:eastAsia="仿宋_GB2312"/>
          <w:sz w:val="32"/>
          <w:lang w:val="en-US" w:eastAsia="zh-CN"/>
        </w:rPr>
        <w:t>4.</w:t>
      </w:r>
      <w:r>
        <w:rPr>
          <w:rFonts w:hint="eastAsia" w:ascii="仿宋_GB2312" w:hAnsi="宋体" w:eastAsia="仿宋_GB2312"/>
          <w:sz w:val="32"/>
        </w:rPr>
        <w:t>文化助力乡村振兴。</w:t>
      </w:r>
    </w:p>
    <w:p>
      <w:pPr>
        <w:spacing w:line="520" w:lineRule="exact"/>
        <w:ind w:firstLine="640"/>
        <w:rPr>
          <w:rFonts w:hint="eastAsia" w:ascii="仿宋_GB2312" w:hAnsi="宋体" w:eastAsia="仿宋_GB2312"/>
          <w:sz w:val="32"/>
        </w:rPr>
      </w:pPr>
      <w:r>
        <w:rPr>
          <w:rFonts w:hint="eastAsia" w:ascii="仿宋_GB2312" w:hAnsi="宋体" w:eastAsia="仿宋_GB2312"/>
          <w:sz w:val="32"/>
        </w:rPr>
        <w:t>继续坚持干部职工每月进村入户对扶贫对象进行对接帮扶，加大力度对帮扶对象的监测，防止出现返贫现象。着力推进实施文化惠民乡村振兴行动,保障乡村尤其是贫困区域群众基本文化权益，满足群众日益增长的精神文化需求。</w:t>
      </w:r>
    </w:p>
    <w:p>
      <w:pPr>
        <w:spacing w:line="520" w:lineRule="exact"/>
        <w:ind w:firstLine="640"/>
        <w:rPr>
          <w:rFonts w:hint="eastAsia" w:ascii="仿宋_GB2312" w:hAnsi="宋体" w:eastAsia="仿宋_GB2312"/>
          <w:sz w:val="32"/>
        </w:rPr>
      </w:pPr>
      <w:r>
        <w:rPr>
          <w:rFonts w:hint="eastAsia" w:ascii="仿宋_GB2312" w:hAnsi="宋体" w:eastAsia="仿宋_GB2312"/>
          <w:sz w:val="32"/>
        </w:rPr>
        <w:t>组织专业人员坚持下基层，对各社区、学校、镇乡综合文化站及文化广场群众文化活动进行实际指导和辅导。</w:t>
      </w:r>
    </w:p>
    <w:p>
      <w:pPr>
        <w:spacing w:line="520" w:lineRule="exact"/>
        <w:ind w:firstLine="640"/>
        <w:rPr>
          <w:rFonts w:hint="eastAsia" w:ascii="仿宋_GB2312" w:hAnsi="宋体" w:eastAsia="仿宋_GB2312"/>
          <w:sz w:val="32"/>
        </w:rPr>
      </w:pPr>
      <w:r>
        <w:rPr>
          <w:rFonts w:hint="eastAsia" w:ascii="仿宋_GB2312" w:hAnsi="宋体" w:eastAsia="仿宋_GB2312"/>
          <w:sz w:val="32"/>
        </w:rPr>
        <w:t>组织非遗保护单位、传承人在符溪、绥山等地开展峨眉山蝶翅画、竹编等技艺农村家庭能人培训。</w:t>
      </w:r>
    </w:p>
    <w:p>
      <w:pPr>
        <w:spacing w:line="520" w:lineRule="exact"/>
        <w:ind w:firstLine="640"/>
        <w:rPr>
          <w:rFonts w:hint="eastAsia" w:ascii="仿宋_GB2312" w:hAnsi="宋体" w:eastAsia="仿宋_GB2312"/>
          <w:sz w:val="32"/>
        </w:rPr>
      </w:pPr>
      <w:r>
        <w:rPr>
          <w:rFonts w:hint="eastAsia" w:ascii="仿宋_GB2312" w:hAnsi="宋体" w:eastAsia="仿宋_GB2312"/>
          <w:sz w:val="32"/>
          <w:lang w:val="en-US" w:eastAsia="zh-CN"/>
        </w:rPr>
        <w:t>5.</w:t>
      </w:r>
      <w:r>
        <w:rPr>
          <w:rFonts w:hint="eastAsia" w:ascii="仿宋_GB2312" w:hAnsi="宋体" w:eastAsia="仿宋_GB2312"/>
          <w:sz w:val="32"/>
        </w:rPr>
        <w:t>防疫警弦不松懈，进一步加大线上文化服务力度。按照“防疫优先、精准施策、有序开放”的原则，场馆稳步做好有序开放：场馆做好消杀工作，进馆群众需进行提前预约，并完成“天府健康通”扫码、体温测量、口罩佩戴、防疫登记等措施，活动期间保障人员间距和教室开放通风。继续通过峨眉山市文化馆网站、微信公众号、数字云平台、抖音账号等网络平台开展网上教学培训、线上展览展示、数字阅读推广等线上服务，为广大市民群众提供优质的线上公共文化服务。</w:t>
      </w:r>
    </w:p>
    <w:p>
      <w:pPr>
        <w:spacing w:line="520" w:lineRule="exact"/>
        <w:ind w:firstLine="640"/>
        <w:rPr>
          <w:rFonts w:hint="eastAsia" w:ascii="仿宋_GB2312" w:hAnsi="宋体" w:eastAsia="仿宋_GB2312"/>
          <w:sz w:val="32"/>
        </w:rPr>
      </w:pPr>
      <w:r>
        <w:rPr>
          <w:rFonts w:hint="eastAsia" w:ascii="仿宋_GB2312" w:hAnsi="宋体" w:eastAsia="仿宋_GB2312"/>
          <w:sz w:val="32"/>
          <w:lang w:eastAsia="zh-CN"/>
        </w:rPr>
        <w:t>（四）</w:t>
      </w:r>
      <w:r>
        <w:rPr>
          <w:rFonts w:hint="eastAsia" w:ascii="仿宋_GB2312" w:hAnsi="宋体" w:eastAsia="仿宋_GB2312"/>
          <w:sz w:val="32"/>
        </w:rPr>
        <w:t>下一步工作打算</w:t>
      </w:r>
    </w:p>
    <w:p>
      <w:pPr>
        <w:spacing w:line="520" w:lineRule="exact"/>
        <w:ind w:firstLine="640"/>
        <w:rPr>
          <w:rFonts w:hint="eastAsia" w:ascii="仿宋_GB2312" w:hAnsi="宋体" w:eastAsia="仿宋_GB2312"/>
          <w:sz w:val="32"/>
        </w:rPr>
      </w:pPr>
      <w:r>
        <w:rPr>
          <w:rFonts w:hint="eastAsia" w:ascii="仿宋_GB2312" w:hAnsi="宋体" w:eastAsia="仿宋_GB2312"/>
          <w:sz w:val="32"/>
          <w:lang w:val="en-US" w:eastAsia="zh-CN"/>
        </w:rPr>
        <w:t>1.</w:t>
      </w:r>
      <w:r>
        <w:rPr>
          <w:rFonts w:hint="eastAsia" w:ascii="仿宋_GB2312" w:hAnsi="宋体" w:eastAsia="仿宋_GB2312"/>
          <w:sz w:val="32"/>
        </w:rPr>
        <w:t>继续完善国家公共文化服务体系创建各项工作，充分发挥文化馆职能，提高公共文化服务水平。</w:t>
      </w:r>
    </w:p>
    <w:p>
      <w:pPr>
        <w:spacing w:line="520" w:lineRule="exact"/>
        <w:ind w:firstLine="640"/>
        <w:rPr>
          <w:rFonts w:hint="eastAsia" w:ascii="仿宋_GB2312" w:hAnsi="宋体" w:eastAsia="仿宋_GB2312"/>
          <w:sz w:val="32"/>
        </w:rPr>
      </w:pPr>
      <w:r>
        <w:rPr>
          <w:rFonts w:hint="eastAsia" w:ascii="仿宋_GB2312" w:hAnsi="宋体" w:eastAsia="仿宋_GB2312"/>
          <w:sz w:val="32"/>
        </w:rPr>
        <w:t>2</w:t>
      </w:r>
      <w:r>
        <w:rPr>
          <w:rFonts w:hint="eastAsia" w:ascii="仿宋_GB2312" w:hAnsi="宋体" w:eastAsia="仿宋_GB2312"/>
          <w:sz w:val="32"/>
          <w:lang w:val="en-US" w:eastAsia="zh-CN"/>
        </w:rPr>
        <w:t>.</w:t>
      </w:r>
      <w:r>
        <w:rPr>
          <w:rFonts w:hint="eastAsia" w:ascii="仿宋_GB2312" w:hAnsi="宋体" w:eastAsia="仿宋_GB2312"/>
          <w:sz w:val="32"/>
        </w:rPr>
        <w:t>防疫警弦不松懈，在保障防疫安全的情况下继续做好文化艺术普及和免费开放，积极创造条件，开展公益培训班，为社区以及乡镇群众提供免费、优质的服务。</w:t>
      </w:r>
    </w:p>
    <w:p>
      <w:pPr>
        <w:spacing w:line="520" w:lineRule="exact"/>
        <w:ind w:firstLine="640"/>
        <w:rPr>
          <w:rFonts w:hint="eastAsia" w:ascii="仿宋_GB2312" w:hAnsi="宋体" w:eastAsia="仿宋_GB2312"/>
          <w:sz w:val="32"/>
        </w:rPr>
      </w:pPr>
      <w:r>
        <w:rPr>
          <w:rFonts w:hint="eastAsia" w:ascii="仿宋_GB2312" w:hAnsi="宋体" w:eastAsia="仿宋_GB2312"/>
          <w:sz w:val="32"/>
        </w:rPr>
        <w:t>3</w:t>
      </w:r>
      <w:r>
        <w:rPr>
          <w:rFonts w:hint="eastAsia" w:ascii="仿宋_GB2312" w:hAnsi="宋体" w:eastAsia="仿宋_GB2312"/>
          <w:sz w:val="32"/>
          <w:lang w:val="en-US" w:eastAsia="zh-CN"/>
        </w:rPr>
        <w:t>.</w:t>
      </w:r>
      <w:r>
        <w:rPr>
          <w:rFonts w:hint="eastAsia" w:ascii="仿宋_GB2312" w:hAnsi="宋体" w:eastAsia="仿宋_GB2312"/>
          <w:sz w:val="32"/>
        </w:rPr>
        <w:t>继续做好非物质文化遗产工作。</w:t>
      </w:r>
    </w:p>
    <w:p>
      <w:pPr>
        <w:spacing w:line="520" w:lineRule="exact"/>
        <w:ind w:firstLine="640"/>
        <w:rPr>
          <w:rFonts w:hint="eastAsia" w:ascii="仿宋_GB2312" w:hAnsi="宋体" w:eastAsia="仿宋_GB2312"/>
          <w:sz w:val="32"/>
        </w:rPr>
      </w:pPr>
      <w:r>
        <w:rPr>
          <w:rFonts w:hint="eastAsia" w:ascii="仿宋_GB2312" w:hAnsi="宋体" w:eastAsia="仿宋_GB2312"/>
          <w:sz w:val="32"/>
        </w:rPr>
        <w:t>4</w:t>
      </w:r>
      <w:r>
        <w:rPr>
          <w:rFonts w:hint="eastAsia" w:ascii="仿宋_GB2312" w:hAnsi="宋体" w:eastAsia="仿宋_GB2312"/>
          <w:sz w:val="32"/>
          <w:lang w:val="en-US" w:eastAsia="zh-CN"/>
        </w:rPr>
        <w:t>.</w:t>
      </w:r>
      <w:r>
        <w:rPr>
          <w:rFonts w:hint="eastAsia" w:ascii="仿宋_GB2312" w:hAnsi="宋体" w:eastAsia="仿宋_GB2312"/>
          <w:sz w:val="32"/>
        </w:rPr>
        <w:t>开展好文化扶贫各项工作，将送文化进乡村和精准扶贫相结合，把文化惠民、文化助民工作落实在实处。</w:t>
      </w:r>
    </w:p>
    <w:p>
      <w:pPr>
        <w:spacing w:line="520" w:lineRule="exact"/>
        <w:ind w:firstLine="640"/>
        <w:rPr>
          <w:rFonts w:hint="eastAsia" w:ascii="仿宋_GB2312" w:hAnsi="宋体" w:eastAsia="仿宋_GB2312"/>
          <w:sz w:val="32"/>
        </w:rPr>
      </w:pPr>
      <w:r>
        <w:rPr>
          <w:rFonts w:hint="eastAsia" w:ascii="仿宋_GB2312" w:hAnsi="宋体" w:eastAsia="仿宋_GB2312"/>
          <w:sz w:val="32"/>
        </w:rPr>
        <w:t>5</w:t>
      </w:r>
      <w:r>
        <w:rPr>
          <w:rFonts w:hint="eastAsia" w:ascii="仿宋_GB2312" w:hAnsi="宋体" w:eastAsia="仿宋_GB2312"/>
          <w:sz w:val="32"/>
          <w:lang w:val="en-US" w:eastAsia="zh-CN"/>
        </w:rPr>
        <w:t>.</w:t>
      </w:r>
      <w:r>
        <w:rPr>
          <w:rFonts w:hint="eastAsia" w:ascii="仿宋_GB2312" w:hAnsi="宋体" w:eastAsia="仿宋_GB2312"/>
          <w:sz w:val="32"/>
        </w:rPr>
        <w:t>搞好文化志愿者服务队的队伍建设，搞好文艺骨干培训。</w:t>
      </w:r>
    </w:p>
    <w:p>
      <w:pPr>
        <w:spacing w:line="520" w:lineRule="exact"/>
        <w:ind w:firstLine="640"/>
        <w:rPr>
          <w:rFonts w:hint="default" w:ascii="仿宋" w:hAnsi="仿宋" w:eastAsia="仿宋"/>
          <w:sz w:val="32"/>
          <w:lang w:val="en-US" w:eastAsia="zh-CN"/>
        </w:rPr>
      </w:pPr>
      <w:r>
        <w:rPr>
          <w:rFonts w:hint="eastAsia" w:ascii="仿宋_GB2312" w:hAnsi="宋体" w:eastAsia="仿宋_GB2312"/>
          <w:sz w:val="32"/>
        </w:rPr>
        <w:t>6</w:t>
      </w:r>
      <w:r>
        <w:rPr>
          <w:rFonts w:hint="eastAsia" w:ascii="仿宋_GB2312" w:hAnsi="宋体" w:eastAsia="仿宋_GB2312"/>
          <w:sz w:val="32"/>
          <w:lang w:val="en-US" w:eastAsia="zh-CN"/>
        </w:rPr>
        <w:t>.</w:t>
      </w:r>
      <w:r>
        <w:rPr>
          <w:rFonts w:hint="eastAsia" w:ascii="仿宋_GB2312" w:hAnsi="宋体" w:eastAsia="仿宋_GB2312"/>
          <w:sz w:val="32"/>
        </w:rPr>
        <w:t>完成上级交办的其它工作。</w:t>
      </w:r>
    </w:p>
    <w:p>
      <w:pPr>
        <w:pStyle w:val="4"/>
        <w:rPr>
          <w:rFonts w:ascii="黑体" w:hAnsi="黑体" w:eastAsia="黑体"/>
          <w:b w:val="0"/>
        </w:rPr>
      </w:pPr>
      <w:r>
        <w:rPr>
          <w:rFonts w:hint="eastAsia" w:ascii="黑体" w:hAnsi="黑体" w:eastAsia="黑体"/>
          <w:b w:val="0"/>
        </w:rPr>
        <w:t>二、机构设置</w:t>
      </w:r>
    </w:p>
    <w:p>
      <w:pPr>
        <w:ind w:firstLine="707" w:firstLineChars="221"/>
        <w:rPr>
          <w:rFonts w:ascii="仿宋" w:hAnsi="仿宋" w:eastAsia="仿宋"/>
          <w:sz w:val="32"/>
          <w:szCs w:val="32"/>
        </w:rPr>
      </w:pPr>
      <w:r>
        <w:rPr>
          <w:rFonts w:hint="eastAsia" w:ascii="仿宋" w:hAnsi="仿宋" w:eastAsia="仿宋"/>
          <w:sz w:val="32"/>
          <w:szCs w:val="32"/>
        </w:rPr>
        <w:t>峨眉山市文化馆属于峨眉山市文化体育和旅游局部门下属的二级预算单位，下设独立编制机构</w:t>
      </w:r>
      <w:r>
        <w:rPr>
          <w:rFonts w:ascii="仿宋" w:hAnsi="仿宋" w:eastAsia="仿宋"/>
          <w:sz w:val="32"/>
          <w:szCs w:val="32"/>
        </w:rPr>
        <w:t>0</w:t>
      </w:r>
      <w:r>
        <w:rPr>
          <w:rFonts w:hint="eastAsia" w:ascii="仿宋" w:hAnsi="仿宋" w:eastAsia="仿宋"/>
          <w:sz w:val="32"/>
          <w:szCs w:val="32"/>
        </w:rPr>
        <w:t>个，其中行政机构</w:t>
      </w:r>
      <w:r>
        <w:rPr>
          <w:rFonts w:ascii="仿宋" w:hAnsi="仿宋" w:eastAsia="仿宋"/>
          <w:sz w:val="32"/>
          <w:szCs w:val="32"/>
        </w:rPr>
        <w:t>0</w:t>
      </w:r>
      <w:r>
        <w:rPr>
          <w:rFonts w:hint="eastAsia" w:ascii="仿宋" w:hAnsi="仿宋" w:eastAsia="仿宋"/>
          <w:sz w:val="32"/>
          <w:szCs w:val="32"/>
        </w:rPr>
        <w:t>个，参照公务员法管理的事业机构</w:t>
      </w:r>
      <w:r>
        <w:rPr>
          <w:rFonts w:ascii="仿宋" w:hAnsi="仿宋" w:eastAsia="仿宋"/>
          <w:sz w:val="32"/>
          <w:szCs w:val="32"/>
        </w:rPr>
        <w:t>0</w:t>
      </w:r>
      <w:r>
        <w:rPr>
          <w:rFonts w:hint="eastAsia" w:ascii="仿宋" w:hAnsi="仿宋" w:eastAsia="仿宋"/>
          <w:sz w:val="32"/>
          <w:szCs w:val="32"/>
        </w:rPr>
        <w:t>个，其他事业机构</w:t>
      </w:r>
      <w:r>
        <w:rPr>
          <w:rFonts w:ascii="仿宋" w:hAnsi="仿宋" w:eastAsia="仿宋"/>
          <w:sz w:val="32"/>
          <w:szCs w:val="32"/>
        </w:rPr>
        <w:t>0</w:t>
      </w:r>
      <w:r>
        <w:rPr>
          <w:rFonts w:hint="eastAsia" w:ascii="仿宋" w:hAnsi="仿宋" w:eastAsia="仿宋"/>
          <w:sz w:val="32"/>
          <w:szCs w:val="32"/>
        </w:rPr>
        <w:t>个。</w:t>
      </w:r>
    </w:p>
    <w:p>
      <w:pPr>
        <w:pStyle w:val="2"/>
        <w:spacing w:before="93"/>
        <w:ind w:firstLine="640" w:firstLineChars="200"/>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p>
    <w:p>
      <w:pPr>
        <w:pStyle w:val="2"/>
        <w:spacing w:before="93"/>
        <w:rPr>
          <w:rFonts w:ascii="仿宋" w:hAnsi="仿宋" w:eastAsia="仿宋"/>
          <w:kern w:val="2"/>
          <w:sz w:val="32"/>
          <w:szCs w:val="32"/>
        </w:rPr>
      </w:pPr>
      <w:r>
        <w:rPr>
          <w:rFonts w:hint="eastAsia" w:ascii="仿宋" w:hAnsi="仿宋" w:eastAsia="仿宋"/>
          <w:kern w:val="2"/>
          <w:sz w:val="32"/>
          <w:szCs w:val="32"/>
        </w:rPr>
        <w:t>无</w:t>
      </w:r>
    </w:p>
    <w:bookmarkEnd w:id="14"/>
    <w:bookmarkEnd w:id="15"/>
    <w:bookmarkEnd w:id="16"/>
    <w:p>
      <w:pPr>
        <w:widowControl/>
        <w:jc w:val="left"/>
        <w:rPr>
          <w:rFonts w:ascii="仿宋" w:hAnsi="仿宋" w:eastAsia="仿宋"/>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7" w:name="_Toc15396602"/>
      <w:bookmarkStart w:id="18"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p>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146.84</w:t>
      </w:r>
      <w:r>
        <w:rPr>
          <w:rFonts w:hint="eastAsia" w:ascii="仿宋" w:hAnsi="仿宋" w:eastAsia="仿宋"/>
          <w:sz w:val="32"/>
          <w:szCs w:val="32"/>
        </w:rPr>
        <w:t>万元。与2021年相比，收、支总计各减少</w:t>
      </w:r>
      <w:r>
        <w:rPr>
          <w:rFonts w:ascii="仿宋" w:hAnsi="仿宋" w:eastAsia="仿宋"/>
          <w:sz w:val="32"/>
          <w:szCs w:val="32"/>
        </w:rPr>
        <w:t>4.</w:t>
      </w:r>
      <w:r>
        <w:rPr>
          <w:rFonts w:hint="eastAsia" w:ascii="仿宋" w:hAnsi="仿宋" w:eastAsia="仿宋"/>
          <w:sz w:val="32"/>
          <w:szCs w:val="32"/>
        </w:rPr>
        <w:t>19万元，下降2.77%。主要变动原因是2021年退休1人，2022年2月调入1人，该两人工资及各类保险缴纳存在差异。</w:t>
      </w:r>
    </w:p>
    <w:p>
      <w:pPr>
        <w:pStyle w:val="2"/>
        <w:spacing w:before="93"/>
      </w:pPr>
    </w:p>
    <w:p>
      <w:pPr>
        <w:pStyle w:val="2"/>
        <w:spacing w:before="93"/>
        <w:ind w:firstLine="300" w:firstLineChars="100"/>
      </w:pPr>
      <w:r>
        <w:drawing>
          <wp:inline distT="0" distB="0" distL="0" distR="0">
            <wp:extent cx="5274310" cy="4017645"/>
            <wp:effectExtent l="0" t="0" r="2540" b="19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123.08</w:t>
      </w:r>
      <w:r>
        <w:rPr>
          <w:rFonts w:hint="eastAsia" w:ascii="仿宋" w:hAnsi="仿宋" w:eastAsia="仿宋"/>
          <w:sz w:val="32"/>
          <w:szCs w:val="32"/>
        </w:rPr>
        <w:t>万元，其中：一般公共预算财政拨款收入</w:t>
      </w:r>
      <w:r>
        <w:rPr>
          <w:rFonts w:ascii="仿宋" w:hAnsi="仿宋" w:eastAsia="仿宋"/>
          <w:sz w:val="32"/>
          <w:szCs w:val="32"/>
        </w:rPr>
        <w:t>123.08</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2"/>
        <w:spacing w:before="93"/>
        <w:ind w:firstLine="300" w:firstLineChars="100"/>
      </w:pPr>
      <w:r>
        <w:drawing>
          <wp:inline distT="0" distB="0" distL="0" distR="0">
            <wp:extent cx="5274310" cy="4304665"/>
            <wp:effectExtent l="0" t="0" r="2540" b="6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136.71</w:t>
      </w:r>
      <w:r>
        <w:rPr>
          <w:rFonts w:hint="eastAsia" w:ascii="仿宋" w:hAnsi="仿宋" w:eastAsia="仿宋"/>
          <w:sz w:val="32"/>
          <w:szCs w:val="32"/>
        </w:rPr>
        <w:t>万元，其中：基本支出</w:t>
      </w:r>
      <w:r>
        <w:rPr>
          <w:rFonts w:ascii="仿宋" w:hAnsi="仿宋" w:eastAsia="仿宋"/>
          <w:sz w:val="32"/>
          <w:szCs w:val="32"/>
        </w:rPr>
        <w:t>119.79</w:t>
      </w:r>
      <w:r>
        <w:rPr>
          <w:rFonts w:hint="eastAsia" w:ascii="仿宋" w:hAnsi="仿宋" w:eastAsia="仿宋"/>
          <w:sz w:val="32"/>
          <w:szCs w:val="32"/>
        </w:rPr>
        <w:t>万元，占</w:t>
      </w:r>
      <w:r>
        <w:rPr>
          <w:rFonts w:ascii="仿宋" w:hAnsi="仿宋" w:eastAsia="仿宋"/>
          <w:sz w:val="32"/>
          <w:szCs w:val="32"/>
        </w:rPr>
        <w:t>87.62%</w:t>
      </w:r>
      <w:r>
        <w:rPr>
          <w:rFonts w:hint="eastAsia" w:ascii="仿宋" w:hAnsi="仿宋" w:eastAsia="仿宋"/>
          <w:sz w:val="32"/>
          <w:szCs w:val="32"/>
        </w:rPr>
        <w:t>；项目支出</w:t>
      </w:r>
      <w:r>
        <w:rPr>
          <w:rFonts w:ascii="仿宋" w:hAnsi="仿宋" w:eastAsia="仿宋"/>
          <w:sz w:val="32"/>
          <w:szCs w:val="32"/>
        </w:rPr>
        <w:t>16.92</w:t>
      </w:r>
      <w:r>
        <w:rPr>
          <w:rFonts w:hint="eastAsia" w:ascii="仿宋" w:hAnsi="仿宋" w:eastAsia="仿宋"/>
          <w:sz w:val="32"/>
          <w:szCs w:val="32"/>
        </w:rPr>
        <w:t>万元，占</w:t>
      </w:r>
      <w:r>
        <w:rPr>
          <w:rFonts w:ascii="仿宋" w:hAnsi="仿宋" w:eastAsia="仿宋"/>
          <w:sz w:val="32"/>
          <w:szCs w:val="32"/>
        </w:rPr>
        <w:t>12.38%</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p>
    <w:p>
      <w:pPr>
        <w:pStyle w:val="2"/>
        <w:spacing w:before="93"/>
        <w:ind w:firstLine="300" w:firstLineChars="100"/>
      </w:pPr>
      <w:r>
        <w:drawing>
          <wp:inline distT="0" distB="0" distL="0" distR="0">
            <wp:extent cx="5162550" cy="41148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1440" w:firstLineChars="45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5" w:name="_Toc15396606"/>
      <w:bookmarkStart w:id="26"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137.27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2.74</w:t>
      </w:r>
      <w:r>
        <w:rPr>
          <w:rFonts w:hint="eastAsia" w:ascii="仿宋" w:hAnsi="仿宋" w:eastAsia="仿宋"/>
          <w:sz w:val="32"/>
          <w:szCs w:val="32"/>
        </w:rPr>
        <w:t>万元，下降</w:t>
      </w:r>
      <w:r>
        <w:rPr>
          <w:rFonts w:ascii="仿宋" w:hAnsi="仿宋" w:eastAsia="仿宋"/>
          <w:sz w:val="32"/>
          <w:szCs w:val="32"/>
        </w:rPr>
        <w:t>1.96%</w:t>
      </w:r>
      <w:r>
        <w:rPr>
          <w:rFonts w:hint="eastAsia" w:ascii="仿宋" w:hAnsi="仿宋" w:eastAsia="仿宋"/>
          <w:sz w:val="32"/>
          <w:szCs w:val="32"/>
        </w:rPr>
        <w:t>。主要原因是2021年退休1人，2022年2月调入1人，该两人工资及各类保险缴纳存在差异。</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pStyle w:val="2"/>
        <w:spacing w:before="93"/>
        <w:ind w:firstLine="300" w:firstLineChars="100"/>
      </w:pPr>
      <w:r>
        <w:drawing>
          <wp:inline distT="0" distB="0" distL="0" distR="0">
            <wp:extent cx="5274310" cy="3982085"/>
            <wp:effectExtent l="0" t="0" r="2540"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p>
    <w:p>
      <w:pPr>
        <w:spacing w:line="600" w:lineRule="exact"/>
        <w:ind w:firstLine="640" w:firstLineChars="200"/>
        <w:outlineLvl w:val="1"/>
        <w:rPr>
          <w:rStyle w:val="25"/>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136.71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12.98</w:t>
      </w:r>
      <w:r>
        <w:rPr>
          <w:rFonts w:hint="eastAsia" w:ascii="仿宋" w:hAnsi="仿宋" w:eastAsia="仿宋"/>
          <w:sz w:val="32"/>
          <w:szCs w:val="32"/>
        </w:rPr>
        <w:t>万元，增长</w:t>
      </w:r>
      <w:r>
        <w:rPr>
          <w:rFonts w:ascii="仿宋" w:hAnsi="仿宋" w:eastAsia="仿宋"/>
          <w:sz w:val="32"/>
          <w:szCs w:val="32"/>
        </w:rPr>
        <w:t>10.49%</w:t>
      </w:r>
      <w:r>
        <w:rPr>
          <w:rFonts w:hint="eastAsia" w:ascii="仿宋" w:hAnsi="仿宋" w:eastAsia="仿宋"/>
          <w:sz w:val="32"/>
          <w:szCs w:val="32"/>
        </w:rPr>
        <w:t>。主要变动原因是2022年馆内一退休人员去世产生的丧抚费。</w:t>
      </w:r>
    </w:p>
    <w:p>
      <w:pPr>
        <w:spacing w:line="600" w:lineRule="exact"/>
        <w:ind w:firstLine="640" w:firstLineChars="200"/>
        <w:rPr>
          <w:rFonts w:ascii="仿宋" w:hAnsi="仿宋" w:eastAsia="仿宋"/>
          <w:sz w:val="32"/>
          <w:szCs w:val="32"/>
        </w:rPr>
      </w:pPr>
    </w:p>
    <w:p>
      <w:pPr>
        <w:pStyle w:val="2"/>
        <w:spacing w:before="93"/>
      </w:pPr>
    </w:p>
    <w:p>
      <w:pPr>
        <w:pStyle w:val="2"/>
        <w:spacing w:before="93"/>
      </w:pPr>
      <w:r>
        <w:drawing>
          <wp:inline distT="0" distB="0" distL="0" distR="0">
            <wp:extent cx="5274310" cy="4161155"/>
            <wp:effectExtent l="0" t="0" r="2540" b="107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bCs/>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136.71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Cs/>
          <w:sz w:val="32"/>
          <w:szCs w:val="32"/>
        </w:rPr>
        <w:t>一般公共服务支出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bCs/>
          <w:sz w:val="32"/>
          <w:szCs w:val="32"/>
        </w:rPr>
        <w:t>；教育支出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bCs/>
          <w:sz w:val="32"/>
          <w:szCs w:val="32"/>
        </w:rPr>
        <w:t>；科学技术支出</w:t>
      </w:r>
      <w:r>
        <w:rPr>
          <w:rFonts w:ascii="仿宋" w:hAnsi="仿宋" w:eastAsia="仿宋"/>
          <w:bCs/>
          <w:sz w:val="32"/>
          <w:szCs w:val="32"/>
        </w:rPr>
        <w:t>0</w:t>
      </w:r>
      <w:r>
        <w:rPr>
          <w:rFonts w:hint="eastAsia" w:ascii="仿宋" w:hAnsi="仿宋" w:eastAsia="仿宋"/>
          <w:bCs/>
          <w:sz w:val="32"/>
          <w:szCs w:val="32"/>
        </w:rPr>
        <w:t>万元，占</w:t>
      </w:r>
      <w:r>
        <w:rPr>
          <w:rFonts w:ascii="仿宋" w:hAnsi="仿宋" w:eastAsia="仿宋"/>
          <w:bCs/>
          <w:sz w:val="32"/>
          <w:szCs w:val="32"/>
        </w:rPr>
        <w:t>0%</w:t>
      </w:r>
      <w:r>
        <w:rPr>
          <w:rFonts w:hint="eastAsia" w:ascii="仿宋" w:hAnsi="仿宋" w:eastAsia="仿宋"/>
          <w:bCs/>
          <w:sz w:val="32"/>
          <w:szCs w:val="32"/>
        </w:rPr>
        <w:t>；文化旅游体育与传媒支出</w:t>
      </w:r>
      <w:r>
        <w:rPr>
          <w:rFonts w:ascii="仿宋" w:hAnsi="仿宋" w:eastAsia="仿宋"/>
          <w:bCs/>
          <w:sz w:val="32"/>
          <w:szCs w:val="32"/>
        </w:rPr>
        <w:t>106.42</w:t>
      </w:r>
      <w:r>
        <w:rPr>
          <w:rFonts w:hint="eastAsia" w:ascii="仿宋" w:hAnsi="仿宋" w:eastAsia="仿宋"/>
          <w:bCs/>
          <w:sz w:val="32"/>
          <w:szCs w:val="32"/>
        </w:rPr>
        <w:t>万元，占</w:t>
      </w:r>
      <w:r>
        <w:rPr>
          <w:rFonts w:ascii="仿宋" w:hAnsi="仿宋" w:eastAsia="仿宋"/>
          <w:bCs/>
          <w:sz w:val="32"/>
          <w:szCs w:val="32"/>
        </w:rPr>
        <w:t>77.84%</w:t>
      </w:r>
      <w:r>
        <w:rPr>
          <w:rFonts w:hint="eastAsia" w:ascii="仿宋" w:hAnsi="仿宋" w:eastAsia="仿宋"/>
          <w:bCs/>
          <w:sz w:val="32"/>
          <w:szCs w:val="32"/>
        </w:rPr>
        <w:t>；社会保障和就业支出</w:t>
      </w:r>
      <w:r>
        <w:rPr>
          <w:rFonts w:ascii="仿宋" w:hAnsi="仿宋" w:eastAsia="仿宋"/>
          <w:bCs/>
          <w:sz w:val="32"/>
          <w:szCs w:val="32"/>
        </w:rPr>
        <w:t>18.99</w:t>
      </w:r>
      <w:r>
        <w:rPr>
          <w:rFonts w:hint="eastAsia" w:ascii="仿宋" w:hAnsi="仿宋" w:eastAsia="仿宋"/>
          <w:bCs/>
          <w:sz w:val="32"/>
          <w:szCs w:val="32"/>
        </w:rPr>
        <w:t>万元，占</w:t>
      </w:r>
      <w:r>
        <w:rPr>
          <w:rFonts w:ascii="仿宋" w:hAnsi="仿宋" w:eastAsia="仿宋"/>
          <w:bCs/>
          <w:sz w:val="32"/>
          <w:szCs w:val="32"/>
        </w:rPr>
        <w:t>13.89%</w:t>
      </w:r>
      <w:r>
        <w:rPr>
          <w:rFonts w:hint="eastAsia" w:ascii="仿宋" w:hAnsi="仿宋" w:eastAsia="仿宋"/>
          <w:bCs/>
          <w:sz w:val="32"/>
          <w:szCs w:val="32"/>
        </w:rPr>
        <w:t>；卫生健康支出</w:t>
      </w:r>
      <w:r>
        <w:rPr>
          <w:rFonts w:ascii="仿宋" w:hAnsi="仿宋" w:eastAsia="仿宋"/>
          <w:bCs/>
          <w:sz w:val="32"/>
          <w:szCs w:val="32"/>
        </w:rPr>
        <w:t>2.93</w:t>
      </w:r>
      <w:r>
        <w:rPr>
          <w:rFonts w:hint="eastAsia" w:ascii="仿宋" w:hAnsi="仿宋" w:eastAsia="仿宋"/>
          <w:bCs/>
          <w:sz w:val="32"/>
          <w:szCs w:val="32"/>
        </w:rPr>
        <w:t>万元，占</w:t>
      </w:r>
      <w:r>
        <w:rPr>
          <w:rFonts w:ascii="仿宋" w:hAnsi="仿宋" w:eastAsia="仿宋"/>
          <w:bCs/>
          <w:sz w:val="32"/>
          <w:szCs w:val="32"/>
        </w:rPr>
        <w:t>2.14%</w:t>
      </w:r>
      <w:r>
        <w:rPr>
          <w:rFonts w:hint="eastAsia" w:ascii="仿宋" w:hAnsi="仿宋" w:eastAsia="仿宋"/>
          <w:bCs/>
          <w:sz w:val="32"/>
          <w:szCs w:val="32"/>
        </w:rPr>
        <w:t>；住房保障支出</w:t>
      </w:r>
      <w:r>
        <w:rPr>
          <w:rFonts w:ascii="仿宋" w:hAnsi="仿宋" w:eastAsia="仿宋"/>
          <w:bCs/>
          <w:sz w:val="32"/>
          <w:szCs w:val="32"/>
        </w:rPr>
        <w:t>8.37</w:t>
      </w:r>
      <w:r>
        <w:rPr>
          <w:rFonts w:hint="eastAsia" w:ascii="仿宋" w:hAnsi="仿宋" w:eastAsia="仿宋"/>
          <w:bCs/>
          <w:sz w:val="32"/>
          <w:szCs w:val="32"/>
        </w:rPr>
        <w:t>万元，占</w:t>
      </w:r>
      <w:r>
        <w:rPr>
          <w:rFonts w:ascii="仿宋" w:hAnsi="仿宋" w:eastAsia="仿宋"/>
          <w:bCs/>
          <w:sz w:val="32"/>
          <w:szCs w:val="32"/>
        </w:rPr>
        <w:t>6.12%</w:t>
      </w:r>
      <w:r>
        <w:rPr>
          <w:rFonts w:hint="eastAsia" w:ascii="仿宋" w:hAnsi="仿宋" w:eastAsia="仿宋"/>
          <w:bCs/>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2"/>
        <w:spacing w:before="93"/>
        <w:ind w:firstLine="300" w:firstLineChars="100"/>
      </w:pPr>
      <w:r>
        <w:drawing>
          <wp:inline distT="0" distB="0" distL="0" distR="0">
            <wp:extent cx="5274310" cy="4422775"/>
            <wp:effectExtent l="0" t="0" r="2540" b="1587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2"/>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0" w:firstLineChars="200"/>
        <w:outlineLvl w:val="2"/>
        <w:rPr>
          <w:rFonts w:ascii="仿宋" w:hAnsi="仿宋" w:eastAsia="仿宋"/>
          <w:b/>
          <w:sz w:val="32"/>
          <w:szCs w:val="32"/>
        </w:rPr>
      </w:pPr>
      <w:bookmarkStart w:id="32" w:name="_Toc15377444"/>
      <w:bookmarkStart w:id="33" w:name="_Toc15378460"/>
      <w:bookmarkStart w:id="34" w:name="_Toc15377213"/>
      <w:r>
        <w:rPr>
          <w:rFonts w:hint="eastAsia" w:ascii="仿宋" w:hAnsi="仿宋" w:eastAsia="仿宋"/>
          <w:bCs/>
          <w:sz w:val="32"/>
          <w:szCs w:val="32"/>
        </w:rPr>
        <w:t>2022年一般公共预算支出决算数为</w:t>
      </w:r>
      <w:r>
        <w:rPr>
          <w:rFonts w:ascii="仿宋" w:hAnsi="仿宋" w:eastAsia="仿宋"/>
          <w:bCs/>
          <w:sz w:val="32"/>
          <w:szCs w:val="32"/>
        </w:rPr>
        <w:t>136.71</w:t>
      </w:r>
      <w:r>
        <w:rPr>
          <w:rFonts w:hint="eastAsia" w:ascii="仿宋" w:hAnsi="仿宋" w:eastAsia="仿宋"/>
          <w:bCs/>
          <w:sz w:val="32"/>
          <w:szCs w:val="32"/>
        </w:rPr>
        <w:t>，</w:t>
      </w:r>
      <w:r>
        <w:rPr>
          <w:rStyle w:val="14"/>
          <w:rFonts w:hint="eastAsia" w:ascii="仿宋" w:hAnsi="仿宋" w:eastAsia="仿宋"/>
          <w:b w:val="0"/>
          <w:sz w:val="32"/>
          <w:szCs w:val="32"/>
        </w:rPr>
        <w:t>完成预算</w:t>
      </w:r>
      <w:r>
        <w:rPr>
          <w:rStyle w:val="14"/>
          <w:rFonts w:ascii="仿宋" w:hAnsi="仿宋" w:eastAsia="仿宋"/>
          <w:b w:val="0"/>
          <w:sz w:val="32"/>
          <w:szCs w:val="32"/>
        </w:rPr>
        <w:t>100%</w:t>
      </w:r>
      <w:r>
        <w:rPr>
          <w:rStyle w:val="14"/>
          <w:rFonts w:hint="eastAsia" w:ascii="仿宋" w:hAnsi="仿宋" w:eastAsia="仿宋"/>
          <w:b w:val="0"/>
          <w:sz w:val="32"/>
          <w:szCs w:val="32"/>
        </w:rPr>
        <w:t>。其中：</w:t>
      </w:r>
      <w:bookmarkEnd w:id="32"/>
      <w:bookmarkEnd w:id="33"/>
      <w:bookmarkEnd w:id="34"/>
    </w:p>
    <w:p>
      <w:pPr>
        <w:spacing w:line="600" w:lineRule="exact"/>
        <w:ind w:firstLine="640" w:firstLineChars="200"/>
        <w:rPr>
          <w:rStyle w:val="14"/>
          <w:rFonts w:hint="eastAsia" w:ascii="仿宋" w:hAnsi="仿宋" w:eastAsia="仿宋"/>
          <w:b w:val="0"/>
          <w:sz w:val="32"/>
          <w:szCs w:val="32"/>
          <w:lang w:val="en-US" w:eastAsia="zh-CN"/>
        </w:rPr>
      </w:pPr>
      <w:r>
        <w:rPr>
          <w:rStyle w:val="14"/>
          <w:rFonts w:ascii="仿宋" w:hAnsi="仿宋" w:eastAsia="仿宋"/>
          <w:b w:val="0"/>
          <w:sz w:val="32"/>
          <w:szCs w:val="32"/>
        </w:rPr>
        <w:t>1.</w:t>
      </w:r>
      <w:r>
        <w:rPr>
          <w:rStyle w:val="14"/>
          <w:rFonts w:hint="eastAsia" w:ascii="仿宋" w:hAnsi="仿宋" w:eastAsia="仿宋"/>
          <w:b w:val="0"/>
          <w:sz w:val="32"/>
          <w:szCs w:val="32"/>
        </w:rPr>
        <w:t>一般公共服务（类）</w:t>
      </w:r>
      <w:r>
        <w:rPr>
          <w:rStyle w:val="14"/>
          <w:rFonts w:hint="eastAsia" w:ascii="仿宋" w:hAnsi="仿宋" w:eastAsia="仿宋"/>
          <w:b w:val="0"/>
          <w:sz w:val="32"/>
          <w:szCs w:val="32"/>
          <w:lang w:eastAsia="zh-CN"/>
        </w:rPr>
        <w:t>支出决算为</w:t>
      </w:r>
      <w:r>
        <w:rPr>
          <w:rStyle w:val="14"/>
          <w:rFonts w:hint="eastAsia" w:ascii="仿宋" w:hAnsi="仿宋" w:eastAsia="仿宋"/>
          <w:b w:val="0"/>
          <w:sz w:val="32"/>
          <w:szCs w:val="32"/>
          <w:lang w:val="en-US" w:eastAsia="zh-CN"/>
        </w:rPr>
        <w:t>0万元。</w:t>
      </w:r>
    </w:p>
    <w:p>
      <w:pPr>
        <w:spacing w:line="600" w:lineRule="exact"/>
        <w:ind w:firstLine="640" w:firstLineChars="200"/>
        <w:rPr>
          <w:rStyle w:val="14"/>
          <w:rFonts w:hint="eastAsia" w:ascii="仿宋" w:hAnsi="仿宋" w:eastAsia="仿宋"/>
          <w:b w:val="0"/>
          <w:sz w:val="32"/>
          <w:szCs w:val="32"/>
          <w:lang w:val="en-US" w:eastAsia="zh-CN"/>
        </w:rPr>
      </w:pPr>
      <w:r>
        <w:rPr>
          <w:rStyle w:val="14"/>
          <w:rFonts w:ascii="仿宋" w:hAnsi="仿宋" w:eastAsia="仿宋"/>
          <w:b w:val="0"/>
          <w:sz w:val="32"/>
          <w:szCs w:val="32"/>
        </w:rPr>
        <w:t>2.</w:t>
      </w:r>
      <w:r>
        <w:rPr>
          <w:rStyle w:val="14"/>
          <w:rFonts w:hint="eastAsia" w:ascii="仿宋" w:hAnsi="仿宋" w:eastAsia="仿宋"/>
          <w:b w:val="0"/>
          <w:sz w:val="32"/>
          <w:szCs w:val="32"/>
        </w:rPr>
        <w:t>教育（类）</w:t>
      </w:r>
      <w:r>
        <w:rPr>
          <w:rStyle w:val="14"/>
          <w:rFonts w:hint="eastAsia" w:ascii="仿宋" w:hAnsi="仿宋" w:eastAsia="仿宋"/>
          <w:b w:val="0"/>
          <w:sz w:val="32"/>
          <w:szCs w:val="32"/>
          <w:lang w:eastAsia="zh-CN"/>
        </w:rPr>
        <w:t>支出决算为</w:t>
      </w:r>
      <w:r>
        <w:rPr>
          <w:rStyle w:val="14"/>
          <w:rFonts w:hint="eastAsia" w:ascii="仿宋" w:hAnsi="仿宋" w:eastAsia="仿宋"/>
          <w:b w:val="0"/>
          <w:sz w:val="32"/>
          <w:szCs w:val="32"/>
          <w:lang w:val="en-US" w:eastAsia="zh-CN"/>
        </w:rPr>
        <w:t>0万元。</w:t>
      </w:r>
    </w:p>
    <w:p>
      <w:pPr>
        <w:spacing w:line="600" w:lineRule="exact"/>
        <w:ind w:firstLine="640" w:firstLineChars="200"/>
        <w:rPr>
          <w:rStyle w:val="14"/>
          <w:rFonts w:hint="eastAsia" w:ascii="仿宋" w:hAnsi="仿宋" w:eastAsia="仿宋"/>
          <w:b w:val="0"/>
          <w:sz w:val="32"/>
          <w:szCs w:val="32"/>
          <w:lang w:val="en-US" w:eastAsia="zh-CN"/>
        </w:rPr>
      </w:pPr>
      <w:r>
        <w:rPr>
          <w:rStyle w:val="14"/>
          <w:rFonts w:ascii="仿宋" w:hAnsi="仿宋" w:eastAsia="仿宋"/>
          <w:b w:val="0"/>
          <w:sz w:val="32"/>
          <w:szCs w:val="32"/>
        </w:rPr>
        <w:t>3.</w:t>
      </w:r>
      <w:r>
        <w:rPr>
          <w:rStyle w:val="14"/>
          <w:rFonts w:hint="eastAsia" w:ascii="仿宋" w:hAnsi="仿宋" w:eastAsia="仿宋"/>
          <w:b w:val="0"/>
          <w:sz w:val="32"/>
          <w:szCs w:val="32"/>
        </w:rPr>
        <w:t>科学技术（类</w:t>
      </w:r>
      <w:r>
        <w:rPr>
          <w:rStyle w:val="14"/>
          <w:rFonts w:hint="eastAsia" w:ascii="仿宋" w:hAnsi="仿宋" w:eastAsia="仿宋"/>
          <w:b w:val="0"/>
          <w:sz w:val="32"/>
          <w:szCs w:val="32"/>
          <w:lang w:eastAsia="zh-CN"/>
        </w:rPr>
        <w:t>）支出决算为</w:t>
      </w:r>
      <w:r>
        <w:rPr>
          <w:rStyle w:val="14"/>
          <w:rFonts w:hint="eastAsia" w:ascii="仿宋" w:hAnsi="仿宋" w:eastAsia="仿宋"/>
          <w:b w:val="0"/>
          <w:sz w:val="32"/>
          <w:szCs w:val="32"/>
          <w:lang w:val="en-US" w:eastAsia="zh-CN"/>
        </w:rPr>
        <w:t>0万元。</w:t>
      </w:r>
    </w:p>
    <w:p>
      <w:pPr>
        <w:spacing w:line="600" w:lineRule="exact"/>
        <w:ind w:firstLine="640" w:firstLineChars="200"/>
        <w:rPr>
          <w:rStyle w:val="14"/>
          <w:rFonts w:ascii="仿宋" w:hAnsi="仿宋" w:eastAsia="仿宋"/>
          <w:b w:val="0"/>
          <w:sz w:val="32"/>
          <w:szCs w:val="32"/>
        </w:rPr>
      </w:pPr>
      <w:r>
        <w:rPr>
          <w:rStyle w:val="14"/>
          <w:rFonts w:ascii="仿宋" w:hAnsi="仿宋" w:eastAsia="仿宋"/>
          <w:b w:val="0"/>
          <w:sz w:val="32"/>
          <w:szCs w:val="32"/>
        </w:rPr>
        <w:t>4.</w:t>
      </w:r>
      <w:r>
        <w:rPr>
          <w:rFonts w:hint="eastAsia"/>
          <w:b/>
        </w:rPr>
        <w:t xml:space="preserve"> </w:t>
      </w:r>
      <w:r>
        <w:rPr>
          <w:rStyle w:val="14"/>
          <w:rFonts w:hint="eastAsia" w:ascii="仿宋" w:hAnsi="仿宋" w:eastAsia="仿宋"/>
          <w:b w:val="0"/>
          <w:sz w:val="32"/>
          <w:szCs w:val="32"/>
        </w:rPr>
        <w:t>文化旅游体育与传媒（类）文化和旅游（款）群众文化（项）: 支出决算数为</w:t>
      </w:r>
      <w:r>
        <w:rPr>
          <w:rStyle w:val="14"/>
          <w:rFonts w:ascii="仿宋" w:hAnsi="仿宋" w:eastAsia="仿宋"/>
          <w:b w:val="0"/>
          <w:sz w:val="32"/>
          <w:szCs w:val="32"/>
        </w:rPr>
        <w:t>80.65</w:t>
      </w:r>
      <w:r>
        <w:rPr>
          <w:rStyle w:val="14"/>
          <w:rFonts w:hint="eastAsia" w:ascii="仿宋" w:hAnsi="仿宋" w:eastAsia="仿宋"/>
          <w:b w:val="0"/>
          <w:sz w:val="32"/>
          <w:szCs w:val="32"/>
        </w:rPr>
        <w:t>万元，完成预算100%，决算数与预算数持平。</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5．文化旅游体育与传媒（类）文化和旅游（款）其他文化和旅游支出（项）: 支出决算数为</w:t>
      </w:r>
      <w:r>
        <w:rPr>
          <w:rStyle w:val="14"/>
          <w:rFonts w:ascii="仿宋" w:hAnsi="仿宋" w:eastAsia="仿宋"/>
          <w:b w:val="0"/>
          <w:sz w:val="32"/>
          <w:szCs w:val="32"/>
        </w:rPr>
        <w:t>25.77</w:t>
      </w:r>
      <w:r>
        <w:rPr>
          <w:rStyle w:val="14"/>
          <w:rFonts w:hint="eastAsia" w:ascii="仿宋" w:hAnsi="仿宋" w:eastAsia="仿宋"/>
          <w:b w:val="0"/>
          <w:sz w:val="32"/>
          <w:szCs w:val="32"/>
        </w:rPr>
        <w:t>万元，完成预算100%，决算数与预算数持平。</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6.社会保障和就业（类）行政事业单位养老支出（款）机关事业单位基本养老保险缴费支出（项）: 支出决算为</w:t>
      </w:r>
      <w:r>
        <w:rPr>
          <w:rStyle w:val="14"/>
          <w:rFonts w:ascii="仿宋" w:hAnsi="仿宋" w:eastAsia="仿宋"/>
          <w:b w:val="0"/>
          <w:sz w:val="32"/>
          <w:szCs w:val="32"/>
        </w:rPr>
        <w:t>7.5</w:t>
      </w:r>
      <w:r>
        <w:rPr>
          <w:rStyle w:val="14"/>
          <w:rFonts w:hint="eastAsia" w:ascii="仿宋" w:hAnsi="仿宋" w:eastAsia="仿宋"/>
          <w:b w:val="0"/>
          <w:sz w:val="32"/>
          <w:szCs w:val="32"/>
        </w:rPr>
        <w:t>万元，完成预算100%，决算数与预算数持平。</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7.社会保障和就业（类）行政事业单位养老支出（款）机关事业单位职业年金缴费支出（项）: 支出决算为</w:t>
      </w:r>
      <w:r>
        <w:rPr>
          <w:rStyle w:val="14"/>
          <w:rFonts w:ascii="仿宋" w:hAnsi="仿宋" w:eastAsia="仿宋"/>
          <w:b w:val="0"/>
          <w:sz w:val="32"/>
          <w:szCs w:val="32"/>
        </w:rPr>
        <w:t>3.75</w:t>
      </w:r>
      <w:r>
        <w:rPr>
          <w:rStyle w:val="14"/>
          <w:rFonts w:hint="eastAsia" w:ascii="仿宋" w:hAnsi="仿宋" w:eastAsia="仿宋"/>
          <w:b w:val="0"/>
          <w:sz w:val="32"/>
          <w:szCs w:val="32"/>
        </w:rPr>
        <w:t>万元，完成预算100%，决算数与预算数持平。</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8. 社会保障和就业（类）其他社会保障和就业支出（款）其他社会保障和就业支出（项）: 支出决算为</w:t>
      </w:r>
      <w:r>
        <w:rPr>
          <w:rStyle w:val="14"/>
          <w:rFonts w:ascii="仿宋" w:hAnsi="仿宋" w:eastAsia="仿宋"/>
          <w:b w:val="0"/>
          <w:sz w:val="32"/>
          <w:szCs w:val="32"/>
        </w:rPr>
        <w:t>0.3</w:t>
      </w:r>
      <w:r>
        <w:rPr>
          <w:rStyle w:val="14"/>
          <w:rFonts w:hint="eastAsia" w:ascii="仿宋" w:hAnsi="仿宋" w:eastAsia="仿宋"/>
          <w:b w:val="0"/>
          <w:sz w:val="32"/>
          <w:szCs w:val="32"/>
        </w:rPr>
        <w:t>4万元，完成预算100%，决算数与预算数持平。</w:t>
      </w:r>
      <w:r>
        <w:rPr>
          <w:rStyle w:val="14"/>
          <w:rFonts w:ascii="仿宋" w:hAnsi="仿宋" w:eastAsia="仿宋"/>
          <w:b w:val="0"/>
          <w:sz w:val="32"/>
          <w:szCs w:val="32"/>
        </w:rPr>
        <w:t xml:space="preserve"> </w:t>
      </w:r>
    </w:p>
    <w:p>
      <w:pPr>
        <w:pStyle w:val="2"/>
        <w:spacing w:before="93"/>
        <w:ind w:firstLine="640" w:firstLineChars="200"/>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社会保障和就业（类）抚恤（款）死亡抚恤（项）:</w:t>
      </w:r>
      <w:r>
        <w:rPr>
          <w:rStyle w:val="14"/>
          <w:rFonts w:hint="eastAsia" w:ascii="仿宋" w:hAnsi="仿宋" w:eastAsia="仿宋"/>
          <w:b w:val="0"/>
          <w:sz w:val="32"/>
          <w:szCs w:val="32"/>
        </w:rPr>
        <w:t xml:space="preserve"> 支出决算为</w:t>
      </w:r>
      <w:r>
        <w:rPr>
          <w:rStyle w:val="14"/>
          <w:rFonts w:ascii="仿宋" w:hAnsi="仿宋" w:eastAsia="仿宋"/>
          <w:b w:val="0"/>
          <w:sz w:val="32"/>
          <w:szCs w:val="32"/>
        </w:rPr>
        <w:t>7.4</w:t>
      </w:r>
      <w:r>
        <w:rPr>
          <w:rStyle w:val="14"/>
          <w:rFonts w:hint="eastAsia" w:ascii="仿宋" w:hAnsi="仿宋" w:eastAsia="仿宋"/>
          <w:b w:val="0"/>
          <w:sz w:val="32"/>
          <w:szCs w:val="32"/>
        </w:rPr>
        <w:t>万元，完成预算100%，决算数与预算数持平。</w:t>
      </w:r>
    </w:p>
    <w:p>
      <w:pPr>
        <w:spacing w:line="600" w:lineRule="exact"/>
        <w:ind w:firstLine="640" w:firstLineChars="200"/>
        <w:rPr>
          <w:rStyle w:val="14"/>
          <w:rFonts w:ascii="仿宋" w:hAnsi="仿宋" w:eastAsia="仿宋"/>
          <w:b w:val="0"/>
          <w:sz w:val="32"/>
          <w:szCs w:val="32"/>
        </w:rPr>
      </w:pPr>
      <w:r>
        <w:rPr>
          <w:rStyle w:val="14"/>
          <w:rFonts w:ascii="仿宋" w:hAnsi="仿宋" w:eastAsia="仿宋"/>
          <w:b w:val="0"/>
          <w:sz w:val="32"/>
          <w:szCs w:val="32"/>
        </w:rPr>
        <w:t>10</w:t>
      </w:r>
      <w:r>
        <w:rPr>
          <w:rStyle w:val="14"/>
          <w:rFonts w:hint="eastAsia" w:ascii="仿宋" w:hAnsi="仿宋" w:eastAsia="仿宋"/>
          <w:b w:val="0"/>
          <w:sz w:val="32"/>
          <w:szCs w:val="32"/>
        </w:rPr>
        <w:t>.卫生健康（类）行政事业单位医疗（款）事业单位医疗（项）:支出决算为</w:t>
      </w:r>
      <w:r>
        <w:rPr>
          <w:rStyle w:val="14"/>
          <w:rFonts w:ascii="仿宋" w:hAnsi="仿宋" w:eastAsia="仿宋"/>
          <w:b w:val="0"/>
          <w:sz w:val="32"/>
          <w:szCs w:val="32"/>
        </w:rPr>
        <w:t>2.93</w:t>
      </w:r>
      <w:r>
        <w:rPr>
          <w:rStyle w:val="14"/>
          <w:rFonts w:hint="eastAsia" w:ascii="仿宋" w:hAnsi="仿宋" w:eastAsia="仿宋"/>
          <w:b w:val="0"/>
          <w:sz w:val="32"/>
          <w:szCs w:val="32"/>
        </w:rPr>
        <w:t>万元，完成预算100%，决算数与预算数持平。</w:t>
      </w:r>
    </w:p>
    <w:p>
      <w:pPr>
        <w:spacing w:line="600" w:lineRule="exact"/>
        <w:ind w:firstLine="640" w:firstLineChars="200"/>
        <w:rPr>
          <w:rStyle w:val="14"/>
          <w:rFonts w:ascii="仿宋" w:hAnsi="仿宋" w:eastAsia="仿宋"/>
          <w:b w:val="0"/>
          <w:sz w:val="32"/>
          <w:szCs w:val="32"/>
        </w:rPr>
      </w:pPr>
      <w:r>
        <w:rPr>
          <w:rStyle w:val="14"/>
          <w:rFonts w:hint="eastAsia" w:ascii="仿宋" w:hAnsi="仿宋" w:eastAsia="仿宋"/>
          <w:b w:val="0"/>
          <w:sz w:val="32"/>
          <w:szCs w:val="32"/>
        </w:rPr>
        <w:t>1</w:t>
      </w:r>
      <w:r>
        <w:rPr>
          <w:rStyle w:val="14"/>
          <w:rFonts w:ascii="仿宋" w:hAnsi="仿宋" w:eastAsia="仿宋"/>
          <w:b w:val="0"/>
          <w:sz w:val="32"/>
          <w:szCs w:val="32"/>
        </w:rPr>
        <w:t>1.</w:t>
      </w:r>
      <w:r>
        <w:rPr>
          <w:rStyle w:val="14"/>
          <w:rFonts w:hint="eastAsia" w:ascii="仿宋" w:hAnsi="仿宋" w:eastAsia="仿宋"/>
          <w:b w:val="0"/>
          <w:sz w:val="32"/>
          <w:szCs w:val="32"/>
        </w:rPr>
        <w:t>住房保障支出（类）住房改革支出（款）住房公积金（项）:支出决算为8.</w:t>
      </w:r>
      <w:r>
        <w:rPr>
          <w:rStyle w:val="14"/>
          <w:rFonts w:ascii="仿宋" w:hAnsi="仿宋" w:eastAsia="仿宋"/>
          <w:b w:val="0"/>
          <w:sz w:val="32"/>
          <w:szCs w:val="32"/>
        </w:rPr>
        <w:t>37</w:t>
      </w:r>
      <w:r>
        <w:rPr>
          <w:rStyle w:val="14"/>
          <w:rFonts w:hint="eastAsia" w:ascii="仿宋" w:hAnsi="仿宋" w:eastAsia="仿宋"/>
          <w:b w:val="0"/>
          <w:sz w:val="32"/>
          <w:szCs w:val="32"/>
        </w:rPr>
        <w:t>万元，完成预算100%，决算数与预算数持平。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5"/>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119.79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110.86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8.93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7" w:name="_Toc15396609"/>
      <w:bookmarkStart w:id="38"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，本年无“三公”经费支出。</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ascii="仿宋" w:hAnsi="仿宋" w:eastAsia="仿宋"/>
          <w:bCs/>
          <w:sz w:val="32"/>
          <w:szCs w:val="32"/>
        </w:rPr>
        <w:t>1.</w:t>
      </w:r>
      <w:r>
        <w:rPr>
          <w:rFonts w:hint="eastAsia" w:ascii="仿宋" w:hAnsi="仿宋" w:eastAsia="仿宋"/>
          <w:bCs/>
          <w:sz w:val="32"/>
          <w:szCs w:val="32"/>
        </w:rPr>
        <w:t>因公出国（境）经费支出</w:t>
      </w:r>
      <w:r>
        <w:rPr>
          <w:rFonts w:ascii="仿宋" w:hAnsi="仿宋" w:eastAsia="仿宋"/>
          <w:bCs/>
          <w:sz w:val="32"/>
          <w:szCs w:val="32"/>
        </w:rPr>
        <w:t>0</w:t>
      </w:r>
      <w:r>
        <w:rPr>
          <w:rFonts w:hint="eastAsia" w:ascii="仿宋" w:hAnsi="仿宋" w:eastAsia="仿宋"/>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人。本年无此项经费支出。</w:t>
      </w:r>
    </w:p>
    <w:p>
      <w:pPr>
        <w:spacing w:line="600" w:lineRule="exact"/>
        <w:ind w:firstLine="640"/>
        <w:rPr>
          <w:rFonts w:ascii="仿宋" w:hAnsi="仿宋" w:eastAsia="仿宋"/>
          <w:b/>
          <w:sz w:val="32"/>
          <w:szCs w:val="32"/>
        </w:rPr>
      </w:pPr>
      <w:r>
        <w:rPr>
          <w:rFonts w:ascii="仿宋" w:hAnsi="仿宋" w:eastAsia="仿宋"/>
          <w:bCs/>
          <w:sz w:val="32"/>
          <w:szCs w:val="32"/>
        </w:rPr>
        <w:t>2.</w:t>
      </w:r>
      <w:r>
        <w:rPr>
          <w:rFonts w:hint="eastAsia" w:ascii="仿宋" w:hAnsi="仿宋" w:eastAsia="仿宋"/>
          <w:bCs/>
          <w:sz w:val="32"/>
          <w:szCs w:val="32"/>
        </w:rPr>
        <w:t>公务用车购置及运行维护费支出</w:t>
      </w:r>
      <w:r>
        <w:rPr>
          <w:rFonts w:ascii="仿宋" w:hAnsi="仿宋" w:eastAsia="仿宋"/>
          <w:bCs/>
          <w:sz w:val="32"/>
          <w:szCs w:val="32"/>
        </w:rPr>
        <w:t>0</w:t>
      </w:r>
      <w:r>
        <w:rPr>
          <w:rFonts w:hint="eastAsia" w:ascii="仿宋" w:hAnsi="仿宋" w:eastAsia="仿宋"/>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 w:hAnsi="仿宋" w:eastAsia="仿宋"/>
          <w:sz w:val="32"/>
          <w:szCs w:val="32"/>
        </w:rPr>
        <w:t>本年无此项经费支出。</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Cs/>
          <w:sz w:val="32"/>
          <w:szCs w:val="32"/>
        </w:rPr>
        <w:t>公务用车购置支出</w:t>
      </w:r>
      <w:r>
        <w:rPr>
          <w:rFonts w:ascii="仿宋" w:hAnsi="仿宋" w:eastAsia="仿宋"/>
          <w:bCs/>
          <w:sz w:val="32"/>
          <w:szCs w:val="32"/>
        </w:rPr>
        <w:t>0</w:t>
      </w:r>
      <w:r>
        <w:rPr>
          <w:rFonts w:hint="eastAsia" w:ascii="仿宋" w:hAnsi="仿宋" w:eastAsia="仿宋"/>
          <w:sz w:val="32"/>
          <w:szCs w:val="32"/>
        </w:rPr>
        <w:t>万元。全年按规定更新购置公务用车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万元，越野车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万元，载客汽车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w:t>
      </w:r>
      <w:r>
        <w:rPr>
          <w:rFonts w:ascii="仿宋" w:hAnsi="仿宋" w:eastAsia="仿宋"/>
          <w:sz w:val="32"/>
          <w:szCs w:val="32"/>
        </w:rPr>
        <w:t>0</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辆、越野车</w:t>
      </w:r>
      <w:r>
        <w:rPr>
          <w:rFonts w:ascii="仿宋" w:hAnsi="仿宋" w:eastAsia="仿宋"/>
          <w:sz w:val="32"/>
          <w:szCs w:val="32"/>
        </w:rPr>
        <w:t>0</w:t>
      </w:r>
      <w:r>
        <w:rPr>
          <w:rFonts w:hint="eastAsia" w:ascii="仿宋" w:hAnsi="仿宋" w:eastAsia="仿宋"/>
          <w:sz w:val="32"/>
          <w:szCs w:val="32"/>
        </w:rPr>
        <w:t>辆、载客汽车</w:t>
      </w:r>
      <w:r>
        <w:rPr>
          <w:rFonts w:ascii="仿宋" w:hAnsi="仿宋" w:eastAsia="仿宋"/>
          <w:sz w:val="32"/>
          <w:szCs w:val="32"/>
        </w:rPr>
        <w:t>0</w:t>
      </w:r>
      <w:r>
        <w:rPr>
          <w:rFonts w:hint="eastAsia" w:ascii="仿宋" w:hAnsi="仿宋" w:eastAsia="仿宋"/>
          <w:sz w:val="32"/>
          <w:szCs w:val="32"/>
        </w:rPr>
        <w:t>辆。</w:t>
      </w:r>
    </w:p>
    <w:p>
      <w:pPr>
        <w:spacing w:line="600" w:lineRule="exact"/>
        <w:ind w:firstLine="640"/>
        <w:rPr>
          <w:rFonts w:ascii="仿宋" w:hAnsi="仿宋" w:eastAsia="仿宋"/>
          <w:sz w:val="32"/>
          <w:szCs w:val="32"/>
        </w:rPr>
      </w:pPr>
      <w:r>
        <w:rPr>
          <w:rFonts w:hint="eastAsia" w:ascii="仿宋" w:hAnsi="仿宋" w:eastAsia="仿宋"/>
          <w:bCs/>
          <w:sz w:val="32"/>
          <w:szCs w:val="32"/>
        </w:rPr>
        <w:t>公务用车运行维护费支出</w:t>
      </w:r>
      <w:r>
        <w:rPr>
          <w:rFonts w:ascii="仿宋" w:hAnsi="仿宋" w:eastAsia="仿宋"/>
          <w:bCs/>
          <w:sz w:val="32"/>
          <w:szCs w:val="32"/>
        </w:rPr>
        <w:t>0</w:t>
      </w:r>
      <w:r>
        <w:rPr>
          <w:rFonts w:hint="eastAsia" w:ascii="仿宋" w:hAnsi="仿宋" w:eastAsia="仿宋"/>
          <w:sz w:val="32"/>
          <w:szCs w:val="32"/>
        </w:rPr>
        <w:t>万元。本年无此项经费支出。</w:t>
      </w:r>
    </w:p>
    <w:p>
      <w:pPr>
        <w:spacing w:line="600" w:lineRule="exact"/>
        <w:ind w:firstLine="640"/>
        <w:rPr>
          <w:rFonts w:ascii="仿宋" w:hAnsi="仿宋" w:eastAsia="仿宋"/>
          <w:sz w:val="32"/>
          <w:szCs w:val="32"/>
        </w:rPr>
      </w:pPr>
      <w:r>
        <w:rPr>
          <w:rFonts w:ascii="仿宋" w:hAnsi="仿宋" w:eastAsia="仿宋"/>
          <w:bCs/>
          <w:sz w:val="32"/>
          <w:szCs w:val="32"/>
        </w:rPr>
        <w:t>3.</w:t>
      </w:r>
      <w:r>
        <w:rPr>
          <w:rFonts w:hint="eastAsia" w:ascii="仿宋" w:hAnsi="仿宋" w:eastAsia="仿宋"/>
          <w:bCs/>
          <w:sz w:val="32"/>
          <w:szCs w:val="32"/>
        </w:rPr>
        <w:t>公务接待费支出</w:t>
      </w:r>
      <w:r>
        <w:rPr>
          <w:rFonts w:ascii="仿宋" w:hAnsi="仿宋" w:eastAsia="仿宋"/>
          <w:bCs/>
          <w:sz w:val="32"/>
          <w:szCs w:val="32"/>
        </w:rPr>
        <w:t>0</w:t>
      </w:r>
      <w:r>
        <w:rPr>
          <w:rFonts w:hint="eastAsia" w:ascii="仿宋" w:hAnsi="仿宋" w:eastAsia="仿宋"/>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 w:hAnsi="仿宋" w:eastAsia="仿宋"/>
          <w:sz w:val="32"/>
          <w:szCs w:val="32"/>
        </w:rPr>
        <w:t>本年无此项经费支出。其中：</w:t>
      </w:r>
    </w:p>
    <w:p>
      <w:pPr>
        <w:spacing w:line="600" w:lineRule="exact"/>
        <w:ind w:firstLine="640"/>
        <w:rPr>
          <w:rFonts w:ascii="仿宋" w:hAnsi="仿宋" w:eastAsia="仿宋"/>
          <w:sz w:val="32"/>
          <w:szCs w:val="32"/>
        </w:rPr>
      </w:pPr>
      <w:r>
        <w:rPr>
          <w:rFonts w:hint="eastAsia" w:ascii="仿宋" w:hAnsi="仿宋" w:eastAsia="仿宋"/>
          <w:bCs/>
          <w:sz w:val="32"/>
          <w:szCs w:val="32"/>
        </w:rPr>
        <w:t>国内公务接待支出</w:t>
      </w:r>
      <w:r>
        <w:rPr>
          <w:rFonts w:ascii="仿宋" w:hAnsi="仿宋" w:eastAsia="仿宋"/>
          <w:bCs/>
          <w:sz w:val="32"/>
          <w:szCs w:val="32"/>
        </w:rPr>
        <w:t>0</w:t>
      </w:r>
      <w:r>
        <w:rPr>
          <w:rFonts w:hint="eastAsia" w:ascii="仿宋" w:hAnsi="仿宋" w:eastAsia="仿宋"/>
          <w:sz w:val="32"/>
          <w:szCs w:val="32"/>
        </w:rPr>
        <w:t>万元。国内公务接待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firstLineChars="200"/>
        <w:rPr>
          <w:rFonts w:ascii="仿宋" w:hAnsi="仿宋" w:eastAsia="仿宋"/>
          <w:sz w:val="32"/>
          <w:szCs w:val="32"/>
        </w:rPr>
      </w:pPr>
      <w:r>
        <w:rPr>
          <w:rFonts w:hint="eastAsia" w:ascii="仿宋" w:hAnsi="仿宋" w:eastAsia="仿宋"/>
          <w:bCs/>
          <w:sz w:val="32"/>
          <w:szCs w:val="32"/>
        </w:rPr>
        <w:t>外事接待支出</w:t>
      </w:r>
      <w:r>
        <w:rPr>
          <w:rFonts w:ascii="仿宋" w:hAnsi="仿宋" w:eastAsia="仿宋"/>
          <w:bCs/>
          <w:sz w:val="32"/>
          <w:szCs w:val="32"/>
        </w:rPr>
        <w:t>0</w:t>
      </w:r>
      <w:r>
        <w:rPr>
          <w:rFonts w:hint="eastAsia" w:ascii="仿宋" w:hAnsi="仿宋" w:eastAsia="仿宋"/>
          <w:sz w:val="32"/>
          <w:szCs w:val="32"/>
        </w:rPr>
        <w:t>万元。外事接待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outlineLvl w:val="1"/>
        <w:rPr>
          <w:rFonts w:ascii="黑体" w:eastAsia="黑体"/>
          <w:sz w:val="32"/>
          <w:szCs w:val="32"/>
        </w:rPr>
      </w:pPr>
      <w:bookmarkStart w:id="41" w:name="_Toc15396610"/>
      <w:bookmarkStart w:id="42"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3" w:name="_Toc15396611"/>
      <w:bookmarkStart w:id="44" w:name="_Toc15377219"/>
      <w:r>
        <w:rPr>
          <w:rStyle w:val="25"/>
          <w:rFonts w:hint="eastAsia" w:ascii="黑体" w:hAnsi="黑体" w:eastAsia="黑体"/>
          <w:b w:val="0"/>
        </w:rPr>
        <w:t>国有资本经营预算支出决算情况说明</w:t>
      </w:r>
      <w:bookmarkEnd w:id="43"/>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w:t>
      </w:r>
      <w:r>
        <w:rPr>
          <w:rFonts w:ascii="仿宋" w:hAnsi="仿宋" w:eastAsia="仿宋"/>
          <w:sz w:val="32"/>
          <w:szCs w:val="32"/>
        </w:rPr>
        <w:t>0</w:t>
      </w:r>
      <w:r>
        <w:rPr>
          <w:rFonts w:hint="eastAsia" w:ascii="仿宋" w:hAnsi="仿宋" w:eastAsia="仿宋"/>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5" w:name="_Toc15377221"/>
      <w:bookmarkStart w:id="46" w:name="_Toc15396612"/>
      <w:r>
        <w:rPr>
          <w:rStyle w:val="25"/>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 w:hAnsi="仿宋" w:eastAsia="仿宋"/>
          <w:sz w:val="32"/>
          <w:szCs w:val="32"/>
        </w:rPr>
      </w:pPr>
      <w:r>
        <w:rPr>
          <w:rFonts w:hint="eastAsia" w:ascii="仿宋" w:hAnsi="仿宋" w:eastAsia="仿宋"/>
          <w:sz w:val="32"/>
          <w:szCs w:val="32"/>
        </w:rPr>
        <w:t>峨眉山市文化馆为事业单位无机关运行经费。</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22年，峨眉山市文化馆政府采购支出总额</w:t>
      </w:r>
      <w:r>
        <w:rPr>
          <w:rFonts w:ascii="仿宋" w:hAnsi="仿宋" w:eastAsia="仿宋"/>
          <w:sz w:val="32"/>
          <w:szCs w:val="32"/>
        </w:rPr>
        <w:t>0</w:t>
      </w:r>
      <w:r>
        <w:rPr>
          <w:rFonts w:hint="eastAsia" w:ascii="仿宋" w:hAnsi="仿宋" w:eastAsia="仿宋"/>
          <w:sz w:val="32"/>
          <w:szCs w:val="32"/>
        </w:rPr>
        <w:t>万元，其中：政府采购货物支出</w:t>
      </w:r>
      <w:r>
        <w:rPr>
          <w:rFonts w:ascii="仿宋" w:hAnsi="仿宋" w:eastAsia="仿宋"/>
          <w:sz w:val="32"/>
          <w:szCs w:val="32"/>
        </w:rPr>
        <w:t>0</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万元。授予中小企业合同金额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0</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日，峨眉山市文化馆共有车辆</w:t>
      </w:r>
      <w:r>
        <w:rPr>
          <w:rFonts w:ascii="仿宋" w:hAnsi="仿宋" w:eastAsia="仿宋"/>
          <w:sz w:val="32"/>
          <w:szCs w:val="32"/>
        </w:rPr>
        <w:t>0</w:t>
      </w:r>
      <w:r>
        <w:rPr>
          <w:rFonts w:hint="eastAsia" w:ascii="仿宋" w:hAnsi="仿宋" w:eastAsia="仿宋"/>
          <w:sz w:val="32"/>
          <w:szCs w:val="32"/>
        </w:rPr>
        <w:t>辆，其中：主要领导干部用车</w:t>
      </w:r>
      <w:r>
        <w:rPr>
          <w:rFonts w:ascii="仿宋" w:hAnsi="仿宋" w:eastAsia="仿宋"/>
          <w:sz w:val="32"/>
          <w:szCs w:val="32"/>
        </w:rPr>
        <w:t>0</w:t>
      </w:r>
      <w:r>
        <w:rPr>
          <w:rFonts w:hint="eastAsia" w:ascii="仿宋" w:hAnsi="仿宋" w:eastAsia="仿宋"/>
          <w:sz w:val="32"/>
          <w:szCs w:val="32"/>
        </w:rPr>
        <w:t>辆、机要通信用车</w:t>
      </w:r>
      <w:r>
        <w:rPr>
          <w:rFonts w:ascii="仿宋" w:hAnsi="仿宋" w:eastAsia="仿宋"/>
          <w:sz w:val="32"/>
          <w:szCs w:val="32"/>
        </w:rPr>
        <w:t>0</w:t>
      </w:r>
      <w:r>
        <w:rPr>
          <w:rFonts w:hint="eastAsia" w:ascii="仿宋" w:hAnsi="仿宋" w:eastAsia="仿宋"/>
          <w:sz w:val="32"/>
          <w:szCs w:val="32"/>
        </w:rPr>
        <w:t>辆、应急保障用车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0</w:t>
      </w:r>
      <w:r>
        <w:rPr>
          <w:rFonts w:hint="eastAsia" w:ascii="仿宋" w:hAnsi="仿宋" w:eastAsia="仿宋"/>
          <w:sz w:val="32"/>
          <w:szCs w:val="32"/>
        </w:rPr>
        <w:t>辆。单价</w:t>
      </w:r>
      <w:r>
        <w:rPr>
          <w:rFonts w:ascii="仿宋" w:hAnsi="仿宋" w:eastAsia="仿宋"/>
          <w:sz w:val="32"/>
          <w:szCs w:val="32"/>
        </w:rPr>
        <w:t>100</w:t>
      </w:r>
      <w:r>
        <w:rPr>
          <w:rFonts w:hint="eastAsia" w:ascii="仿宋" w:hAnsi="仿宋" w:eastAsia="仿宋"/>
          <w:sz w:val="32"/>
          <w:szCs w:val="32"/>
        </w:rPr>
        <w:t>万元以上专用设备</w:t>
      </w:r>
      <w:r>
        <w:rPr>
          <w:rFonts w:ascii="仿宋" w:hAnsi="仿宋" w:eastAsia="仿宋"/>
          <w:sz w:val="32"/>
          <w:szCs w:val="32"/>
        </w:rPr>
        <w:t>0</w:t>
      </w:r>
      <w:r>
        <w:rPr>
          <w:rFonts w:hint="eastAsia" w:ascii="仿宋" w:hAnsi="仿宋" w:eastAsia="仿宋"/>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pStyle w:val="2"/>
        <w:spacing w:before="93"/>
      </w:pP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免低开地方配套经费</w:t>
      </w:r>
      <w:r>
        <w:rPr>
          <w:rFonts w:hint="eastAsia" w:hAnsi="仿宋_GB2312" w:cs="仿宋_GB2312"/>
          <w:sz w:val="32"/>
          <w:szCs w:val="32"/>
        </w:rPr>
        <w:t>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sz w:val="44"/>
          <w:szCs w:val="44"/>
        </w:rPr>
      </w:pPr>
    </w:p>
    <w:p>
      <w:pPr>
        <w:pStyle w:val="22"/>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2"/>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2"/>
        <w:spacing w:line="560" w:lineRule="exact"/>
        <w:ind w:firstLine="640" w:firstLineChars="200"/>
        <w:rPr>
          <w:rFonts w:hint="eastAsia"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p>
    <w:p>
      <w:pPr>
        <w:pStyle w:val="22"/>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2"/>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2"/>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文化旅游体育与传媒（类）文化和旅游（款）群众文化（项）: 反映群众文化方面的支出，包括基层文化馆（站）、群众艺术馆支出等。</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文化旅游体育与传媒（类）文化和旅游（款）其他文化和旅游（项）: 反映除上述项目以外其他用于文化和旅游方面的支出。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社会保障和就业（类）行政事业单位养老支出（款）机关事业单位基本养老保险缴费支出（项）：是指反映机关事业单位实施养老保险制度由单位缴纳的基本养老保险支出。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.社会保障和就业（类）行政事业单位养老支出（款）机关事业单位职业年金缴费支出（项）：是指反映机关事业单位实施养老保险制度由单位缴纳的职业年金支出。</w:t>
      </w:r>
    </w:p>
    <w:p>
      <w:pPr>
        <w:pStyle w:val="2"/>
        <w:spacing w:before="93"/>
        <w:ind w:firstLine="640" w:firstLineChars="200"/>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社会保障和就业（类）抚恤（款）死亡抚恤（项）:反映按规定用于烈士和牺牲、病故人员家属的一次性和定期抚恤金、丧葬补助费以及烈士褒扬金。</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社会保障和就业（类）其他社会保障和就业支出（款）其他社会保障和就业支出（项）:是指反映除上述项目以外其他用于社会保障和就业方面的支出。</w:t>
      </w:r>
    </w:p>
    <w:p>
      <w:pPr>
        <w:ind w:firstLine="640" w:firstLineChars="200"/>
        <w:rPr>
          <w:rFonts w:ascii="仿宋" w:hAnsi="仿宋" w:eastAsia="仿宋"/>
          <w:sz w:val="32"/>
          <w:szCs w:val="32"/>
        </w:rPr>
      </w:pPr>
      <w:bookmarkStart w:id="52" w:name="_Hlk151921691"/>
      <w:r>
        <w:rPr>
          <w:rFonts w:hint="eastAsia" w:ascii="仿宋" w:hAnsi="仿宋" w:eastAsia="仿宋"/>
          <w:sz w:val="32"/>
          <w:szCs w:val="32"/>
        </w:rPr>
        <w:t>1</w:t>
      </w:r>
      <w:r>
        <w:rPr>
          <w:rFonts w:ascii="仿宋" w:hAnsi="仿宋" w:eastAsia="仿宋"/>
          <w:sz w:val="32"/>
          <w:szCs w:val="32"/>
        </w:rPr>
        <w:t>5.</w:t>
      </w:r>
      <w:bookmarkEnd w:id="52"/>
      <w:r>
        <w:rPr>
          <w:rFonts w:hint="eastAsia" w:ascii="仿宋" w:hAnsi="仿宋" w:eastAsia="仿宋"/>
          <w:sz w:val="32"/>
          <w:szCs w:val="32"/>
        </w:rPr>
        <w:t>卫生健康（类）行政事业单位医疗（款）事业单位医疗（项）:</w:t>
      </w:r>
      <w:r>
        <w:rPr>
          <w:rFonts w:ascii="仿宋" w:hAnsi="仿宋" w:eastAsia="仿宋"/>
          <w:sz w:val="32"/>
          <w:szCs w:val="32"/>
        </w:rPr>
        <w:t xml:space="preserve"> 反映财政部门安排的事业单位基本医疗保险缴费经费，未参加医疗保险的事业单位的公费医疗经费，按国家规定享受离休人员待遇的医疗经费</w:t>
      </w:r>
      <w:r>
        <w:rPr>
          <w:rFonts w:hint="eastAsia" w:ascii="仿宋" w:hAnsi="仿宋" w:eastAsia="仿宋"/>
          <w:sz w:val="32"/>
          <w:szCs w:val="32"/>
        </w:rPr>
        <w:t>。</w:t>
      </w:r>
    </w:p>
    <w:p>
      <w:pPr>
        <w:pStyle w:val="2"/>
        <w:spacing w:before="93"/>
        <w:ind w:firstLine="640" w:firstLineChars="200"/>
        <w:rPr>
          <w:rFonts w:ascii="仿宋" w:hAnsi="仿宋" w:eastAsia="仿宋"/>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住房保障（类）住房改革支出（款）住房公积金（项）:是指反映行政事业单位按人力资源和社会保障部、财政部规定的基本工资和津贴补贴以及规定比例为职工缴纳的住房公积金</w:t>
      </w:r>
      <w:r>
        <w:rPr>
          <w:rFonts w:hint="eastAsia" w:ascii="仿宋" w:hAnsi="仿宋" w:eastAsia="仿宋"/>
        </w:rPr>
        <w:t>。</w:t>
      </w:r>
    </w:p>
    <w:p>
      <w:pPr>
        <w:ind w:firstLine="640" w:firstLineChars="200"/>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经营支出：指事业单位在专业业务活动及其辅助活动之外开展非独立核算经营活动发生的支出。</w:t>
      </w:r>
    </w:p>
    <w:p>
      <w:pPr>
        <w:pStyle w:val="22"/>
        <w:spacing w:line="560" w:lineRule="exact"/>
        <w:ind w:firstLine="640" w:firstLineChars="200"/>
        <w:rPr>
          <w:rFonts w:hAnsi="仿宋"/>
          <w:color w:val="auto"/>
          <w:sz w:val="32"/>
          <w:szCs w:val="32"/>
        </w:rPr>
      </w:pPr>
      <w:r>
        <w:rPr>
          <w:rFonts w:hAnsi="仿宋"/>
          <w:color w:val="auto"/>
          <w:sz w:val="32"/>
          <w:szCs w:val="32"/>
        </w:rPr>
        <w:t>20.</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color w:val="auto"/>
          <w:sz w:val="32"/>
          <w:szCs w:val="32"/>
        </w:rPr>
      </w:pPr>
      <w:r>
        <w:rPr>
          <w:rFonts w:hAnsi="仿宋"/>
          <w:color w:val="auto"/>
          <w:sz w:val="32"/>
          <w:szCs w:val="32"/>
        </w:rPr>
        <w:t>21.</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outlineLvl w:val="0"/>
        <w:rPr>
          <w:rStyle w:val="24"/>
          <w:rFonts w:ascii="黑体" w:hAnsi="黑体" w:eastAsia="黑体"/>
          <w:b w:val="0"/>
        </w:rPr>
      </w:pPr>
      <w:bookmarkStart w:id="53" w:name="_Toc15396614"/>
      <w:bookmarkStart w:id="54" w:name="_Toc15377226"/>
      <w:r>
        <w:rPr>
          <w:rFonts w:hint="eastAsia" w:ascii="黑体" w:hAnsi="黑体" w:eastAsia="黑体"/>
          <w:sz w:val="44"/>
          <w:szCs w:val="44"/>
        </w:rPr>
        <w:t>第</w:t>
      </w:r>
      <w:r>
        <w:rPr>
          <w:rStyle w:val="24"/>
          <w:rFonts w:hint="eastAsia" w:ascii="黑体" w:hAnsi="黑体" w:eastAsia="黑体"/>
          <w:b w:val="0"/>
        </w:rPr>
        <w:t>四部分 附件</w:t>
      </w:r>
      <w:bookmarkEnd w:id="53"/>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5"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4"/>
      <w:bookmarkEnd w:id="55"/>
      <w:bookmarkStart w:id="56"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5"/>
          <w:rFonts w:hint="eastAsia" w:ascii="仿宋" w:hAnsi="仿宋" w:eastAsia="仿宋"/>
          <w:b w:val="0"/>
          <w:bCs w:val="0"/>
        </w:rPr>
        <w:t>入决算表</w:t>
      </w:r>
      <w:bookmarkEnd w:id="57"/>
    </w:p>
    <w:p>
      <w:pPr>
        <w:pStyle w:val="4"/>
        <w:rPr>
          <w:rFonts w:ascii="仿宋" w:hAnsi="仿宋" w:eastAsia="仿宋"/>
        </w:rPr>
      </w:pPr>
      <w:bookmarkStart w:id="5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9"/>
    </w:p>
    <w:p>
      <w:pPr>
        <w:pStyle w:val="4"/>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4"/>
      <w:bookmarkStart w:id="69" w:name="_GoBack"/>
      <w:bookmarkEnd w:id="69"/>
    </w:p>
    <w:p>
      <w:pPr>
        <w:pStyle w:val="4"/>
        <w:rPr>
          <w:rFonts w:ascii="仿宋" w:hAnsi="仿宋" w:eastAsia="仿宋"/>
        </w:rPr>
      </w:pPr>
      <w:bookmarkStart w:id="65" w:name="_Toc15396628"/>
      <w:r>
        <w:rPr>
          <w:rStyle w:val="25"/>
          <w:rFonts w:hint="eastAsia" w:ascii="仿宋" w:hAnsi="仿宋" w:eastAsia="仿宋"/>
          <w:b w:val="0"/>
          <w:bCs w:val="0"/>
        </w:rPr>
        <w:t>十、</w:t>
      </w:r>
      <w:bookmarkEnd w:id="65"/>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5"/>
          <w:rFonts w:hint="eastAsia" w:ascii="仿宋" w:hAnsi="仿宋" w:eastAsia="仿宋"/>
          <w:b w:val="0"/>
          <w:bCs w:val="0"/>
        </w:rPr>
        <w:t>十一、</w:t>
      </w:r>
      <w:bookmarkEnd w:id="66"/>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5"/>
          <w:rFonts w:hint="eastAsia" w:ascii="仿宋" w:hAnsi="仿宋" w:eastAsia="仿宋"/>
          <w:b w:val="0"/>
          <w:bCs w:val="0"/>
        </w:rPr>
        <w:t>十二、</w:t>
      </w:r>
      <w:bookmarkEnd w:id="67"/>
      <w:r>
        <w:rPr>
          <w:rStyle w:val="25"/>
          <w:rFonts w:hint="eastAsia" w:ascii="仿宋" w:hAnsi="仿宋" w:eastAsia="仿宋"/>
          <w:b w:val="0"/>
          <w:bCs w:val="0"/>
        </w:rPr>
        <w:t>国有资本经营预算财政拨款支出决算表</w:t>
      </w:r>
    </w:p>
    <w:p>
      <w:pPr>
        <w:pStyle w:val="4"/>
        <w:rPr>
          <w:rFonts w:eastAsia="仿宋"/>
        </w:rPr>
      </w:pPr>
      <w:bookmarkStart w:id="68" w:name="_Toc15396631"/>
      <w:r>
        <w:rPr>
          <w:rStyle w:val="25"/>
          <w:rFonts w:hint="eastAsia" w:ascii="仿宋" w:hAnsi="仿宋" w:eastAsia="仿宋"/>
          <w:b w:val="0"/>
          <w:bCs w:val="0"/>
        </w:rPr>
        <w:t>十三、</w:t>
      </w:r>
      <w:bookmarkEnd w:id="68"/>
      <w:r>
        <w:rPr>
          <w:rStyle w:val="25"/>
          <w:rFonts w:hint="eastAsia" w:ascii="仿宋" w:hAnsi="仿宋" w:eastAsia="仿宋"/>
          <w:b w:val="0"/>
          <w:bCs w:val="0"/>
        </w:rPr>
        <w:t>财政拨款“三公”经费支出决算表</w:t>
      </w:r>
    </w:p>
    <w:sectPr>
      <w:footerReference r:id="rId11" w:type="first"/>
      <w:footerReference r:id="rId10"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8287937"/>
                          </w:sdtPr>
                          <w:sdtEndPr>
                            <w:rPr>
                              <w:rFonts w:ascii="仿宋" w:hAnsi="仿宋" w:eastAsia="仿宋"/>
                              <w:sz w:val="32"/>
                              <w:szCs w:val="32"/>
                            </w:rPr>
                          </w:sdtEndPr>
                          <w:sdtContent>
                            <w:p>
                              <w:pPr>
                                <w:pStyle w:val="8"/>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9</w:t>
                              </w:r>
                              <w:r>
                                <w:rPr>
                                  <w:rFonts w:ascii="仿宋" w:hAnsi="仿宋" w:eastAsia="仿宋"/>
                                  <w:sz w:val="32"/>
                                  <w:szCs w:val="32"/>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2028287937"/>
                    </w:sdtPr>
                    <w:sdtEndPr>
                      <w:rPr>
                        <w:rFonts w:ascii="仿宋" w:hAnsi="仿宋" w:eastAsia="仿宋"/>
                        <w:sz w:val="32"/>
                        <w:szCs w:val="32"/>
                      </w:rPr>
                    </w:sdtEndPr>
                    <w:sdtContent>
                      <w:p>
                        <w:pPr>
                          <w:pStyle w:val="8"/>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9</w:t>
                        </w:r>
                        <w:r>
                          <w:rPr>
                            <w:rFonts w:ascii="仿宋" w:hAnsi="仿宋" w:eastAsia="仿宋"/>
                            <w:sz w:val="32"/>
                            <w:szCs w:val="32"/>
                          </w:rPr>
                          <w:fldChar w:fldCharType="end"/>
                        </w:r>
                      </w:p>
                    </w:sdtContent>
                  </w:sdt>
                  <w:p>
                    <w:pPr>
                      <w:pStyle w:val="2"/>
                    </w:pPr>
                  </w:p>
                </w:txbxContent>
              </v:textbox>
            </v:shape>
          </w:pict>
        </mc:Fallback>
      </mc:AlternateConten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 w:hAnsi="仿宋" w:eastAsia="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8067618"/>
                          </w:sdtPr>
                          <w:sdtEndPr>
                            <w:rPr>
                              <w:rFonts w:ascii="仿宋" w:hAnsi="仿宋" w:eastAsia="仿宋"/>
                              <w:sz w:val="32"/>
                              <w:szCs w:val="32"/>
                            </w:rPr>
                          </w:sdtEndPr>
                          <w:sdtContent>
                            <w:p>
                              <w:pPr>
                                <w:pStyle w:val="8"/>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w:t>
                              </w:r>
                              <w:r>
                                <w:rPr>
                                  <w:rFonts w:ascii="仿宋" w:hAnsi="仿宋" w:eastAsia="仿宋"/>
                                  <w:sz w:val="32"/>
                                  <w:szCs w:val="32"/>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68067618"/>
                    </w:sdtPr>
                    <w:sdtEndPr>
                      <w:rPr>
                        <w:rFonts w:ascii="仿宋" w:hAnsi="仿宋" w:eastAsia="仿宋"/>
                        <w:sz w:val="32"/>
                        <w:szCs w:val="32"/>
                      </w:rPr>
                    </w:sdtEndPr>
                    <w:sdtContent>
                      <w:p>
                        <w:pPr>
                          <w:pStyle w:val="8"/>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1</w:t>
                        </w:r>
                        <w:r>
                          <w:rPr>
                            <w:rFonts w:ascii="仿宋" w:hAnsi="仿宋" w:eastAsia="仿宋"/>
                            <w:sz w:val="32"/>
                            <w:szCs w:val="32"/>
                          </w:rPr>
                          <w:fldChar w:fldCharType="end"/>
                        </w:r>
                      </w:p>
                    </w:sdtContent>
                  </w:sdt>
                  <w:p>
                    <w:pPr>
                      <w:pStyle w:val="2"/>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zNkN2Q4ZDhkMDE1ZWEwZWU4NGRhZTJjMjY5NzE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5EF3"/>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ED9"/>
    <w:rsid w:val="002D6D05"/>
    <w:rsid w:val="002F1818"/>
    <w:rsid w:val="002F567B"/>
    <w:rsid w:val="003216A9"/>
    <w:rsid w:val="00335A74"/>
    <w:rsid w:val="0036561B"/>
    <w:rsid w:val="0037013F"/>
    <w:rsid w:val="00380C92"/>
    <w:rsid w:val="0039575E"/>
    <w:rsid w:val="003A484F"/>
    <w:rsid w:val="003A4883"/>
    <w:rsid w:val="003B0BE0"/>
    <w:rsid w:val="003B0C1B"/>
    <w:rsid w:val="003B688C"/>
    <w:rsid w:val="003C0291"/>
    <w:rsid w:val="003C39AE"/>
    <w:rsid w:val="003C7B60"/>
    <w:rsid w:val="003D0C0F"/>
    <w:rsid w:val="003D1FB2"/>
    <w:rsid w:val="003D66DA"/>
    <w:rsid w:val="003E1310"/>
    <w:rsid w:val="003E6F55"/>
    <w:rsid w:val="004016AF"/>
    <w:rsid w:val="00406254"/>
    <w:rsid w:val="004223DE"/>
    <w:rsid w:val="00434489"/>
    <w:rsid w:val="00435DD7"/>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9BC"/>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5FF3"/>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31FC"/>
    <w:rsid w:val="00E853CE"/>
    <w:rsid w:val="00E867B6"/>
    <w:rsid w:val="00EA010F"/>
    <w:rsid w:val="00EA417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61A70"/>
    <w:rsid w:val="00F754A1"/>
    <w:rsid w:val="00F81FD9"/>
    <w:rsid w:val="00F841AA"/>
    <w:rsid w:val="00F84A94"/>
    <w:rsid w:val="00F87E96"/>
    <w:rsid w:val="00FA23E8"/>
    <w:rsid w:val="00FD3CC1"/>
    <w:rsid w:val="00FF1E02"/>
    <w:rsid w:val="00FF30B4"/>
    <w:rsid w:val="03A002A6"/>
    <w:rsid w:val="047A03AE"/>
    <w:rsid w:val="053A62B5"/>
    <w:rsid w:val="08820E11"/>
    <w:rsid w:val="0A2032A3"/>
    <w:rsid w:val="0AA76FF1"/>
    <w:rsid w:val="0B8A37D8"/>
    <w:rsid w:val="10C055FF"/>
    <w:rsid w:val="118107EC"/>
    <w:rsid w:val="11DD6519"/>
    <w:rsid w:val="16BB723D"/>
    <w:rsid w:val="18015F3F"/>
    <w:rsid w:val="1B626156"/>
    <w:rsid w:val="1BE8440E"/>
    <w:rsid w:val="1D155CEE"/>
    <w:rsid w:val="20F57F95"/>
    <w:rsid w:val="240371BF"/>
    <w:rsid w:val="25711CC6"/>
    <w:rsid w:val="25C741E6"/>
    <w:rsid w:val="27842671"/>
    <w:rsid w:val="27B42F46"/>
    <w:rsid w:val="29FD04D3"/>
    <w:rsid w:val="2ABE7A3E"/>
    <w:rsid w:val="2CA234A8"/>
    <w:rsid w:val="2EFA178C"/>
    <w:rsid w:val="30B46D73"/>
    <w:rsid w:val="319F7F4E"/>
    <w:rsid w:val="383D272C"/>
    <w:rsid w:val="39AE70AB"/>
    <w:rsid w:val="3AFB3A40"/>
    <w:rsid w:val="3C0C0783"/>
    <w:rsid w:val="3F9F3A96"/>
    <w:rsid w:val="48BF60AB"/>
    <w:rsid w:val="493C27E9"/>
    <w:rsid w:val="496F39ED"/>
    <w:rsid w:val="49FF41D3"/>
    <w:rsid w:val="4BE068DB"/>
    <w:rsid w:val="4BF6002B"/>
    <w:rsid w:val="4ECE2238"/>
    <w:rsid w:val="51DB4B86"/>
    <w:rsid w:val="53260B91"/>
    <w:rsid w:val="55333C3E"/>
    <w:rsid w:val="57C74975"/>
    <w:rsid w:val="629C0F44"/>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F:\&#39044;&#20915;&#31639;\2022&#24180;&#20915;&#31639;&#20844;&#24320;\&#20915;&#31639;&#20844;&#24320;\&#25991;&#20307;&#26053;&#31995;&#32479;\&#25991;&#21270;&#39302;\&#20915;&#31639;&#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cap="all" spc="50" baseline="0">
                <a:solidFill>
                  <a:schemeClr val="dk1"/>
                </a:solidFill>
                <a:latin typeface="+mn-lt"/>
                <a:ea typeface="+mn-ea"/>
                <a:cs typeface="+mn-cs"/>
              </a:defRPr>
            </a:pPr>
            <a:r>
              <a:rPr lang="zh-CN"/>
              <a:t>收、支决算总计变动情况图</a:t>
            </a:r>
            <a:endParaRPr lang="zh-CN"/>
          </a:p>
        </c:rich>
      </c:tx>
      <c:layout/>
      <c:overlay val="0"/>
      <c:spPr>
        <a:noFill/>
        <a:ln>
          <a:noFill/>
        </a:ln>
        <a:effectLst/>
      </c:spPr>
    </c:title>
    <c:autoTitleDeleted val="0"/>
    <c:plotArea>
      <c:layout/>
      <c:barChart>
        <c:barDir val="col"/>
        <c:grouping val="clustered"/>
        <c:varyColors val="0"/>
        <c:ser>
          <c:idx val="0"/>
          <c:order val="0"/>
          <c:tx>
            <c:strRef>
              <c:f>图1!$A$4</c:f>
              <c:strCache>
                <c:ptCount val="1"/>
                <c:pt idx="0">
                  <c:v>2021年</c:v>
                </c:pt>
              </c:strCache>
            </c:strRef>
          </c:tx>
          <c:spPr>
            <a:gradFill flip="none" rotWithShape="1">
              <a:gsLst>
                <a:gs pos="100000">
                  <a:schemeClr val="accent1">
                    <a:alpha val="0"/>
                  </a:schemeClr>
                </a:gs>
                <a:gs pos="50000">
                  <a:schemeClr val="accent1"/>
                </a:gs>
              </a:gsLst>
              <a:lin ang="5400000" scaled="0"/>
            </a:gradFill>
            <a:ln>
              <a:noFill/>
            </a:ln>
            <a:effectLst/>
            <a:sp3d/>
          </c:spPr>
          <c:invertIfNegative val="0"/>
          <c:dLbls>
            <c:dLbl>
              <c:idx val="0"/>
              <c:layout>
                <c:manualLayout>
                  <c:x val="-0.00432198811453269"/>
                  <c:y val="-0.04281346596678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48298217179903"/>
                  <c:y val="-0.03669725654295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图1!$B$3:$C$3</c:f>
              <c:strCache>
                <c:ptCount val="2"/>
                <c:pt idx="0">
                  <c:v>收入总计</c:v>
                </c:pt>
                <c:pt idx="1">
                  <c:v>支出总计</c:v>
                </c:pt>
              </c:strCache>
            </c:strRef>
          </c:cat>
          <c:val>
            <c:numRef>
              <c:f>图1!$B$4:$C$4</c:f>
              <c:numCache>
                <c:formatCode>General</c:formatCode>
                <c:ptCount val="2"/>
                <c:pt idx="0">
                  <c:v>151.03</c:v>
                </c:pt>
                <c:pt idx="1">
                  <c:v>151.03</c:v>
                </c:pt>
              </c:numCache>
            </c:numRef>
          </c:val>
        </c:ser>
        <c:ser>
          <c:idx val="1"/>
          <c:order val="1"/>
          <c:tx>
            <c:strRef>
              <c:f>图1!$A$5</c:f>
              <c:strCache>
                <c:ptCount val="1"/>
                <c:pt idx="0">
                  <c:v>2022年 </c:v>
                </c:pt>
              </c:strCache>
            </c:strRef>
          </c:tx>
          <c:spPr>
            <a:gradFill flip="none" rotWithShape="1">
              <a:gsLst>
                <a:gs pos="100000">
                  <a:schemeClr val="accent2">
                    <a:alpha val="0"/>
                  </a:schemeClr>
                </a:gs>
                <a:gs pos="50000">
                  <a:schemeClr val="accent2"/>
                </a:gs>
              </a:gsLst>
              <a:lin ang="5400000" scaled="0"/>
            </a:gradFill>
            <a:ln>
              <a:noFill/>
            </a:ln>
            <a:effectLst/>
            <a:sp3d/>
          </c:spPr>
          <c:invertIfNegative val="0"/>
          <c:dLbls>
            <c:dLbl>
              <c:idx val="0"/>
              <c:layout>
                <c:manualLayout>
                  <c:x val="0.0453808752025932"/>
                  <c:y val="-0.03363915183104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67368989735278"/>
                  <c:y val="-0.030581047119132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图1!$B$3:$C$3</c:f>
              <c:strCache>
                <c:ptCount val="2"/>
                <c:pt idx="0">
                  <c:v>收入总计</c:v>
                </c:pt>
                <c:pt idx="1">
                  <c:v>支出总计</c:v>
                </c:pt>
              </c:strCache>
            </c:strRef>
          </c:cat>
          <c:val>
            <c:numRef>
              <c:f>图1!$B$5:$C$5</c:f>
              <c:numCache>
                <c:formatCode>General</c:formatCode>
                <c:ptCount val="2"/>
                <c:pt idx="0">
                  <c:v>146.84</c:v>
                </c:pt>
                <c:pt idx="1">
                  <c:v>146.84</c:v>
                </c:pt>
              </c:numCache>
            </c:numRef>
          </c:val>
        </c:ser>
        <c:dLbls>
          <c:showLegendKey val="0"/>
          <c:showVal val="0"/>
          <c:showCatName val="0"/>
          <c:showSerName val="0"/>
          <c:showPercent val="0"/>
          <c:showBubbleSize val="0"/>
        </c:dLbls>
        <c:gapWidth val="150"/>
        <c:axId val="443201104"/>
        <c:axId val="443201888"/>
      </c:barChart>
      <c:catAx>
        <c:axId val="44320110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43201888"/>
        <c:crosses val="autoZero"/>
        <c:auto val="1"/>
        <c:lblAlgn val="ctr"/>
        <c:lblOffset val="100"/>
        <c:noMultiLvlLbl val="0"/>
      </c:catAx>
      <c:valAx>
        <c:axId val="4432018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43201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accent5">
          <a:alpha val="42000"/>
        </a:schemeClr>
      </a:solidFill>
      <a:prstDash val="solid"/>
      <a:round/>
    </a:ln>
    <a:effectLst/>
  </c:spPr>
  <c:txPr>
    <a:bodyPr/>
    <a:lstStyle/>
    <a:p>
      <a:pPr>
        <a:defRPr lang="zh-CN">
          <a:solidFill>
            <a:schemeClr val="dk1"/>
          </a:solidFill>
          <a:latin typeface="+mn-lt"/>
          <a:ea typeface="+mn-ea"/>
          <a:cs typeface="+mn-cs"/>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dk1"/>
              </a:solidFill>
              <a:latin typeface="+mn-lt"/>
              <a:ea typeface="+mn-ea"/>
              <a:cs typeface="+mn-cs"/>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111417228035516"/>
          <c:y val="0.124873364129381"/>
          <c:w val="0.606555394740919"/>
          <c:h val="0.850137741046832"/>
        </c:manualLayout>
      </c:layout>
      <c:pie3DChart>
        <c:varyColors val="1"/>
        <c:ser>
          <c:idx val="0"/>
          <c:order val="0"/>
          <c:tx>
            <c:strRef>
              <c:f>图2!$B$2</c:f>
              <c:strCache>
                <c:ptCount val="1"/>
                <c:pt idx="0">
                  <c:v>收入决算结构图</c:v>
                </c:pt>
              </c:strCache>
            </c:strRef>
          </c:tx>
          <c:explosion val="2"/>
          <c:dPt>
            <c:idx val="0"/>
            <c:bubble3D val="0"/>
            <c:explosion val="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0.00335643524721862"/>
                  <c:y val="-0.28020978723643"/>
                </c:manualLayout>
              </c:layout>
              <c:tx>
                <c:rich>
                  <a:bodyPr rot="0" spcFirstLastPara="1" vertOverflow="ellipsis" vert="horz" wrap="square" lIns="38100" tIns="19050" rIns="38100" bIns="19050" anchor="ctr" anchorCtr="1"/>
                  <a:lstStyle/>
                  <a:p>
                    <a:fld id="{b0bf1e21-3841-4796-886e-cc194eef65d1}" type="CATEGORYNAME">
                      <a:t>[CATEGORY NAME]</a:t>
                    </a:fld>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2738689989781"/>
                      <c:h val="0.138392650763764"/>
                    </c:manualLayout>
                  </c15:layout>
                </c:ext>
              </c:extLst>
            </c:dLbl>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图2!$A$3:$A$9</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图2!$B$3:$B$9</c:f>
              <c:numCache>
                <c:formatCode>General</c:formatCode>
                <c:ptCount val="7"/>
                <c:pt idx="0">
                  <c:v>123.08</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accent1">
          <a:alpha val="45000"/>
        </a:schemeClr>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dk1"/>
              </a:solidFill>
              <a:latin typeface="+mn-lt"/>
              <a:ea typeface="+mn-ea"/>
              <a:cs typeface="+mn-cs"/>
            </a:defRPr>
          </a:pPr>
        </a:p>
      </c:txPr>
    </c:title>
    <c:autoTitleDeleted val="0"/>
    <c:view3D>
      <c:rotX val="30"/>
      <c:rotY val="112"/>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200109984385626"/>
          <c:y val="0.156249878487411"/>
          <c:w val="0.577677973544475"/>
          <c:h val="0.719599008457276"/>
        </c:manualLayout>
      </c:layout>
      <c:pie3DChart>
        <c:varyColors val="1"/>
        <c:ser>
          <c:idx val="0"/>
          <c:order val="0"/>
          <c:tx>
            <c:strRef>
              <c:f>图3!$B$3</c:f>
              <c:strCache>
                <c:ptCount val="1"/>
                <c:pt idx="0">
                  <c:v>支出决算结构图</c:v>
                </c:pt>
              </c:strCache>
            </c:strRef>
          </c:tx>
          <c:explosion val="24"/>
          <c:dPt>
            <c:idx val="0"/>
            <c:bubble3D val="0"/>
            <c:explosion val="3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0.00738007380073802"/>
                  <c:y val="0.0493827160493827"/>
                </c:manualLayout>
              </c:layout>
              <c:tx>
                <c:rich>
                  <a:bodyPr rot="0" spcFirstLastPara="1" vertOverflow="ellipsis" vert="horz" wrap="square" lIns="38100" tIns="19050" rIns="38100" bIns="19050" anchor="ctr" anchorCtr="1"/>
                  <a:lstStyle/>
                  <a:p>
                    <a:fld id="{ce5769c8-ade9-4617-8cd9-de6db3dc3222}" type="CATEGORYNAME">
                      <a:t>[CATEGORY NAME]</a:t>
                    </a:fld>
                    <a:r>
                      <a:t>,</a:t>
                    </a:r>
                    <a:fld id="{dc5ff073-97ac-4e95-a3b3-df608ec7b49a}" type="VALUE">
                      <a:t>[VALUE]</a:t>
                    </a:fld>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147601476014761"/>
                  <c:y val="-0.0339506172839506"/>
                </c:manualLayout>
              </c:layout>
              <c:tx>
                <c:rich>
                  <a:bodyPr rot="0" spcFirstLastPara="1" vertOverflow="ellipsis" vert="horz" wrap="square" lIns="38100" tIns="19050" rIns="38100" bIns="19050" anchor="ctr" anchorCtr="1"/>
                  <a:lstStyle/>
                  <a:p>
                    <a:fld id="{436d7dbf-5a1f-4b27-8933-ac36a364b1bd}" type="CATEGORYNAME">
                      <a:t>[CATEGORY NAME]</a:t>
                    </a:fld>
                    <a:r>
                      <a:t>,</a:t>
                    </a:r>
                    <a:fld id="{df34385c-e565-4734-8bd5-6759d550b6c3}" type="VALUE">
                      <a:t>[VALUE]</a:t>
                    </a:fld>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图3!$A$4:$A$8</c:f>
              <c:strCache>
                <c:ptCount val="5"/>
                <c:pt idx="0">
                  <c:v>基本支出</c:v>
                </c:pt>
                <c:pt idx="1">
                  <c:v>项目支出</c:v>
                </c:pt>
                <c:pt idx="2">
                  <c:v>上缴上级支出
</c:v>
                </c:pt>
                <c:pt idx="3">
                  <c:v>经营支出</c:v>
                </c:pt>
                <c:pt idx="4">
                  <c:v>对附属单位补助支出</c:v>
                </c:pt>
              </c:strCache>
            </c:strRef>
          </c:cat>
          <c:val>
            <c:numRef>
              <c:f>图3!$B$4:$B$8</c:f>
              <c:numCache>
                <c:formatCode>0.00%</c:formatCode>
                <c:ptCount val="5"/>
                <c:pt idx="0">
                  <c:v>0.876234364713627</c:v>
                </c:pt>
                <c:pt idx="1">
                  <c:v>0.123765635286373</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cap="flat" cmpd="sng" algn="ctr">
      <a:solidFill>
        <a:schemeClr val="accent1">
          <a:alpha val="50000"/>
        </a:schemeClr>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0" i="0" u="none" strike="noStrike" kern="1200" cap="none" spc="50" baseline="0">
                <a:solidFill>
                  <a:schemeClr val="tx1">
                    <a:lumMod val="65000"/>
                    <a:lumOff val="35000"/>
                  </a:schemeClr>
                </a:solidFill>
                <a:latin typeface="+mn-lt"/>
                <a:ea typeface="+mn-ea"/>
                <a:cs typeface="+mn-cs"/>
              </a:defRPr>
            </a:pPr>
            <a:r>
              <a:rPr lang="zh-CN" sz="1800">
                <a:solidFill>
                  <a:sysClr val="windowText" lastClr="000000"/>
                </a:solidFill>
              </a:rPr>
              <a:t>财政拨款收、支决算总计变动情况</a:t>
            </a:r>
            <a:endParaRPr lang="zh-CN" sz="1800">
              <a:solidFill>
                <a:sysClr val="windowText" lastClr="000000"/>
              </a:solidFill>
            </a:endParaRPr>
          </a:p>
        </c:rich>
      </c:tx>
      <c:layout/>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itle>
    <c:autoTitleDeleted val="0"/>
    <c:plotArea>
      <c:layout/>
      <c:barChart>
        <c:barDir val="col"/>
        <c:grouping val="clustered"/>
        <c:varyColors val="0"/>
        <c:ser>
          <c:idx val="0"/>
          <c:order val="0"/>
          <c:tx>
            <c:strRef>
              <c:f>图4!$A$4</c:f>
              <c:strCache>
                <c:ptCount val="1"/>
                <c:pt idx="0">
                  <c:v>2021年</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0321008856089094"/>
                  <c:y val="-0.02733485193621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21008856089094"/>
                  <c:y val="-0.033409263477600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图4!$B$2:$C$3</c:f>
              <c:strCache>
                <c:ptCount val="2"/>
                <c:pt idx="0">
                  <c:v>收入总计</c:v>
                </c:pt>
                <c:pt idx="1">
                  <c:v>支出总计</c:v>
                </c:pt>
              </c:strCache>
            </c:strRef>
          </c:cat>
          <c:val>
            <c:numRef>
              <c:f>图4!$B$4:$C$4</c:f>
              <c:numCache>
                <c:formatCode>General</c:formatCode>
                <c:ptCount val="2"/>
                <c:pt idx="0">
                  <c:v>140.01</c:v>
                </c:pt>
                <c:pt idx="1">
                  <c:v>140.01</c:v>
                </c:pt>
              </c:numCache>
            </c:numRef>
          </c:val>
        </c:ser>
        <c:ser>
          <c:idx val="1"/>
          <c:order val="1"/>
          <c:tx>
            <c:strRef>
              <c:f>图4!$A$5</c:f>
              <c:strCache>
                <c:ptCount val="1"/>
                <c:pt idx="0">
                  <c:v>2022年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0.0573230100159095"/>
                  <c:y val="-0.03037205770690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04442488140005"/>
                  <c:y val="-0.02733485193621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图4!$B$2:$C$3</c:f>
              <c:strCache>
                <c:ptCount val="2"/>
                <c:pt idx="0">
                  <c:v>收入总计</c:v>
                </c:pt>
                <c:pt idx="1">
                  <c:v>支出总计</c:v>
                </c:pt>
              </c:strCache>
            </c:strRef>
          </c:cat>
          <c:val>
            <c:numRef>
              <c:f>图4!$B$5:$C$5</c:f>
              <c:numCache>
                <c:formatCode>General</c:formatCode>
                <c:ptCount val="2"/>
                <c:pt idx="0">
                  <c:v>137.27</c:v>
                </c:pt>
                <c:pt idx="1">
                  <c:v>137.27</c:v>
                </c:pt>
              </c:numCache>
            </c:numRef>
          </c:val>
        </c:ser>
        <c:dLbls>
          <c:showLegendKey val="0"/>
          <c:showVal val="0"/>
          <c:showCatName val="0"/>
          <c:showSerName val="0"/>
          <c:showPercent val="0"/>
          <c:showBubbleSize val="0"/>
        </c:dLbls>
        <c:gapWidth val="150"/>
        <c:axId val="7789352"/>
        <c:axId val="7789744"/>
      </c:barChart>
      <c:catAx>
        <c:axId val="7789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789744"/>
        <c:crosses val="autoZero"/>
        <c:auto val="1"/>
        <c:lblAlgn val="ctr"/>
        <c:lblOffset val="100"/>
        <c:noMultiLvlLbl val="0"/>
      </c:catAx>
      <c:valAx>
        <c:axId val="7789744"/>
        <c:scaling>
          <c:orientation val="minMax"/>
          <c:max val="150"/>
          <c:min val="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789352"/>
        <c:crosses val="autoZero"/>
        <c:crossBetween val="between"/>
        <c:majorUnit val="2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600" b="0" i="0" u="none" strike="noStrike" kern="1200" cap="none" spc="50" baseline="0">
              <a:solidFill>
                <a:schemeClr val="dk1"/>
              </a:solidFill>
              <a:latin typeface="+mn-lt"/>
              <a:ea typeface="+mn-ea"/>
              <a:cs typeface="+mn-cs"/>
            </a:defRPr>
          </a:pPr>
        </a:p>
      </c:txPr>
    </c:title>
    <c:autoTitleDeleted val="0"/>
    <c:plotArea>
      <c:layout/>
      <c:barChart>
        <c:barDir val="col"/>
        <c:grouping val="clustered"/>
        <c:varyColors val="0"/>
        <c:ser>
          <c:idx val="0"/>
          <c:order val="0"/>
          <c:tx>
            <c:strRef>
              <c:f>图5!$B$2</c:f>
              <c:strCache>
                <c:ptCount val="1"/>
                <c:pt idx="0">
                  <c:v>一般公共预算财政拨款支出决算变动情况</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0357781685934916"/>
                  <c:y val="-0.02721088435374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72450697495866"/>
                  <c:y val="-0.02116402116402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图5!$A$3:$A$4</c:f>
              <c:strCache>
                <c:ptCount val="2"/>
                <c:pt idx="0">
                  <c:v>2021年</c:v>
                </c:pt>
                <c:pt idx="1">
                  <c:v>2022年</c:v>
                </c:pt>
              </c:strCache>
            </c:strRef>
          </c:cat>
          <c:val>
            <c:numRef>
              <c:f>图5!$B$3:$B$4</c:f>
              <c:numCache>
                <c:formatCode>General</c:formatCode>
                <c:ptCount val="2"/>
                <c:pt idx="0">
                  <c:v>123.73</c:v>
                </c:pt>
                <c:pt idx="1">
                  <c:v>136.71</c:v>
                </c:pt>
              </c:numCache>
            </c:numRef>
          </c:val>
        </c:ser>
        <c:dLbls>
          <c:showLegendKey val="0"/>
          <c:showVal val="0"/>
          <c:showCatName val="0"/>
          <c:showSerName val="0"/>
          <c:showPercent val="0"/>
          <c:showBubbleSize val="0"/>
        </c:dLbls>
        <c:gapWidth val="150"/>
        <c:axId val="431699944"/>
        <c:axId val="444075504"/>
      </c:barChart>
      <c:catAx>
        <c:axId val="4316999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44075504"/>
        <c:crosses val="autoZero"/>
        <c:auto val="1"/>
        <c:lblAlgn val="ctr"/>
        <c:lblOffset val="100"/>
        <c:noMultiLvlLbl val="0"/>
      </c:catAx>
      <c:valAx>
        <c:axId val="44407550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431699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accent1">
          <a:alpha val="89000"/>
        </a:schemeClr>
      </a:solidFill>
      <a:prstDash val="solid"/>
      <a:round/>
    </a:ln>
    <a:effectLst/>
  </c:spPr>
  <c:txPr>
    <a:bodyPr/>
    <a:lstStyle/>
    <a:p>
      <a:pPr>
        <a:defRPr lang="zh-CN">
          <a:solidFill>
            <a:schemeClr val="dk1"/>
          </a:solidFill>
          <a:latin typeface="+mn-lt"/>
          <a:ea typeface="+mn-ea"/>
          <a:cs typeface="+mn-cs"/>
        </a:defRPr>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5018192288849"/>
          <c:y val="0.0123124339747988"/>
        </c:manualLayout>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dk1"/>
              </a:solidFill>
              <a:latin typeface="+mn-lt"/>
              <a:ea typeface="+mn-ea"/>
              <a:cs typeface="+mn-cs"/>
            </a:defRPr>
          </a:pPr>
        </a:p>
      </c:txPr>
    </c:title>
    <c:autoTitleDeleted val="0"/>
    <c:view3D>
      <c:rotX val="30"/>
      <c:rotY val="36"/>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832252337001045"/>
          <c:y val="0.241736072729326"/>
          <c:w val="0.824338247106877"/>
          <c:h val="0.589637932840579"/>
        </c:manualLayout>
      </c:layout>
      <c:pie3DChart>
        <c:varyColors val="1"/>
        <c:ser>
          <c:idx val="0"/>
          <c:order val="0"/>
          <c:tx>
            <c:strRef>
              <c:f>图6!$B$2</c:f>
              <c:strCache>
                <c:ptCount val="1"/>
                <c:pt idx="0">
                  <c:v>一般公共预算财政拨款支出决算结构</c:v>
                </c:pt>
              </c:strCache>
            </c:strRef>
          </c:tx>
          <c:explosion val="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3"/>
            <c:bubble3D val="0"/>
            <c:explosion val="24"/>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c:spPr>
          </c:dPt>
          <c:dLbls>
            <c:dLbl>
              <c:idx val="2"/>
              <c:layout>
                <c:manualLayout>
                  <c:x val="0.282479482224214"/>
                  <c:y val="-0.060654098735583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414730982442609"/>
                  <c:y val="-0.22721355204355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74275876844554"/>
                      <c:h val="0.12248599578319"/>
                    </c:manualLayout>
                  </c15:layout>
                </c:ext>
              </c:extLst>
            </c:dLbl>
            <c:dLbl>
              <c:idx val="4"/>
              <c:layout>
                <c:manualLayout>
                  <c:x val="0"/>
                  <c:y val="-0.049019852550086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115430462591483"/>
                  <c:y val="-0.061318652595811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118968829227481"/>
                  <c:y val="0.018631467747029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cat>
            <c:strRef>
              <c:f>图6!$A$3:$A$9</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图6!$B$3:$B$9</c:f>
              <c:numCache>
                <c:formatCode>General</c:formatCode>
                <c:ptCount val="7"/>
                <c:pt idx="3" c:formatCode="0.00%">
                  <c:v>0.778436105625046</c:v>
                </c:pt>
                <c:pt idx="4" c:formatCode="0.00%">
                  <c:v>0.138907175773535</c:v>
                </c:pt>
                <c:pt idx="5" c:formatCode="0.00%">
                  <c:v>0.0214322288055007</c:v>
                </c:pt>
                <c:pt idx="6" c:formatCode="0.00%">
                  <c:v>0.0612244897959184</c:v>
                </c:pt>
              </c:numCache>
            </c:numRef>
          </c:val>
        </c:ser>
        <c:dLbls>
          <c:showLegendKey val="0"/>
          <c:showVal val="0"/>
          <c:showCatName val="0"/>
          <c:showSerName val="0"/>
          <c:showPercent val="0"/>
          <c:showBubbleSize val="0"/>
        </c:dLbls>
      </c:pie3DChart>
      <c:spPr>
        <a:noFill/>
        <a:ln>
          <a:noFill/>
        </a:ln>
        <a:effectLst/>
      </c:spPr>
    </c:plotArea>
    <c:legend>
      <c:legendPos val="b"/>
      <c:layout>
        <c:manualLayout>
          <c:xMode val="edge"/>
          <c:yMode val="edge"/>
          <c:x val="0.128486190506066"/>
          <c:y val="0.883470665751843"/>
          <c:w val="0.692365367452322"/>
          <c:h val="0.105464327332527"/>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accent3"/>
      </a:solidFill>
      <a:prstDash val="solid"/>
      <a:round/>
    </a:ln>
    <a:effectLst/>
  </c:spPr>
  <c:txPr>
    <a:bodyPr/>
    <a:lstStyle/>
    <a:p>
      <a:pPr>
        <a:defRPr lang="zh-CN">
          <a:solidFill>
            <a:schemeClr val="dk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drawings/drawing1.xml><?xml version="1.0" encoding="utf-8"?>
<c:userShapes xmlns:c="http://schemas.openxmlformats.org/drawingml/2006/chart">
  <cdr:relSizeAnchor xmlns:cdr="http://schemas.openxmlformats.org/drawingml/2006/chartDrawing">
    <cdr:from>
      <cdr:x>0.81037</cdr:x>
      <cdr:y>0.04894</cdr:y>
    </cdr:from>
    <cdr:to>
      <cdr:x>0.99676</cdr:x>
      <cdr:y>0.12553</cdr:y>
    </cdr:to>
    <cdr:sp>
      <cdr:nvSpPr>
        <cdr:cNvPr id="2" name="矩形 1"/>
        <cdr:cNvSpPr/>
      </cdr:nvSpPr>
      <cdr:spPr xmlns:a="http://schemas.openxmlformats.org/drawingml/2006/main">
        <a:xfrm xmlns:a="http://schemas.openxmlformats.org/drawingml/2006/main">
          <a:off x="4762501" y="219075"/>
          <a:ext cx="1095375" cy="3429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b="1"/>
            <a:t>单位：万元</a:t>
          </a:r>
          <a:endParaRPr lang="zh-CN" altLang="en-US"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0.79708</cdr:x>
      <cdr:y>0.10023</cdr:y>
    </cdr:from>
    <cdr:to>
      <cdr:x>1</cdr:x>
      <cdr:y>0.17312</cdr:y>
    </cdr:to>
    <cdr:sp>
      <cdr:nvSpPr>
        <cdr:cNvPr id="2" name="矩形 1"/>
        <cdr:cNvSpPr/>
      </cdr:nvSpPr>
      <cdr:spPr xmlns:a="http://schemas.openxmlformats.org/drawingml/2006/main">
        <a:xfrm xmlns:a="http://schemas.openxmlformats.org/drawingml/2006/main">
          <a:off x="4414838" y="419100"/>
          <a:ext cx="1123950" cy="304800"/>
        </a:xfrm>
        <a:prstGeom xmlns:a="http://schemas.openxmlformats.org/drawingml/2006/main"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0.81216</cdr:x>
      <cdr:y>0.11111</cdr:y>
    </cdr:from>
    <cdr:to>
      <cdr:x>0.98927</cdr:x>
      <cdr:y>0.16327</cdr:y>
    </cdr:to>
    <cdr:sp>
      <cdr:nvSpPr>
        <cdr:cNvPr id="2" name="矩形 1"/>
        <cdr:cNvSpPr/>
      </cdr:nvSpPr>
      <cdr:spPr xmlns:a="http://schemas.openxmlformats.org/drawingml/2006/main">
        <a:xfrm xmlns:a="http://schemas.openxmlformats.org/drawingml/2006/main">
          <a:off x="4324351" y="466725"/>
          <a:ext cx="942975" cy="21907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7949</Words>
  <Characters>8403</Characters>
  <Lines>74</Lines>
  <Paragraphs>20</Paragraphs>
  <TotalTime>2</TotalTime>
  <ScaleCrop>false</ScaleCrop>
  <LinksUpToDate>false</LinksUpToDate>
  <CharactersWithSpaces>12364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陆陆</cp:lastModifiedBy>
  <cp:lastPrinted>2023-12-13T03:14:14Z</cp:lastPrinted>
  <dcterms:modified xsi:type="dcterms:W3CDTF">2023-12-13T03:14:23Z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CA83DACD51CD4650BA55329EBB31E561_12</vt:lpwstr>
  </property>
</Properties>
</file>