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475"/>
      <w:bookmarkStart w:id="3" w:name="_Toc15377425"/>
      <w:bookmarkStart w:id="4" w:name="_Toc15396597"/>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7194"/>
      <w:bookmarkStart w:id="8" w:name="_Toc15396476"/>
      <w:bookmarkStart w:id="9" w:name="_Toc15378442"/>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峨眉山市图书馆</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pStyle w:val="5"/>
        <w:spacing w:before="93"/>
      </w:pPr>
    </w:p>
    <w:p>
      <w:pPr>
        <w:pStyle w:val="5"/>
        <w:spacing w:before="93"/>
        <w:rPr>
          <w:rFonts w:hint="eastAsia" w:eastAsia="仿宋_GB2312"/>
          <w:b/>
          <w:bCs/>
          <w:sz w:val="52"/>
          <w:szCs w:val="52"/>
          <w:lang w:eastAsia="zh-CN"/>
        </w:rPr>
      </w:pPr>
    </w:p>
    <w:p>
      <w:pPr>
        <w:pStyle w:val="5"/>
        <w:spacing w:before="93"/>
        <w:rPr>
          <w:b/>
          <w:bCs/>
          <w:sz w:val="52"/>
          <w:szCs w:val="52"/>
        </w:rPr>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bookmarkStart w:id="68" w:name="_GoBack"/>
      <w:bookmarkEnd w:id="68"/>
    </w:p>
    <w:p>
      <w:pPr>
        <w:pStyle w:val="10"/>
        <w:rPr>
          <w:sz w:val="32"/>
          <w:szCs w:val="32"/>
        </w:rPr>
      </w:pPr>
      <w:r>
        <w:rPr>
          <w:rFonts w:hint="eastAsia"/>
          <w:sz w:val="32"/>
          <w:szCs w:val="32"/>
        </w:rPr>
        <w:t>公开时间：2023年1</w:t>
      </w:r>
      <w:r>
        <w:rPr>
          <w:rFonts w:hint="eastAsia"/>
          <w:sz w:val="32"/>
          <w:szCs w:val="32"/>
          <w:lang w:val="en-US" w:eastAsia="zh-CN"/>
        </w:rPr>
        <w:t>2</w:t>
      </w:r>
      <w:r>
        <w:rPr>
          <w:rFonts w:hint="eastAsia"/>
          <w:sz w:val="32"/>
          <w:szCs w:val="32"/>
        </w:rPr>
        <w:t xml:space="preserve">月 </w:t>
      </w:r>
      <w:r>
        <w:rPr>
          <w:rFonts w:hint="eastAsia"/>
          <w:sz w:val="32"/>
          <w:szCs w:val="32"/>
          <w:lang w:val="en-US" w:eastAsia="zh-CN"/>
        </w:rPr>
        <w:t>1</w:t>
      </w:r>
      <w:r>
        <w:rPr>
          <w:rFonts w:hint="eastAsia"/>
          <w:sz w:val="32"/>
          <w:szCs w:val="32"/>
        </w:rPr>
        <w:t>日</w:t>
      </w:r>
    </w:p>
    <w:p>
      <w:pPr>
        <w:rPr>
          <w:rFonts w:ascii="仿宋" w:hAnsi="仿宋" w:eastAsia="仿宋"/>
          <w:sz w:val="32"/>
          <w:szCs w:val="32"/>
        </w:rPr>
      </w:pPr>
    </w:p>
    <w:p>
      <w:pPr>
        <w:pStyle w:val="10"/>
        <w:adjustRightInd w:val="0"/>
        <w:snapToGrid w:val="0"/>
        <w:spacing w:before="0" w:line="440" w:lineRule="exact"/>
        <w:jc w:val="left"/>
        <w:rPr>
          <w:rFonts w:hint="eastAsia" w:eastAsia="仿宋" w:cstheme="minorBidi"/>
          <w:sz w:val="32"/>
          <w:szCs w:val="32"/>
          <w:lang w:val="en-US" w:eastAsia="zh-CN"/>
        </w:rPr>
      </w:pPr>
      <w:r>
        <w:rPr>
          <w:rFonts w:hint="eastAsia"/>
          <w:sz w:val="32"/>
          <w:szCs w:val="32"/>
        </w:rPr>
        <w:t>第一部分</w:t>
      </w:r>
      <w:r>
        <w:rPr>
          <w:sz w:val="32"/>
          <w:szCs w:val="32"/>
        </w:rPr>
        <w:t xml:space="preserve"> </w:t>
      </w:r>
      <w:r>
        <w:rPr>
          <w:rFonts w:hint="eastAsia"/>
          <w:sz w:val="32"/>
          <w:szCs w:val="32"/>
        </w:rPr>
        <w:t>单位概况</w:t>
      </w:r>
      <w:r>
        <w:rPr>
          <w:sz w:val="32"/>
          <w:szCs w:val="32"/>
        </w:rPr>
        <w:tab/>
      </w:r>
      <w:r>
        <w:rPr>
          <w:rFonts w:hint="eastAsia"/>
          <w:sz w:val="32"/>
          <w:szCs w:val="32"/>
          <w:lang w:val="en-US" w:eastAsia="zh-CN"/>
        </w:rPr>
        <w:t>1</w:t>
      </w:r>
    </w:p>
    <w:p>
      <w:pPr>
        <w:pStyle w:val="11"/>
        <w:adjustRightInd w:val="0"/>
        <w:snapToGrid w:val="0"/>
        <w:spacing w:line="440" w:lineRule="exact"/>
        <w:jc w:val="left"/>
        <w:rPr>
          <w:rFonts w:hint="eastAsia" w:ascii="仿宋" w:hAnsi="仿宋" w:eastAsia="仿宋"/>
          <w:sz w:val="32"/>
          <w:szCs w:val="32"/>
          <w:lang w:val="en-US" w:eastAsia="zh-CN"/>
        </w:rPr>
      </w:pPr>
      <w:r>
        <w:rPr>
          <w:rFonts w:hint="eastAsia" w:ascii="仿宋" w:hAnsi="仿宋" w:eastAsia="仿宋"/>
          <w:sz w:val="32"/>
          <w:szCs w:val="32"/>
        </w:rPr>
        <w:t>一、</w:t>
      </w:r>
      <w:r>
        <w:rPr>
          <w:rFonts w:hint="eastAsia" w:ascii="仿宋" w:hAnsi="仿宋" w:eastAsia="仿宋"/>
          <w:sz w:val="32"/>
          <w:szCs w:val="32"/>
          <w:lang w:eastAsia="zh-CN"/>
        </w:rPr>
        <w:t>职能职责</w:t>
      </w:r>
      <w:r>
        <w:rPr>
          <w:rFonts w:ascii="仿宋" w:hAnsi="仿宋" w:eastAsia="仿宋"/>
          <w:sz w:val="32"/>
          <w:szCs w:val="32"/>
        </w:rPr>
        <w:tab/>
      </w:r>
      <w:r>
        <w:rPr>
          <w:rFonts w:hint="eastAsia" w:ascii="仿宋" w:hAnsi="仿宋" w:eastAsia="仿宋"/>
          <w:sz w:val="32"/>
          <w:szCs w:val="32"/>
          <w:lang w:val="en-US" w:eastAsia="zh-CN"/>
        </w:rPr>
        <w:t>1</w:t>
      </w:r>
    </w:p>
    <w:p>
      <w:pPr>
        <w:pStyle w:val="11"/>
        <w:adjustRightInd w:val="0"/>
        <w:snapToGrid w:val="0"/>
        <w:spacing w:line="440" w:lineRule="exact"/>
        <w:jc w:val="left"/>
        <w:rPr>
          <w:rFonts w:hint="eastAsia" w:ascii="仿宋" w:hAnsi="仿宋" w:eastAsia="仿宋"/>
          <w:sz w:val="32"/>
          <w:szCs w:val="32"/>
          <w:lang w:val="en-US" w:eastAsia="zh-CN"/>
        </w:rPr>
      </w:pPr>
      <w:r>
        <w:rPr>
          <w:rFonts w:hint="eastAsia" w:ascii="仿宋" w:hAnsi="仿宋" w:eastAsia="仿宋"/>
          <w:sz w:val="32"/>
          <w:szCs w:val="32"/>
        </w:rPr>
        <w:t>二、</w:t>
      </w:r>
      <w:r>
        <w:rPr>
          <w:rFonts w:hint="eastAsia" w:ascii="仿宋" w:hAnsi="仿宋" w:eastAsia="仿宋"/>
          <w:sz w:val="32"/>
          <w:szCs w:val="32"/>
          <w:lang w:val="en-US" w:eastAsia="zh-CN"/>
        </w:rPr>
        <w:t>2022年重点工作情况</w:t>
      </w:r>
      <w:r>
        <w:rPr>
          <w:rFonts w:ascii="仿宋" w:hAnsi="仿宋" w:eastAsia="仿宋"/>
          <w:sz w:val="32"/>
          <w:szCs w:val="32"/>
        </w:rPr>
        <w:tab/>
      </w:r>
      <w:r>
        <w:rPr>
          <w:rFonts w:hint="eastAsia" w:ascii="仿宋" w:hAnsi="仿宋" w:eastAsia="仿宋"/>
          <w:sz w:val="32"/>
          <w:szCs w:val="32"/>
          <w:lang w:val="en-US" w:eastAsia="zh-CN"/>
        </w:rPr>
        <w:t>2</w:t>
      </w:r>
    </w:p>
    <w:p>
      <w:pPr>
        <w:pStyle w:val="10"/>
        <w:adjustRightInd w:val="0"/>
        <w:snapToGrid w:val="0"/>
        <w:spacing w:before="0" w:line="440" w:lineRule="exact"/>
        <w:jc w:val="left"/>
        <w:rPr>
          <w:rFonts w:hint="default" w:eastAsia="仿宋"/>
          <w:sz w:val="32"/>
          <w:szCs w:val="32"/>
          <w:lang w:val="en-US" w:eastAsia="zh-CN"/>
        </w:rPr>
      </w:pPr>
      <w:r>
        <w:rPr>
          <w:rFonts w:hint="eastAsia"/>
          <w:sz w:val="32"/>
          <w:szCs w:val="32"/>
        </w:rPr>
        <w:t>第二部分 2022年度单位决算情况说明</w:t>
      </w:r>
      <w:r>
        <w:rPr>
          <w:sz w:val="32"/>
          <w:szCs w:val="32"/>
        </w:rPr>
        <w:tab/>
      </w:r>
      <w:r>
        <w:rPr>
          <w:rFonts w:hint="eastAsia"/>
          <w:sz w:val="32"/>
          <w:szCs w:val="32"/>
          <w:lang w:val="en-US" w:eastAsia="zh-CN"/>
        </w:rPr>
        <w:t>10</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一、收入支出决算总体情况说明</w:t>
      </w:r>
      <w:r>
        <w:rPr>
          <w:rFonts w:ascii="仿宋" w:hAnsi="仿宋" w:eastAsia="仿宋"/>
          <w:sz w:val="32"/>
          <w:szCs w:val="32"/>
        </w:rPr>
        <w:tab/>
      </w:r>
      <w:r>
        <w:rPr>
          <w:rFonts w:hint="eastAsia" w:ascii="仿宋" w:hAnsi="仿宋" w:eastAsia="仿宋"/>
          <w:sz w:val="32"/>
          <w:szCs w:val="32"/>
          <w:lang w:val="en-US" w:eastAsia="zh-CN"/>
        </w:rPr>
        <w:t>10</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lang w:val="en-US" w:eastAsia="zh-CN"/>
        </w:rPr>
        <w:t>10</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lang w:val="en-US" w:eastAsia="zh-CN"/>
        </w:rPr>
        <w:t>11</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lang w:val="en-US" w:eastAsia="zh-CN"/>
        </w:rPr>
        <w:t>12</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lang w:val="en-US" w:eastAsia="zh-CN"/>
        </w:rPr>
        <w:t>13</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lang w:val="en-US" w:eastAsia="zh-CN"/>
        </w:rPr>
        <w:t>17</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hint="eastAsia" w:ascii="仿宋" w:hAnsi="仿宋" w:eastAsia="仿宋"/>
          <w:sz w:val="32"/>
          <w:szCs w:val="32"/>
          <w:lang w:val="en-US" w:eastAsia="zh-CN"/>
        </w:rPr>
        <w:t>18</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hint="eastAsia" w:ascii="仿宋" w:hAnsi="仿宋" w:eastAsia="仿宋"/>
          <w:sz w:val="32"/>
          <w:szCs w:val="32"/>
          <w:lang w:val="en-US" w:eastAsia="zh-CN"/>
        </w:rPr>
        <w:t>19</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hint="eastAsia" w:ascii="仿宋" w:hAnsi="仿宋" w:eastAsia="仿宋"/>
          <w:sz w:val="32"/>
          <w:szCs w:val="32"/>
          <w:lang w:val="en-US" w:eastAsia="zh-CN"/>
        </w:rPr>
        <w:t>19</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十、其他重要事项的情况说明</w:t>
      </w:r>
      <w:r>
        <w:rPr>
          <w:rFonts w:ascii="仿宋" w:hAnsi="仿宋" w:eastAsia="仿宋"/>
          <w:sz w:val="32"/>
          <w:szCs w:val="32"/>
        </w:rPr>
        <w:tab/>
      </w:r>
      <w:r>
        <w:rPr>
          <w:rFonts w:hint="eastAsia" w:ascii="仿宋" w:hAnsi="仿宋" w:eastAsia="仿宋"/>
          <w:sz w:val="32"/>
          <w:szCs w:val="32"/>
          <w:lang w:val="en-US" w:eastAsia="zh-CN"/>
        </w:rPr>
        <w:t>19</w:t>
      </w:r>
    </w:p>
    <w:p>
      <w:pPr>
        <w:pStyle w:val="10"/>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第三部分</w:t>
      </w:r>
      <w:r>
        <w:rPr>
          <w:sz w:val="32"/>
          <w:szCs w:val="32"/>
        </w:rPr>
        <w:t xml:space="preserve"> </w:t>
      </w:r>
      <w:r>
        <w:rPr>
          <w:rFonts w:hint="eastAsia"/>
          <w:sz w:val="32"/>
          <w:szCs w:val="32"/>
        </w:rPr>
        <w:t>名词解释</w:t>
      </w:r>
      <w:r>
        <w:rPr>
          <w:sz w:val="32"/>
          <w:szCs w:val="32"/>
        </w:rPr>
        <w:tab/>
      </w:r>
      <w:r>
        <w:rPr>
          <w:rFonts w:hint="eastAsia"/>
          <w:sz w:val="32"/>
          <w:szCs w:val="32"/>
          <w:lang w:val="en-US" w:eastAsia="zh-CN"/>
        </w:rPr>
        <w:t>21</w:t>
      </w:r>
    </w:p>
    <w:p>
      <w:pPr>
        <w:pStyle w:val="10"/>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第四部分</w:t>
      </w:r>
      <w:r>
        <w:rPr>
          <w:sz w:val="32"/>
          <w:szCs w:val="32"/>
        </w:rPr>
        <w:t xml:space="preserve"> </w:t>
      </w:r>
      <w:r>
        <w:rPr>
          <w:rFonts w:hint="eastAsia"/>
          <w:sz w:val="32"/>
          <w:szCs w:val="32"/>
        </w:rPr>
        <w:t>附件</w:t>
      </w:r>
      <w:r>
        <w:rPr>
          <w:sz w:val="32"/>
          <w:szCs w:val="32"/>
        </w:rPr>
        <w:tab/>
      </w:r>
      <w:r>
        <w:rPr>
          <w:rFonts w:hint="eastAsia"/>
          <w:sz w:val="32"/>
          <w:szCs w:val="32"/>
          <w:lang w:val="en-US" w:eastAsia="zh-CN"/>
        </w:rPr>
        <w:t>24</w:t>
      </w:r>
    </w:p>
    <w:p>
      <w:pPr>
        <w:pStyle w:val="10"/>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第五部分</w:t>
      </w:r>
      <w:r>
        <w:rPr>
          <w:sz w:val="32"/>
          <w:szCs w:val="32"/>
        </w:rPr>
        <w:t xml:space="preserve"> </w:t>
      </w:r>
      <w:r>
        <w:rPr>
          <w:rFonts w:hint="eastAsia"/>
          <w:sz w:val="32"/>
          <w:szCs w:val="32"/>
        </w:rPr>
        <w:t>附表</w:t>
      </w:r>
      <w:r>
        <w:rPr>
          <w:sz w:val="32"/>
          <w:szCs w:val="32"/>
        </w:rPr>
        <w:tab/>
      </w:r>
      <w:r>
        <w:rPr>
          <w:rFonts w:hint="eastAsia"/>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lang w:val="en-US" w:eastAsia="zh-CN"/>
        </w:rPr>
        <w:t>25</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lang w:val="en-US" w:eastAsia="zh-CN"/>
        </w:rPr>
        <w:t>25</w:t>
      </w:r>
    </w:p>
    <w:p>
      <w:pPr>
        <w:widowControl/>
        <w:adjustRightInd w:val="0"/>
        <w:snapToGrid w:val="0"/>
        <w:spacing w:line="440" w:lineRule="exact"/>
        <w:ind w:firstLine="1760" w:firstLineChars="550"/>
        <w:jc w:val="left"/>
        <w:rPr>
          <w:rFonts w:ascii="仿宋" w:hAnsi="仿宋" w:eastAsia="仿宋"/>
          <w:color w:val="0000FF"/>
          <w:sz w:val="32"/>
          <w:szCs w:val="3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spacing w:line="440" w:lineRule="exact"/>
        <w:jc w:val="left"/>
        <w:rPr>
          <w:rFonts w:ascii="仿宋" w:hAnsi="仿宋" w:eastAsia="仿宋"/>
          <w:bCs/>
          <w:kern w:val="44"/>
          <w:sz w:val="24"/>
        </w:rPr>
      </w:pPr>
      <w:bookmarkStart w:id="12" w:name="_Toc15396599"/>
      <w:bookmarkStart w:id="13" w:name="_Toc15377196"/>
    </w:p>
    <w:p>
      <w:pPr>
        <w:pStyle w:val="2"/>
        <w:jc w:val="center"/>
        <w:rPr>
          <w:rStyle w:val="25"/>
          <w:rFonts w:ascii="黑体" w:hAnsi="黑体" w:eastAsia="黑体"/>
          <w:b/>
          <w:bCs w:val="0"/>
        </w:rPr>
      </w:pPr>
      <w:bookmarkStart w:id="14" w:name="_Hlk146544157"/>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3"/>
        <w:numPr>
          <w:ilvl w:val="0"/>
          <w:numId w:val="1"/>
        </w:numPr>
        <w:rPr>
          <w:rFonts w:eastAsia="黑体"/>
          <w:highlight w:val="none"/>
        </w:rPr>
      </w:pPr>
      <w:bookmarkStart w:id="15" w:name="_Toc15377197"/>
      <w:bookmarkStart w:id="16" w:name="_Toc15396600"/>
      <w:r>
        <w:rPr>
          <w:rStyle w:val="26"/>
          <w:rFonts w:hint="eastAsia" w:ascii="黑体" w:hAnsi="黑体" w:eastAsia="黑体"/>
          <w:b w:val="0"/>
          <w:bCs w:val="0"/>
          <w:highlight w:val="none"/>
          <w:lang w:eastAsia="zh-CN"/>
        </w:rPr>
        <w:t>职能职责</w:t>
      </w:r>
    </w:p>
    <w:p>
      <w:pPr>
        <w:spacing w:line="700" w:lineRule="exact"/>
        <w:ind w:firstLine="663" w:firstLineChars="221"/>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峨眉山市图书馆为峨眉山市文化体育和旅游局下属的二级预算单位，为独立核算单位，属于全额财政拨款事业单位。设有行政办公室、馆长办公室、流通部（外借室、期刊阅览室、电子阅览室、艺术阅览室）、采编部、特藏参考咨询辅导部、非遗室（非物质文化遗产、地方文献）、文化共享工程办公室。编制总数5个，其中事业编制5个，现有在职人员5人。 其主要</w:t>
      </w:r>
      <w:r>
        <w:rPr>
          <w:rFonts w:hint="eastAsia" w:ascii="仿宋_GB2312" w:hAnsi="仿宋_GB2312" w:eastAsia="仿宋_GB2312" w:cs="仿宋_GB2312"/>
          <w:sz w:val="30"/>
          <w:szCs w:val="30"/>
        </w:rPr>
        <w:t>职责：提供报刊杂志阅览；图书采购、编目、整理、外借；举办各类展览、讲座、培训等；组织开展各类读书活动，普及科学文化知识，开展社会教育，提高群众文化素质，促进当地精神文明建设；收集、整理、挖掘地方文献资料；建成全国文化信息资源共享工程峨眉山市支中心，开展数字化信息服务；指导乡镇、社区图书室、农家书屋工作，为乡镇、社区图书室、农家书屋培训人员，并向乡镇、社区图书室、农家书屋配送文化资源和文化服务。</w:t>
      </w:r>
    </w:p>
    <w:p>
      <w:pPr>
        <w:pStyle w:val="3"/>
        <w:rPr>
          <w:rStyle w:val="26"/>
          <w:rFonts w:hint="eastAsia" w:ascii="黑体" w:hAnsi="黑体" w:eastAsia="黑体"/>
          <w:b w:val="0"/>
          <w:bCs w:val="0"/>
          <w:highlight w:val="none"/>
          <w:lang w:eastAsia="zh-CN"/>
        </w:rPr>
      </w:pPr>
      <w:r>
        <w:rPr>
          <w:rFonts w:hint="eastAsia" w:ascii="黑体" w:hAnsi="黑体" w:eastAsia="黑体"/>
          <w:b w:val="0"/>
        </w:rPr>
        <w:t>二、</w:t>
      </w:r>
      <w:r>
        <w:rPr>
          <w:rStyle w:val="26"/>
          <w:rFonts w:hint="eastAsia" w:ascii="黑体" w:hAnsi="黑体" w:eastAsia="黑体"/>
          <w:b w:val="0"/>
          <w:bCs w:val="0"/>
          <w:highlight w:val="none"/>
          <w:lang w:val="en-US" w:eastAsia="zh-CN"/>
        </w:rPr>
        <w:t>2022年重点工作情况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（一）加强党支部建设增强凝聚力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认真落实“三会一课”，每月召开支委会、党员大会，会前组织学习党章党规、峨眉山市委组织部印发的学习资料等内容；认真开展组织生活会，组织支部党员开展批评与自我批评，按个人自评、党员互评、民主测评、组织终评等程序开展民主评议党员工作，评出优秀党员两名：骆明军、杨艾，其余六名党员均为合格；开展春节、七一走访慰问老党员活动；组织在职党员到所在社区开展“双报到”活动，认领服务项目，开展志愿服务、义工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宋体"/>
          <w:sz w:val="28"/>
          <w:szCs w:val="28"/>
          <w:lang w:val="en-US" w:eastAsia="zh-CN"/>
        </w:rPr>
      </w:pPr>
      <w:r>
        <w:rPr>
          <w:rFonts w:hint="eastAsia" w:ascii="仿宋_GB2312" w:hAnsi="Times New Roman" w:eastAsia="仿宋_GB2312" w:cs="Times New Roman"/>
          <w:sz w:val="32"/>
          <w:szCs w:val="32"/>
          <w:lang w:val="en-US" w:eastAsia="zh-CN"/>
        </w:rPr>
        <w:t>同时积极开展“我为群众办实事”活动、主题党日活动，为支部建设凝心聚力。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（二）加强理论学习，转变工作作风</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坚持每周一的政治业务学习，充分利用政治业务学习时间、主题党日活动，组织党员干部认真学习贯彻习近平系列讲话精神、中央文件精神和地方各级文件和会议精神。引导党员干部用新的理论知识武装头脑，并融入到工作、学习、生活中，转化为具体举措和实际行动，改进工作作风，提高工作效率和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（三）加强党风廉政建设，提高防腐拒变能力</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党风廉政建设工作一直是图书馆党建工作的重点。通过组织支部党员干部学习党章、党规；学习习近平在十九届中央纪委六次全会上发表的重要讲话；学习《习近平谈家风家教》；学习“90后”村支书立克拢拢、罗从兵同志先进事迹等，不断提高政治素养，自觉遵守党纪国法，遵守廉洁自律的各项规定，引导党员干部从爱党、爱国、爱单位、爱自己的基本要求做起，自觉抵制腐败和作风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（四）贯彻落实意识形态工作</w:t>
      </w:r>
    </w:p>
    <w:p>
      <w:pPr>
        <w:numPr>
          <w:ilvl w:val="0"/>
          <w:numId w:val="0"/>
        </w:numPr>
        <w:ind w:firstLine="560"/>
        <w:jc w:val="left"/>
        <w:rPr>
          <w:rFonts w:hint="eastAsia"/>
          <w:sz w:val="28"/>
          <w:szCs w:val="28"/>
          <w:lang w:val="en-US" w:eastAsia="zh-CN"/>
        </w:rPr>
      </w:pPr>
      <w:r>
        <w:rPr>
          <w:rFonts w:hint="eastAsia" w:ascii="仿宋_GB2312" w:hAnsi="Times New Roman" w:eastAsia="仿宋_GB2312" w:cs="Times New Roman"/>
          <w:sz w:val="32"/>
          <w:szCs w:val="32"/>
          <w:lang w:val="en-US" w:eastAsia="zh-CN"/>
        </w:rPr>
        <w:t>图书馆高度重视意识形态工作，并加强阵地管理。今年我们利用宣传栏、LED屏、微信公众号等宣传社会主义核心价值观、双创、防诈骗、安全生产等内容，宣传社会主旋律，掌握意识形态主导权，占领意识形态舆论阵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二、业务工作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图书馆业务工作就是要充分发挥图书馆职能，提供文化服务，促进人民</w:t>
      </w:r>
      <w:r>
        <w:rPr>
          <w:rFonts w:hint="eastAsia" w:ascii="仿宋_GB2312" w:hAnsi="Times New Roman" w:eastAsia="仿宋_GB2312" w:cs="Times New Roman"/>
          <w:sz w:val="32"/>
          <w:szCs w:val="32"/>
          <w:lang w:val="en-US" w:eastAsia="zh-CN"/>
        </w:rPr>
        <w:fldChar w:fldCharType="begin"/>
      </w:r>
      <w:r>
        <w:rPr>
          <w:rFonts w:hint="eastAsia" w:ascii="仿宋_GB2312" w:hAnsi="Times New Roman" w:eastAsia="仿宋_GB2312" w:cs="Times New Roman"/>
          <w:sz w:val="32"/>
          <w:szCs w:val="32"/>
          <w:lang w:val="en-US" w:eastAsia="zh-CN"/>
        </w:rPr>
        <w:instrText xml:space="preserve"> HYPERLINK "http://www.so.com/s?q=%E7%BE%A4%E4%BC%97%E6%96%87%E5%8C%96&amp;ie=utf-8&amp;src=wenda_link" </w:instrText>
      </w:r>
      <w:r>
        <w:rPr>
          <w:rFonts w:hint="eastAsia" w:ascii="仿宋_GB2312" w:hAnsi="Times New Roman" w:eastAsia="仿宋_GB2312" w:cs="Times New Roman"/>
          <w:sz w:val="32"/>
          <w:szCs w:val="32"/>
          <w:lang w:val="en-US" w:eastAsia="zh-CN"/>
        </w:rPr>
        <w:fldChar w:fldCharType="separate"/>
      </w:r>
      <w:r>
        <w:rPr>
          <w:rFonts w:hint="eastAsia" w:ascii="仿宋_GB2312" w:hAnsi="Times New Roman" w:eastAsia="仿宋_GB2312" w:cs="Times New Roman"/>
          <w:sz w:val="32"/>
          <w:szCs w:val="32"/>
          <w:lang w:val="en-US" w:eastAsia="zh-CN"/>
        </w:rPr>
        <w:t>群众文化</w:t>
      </w:r>
      <w:r>
        <w:rPr>
          <w:rFonts w:hint="eastAsia" w:ascii="仿宋_GB2312" w:hAnsi="Times New Roman" w:eastAsia="仿宋_GB2312" w:cs="Times New Roman"/>
          <w:sz w:val="32"/>
          <w:szCs w:val="32"/>
          <w:lang w:val="en-US" w:eastAsia="zh-CN"/>
        </w:rPr>
        <w:fldChar w:fldCharType="end"/>
      </w:r>
      <w:r>
        <w:rPr>
          <w:rFonts w:hint="eastAsia" w:ascii="仿宋_GB2312" w:hAnsi="Times New Roman" w:eastAsia="仿宋_GB2312" w:cs="Times New Roman"/>
          <w:sz w:val="32"/>
          <w:szCs w:val="32"/>
          <w:lang w:val="en-US" w:eastAsia="zh-CN"/>
        </w:rPr>
        <w:t>素养提高，发挥社会教育功能，提升群众的各种知识技术水平。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（一）传统服务工作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1、按照计划分批采购2022年新书，并对新采购图书进行分类、编目、入库、上架，同时及时做好馆藏图书的流通、整理、修补等工作。今年</w:t>
      </w:r>
      <w:r>
        <w:rPr>
          <w:rFonts w:hint="eastAsia" w:ascii="仿宋_GB2312" w:hAnsi="Times New Roman" w:eastAsia="仿宋_GB2312" w:cs="Times New Roman"/>
          <w:color w:val="auto"/>
          <w:sz w:val="32"/>
          <w:szCs w:val="32"/>
          <w:lang w:val="en-US" w:eastAsia="zh-CN"/>
        </w:rPr>
        <w:t>图书馆新购图书</w:t>
      </w:r>
      <w:r>
        <w:rPr>
          <w:rFonts w:hint="eastAsia" w:ascii="仿宋_GB2312" w:cs="Times New Roman"/>
          <w:color w:val="auto"/>
          <w:sz w:val="32"/>
          <w:szCs w:val="32"/>
          <w:lang w:val="en-US" w:eastAsia="zh-CN"/>
        </w:rPr>
        <w:t>1165</w:t>
      </w:r>
      <w:r>
        <w:rPr>
          <w:rFonts w:hint="eastAsia" w:ascii="仿宋_GB2312" w:hAnsi="Times New Roman" w:eastAsia="仿宋_GB2312" w:cs="Times New Roman"/>
          <w:color w:val="auto"/>
          <w:sz w:val="32"/>
          <w:szCs w:val="32"/>
          <w:lang w:val="en-US" w:eastAsia="zh-CN"/>
        </w:rPr>
        <w:t>册，</w:t>
      </w:r>
      <w:r>
        <w:rPr>
          <w:rFonts w:hint="eastAsia" w:ascii="仿宋_GB2312" w:hAnsi="Times New Roman" w:eastAsia="仿宋_GB2312" w:cs="Times New Roman"/>
          <w:sz w:val="32"/>
          <w:szCs w:val="32"/>
          <w:lang w:val="en-US" w:eastAsia="zh-CN"/>
        </w:rPr>
        <w:t>累计外借图书30085册。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2、装订2021年报刊，征订2023年报刊，并及时对每天到馆报刊进行登记、上架，方便读者借阅。2022年，装订过刊255册，</w:t>
      </w:r>
      <w:r>
        <w:rPr>
          <w:rFonts w:hint="eastAsia" w:ascii="仿宋_GB2312" w:hAnsi="Times New Roman" w:eastAsia="仿宋_GB2312" w:cs="Times New Roman"/>
          <w:color w:val="auto"/>
          <w:sz w:val="32"/>
          <w:szCs w:val="32"/>
          <w:lang w:val="en-US" w:eastAsia="zh-CN"/>
        </w:rPr>
        <w:t>征订报纸4</w:t>
      </w:r>
      <w:r>
        <w:rPr>
          <w:rFonts w:hint="eastAsia" w:ascii="仿宋_GB2312" w:cs="Times New Roman"/>
          <w:color w:val="auto"/>
          <w:sz w:val="32"/>
          <w:szCs w:val="32"/>
          <w:lang w:val="en-US" w:eastAsia="zh-CN"/>
        </w:rPr>
        <w:t>3</w:t>
      </w:r>
      <w:r>
        <w:rPr>
          <w:rFonts w:hint="eastAsia" w:ascii="仿宋_GB2312" w:hAnsi="Times New Roman" w:eastAsia="仿宋_GB2312" w:cs="Times New Roman"/>
          <w:color w:val="auto"/>
          <w:sz w:val="32"/>
          <w:szCs w:val="32"/>
          <w:lang w:val="en-US" w:eastAsia="zh-CN"/>
        </w:rPr>
        <w:t>种，期刊1</w:t>
      </w:r>
      <w:r>
        <w:rPr>
          <w:rFonts w:hint="eastAsia" w:ascii="仿宋_GB2312" w:cs="Times New Roman"/>
          <w:color w:val="auto"/>
          <w:sz w:val="32"/>
          <w:szCs w:val="32"/>
          <w:lang w:val="en-US" w:eastAsia="zh-CN"/>
        </w:rPr>
        <w:t>69</w:t>
      </w:r>
      <w:r>
        <w:rPr>
          <w:rFonts w:hint="eastAsia" w:ascii="仿宋_GB2312" w:hAnsi="Times New Roman" w:eastAsia="仿宋_GB2312" w:cs="Times New Roman"/>
          <w:color w:val="auto"/>
          <w:sz w:val="32"/>
          <w:szCs w:val="32"/>
          <w:lang w:val="en-US" w:eastAsia="zh-CN"/>
        </w:rPr>
        <w:t>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3、对办公室、财务室资料进行完善、归档。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4、做好馆藏资料及地方文献的收藏、查询服务。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cs="Times New Roman"/>
          <w:color w:val="auto"/>
          <w:sz w:val="32"/>
          <w:szCs w:val="32"/>
          <w:lang w:val="en-US" w:eastAsia="zh-CN"/>
        </w:rPr>
        <w:t>5、</w:t>
      </w:r>
      <w:r>
        <w:rPr>
          <w:rFonts w:hint="eastAsia" w:ascii="仿宋_GB2312" w:hAnsi="Times New Roman" w:eastAsia="仿宋_GB2312" w:cs="Times New Roman"/>
          <w:sz w:val="32"/>
          <w:szCs w:val="32"/>
          <w:lang w:val="en-US" w:eastAsia="zh-CN"/>
        </w:rPr>
        <w:t>举办分馆、特色书屋管理员培训班二期，对峨眉山市图书馆部分分馆、特色书屋新进管理员进行专门培训。同时对不定期到馆的图书管理员进行一对一业务培训。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w:t>
      </w:r>
      <w:r>
        <w:rPr>
          <w:rFonts w:hint="eastAsia" w:ascii="仿宋_GB2312" w:cs="Times New Roman"/>
          <w:color w:val="auto"/>
          <w:sz w:val="32"/>
          <w:szCs w:val="32"/>
          <w:lang w:val="en-US" w:eastAsia="zh-CN"/>
        </w:rPr>
        <w:t>2022年累计</w:t>
      </w:r>
      <w:r>
        <w:rPr>
          <w:rFonts w:hint="eastAsia" w:ascii="仿宋_GB2312" w:hAnsi="Times New Roman" w:eastAsia="仿宋_GB2312" w:cs="Times New Roman"/>
          <w:color w:val="auto"/>
          <w:sz w:val="32"/>
          <w:szCs w:val="32"/>
          <w:lang w:val="en-US" w:eastAsia="zh-CN"/>
        </w:rPr>
        <w:t>办理新证</w:t>
      </w:r>
      <w:r>
        <w:rPr>
          <w:rFonts w:hint="eastAsia" w:ascii="仿宋_GB2312" w:cs="Times New Roman"/>
          <w:color w:val="auto"/>
          <w:sz w:val="32"/>
          <w:szCs w:val="32"/>
          <w:lang w:val="en-US" w:eastAsia="zh-CN"/>
        </w:rPr>
        <w:t>1177</w:t>
      </w:r>
      <w:r>
        <w:rPr>
          <w:rFonts w:hint="eastAsia" w:ascii="仿宋_GB2312" w:hAnsi="Times New Roman" w:eastAsia="仿宋_GB2312" w:cs="Times New Roman"/>
          <w:color w:val="auto"/>
          <w:sz w:val="32"/>
          <w:szCs w:val="32"/>
          <w:lang w:val="en-US" w:eastAsia="zh-CN"/>
        </w:rPr>
        <w:t>个，</w:t>
      </w:r>
      <w:r>
        <w:rPr>
          <w:rFonts w:hint="eastAsia" w:ascii="仿宋_GB2312" w:cs="Times New Roman"/>
          <w:color w:val="auto"/>
          <w:sz w:val="32"/>
          <w:szCs w:val="32"/>
          <w:lang w:val="en-US" w:eastAsia="zh-CN"/>
        </w:rPr>
        <w:t>现</w:t>
      </w:r>
      <w:r>
        <w:rPr>
          <w:rFonts w:hint="eastAsia" w:ascii="仿宋_GB2312" w:hAnsi="Times New Roman" w:eastAsia="仿宋_GB2312" w:cs="Times New Roman"/>
          <w:color w:val="auto"/>
          <w:sz w:val="32"/>
          <w:szCs w:val="32"/>
          <w:lang w:val="en-US" w:eastAsia="zh-CN"/>
        </w:rPr>
        <w:t>有</w:t>
      </w:r>
      <w:r>
        <w:rPr>
          <w:rFonts w:hint="eastAsia" w:ascii="仿宋_GB2312" w:cs="Times New Roman"/>
          <w:color w:val="auto"/>
          <w:sz w:val="32"/>
          <w:szCs w:val="32"/>
          <w:lang w:val="en-US" w:eastAsia="zh-CN"/>
        </w:rPr>
        <w:t>有</w:t>
      </w:r>
      <w:r>
        <w:rPr>
          <w:rFonts w:hint="eastAsia" w:ascii="仿宋_GB2312" w:hAnsi="Times New Roman" w:eastAsia="仿宋_GB2312" w:cs="Times New Roman"/>
          <w:color w:val="auto"/>
          <w:sz w:val="32"/>
          <w:szCs w:val="32"/>
          <w:lang w:val="en-US" w:eastAsia="zh-CN"/>
        </w:rPr>
        <w:t>效证件共计</w:t>
      </w:r>
      <w:r>
        <w:rPr>
          <w:rFonts w:hint="eastAsia" w:ascii="仿宋_GB2312" w:cs="Times New Roman"/>
          <w:color w:val="auto"/>
          <w:sz w:val="32"/>
          <w:szCs w:val="32"/>
          <w:lang w:val="en-US" w:eastAsia="zh-CN"/>
        </w:rPr>
        <w:t>597</w:t>
      </w:r>
      <w:r>
        <w:rPr>
          <w:rFonts w:hint="eastAsia" w:ascii="仿宋_GB2312" w:hAnsi="Times New Roman" w:eastAsia="仿宋_GB2312" w:cs="Times New Roman"/>
          <w:sz w:val="32"/>
          <w:szCs w:val="32"/>
          <w:lang w:val="en-US" w:eastAsia="zh-CN"/>
        </w:rPr>
        <w:t>7个；接待到馆读者132935人。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（二）全民阅读推广活动</w:t>
      </w:r>
    </w:p>
    <w:p>
      <w:pPr>
        <w:numPr>
          <w:ilvl w:val="0"/>
          <w:numId w:val="0"/>
        </w:num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1、2022年2月17日，我馆在峨眉山市图书馆览虫书屋举办新春读书会，万仕君主讲“话《边城援彝日记》”；同日，举办“峨眉诗歌新春朗诵会”，旗袍协会会员及诗歌朗诵爱好者20余人参与此次活动。</w:t>
      </w:r>
    </w:p>
    <w:p>
      <w:pPr>
        <w:numPr>
          <w:ilvl w:val="0"/>
          <w:numId w:val="0"/>
        </w:num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2、2022年4月22日，与草堂公馆联合开展“书香润童心 阅读伴成长”活动，带领孩子们参观图书馆，了解图书馆，并体验绘本阅读，激发孩子们阅读的兴趣。</w:t>
      </w:r>
    </w:p>
    <w:p>
      <w:pPr>
        <w:numPr>
          <w:ilvl w:val="0"/>
          <w:numId w:val="0"/>
        </w:num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3、2022年3月9日-3月11日，我馆诚邀广大读者参加2022全国馆配商联盟春季线上图采会，在线选书。本次读者选书400余册。</w:t>
      </w:r>
    </w:p>
    <w:p>
      <w:pPr>
        <w:numPr>
          <w:ilvl w:val="0"/>
          <w:numId w:val="0"/>
        </w:num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4、2022年4月23日至5月5日，与新华文轩峨眉山店联合开展“你选书 我买单”活动。本次活动参与读者79人，选购图书152册，7388.54元。</w:t>
      </w:r>
    </w:p>
    <w:p>
      <w:pPr>
        <w:numPr>
          <w:ilvl w:val="0"/>
          <w:numId w:val="2"/>
        </w:num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召开庆“七.一”迎党的“二十大”邹荣武《峨眉情缘》地方文献研讨会。</w:t>
      </w:r>
    </w:p>
    <w:p>
      <w:pPr>
        <w:numPr>
          <w:ilvl w:val="0"/>
          <w:numId w:val="0"/>
        </w:num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6、在峨眉山市图书馆微信公众号通过本周图书推荐、绘本推荐、知识讲堂、线上展览等向读者推广数字资源。今年累计推出80期，207条推文。</w:t>
      </w:r>
    </w:p>
    <w:p>
      <w:pPr>
        <w:numPr>
          <w:ilvl w:val="0"/>
          <w:numId w:val="0"/>
        </w:numPr>
        <w:ind w:left="630" w:leftChars="0"/>
        <w:rPr>
          <w:rFonts w:hint="eastAsia"/>
          <w:b/>
          <w:bCs/>
          <w:sz w:val="28"/>
          <w:szCs w:val="28"/>
          <w:lang w:val="en-US" w:eastAsia="zh-CN"/>
        </w:rPr>
      </w:pPr>
      <w:r>
        <w:rPr>
          <w:rFonts w:hint="eastAsia"/>
          <w:b/>
          <w:bCs/>
          <w:sz w:val="28"/>
          <w:szCs w:val="28"/>
          <w:lang w:val="en-US" w:eastAsia="zh-CN"/>
        </w:rPr>
        <w:t>（三）其他文化活动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1、春节前夕，峨眉山市图书馆开展春联暖冬行动，共举办六场次，免费向老百姓写春联、写福字、讲解春联知识，推广春联文化，让百姓在愉悦的氛围中享受了文化的熏陶，感受到社会的温暖。</w:t>
      </w:r>
    </w:p>
    <w:p>
      <w:pPr>
        <w:numPr>
          <w:ilvl w:val="0"/>
          <w:numId w:val="0"/>
        </w:num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2、2022年2月14日，2022年新春农民书画展暨第七届农民书画展在峨眉山市农民美术馆举行。15日、16日分别在罗目、双福巡展。</w:t>
      </w:r>
    </w:p>
    <w:p>
      <w:pPr>
        <w:numPr>
          <w:ilvl w:val="0"/>
          <w:numId w:val="0"/>
        </w:num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3、7月28日，组织书画家林松、罗友彦、彭永泉、刘成明、易树生等到解放军驻峨某部进行八一慰问。</w:t>
      </w:r>
    </w:p>
    <w:p>
      <w:pPr>
        <w:numPr>
          <w:ilvl w:val="0"/>
          <w:numId w:val="0"/>
        </w:num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4、8月1日，峨眉山市图书馆到符溪镇周塘中队参加军地共建座谈会，并为驻峨官兵带去了书画作品《沁园春.雪》、《报春图》，以示慰问。</w:t>
      </w:r>
    </w:p>
    <w:p>
      <w:pPr>
        <w:numPr>
          <w:ilvl w:val="0"/>
          <w:numId w:val="0"/>
        </w:num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5、2022年9月30日至2022年10月30日，在高桥里举办“庆国庆·喜迎‘二十大’”书画展览。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三、评估工作</w:t>
      </w:r>
    </w:p>
    <w:p>
      <w:pPr>
        <w:numPr>
          <w:ilvl w:val="0"/>
          <w:numId w:val="0"/>
        </w:num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今年我馆参加全国公共图书馆第七次评估定级工作，已圆满完成所有评估指标项的资料收集、整理、上报，目前正在省第七次评估专家组评审中。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四、安全工作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1、充分利用周一政治业务学习时间，学习相关文件、强调安全生产工作，提高全体干部职工的安全责任意识，认真排查安全隐患，对出现的问题及时整改，特别是加强疫情防控工作责任意识，确保场馆安全。</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积极开展安全生产宣传活动。利用LED屏滚动播放安全生产宣传标语，营造我馆安全宣传的浓厚气氛；利用峨眉山市图书馆公众号发送推文，宣传图书馆安全小常识；组织全馆干部职工集中观看《生命重于泰山》；特邀乐山政安消防警官在图书馆举办消防知识培训并进行灭火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3、常态化开展安全检查工作。不定期对我馆消防设施、疏散通道、用电安全进行检查，查看消防器材是否完整、是否过期、逃生通道是否通畅、用电是否安全等，全年安全检查 10 次；聘请专业电工对我馆电路进行安全检查。</w:t>
      </w:r>
    </w:p>
    <w:p>
      <w:pPr>
        <w:pStyle w:val="5"/>
        <w:ind w:firstLine="640" w:firstLineChars="200"/>
        <w:rPr>
          <w:rFonts w:hint="default"/>
          <w:lang w:val="en-US" w:eastAsia="zh-CN"/>
        </w:rPr>
      </w:pPr>
      <w:r>
        <w:rPr>
          <w:rFonts w:hint="eastAsia" w:ascii="仿宋_GB2312" w:cs="Times New Roman"/>
          <w:sz w:val="32"/>
          <w:szCs w:val="32"/>
          <w:lang w:val="en-US" w:eastAsia="zh-CN"/>
        </w:rPr>
        <w:t>4、</w:t>
      </w:r>
      <w:r>
        <w:rPr>
          <w:rFonts w:hint="eastAsia" w:ascii="仿宋_GB2312" w:hAnsi="Times New Roman" w:eastAsia="仿宋_GB2312" w:cs="Times New Roman"/>
          <w:sz w:val="32"/>
          <w:szCs w:val="32"/>
          <w:lang w:val="en-US" w:eastAsia="zh-CN"/>
        </w:rPr>
        <w:t>疫情防控工作常态化管理。疫情防控期间，每天对图书馆馆舍进行杀毒处理，</w:t>
      </w:r>
      <w:r>
        <w:rPr>
          <w:rFonts w:hint="eastAsia" w:ascii="仿宋_GB2312" w:cs="Times New Roman"/>
          <w:sz w:val="32"/>
          <w:szCs w:val="32"/>
          <w:lang w:val="en-US" w:eastAsia="zh-CN"/>
        </w:rPr>
        <w:t>所有读者严格按照疫情防控措施扫码、测体温、登记后方可入馆。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五、非遗传承与保护工作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1、2022年11月2日，四川省非物质文化遗产项目评估专家组到峨眉山市图书馆对我馆保护项目四川省非物质文化遗产峨眉山指画进行实地评估，为峨眉山指画的下一步发展提出了方向和目标。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2、4月29日峨眉山市图书馆馆长林栩带弟子一行参加第二届“峨眉金顶 佛国花海”峨眉山杜鹃花节，向旅客展示四川省非物质文化遗产峨眉山指画。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3、6月10日，峨眉山市图书馆在高桥镇福田村新时代文明实践基地，开展“魅力非遗 诗画田园”研学活动。四川省级“非遗”项目“峨眉山指画”传承人、峨眉山市图书馆馆长林栩率弟子易树生为前来该基地参加活动的60多名小学生进行了“非遗”推广教学，并指导同学们完成了“指画”创作体验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4、2022年6月11日至7月31日，峨眉山市图书馆在峨眉名人馆举办“四川省非物质文化遗产峨眉山指画传承人作品展”。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5、国庆期间，四川省级“非遗”“峨眉山指画”传承人、峨眉山市图书馆馆长林栩携弟子在峨眉山市名人馆开展四川省非物质文化遗产峨眉山指画公益活动。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2022年10月3日，四川省级“非遗”“峨眉山指画”传承人、峨眉山市图书馆馆长林栩携弟子走进了峨眉山市名人馆，举办“峨眉山指画”讲党史展览，向市民和游人展出了30幅展现中国共产党辉煌历史的“峨眉山指画”作品，以“画”说党史，用独特的表现形式展现中国共产党“红色历程”中的重大历史事件和伟人，歌颂伟大的中国共产党，向党的二十大献礼，受到了广大观众的好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六、积极参加全市中心工作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（一）扶贫工作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Times New Roman" w:eastAsia="仿宋_GB2312" w:cs="Times New Roman"/>
          <w:sz w:val="32"/>
          <w:szCs w:val="32"/>
          <w:lang w:val="en-US" w:eastAsia="zh-CN"/>
        </w:rPr>
        <w:t>2022年,我馆全体职工共计7次到罗目镇郭坪村扶贫，11次到龙池镇桃源村扶贫，深入到结对帮扶的脱贫户家中宣传相关政策，了解生产生活情况，协助搞好家庭卫生，确保脱贫户“两不愁，三保障”。</w:t>
      </w:r>
      <w:r>
        <w:rPr>
          <w:rFonts w:hint="eastAsia"/>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创文工作</w:t>
      </w:r>
    </w:p>
    <w:p>
      <w:pPr>
        <w:pStyle w:val="5"/>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图书馆作为全市创建文明城市的一个必检点，按照要求做好了点位宣传、志愿者服务站、环境卫生等工作，确保图书馆场馆在创文工作中不扣分。</w:t>
      </w:r>
    </w:p>
    <w:p>
      <w:pPr>
        <w:pStyle w:val="5"/>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同时，我馆按照市文体旅局统一安排，积极参与到责任片区工作中，协助社区做好了疫情防控宣传、市容市貌整治等，并深入到责任片区拿起扫把、撮箕，打扫卫生，处理各个卫生死角，为我市创文工作尽自己的一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七、获得的奖项和荣誉</w:t>
      </w:r>
    </w:p>
    <w:p>
      <w:pPr>
        <w:pStyle w:val="5"/>
        <w:numPr>
          <w:ilvl w:val="0"/>
          <w:numId w:val="0"/>
        </w:numPr>
        <w:ind w:firstLine="640" w:firstLineChars="200"/>
        <w:rPr>
          <w:rFonts w:hint="eastAsia" w:ascii="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1、林栩被乐山市委人才工作领导小组办公室评为“嘉州文旅领军人才”</w:t>
      </w:r>
      <w:r>
        <w:rPr>
          <w:rFonts w:hint="eastAsia" w:ascii="仿宋_GB2312" w:cs="Times New Roman"/>
          <w:kern w:val="2"/>
          <w:sz w:val="32"/>
          <w:szCs w:val="32"/>
          <w:lang w:val="en-US" w:eastAsia="zh-CN" w:bidi="ar-SA"/>
        </w:rPr>
        <w:t>。</w:t>
      </w:r>
    </w:p>
    <w:p>
      <w:pPr>
        <w:pStyle w:val="5"/>
        <w:numPr>
          <w:ilvl w:val="0"/>
          <w:numId w:val="0"/>
        </w:numPr>
        <w:ind w:firstLine="640" w:firstLineChars="200"/>
        <w:rPr>
          <w:rFonts w:hint="default" w:ascii="仿宋_GB2312" w:cs="Times New Roman"/>
          <w:kern w:val="2"/>
          <w:sz w:val="32"/>
          <w:szCs w:val="32"/>
          <w:lang w:val="en-US" w:eastAsia="zh-CN" w:bidi="ar-SA"/>
        </w:rPr>
      </w:pPr>
      <w:r>
        <w:rPr>
          <w:rFonts w:hint="eastAsia" w:ascii="仿宋_GB2312" w:cs="Times New Roman"/>
          <w:kern w:val="2"/>
          <w:sz w:val="32"/>
          <w:szCs w:val="32"/>
          <w:lang w:val="en-US" w:eastAsia="zh-CN" w:bidi="ar-SA"/>
        </w:rPr>
        <w:t>2、2022年10月8日，在四川省农业农村厅、四川省文物局主办的天府农耕文明博物馆展品征集活动中，峨眉山市图书馆馆长林栩荣获“特别贡献奖”。</w:t>
      </w:r>
    </w:p>
    <w:p>
      <w:pPr>
        <w:spacing w:line="700" w:lineRule="exact"/>
        <w:ind w:firstLine="707" w:firstLineChars="221"/>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3、2022年11月8日，在乐山市文化广播电视和旅游局、乐山市教育局联合主办的乐山市第五届“沫若杯”全民阅读有奖征文活动中，峨眉山市图书馆荣获组织奖。</w:t>
      </w:r>
    </w:p>
    <w:p>
      <w:pPr>
        <w:spacing w:line="700" w:lineRule="exact"/>
        <w:ind w:firstLine="707" w:firstLineChars="221"/>
        <w:rPr>
          <w:rFonts w:hint="eastAsia" w:ascii="仿宋_GB2312" w:hAnsi="仿宋_GB2312" w:eastAsia="仿宋_GB2312" w:cs="仿宋_GB2312"/>
          <w:sz w:val="30"/>
          <w:szCs w:val="30"/>
        </w:rPr>
      </w:pPr>
      <w:r>
        <w:rPr>
          <w:rFonts w:hint="eastAsia" w:ascii="仿宋_GB2312" w:hAnsi="Times New Roman" w:eastAsia="仿宋_GB2312" w:cs="Times New Roman"/>
          <w:kern w:val="2"/>
          <w:sz w:val="32"/>
          <w:szCs w:val="32"/>
          <w:lang w:val="en-US" w:eastAsia="zh-CN" w:bidi="ar-SA"/>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p>
    <w:bookmarkEnd w:id="14"/>
    <w:bookmarkEnd w:id="15"/>
    <w:bookmarkEnd w:id="16"/>
    <w:p>
      <w:pPr>
        <w:spacing w:line="700" w:lineRule="exact"/>
        <w:ind w:firstLine="663" w:firstLineChars="221"/>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br w:type="page"/>
      </w:r>
    </w:p>
    <w:p>
      <w:pPr>
        <w:pStyle w:val="2"/>
        <w:ind w:right="440"/>
        <w:jc w:val="center"/>
        <w:rPr>
          <w:rStyle w:val="25"/>
          <w:rFonts w:ascii="黑体" w:hAnsi="黑体" w:eastAsia="黑体"/>
          <w:b w:val="0"/>
          <w:bCs/>
        </w:rPr>
      </w:pPr>
      <w:bookmarkStart w:id="17" w:name="_Toc15377204"/>
      <w:bookmarkStart w:id="18" w:name="_Toc15396602"/>
      <w:r>
        <w:rPr>
          <w:rFonts w:hint="eastAsia" w:ascii="黑体" w:hAnsi="黑体" w:eastAsia="黑体"/>
          <w:b w:val="0"/>
        </w:rPr>
        <w:t>第二部分 2022年度</w:t>
      </w:r>
      <w:r>
        <w:rPr>
          <w:rStyle w:val="25"/>
          <w:rFonts w:hint="eastAsia" w:ascii="黑体" w:hAnsi="黑体" w:eastAsia="黑体"/>
          <w:b w:val="0"/>
          <w:bCs/>
        </w:rPr>
        <w:t>单位决算情况说明</w:t>
      </w:r>
      <w:bookmarkEnd w:id="17"/>
      <w:bookmarkEnd w:id="18"/>
    </w:p>
    <w:p/>
    <w:p>
      <w:pPr>
        <w:pStyle w:val="24"/>
        <w:numPr>
          <w:ilvl w:val="0"/>
          <w:numId w:val="4"/>
        </w:numPr>
        <w:spacing w:line="600" w:lineRule="exact"/>
        <w:ind w:firstLineChars="0"/>
        <w:outlineLvl w:val="1"/>
        <w:rPr>
          <w:rStyle w:val="26"/>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9"/>
      <w:bookmarkEnd w:id="20"/>
    </w:p>
    <w:p>
      <w:pPr>
        <w:spacing w:line="700" w:lineRule="exact"/>
        <w:ind w:firstLine="707" w:firstLineChars="221"/>
        <w:rPr>
          <w:rFonts w:hint="eastAsia" w:ascii="仿宋_GB2312" w:hAnsi="仿宋_GB2312" w:eastAsia="仿宋_GB2312" w:cs="仿宋_GB2312"/>
          <w:sz w:val="30"/>
          <w:szCs w:val="30"/>
        </w:rPr>
      </w:pPr>
      <w:r>
        <w:rPr>
          <w:rFonts w:hint="eastAsia" w:ascii="仿宋" w:hAnsi="仿宋" w:eastAsia="仿宋"/>
          <w:sz w:val="32"/>
          <w:szCs w:val="32"/>
        </w:rPr>
        <w:t>2022年度收、支总计</w:t>
      </w:r>
      <w:r>
        <w:rPr>
          <w:rFonts w:ascii="仿宋" w:hAnsi="仿宋" w:eastAsia="仿宋"/>
          <w:sz w:val="32"/>
          <w:szCs w:val="32"/>
        </w:rPr>
        <w:t>118.36</w:t>
      </w:r>
      <w:r>
        <w:rPr>
          <w:rFonts w:hint="eastAsia" w:ascii="仿宋" w:hAnsi="仿宋" w:eastAsia="仿宋"/>
          <w:sz w:val="32"/>
          <w:szCs w:val="32"/>
        </w:rPr>
        <w:t>万元。与2021年相比，收、支总计各减少</w:t>
      </w:r>
      <w:r>
        <w:rPr>
          <w:rFonts w:ascii="仿宋" w:hAnsi="仿宋" w:eastAsia="仿宋"/>
          <w:sz w:val="32"/>
          <w:szCs w:val="32"/>
        </w:rPr>
        <w:t>19.08</w:t>
      </w:r>
      <w:r>
        <w:rPr>
          <w:rFonts w:hint="eastAsia" w:ascii="仿宋" w:hAnsi="仿宋" w:eastAsia="仿宋"/>
          <w:sz w:val="32"/>
          <w:szCs w:val="32"/>
        </w:rPr>
        <w:t>万元，下降</w:t>
      </w:r>
      <w:r>
        <w:rPr>
          <w:rFonts w:ascii="仿宋" w:hAnsi="仿宋" w:eastAsia="仿宋"/>
          <w:sz w:val="32"/>
          <w:szCs w:val="32"/>
        </w:rPr>
        <w:t>13.88%</w:t>
      </w:r>
      <w:r>
        <w:rPr>
          <w:rFonts w:hint="eastAsia" w:ascii="仿宋_GB2312" w:hAnsi="仿宋_GB2312" w:eastAsia="仿宋_GB2312" w:cs="仿宋_GB2312"/>
          <w:sz w:val="30"/>
          <w:szCs w:val="30"/>
        </w:rPr>
        <w:t>。主要变动原因是减少了业务经费和文化共享工程两个项目的经费。</w:t>
      </w:r>
    </w:p>
    <w:p>
      <w:pPr>
        <w:spacing w:line="700" w:lineRule="exact"/>
        <w:ind w:firstLine="663" w:firstLineChars="221"/>
        <w:rPr>
          <w:rFonts w:hint="eastAsia" w:ascii="仿宋_GB2312" w:hAnsi="仿宋_GB2312" w:eastAsia="仿宋_GB2312" w:cs="仿宋_GB2312"/>
          <w:sz w:val="30"/>
          <w:szCs w:val="30"/>
        </w:rPr>
      </w:pPr>
    </w:p>
    <w:p>
      <w:pPr>
        <w:pStyle w:val="5"/>
        <w:spacing w:before="93"/>
        <w:ind w:firstLine="300" w:firstLineChars="100"/>
      </w:pPr>
      <w:r>
        <w:drawing>
          <wp:inline distT="0" distB="0" distL="0" distR="0">
            <wp:extent cx="5229225" cy="40862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4"/>
        <w:numPr>
          <w:ilvl w:val="0"/>
          <w:numId w:val="4"/>
        </w:numPr>
        <w:spacing w:line="600" w:lineRule="exact"/>
        <w:ind w:firstLineChars="0"/>
        <w:outlineLvl w:val="1"/>
        <w:rPr>
          <w:rStyle w:val="26"/>
          <w:rFonts w:ascii="黑体" w:hAnsi="黑体" w:eastAsia="黑体"/>
          <w:b w:val="0"/>
        </w:rPr>
      </w:pPr>
      <w:bookmarkStart w:id="21" w:name="_Toc15396604"/>
      <w:bookmarkStart w:id="22" w:name="_Toc15377206"/>
      <w:r>
        <w:rPr>
          <w:rFonts w:hint="eastAsia" w:ascii="黑体" w:hAnsi="黑体" w:eastAsia="黑体"/>
          <w:sz w:val="32"/>
          <w:szCs w:val="32"/>
        </w:rPr>
        <w:t>收</w:t>
      </w:r>
      <w:r>
        <w:rPr>
          <w:rStyle w:val="26"/>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113.98</w:t>
      </w:r>
      <w:r>
        <w:rPr>
          <w:rFonts w:hint="eastAsia" w:ascii="仿宋" w:hAnsi="仿宋" w:eastAsia="仿宋"/>
          <w:sz w:val="32"/>
          <w:szCs w:val="32"/>
        </w:rPr>
        <w:t>万元，其中：一般公共预算财政拨款收入</w:t>
      </w:r>
      <w:r>
        <w:rPr>
          <w:rFonts w:ascii="仿宋" w:hAnsi="仿宋" w:eastAsia="仿宋"/>
          <w:sz w:val="32"/>
          <w:szCs w:val="32"/>
        </w:rPr>
        <w:t>113.98</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600" w:lineRule="exact"/>
        <w:ind w:firstLine="640" w:firstLineChars="200"/>
        <w:outlineLvl w:val="1"/>
        <w:rPr>
          <w:rFonts w:ascii="仿宋" w:hAnsi="仿宋" w:eastAsia="仿宋"/>
          <w:sz w:val="32"/>
          <w:szCs w:val="32"/>
        </w:rPr>
      </w:pPr>
    </w:p>
    <w:p>
      <w:pPr>
        <w:pStyle w:val="5"/>
        <w:spacing w:before="93"/>
      </w:pPr>
      <w:r>
        <w:rPr>
          <w:rFonts w:hint="eastAsia"/>
        </w:rPr>
        <w:t xml:space="preserve"> </w:t>
      </w:r>
      <w:r>
        <w:t xml:space="preserve">  </w:t>
      </w:r>
      <w:r>
        <w:drawing>
          <wp:inline distT="0" distB="0" distL="0" distR="0">
            <wp:extent cx="4895850" cy="3724275"/>
            <wp:effectExtent l="0" t="0" r="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440" w:firstLineChars="450"/>
        <w:rPr>
          <w:rFonts w:ascii="仿宋" w:hAnsi="仿宋" w:eastAsia="仿宋"/>
          <w:sz w:val="32"/>
          <w:szCs w:val="32"/>
        </w:rPr>
      </w:pPr>
      <w:r>
        <w:rPr>
          <w:rFonts w:hint="eastAsia" w:ascii="仿宋" w:hAnsi="仿宋" w:eastAsia="仿宋"/>
          <w:sz w:val="32"/>
          <w:szCs w:val="32"/>
        </w:rPr>
        <w:t>（图2：收入决算结构图）（饼状图）</w:t>
      </w:r>
    </w:p>
    <w:p>
      <w:pPr>
        <w:pStyle w:val="24"/>
        <w:numPr>
          <w:ilvl w:val="0"/>
          <w:numId w:val="4"/>
        </w:numPr>
        <w:spacing w:line="600" w:lineRule="exact"/>
        <w:ind w:firstLineChars="0"/>
        <w:outlineLvl w:val="1"/>
        <w:rPr>
          <w:rStyle w:val="26"/>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6"/>
          <w:rFonts w:hint="eastAsia" w:ascii="黑体" w:hAnsi="黑体" w:eastAsia="黑体"/>
          <w:b w:val="0"/>
        </w:rPr>
        <w:t>出决算情况说明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118.36</w:t>
      </w:r>
      <w:r>
        <w:rPr>
          <w:rFonts w:hint="eastAsia" w:ascii="仿宋" w:hAnsi="仿宋" w:eastAsia="仿宋"/>
          <w:sz w:val="32"/>
          <w:szCs w:val="32"/>
        </w:rPr>
        <w:t>万元，其中：基本支出</w:t>
      </w:r>
      <w:r>
        <w:rPr>
          <w:rFonts w:ascii="仿宋" w:hAnsi="仿宋" w:eastAsia="仿宋"/>
          <w:sz w:val="32"/>
          <w:szCs w:val="32"/>
        </w:rPr>
        <w:t>98.67</w:t>
      </w:r>
      <w:r>
        <w:rPr>
          <w:rFonts w:hint="eastAsia" w:ascii="仿宋" w:hAnsi="仿宋" w:eastAsia="仿宋"/>
          <w:sz w:val="32"/>
          <w:szCs w:val="32"/>
        </w:rPr>
        <w:t>万元，占</w:t>
      </w:r>
      <w:r>
        <w:rPr>
          <w:rFonts w:ascii="仿宋" w:hAnsi="仿宋" w:eastAsia="仿宋"/>
          <w:sz w:val="32"/>
          <w:szCs w:val="32"/>
        </w:rPr>
        <w:t>83.36%</w:t>
      </w:r>
      <w:r>
        <w:rPr>
          <w:rFonts w:hint="eastAsia" w:ascii="仿宋" w:hAnsi="仿宋" w:eastAsia="仿宋"/>
          <w:sz w:val="32"/>
          <w:szCs w:val="32"/>
        </w:rPr>
        <w:t>；项目支出</w:t>
      </w:r>
      <w:r>
        <w:rPr>
          <w:rFonts w:ascii="仿宋" w:hAnsi="仿宋" w:eastAsia="仿宋"/>
          <w:sz w:val="32"/>
          <w:szCs w:val="32"/>
        </w:rPr>
        <w:t>19.69</w:t>
      </w:r>
      <w:r>
        <w:rPr>
          <w:rFonts w:hint="eastAsia" w:ascii="仿宋" w:hAnsi="仿宋" w:eastAsia="仿宋"/>
          <w:sz w:val="32"/>
          <w:szCs w:val="32"/>
        </w:rPr>
        <w:t>万元，占</w:t>
      </w:r>
      <w:r>
        <w:rPr>
          <w:rFonts w:ascii="仿宋" w:hAnsi="仿宋" w:eastAsia="仿宋"/>
          <w:sz w:val="32"/>
          <w:szCs w:val="32"/>
        </w:rPr>
        <w:t>16.64%</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5"/>
        <w:spacing w:before="93"/>
        <w:ind w:left="300" w:hanging="300" w:hangingChars="100"/>
      </w:pPr>
      <w:r>
        <w:rPr>
          <w:rFonts w:hint="eastAsia"/>
        </w:rPr>
        <w:t xml:space="preserve"> </w:t>
      </w:r>
      <w:r>
        <w:t xml:space="preserve">  </w:t>
      </w:r>
      <w:r>
        <w:drawing>
          <wp:inline distT="0" distB="0" distL="0" distR="0">
            <wp:extent cx="5133975" cy="3848100"/>
            <wp:effectExtent l="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440" w:firstLineChars="45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5"/>
      <w:bookmarkEnd w:id="26"/>
    </w:p>
    <w:p>
      <w:pPr>
        <w:spacing w:line="700" w:lineRule="exact"/>
        <w:ind w:firstLine="707" w:firstLineChars="221"/>
        <w:rPr>
          <w:rFonts w:hint="eastAsia" w:ascii="仿宋_GB2312" w:hAnsi="仿宋_GB2312" w:eastAsia="仿宋_GB2312" w:cs="仿宋_GB2312"/>
          <w:sz w:val="30"/>
          <w:szCs w:val="30"/>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118.36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18.97</w:t>
      </w:r>
      <w:r>
        <w:rPr>
          <w:rFonts w:hint="eastAsia" w:ascii="仿宋" w:hAnsi="仿宋" w:eastAsia="仿宋"/>
          <w:sz w:val="32"/>
          <w:szCs w:val="32"/>
        </w:rPr>
        <w:t>万元，下降</w:t>
      </w:r>
      <w:r>
        <w:rPr>
          <w:rFonts w:ascii="仿宋" w:hAnsi="仿宋" w:eastAsia="仿宋"/>
          <w:sz w:val="32"/>
          <w:szCs w:val="32"/>
        </w:rPr>
        <w:t>13.81%</w:t>
      </w:r>
      <w:r>
        <w:rPr>
          <w:rFonts w:hint="eastAsia" w:ascii="仿宋" w:hAnsi="仿宋" w:eastAsia="仿宋"/>
          <w:sz w:val="32"/>
          <w:szCs w:val="32"/>
        </w:rPr>
        <w:t>。主要变</w:t>
      </w:r>
      <w:r>
        <w:rPr>
          <w:rFonts w:hint="eastAsia" w:ascii="仿宋_GB2312" w:hAnsi="仿宋_GB2312" w:eastAsia="仿宋_GB2312" w:cs="仿宋_GB2312"/>
          <w:sz w:val="30"/>
          <w:szCs w:val="30"/>
        </w:rPr>
        <w:t>动原因是减少了业务经费和文化共享工程两个项目的经费。</w:t>
      </w:r>
    </w:p>
    <w:p>
      <w:pPr>
        <w:spacing w:line="700" w:lineRule="exact"/>
        <w:ind w:firstLine="663" w:firstLineChars="221"/>
        <w:rPr>
          <w:rFonts w:hint="eastAsia" w:ascii="仿宋_GB2312" w:hAnsi="仿宋_GB2312" w:eastAsia="仿宋_GB2312" w:cs="仿宋_GB2312"/>
          <w:sz w:val="30"/>
          <w:szCs w:val="30"/>
        </w:rPr>
      </w:pPr>
    </w:p>
    <w:p>
      <w:pPr>
        <w:spacing w:line="600" w:lineRule="exact"/>
        <w:rPr>
          <w:rFonts w:ascii="仿宋" w:hAnsi="仿宋" w:eastAsia="仿宋"/>
          <w:sz w:val="32"/>
          <w:szCs w:val="32"/>
        </w:rPr>
      </w:pPr>
    </w:p>
    <w:p>
      <w:pPr>
        <w:pStyle w:val="5"/>
        <w:spacing w:before="93"/>
      </w:pPr>
    </w:p>
    <w:p>
      <w:pPr>
        <w:pStyle w:val="5"/>
        <w:spacing w:before="93"/>
      </w:pPr>
      <w:r>
        <w:drawing>
          <wp:inline distT="0" distB="0" distL="0" distR="0">
            <wp:extent cx="5267325" cy="4524375"/>
            <wp:effectExtent l="0" t="0" r="952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60" w:firstLineChars="5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118.36</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14.29</w:t>
      </w:r>
      <w:r>
        <w:rPr>
          <w:rFonts w:hint="eastAsia" w:ascii="仿宋" w:hAnsi="仿宋" w:eastAsia="仿宋"/>
          <w:sz w:val="32"/>
          <w:szCs w:val="32"/>
        </w:rPr>
        <w:t>万元，下降</w:t>
      </w:r>
      <w:r>
        <w:rPr>
          <w:rFonts w:ascii="仿宋" w:hAnsi="仿宋" w:eastAsia="仿宋"/>
          <w:sz w:val="32"/>
          <w:szCs w:val="32"/>
        </w:rPr>
        <w:t>10.77%</w:t>
      </w:r>
      <w:r>
        <w:rPr>
          <w:rFonts w:hint="eastAsia" w:ascii="仿宋" w:hAnsi="仿宋" w:eastAsia="仿宋"/>
          <w:sz w:val="32"/>
          <w:szCs w:val="32"/>
        </w:rPr>
        <w:t>。主要变动原因是减少了业务经费和文化共享工程两个项目的经费。</w:t>
      </w:r>
    </w:p>
    <w:p>
      <w:pPr>
        <w:pStyle w:val="5"/>
        <w:spacing w:before="93"/>
        <w:rPr>
          <w:rFonts w:hint="eastAsia"/>
        </w:rPr>
      </w:pPr>
    </w:p>
    <w:p>
      <w:pPr>
        <w:pStyle w:val="5"/>
        <w:spacing w:before="93"/>
      </w:pPr>
      <w:r>
        <w:drawing>
          <wp:inline distT="0" distB="0" distL="0" distR="0">
            <wp:extent cx="5562600" cy="4505960"/>
            <wp:effectExtent l="0" t="0" r="0"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bCs/>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118.36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Cs/>
          <w:sz w:val="32"/>
          <w:szCs w:val="32"/>
        </w:rPr>
        <w:t>一般公共服务支出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bCs/>
          <w:sz w:val="32"/>
          <w:szCs w:val="32"/>
        </w:rPr>
        <w:t>；教育支出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bCs/>
          <w:sz w:val="32"/>
          <w:szCs w:val="32"/>
        </w:rPr>
        <w:t>；科学技术支出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bCs/>
          <w:sz w:val="32"/>
          <w:szCs w:val="32"/>
        </w:rPr>
        <w:t>；文化旅游体育与传媒支出</w:t>
      </w:r>
      <w:r>
        <w:rPr>
          <w:rFonts w:ascii="仿宋" w:hAnsi="仿宋" w:eastAsia="仿宋"/>
          <w:bCs/>
          <w:sz w:val="32"/>
          <w:szCs w:val="32"/>
        </w:rPr>
        <w:t>99.48</w:t>
      </w:r>
      <w:r>
        <w:rPr>
          <w:rFonts w:hint="eastAsia" w:ascii="仿宋" w:hAnsi="仿宋" w:eastAsia="仿宋"/>
          <w:bCs/>
          <w:sz w:val="32"/>
          <w:szCs w:val="32"/>
        </w:rPr>
        <w:t>万元，占</w:t>
      </w:r>
      <w:r>
        <w:rPr>
          <w:rFonts w:ascii="仿宋" w:hAnsi="仿宋" w:eastAsia="仿宋"/>
          <w:bCs/>
          <w:sz w:val="32"/>
          <w:szCs w:val="32"/>
        </w:rPr>
        <w:t>84.05%</w:t>
      </w:r>
      <w:r>
        <w:rPr>
          <w:rFonts w:hint="eastAsia" w:ascii="仿宋" w:hAnsi="仿宋" w:eastAsia="仿宋"/>
          <w:bCs/>
          <w:sz w:val="32"/>
          <w:szCs w:val="32"/>
        </w:rPr>
        <w:t>；社会保障和就业支出</w:t>
      </w:r>
      <w:r>
        <w:rPr>
          <w:rFonts w:ascii="仿宋" w:hAnsi="仿宋" w:eastAsia="仿宋"/>
          <w:bCs/>
          <w:sz w:val="32"/>
          <w:szCs w:val="32"/>
        </w:rPr>
        <w:t>9.8</w:t>
      </w:r>
      <w:r>
        <w:rPr>
          <w:rFonts w:hint="eastAsia" w:ascii="仿宋" w:hAnsi="仿宋" w:eastAsia="仿宋"/>
          <w:bCs/>
          <w:sz w:val="32"/>
          <w:szCs w:val="32"/>
        </w:rPr>
        <w:t>万元，占</w:t>
      </w:r>
      <w:r>
        <w:rPr>
          <w:rFonts w:ascii="仿宋" w:hAnsi="仿宋" w:eastAsia="仿宋"/>
          <w:bCs/>
          <w:sz w:val="32"/>
          <w:szCs w:val="32"/>
        </w:rPr>
        <w:t>8.28%</w:t>
      </w:r>
      <w:r>
        <w:rPr>
          <w:rFonts w:hint="eastAsia" w:ascii="仿宋" w:hAnsi="仿宋" w:eastAsia="仿宋"/>
          <w:bCs/>
          <w:sz w:val="32"/>
          <w:szCs w:val="32"/>
        </w:rPr>
        <w:t>；卫生健康支出</w:t>
      </w:r>
      <w:r>
        <w:rPr>
          <w:rFonts w:ascii="仿宋" w:hAnsi="仿宋" w:eastAsia="仿宋"/>
          <w:bCs/>
          <w:sz w:val="32"/>
          <w:szCs w:val="32"/>
        </w:rPr>
        <w:t>2.31</w:t>
      </w:r>
      <w:r>
        <w:rPr>
          <w:rFonts w:hint="eastAsia" w:ascii="仿宋" w:hAnsi="仿宋" w:eastAsia="仿宋"/>
          <w:bCs/>
          <w:sz w:val="32"/>
          <w:szCs w:val="32"/>
        </w:rPr>
        <w:t>万元，占</w:t>
      </w:r>
      <w:r>
        <w:rPr>
          <w:rFonts w:ascii="仿宋" w:hAnsi="仿宋" w:eastAsia="仿宋"/>
          <w:bCs/>
          <w:sz w:val="32"/>
          <w:szCs w:val="32"/>
        </w:rPr>
        <w:t>1.95%</w:t>
      </w:r>
      <w:r>
        <w:rPr>
          <w:rFonts w:hint="eastAsia" w:ascii="仿宋" w:hAnsi="仿宋" w:eastAsia="仿宋"/>
          <w:bCs/>
          <w:sz w:val="32"/>
          <w:szCs w:val="32"/>
        </w:rPr>
        <w:t>；住房保障支出</w:t>
      </w:r>
      <w:r>
        <w:rPr>
          <w:rFonts w:ascii="仿宋" w:hAnsi="仿宋" w:eastAsia="仿宋"/>
          <w:bCs/>
          <w:sz w:val="32"/>
          <w:szCs w:val="32"/>
        </w:rPr>
        <w:t>6.77</w:t>
      </w:r>
      <w:r>
        <w:rPr>
          <w:rFonts w:hint="eastAsia" w:ascii="仿宋" w:hAnsi="仿宋" w:eastAsia="仿宋"/>
          <w:bCs/>
          <w:sz w:val="32"/>
          <w:szCs w:val="32"/>
        </w:rPr>
        <w:t>万元，占</w:t>
      </w:r>
      <w:r>
        <w:rPr>
          <w:rFonts w:ascii="仿宋" w:hAnsi="仿宋" w:eastAsia="仿宋"/>
          <w:bCs/>
          <w:sz w:val="32"/>
          <w:szCs w:val="32"/>
        </w:rPr>
        <w:t>5.72%</w:t>
      </w:r>
      <w:r>
        <w:rPr>
          <w:rFonts w:hint="eastAsia" w:ascii="仿宋" w:hAnsi="仿宋" w:eastAsia="仿宋"/>
          <w:bCs/>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pStyle w:val="5"/>
        <w:spacing w:before="93"/>
        <w:ind w:firstLine="150" w:firstLineChars="50"/>
      </w:pPr>
      <w:r>
        <w:drawing>
          <wp:inline distT="0" distB="0" distL="0" distR="0">
            <wp:extent cx="5274310" cy="445579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0" w:firstLineChars="200"/>
        <w:outlineLvl w:val="2"/>
        <w:rPr>
          <w:rFonts w:ascii="仿宋" w:hAnsi="仿宋" w:eastAsia="仿宋"/>
          <w:b/>
          <w:sz w:val="32"/>
          <w:szCs w:val="32"/>
        </w:rPr>
      </w:pPr>
      <w:bookmarkStart w:id="32" w:name="_Toc15377213"/>
      <w:bookmarkStart w:id="33" w:name="_Toc15377444"/>
      <w:bookmarkStart w:id="34" w:name="_Toc15378460"/>
      <w:r>
        <w:rPr>
          <w:rFonts w:hint="eastAsia" w:ascii="仿宋" w:hAnsi="仿宋" w:eastAsia="仿宋"/>
          <w:bCs/>
          <w:sz w:val="32"/>
          <w:szCs w:val="32"/>
        </w:rPr>
        <w:t>2022年一般公共预算支出决算数为</w:t>
      </w:r>
      <w:r>
        <w:rPr>
          <w:rFonts w:ascii="仿宋" w:hAnsi="仿宋" w:eastAsia="仿宋"/>
          <w:bCs/>
          <w:sz w:val="32"/>
          <w:szCs w:val="32"/>
        </w:rPr>
        <w:t>118.36</w:t>
      </w:r>
      <w:r>
        <w:rPr>
          <w:rFonts w:hint="eastAsia" w:ascii="仿宋" w:hAnsi="仿宋" w:eastAsia="仿宋"/>
          <w:bCs/>
          <w:sz w:val="32"/>
          <w:szCs w:val="32"/>
        </w:rPr>
        <w:t>，</w:t>
      </w:r>
      <w:r>
        <w:rPr>
          <w:rStyle w:val="15"/>
          <w:rFonts w:hint="eastAsia" w:ascii="仿宋" w:hAnsi="仿宋" w:eastAsia="仿宋"/>
          <w:b w:val="0"/>
          <w:sz w:val="32"/>
          <w:szCs w:val="32"/>
        </w:rPr>
        <w:t>完成预算</w:t>
      </w:r>
      <w:r>
        <w:rPr>
          <w:rStyle w:val="15"/>
          <w:rFonts w:ascii="仿宋" w:hAnsi="仿宋" w:eastAsia="仿宋"/>
          <w:b w:val="0"/>
          <w:sz w:val="32"/>
          <w:szCs w:val="32"/>
        </w:rPr>
        <w:t>100%</w:t>
      </w:r>
      <w:r>
        <w:rPr>
          <w:rStyle w:val="15"/>
          <w:rFonts w:hint="eastAsia" w:ascii="仿宋" w:hAnsi="仿宋" w:eastAsia="仿宋"/>
          <w:b w:val="0"/>
          <w:sz w:val="32"/>
          <w:szCs w:val="32"/>
        </w:rPr>
        <w:t>。其中：</w:t>
      </w:r>
      <w:bookmarkEnd w:id="32"/>
      <w:bookmarkEnd w:id="33"/>
      <w:bookmarkEnd w:id="34"/>
    </w:p>
    <w:p>
      <w:pPr>
        <w:numPr>
          <w:ilvl w:val="0"/>
          <w:numId w:val="5"/>
        </w:numPr>
        <w:spacing w:line="600" w:lineRule="exact"/>
        <w:ind w:firstLine="640" w:firstLineChars="200"/>
        <w:rPr>
          <w:rStyle w:val="15"/>
          <w:rFonts w:hint="eastAsia" w:ascii="仿宋" w:hAnsi="仿宋" w:eastAsia="仿宋"/>
          <w:b w:val="0"/>
          <w:sz w:val="32"/>
          <w:szCs w:val="32"/>
          <w:lang w:val="en-US" w:eastAsia="zh-CN"/>
        </w:rPr>
      </w:pPr>
      <w:r>
        <w:rPr>
          <w:rStyle w:val="15"/>
          <w:rFonts w:hint="eastAsia" w:ascii="仿宋" w:hAnsi="仿宋" w:eastAsia="仿宋"/>
          <w:b w:val="0"/>
          <w:sz w:val="32"/>
          <w:szCs w:val="32"/>
        </w:rPr>
        <w:t>一般公共服务（类）</w:t>
      </w:r>
      <w:r>
        <w:rPr>
          <w:rStyle w:val="15"/>
          <w:rFonts w:hint="eastAsia" w:ascii="仿宋" w:hAnsi="仿宋" w:eastAsia="仿宋"/>
          <w:b w:val="0"/>
          <w:sz w:val="32"/>
          <w:szCs w:val="32"/>
          <w:lang w:eastAsia="zh-CN"/>
        </w:rPr>
        <w:t>支出决算为</w:t>
      </w:r>
      <w:r>
        <w:rPr>
          <w:rStyle w:val="15"/>
          <w:rFonts w:hint="eastAsia" w:ascii="仿宋" w:hAnsi="仿宋" w:eastAsia="仿宋"/>
          <w:b w:val="0"/>
          <w:sz w:val="32"/>
          <w:szCs w:val="32"/>
          <w:lang w:val="en-US" w:eastAsia="zh-CN"/>
        </w:rPr>
        <w:t>0万元</w:t>
      </w:r>
    </w:p>
    <w:p>
      <w:pPr>
        <w:numPr>
          <w:ilvl w:val="0"/>
          <w:numId w:val="5"/>
        </w:numPr>
        <w:spacing w:line="600" w:lineRule="exact"/>
        <w:ind w:firstLine="640" w:firstLineChars="200"/>
        <w:rPr>
          <w:rFonts w:ascii="仿宋" w:hAnsi="仿宋" w:eastAsia="仿宋"/>
          <w:b/>
          <w:sz w:val="32"/>
          <w:szCs w:val="32"/>
        </w:rPr>
      </w:pPr>
      <w:r>
        <w:rPr>
          <w:rStyle w:val="15"/>
          <w:rFonts w:ascii="仿宋" w:hAnsi="仿宋" w:eastAsia="仿宋"/>
          <w:b w:val="0"/>
          <w:sz w:val="32"/>
          <w:szCs w:val="32"/>
        </w:rPr>
        <w:t>2.</w:t>
      </w:r>
      <w:r>
        <w:rPr>
          <w:rStyle w:val="15"/>
          <w:rFonts w:hint="eastAsia" w:ascii="仿宋" w:hAnsi="仿宋" w:eastAsia="仿宋"/>
          <w:b w:val="0"/>
          <w:sz w:val="32"/>
          <w:szCs w:val="32"/>
        </w:rPr>
        <w:t>教育（类）</w:t>
      </w:r>
      <w:r>
        <w:rPr>
          <w:rStyle w:val="15"/>
          <w:rFonts w:hint="eastAsia" w:ascii="仿宋" w:hAnsi="仿宋" w:eastAsia="仿宋"/>
          <w:b w:val="0"/>
          <w:sz w:val="32"/>
          <w:szCs w:val="32"/>
          <w:lang w:eastAsia="zh-CN"/>
        </w:rPr>
        <w:t>支出决算为</w:t>
      </w:r>
      <w:r>
        <w:rPr>
          <w:rStyle w:val="15"/>
          <w:rFonts w:hint="eastAsia" w:ascii="仿宋" w:hAnsi="仿宋" w:eastAsia="仿宋"/>
          <w:b w:val="0"/>
          <w:sz w:val="32"/>
          <w:szCs w:val="32"/>
          <w:lang w:val="en-US" w:eastAsia="zh-CN"/>
        </w:rPr>
        <w:t>0万元</w:t>
      </w:r>
      <w:r>
        <w:rPr>
          <w:rStyle w:val="15"/>
          <w:rFonts w:hint="eastAsia" w:ascii="仿宋" w:hAnsi="仿宋" w:eastAsia="仿宋"/>
          <w:b w:val="0"/>
          <w:bCs/>
          <w:sz w:val="32"/>
          <w:szCs w:val="32"/>
        </w:rPr>
        <w:t>。</w:t>
      </w:r>
    </w:p>
    <w:p>
      <w:pPr>
        <w:numPr>
          <w:ilvl w:val="0"/>
          <w:numId w:val="5"/>
        </w:numPr>
        <w:spacing w:line="600" w:lineRule="exact"/>
        <w:ind w:left="0" w:leftChars="0" w:firstLine="640" w:firstLineChars="200"/>
        <w:rPr>
          <w:rStyle w:val="15"/>
          <w:rFonts w:hint="eastAsia" w:ascii="仿宋" w:hAnsi="仿宋" w:eastAsia="仿宋"/>
          <w:b w:val="0"/>
          <w:sz w:val="32"/>
          <w:szCs w:val="32"/>
          <w:lang w:val="en-US" w:eastAsia="zh-CN"/>
        </w:rPr>
      </w:pPr>
      <w:r>
        <w:rPr>
          <w:rStyle w:val="15"/>
          <w:rFonts w:hint="eastAsia" w:ascii="仿宋" w:hAnsi="仿宋" w:eastAsia="仿宋"/>
          <w:b w:val="0"/>
          <w:sz w:val="32"/>
          <w:szCs w:val="32"/>
        </w:rPr>
        <w:t>科学技术（类）</w:t>
      </w:r>
      <w:r>
        <w:rPr>
          <w:rStyle w:val="15"/>
          <w:rFonts w:hint="eastAsia" w:ascii="仿宋" w:hAnsi="仿宋" w:eastAsia="仿宋"/>
          <w:b w:val="0"/>
          <w:sz w:val="32"/>
          <w:szCs w:val="32"/>
          <w:lang w:eastAsia="zh-CN"/>
        </w:rPr>
        <w:t>支出决算为</w:t>
      </w:r>
      <w:r>
        <w:rPr>
          <w:rStyle w:val="15"/>
          <w:rFonts w:hint="eastAsia" w:ascii="仿宋" w:hAnsi="仿宋" w:eastAsia="仿宋"/>
          <w:b w:val="0"/>
          <w:sz w:val="32"/>
          <w:szCs w:val="32"/>
          <w:lang w:val="en-US" w:eastAsia="zh-CN"/>
        </w:rPr>
        <w:t>0万元</w:t>
      </w:r>
    </w:p>
    <w:p>
      <w:pPr>
        <w:numPr>
          <w:ilvl w:val="0"/>
          <w:numId w:val="5"/>
        </w:numPr>
        <w:spacing w:line="600" w:lineRule="exact"/>
        <w:ind w:left="0" w:leftChars="0" w:firstLine="640" w:firstLineChars="200"/>
        <w:rPr>
          <w:rStyle w:val="15"/>
          <w:rFonts w:ascii="仿宋" w:hAnsi="仿宋" w:eastAsia="仿宋"/>
          <w:b w:val="0"/>
          <w:bCs/>
          <w:sz w:val="32"/>
          <w:szCs w:val="32"/>
        </w:rPr>
      </w:pPr>
      <w:r>
        <w:rPr>
          <w:rStyle w:val="15"/>
          <w:rFonts w:hint="eastAsia" w:ascii="仿宋" w:hAnsi="仿宋" w:eastAsia="仿宋"/>
          <w:b w:val="0"/>
          <w:sz w:val="32"/>
          <w:szCs w:val="32"/>
        </w:rPr>
        <w:t>文化旅游体育与传媒（类）文化和旅游（款）图书馆（项）</w:t>
      </w:r>
      <w:r>
        <w:rPr>
          <w:rStyle w:val="15"/>
          <w:rFonts w:ascii="仿宋" w:hAnsi="仿宋" w:eastAsia="仿宋"/>
          <w:b w:val="0"/>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95.1</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spacing w:line="600" w:lineRule="exact"/>
        <w:ind w:firstLine="640" w:firstLineChars="200"/>
        <w:rPr>
          <w:rStyle w:val="15"/>
          <w:rFonts w:hint="eastAsia" w:ascii="仿宋" w:hAnsi="仿宋" w:eastAsia="仿宋"/>
          <w:b w:val="0"/>
          <w:sz w:val="32"/>
          <w:szCs w:val="32"/>
        </w:rPr>
      </w:pPr>
      <w:r>
        <w:rPr>
          <w:rStyle w:val="15"/>
          <w:rFonts w:ascii="仿宋" w:hAnsi="仿宋" w:eastAsia="仿宋"/>
          <w:b w:val="0"/>
          <w:sz w:val="32"/>
          <w:szCs w:val="32"/>
        </w:rPr>
        <w:t>5.</w:t>
      </w:r>
      <w:r>
        <w:rPr>
          <w:rStyle w:val="15"/>
          <w:rFonts w:hint="eastAsia" w:ascii="仿宋" w:hAnsi="仿宋" w:eastAsia="仿宋"/>
          <w:b w:val="0"/>
          <w:sz w:val="32"/>
          <w:szCs w:val="32"/>
        </w:rPr>
        <w:t>文化旅游体育与传媒（类）文化和旅游（款）其他文</w:t>
      </w:r>
    </w:p>
    <w:p>
      <w:pPr>
        <w:spacing w:line="600" w:lineRule="exact"/>
        <w:rPr>
          <w:rFonts w:ascii="仿宋" w:hAnsi="仿宋" w:eastAsia="仿宋"/>
          <w:b/>
          <w:sz w:val="32"/>
          <w:szCs w:val="32"/>
        </w:rPr>
      </w:pPr>
      <w:r>
        <w:rPr>
          <w:rStyle w:val="15"/>
          <w:rFonts w:hint="eastAsia" w:ascii="仿宋" w:hAnsi="仿宋" w:eastAsia="仿宋"/>
          <w:b w:val="0"/>
          <w:sz w:val="32"/>
          <w:szCs w:val="32"/>
        </w:rPr>
        <w:t>化和旅游支出（项）</w:t>
      </w:r>
      <w:r>
        <w:rPr>
          <w:rStyle w:val="15"/>
          <w:rFonts w:ascii="仿宋" w:hAnsi="仿宋" w:eastAsia="仿宋"/>
          <w:b w:val="0"/>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4.38</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spacing w:line="600" w:lineRule="exact"/>
        <w:ind w:firstLine="640" w:firstLineChars="200"/>
        <w:rPr>
          <w:rStyle w:val="15"/>
          <w:rFonts w:ascii="仿宋" w:hAnsi="仿宋" w:eastAsia="仿宋"/>
          <w:b w:val="0"/>
          <w:bCs/>
          <w:sz w:val="32"/>
          <w:szCs w:val="32"/>
        </w:rPr>
      </w:pPr>
      <w:r>
        <w:rPr>
          <w:rStyle w:val="15"/>
          <w:rFonts w:ascii="仿宋" w:hAnsi="仿宋" w:eastAsia="仿宋"/>
          <w:b w:val="0"/>
          <w:sz w:val="32"/>
          <w:szCs w:val="32"/>
        </w:rPr>
        <w:t>6.</w:t>
      </w:r>
      <w:r>
        <w:rPr>
          <w:rStyle w:val="15"/>
          <w:rFonts w:hint="eastAsia" w:ascii="仿宋" w:hAnsi="仿宋" w:eastAsia="仿宋"/>
          <w:b w:val="0"/>
          <w:sz w:val="32"/>
          <w:szCs w:val="32"/>
        </w:rPr>
        <w:t>社会保障和就业（类）行政事业单位养老支出（款）机关事业单位基本养老保险缴费支出（项）</w:t>
      </w:r>
      <w:r>
        <w:rPr>
          <w:rStyle w:val="15"/>
          <w:rFonts w:ascii="仿宋" w:hAnsi="仿宋" w:eastAsia="仿宋"/>
          <w:b w:val="0"/>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6.33</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spacing w:line="600" w:lineRule="exact"/>
        <w:ind w:firstLine="640" w:firstLineChars="200"/>
        <w:rPr>
          <w:rStyle w:val="15"/>
          <w:rFonts w:ascii="仿宋" w:hAnsi="仿宋" w:eastAsia="仿宋"/>
          <w:b w:val="0"/>
          <w:bCs/>
          <w:sz w:val="32"/>
          <w:szCs w:val="32"/>
        </w:rPr>
      </w:pPr>
      <w:r>
        <w:rPr>
          <w:rStyle w:val="15"/>
          <w:rFonts w:ascii="仿宋" w:hAnsi="仿宋" w:eastAsia="仿宋"/>
          <w:b w:val="0"/>
          <w:sz w:val="32"/>
          <w:szCs w:val="32"/>
        </w:rPr>
        <w:t>7.</w:t>
      </w:r>
      <w:r>
        <w:rPr>
          <w:rStyle w:val="15"/>
          <w:rFonts w:hint="eastAsia" w:ascii="仿宋" w:hAnsi="仿宋" w:eastAsia="仿宋"/>
          <w:b w:val="0"/>
          <w:sz w:val="32"/>
          <w:szCs w:val="32"/>
        </w:rPr>
        <w:t>社会保障和就业（类）行政事业单位养老支出（款）机关事业单位职业年金缴费支出（项）</w:t>
      </w:r>
      <w:r>
        <w:rPr>
          <w:rStyle w:val="15"/>
          <w:rFonts w:ascii="仿宋" w:hAnsi="仿宋" w:eastAsia="仿宋"/>
          <w:b w:val="0"/>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3.17</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spacing w:line="600" w:lineRule="exact"/>
        <w:ind w:firstLine="640" w:firstLineChars="200"/>
        <w:rPr>
          <w:rFonts w:ascii="仿宋" w:hAnsi="仿宋" w:eastAsia="仿宋"/>
          <w:b/>
          <w:sz w:val="32"/>
          <w:szCs w:val="32"/>
        </w:rPr>
      </w:pPr>
      <w:r>
        <w:rPr>
          <w:rStyle w:val="15"/>
          <w:rFonts w:ascii="仿宋" w:hAnsi="仿宋" w:eastAsia="仿宋"/>
          <w:b w:val="0"/>
          <w:sz w:val="32"/>
          <w:szCs w:val="32"/>
        </w:rPr>
        <w:t>8.</w:t>
      </w:r>
      <w:r>
        <w:rPr>
          <w:rStyle w:val="15"/>
          <w:rFonts w:hint="eastAsia" w:ascii="仿宋" w:hAnsi="仿宋" w:eastAsia="仿宋"/>
          <w:b w:val="0"/>
          <w:sz w:val="32"/>
          <w:szCs w:val="32"/>
        </w:rPr>
        <w:t>社会保障和就业（类）其他社会保障和就业支出（款）其他社会保障和就业支出（项）</w:t>
      </w:r>
      <w:r>
        <w:rPr>
          <w:rStyle w:val="15"/>
          <w:rFonts w:ascii="仿宋" w:hAnsi="仿宋" w:eastAsia="仿宋"/>
          <w:b w:val="0"/>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0.3</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spacing w:line="600" w:lineRule="exact"/>
        <w:ind w:firstLine="640" w:firstLineChars="200"/>
        <w:rPr>
          <w:rStyle w:val="15"/>
          <w:rFonts w:ascii="仿宋" w:hAnsi="仿宋" w:eastAsia="仿宋"/>
          <w:b w:val="0"/>
          <w:bCs/>
          <w:sz w:val="32"/>
          <w:szCs w:val="32"/>
        </w:rPr>
      </w:pPr>
      <w:r>
        <w:rPr>
          <w:rStyle w:val="15"/>
          <w:rFonts w:ascii="仿宋" w:hAnsi="仿宋" w:eastAsia="仿宋"/>
          <w:b w:val="0"/>
          <w:sz w:val="32"/>
          <w:szCs w:val="32"/>
        </w:rPr>
        <w:t>9.</w:t>
      </w:r>
      <w:r>
        <w:rPr>
          <w:rFonts w:hint="eastAsia" w:ascii="仿宋" w:hAnsi="仿宋" w:eastAsia="仿宋"/>
          <w:bCs/>
          <w:sz w:val="32"/>
          <w:szCs w:val="32"/>
        </w:rPr>
        <w:t>卫生健康支出</w:t>
      </w:r>
      <w:r>
        <w:rPr>
          <w:rStyle w:val="15"/>
          <w:rFonts w:hint="eastAsia" w:ascii="仿宋" w:hAnsi="仿宋" w:eastAsia="仿宋"/>
          <w:b w:val="0"/>
          <w:sz w:val="32"/>
          <w:szCs w:val="32"/>
        </w:rPr>
        <w:t>（类）行政事业单位医疗（款）事业单位医疗（项）</w:t>
      </w:r>
      <w:r>
        <w:rPr>
          <w:rStyle w:val="15"/>
          <w:rFonts w:ascii="仿宋" w:hAnsi="仿宋" w:eastAsia="仿宋"/>
          <w:b w:val="0"/>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2.31</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spacing w:line="600" w:lineRule="exact"/>
        <w:ind w:firstLine="640" w:firstLineChars="200"/>
        <w:rPr>
          <w:rFonts w:ascii="仿宋" w:hAnsi="仿宋" w:eastAsia="仿宋"/>
          <w:b/>
          <w:sz w:val="32"/>
          <w:szCs w:val="32"/>
        </w:rPr>
      </w:pPr>
      <w:r>
        <w:rPr>
          <w:rStyle w:val="15"/>
          <w:rFonts w:ascii="仿宋" w:hAnsi="仿宋" w:eastAsia="仿宋"/>
          <w:b w:val="0"/>
          <w:sz w:val="32"/>
          <w:szCs w:val="32"/>
        </w:rPr>
        <w:t>10.</w:t>
      </w:r>
      <w:r>
        <w:rPr>
          <w:rFonts w:hint="eastAsia"/>
        </w:rPr>
        <w:t xml:space="preserve"> </w:t>
      </w:r>
      <w:r>
        <w:rPr>
          <w:rFonts w:hint="eastAsia" w:ascii="仿宋" w:hAnsi="仿宋" w:eastAsia="仿宋"/>
          <w:bCs/>
          <w:sz w:val="32"/>
          <w:szCs w:val="32"/>
        </w:rPr>
        <w:t>住房保障支出</w:t>
      </w:r>
      <w:r>
        <w:rPr>
          <w:rStyle w:val="15"/>
          <w:rFonts w:hint="eastAsia" w:ascii="仿宋" w:hAnsi="仿宋" w:eastAsia="仿宋"/>
          <w:b w:val="0"/>
          <w:sz w:val="32"/>
          <w:szCs w:val="32"/>
        </w:rPr>
        <w:t>（类）住房改革支出（款）住房公积金（项）</w:t>
      </w:r>
      <w:r>
        <w:rPr>
          <w:rStyle w:val="15"/>
          <w:rFonts w:ascii="仿宋" w:hAnsi="仿宋" w:eastAsia="仿宋"/>
          <w:b w:val="0"/>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6.77</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pStyle w:val="5"/>
        <w:spacing w:before="93"/>
      </w:pP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5"/>
      <w:bookmarkEnd w:id="36"/>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98.67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90.24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8.43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6"/>
          <w:rFonts w:ascii="黑体" w:hAnsi="黑体" w:eastAsia="黑体"/>
          <w:b w:val="0"/>
        </w:rPr>
      </w:pPr>
      <w:bookmarkStart w:id="37" w:name="_Toc15396609"/>
      <w:bookmarkStart w:id="38"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。本年无此项经费支出。</w:t>
      </w:r>
    </w:p>
    <w:p>
      <w:pPr>
        <w:spacing w:line="600" w:lineRule="exact"/>
        <w:ind w:firstLine="640"/>
        <w:rPr>
          <w:rFonts w:ascii="仿宋" w:hAnsi="仿宋" w:eastAsia="仿宋"/>
          <w:sz w:val="32"/>
          <w:szCs w:val="32"/>
        </w:rPr>
      </w:pPr>
      <w:r>
        <w:rPr>
          <w:rFonts w:ascii="仿宋" w:hAnsi="仿宋" w:eastAsia="仿宋"/>
          <w:bCs/>
          <w:sz w:val="32"/>
          <w:szCs w:val="32"/>
        </w:rPr>
        <w:t>1.</w:t>
      </w:r>
      <w:r>
        <w:rPr>
          <w:rFonts w:hint="eastAsia" w:ascii="仿宋" w:hAnsi="仿宋" w:eastAsia="仿宋"/>
          <w:bCs/>
          <w:sz w:val="32"/>
          <w:szCs w:val="32"/>
        </w:rPr>
        <w:t>因公出国（境）经费支出</w:t>
      </w:r>
      <w:r>
        <w:rPr>
          <w:rFonts w:ascii="仿宋" w:hAnsi="仿宋" w:eastAsia="仿宋"/>
          <w:bCs/>
          <w:sz w:val="32"/>
          <w:szCs w:val="32"/>
        </w:rPr>
        <w:t>0</w:t>
      </w:r>
      <w:r>
        <w:rPr>
          <w:rFonts w:hint="eastAsia" w:ascii="仿宋" w:hAnsi="仿宋" w:eastAsia="仿宋"/>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人。本年无此项业务发生。</w:t>
      </w:r>
    </w:p>
    <w:p>
      <w:pPr>
        <w:spacing w:line="600" w:lineRule="exact"/>
        <w:ind w:firstLine="640"/>
        <w:rPr>
          <w:rFonts w:ascii="仿宋" w:hAnsi="仿宋" w:eastAsia="仿宋"/>
          <w:b/>
          <w:sz w:val="32"/>
          <w:szCs w:val="32"/>
        </w:rPr>
      </w:pPr>
      <w:r>
        <w:rPr>
          <w:rFonts w:ascii="仿宋" w:hAnsi="仿宋" w:eastAsia="仿宋"/>
          <w:bCs/>
          <w:sz w:val="32"/>
          <w:szCs w:val="32"/>
        </w:rPr>
        <w:t>2.</w:t>
      </w:r>
      <w:r>
        <w:rPr>
          <w:rFonts w:hint="eastAsia" w:ascii="仿宋" w:hAnsi="仿宋" w:eastAsia="仿宋"/>
          <w:bCs/>
          <w:sz w:val="32"/>
          <w:szCs w:val="32"/>
        </w:rPr>
        <w:t>公务用车购置及运行维护费支出</w:t>
      </w:r>
      <w:r>
        <w:rPr>
          <w:rFonts w:ascii="仿宋" w:hAnsi="仿宋" w:eastAsia="仿宋"/>
          <w:bCs/>
          <w:sz w:val="32"/>
          <w:szCs w:val="32"/>
        </w:rPr>
        <w:t>0</w:t>
      </w:r>
      <w:r>
        <w:rPr>
          <w:rFonts w:hint="eastAsia" w:ascii="仿宋" w:hAnsi="仿宋" w:eastAsia="仿宋"/>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w:t>
      </w:r>
      <w:r>
        <w:rPr>
          <w:rFonts w:hint="eastAsia" w:ascii="仿宋" w:hAnsi="仿宋" w:eastAsia="仿宋"/>
          <w:sz w:val="32"/>
          <w:szCs w:val="32"/>
        </w:rPr>
        <w:t>本年无项业务发生。</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Cs/>
          <w:sz w:val="32"/>
          <w:szCs w:val="32"/>
        </w:rPr>
        <w:t>公务用车购置支出</w:t>
      </w:r>
      <w:r>
        <w:rPr>
          <w:rFonts w:ascii="仿宋" w:hAnsi="仿宋" w:eastAsia="仿宋"/>
          <w:bCs/>
          <w:sz w:val="32"/>
          <w:szCs w:val="32"/>
        </w:rPr>
        <w:t>0</w:t>
      </w:r>
      <w:r>
        <w:rPr>
          <w:rFonts w:hint="eastAsia" w:ascii="仿宋" w:hAnsi="仿宋" w:eastAsia="仿宋"/>
          <w:sz w:val="32"/>
          <w:szCs w:val="32"/>
        </w:rPr>
        <w:t>万元。全年按规定更新购置公务用车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00</w:t>
      </w:r>
      <w:r>
        <w:rPr>
          <w:rFonts w:hint="eastAsia" w:ascii="仿宋" w:hAnsi="仿宋" w:eastAsia="仿宋"/>
          <w:sz w:val="32"/>
          <w:szCs w:val="32"/>
        </w:rPr>
        <w:t>万元，越野车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万元，载客汽车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辆、越野车</w:t>
      </w:r>
      <w:r>
        <w:rPr>
          <w:rFonts w:ascii="仿宋" w:hAnsi="仿宋" w:eastAsia="仿宋"/>
          <w:sz w:val="32"/>
          <w:szCs w:val="32"/>
        </w:rPr>
        <w:t>0</w:t>
      </w:r>
      <w:r>
        <w:rPr>
          <w:rFonts w:hint="eastAsia" w:ascii="仿宋" w:hAnsi="仿宋" w:eastAsia="仿宋"/>
          <w:sz w:val="32"/>
          <w:szCs w:val="32"/>
        </w:rPr>
        <w:t>辆、载客汽车</w:t>
      </w:r>
      <w:r>
        <w:rPr>
          <w:rFonts w:ascii="仿宋" w:hAnsi="仿宋" w:eastAsia="仿宋"/>
          <w:sz w:val="32"/>
          <w:szCs w:val="32"/>
        </w:rPr>
        <w:t>0</w:t>
      </w:r>
      <w:r>
        <w:rPr>
          <w:rFonts w:hint="eastAsia" w:ascii="仿宋" w:hAnsi="仿宋" w:eastAsia="仿宋"/>
          <w:sz w:val="32"/>
          <w:szCs w:val="32"/>
        </w:rPr>
        <w:t>辆。</w:t>
      </w:r>
    </w:p>
    <w:p>
      <w:pPr>
        <w:spacing w:line="600" w:lineRule="exact"/>
        <w:ind w:firstLine="640"/>
        <w:rPr>
          <w:rFonts w:ascii="仿宋" w:hAnsi="仿宋" w:eastAsia="仿宋"/>
          <w:sz w:val="32"/>
          <w:szCs w:val="32"/>
        </w:rPr>
      </w:pPr>
      <w:r>
        <w:rPr>
          <w:rFonts w:hint="eastAsia" w:ascii="仿宋" w:hAnsi="仿宋" w:eastAsia="仿宋"/>
          <w:bCs/>
          <w:sz w:val="32"/>
          <w:szCs w:val="32"/>
        </w:rPr>
        <w:t>公务用车运行维护费支出</w:t>
      </w:r>
      <w:r>
        <w:rPr>
          <w:rFonts w:ascii="仿宋" w:hAnsi="仿宋" w:eastAsia="仿宋"/>
          <w:bCs/>
          <w:sz w:val="32"/>
          <w:szCs w:val="32"/>
        </w:rPr>
        <w:t>0</w:t>
      </w:r>
      <w:r>
        <w:rPr>
          <w:rFonts w:hint="eastAsia" w:ascii="仿宋" w:hAnsi="仿宋" w:eastAsia="仿宋"/>
          <w:sz w:val="32"/>
          <w:szCs w:val="32"/>
        </w:rPr>
        <w:t>万元。</w:t>
      </w:r>
    </w:p>
    <w:p>
      <w:pPr>
        <w:spacing w:line="600" w:lineRule="exact"/>
        <w:ind w:firstLine="640"/>
        <w:rPr>
          <w:rFonts w:ascii="仿宋" w:hAnsi="仿宋" w:eastAsia="仿宋"/>
          <w:sz w:val="32"/>
          <w:szCs w:val="32"/>
        </w:rPr>
      </w:pPr>
      <w:r>
        <w:rPr>
          <w:rFonts w:ascii="仿宋" w:hAnsi="仿宋" w:eastAsia="仿宋"/>
          <w:bCs/>
          <w:sz w:val="32"/>
          <w:szCs w:val="32"/>
        </w:rPr>
        <w:t>3.</w:t>
      </w:r>
      <w:r>
        <w:rPr>
          <w:rFonts w:hint="eastAsia" w:ascii="仿宋" w:hAnsi="仿宋" w:eastAsia="仿宋"/>
          <w:bCs/>
          <w:sz w:val="32"/>
          <w:szCs w:val="32"/>
        </w:rPr>
        <w:t>公务接待费支出</w:t>
      </w:r>
      <w:r>
        <w:rPr>
          <w:rFonts w:ascii="仿宋" w:hAnsi="仿宋" w:eastAsia="仿宋"/>
          <w:bCs/>
          <w:sz w:val="32"/>
          <w:szCs w:val="32"/>
        </w:rPr>
        <w:t>0</w:t>
      </w:r>
      <w:r>
        <w:rPr>
          <w:rFonts w:hint="eastAsia" w:ascii="仿宋" w:hAnsi="仿宋" w:eastAsia="仿宋"/>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。本年无此项业务发生。</w:t>
      </w:r>
      <w:r>
        <w:rPr>
          <w:rFonts w:hint="eastAsia" w:ascii="仿宋" w:hAnsi="仿宋" w:eastAsia="仿宋"/>
          <w:sz w:val="32"/>
          <w:szCs w:val="32"/>
        </w:rPr>
        <w:t>其中：</w:t>
      </w:r>
    </w:p>
    <w:p>
      <w:pPr>
        <w:spacing w:line="600" w:lineRule="exact"/>
        <w:ind w:firstLine="640"/>
        <w:rPr>
          <w:rFonts w:ascii="仿宋" w:hAnsi="仿宋" w:eastAsia="仿宋"/>
          <w:sz w:val="32"/>
          <w:szCs w:val="32"/>
        </w:rPr>
      </w:pPr>
      <w:r>
        <w:rPr>
          <w:rFonts w:hint="eastAsia" w:ascii="仿宋" w:hAnsi="仿宋" w:eastAsia="仿宋"/>
          <w:bCs/>
          <w:sz w:val="32"/>
          <w:szCs w:val="32"/>
        </w:rPr>
        <w:t>国内公务接待支出</w:t>
      </w:r>
      <w:r>
        <w:rPr>
          <w:rFonts w:ascii="仿宋" w:hAnsi="仿宋" w:eastAsia="仿宋"/>
          <w:bCs/>
          <w:sz w:val="32"/>
          <w:szCs w:val="32"/>
        </w:rPr>
        <w:t>0</w:t>
      </w:r>
      <w:r>
        <w:rPr>
          <w:rFonts w:hint="eastAsia" w:ascii="仿宋" w:hAnsi="仿宋" w:eastAsia="仿宋"/>
          <w:bCs/>
          <w:sz w:val="32"/>
          <w:szCs w:val="32"/>
        </w:rPr>
        <w:t>万元</w:t>
      </w:r>
      <w:r>
        <w:rPr>
          <w:rFonts w:hint="eastAsia" w:ascii="仿宋" w:hAnsi="仿宋" w:eastAsia="仿宋"/>
          <w:sz w:val="32"/>
          <w:szCs w:val="32"/>
        </w:rPr>
        <w:t>。国内公务接待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firstLineChars="200"/>
        <w:rPr>
          <w:rFonts w:ascii="仿宋" w:hAnsi="仿宋" w:eastAsia="仿宋"/>
          <w:sz w:val="32"/>
          <w:szCs w:val="32"/>
        </w:rPr>
      </w:pPr>
      <w:r>
        <w:rPr>
          <w:rFonts w:hint="eastAsia" w:ascii="仿宋" w:hAnsi="仿宋" w:eastAsia="仿宋"/>
          <w:bCs/>
          <w:sz w:val="32"/>
          <w:szCs w:val="32"/>
        </w:rPr>
        <w:t>外事接待支出</w:t>
      </w:r>
      <w:r>
        <w:rPr>
          <w:rFonts w:ascii="仿宋" w:hAnsi="仿宋" w:eastAsia="仿宋"/>
          <w:bCs/>
          <w:sz w:val="32"/>
          <w:szCs w:val="32"/>
        </w:rPr>
        <w:t>0</w:t>
      </w:r>
      <w:r>
        <w:rPr>
          <w:rFonts w:hint="eastAsia" w:ascii="仿宋" w:hAnsi="仿宋" w:eastAsia="仿宋"/>
          <w:sz w:val="32"/>
          <w:szCs w:val="32"/>
        </w:rPr>
        <w:t>万元，外事接待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outlineLvl w:val="1"/>
        <w:rPr>
          <w:rFonts w:ascii="黑体" w:eastAsia="黑体"/>
          <w:sz w:val="32"/>
          <w:szCs w:val="32"/>
        </w:rPr>
      </w:pPr>
      <w:bookmarkStart w:id="41" w:name="_Toc15377218"/>
      <w:bookmarkStart w:id="42"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1"/>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rPr>
          <w:rFonts w:ascii="仿宋_GB2312" w:eastAsia="仿宋_GB2312"/>
          <w:sz w:val="32"/>
          <w:szCs w:val="32"/>
        </w:rPr>
      </w:pPr>
    </w:p>
    <w:p>
      <w:pPr>
        <w:numPr>
          <w:ilvl w:val="0"/>
          <w:numId w:val="6"/>
        </w:numPr>
        <w:spacing w:line="600" w:lineRule="exact"/>
        <w:ind w:firstLine="640"/>
        <w:outlineLvl w:val="1"/>
        <w:rPr>
          <w:rStyle w:val="26"/>
          <w:rFonts w:ascii="黑体" w:hAnsi="黑体" w:eastAsia="黑体"/>
          <w:b w:val="0"/>
        </w:rPr>
      </w:pPr>
      <w:bookmarkStart w:id="43" w:name="_Toc15377219"/>
      <w:bookmarkStart w:id="44" w:name="_Toc15396611"/>
      <w:r>
        <w:rPr>
          <w:rStyle w:val="26"/>
          <w:rFonts w:hint="eastAsia" w:ascii="黑体" w:hAnsi="黑体" w:eastAsia="黑体"/>
          <w:b w:val="0"/>
        </w:rPr>
        <w:t>国有资本经营预算支出决算情况说明</w:t>
      </w:r>
      <w:bookmarkEnd w:id="43"/>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w:t>
      </w:r>
      <w:r>
        <w:rPr>
          <w:rFonts w:ascii="仿宋" w:hAnsi="仿宋" w:eastAsia="仿宋"/>
          <w:sz w:val="32"/>
          <w:szCs w:val="32"/>
        </w:rPr>
        <w:t>0</w:t>
      </w:r>
      <w:r>
        <w:rPr>
          <w:rFonts w:hint="eastAsia" w:ascii="仿宋" w:hAnsi="仿宋" w:eastAsia="仿宋"/>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6"/>
        </w:numPr>
        <w:spacing w:line="600" w:lineRule="exact"/>
        <w:ind w:firstLine="640"/>
        <w:outlineLvl w:val="1"/>
        <w:rPr>
          <w:rStyle w:val="26"/>
          <w:rFonts w:ascii="黑体" w:hAnsi="黑体" w:eastAsia="黑体"/>
          <w:b w:val="0"/>
        </w:rPr>
      </w:pPr>
      <w:bookmarkStart w:id="45" w:name="_Toc15377221"/>
      <w:bookmarkStart w:id="46" w:name="_Toc15396612"/>
      <w:r>
        <w:rPr>
          <w:rStyle w:val="26"/>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ascii="仿宋" w:hAnsi="仿宋" w:eastAsia="仿宋" w:cs="仿宋_GB2312"/>
          <w:color w:val="000000"/>
          <w:sz w:val="32"/>
          <w:szCs w:val="32"/>
        </w:rPr>
      </w:pPr>
      <w:r>
        <w:rPr>
          <w:rFonts w:hint="eastAsia" w:ascii="仿宋" w:hAnsi="仿宋" w:eastAsia="仿宋"/>
          <w:sz w:val="32"/>
          <w:szCs w:val="32"/>
        </w:rPr>
        <w:t>峨眉山市图书馆</w:t>
      </w:r>
      <w:r>
        <w:rPr>
          <w:rFonts w:hint="eastAsia" w:ascii="仿宋" w:hAnsi="仿宋" w:eastAsia="仿宋" w:cs="仿宋_GB2312"/>
          <w:color w:val="000000"/>
          <w:sz w:val="32"/>
          <w:szCs w:val="32"/>
        </w:rPr>
        <w:t>为事业单位无机关运行经费。</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22年，峨眉山市图书馆政府采购支出总额</w:t>
      </w:r>
      <w:r>
        <w:rPr>
          <w:rFonts w:ascii="仿宋" w:hAnsi="仿宋" w:eastAsia="仿宋"/>
          <w:sz w:val="32"/>
          <w:szCs w:val="32"/>
        </w:rPr>
        <w:t>0</w:t>
      </w:r>
      <w:r>
        <w:rPr>
          <w:rFonts w:hint="eastAsia" w:ascii="仿宋" w:hAnsi="仿宋" w:eastAsia="仿宋"/>
          <w:sz w:val="32"/>
          <w:szCs w:val="32"/>
        </w:rPr>
        <w:t>万元，其中：政府采购货物支出</w:t>
      </w:r>
      <w:r>
        <w:rPr>
          <w:rFonts w:ascii="仿宋" w:hAnsi="仿宋" w:eastAsia="仿宋"/>
          <w:sz w:val="32"/>
          <w:szCs w:val="32"/>
        </w:rPr>
        <w:t>0</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万元。授予中小企业合同金额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日，峨眉山市图书馆共有车辆</w:t>
      </w:r>
      <w:r>
        <w:rPr>
          <w:rFonts w:ascii="仿宋" w:hAnsi="仿宋" w:eastAsia="仿宋"/>
          <w:sz w:val="32"/>
          <w:szCs w:val="32"/>
        </w:rPr>
        <w:t>0</w:t>
      </w:r>
      <w:r>
        <w:rPr>
          <w:rFonts w:hint="eastAsia" w:ascii="仿宋" w:hAnsi="仿宋" w:eastAsia="仿宋"/>
          <w:sz w:val="32"/>
          <w:szCs w:val="32"/>
        </w:rPr>
        <w:t>辆，其中：主要领导干部用车</w:t>
      </w:r>
      <w:r>
        <w:rPr>
          <w:rFonts w:ascii="仿宋" w:hAnsi="仿宋" w:eastAsia="仿宋"/>
          <w:sz w:val="32"/>
          <w:szCs w:val="32"/>
        </w:rPr>
        <w:t>0</w:t>
      </w:r>
      <w:r>
        <w:rPr>
          <w:rFonts w:hint="eastAsia" w:ascii="仿宋" w:hAnsi="仿宋" w:eastAsia="仿宋"/>
          <w:sz w:val="32"/>
          <w:szCs w:val="32"/>
        </w:rPr>
        <w:t>辆、机要通信用车</w:t>
      </w:r>
      <w:r>
        <w:rPr>
          <w:rFonts w:ascii="仿宋" w:hAnsi="仿宋" w:eastAsia="仿宋"/>
          <w:sz w:val="32"/>
          <w:szCs w:val="32"/>
        </w:rPr>
        <w:t>0</w:t>
      </w:r>
      <w:r>
        <w:rPr>
          <w:rFonts w:hint="eastAsia" w:ascii="仿宋" w:hAnsi="仿宋" w:eastAsia="仿宋"/>
          <w:sz w:val="32"/>
          <w:szCs w:val="32"/>
        </w:rPr>
        <w:t>辆、应急保障用车</w:t>
      </w:r>
      <w:r>
        <w:rPr>
          <w:rFonts w:ascii="仿宋" w:hAnsi="仿宋" w:eastAsia="仿宋"/>
          <w:sz w:val="32"/>
          <w:szCs w:val="32"/>
        </w:rPr>
        <w:t>0</w:t>
      </w:r>
      <w:r>
        <w:rPr>
          <w:rFonts w:hint="eastAsia" w:ascii="仿宋" w:hAnsi="仿宋" w:eastAsia="仿宋"/>
          <w:sz w:val="32"/>
          <w:szCs w:val="32"/>
        </w:rPr>
        <w:t>辆、其他用车</w:t>
      </w:r>
      <w:r>
        <w:rPr>
          <w:rFonts w:ascii="仿宋" w:hAnsi="仿宋" w:eastAsia="仿宋"/>
          <w:sz w:val="32"/>
          <w:szCs w:val="32"/>
        </w:rPr>
        <w:t>0</w:t>
      </w:r>
      <w:r>
        <w:rPr>
          <w:rFonts w:hint="eastAsia" w:ascii="仿宋" w:hAnsi="仿宋" w:eastAsia="仿宋"/>
          <w:sz w:val="32"/>
          <w:szCs w:val="32"/>
        </w:rPr>
        <w:t>辆。单价</w:t>
      </w:r>
      <w:r>
        <w:rPr>
          <w:rFonts w:ascii="仿宋" w:hAnsi="仿宋" w:eastAsia="仿宋"/>
          <w:sz w:val="32"/>
          <w:szCs w:val="32"/>
        </w:rPr>
        <w:t>100</w:t>
      </w:r>
      <w:r>
        <w:rPr>
          <w:rFonts w:hint="eastAsia" w:ascii="仿宋" w:hAnsi="仿宋" w:eastAsia="仿宋"/>
          <w:sz w:val="32"/>
          <w:szCs w:val="32"/>
        </w:rPr>
        <w:t>万元以上专用设备</w:t>
      </w:r>
      <w:r>
        <w:rPr>
          <w:rFonts w:ascii="仿宋" w:hAnsi="仿宋" w:eastAsia="仿宋"/>
          <w:sz w:val="32"/>
          <w:szCs w:val="32"/>
        </w:rPr>
        <w:t>0</w:t>
      </w:r>
      <w:r>
        <w:rPr>
          <w:rFonts w:hint="eastAsia" w:ascii="仿宋" w:hAnsi="仿宋" w:eastAsia="仿宋"/>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pStyle w:val="5"/>
        <w:spacing w:before="93"/>
      </w:pPr>
    </w:p>
    <w:p>
      <w:pPr>
        <w:autoSpaceDE w:val="0"/>
        <w:autoSpaceDN w:val="0"/>
        <w:adjustRightInd w:val="0"/>
        <w:spacing w:line="600" w:lineRule="exact"/>
        <w:ind w:firstLine="321" w:firstLineChars="1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ascii="仿宋" w:hAnsi="仿宋" w:eastAsia="仿宋" w:cs="仿宋_GB2312"/>
          <w:sz w:val="32"/>
          <w:szCs w:val="32"/>
        </w:rPr>
        <w:t>免费开放经费</w:t>
      </w:r>
      <w:r>
        <w:rPr>
          <w:rFonts w:hint="eastAsia" w:hAnsi="仿宋_GB2312" w:cs="仿宋_GB2312"/>
          <w:sz w:val="32"/>
          <w:szCs w:val="32"/>
        </w:rPr>
        <w:t>项目（项目名称）等4个项目开展了预算事前绩效评估，对4个项目编制了绩效目标，预算执行过程中，选取4个项目开展绩效监控，组织对4个项目开展绩效自评，绩效自评表详见第四部分附件。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7"/>
        </w:numPr>
        <w:spacing w:line="600" w:lineRule="exact"/>
        <w:ind w:firstLine="660" w:firstLineChars="150"/>
        <w:jc w:val="center"/>
        <w:outlineLvl w:val="0"/>
        <w:rPr>
          <w:rStyle w:val="25"/>
          <w:rFonts w:ascii="黑体" w:hAnsi="黑体" w:eastAsia="黑体"/>
          <w:b w:val="0"/>
        </w:rPr>
      </w:pPr>
      <w:bookmarkStart w:id="50" w:name="_Toc15396613"/>
      <w:bookmarkStart w:id="51" w:name="_Toc15377225"/>
      <w:r>
        <w:rPr>
          <w:rFonts w:hint="eastAsia" w:ascii="黑体" w:hAnsi="黑体" w:eastAsia="黑体"/>
          <w:sz w:val="44"/>
          <w:szCs w:val="44"/>
        </w:rPr>
        <w:t>名</w:t>
      </w:r>
      <w:r>
        <w:rPr>
          <w:rStyle w:val="25"/>
          <w:rFonts w:hint="eastAsia" w:ascii="黑体" w:hAnsi="黑体" w:eastAsia="黑体"/>
          <w:b w:val="0"/>
        </w:rPr>
        <w:t>词解释</w:t>
      </w:r>
      <w:bookmarkEnd w:id="50"/>
      <w:bookmarkEnd w:id="51"/>
    </w:p>
    <w:p>
      <w:pPr>
        <w:spacing w:line="600" w:lineRule="exact"/>
        <w:jc w:val="left"/>
        <w:rPr>
          <w:rFonts w:ascii="宋体"/>
          <w:b/>
          <w:sz w:val="44"/>
          <w:szCs w:val="44"/>
        </w:rPr>
      </w:pPr>
    </w:p>
    <w:p>
      <w:pPr>
        <w:pStyle w:val="23"/>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3"/>
        <w:spacing w:line="560" w:lineRule="exact"/>
        <w:ind w:firstLine="640" w:firstLineChars="200"/>
        <w:rPr>
          <w:rFonts w:hint="eastAsia"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3"/>
        <w:spacing w:line="560" w:lineRule="exact"/>
        <w:ind w:firstLine="640" w:firstLineChars="200"/>
        <w:rPr>
          <w:rFonts w:hint="eastAsia"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3"/>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 xml:space="preserve"> </w:t>
      </w:r>
    </w:p>
    <w:p>
      <w:pPr>
        <w:pStyle w:val="23"/>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23"/>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3"/>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ind w:firstLine="640"/>
        <w:rPr>
          <w:rFonts w:ascii="仿宋" w:hAnsi="仿宋" w:eastAsia="仿宋" w:cs="仿宋"/>
          <w:kern w:val="0"/>
          <w:sz w:val="32"/>
          <w:szCs w:val="32"/>
        </w:rPr>
      </w:pPr>
      <w:r>
        <w:rPr>
          <w:rFonts w:hint="eastAsia" w:ascii="仿宋" w:hAnsi="仿宋" w:eastAsia="仿宋" w:cs="仿宋"/>
          <w:kern w:val="0"/>
          <w:sz w:val="32"/>
          <w:szCs w:val="32"/>
        </w:rPr>
        <w:t>9</w:t>
      </w:r>
      <w:r>
        <w:rPr>
          <w:rFonts w:ascii="仿宋" w:hAnsi="仿宋" w:eastAsia="仿宋" w:cs="仿宋"/>
          <w:kern w:val="0"/>
          <w:sz w:val="32"/>
          <w:szCs w:val="32"/>
        </w:rPr>
        <w:t>.</w:t>
      </w:r>
      <w:r>
        <w:rPr>
          <w:rFonts w:hint="eastAsia" w:ascii="仿宋" w:hAnsi="仿宋" w:eastAsia="仿宋" w:cs="仿宋"/>
          <w:kern w:val="0"/>
          <w:sz w:val="32"/>
          <w:szCs w:val="32"/>
        </w:rPr>
        <w:t>文化旅游体育与传媒（类）文化和旅游（款）图书馆（项）</w:t>
      </w:r>
      <w:r>
        <w:rPr>
          <w:rFonts w:ascii="仿宋" w:hAnsi="仿宋" w:eastAsia="仿宋" w:cs="仿宋"/>
          <w:kern w:val="0"/>
          <w:sz w:val="32"/>
          <w:szCs w:val="32"/>
        </w:rPr>
        <w:t xml:space="preserve">: </w:t>
      </w:r>
      <w:r>
        <w:rPr>
          <w:rFonts w:hint="eastAsia" w:ascii="仿宋" w:hAnsi="仿宋" w:eastAsia="仿宋" w:cs="仿宋"/>
          <w:kern w:val="0"/>
          <w:sz w:val="32"/>
          <w:szCs w:val="32"/>
        </w:rPr>
        <w:t>反映图书馆的支出。</w:t>
      </w:r>
    </w:p>
    <w:p>
      <w:pPr>
        <w:ind w:firstLine="640"/>
        <w:rPr>
          <w:rFonts w:ascii="仿宋" w:hAnsi="仿宋" w:eastAsia="仿宋" w:cs="仿宋"/>
          <w:color w:val="000000"/>
          <w:kern w:val="0"/>
          <w:sz w:val="32"/>
          <w:szCs w:val="32"/>
        </w:rPr>
      </w:pPr>
      <w:r>
        <w:rPr>
          <w:rFonts w:hint="eastAsia" w:ascii="仿宋" w:hAnsi="仿宋" w:eastAsia="仿宋" w:cs="仿宋"/>
          <w:kern w:val="0"/>
          <w:sz w:val="32"/>
          <w:szCs w:val="32"/>
        </w:rPr>
        <w:t>10</w:t>
      </w:r>
      <w:r>
        <w:rPr>
          <w:rFonts w:ascii="仿宋" w:hAnsi="仿宋" w:eastAsia="仿宋" w:cs="仿宋"/>
          <w:kern w:val="0"/>
          <w:sz w:val="32"/>
          <w:szCs w:val="32"/>
        </w:rPr>
        <w:t>.</w:t>
      </w:r>
      <w:r>
        <w:rPr>
          <w:rFonts w:hint="eastAsia" w:ascii="仿宋" w:hAnsi="仿宋" w:eastAsia="仿宋" w:cs="仿宋"/>
          <w:kern w:val="0"/>
          <w:sz w:val="32"/>
          <w:szCs w:val="32"/>
        </w:rPr>
        <w:t>文化旅游体育与传媒（类）文化和旅游（款）其他文化和旅游（项）</w:t>
      </w:r>
      <w:r>
        <w:rPr>
          <w:rFonts w:ascii="仿宋" w:hAnsi="仿宋" w:eastAsia="仿宋" w:cs="仿宋"/>
          <w:kern w:val="0"/>
          <w:sz w:val="32"/>
          <w:szCs w:val="32"/>
        </w:rPr>
        <w:t xml:space="preserve">: </w:t>
      </w:r>
      <w:r>
        <w:rPr>
          <w:rFonts w:hint="eastAsia" w:ascii="仿宋" w:hAnsi="仿宋" w:eastAsia="仿宋" w:cs="仿宋"/>
          <w:kern w:val="0"/>
          <w:sz w:val="32"/>
          <w:szCs w:val="32"/>
        </w:rPr>
        <w:t>反映除上述项目以外其他用于文化和旅游方面的支出。</w:t>
      </w:r>
    </w:p>
    <w:p>
      <w:pPr>
        <w:pStyle w:val="23"/>
        <w:spacing w:line="560" w:lineRule="exact"/>
        <w:ind w:firstLine="640"/>
        <w:rPr>
          <w:rFonts w:hAnsi="仿宋"/>
          <w:sz w:val="32"/>
          <w:szCs w:val="32"/>
        </w:rPr>
      </w:pPr>
      <w:r>
        <w:rPr>
          <w:rFonts w:hint="eastAsia" w:hAnsi="仿宋"/>
          <w:sz w:val="32"/>
          <w:szCs w:val="32"/>
        </w:rPr>
        <w:t>11.社会保障和就业（类）行政事业单位养老支出（款）机关事业单位基本养老保险缴费支出（项）：是指反映机关事业单位实施养老保险制度由单位缴纳的基本养老保险费支出。</w:t>
      </w:r>
    </w:p>
    <w:p>
      <w:pPr>
        <w:pStyle w:val="23"/>
        <w:spacing w:line="560" w:lineRule="exact"/>
        <w:ind w:firstLine="640"/>
        <w:rPr>
          <w:rFonts w:hAnsi="仿宋"/>
          <w:sz w:val="32"/>
          <w:szCs w:val="32"/>
        </w:rPr>
      </w:pPr>
      <w:r>
        <w:rPr>
          <w:rFonts w:hint="eastAsia" w:hAnsi="仿宋"/>
          <w:sz w:val="32"/>
          <w:szCs w:val="32"/>
        </w:rPr>
        <w:t>12.社会保障和就业（类）行政事业单位养老支出（款）机关事业单位职业年金缴费支出（项）:是指反映机关事业单位实施养老保险制度由单位实际缴纳的职业年金支出。</w:t>
      </w:r>
    </w:p>
    <w:p>
      <w:pPr>
        <w:pStyle w:val="23"/>
        <w:spacing w:line="560" w:lineRule="exact"/>
        <w:ind w:firstLine="640"/>
        <w:rPr>
          <w:rFonts w:hAnsi="仿宋"/>
          <w:sz w:val="32"/>
          <w:szCs w:val="32"/>
        </w:rPr>
      </w:pPr>
      <w:r>
        <w:rPr>
          <w:rFonts w:hint="eastAsia" w:hAnsi="仿宋"/>
          <w:sz w:val="32"/>
          <w:szCs w:val="32"/>
        </w:rPr>
        <w:t>1</w:t>
      </w:r>
      <w:r>
        <w:rPr>
          <w:rFonts w:hAnsi="仿宋"/>
          <w:sz w:val="32"/>
          <w:szCs w:val="32"/>
        </w:rPr>
        <w:t>3.</w:t>
      </w:r>
      <w:r>
        <w:rPr>
          <w:rFonts w:hint="eastAsia" w:hAnsi="仿宋"/>
          <w:sz w:val="32"/>
          <w:szCs w:val="32"/>
        </w:rPr>
        <w:t>社会保障和就业（类）其他社会保障和就业支出（款）其他社会保障和就业支出（项）：反映上述项目以外其他用于社会保障和就业方面的支出。</w:t>
      </w:r>
    </w:p>
    <w:p>
      <w:pPr>
        <w:pStyle w:val="23"/>
        <w:spacing w:line="560" w:lineRule="exact"/>
        <w:ind w:firstLine="640"/>
        <w:rPr>
          <w:rFonts w:hAnsi="仿宋"/>
          <w:sz w:val="32"/>
          <w:szCs w:val="32"/>
        </w:rPr>
      </w:pPr>
      <w:r>
        <w:rPr>
          <w:rFonts w:hint="eastAsia" w:hAnsi="仿宋"/>
          <w:sz w:val="32"/>
          <w:szCs w:val="32"/>
        </w:rPr>
        <w:t>1</w:t>
      </w:r>
      <w:r>
        <w:rPr>
          <w:rFonts w:hAnsi="仿宋"/>
          <w:sz w:val="32"/>
          <w:szCs w:val="32"/>
        </w:rPr>
        <w:t>4</w:t>
      </w:r>
      <w:r>
        <w:rPr>
          <w:rFonts w:hint="eastAsia" w:hAnsi="仿宋"/>
          <w:sz w:val="32"/>
          <w:szCs w:val="32"/>
        </w:rPr>
        <w:t>.卫生健康（类）行政事业单位医疗（款）事业单位医疗（项）:反映财政部门安排的事业单位基本医疗保险缴费经费，未参加医疗保险的事业单位的公费医疗经费，按国家规定享受离退休待遇的医疗经费。</w:t>
      </w:r>
    </w:p>
    <w:p>
      <w:pPr>
        <w:pStyle w:val="23"/>
        <w:spacing w:line="560" w:lineRule="exact"/>
        <w:ind w:firstLine="640"/>
        <w:rPr>
          <w:rFonts w:hAnsi="仿宋"/>
          <w:sz w:val="32"/>
          <w:szCs w:val="32"/>
        </w:rPr>
      </w:pPr>
      <w:r>
        <w:rPr>
          <w:rFonts w:hint="eastAsia" w:hAnsi="仿宋"/>
          <w:sz w:val="32"/>
          <w:szCs w:val="32"/>
        </w:rPr>
        <w:t>1</w:t>
      </w:r>
      <w:r>
        <w:rPr>
          <w:rFonts w:hAnsi="仿宋"/>
          <w:sz w:val="32"/>
          <w:szCs w:val="32"/>
        </w:rPr>
        <w:t>5</w:t>
      </w:r>
      <w:r>
        <w:rPr>
          <w:rFonts w:hint="eastAsia" w:hAnsi="仿宋"/>
          <w:sz w:val="32"/>
          <w:szCs w:val="32"/>
        </w:rPr>
        <w:t>. 住房保障（类）住房改革支出（款）住房公积金（项）:是指反映行政事业单位按人力资源和社会保障部、财政部规定的基本工资和津贴补贴以及规定比例为职工缴纳的住房公积金。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经营支出：指事业单位在专业业务活动及其辅助活动之外开展非独立核算经营活动发生的支出。</w:t>
      </w:r>
    </w:p>
    <w:p>
      <w:pPr>
        <w:pStyle w:val="23"/>
        <w:spacing w:line="560" w:lineRule="exact"/>
        <w:ind w:firstLine="640" w:firstLineChars="200"/>
        <w:rPr>
          <w:rFonts w:hAnsi="仿宋"/>
          <w:color w:val="auto"/>
          <w:sz w:val="32"/>
          <w:szCs w:val="32"/>
        </w:rPr>
      </w:pPr>
      <w:r>
        <w:rPr>
          <w:rFonts w:hAnsi="仿宋"/>
          <w:color w:val="auto"/>
          <w:sz w:val="32"/>
          <w:szCs w:val="32"/>
        </w:rPr>
        <w:t>19.</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Ansi="仿宋"/>
          <w:color w:val="auto"/>
          <w:sz w:val="32"/>
          <w:szCs w:val="32"/>
        </w:rPr>
      </w:pPr>
      <w:r>
        <w:rPr>
          <w:rFonts w:hAnsi="仿宋"/>
          <w:color w:val="auto"/>
          <w:sz w:val="32"/>
          <w:szCs w:val="32"/>
        </w:rPr>
        <w:t>20.</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color w:val="auto"/>
          <w:sz w:val="32"/>
          <w:szCs w:val="32"/>
        </w:rPr>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spacing w:line="600" w:lineRule="exact"/>
        <w:jc w:val="center"/>
        <w:outlineLvl w:val="0"/>
        <w:rPr>
          <w:rStyle w:val="25"/>
          <w:rFonts w:ascii="黑体" w:hAnsi="黑体" w:eastAsia="黑体"/>
          <w:b w:val="0"/>
        </w:rPr>
      </w:pPr>
      <w:bookmarkStart w:id="52" w:name="_Toc15396614"/>
      <w:bookmarkStart w:id="53" w:name="_Toc15377226"/>
      <w:r>
        <w:rPr>
          <w:rFonts w:hint="eastAsia" w:ascii="黑体" w:hAnsi="黑体" w:eastAsia="黑体"/>
          <w:sz w:val="44"/>
          <w:szCs w:val="44"/>
          <w:highlight w:val="none"/>
        </w:rPr>
        <w:t>第</w:t>
      </w:r>
      <w:r>
        <w:rPr>
          <w:rStyle w:val="25"/>
          <w:rFonts w:hint="eastAsia" w:ascii="黑体" w:hAnsi="黑体" w:eastAsia="黑体"/>
          <w:b w:val="0"/>
          <w:highlight w:val="none"/>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宋体" w:hAnsi="宋体" w:cs="宋体"/>
          <w:kern w:val="0"/>
          <w:sz w:val="32"/>
          <w:szCs w:val="32"/>
        </w:rPr>
      </w:pPr>
      <w:bookmarkStart w:id="54" w:name="_Toc15396618"/>
      <w:r>
        <w:rPr>
          <w:rFonts w:hint="eastAsia" w:ascii="宋体" w:hAnsi="宋体" w:cs="宋体"/>
          <w:kern w:val="0"/>
          <w:sz w:val="32"/>
          <w:szCs w:val="32"/>
        </w:rPr>
        <w:t>部门预算项目支出绩效自评表（2022年度）</w:t>
      </w:r>
    </w:p>
    <w:p>
      <w:pPr>
        <w:pStyle w:val="12"/>
        <w:rPr>
          <w:rFonts w:hint="eastAsia" w:ascii="宋体" w:hAnsi="宋体" w:cs="宋体"/>
          <w:kern w:val="0"/>
          <w:sz w:val="32"/>
          <w:szCs w:val="32"/>
        </w:rPr>
      </w:pPr>
    </w:p>
    <w:p>
      <w:pPr>
        <w:pStyle w:val="12"/>
        <w:rPr>
          <w:rFonts w:hint="eastAsia" w:ascii="宋体" w:hAnsi="宋体" w:cs="宋体"/>
          <w:kern w:val="0"/>
          <w:sz w:val="32"/>
          <w:szCs w:val="32"/>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3"/>
      <w:bookmarkEnd w:id="54"/>
      <w:bookmarkStart w:id="55" w:name="_Toc15396619"/>
    </w:p>
    <w:p>
      <w:pPr>
        <w:pStyle w:val="3"/>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5"/>
    </w:p>
    <w:p>
      <w:pPr>
        <w:pStyle w:val="3"/>
        <w:rPr>
          <w:rFonts w:ascii="仿宋" w:hAnsi="仿宋" w:eastAsia="仿宋"/>
        </w:rPr>
      </w:pPr>
      <w:bookmarkStart w:id="56" w:name="_Toc15396620"/>
      <w:r>
        <w:rPr>
          <w:rFonts w:hint="eastAsia" w:ascii="仿宋" w:hAnsi="仿宋" w:eastAsia="仿宋"/>
          <w:b w:val="0"/>
        </w:rPr>
        <w:t>二、收</w:t>
      </w:r>
      <w:r>
        <w:rPr>
          <w:rStyle w:val="26"/>
          <w:rFonts w:hint="eastAsia" w:ascii="仿宋" w:hAnsi="仿宋" w:eastAsia="仿宋"/>
          <w:b w:val="0"/>
          <w:bCs w:val="0"/>
        </w:rPr>
        <w:t>入决算表</w:t>
      </w:r>
      <w:bookmarkEnd w:id="56"/>
    </w:p>
    <w:p>
      <w:pPr>
        <w:pStyle w:val="3"/>
        <w:rPr>
          <w:rFonts w:ascii="仿宋" w:hAnsi="仿宋" w:eastAsia="仿宋"/>
        </w:rPr>
      </w:pPr>
      <w:bookmarkStart w:id="57"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7"/>
    </w:p>
    <w:p>
      <w:pPr>
        <w:pStyle w:val="3"/>
        <w:rPr>
          <w:rFonts w:ascii="仿宋" w:hAnsi="仿宋" w:eastAsia="仿宋"/>
          <w:b w:val="0"/>
        </w:rPr>
      </w:pPr>
      <w:bookmarkStart w:id="58"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8"/>
    </w:p>
    <w:p>
      <w:pPr>
        <w:pStyle w:val="3"/>
        <w:rPr>
          <w:rStyle w:val="26"/>
          <w:rFonts w:ascii="仿宋" w:hAnsi="仿宋" w:eastAsia="仿宋"/>
          <w:b w:val="0"/>
          <w:bCs w:val="0"/>
        </w:rPr>
      </w:pPr>
      <w:bookmarkStart w:id="59"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9"/>
      <w:bookmarkStart w:id="60" w:name="_Toc15396624"/>
    </w:p>
    <w:p>
      <w:pPr>
        <w:pStyle w:val="3"/>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0"/>
    </w:p>
    <w:p>
      <w:pPr>
        <w:pStyle w:val="3"/>
        <w:rPr>
          <w:rFonts w:ascii="仿宋" w:hAnsi="仿宋" w:eastAsia="仿宋"/>
        </w:rPr>
      </w:pPr>
      <w:bookmarkStart w:id="61"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1"/>
    </w:p>
    <w:p>
      <w:pPr>
        <w:pStyle w:val="3"/>
        <w:rPr>
          <w:rFonts w:ascii="仿宋" w:hAnsi="仿宋" w:eastAsia="仿宋"/>
        </w:rPr>
      </w:pPr>
      <w:bookmarkStart w:id="62"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2"/>
    </w:p>
    <w:p>
      <w:pPr>
        <w:pStyle w:val="3"/>
        <w:rPr>
          <w:rFonts w:ascii="仿宋" w:hAnsi="仿宋" w:eastAsia="仿宋"/>
        </w:rPr>
      </w:pPr>
      <w:bookmarkStart w:id="63"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3"/>
    </w:p>
    <w:p>
      <w:pPr>
        <w:pStyle w:val="3"/>
        <w:rPr>
          <w:rFonts w:ascii="仿宋" w:hAnsi="仿宋" w:eastAsia="仿宋"/>
        </w:rPr>
      </w:pPr>
      <w:bookmarkStart w:id="64" w:name="_Toc15396628"/>
      <w:r>
        <w:rPr>
          <w:rStyle w:val="26"/>
          <w:rFonts w:hint="eastAsia" w:ascii="仿宋" w:hAnsi="仿宋" w:eastAsia="仿宋"/>
          <w:b w:val="0"/>
          <w:bCs w:val="0"/>
        </w:rPr>
        <w:t>十、</w:t>
      </w:r>
      <w:bookmarkEnd w:id="64"/>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3"/>
        <w:rPr>
          <w:rFonts w:ascii="仿宋" w:hAnsi="仿宋" w:eastAsia="仿宋"/>
        </w:rPr>
      </w:pPr>
      <w:bookmarkStart w:id="65" w:name="_Toc15396629"/>
      <w:r>
        <w:rPr>
          <w:rStyle w:val="26"/>
          <w:rFonts w:hint="eastAsia" w:ascii="仿宋" w:hAnsi="仿宋" w:eastAsia="仿宋"/>
          <w:b w:val="0"/>
          <w:bCs w:val="0"/>
        </w:rPr>
        <w:t>十一、</w:t>
      </w:r>
      <w:bookmarkEnd w:id="65"/>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3"/>
        <w:rPr>
          <w:rFonts w:ascii="仿宋" w:hAnsi="仿宋" w:eastAsia="仿宋"/>
        </w:rPr>
      </w:pPr>
      <w:bookmarkStart w:id="66" w:name="_Toc15396630"/>
      <w:r>
        <w:rPr>
          <w:rStyle w:val="26"/>
          <w:rFonts w:hint="eastAsia" w:ascii="仿宋" w:hAnsi="仿宋" w:eastAsia="仿宋"/>
          <w:b w:val="0"/>
          <w:bCs w:val="0"/>
        </w:rPr>
        <w:t>十二、</w:t>
      </w:r>
      <w:bookmarkEnd w:id="66"/>
      <w:r>
        <w:rPr>
          <w:rStyle w:val="26"/>
          <w:rFonts w:hint="eastAsia" w:ascii="仿宋" w:hAnsi="仿宋" w:eastAsia="仿宋"/>
          <w:b w:val="0"/>
          <w:bCs w:val="0"/>
        </w:rPr>
        <w:t>国有资本经营预算财政拨款支出决算表</w:t>
      </w:r>
    </w:p>
    <w:p>
      <w:pPr>
        <w:pStyle w:val="3"/>
        <w:rPr>
          <w:rFonts w:eastAsia="仿宋"/>
        </w:rPr>
      </w:pPr>
      <w:bookmarkStart w:id="67" w:name="_Toc15396631"/>
      <w:r>
        <w:rPr>
          <w:rStyle w:val="26"/>
          <w:rFonts w:hint="eastAsia" w:ascii="仿宋" w:hAnsi="仿宋" w:eastAsia="仿宋"/>
          <w:b w:val="0"/>
          <w:bCs w:val="0"/>
        </w:rPr>
        <w:t>十三、</w:t>
      </w:r>
      <w:bookmarkEnd w:id="67"/>
      <w:r>
        <w:rPr>
          <w:rStyle w:val="26"/>
          <w:rFonts w:hint="eastAsia" w:ascii="仿宋" w:hAnsi="仿宋" w:eastAsia="仿宋"/>
          <w:b w:val="0"/>
          <w:bCs w:val="0"/>
        </w:rPr>
        <w:t>财政拨款“三公”经费支出决算表</w:t>
      </w:r>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845287"/>
    </w:sdtPr>
    <w:sdtEndPr>
      <w:rPr>
        <w:rFonts w:ascii="仿宋" w:hAnsi="仿宋" w:eastAsia="仿宋"/>
        <w:sz w:val="32"/>
        <w:szCs w:val="32"/>
      </w:rPr>
    </w:sdtEndPr>
    <w:sdtContent>
      <w:p>
        <w:pPr>
          <w:pStyle w:val="8"/>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18</w:t>
        </w:r>
        <w:r>
          <w:rPr>
            <w:rFonts w:ascii="仿宋" w:hAnsi="仿宋" w:eastAsia="仿宋"/>
            <w:sz w:val="32"/>
            <w:szCs w:val="32"/>
          </w:rPr>
          <w:fldChar w:fldCharType="end"/>
        </w:r>
      </w:p>
    </w:sdtContent>
  </w:sdt>
  <w:p>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3046927"/>
    </w:sdtPr>
    <w:sdtEndPr>
      <w:rPr>
        <w:rFonts w:ascii="仿宋" w:hAnsi="仿宋" w:eastAsia="仿宋"/>
        <w:sz w:val="32"/>
        <w:szCs w:val="32"/>
      </w:rPr>
    </w:sdtEndPr>
    <w:sdtContent>
      <w:p>
        <w:pPr>
          <w:pStyle w:val="8"/>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1</w:t>
        </w:r>
        <w:r>
          <w:rPr>
            <w:rFonts w:ascii="仿宋" w:hAnsi="仿宋" w:eastAsia="仿宋"/>
            <w:sz w:val="32"/>
            <w:szCs w:val="32"/>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185C6"/>
    <w:multiLevelType w:val="singleLevel"/>
    <w:tmpl w:val="87B185C6"/>
    <w:lvl w:ilvl="0" w:tentative="0">
      <w:start w:val="2"/>
      <w:numFmt w:val="chineseCounting"/>
      <w:suff w:val="nothing"/>
      <w:lvlText w:val="（%1）"/>
      <w:lvlJc w:val="left"/>
      <w:rPr>
        <w:rFonts w:hint="eastAsia"/>
      </w:rPr>
    </w:lvl>
  </w:abstractNum>
  <w:abstractNum w:abstractNumId="1">
    <w:nsid w:val="AD14326C"/>
    <w:multiLevelType w:val="singleLevel"/>
    <w:tmpl w:val="AD14326C"/>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abstractNum w:abstractNumId="6">
    <w:nsid w:val="43D4D8D0"/>
    <w:multiLevelType w:val="singleLevel"/>
    <w:tmpl w:val="43D4D8D0"/>
    <w:lvl w:ilvl="0" w:tentative="0">
      <w:start w:val="5"/>
      <w:numFmt w:val="decimal"/>
      <w:suff w:val="nothing"/>
      <w:lvlText w:val="%1、"/>
      <w:lvlJc w:val="left"/>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QzODhjNWJjN2IxYTNkMzdhZjg3Y2VkMDNhOWM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97F57"/>
    <w:rsid w:val="000A6A92"/>
    <w:rsid w:val="000B047F"/>
    <w:rsid w:val="000B5923"/>
    <w:rsid w:val="000B5A48"/>
    <w:rsid w:val="000B6FF3"/>
    <w:rsid w:val="000C3467"/>
    <w:rsid w:val="000C3CA6"/>
    <w:rsid w:val="000D1267"/>
    <w:rsid w:val="000D1D50"/>
    <w:rsid w:val="000D5782"/>
    <w:rsid w:val="000E575F"/>
    <w:rsid w:val="000E6613"/>
    <w:rsid w:val="000E7119"/>
    <w:rsid w:val="00114E9B"/>
    <w:rsid w:val="00120E0C"/>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12FB3"/>
    <w:rsid w:val="00220536"/>
    <w:rsid w:val="00230BB9"/>
    <w:rsid w:val="00235629"/>
    <w:rsid w:val="0026031A"/>
    <w:rsid w:val="00260C38"/>
    <w:rsid w:val="002616C0"/>
    <w:rsid w:val="00265372"/>
    <w:rsid w:val="002662AA"/>
    <w:rsid w:val="00267447"/>
    <w:rsid w:val="00280496"/>
    <w:rsid w:val="00294DC9"/>
    <w:rsid w:val="00295495"/>
    <w:rsid w:val="002A31DE"/>
    <w:rsid w:val="002B2613"/>
    <w:rsid w:val="002D6D05"/>
    <w:rsid w:val="002F1818"/>
    <w:rsid w:val="002F567B"/>
    <w:rsid w:val="003216A9"/>
    <w:rsid w:val="00335A74"/>
    <w:rsid w:val="0036561B"/>
    <w:rsid w:val="0037013F"/>
    <w:rsid w:val="00380C92"/>
    <w:rsid w:val="00390E28"/>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D0A"/>
    <w:rsid w:val="00434489"/>
    <w:rsid w:val="00437085"/>
    <w:rsid w:val="004372E6"/>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15EE"/>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22DD"/>
    <w:rsid w:val="006440E4"/>
    <w:rsid w:val="0066343B"/>
    <w:rsid w:val="00664777"/>
    <w:rsid w:val="006748A4"/>
    <w:rsid w:val="00681A31"/>
    <w:rsid w:val="0068247F"/>
    <w:rsid w:val="00682F84"/>
    <w:rsid w:val="00683E73"/>
    <w:rsid w:val="006A3141"/>
    <w:rsid w:val="006A5E34"/>
    <w:rsid w:val="006B2422"/>
    <w:rsid w:val="006B2B9A"/>
    <w:rsid w:val="006C1937"/>
    <w:rsid w:val="006E07CF"/>
    <w:rsid w:val="006F020C"/>
    <w:rsid w:val="006F1245"/>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4839"/>
    <w:rsid w:val="0097099F"/>
    <w:rsid w:val="00971997"/>
    <w:rsid w:val="00971FFC"/>
    <w:rsid w:val="0098660A"/>
    <w:rsid w:val="009931C3"/>
    <w:rsid w:val="009B12F9"/>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39FD"/>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6A0"/>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4B7E"/>
    <w:rsid w:val="00DD73B7"/>
    <w:rsid w:val="00DF28BC"/>
    <w:rsid w:val="00DF34B9"/>
    <w:rsid w:val="00E01053"/>
    <w:rsid w:val="00E07ACF"/>
    <w:rsid w:val="00E16BA8"/>
    <w:rsid w:val="00E2497E"/>
    <w:rsid w:val="00E331A1"/>
    <w:rsid w:val="00E33202"/>
    <w:rsid w:val="00E336A9"/>
    <w:rsid w:val="00E472B1"/>
    <w:rsid w:val="00E50624"/>
    <w:rsid w:val="00E568DF"/>
    <w:rsid w:val="00E64269"/>
    <w:rsid w:val="00E82267"/>
    <w:rsid w:val="00E853CE"/>
    <w:rsid w:val="00E867B6"/>
    <w:rsid w:val="00E91C03"/>
    <w:rsid w:val="00EA010F"/>
    <w:rsid w:val="00EC10C1"/>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0A75"/>
    <w:rsid w:val="00F417B1"/>
    <w:rsid w:val="00F45853"/>
    <w:rsid w:val="00F602DF"/>
    <w:rsid w:val="00F754A1"/>
    <w:rsid w:val="00F81FD9"/>
    <w:rsid w:val="00F841AA"/>
    <w:rsid w:val="00F84A94"/>
    <w:rsid w:val="00F87E96"/>
    <w:rsid w:val="00FA23E8"/>
    <w:rsid w:val="00FD3CC1"/>
    <w:rsid w:val="00FF1E02"/>
    <w:rsid w:val="00FF30B4"/>
    <w:rsid w:val="053A62B5"/>
    <w:rsid w:val="06280EDA"/>
    <w:rsid w:val="09BB1680"/>
    <w:rsid w:val="0A2032A3"/>
    <w:rsid w:val="0B8A37D8"/>
    <w:rsid w:val="10C055FF"/>
    <w:rsid w:val="118107EC"/>
    <w:rsid w:val="11DD6519"/>
    <w:rsid w:val="14CC7265"/>
    <w:rsid w:val="16BB723D"/>
    <w:rsid w:val="18015F3F"/>
    <w:rsid w:val="199A1320"/>
    <w:rsid w:val="1BE8440E"/>
    <w:rsid w:val="1D155CEE"/>
    <w:rsid w:val="20B1784B"/>
    <w:rsid w:val="20F57F95"/>
    <w:rsid w:val="21E27309"/>
    <w:rsid w:val="240371BF"/>
    <w:rsid w:val="25711CC6"/>
    <w:rsid w:val="25C741E6"/>
    <w:rsid w:val="27842671"/>
    <w:rsid w:val="29FD04D3"/>
    <w:rsid w:val="2ABE7A3E"/>
    <w:rsid w:val="2CA234A8"/>
    <w:rsid w:val="2EFA178C"/>
    <w:rsid w:val="30B46D73"/>
    <w:rsid w:val="319F7F4E"/>
    <w:rsid w:val="34A03DCA"/>
    <w:rsid w:val="37294805"/>
    <w:rsid w:val="383D272C"/>
    <w:rsid w:val="39AE70AB"/>
    <w:rsid w:val="3AA70E39"/>
    <w:rsid w:val="3C0C0783"/>
    <w:rsid w:val="3F9F3A96"/>
    <w:rsid w:val="43893CB6"/>
    <w:rsid w:val="48BF60AB"/>
    <w:rsid w:val="493C27E9"/>
    <w:rsid w:val="496F39ED"/>
    <w:rsid w:val="49FF41D3"/>
    <w:rsid w:val="4BE068DB"/>
    <w:rsid w:val="4BF6002B"/>
    <w:rsid w:val="4C573C15"/>
    <w:rsid w:val="4ECE2238"/>
    <w:rsid w:val="51DB4B86"/>
    <w:rsid w:val="55333C3E"/>
    <w:rsid w:val="62286081"/>
    <w:rsid w:val="64CA39A1"/>
    <w:rsid w:val="66EB47E2"/>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qFormat/>
    <w:uiPriority w:val="99"/>
    <w:pPr>
      <w:spacing w:before="240" w:after="60"/>
      <w:jc w:val="center"/>
      <w:outlineLvl w:val="0"/>
    </w:pPr>
    <w:rPr>
      <w:rFonts w:ascii="Arial" w:hAnsi="Arial" w:cs="Arial"/>
      <w:b/>
      <w:bCs/>
      <w:sz w:val="32"/>
      <w:szCs w:val="32"/>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F:\&#39044;&#20915;&#31639;\2022&#24180;&#20915;&#31639;&#20844;&#24320;\&#20915;&#31639;&#20844;&#24320;\&#25991;&#20307;&#26053;&#31995;&#32479;\&#22270;&#20070;&#39302;\&#22270;&#20070;&#39302;&#20915;&#31639;&#20844;&#24320;&#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39044;&#20915;&#31639;\2022&#24180;&#20915;&#31639;&#20844;&#24320;\&#20915;&#31639;&#20844;&#24320;\&#25991;&#20307;&#26053;&#31995;&#32479;\&#22270;&#20070;&#39302;\&#22270;&#20070;&#39302;&#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9044;&#20915;&#31639;\2022&#24180;&#20915;&#31639;&#20844;&#24320;\&#20915;&#31639;&#20844;&#24320;\&#25991;&#20307;&#26053;&#31995;&#32479;\&#22270;&#20070;&#39302;\&#22270;&#20070;&#39302;&#20915;&#31639;&#20844;&#24320;&#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8317201372535"/>
          <c:y val="0.0144927494885457"/>
        </c:manualLayout>
      </c:layout>
      <c:overlay val="0"/>
      <c:spPr>
        <a:solidFill>
          <a:schemeClr val="lt1"/>
        </a:solidFill>
        <a:ln w="6350" cap="flat" cmpd="sng" algn="ctr">
          <a:solidFill>
            <a:schemeClr val="accent5"/>
          </a:solidFill>
          <a:prstDash val="solid"/>
        </a:ln>
        <a:effectLst/>
      </c:spPr>
      <c:txPr>
        <a:bodyPr rot="0" spcFirstLastPara="1" vertOverflow="ellipsis" vert="horz" wrap="square" anchor="ctr" anchorCtr="1"/>
        <a:lstStyle/>
        <a:p>
          <a:pPr>
            <a:defRPr lang="zh-CN" sz="1800" b="1" i="0" u="none" strike="noStrike" kern="1200" cap="all" spc="50" baseline="0">
              <a:solidFill>
                <a:schemeClr val="dk1"/>
              </a:solidFill>
              <a:latin typeface="+mn-lt"/>
              <a:ea typeface="+mn-ea"/>
              <a:cs typeface="+mn-cs"/>
            </a:defRPr>
          </a:pPr>
        </a:p>
      </c:txPr>
    </c:title>
    <c:autoTitleDeleted val="0"/>
    <c:plotArea>
      <c:layout>
        <c:manualLayout>
          <c:layoutTarget val="inner"/>
          <c:xMode val="edge"/>
          <c:yMode val="edge"/>
          <c:x val="0.0936919518723527"/>
          <c:y val="0.175236735891398"/>
          <c:w val="0.589517320235959"/>
          <c:h val="0.62627050772732"/>
        </c:manualLayout>
      </c:layout>
      <c:barChart>
        <c:barDir val="col"/>
        <c:grouping val="clustered"/>
        <c:varyColors val="0"/>
        <c:ser>
          <c:idx val="0"/>
          <c:order val="0"/>
          <c:tx>
            <c:strRef>
              <c:f>'柱1-1'!$B$1</c:f>
              <c:strCache>
                <c:ptCount val="1"/>
                <c:pt idx="0">
                  <c:v>收支决算总计变动情况</c:v>
                </c:pt>
              </c:strCache>
            </c:strRef>
          </c:tx>
          <c:spPr>
            <a:gradFill flip="none" rotWithShape="1">
              <a:gsLst>
                <a:gs pos="100000">
                  <a:schemeClr val="accent1">
                    <a:alpha val="0"/>
                  </a:schemeClr>
                </a:gs>
                <a:gs pos="50000">
                  <a:schemeClr val="accent1"/>
                </a:gs>
              </a:gsLst>
              <a:lin ang="5400000" scaled="0"/>
            </a:gradFill>
            <a:ln>
              <a:noFill/>
            </a:ln>
            <a:effectLst/>
            <a:sp3d/>
          </c:spPr>
          <c:invertIfNegative val="0"/>
          <c:dLbls>
            <c:dLbl>
              <c:idx val="0"/>
              <c:layout>
                <c:manualLayout>
                  <c:x val="0.0388349435394963"/>
                  <c:y val="-0.0217391242328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62459473035299"/>
                  <c:y val="-0.03260868634922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'柱1-1'!$A$2:$A$3</c:f>
              <c:strCache>
                <c:ptCount val="2"/>
                <c:pt idx="0">
                  <c:v>2021年</c:v>
                </c:pt>
                <c:pt idx="1">
                  <c:v>2022年</c:v>
                </c:pt>
              </c:strCache>
            </c:strRef>
          </c:cat>
          <c:val>
            <c:numRef>
              <c:f>'柱1-1'!$B$2:$B$3</c:f>
              <c:numCache>
                <c:formatCode>General</c:formatCode>
                <c:ptCount val="2"/>
                <c:pt idx="0">
                  <c:v>137.44</c:v>
                </c:pt>
                <c:pt idx="1">
                  <c:v>118.36</c:v>
                </c:pt>
              </c:numCache>
            </c:numRef>
          </c:val>
        </c:ser>
        <c:dLbls>
          <c:showLegendKey val="0"/>
          <c:showVal val="0"/>
          <c:showCatName val="0"/>
          <c:showSerName val="0"/>
          <c:showPercent val="0"/>
          <c:showBubbleSize val="0"/>
        </c:dLbls>
        <c:gapWidth val="150"/>
        <c:axId val="439755880"/>
        <c:axId val="439753920"/>
      </c:barChart>
      <c:catAx>
        <c:axId val="439755880"/>
        <c:scaling>
          <c:orientation val="minMax"/>
        </c:scaling>
        <c:delete val="0"/>
        <c:axPos val="b"/>
        <c:title>
          <c:tx>
            <c:rich>
              <a:bodyPr rot="0" spcFirstLastPara="1" vertOverflow="ellipsis" vert="horz" wrap="square" anchor="ctr" anchorCtr="1"/>
              <a:lstStyle/>
              <a:p>
                <a:pPr>
                  <a:defRPr lang="zh-CN" sz="900" b="0" i="0" u="none" strike="noStrike" kern="1200" cap="all" baseline="0">
                    <a:solidFill>
                      <a:schemeClr val="dk1"/>
                    </a:solidFill>
                    <a:latin typeface="+mn-lt"/>
                    <a:ea typeface="+mn-ea"/>
                    <a:cs typeface="+mn-cs"/>
                  </a:defRPr>
                </a:pPr>
                <a:r>
                  <a:rPr lang="zh-CN"/>
                  <a:t>单位：万元</a:t>
                </a:r>
                <a:endParaRPr lang="zh-CN"/>
              </a:p>
            </c:rich>
          </c:tx>
          <c:layout>
            <c:manualLayout>
              <c:xMode val="edge"/>
              <c:yMode val="edge"/>
              <c:x val="0.812206624842759"/>
              <c:y val="0.11104941332173"/>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39753920"/>
        <c:crosses val="autoZero"/>
        <c:auto val="1"/>
        <c:lblAlgn val="ctr"/>
        <c:lblOffset val="100"/>
        <c:noMultiLvlLbl val="0"/>
      </c:catAx>
      <c:valAx>
        <c:axId val="439753920"/>
        <c:scaling>
          <c:orientation val="minMax"/>
          <c:min val="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39755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accent1"/>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收入决算结构图</a:t>
            </a:r>
            <a:endParaRPr lang="zh-CN"/>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
          <c:y val="0.0509259259259259"/>
          <c:w val="0.597265310586177"/>
          <c:h val="0.898148148148148"/>
        </c:manualLayout>
      </c:layout>
      <c:pie3DChart>
        <c:varyColors val="1"/>
        <c:ser>
          <c:idx val="0"/>
          <c:order val="0"/>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Lbls>
            <c:dLbl>
              <c:idx val="0"/>
              <c:layout>
                <c:manualLayout>
                  <c:x val="-0.153098000735725"/>
                  <c:y val="0.056204212577155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0387997919054318"/>
                  <c:y val="-0.0528293284386012"/>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饼1!$A$1:$G$1</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饼1!$A$2:$G$2</c:f>
              <c:numCache>
                <c:formatCode>0.00%</c:formatCode>
                <c:ptCount val="7"/>
                <c:pt idx="0">
                  <c:v>1</c:v>
                </c:pt>
              </c:numCache>
            </c:numRef>
          </c:val>
        </c:ser>
        <c:dLbls>
          <c:showLegendKey val="0"/>
          <c:showVal val="0"/>
          <c:showCatName val="0"/>
          <c:showSerName val="0"/>
          <c:showPercent val="0"/>
          <c:showBubbleSize val="0"/>
        </c:dLbls>
      </c:pie3DChart>
      <c:spPr>
        <a:noFill/>
        <a:ln>
          <a:noFill/>
        </a:ln>
        <a:effectLst/>
      </c:spPr>
    </c:plotArea>
    <c:legend>
      <c:legendPos val="b"/>
      <c:layout>
        <c:manualLayout>
          <c:xMode val="edge"/>
          <c:yMode val="edge"/>
          <c:x val="0.645560087510833"/>
          <c:y val="0.280475990501241"/>
          <c:w val="0.349605819294746"/>
          <c:h val="0.64450271676964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solidFill>
                  <a:sysClr val="windowText" lastClr="000000"/>
                </a:solidFill>
              </a:rPr>
              <a:t>支出决算结构图</a:t>
            </a:r>
            <a:endParaRPr lang="zh-CN">
              <a:solidFill>
                <a:sysClr val="windowText" lastClr="000000"/>
              </a:solidFill>
            </a:endParaRPr>
          </a:p>
        </c:rich>
      </c:tx>
      <c:layout>
        <c:manualLayout>
          <c:xMode val="edge"/>
          <c:yMode val="edge"/>
          <c:x val="0.33612863327149"/>
          <c:y val="0.0396039603960396"/>
        </c:manualLayout>
      </c:layout>
      <c:overlay val="0"/>
      <c:spPr>
        <a:pattFill prst="pct60">
          <a:fgClr>
            <a:schemeClr val="lt1"/>
          </a:fgClr>
          <a:bgClr>
            <a:schemeClr val="tx2">
              <a:lumMod val="20000"/>
              <a:lumOff val="80000"/>
            </a:schemeClr>
          </a:bgClr>
        </a:pattFill>
        <a:ln w="12700" cap="flat" cmpd="sng" algn="ctr">
          <a:solidFill>
            <a:schemeClr val="accent1"/>
          </a:solidFill>
          <a:prstDash val="solid"/>
        </a:ln>
        <a:effectLst/>
      </c:spPr>
    </c:title>
    <c:autoTitleDeleted val="0"/>
    <c:view3D>
      <c:rotX val="30"/>
      <c:rotY val="71"/>
      <c:depthPercent val="100"/>
      <c:rAngAx val="0"/>
    </c:view3D>
    <c:floor>
      <c:thickness val="0"/>
    </c:floor>
    <c:sideWall>
      <c:thickness val="0"/>
    </c:sideWall>
    <c:backWall>
      <c:thickness val="0"/>
    </c:backWall>
    <c:plotArea>
      <c:layout/>
      <c:pie3DChart>
        <c:varyColors val="1"/>
        <c:ser>
          <c:idx val="0"/>
          <c:order val="0"/>
          <c:explosion val="25"/>
          <c:dPt>
            <c:idx val="0"/>
            <c:bubble3D val="0"/>
          </c:dPt>
          <c:dPt>
            <c:idx val="1"/>
            <c:bubble3D val="0"/>
          </c:dPt>
          <c:dPt>
            <c:idx val="2"/>
            <c:bubble3D val="0"/>
          </c:dPt>
          <c:dPt>
            <c:idx val="3"/>
            <c:bubble3D val="0"/>
          </c:dPt>
          <c:dPt>
            <c:idx val="4"/>
            <c:bubble3D val="0"/>
          </c:dPt>
          <c:dLbls>
            <c:dLbl>
              <c:idx val="0"/>
              <c:layout>
                <c:manualLayout>
                  <c:x val="0.0293884210419644"/>
                  <c:y val="0.084634545335572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330942398433962"/>
                  <c:y val="-0.058383358020841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饼2!$A$1:$E$1</c:f>
              <c:strCache>
                <c:ptCount val="5"/>
                <c:pt idx="0">
                  <c:v>基本支出</c:v>
                </c:pt>
                <c:pt idx="1">
                  <c:v>项目支出</c:v>
                </c:pt>
                <c:pt idx="2">
                  <c:v>上缴上级支出</c:v>
                </c:pt>
                <c:pt idx="3">
                  <c:v>经营支出</c:v>
                </c:pt>
                <c:pt idx="4">
                  <c:v>对附属单位补助支出</c:v>
                </c:pt>
              </c:strCache>
            </c:strRef>
          </c:cat>
          <c:val>
            <c:numRef>
              <c:f>饼2!$A$2:$E$2</c:f>
              <c:numCache>
                <c:formatCode>0.00%</c:formatCode>
                <c:ptCount val="5"/>
                <c:pt idx="0">
                  <c:v>0.83364312267658</c:v>
                </c:pt>
                <c:pt idx="1">
                  <c:v>0.16635687732342</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accent1">
          <a:alpha val="49000"/>
        </a:schemeClr>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cap="all" spc="50" baseline="0">
                <a:solidFill>
                  <a:schemeClr val="dk1"/>
                </a:solidFill>
                <a:latin typeface="+mn-lt"/>
                <a:ea typeface="+mn-ea"/>
                <a:cs typeface="+mn-cs"/>
              </a:defRPr>
            </a:pPr>
            <a:r>
              <a:rPr lang="zh-CN"/>
              <a:t>财政拨款收支决算总计变动情况</a:t>
            </a:r>
            <a:endParaRPr lang="zh-CN"/>
          </a:p>
        </c:rich>
      </c:tx>
      <c:layout>
        <c:manualLayout>
          <c:xMode val="edge"/>
          <c:yMode val="edge"/>
          <c:x val="0.162199166280685"/>
          <c:y val="0.0292161060512597"/>
        </c:manualLayout>
      </c:layout>
      <c:overlay val="0"/>
      <c:spPr>
        <a:gradFill flip="none" rotWithShape="1">
          <a:gsLst>
            <a:gs pos="0">
              <a:schemeClr val="accent1">
                <a:lumMod val="13000"/>
                <a:lumOff val="8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3600000" scaled="0"/>
          <a:tileRect/>
        </a:gradFill>
        <a:ln>
          <a:noFill/>
        </a:ln>
        <a:effectLst/>
      </c:spPr>
    </c:title>
    <c:autoTitleDeleted val="0"/>
    <c:plotArea>
      <c:layout>
        <c:manualLayout>
          <c:layoutTarget val="inner"/>
          <c:xMode val="edge"/>
          <c:yMode val="edge"/>
          <c:x val="0.201039030040274"/>
          <c:y val="0.197043396972639"/>
          <c:w val="0.615317147856518"/>
          <c:h val="0.644544692330129"/>
        </c:manualLayout>
      </c:layout>
      <c:barChart>
        <c:barDir val="col"/>
        <c:grouping val="clustered"/>
        <c:varyColors val="0"/>
        <c:ser>
          <c:idx val="0"/>
          <c:order val="0"/>
          <c:tx>
            <c:strRef>
              <c:f>柱2!$B$1</c:f>
              <c:strCache>
                <c:ptCount val="1"/>
                <c:pt idx="0">
                  <c:v>一般公共预算财政拨款支出</c:v>
                </c:pt>
              </c:strCache>
            </c:strRef>
          </c:tx>
          <c:spPr>
            <a:gradFill flip="none" rotWithShape="1">
              <a:gsLst>
                <a:gs pos="100000">
                  <a:schemeClr val="accent1">
                    <a:alpha val="0"/>
                  </a:schemeClr>
                </a:gs>
                <a:gs pos="50000">
                  <a:schemeClr val="accent1"/>
                </a:gs>
              </a:gsLst>
              <a:lin ang="5400000" scaled="0"/>
            </a:gradFill>
            <a:ln>
              <a:noFill/>
            </a:ln>
            <a:effectLst/>
            <a:sp3d/>
          </c:spPr>
          <c:invertIfNegative val="0"/>
          <c:dLbls>
            <c:dLbl>
              <c:idx val="0"/>
              <c:layout>
                <c:manualLayout>
                  <c:x val="0.0242914979757085"/>
                  <c:y val="-0.0240307769747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83142593005834"/>
                  <c:y val="-0.02640635673965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柱2!$A$2:$A$3</c:f>
              <c:strCache>
                <c:ptCount val="2"/>
                <c:pt idx="0">
                  <c:v>2021年</c:v>
                </c:pt>
                <c:pt idx="1">
                  <c:v>2022年</c:v>
                </c:pt>
              </c:strCache>
            </c:strRef>
          </c:cat>
          <c:val>
            <c:numRef>
              <c:f>柱2!$B$2:$B$3</c:f>
              <c:numCache>
                <c:formatCode>General</c:formatCode>
                <c:ptCount val="2"/>
                <c:pt idx="0">
                  <c:v>137.33</c:v>
                </c:pt>
                <c:pt idx="1">
                  <c:v>118.36</c:v>
                </c:pt>
              </c:numCache>
            </c:numRef>
          </c:val>
        </c:ser>
        <c:dLbls>
          <c:showLegendKey val="0"/>
          <c:showVal val="0"/>
          <c:showCatName val="0"/>
          <c:showSerName val="0"/>
          <c:showPercent val="0"/>
          <c:showBubbleSize val="0"/>
        </c:dLbls>
        <c:gapWidth val="150"/>
        <c:axId val="414138560"/>
        <c:axId val="414138952"/>
      </c:barChart>
      <c:catAx>
        <c:axId val="41413856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14138952"/>
        <c:crosses val="autoZero"/>
        <c:auto val="1"/>
        <c:lblAlgn val="ctr"/>
        <c:lblOffset val="100"/>
        <c:noMultiLvlLbl val="0"/>
      </c:catAx>
      <c:valAx>
        <c:axId val="414138952"/>
        <c:scaling>
          <c:orientation val="minMax"/>
          <c:max val="220"/>
          <c:min val="0"/>
        </c:scaling>
        <c:delete val="0"/>
        <c:axPos val="l"/>
        <c:majorGridlines>
          <c:spPr>
            <a:ln w="9525" cap="flat" cmpd="sng" algn="ctr">
              <a:solidFill>
                <a:schemeClr val="tx1">
                  <a:lumMod val="5000"/>
                  <a:lumOff val="95000"/>
                </a:schemeClr>
              </a:solidFill>
              <a:round/>
            </a:ln>
            <a:effectLst/>
          </c:spPr>
        </c:majorGridlines>
        <c:title>
          <c:tx>
            <c:rich>
              <a:bodyPr rot="0" spcFirstLastPara="1" vertOverflow="ellipsis" vert="horz" wrap="square" anchor="ctr" anchorCtr="1"/>
              <a:lstStyle/>
              <a:p>
                <a:pPr>
                  <a:defRPr lang="zh-CN" sz="900" b="0" i="0" u="none" strike="noStrike" kern="1200" cap="all" baseline="0">
                    <a:solidFill>
                      <a:schemeClr val="dk1"/>
                    </a:solidFill>
                    <a:latin typeface="+mn-lt"/>
                    <a:ea typeface="+mn-ea"/>
                    <a:cs typeface="+mn-cs"/>
                  </a:defRPr>
                </a:pPr>
                <a:r>
                  <a:rPr lang="zh-CN"/>
                  <a:t>单位：万元</a:t>
                </a:r>
                <a:endParaRPr lang="zh-CN"/>
              </a:p>
            </c:rich>
          </c:tx>
          <c:layout>
            <c:manualLayout>
              <c:xMode val="edge"/>
              <c:yMode val="edge"/>
              <c:x val="0.828730379290824"/>
              <c:y val="0.1175608694074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14138560"/>
        <c:crosses val="autoZero"/>
        <c:crossBetween val="between"/>
        <c:majorUnit val="30"/>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accent1">
          <a:alpha val="45000"/>
        </a:schemeClr>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cap="all" spc="50" baseline="0">
                <a:solidFill>
                  <a:schemeClr val="dk1"/>
                </a:solidFill>
                <a:latin typeface="+mn-lt"/>
                <a:ea typeface="+mn-ea"/>
                <a:cs typeface="+mn-cs"/>
              </a:defRPr>
            </a:pPr>
            <a:r>
              <a:rPr lang="zh-CN">
                <a:solidFill>
                  <a:schemeClr val="dk1"/>
                </a:solidFill>
                <a:latin typeface="+mn-lt"/>
                <a:ea typeface="+mn-ea"/>
                <a:cs typeface="+mn-cs"/>
              </a:rPr>
              <a:t>一般公共预算财政拨款支出决算变动情况</a:t>
            </a:r>
            <a:endParaRPr lang="zh-CN"/>
          </a:p>
        </c:rich>
      </c:tx>
      <c:layout/>
      <c:overlay val="0"/>
      <c:spPr>
        <a:gradFill>
          <a:gsLst>
            <a:gs pos="2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600000" scaled="0"/>
        </a:gradFill>
        <a:ln w="6350" cap="flat" cmpd="sng" algn="ctr">
          <a:solidFill>
            <a:schemeClr val="accent1">
              <a:alpha val="40000"/>
            </a:schemeClr>
          </a:solidFill>
          <a:prstDash val="solid"/>
        </a:ln>
        <a:effectLst/>
      </c:spPr>
    </c:title>
    <c:autoTitleDeleted val="0"/>
    <c:plotArea>
      <c:layout>
        <c:manualLayout>
          <c:layoutTarget val="inner"/>
          <c:xMode val="edge"/>
          <c:yMode val="edge"/>
          <c:x val="0.0840398345869597"/>
          <c:y val="0.153043165118872"/>
          <c:w val="0.608122476958835"/>
          <c:h val="0.652494823371354"/>
        </c:manualLayout>
      </c:layout>
      <c:barChart>
        <c:barDir val="col"/>
        <c:grouping val="clustered"/>
        <c:varyColors val="0"/>
        <c:ser>
          <c:idx val="0"/>
          <c:order val="0"/>
          <c:tx>
            <c:strRef>
              <c:f>柱3!$B$1</c:f>
              <c:strCache>
                <c:ptCount val="1"/>
                <c:pt idx="0">
                  <c:v>一般公共预算财政拨款支出</c:v>
                </c:pt>
              </c:strCache>
            </c:strRef>
          </c:tx>
          <c:spPr>
            <a:gradFill flip="none" rotWithShape="1">
              <a:gsLst>
                <a:gs pos="100000">
                  <a:schemeClr val="accent1">
                    <a:alpha val="0"/>
                  </a:schemeClr>
                </a:gs>
                <a:gs pos="50000">
                  <a:schemeClr val="accent1"/>
                </a:gs>
              </a:gsLst>
              <a:lin ang="5400000" scaled="0"/>
            </a:gradFill>
            <a:ln>
              <a:noFill/>
            </a:ln>
            <a:effectLst/>
            <a:sp3d/>
          </c:spPr>
          <c:invertIfNegative val="0"/>
          <c:dLbls>
            <c:dLbl>
              <c:idx val="0"/>
              <c:layout>
                <c:manualLayout>
                  <c:x val="0.0213143832367131"/>
                  <c:y val="-0.03166226912928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7874424530301"/>
                  <c:y val="-0.02814423922603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柱3!$A$2:$A$3</c:f>
              <c:strCache>
                <c:ptCount val="2"/>
                <c:pt idx="0">
                  <c:v>2021年</c:v>
                </c:pt>
                <c:pt idx="1">
                  <c:v>2022年</c:v>
                </c:pt>
              </c:strCache>
            </c:strRef>
          </c:cat>
          <c:val>
            <c:numRef>
              <c:f>柱3!$B$2:$B$3</c:f>
              <c:numCache>
                <c:formatCode>General</c:formatCode>
                <c:ptCount val="2"/>
                <c:pt idx="0">
                  <c:v>132.65</c:v>
                </c:pt>
                <c:pt idx="1">
                  <c:v>118.36</c:v>
                </c:pt>
              </c:numCache>
            </c:numRef>
          </c:val>
        </c:ser>
        <c:dLbls>
          <c:showLegendKey val="0"/>
          <c:showVal val="0"/>
          <c:showCatName val="0"/>
          <c:showSerName val="0"/>
          <c:showPercent val="0"/>
          <c:showBubbleSize val="0"/>
        </c:dLbls>
        <c:gapWidth val="150"/>
        <c:axId val="414139736"/>
        <c:axId val="414140128"/>
      </c:barChart>
      <c:catAx>
        <c:axId val="414139736"/>
        <c:scaling>
          <c:orientation val="minMax"/>
        </c:scaling>
        <c:delete val="0"/>
        <c:axPos val="b"/>
        <c:title>
          <c:tx>
            <c:rich>
              <a:bodyPr rot="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zh-CN"/>
                  <a:t>单位：万元</a:t>
                </a:r>
                <a:endParaRPr lang="zh-CN"/>
              </a:p>
            </c:rich>
          </c:tx>
          <c:layout>
            <c:manualLayout>
              <c:xMode val="edge"/>
              <c:yMode val="edge"/>
              <c:x val="0.846682079657239"/>
              <c:y val="0.174534989002916"/>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140128"/>
        <c:crosses val="autoZero"/>
        <c:auto val="1"/>
        <c:lblAlgn val="ctr"/>
        <c:lblOffset val="100"/>
        <c:noMultiLvlLbl val="0"/>
      </c:catAx>
      <c:valAx>
        <c:axId val="414140128"/>
        <c:scaling>
          <c:orientation val="minMax"/>
          <c:max val="200"/>
          <c:min val="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139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2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6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一般公共预算财政拨款支出决算结构</a:t>
            </a:r>
            <a:endParaRPr lang="zh-CN" altLang="en-US"/>
          </a:p>
        </c:rich>
      </c:tx>
      <c:layout/>
      <c:overlay val="0"/>
      <c:spPr>
        <a:gradFill>
          <a:gsLst>
            <a:gs pos="20000">
              <a:schemeClr val="accent1">
                <a:alpha val="77000"/>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600000" scaled="0"/>
        </a:gradFill>
      </c:spPr>
    </c:title>
    <c:autoTitleDeleted val="0"/>
    <c:view3D>
      <c:rotX val="30"/>
      <c:rotY val="39"/>
      <c:depthPercent val="100"/>
      <c:rAngAx val="0"/>
    </c:view3D>
    <c:floor>
      <c:thickness val="0"/>
    </c:floor>
    <c:sideWall>
      <c:thickness val="0"/>
    </c:sideWall>
    <c:backWall>
      <c:thickness val="0"/>
    </c:backWall>
    <c:plotArea>
      <c:layout>
        <c:manualLayout>
          <c:layoutTarget val="inner"/>
          <c:xMode val="edge"/>
          <c:yMode val="edge"/>
          <c:x val="0.0641188369972272"/>
          <c:y val="0.255234941786123"/>
          <c:w val="0.549635369652867"/>
          <c:h val="0.702863449761087"/>
        </c:manualLayout>
      </c:layout>
      <c:pie3D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14448193975753"/>
                  <c:y val="-0.16481512887812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21148282390627"/>
                  <c:y val="0.13215263476680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135932915792933"/>
                  <c:y val="0.072181438858604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48124262244997"/>
                  <c:y val="-0.031001355599780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20864614145454"/>
                  <c:y val="-0.10258213877111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0813526087016901"/>
                  <c:y val="0.00058377318219837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饼3!$A$1:$G$1</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饼3!$A$2:$G$2</c:f>
              <c:numCache>
                <c:formatCode>General</c:formatCode>
                <c:ptCount val="7"/>
                <c:pt idx="3" c:formatCode="0.00%">
                  <c:v>0.840486650895573</c:v>
                </c:pt>
                <c:pt idx="4" c:formatCode="0.00%">
                  <c:v>0.0827982426495438</c:v>
                </c:pt>
                <c:pt idx="5" c:formatCode="0.00%">
                  <c:v>0.0195167286245353</c:v>
                </c:pt>
                <c:pt idx="6" c:formatCode="0.00%">
                  <c:v>0.0571983778303481</c:v>
                </c:pt>
              </c:numCache>
            </c:numRef>
          </c:val>
        </c:ser>
        <c:dLbls>
          <c:showLegendKey val="0"/>
          <c:showVal val="0"/>
          <c:showCatName val="0"/>
          <c:showSerName val="0"/>
          <c:showPercent val="0"/>
          <c:showBubbleSize val="0"/>
        </c:dLbls>
      </c:pie3DChart>
    </c:plotArea>
    <c:legend>
      <c:legendPos val="r"/>
      <c:layout>
        <c:manualLayout>
          <c:xMode val="edge"/>
          <c:yMode val="edge"/>
          <c:x val="0.687279275275776"/>
          <c:y val="0.382519569669176"/>
          <c:w val="0.298611377281544"/>
          <c:h val="0.4647044504052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gradFill>
      <a:gsLst>
        <a:gs pos="2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600000" scaled="0"/>
    </a:gradFill>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23</Pages>
  <Words>5662</Words>
  <Characters>6021</Characters>
  <Lines>72</Lines>
  <Paragraphs>20</Paragraphs>
  <TotalTime>67</TotalTime>
  <ScaleCrop>false</ScaleCrop>
  <LinksUpToDate>false</LinksUpToDate>
  <CharactersWithSpaces>10001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凌云霞</cp:lastModifiedBy>
  <cp:lastPrinted>2023-12-13T03:40:00Z</cp:lastPrinted>
  <dcterms:modified xsi:type="dcterms:W3CDTF">2023-12-14T00:52:53Z</dcterms:modified>
  <dc:title>四川省***</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285C79BF174049C4A7DE83730A40D373_13</vt:lpwstr>
  </property>
</Properties>
</file>