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lang w:val="en-US" w:eastAsia="zh-CN"/>
        </w:rPr>
      </w:pPr>
      <w:bookmarkStart w:id="0" w:name="_Toc15396597"/>
      <w:bookmarkStart w:id="1" w:name="_Toc15377425"/>
      <w:bookmarkStart w:id="2" w:name="_Toc15378441"/>
      <w:bookmarkStart w:id="3" w:name="_Toc15396475"/>
      <w:bookmarkStart w:id="4" w:name="_Toc15377193"/>
      <w:bookmarkStart w:id="5" w:name="_Toc15306267"/>
      <w:bookmarkStart w:id="125" w:name="_GoBack"/>
      <w:bookmarkEnd w:id="125"/>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5887"/>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18271"/>
      <w:bookmarkStart w:id="8" w:name="_Toc15377426"/>
      <w:bookmarkStart w:id="9" w:name="_Toc15396476"/>
      <w:bookmarkStart w:id="10" w:name="_Toc15378442"/>
      <w:bookmarkStart w:id="11" w:name="_Toc15396598"/>
      <w:bookmarkStart w:id="12" w:name="_Toc15377194"/>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lang w:eastAsia="zh-CN"/>
        </w:rPr>
        <w:t>峨眉山市司法局</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9673"/>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黑体" w:hAnsi="黑体" w:eastAsia="黑体"/>
          <w:color w:val="auto"/>
          <w:sz w:val="48"/>
          <w:szCs w:val="48"/>
        </w:rPr>
        <w:sectPr>
          <w:headerReference r:id="rId3" w:type="default"/>
          <w:pgSz w:w="11906" w:h="16838"/>
          <w:pgMar w:top="1440" w:right="1800" w:bottom="1440" w:left="1800" w:header="851" w:footer="992" w:gutter="0"/>
          <w:pgNumType w:fmt="decimal" w:start="1"/>
          <w:cols w:space="425" w:num="1"/>
          <w:titlePg/>
          <w:docGrid w:type="lines" w:linePitch="312" w:charSpace="0"/>
        </w:sectPr>
      </w:pPr>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黑体" w:hAnsi="黑体" w:eastAsia="黑体"/>
          <w:color w:val="auto"/>
          <w:sz w:val="48"/>
          <w:szCs w:val="48"/>
          <w:lang w:eastAsia="zh-CN"/>
        </w:rPr>
      </w:pPr>
      <w:r>
        <w:rPr>
          <w:rFonts w:hint="eastAsia" w:ascii="黑体" w:hAnsi="黑体" w:eastAsia="黑体"/>
          <w:color w:val="auto"/>
          <w:sz w:val="48"/>
          <w:szCs w:val="48"/>
        </w:rPr>
        <w:fldChar w:fldCharType="begin"/>
      </w:r>
      <w:r>
        <w:rPr>
          <w:rFonts w:hint="eastAsia" w:ascii="黑体" w:hAnsi="黑体" w:eastAsia="黑体"/>
          <w:color w:val="auto"/>
          <w:sz w:val="48"/>
          <w:szCs w:val="48"/>
        </w:rPr>
        <w:instrText xml:space="preserve">TOC \o "1-3" \h \u </w:instrText>
      </w:r>
      <w:r>
        <w:rPr>
          <w:rFonts w:hint="eastAsia" w:ascii="黑体" w:hAnsi="黑体" w:eastAsia="黑体"/>
          <w:color w:val="auto"/>
          <w:sz w:val="48"/>
          <w:szCs w:val="48"/>
        </w:rPr>
        <w:fldChar w:fldCharType="separate"/>
      </w:r>
      <w:r>
        <w:rPr>
          <w:rFonts w:hint="eastAsia" w:ascii="黑体" w:hAnsi="黑体" w:eastAsia="黑体"/>
          <w:color w:val="auto"/>
          <w:sz w:val="48"/>
          <w:szCs w:val="48"/>
          <w:lang w:eastAsia="zh-CN"/>
        </w:rPr>
        <w:t>目录</w:t>
      </w:r>
    </w:p>
    <w:p>
      <w:pPr>
        <w:keepNext w:val="0"/>
        <w:keepLines w:val="0"/>
        <w:pageBreakBefore w:val="0"/>
        <w:kinsoku/>
        <w:wordWrap/>
        <w:overflowPunct/>
        <w:topLinePunct w:val="0"/>
        <w:autoSpaceDE/>
        <w:autoSpaceDN/>
        <w:bidi w:val="0"/>
        <w:spacing w:line="600" w:lineRule="exact"/>
        <w:textAlignment w:val="auto"/>
        <w:rPr>
          <w:rFonts w:hint="eastAsia"/>
          <w:lang w:val="en-US" w:eastAsia="zh-CN"/>
        </w:rPr>
      </w:pPr>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_Toc16071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第一部分 </w:t>
      </w:r>
      <w:r>
        <w:rPr>
          <w:rFonts w:hint="eastAsia" w:ascii="宋体" w:hAnsi="宋体" w:eastAsia="宋体" w:cs="宋体"/>
          <w:bCs w:val="0"/>
          <w:color w:val="auto"/>
          <w:sz w:val="24"/>
          <w:szCs w:val="24"/>
        </w:rPr>
        <w:t>部门概况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_Toc16071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_Toc20312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 部门职责</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_Toc20312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二、机</w:t>
      </w:r>
      <w:r>
        <w:rPr>
          <w:rFonts w:hint="eastAsia" w:ascii="宋体" w:hAnsi="宋体" w:eastAsia="宋体" w:cs="宋体"/>
          <w:bCs w:val="0"/>
          <w:color w:val="auto"/>
          <w:sz w:val="24"/>
          <w:szCs w:val="24"/>
        </w:rPr>
        <w:t>构设置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_Toc15528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第二部分 2022年度部门决算情况说明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_Toc15528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_Toc5619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 收入支出决算总体情况说明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_Toc5619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 收入决算情况说明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_Toc19867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_Toc9731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 支出决算情况说明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_Toc9731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四、财政拨款收入支出决算总体情况说明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_Toc18249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五、一般公共预算财政拨款支出决算情况说明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_Toc28808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六、一般公共预算财政拨款基本支出决算情况说明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_Toc28808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_Toc10605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七、财政拨款“三公”经费支出决算情况说明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_Toc10605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_Toc10894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八、政府性基金预算支出决算情况说明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_Toc10894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_Toc26555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九、 国有资本经营预算支出决算情况说明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_Toc26555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_Toc28748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十、 其他重要事项的情况说明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_Toc28748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_Toc20567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第三部分 名词解释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_Toc20567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_Toc15861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第四部分 附件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_Toc15861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_Toc18695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第五部分 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_Toc14948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一、收</w:t>
      </w:r>
      <w:r>
        <w:rPr>
          <w:rFonts w:hint="eastAsia" w:ascii="宋体" w:hAnsi="宋体" w:eastAsia="宋体" w:cs="宋体"/>
          <w:bCs w:val="0"/>
          <w:color w:val="auto"/>
          <w:sz w:val="24"/>
          <w:szCs w:val="24"/>
        </w:rPr>
        <w:t>入支出决算总表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_Toc14948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_Toc21291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二、收</w:t>
      </w:r>
      <w:r>
        <w:rPr>
          <w:rFonts w:hint="eastAsia" w:ascii="宋体" w:hAnsi="宋体" w:eastAsia="宋体" w:cs="宋体"/>
          <w:bCs w:val="0"/>
          <w:color w:val="auto"/>
          <w:sz w:val="24"/>
          <w:szCs w:val="24"/>
        </w:rPr>
        <w:t>入决算表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_Toc21291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_Toc7535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三、</w:t>
      </w:r>
      <w:r>
        <w:rPr>
          <w:rFonts w:hint="eastAsia" w:ascii="宋体" w:hAnsi="宋体" w:eastAsia="宋体" w:cs="宋体"/>
          <w:color w:val="auto"/>
          <w:sz w:val="24"/>
          <w:szCs w:val="24"/>
        </w:rPr>
        <w:t>支</w:t>
      </w:r>
      <w:r>
        <w:rPr>
          <w:rFonts w:hint="eastAsia" w:ascii="宋体" w:hAnsi="宋体" w:eastAsia="宋体" w:cs="宋体"/>
          <w:bCs w:val="0"/>
          <w:color w:val="auto"/>
          <w:sz w:val="24"/>
          <w:szCs w:val="24"/>
        </w:rPr>
        <w:t>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_Toc7535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_Toc12106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四、</w:t>
      </w:r>
      <w:r>
        <w:rPr>
          <w:rFonts w:hint="eastAsia" w:ascii="宋体" w:hAnsi="宋体" w:eastAsia="宋体" w:cs="宋体"/>
          <w:color w:val="auto"/>
          <w:sz w:val="24"/>
          <w:szCs w:val="24"/>
        </w:rPr>
        <w:t>财</w:t>
      </w:r>
      <w:r>
        <w:rPr>
          <w:rFonts w:hint="eastAsia" w:ascii="宋体" w:hAnsi="宋体" w:eastAsia="宋体" w:cs="宋体"/>
          <w:bCs w:val="0"/>
          <w:color w:val="auto"/>
          <w:sz w:val="24"/>
          <w:szCs w:val="24"/>
        </w:rPr>
        <w:t>政拨款收入支出决算总表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_Toc12106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_Toc23671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五、</w:t>
      </w:r>
      <w:r>
        <w:rPr>
          <w:rFonts w:hint="eastAsia" w:ascii="宋体" w:hAnsi="宋体" w:eastAsia="宋体" w:cs="宋体"/>
          <w:color w:val="auto"/>
          <w:sz w:val="24"/>
          <w:szCs w:val="24"/>
        </w:rPr>
        <w:t>财</w:t>
      </w:r>
      <w:r>
        <w:rPr>
          <w:rFonts w:hint="eastAsia" w:ascii="宋体" w:hAnsi="宋体" w:eastAsia="宋体" w:cs="宋体"/>
          <w:bCs w:val="0"/>
          <w:color w:val="auto"/>
          <w:sz w:val="24"/>
          <w:szCs w:val="24"/>
        </w:rPr>
        <w:t>政拨款支出决算明细表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_Toc23671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_Toc20131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六、</w:t>
      </w:r>
      <w:r>
        <w:rPr>
          <w:rFonts w:hint="eastAsia" w:ascii="宋体" w:hAnsi="宋体" w:eastAsia="宋体" w:cs="宋体"/>
          <w:color w:val="auto"/>
          <w:sz w:val="24"/>
          <w:szCs w:val="24"/>
        </w:rPr>
        <w:t>一</w:t>
      </w:r>
      <w:r>
        <w:rPr>
          <w:rFonts w:hint="eastAsia" w:ascii="宋体" w:hAnsi="宋体" w:eastAsia="宋体" w:cs="宋体"/>
          <w:bCs w:val="0"/>
          <w:color w:val="auto"/>
          <w:sz w:val="24"/>
          <w:szCs w:val="24"/>
        </w:rPr>
        <w:t>般公共预算财政拨款支出决算表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_Toc20131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_Toc25916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七、</w:t>
      </w:r>
      <w:r>
        <w:rPr>
          <w:rFonts w:hint="eastAsia" w:ascii="宋体" w:hAnsi="宋体" w:eastAsia="宋体" w:cs="宋体"/>
          <w:color w:val="auto"/>
          <w:sz w:val="24"/>
          <w:szCs w:val="24"/>
        </w:rPr>
        <w:t>一</w:t>
      </w:r>
      <w:r>
        <w:rPr>
          <w:rFonts w:hint="eastAsia" w:ascii="宋体" w:hAnsi="宋体" w:eastAsia="宋体" w:cs="宋体"/>
          <w:bCs w:val="0"/>
          <w:color w:val="auto"/>
          <w:sz w:val="24"/>
          <w:szCs w:val="24"/>
        </w:rPr>
        <w:t>般公共预算财政拨款支出决算明细表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_Toc25916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_Toc2951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八、</w:t>
      </w:r>
      <w:r>
        <w:rPr>
          <w:rFonts w:hint="eastAsia" w:ascii="宋体" w:hAnsi="宋体" w:eastAsia="宋体" w:cs="宋体"/>
          <w:color w:val="auto"/>
          <w:sz w:val="24"/>
          <w:szCs w:val="24"/>
        </w:rPr>
        <w:t>一</w:t>
      </w:r>
      <w:r>
        <w:rPr>
          <w:rFonts w:hint="eastAsia" w:ascii="宋体" w:hAnsi="宋体" w:eastAsia="宋体" w:cs="宋体"/>
          <w:bCs w:val="0"/>
          <w:color w:val="auto"/>
          <w:sz w:val="24"/>
          <w:szCs w:val="24"/>
        </w:rPr>
        <w:t>般公共预算财政拨款基本支出决算表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_Toc1553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九、</w:t>
      </w:r>
      <w:r>
        <w:rPr>
          <w:rFonts w:hint="eastAsia" w:ascii="宋体" w:hAnsi="宋体" w:eastAsia="宋体" w:cs="宋体"/>
          <w:color w:val="auto"/>
          <w:sz w:val="24"/>
          <w:szCs w:val="24"/>
        </w:rPr>
        <w:t>一</w:t>
      </w:r>
      <w:r>
        <w:rPr>
          <w:rFonts w:hint="eastAsia" w:ascii="宋体" w:hAnsi="宋体" w:eastAsia="宋体" w:cs="宋体"/>
          <w:bCs w:val="0"/>
          <w:color w:val="auto"/>
          <w:sz w:val="24"/>
          <w:szCs w:val="24"/>
        </w:rPr>
        <w:t>般公共预算财政拨款项目支出决算表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_Toc2853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十、</w:t>
      </w:r>
      <w:r>
        <w:rPr>
          <w:rFonts w:hint="eastAsia" w:ascii="宋体" w:hAnsi="宋体" w:eastAsia="宋体" w:cs="宋体"/>
          <w:color w:val="auto"/>
          <w:sz w:val="24"/>
          <w:szCs w:val="24"/>
        </w:rPr>
        <w:t>政</w:t>
      </w:r>
      <w:r>
        <w:rPr>
          <w:rFonts w:hint="eastAsia" w:ascii="宋体" w:hAnsi="宋体" w:eastAsia="宋体" w:cs="宋体"/>
          <w:bCs w:val="0"/>
          <w:color w:val="auto"/>
          <w:sz w:val="24"/>
          <w:szCs w:val="24"/>
        </w:rPr>
        <w:t>府性基金预算财政拨款收入支出决算表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_Toc9991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十一、</w:t>
      </w:r>
      <w:r>
        <w:rPr>
          <w:rFonts w:hint="eastAsia" w:ascii="宋体" w:hAnsi="宋体" w:eastAsia="宋体" w:cs="宋体"/>
          <w:color w:val="auto"/>
          <w:sz w:val="24"/>
          <w:szCs w:val="24"/>
        </w:rPr>
        <w:t>国</w:t>
      </w:r>
      <w:r>
        <w:rPr>
          <w:rFonts w:hint="eastAsia" w:ascii="宋体" w:hAnsi="宋体" w:eastAsia="宋体" w:cs="宋体"/>
          <w:bCs w:val="0"/>
          <w:color w:val="auto"/>
          <w:sz w:val="24"/>
          <w:szCs w:val="24"/>
        </w:rPr>
        <w:t>有资本经营预算财政拨款收入支出决算表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_Toc9991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_Toc30325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十二、国有资本经营预算财政拨款支出决算表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_Toc30325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spacing w:line="6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_Toc29082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十三、财政拨款“三公”经费支出决算表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 w:hAnsi="仿宋" w:eastAsia="仿宋"/>
          <w:color w:val="auto"/>
          <w:sz w:val="24"/>
        </w:rPr>
      </w:pPr>
      <w:r>
        <w:rPr>
          <w:rFonts w:hint="eastAsia" w:ascii="黑体" w:hAnsi="黑体" w:eastAsia="黑体"/>
          <w:color w:val="auto"/>
          <w:szCs w:val="48"/>
        </w:rPr>
        <w:fldChar w:fldCharType="end"/>
      </w:r>
    </w:p>
    <w:p>
      <w:pPr>
        <w:widowControl/>
        <w:spacing w:line="440" w:lineRule="exact"/>
        <w:jc w:val="left"/>
        <w:rPr>
          <w:rFonts w:ascii="仿宋" w:hAnsi="仿宋" w:eastAsia="仿宋"/>
          <w:bCs/>
          <w:color w:val="auto"/>
          <w:kern w:val="44"/>
          <w:sz w:val="24"/>
        </w:rPr>
      </w:pPr>
      <w:bookmarkStart w:id="15" w:name="_Toc15377196"/>
      <w:bookmarkStart w:id="16" w:name="_Toc15396599"/>
      <w:r>
        <w:rPr>
          <w:rFonts w:ascii="仿宋" w:hAnsi="仿宋" w:eastAsia="仿宋"/>
          <w:b/>
          <w:color w:val="auto"/>
          <w:sz w:val="24"/>
        </w:rPr>
        <w:br w:type="page"/>
      </w:r>
    </w:p>
    <w:p>
      <w:pPr>
        <w:pStyle w:val="3"/>
        <w:pageBreakBefore w:val="0"/>
        <w:widowControl w:val="0"/>
        <w:kinsoku/>
        <w:wordWrap/>
        <w:topLinePunct w:val="0"/>
        <w:autoSpaceDE/>
        <w:autoSpaceDN/>
        <w:bidi w:val="0"/>
        <w:spacing w:line="600" w:lineRule="exact"/>
        <w:jc w:val="center"/>
        <w:textAlignment w:val="auto"/>
        <w:rPr>
          <w:rFonts w:ascii="黑体" w:eastAsia="黑体"/>
          <w:sz w:val="32"/>
          <w:szCs w:val="32"/>
        </w:rPr>
      </w:pPr>
      <w:bookmarkStart w:id="17" w:name="_Toc16071"/>
      <w:r>
        <w:rPr>
          <w:rFonts w:hint="eastAsia" w:ascii="黑体" w:hAnsi="黑体" w:eastAsia="黑体"/>
          <w:b w:val="0"/>
        </w:rPr>
        <w:t xml:space="preserve">第一部分 </w:t>
      </w:r>
      <w:r>
        <w:rPr>
          <w:rStyle w:val="27"/>
          <w:rFonts w:hint="eastAsia" w:ascii="黑体" w:hAnsi="黑体" w:eastAsia="黑体"/>
          <w:b w:val="0"/>
          <w:bCs w:val="0"/>
        </w:rPr>
        <w:t>部门概况</w:t>
      </w:r>
      <w:bookmarkEnd w:id="15"/>
      <w:bookmarkEnd w:id="16"/>
      <w:bookmarkEnd w:id="17"/>
    </w:p>
    <w:p>
      <w:pPr>
        <w:pStyle w:val="4"/>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 w:val="0"/>
        </w:rPr>
      </w:pPr>
      <w:bookmarkStart w:id="18" w:name="_Toc20312"/>
      <w:r>
        <w:rPr>
          <w:rFonts w:hint="eastAsia" w:ascii="黑体" w:hAnsi="黑体" w:eastAsia="黑体"/>
          <w:b w:val="0"/>
        </w:rPr>
        <w:t>部门职责</w:t>
      </w:r>
      <w:bookmarkEnd w:id="18"/>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19" w:name="_Toc25158"/>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zh-CN"/>
        </w:rPr>
        <w:t>承担依法治市重大问题的政策研究，协调有关方面提出全面依法治市规划建议，负责有关重大决策部署督查工作。</w:t>
      </w:r>
      <w:bookmarkEnd w:id="19"/>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0" w:name="_Toc13449"/>
      <w:r>
        <w:rPr>
          <w:rFonts w:hint="eastAsia" w:hAnsi="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负责协调各部门实施法律、法规、规章中的有关争议和问题。</w:t>
      </w:r>
      <w:bookmarkEnd w:id="20"/>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1" w:name="_Toc20940"/>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val="zh-CN"/>
        </w:rPr>
        <w:t>负责市政府规范性文件、重大行政决策发布前的合法性审查。</w:t>
      </w:r>
      <w:bookmarkEnd w:id="21"/>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2" w:name="_Toc24140"/>
      <w:r>
        <w:rPr>
          <w:rFonts w:hint="eastAsia"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lang w:val="zh-CN"/>
        </w:rPr>
        <w:t>承担统筹推进法治政府建设的责任。指导监督市政府各部门、各乡镇依法行政工作。</w:t>
      </w:r>
      <w:bookmarkEnd w:id="22"/>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3" w:name="_Toc27301"/>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color w:val="000000"/>
          <w:sz w:val="32"/>
          <w:szCs w:val="32"/>
          <w:lang w:val="zh-CN"/>
        </w:rPr>
        <w:t>承担统筹规划法治社会建设的责任。负责拟定法治宣传教育规划，组织实施普法宣传工作，组织对外</w:t>
      </w:r>
      <w:r>
        <w:rPr>
          <w:rFonts w:hint="eastAsia" w:ascii="仿宋_GB2312" w:hAnsi="仿宋_GB2312" w:eastAsia="仿宋_GB2312" w:cs="仿宋_GB2312"/>
          <w:bCs/>
          <w:color w:val="000000"/>
          <w:sz w:val="32"/>
          <w:szCs w:val="32"/>
          <w:highlight w:val="none"/>
          <w:lang w:val="zh-CN"/>
        </w:rPr>
        <w:t>法治宣传</w:t>
      </w:r>
      <w:r>
        <w:rPr>
          <w:rFonts w:hint="eastAsia" w:ascii="仿宋_GB2312" w:hAnsi="仿宋_GB2312" w:eastAsia="仿宋_GB2312" w:cs="仿宋_GB2312"/>
          <w:bCs/>
          <w:color w:val="000000"/>
          <w:sz w:val="32"/>
          <w:szCs w:val="32"/>
          <w:lang w:val="zh-CN"/>
        </w:rPr>
        <w:t>。</w:t>
      </w:r>
      <w:bookmarkEnd w:id="23"/>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4" w:name="_Toc21505"/>
      <w:r>
        <w:rPr>
          <w:rFonts w:hint="eastAsia" w:ascii="仿宋_GB2312" w:hAnsi="仿宋_GB2312" w:eastAsia="仿宋_GB2312" w:cs="仿宋_GB2312"/>
          <w:bCs/>
          <w:color w:val="000000"/>
          <w:sz w:val="32"/>
          <w:szCs w:val="32"/>
        </w:rPr>
        <w:t>6.</w:t>
      </w:r>
      <w:r>
        <w:rPr>
          <w:rFonts w:hint="eastAsia" w:ascii="仿宋_GB2312" w:hAnsi="仿宋_GB2312" w:eastAsia="仿宋_GB2312" w:cs="仿宋_GB2312"/>
          <w:bCs/>
          <w:color w:val="000000"/>
          <w:sz w:val="32"/>
          <w:szCs w:val="32"/>
          <w:lang w:val="zh-CN"/>
        </w:rPr>
        <w:t>指导管理全市社区矫正工作。</w:t>
      </w:r>
      <w:r>
        <w:rPr>
          <w:rFonts w:hint="eastAsia" w:ascii="仿宋_GB2312" w:hAnsi="仿宋_GB2312" w:eastAsia="仿宋_GB2312" w:cs="仿宋_GB2312"/>
          <w:bCs/>
          <w:color w:val="000000"/>
          <w:sz w:val="32"/>
          <w:szCs w:val="32"/>
          <w:highlight w:val="none"/>
          <w:lang w:val="zh-CN"/>
        </w:rPr>
        <w:t>指导刑</w:t>
      </w:r>
      <w:r>
        <w:rPr>
          <w:rFonts w:hint="eastAsia" w:ascii="仿宋_GB2312" w:hAnsi="仿宋_GB2312" w:eastAsia="仿宋_GB2312" w:cs="仿宋_GB2312"/>
          <w:bCs/>
          <w:color w:val="000000"/>
          <w:sz w:val="32"/>
          <w:szCs w:val="32"/>
          <w:lang w:val="zh-CN"/>
        </w:rPr>
        <w:t>满释放人员帮教安置工作。</w:t>
      </w:r>
      <w:bookmarkEnd w:id="24"/>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5" w:name="_Toc16614"/>
      <w:r>
        <w:rPr>
          <w:rFonts w:hint="eastAsia" w:ascii="仿宋_GB2312" w:hAnsi="仿宋_GB2312" w:eastAsia="仿宋_GB2312" w:cs="仿宋_GB2312"/>
          <w:bCs/>
          <w:color w:val="000000"/>
          <w:sz w:val="32"/>
          <w:szCs w:val="32"/>
        </w:rPr>
        <w:t>7.</w:t>
      </w:r>
      <w:r>
        <w:rPr>
          <w:rFonts w:hint="eastAsia" w:ascii="仿宋_GB2312" w:hAnsi="仿宋_GB2312" w:eastAsia="仿宋_GB2312" w:cs="仿宋_GB2312"/>
          <w:bCs/>
          <w:color w:val="000000"/>
          <w:sz w:val="32"/>
          <w:szCs w:val="32"/>
          <w:lang w:val="zh-CN"/>
        </w:rPr>
        <w:t>负责拟定全市公共法律服务体系建设规划并指导实施，统筹和布局全市城乡、区域法律服务资源。</w:t>
      </w:r>
      <w:bookmarkEnd w:id="25"/>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6" w:name="_Toc17081"/>
      <w:r>
        <w:rPr>
          <w:rFonts w:hint="eastAsia" w:ascii="仿宋_GB2312" w:hAnsi="仿宋_GB2312" w:eastAsia="仿宋_GB2312" w:cs="仿宋_GB2312"/>
          <w:bCs/>
          <w:color w:val="000000"/>
          <w:sz w:val="32"/>
          <w:szCs w:val="32"/>
        </w:rPr>
        <w:t>8.</w:t>
      </w:r>
      <w:r>
        <w:rPr>
          <w:rFonts w:hint="eastAsia" w:ascii="仿宋_GB2312" w:hAnsi="仿宋_GB2312" w:eastAsia="仿宋_GB2312" w:cs="仿宋_GB2312"/>
          <w:bCs/>
          <w:color w:val="000000"/>
          <w:sz w:val="32"/>
          <w:szCs w:val="32"/>
          <w:lang w:val="zh-CN"/>
        </w:rPr>
        <w:t>规划、协调、指导法治人才队伍建设相关工作，指导监督本系统队伍建设。</w:t>
      </w:r>
      <w:bookmarkEnd w:id="26"/>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7" w:name="_Toc22892"/>
      <w:r>
        <w:rPr>
          <w:rFonts w:hint="eastAsia" w:ascii="仿宋_GB2312" w:hAnsi="仿宋_GB2312" w:eastAsia="仿宋_GB2312" w:cs="仿宋_GB2312"/>
          <w:bCs/>
          <w:color w:val="000000"/>
          <w:sz w:val="32"/>
          <w:szCs w:val="32"/>
        </w:rPr>
        <w:t>9.</w:t>
      </w:r>
      <w:r>
        <w:rPr>
          <w:rFonts w:hint="eastAsia" w:ascii="仿宋_GB2312" w:hAnsi="仿宋_GB2312" w:eastAsia="仿宋_GB2312" w:cs="仿宋_GB2312"/>
          <w:bCs/>
          <w:color w:val="000000"/>
          <w:sz w:val="32"/>
          <w:szCs w:val="32"/>
          <w:lang w:val="zh-CN"/>
        </w:rPr>
        <w:t>负责全市外来企业投诉处理和民营企业法律服务工作。</w:t>
      </w:r>
      <w:bookmarkEnd w:id="27"/>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rPr>
          <w:rFonts w:hint="eastAsia" w:ascii="仿宋_GB2312" w:hAnsi="仿宋_GB2312" w:eastAsia="仿宋_GB2312" w:cs="仿宋_GB2312"/>
          <w:bCs/>
          <w:color w:val="000000"/>
          <w:sz w:val="32"/>
          <w:szCs w:val="32"/>
          <w:lang w:val="zh-CN"/>
        </w:rPr>
      </w:pPr>
      <w:bookmarkStart w:id="28" w:name="_Toc8130"/>
      <w:r>
        <w:rPr>
          <w:rFonts w:hint="eastAsia" w:ascii="仿宋_GB2312" w:hAnsi="仿宋_GB2312" w:eastAsia="仿宋_GB2312" w:cs="仿宋_GB2312"/>
          <w:bCs/>
          <w:color w:val="000000"/>
          <w:sz w:val="32"/>
          <w:szCs w:val="32"/>
        </w:rPr>
        <w:t>10.</w:t>
      </w:r>
      <w:r>
        <w:rPr>
          <w:rFonts w:hint="eastAsia" w:ascii="仿宋_GB2312" w:hAnsi="仿宋_GB2312" w:eastAsia="仿宋_GB2312" w:cs="仿宋_GB2312"/>
          <w:bCs/>
          <w:color w:val="000000"/>
          <w:sz w:val="32"/>
          <w:szCs w:val="32"/>
          <w:lang w:val="zh-CN"/>
        </w:rPr>
        <w:t>负责职责范围内的安全生产和职业健康、生态环境保护、审批服务便民化等工作。</w:t>
      </w:r>
      <w:bookmarkEnd w:id="28"/>
    </w:p>
    <w:p>
      <w:pPr>
        <w:pStyle w:val="6"/>
        <w:keepNext w:val="0"/>
        <w:keepLines w:val="0"/>
        <w:pageBreakBefore w:val="0"/>
        <w:widowControl w:val="0"/>
        <w:kinsoku/>
        <w:wordWrap/>
        <w:overflowPunct w:val="0"/>
        <w:topLinePunct w:val="0"/>
        <w:autoSpaceDE/>
        <w:autoSpaceDN/>
        <w:bidi w:val="0"/>
        <w:adjustRightInd w:val="0"/>
        <w:snapToGrid w:val="0"/>
        <w:spacing w:before="93" w:line="600" w:lineRule="exact"/>
        <w:ind w:firstLine="640" w:firstLineChars="200"/>
        <w:jc w:val="both"/>
        <w:textAlignment w:val="auto"/>
        <w:outlineLvl w:val="2"/>
      </w:pPr>
      <w:bookmarkStart w:id="29" w:name="_Toc20641"/>
      <w:r>
        <w:rPr>
          <w:rFonts w:hint="eastAsia" w:ascii="仿宋_GB2312" w:hAnsi="仿宋_GB2312" w:eastAsia="仿宋_GB2312" w:cs="仿宋_GB2312"/>
          <w:bCs/>
          <w:color w:val="000000"/>
          <w:sz w:val="32"/>
          <w:szCs w:val="32"/>
        </w:rPr>
        <w:t>11.</w:t>
      </w:r>
      <w:r>
        <w:rPr>
          <w:rFonts w:hint="eastAsia" w:ascii="仿宋_GB2312" w:hAnsi="仿宋_GB2312" w:eastAsia="仿宋_GB2312" w:cs="仿宋_GB2312"/>
          <w:bCs/>
          <w:color w:val="000000"/>
          <w:sz w:val="32"/>
          <w:szCs w:val="32"/>
          <w:lang w:val="zh-CN"/>
        </w:rPr>
        <w:t>完成市委、市政府交办的其他工作。</w:t>
      </w:r>
      <w:bookmarkEnd w:id="29"/>
    </w:p>
    <w:p>
      <w:pPr>
        <w:pStyle w:val="4"/>
        <w:pageBreakBefore w:val="0"/>
        <w:widowControl w:val="0"/>
        <w:kinsoku/>
        <w:wordWrap/>
        <w:topLinePunct w:val="0"/>
        <w:autoSpaceDE/>
        <w:autoSpaceDN/>
        <w:bidi w:val="0"/>
        <w:spacing w:line="600" w:lineRule="exact"/>
        <w:ind w:firstLine="640" w:firstLineChars="200"/>
        <w:textAlignment w:val="auto"/>
        <w:rPr>
          <w:rStyle w:val="28"/>
          <w:b w:val="0"/>
          <w:bCs w:val="0"/>
        </w:rPr>
      </w:pPr>
      <w:bookmarkStart w:id="30" w:name="_Toc15377200"/>
      <w:bookmarkStart w:id="31" w:name="_Toc15396601"/>
      <w:bookmarkStart w:id="32" w:name="_Toc225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30"/>
      <w:bookmarkEnd w:id="31"/>
      <w:bookmarkEnd w:id="32"/>
    </w:p>
    <w:p>
      <w:pPr>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Cs/>
          <w:color w:val="000000"/>
          <w:kern w:val="0"/>
          <w:sz w:val="32"/>
          <w:szCs w:val="32"/>
          <w:lang w:val="zh-CN" w:eastAsia="zh-CN" w:bidi="ar-SA"/>
        </w:rPr>
      </w:pPr>
      <w:r>
        <w:rPr>
          <w:rFonts w:hint="eastAsia" w:ascii="仿宋_GB2312" w:hAnsi="仿宋_GB2312" w:eastAsia="仿宋_GB2312" w:cs="仿宋_GB2312"/>
          <w:bCs/>
          <w:color w:val="000000"/>
          <w:kern w:val="0"/>
          <w:sz w:val="32"/>
          <w:szCs w:val="32"/>
          <w:lang w:val="zh-CN" w:eastAsia="zh-CN" w:bidi="ar-SA"/>
        </w:rPr>
        <w:t>峨眉山市司法局下属二级单位</w:t>
      </w:r>
      <w:r>
        <w:rPr>
          <w:rFonts w:hint="eastAsia" w:ascii="仿宋_GB2312" w:hAnsi="仿宋_GB2312" w:eastAsia="仿宋_GB2312" w:cs="仿宋_GB2312"/>
          <w:bCs/>
          <w:color w:val="000000"/>
          <w:kern w:val="0"/>
          <w:sz w:val="32"/>
          <w:szCs w:val="32"/>
          <w:lang w:val="en-US" w:eastAsia="zh-CN" w:bidi="ar-SA"/>
        </w:rPr>
        <w:t>2</w:t>
      </w:r>
      <w:r>
        <w:rPr>
          <w:rFonts w:hint="eastAsia" w:ascii="仿宋_GB2312" w:hAnsi="仿宋_GB2312" w:eastAsia="仿宋_GB2312" w:cs="仿宋_GB2312"/>
          <w:bCs/>
          <w:color w:val="000000"/>
          <w:kern w:val="0"/>
          <w:sz w:val="32"/>
          <w:szCs w:val="32"/>
          <w:lang w:val="zh-CN" w:eastAsia="zh-CN" w:bidi="ar-SA"/>
        </w:rPr>
        <w:t>个，其中行政单位</w:t>
      </w:r>
      <w:r>
        <w:rPr>
          <w:rFonts w:hint="eastAsia" w:ascii="仿宋_GB2312" w:hAnsi="仿宋_GB2312" w:eastAsia="仿宋_GB2312" w:cs="仿宋_GB2312"/>
          <w:bCs/>
          <w:color w:val="000000"/>
          <w:kern w:val="0"/>
          <w:sz w:val="32"/>
          <w:szCs w:val="32"/>
          <w:lang w:val="en-US" w:eastAsia="zh-CN" w:bidi="ar-SA"/>
        </w:rPr>
        <w:t>0</w:t>
      </w:r>
      <w:r>
        <w:rPr>
          <w:rFonts w:hint="eastAsia" w:ascii="仿宋_GB2312" w:hAnsi="仿宋_GB2312" w:eastAsia="仿宋_GB2312" w:cs="仿宋_GB2312"/>
          <w:bCs/>
          <w:color w:val="000000"/>
          <w:kern w:val="0"/>
          <w:sz w:val="32"/>
          <w:szCs w:val="32"/>
          <w:lang w:val="zh-CN" w:eastAsia="zh-CN" w:bidi="ar-SA"/>
        </w:rPr>
        <w:t>个，参照公务员法管理的事业单位</w:t>
      </w:r>
      <w:r>
        <w:rPr>
          <w:rFonts w:hint="eastAsia" w:ascii="仿宋_GB2312" w:hAnsi="仿宋_GB2312" w:eastAsia="仿宋_GB2312" w:cs="仿宋_GB2312"/>
          <w:bCs/>
          <w:color w:val="000000"/>
          <w:kern w:val="0"/>
          <w:sz w:val="32"/>
          <w:szCs w:val="32"/>
          <w:lang w:val="en-US" w:eastAsia="zh-CN" w:bidi="ar-SA"/>
        </w:rPr>
        <w:t>1</w:t>
      </w:r>
      <w:r>
        <w:rPr>
          <w:rFonts w:hint="eastAsia" w:ascii="仿宋_GB2312" w:hAnsi="仿宋_GB2312" w:eastAsia="仿宋_GB2312" w:cs="仿宋_GB2312"/>
          <w:bCs/>
          <w:color w:val="000000"/>
          <w:kern w:val="0"/>
          <w:sz w:val="32"/>
          <w:szCs w:val="32"/>
          <w:lang w:val="zh-CN" w:eastAsia="zh-CN" w:bidi="ar-SA"/>
        </w:rPr>
        <w:t>个，其他事业单位</w:t>
      </w:r>
      <w:r>
        <w:rPr>
          <w:rFonts w:hint="eastAsia" w:ascii="仿宋_GB2312" w:hAnsi="仿宋_GB2312" w:eastAsia="仿宋_GB2312" w:cs="仿宋_GB2312"/>
          <w:bCs/>
          <w:color w:val="000000"/>
          <w:kern w:val="0"/>
          <w:sz w:val="32"/>
          <w:szCs w:val="32"/>
          <w:lang w:val="en-US" w:eastAsia="zh-CN" w:bidi="ar-SA"/>
        </w:rPr>
        <w:t>1</w:t>
      </w:r>
      <w:r>
        <w:rPr>
          <w:rFonts w:hint="eastAsia" w:ascii="仿宋_GB2312" w:hAnsi="仿宋_GB2312" w:eastAsia="仿宋_GB2312" w:cs="仿宋_GB2312"/>
          <w:bCs/>
          <w:color w:val="000000"/>
          <w:kern w:val="0"/>
          <w:sz w:val="32"/>
          <w:szCs w:val="32"/>
          <w:lang w:val="zh-CN" w:eastAsia="zh-CN" w:bidi="ar-SA"/>
        </w:rPr>
        <w:t>个。</w:t>
      </w:r>
    </w:p>
    <w:p>
      <w:pPr>
        <w:pageBreakBefore w:val="0"/>
        <w:widowControl w:val="0"/>
        <w:kinsoku/>
        <w:wordWrap/>
        <w:topLinePunct w:val="0"/>
        <w:autoSpaceDE/>
        <w:autoSpaceDN/>
        <w:bidi w:val="0"/>
        <w:spacing w:line="600" w:lineRule="exact"/>
        <w:ind w:firstLine="640" w:firstLineChars="200"/>
        <w:textAlignment w:val="auto"/>
        <w:rPr>
          <w:rFonts w:ascii="仿宋" w:hAnsi="仿宋" w:eastAsia="仿宋"/>
          <w:kern w:val="0"/>
          <w:sz w:val="32"/>
          <w:szCs w:val="32"/>
        </w:rPr>
      </w:pPr>
      <w:r>
        <w:rPr>
          <w:rFonts w:hint="eastAsia" w:ascii="仿宋_GB2312" w:hAnsi="仿宋_GB2312" w:eastAsia="仿宋_GB2312" w:cs="仿宋_GB2312"/>
          <w:bCs/>
          <w:color w:val="000000"/>
          <w:kern w:val="0"/>
          <w:sz w:val="32"/>
          <w:szCs w:val="32"/>
          <w:lang w:val="zh-CN" w:eastAsia="zh-CN" w:bidi="ar-SA"/>
        </w:rPr>
        <w:t>无纳入司法局202</w:t>
      </w:r>
      <w:r>
        <w:rPr>
          <w:rFonts w:hint="eastAsia" w:ascii="仿宋_GB2312" w:hAnsi="仿宋_GB2312" w:eastAsia="仿宋_GB2312" w:cs="仿宋_GB2312"/>
          <w:bCs/>
          <w:color w:val="000000"/>
          <w:kern w:val="0"/>
          <w:sz w:val="32"/>
          <w:szCs w:val="32"/>
          <w:lang w:val="en-US" w:eastAsia="zh-CN" w:bidi="ar-SA"/>
        </w:rPr>
        <w:t>2</w:t>
      </w:r>
      <w:r>
        <w:rPr>
          <w:rFonts w:hint="eastAsia" w:ascii="仿宋_GB2312" w:hAnsi="仿宋_GB2312" w:eastAsia="仿宋_GB2312" w:cs="仿宋_GB2312"/>
          <w:bCs/>
          <w:color w:val="000000"/>
          <w:kern w:val="0"/>
          <w:sz w:val="32"/>
          <w:szCs w:val="32"/>
          <w:lang w:val="zh-CN" w:eastAsia="zh-CN" w:bidi="ar-SA"/>
        </w:rPr>
        <w:t>年度部门决算编制范围的二级预算单位。</w:t>
      </w:r>
      <w:r>
        <w:rPr>
          <w:rFonts w:ascii="仿宋" w:hAnsi="仿宋" w:eastAsia="仿宋"/>
          <w:sz w:val="32"/>
          <w:szCs w:val="32"/>
        </w:rPr>
        <w:br w:type="page"/>
      </w:r>
    </w:p>
    <w:p>
      <w:pPr>
        <w:pStyle w:val="3"/>
        <w:pageBreakBefore w:val="0"/>
        <w:widowControl w:val="0"/>
        <w:kinsoku/>
        <w:wordWrap/>
        <w:overflowPunct/>
        <w:topLinePunct w:val="0"/>
        <w:autoSpaceDE/>
        <w:autoSpaceDN/>
        <w:bidi w:val="0"/>
        <w:adjustRightInd/>
        <w:snapToGrid/>
        <w:spacing w:line="600" w:lineRule="atLeast"/>
        <w:ind w:right="440"/>
        <w:jc w:val="center"/>
        <w:textAlignment w:val="auto"/>
        <w:rPr>
          <w:rStyle w:val="27"/>
          <w:rFonts w:ascii="黑体" w:hAnsi="黑体" w:eastAsia="黑体"/>
          <w:b w:val="0"/>
          <w:bCs/>
        </w:rPr>
      </w:pPr>
      <w:bookmarkStart w:id="33" w:name="_Toc15396602"/>
      <w:bookmarkStart w:id="34" w:name="_Toc15377204"/>
      <w:bookmarkStart w:id="35" w:name="_Toc15528"/>
      <w:r>
        <w:rPr>
          <w:rFonts w:hint="eastAsia" w:ascii="黑体" w:hAnsi="黑体" w:eastAsia="黑体"/>
          <w:b w:val="0"/>
        </w:rPr>
        <w:t>第二部分 2022年度</w:t>
      </w:r>
      <w:r>
        <w:rPr>
          <w:rStyle w:val="27"/>
          <w:rFonts w:hint="eastAsia" w:ascii="黑体" w:hAnsi="黑体" w:eastAsia="黑体"/>
          <w:b w:val="0"/>
          <w:bCs/>
        </w:rPr>
        <w:t>部门决算情况说明</w:t>
      </w:r>
      <w:bookmarkEnd w:id="33"/>
      <w:bookmarkEnd w:id="34"/>
      <w:bookmarkEnd w:id="35"/>
    </w:p>
    <w:p>
      <w:pPr>
        <w:pageBreakBefore w:val="0"/>
        <w:widowControl w:val="0"/>
        <w:kinsoku/>
        <w:wordWrap/>
        <w:overflowPunct/>
        <w:topLinePunct w:val="0"/>
        <w:autoSpaceDE/>
        <w:autoSpaceDN/>
        <w:bidi w:val="0"/>
        <w:adjustRightInd/>
        <w:snapToGrid/>
        <w:spacing w:line="600" w:lineRule="atLeast"/>
        <w:textAlignment w:val="auto"/>
      </w:pPr>
    </w:p>
    <w:p>
      <w:pPr>
        <w:pStyle w:val="26"/>
        <w:pageBreakBefore w:val="0"/>
        <w:widowControl w:val="0"/>
        <w:numPr>
          <w:ilvl w:val="0"/>
          <w:numId w:val="2"/>
        </w:numPr>
        <w:kinsoku/>
        <w:wordWrap/>
        <w:overflowPunct/>
        <w:topLinePunct w:val="0"/>
        <w:autoSpaceDE/>
        <w:autoSpaceDN/>
        <w:bidi w:val="0"/>
        <w:adjustRightInd/>
        <w:snapToGrid/>
        <w:spacing w:line="600" w:lineRule="atLeast"/>
        <w:ind w:firstLineChars="0"/>
        <w:textAlignment w:val="auto"/>
        <w:outlineLvl w:val="1"/>
        <w:rPr>
          <w:rStyle w:val="28"/>
          <w:rFonts w:ascii="黑体" w:hAnsi="黑体" w:eastAsia="黑体"/>
          <w:b w:val="0"/>
        </w:rPr>
      </w:pPr>
      <w:bookmarkStart w:id="36" w:name="_Toc15396603"/>
      <w:bookmarkStart w:id="37" w:name="_Toc15377205"/>
      <w:bookmarkStart w:id="38" w:name="_Toc5619"/>
      <w:r>
        <w:rPr>
          <w:rFonts w:hint="eastAsia" w:ascii="黑体" w:hAnsi="黑体" w:eastAsia="黑体"/>
          <w:sz w:val="32"/>
          <w:szCs w:val="32"/>
        </w:rPr>
        <w:t>收</w:t>
      </w:r>
      <w:r>
        <w:rPr>
          <w:rStyle w:val="28"/>
          <w:rFonts w:hint="eastAsia" w:ascii="黑体" w:hAnsi="黑体" w:eastAsia="黑体"/>
          <w:b w:val="0"/>
        </w:rPr>
        <w:t>入支出决算总体情况说明</w:t>
      </w:r>
      <w:bookmarkEnd w:id="36"/>
      <w:bookmarkEnd w:id="37"/>
      <w:bookmarkEnd w:id="38"/>
    </w:p>
    <w:p>
      <w:pPr>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rPr>
        <w:t>2022年度收、支总计</w:t>
      </w:r>
      <w:r>
        <w:rPr>
          <w:rFonts w:hint="eastAsia" w:ascii="仿宋_GB2312" w:hAnsi="仿宋_GB2312" w:eastAsia="仿宋_GB2312" w:cs="仿宋_GB2312"/>
          <w:sz w:val="32"/>
          <w:szCs w:val="32"/>
          <w:lang w:val="en-US" w:eastAsia="zh-CN"/>
        </w:rPr>
        <w:t>1237.13</w:t>
      </w:r>
      <w:r>
        <w:rPr>
          <w:rFonts w:hint="eastAsia" w:ascii="仿宋_GB2312" w:hAnsi="仿宋_GB2312" w:eastAsia="仿宋_GB2312" w:cs="仿宋_GB2312"/>
          <w:sz w:val="32"/>
          <w:szCs w:val="32"/>
        </w:rPr>
        <w:t>万元。与2021年相比，收、支总计各减少</w:t>
      </w:r>
      <w:r>
        <w:rPr>
          <w:rFonts w:hint="eastAsia" w:ascii="仿宋_GB2312" w:hAnsi="仿宋_GB2312" w:eastAsia="仿宋_GB2312" w:cs="仿宋_GB2312"/>
          <w:sz w:val="32"/>
          <w:szCs w:val="32"/>
          <w:lang w:val="en-US" w:eastAsia="zh-CN"/>
        </w:rPr>
        <w:t>172.75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和财政资金紧张，收支缩减。</w:t>
      </w:r>
    </w:p>
    <w:p>
      <w:pPr>
        <w:pStyle w:val="6"/>
      </w:pPr>
      <w:r>
        <w:drawing>
          <wp:inline distT="0" distB="0" distL="114300" distR="114300">
            <wp:extent cx="5271770" cy="3088640"/>
            <wp:effectExtent l="4445" t="4445" r="1968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6"/>
        <w:numPr>
          <w:ilvl w:val="0"/>
          <w:numId w:val="2"/>
        </w:numPr>
        <w:spacing w:line="600" w:lineRule="exact"/>
        <w:ind w:firstLineChars="0"/>
        <w:outlineLvl w:val="1"/>
        <w:rPr>
          <w:rStyle w:val="28"/>
          <w:rFonts w:ascii="黑体" w:hAnsi="黑体" w:eastAsia="黑体"/>
          <w:b w:val="0"/>
        </w:rPr>
      </w:pPr>
      <w:bookmarkStart w:id="39" w:name="_Toc19867"/>
      <w:bookmarkStart w:id="40" w:name="_Toc15396604"/>
      <w:bookmarkStart w:id="41" w:name="_Toc15377206"/>
      <w:r>
        <w:rPr>
          <w:rFonts w:hint="eastAsia" w:ascii="黑体" w:hAnsi="黑体" w:eastAsia="黑体"/>
          <w:sz w:val="32"/>
          <w:szCs w:val="32"/>
        </w:rPr>
        <w:t>收</w:t>
      </w:r>
      <w:r>
        <w:rPr>
          <w:rStyle w:val="28"/>
          <w:rFonts w:hint="eastAsia" w:ascii="黑体" w:hAnsi="黑体" w:eastAsia="黑体"/>
          <w:b w:val="0"/>
        </w:rPr>
        <w:t>入决算情况说明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rPr>
      </w:pPr>
      <w:bookmarkStart w:id="42" w:name="_Toc13693"/>
      <w:r>
        <w:rPr>
          <w:rFonts w:hint="eastAsia" w:ascii="仿宋_GB2312" w:hAnsi="仿宋_GB2312" w:eastAsia="仿宋_GB2312" w:cs="仿宋_GB2312"/>
          <w:sz w:val="32"/>
          <w:szCs w:val="32"/>
        </w:rPr>
        <w:t>2022年本年收入合计</w:t>
      </w:r>
      <w:r>
        <w:rPr>
          <w:rFonts w:hint="eastAsia" w:ascii="仿宋_GB2312" w:hAnsi="仿宋_GB2312" w:eastAsia="仿宋_GB2312" w:cs="仿宋_GB2312"/>
          <w:sz w:val="32"/>
          <w:szCs w:val="32"/>
          <w:lang w:val="en-US" w:eastAsia="zh-CN"/>
        </w:rPr>
        <w:t>1227.13</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1099.43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89.6</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127.7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-5080</wp:posOffset>
            </wp:positionH>
            <wp:positionV relativeFrom="page">
              <wp:posOffset>1852295</wp:posOffset>
            </wp:positionV>
            <wp:extent cx="5272405" cy="3159125"/>
            <wp:effectExtent l="4445" t="4445" r="19050" b="17780"/>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42"/>
    </w:p>
    <w:p>
      <w:pPr>
        <w:keepNext w:val="0"/>
        <w:keepLines w:val="0"/>
        <w:pageBreakBefore w:val="0"/>
        <w:widowControl w:val="0"/>
        <w:kinsoku/>
        <w:wordWrap/>
        <w:overflowPunct/>
        <w:topLinePunct w:val="0"/>
        <w:autoSpaceDE/>
        <w:autoSpaceDN/>
        <w:bidi w:val="0"/>
        <w:adjustRightInd/>
        <w:spacing w:line="600" w:lineRule="exact"/>
        <w:jc w:val="center"/>
        <w:textAlignment w:val="auto"/>
        <w:outlineLvl w:val="1"/>
        <w:rPr>
          <w:rFonts w:hint="eastAsia" w:ascii="仿宋" w:hAnsi="仿宋" w:eastAsia="仿宋"/>
          <w:sz w:val="32"/>
          <w:szCs w:val="32"/>
        </w:rPr>
      </w:pPr>
      <w:bookmarkStart w:id="43" w:name="_Toc1275"/>
      <w:r>
        <w:rPr>
          <w:rFonts w:hint="eastAsia" w:ascii="仿宋" w:hAnsi="仿宋" w:eastAsia="仿宋"/>
          <w:sz w:val="32"/>
          <w:szCs w:val="32"/>
        </w:rPr>
        <w:t>（图2：收入决算结构图）（饼状图）</w:t>
      </w:r>
      <w:bookmarkEnd w:id="43"/>
    </w:p>
    <w:p>
      <w:pPr>
        <w:pStyle w:val="2"/>
        <w:keepNext w:val="0"/>
        <w:keepLines w:val="0"/>
        <w:pageBreakBefore w:val="0"/>
        <w:widowControl w:val="0"/>
        <w:kinsoku/>
        <w:wordWrap/>
        <w:overflowPunct/>
        <w:topLinePunct w:val="0"/>
        <w:autoSpaceDE/>
        <w:autoSpaceDN/>
        <w:bidi w:val="0"/>
        <w:adjustRightInd/>
        <w:snapToGrid w:val="0"/>
        <w:spacing w:line="600" w:lineRule="atLeast"/>
        <w:textAlignment w:val="auto"/>
      </w:pPr>
    </w:p>
    <w:p>
      <w:pPr>
        <w:pStyle w:val="26"/>
        <w:keepNext w:val="0"/>
        <w:keepLines w:val="0"/>
        <w:pageBreakBefore w:val="0"/>
        <w:widowControl w:val="0"/>
        <w:numPr>
          <w:ilvl w:val="0"/>
          <w:numId w:val="2"/>
        </w:numPr>
        <w:kinsoku/>
        <w:wordWrap/>
        <w:overflowPunct/>
        <w:topLinePunct w:val="0"/>
        <w:autoSpaceDE/>
        <w:autoSpaceDN/>
        <w:bidi w:val="0"/>
        <w:adjustRightInd/>
        <w:spacing w:line="600" w:lineRule="atLeast"/>
        <w:ind w:firstLineChars="0"/>
        <w:textAlignment w:val="auto"/>
        <w:outlineLvl w:val="1"/>
        <w:rPr>
          <w:rStyle w:val="28"/>
          <w:rFonts w:ascii="黑体" w:hAnsi="黑体" w:eastAsia="黑体"/>
          <w:b w:val="0"/>
        </w:rPr>
      </w:pPr>
      <w:bookmarkStart w:id="44" w:name="_Toc9731"/>
      <w:bookmarkStart w:id="45" w:name="_Toc15396605"/>
      <w:bookmarkStart w:id="46" w:name="_Toc15377207"/>
      <w:r>
        <w:rPr>
          <w:rFonts w:hint="eastAsia" w:ascii="黑体" w:hAnsi="黑体" w:eastAsia="黑体"/>
          <w:sz w:val="32"/>
          <w:szCs w:val="32"/>
        </w:rPr>
        <w:t>支</w:t>
      </w:r>
      <w:r>
        <w:rPr>
          <w:rStyle w:val="28"/>
          <w:rFonts w:hint="eastAsia" w:ascii="黑体" w:hAnsi="黑体" w:eastAsia="黑体"/>
          <w:b w:val="0"/>
        </w:rPr>
        <w:t>出决算情况说明</w:t>
      </w:r>
      <w:bookmarkEnd w:id="44"/>
      <w:bookmarkEnd w:id="45"/>
      <w:bookmarkEnd w:id="46"/>
    </w:p>
    <w:p>
      <w:pPr>
        <w:keepNext w:val="0"/>
        <w:keepLines w:val="0"/>
        <w:pageBreakBefore w:val="0"/>
        <w:widowControl w:val="0"/>
        <w:kinsoku/>
        <w:wordWrap/>
        <w:overflowPunct/>
        <w:topLinePunct w:val="0"/>
        <w:autoSpaceDE/>
        <w:autoSpaceDN/>
        <w:bidi w:val="0"/>
        <w:adjustRightInd/>
        <w:spacing w:line="600" w:lineRule="atLeast"/>
        <w:ind w:firstLine="640" w:firstLineChars="200"/>
        <w:textAlignment w:val="auto"/>
        <w:outlineLvl w:val="1"/>
        <w:rPr>
          <w:rFonts w:hint="eastAsia" w:ascii="仿宋_GB2312" w:hAnsi="仿宋_GB2312" w:eastAsia="仿宋_GB2312" w:cs="仿宋_GB2312"/>
          <w:sz w:val="32"/>
          <w:szCs w:val="32"/>
          <w:lang w:eastAsia="zh-CN"/>
        </w:rPr>
      </w:pPr>
      <w:bookmarkStart w:id="47" w:name="_Toc26002"/>
      <w:r>
        <w:rPr>
          <w:rFonts w:hint="eastAsia" w:ascii="仿宋_GB2312" w:hAnsi="仿宋_GB2312" w:eastAsia="仿宋_GB2312" w:cs="仿宋_GB2312"/>
          <w:sz w:val="32"/>
          <w:szCs w:val="32"/>
        </w:rPr>
        <w:t>2022年本年支出合计</w:t>
      </w:r>
      <w:r>
        <w:rPr>
          <w:rFonts w:hint="eastAsia" w:ascii="仿宋_GB2312" w:hAnsi="仿宋_GB2312" w:eastAsia="仿宋_GB2312" w:cs="仿宋_GB2312"/>
          <w:sz w:val="32"/>
          <w:szCs w:val="32"/>
          <w:lang w:val="en-US" w:eastAsia="zh-CN"/>
        </w:rPr>
        <w:t>1237.13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1047.66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189.46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bookmarkEnd w:id="47"/>
    </w:p>
    <w:p>
      <w:pPr>
        <w:pStyle w:val="2"/>
        <w:jc w:val="center"/>
        <w:rPr>
          <w:rFonts w:hint="eastAsia" w:ascii="仿宋" w:hAnsi="仿宋" w:eastAsia="仿宋"/>
          <w:sz w:val="32"/>
          <w:szCs w:val="32"/>
        </w:rPr>
      </w:pPr>
      <w:r>
        <w:drawing>
          <wp:inline distT="0" distB="0" distL="114300" distR="114300">
            <wp:extent cx="4572000" cy="2743200"/>
            <wp:effectExtent l="4445" t="4445" r="14605" b="1460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图3：支出决算结构图）（饼状图）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8"/>
          <w:rFonts w:ascii="黑体" w:hAnsi="黑体" w:eastAsia="黑体"/>
          <w:b w:val="0"/>
        </w:rPr>
      </w:pPr>
      <w:bookmarkStart w:id="48" w:name="_Toc15396606"/>
      <w:bookmarkStart w:id="49" w:name="_Toc2908"/>
      <w:bookmarkStart w:id="50"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sz w:val="32"/>
          <w:szCs w:val="32"/>
        </w:rPr>
      </w:pPr>
      <w:r>
        <w:rPr>
          <w:rFonts w:hint="eastAsia" w:ascii="仿宋_GB2312" w:hAnsi="仿宋_GB2312" w:eastAsia="仿宋_GB2312" w:cs="仿宋_GB2312"/>
          <w:sz w:val="32"/>
          <w:szCs w:val="32"/>
        </w:rPr>
        <w:t>2022年财政拨款收、支总计</w:t>
      </w:r>
      <w:r>
        <w:rPr>
          <w:rFonts w:hint="eastAsia" w:ascii="仿宋_GB2312" w:hAnsi="仿宋_GB2312" w:eastAsia="仿宋_GB2312" w:cs="仿宋_GB2312"/>
          <w:sz w:val="32"/>
          <w:szCs w:val="32"/>
          <w:lang w:val="en-US" w:eastAsia="zh-CN"/>
        </w:rPr>
        <w:t>1237.13</w:t>
      </w:r>
      <w:r>
        <w:rPr>
          <w:rFonts w:hint="eastAsia" w:ascii="仿宋_GB2312" w:hAnsi="仿宋_GB2312" w:eastAsia="仿宋_GB2312" w:cs="仿宋_GB2312"/>
          <w:sz w:val="32"/>
          <w:szCs w:val="32"/>
        </w:rPr>
        <w:t>万元。与2021年相比，财政拨款收、支总计各减少</w:t>
      </w:r>
      <w:r>
        <w:rPr>
          <w:rFonts w:hint="eastAsia" w:ascii="仿宋_GB2312" w:hAnsi="仿宋_GB2312" w:eastAsia="仿宋_GB2312" w:cs="仿宋_GB2312"/>
          <w:sz w:val="32"/>
          <w:szCs w:val="32"/>
          <w:lang w:val="en-US" w:eastAsia="zh-CN"/>
        </w:rPr>
        <w:t>172.75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和财政资金紧张，收支缩减。</w:t>
      </w:r>
    </w:p>
    <w:p>
      <w:pPr>
        <w:pStyle w:val="2"/>
        <w:rPr>
          <w:rFonts w:hint="eastAsia" w:ascii="仿宋" w:hAnsi="仿宋" w:eastAsia="仿宋"/>
          <w:sz w:val="32"/>
          <w:szCs w:val="32"/>
        </w:rPr>
      </w:pPr>
      <w:r>
        <w:drawing>
          <wp:inline distT="0" distB="0" distL="114300" distR="114300">
            <wp:extent cx="5271770" cy="3088640"/>
            <wp:effectExtent l="4445" t="4445" r="19685" b="1206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8"/>
          <w:rFonts w:ascii="黑体" w:hAnsi="黑体" w:eastAsia="黑体"/>
          <w:b w:val="0"/>
        </w:rPr>
      </w:pPr>
      <w:bookmarkStart w:id="51" w:name="_Toc18249"/>
      <w:bookmarkStart w:id="52" w:name="_Toc15396607"/>
      <w:bookmarkStart w:id="53"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val="0"/>
          <w:sz w:val="32"/>
          <w:szCs w:val="32"/>
        </w:rPr>
      </w:pPr>
      <w:bookmarkStart w:id="54" w:name="_Toc15248"/>
      <w:bookmarkStart w:id="55" w:name="_Toc15377210"/>
      <w:r>
        <w:rPr>
          <w:rFonts w:hint="eastAsia" w:ascii="仿宋_GB2312" w:hAnsi="仿宋_GB2312" w:eastAsia="仿宋_GB2312" w:cs="仿宋_GB2312"/>
          <w:b/>
          <w:bCs w:val="0"/>
          <w:sz w:val="32"/>
          <w:szCs w:val="32"/>
        </w:rPr>
        <w:t>（一）一般公共预算财政拨款支出决算总体情况</w:t>
      </w:r>
      <w:bookmarkEnd w:id="54"/>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1109.43</w:t>
      </w:r>
      <w:r>
        <w:rPr>
          <w:rFonts w:hint="eastAsia" w:ascii="仿宋_GB2312" w:hAnsi="仿宋_GB2312" w:eastAsia="仿宋_GB2312" w:cs="仿宋_GB2312"/>
          <w:sz w:val="32"/>
          <w:szCs w:val="32"/>
        </w:rPr>
        <w:t>元，占本年支出合计的</w:t>
      </w:r>
      <w:r>
        <w:rPr>
          <w:rFonts w:hint="eastAsia" w:ascii="仿宋_GB2312" w:hAnsi="仿宋_GB2312" w:eastAsia="仿宋_GB2312" w:cs="仿宋_GB2312"/>
          <w:sz w:val="32"/>
          <w:szCs w:val="32"/>
          <w:lang w:val="en-US" w:eastAsia="zh-CN"/>
        </w:rPr>
        <w:t>89.7</w:t>
      </w:r>
      <w:r>
        <w:rPr>
          <w:rFonts w:hint="eastAsia" w:ascii="仿宋_GB2312" w:hAnsi="仿宋_GB2312" w:eastAsia="仿宋_GB2312" w:cs="仿宋_GB2312"/>
          <w:sz w:val="32"/>
          <w:szCs w:val="32"/>
        </w:rPr>
        <w:t>%。与2021年相比，一般公共预算财政拨款支出减少</w:t>
      </w:r>
      <w:r>
        <w:rPr>
          <w:rFonts w:hint="eastAsia" w:ascii="仿宋_GB2312" w:hAnsi="仿宋_GB2312" w:eastAsia="仿宋_GB2312" w:cs="仿宋_GB2312"/>
          <w:sz w:val="32"/>
          <w:szCs w:val="32"/>
          <w:lang w:val="en-US" w:eastAsia="zh-CN"/>
        </w:rPr>
        <w:t>182.99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和财政资金紧张，收支缩减</w:t>
      </w:r>
      <w:r>
        <w:rPr>
          <w:rFonts w:hint="eastAsia" w:ascii="仿宋_GB2312" w:hAnsi="仿宋_GB2312" w:eastAsia="仿宋_GB2312" w:cs="仿宋_GB2312"/>
          <w:sz w:val="32"/>
          <w:szCs w:val="32"/>
          <w:lang w:eastAsia="zh-CN"/>
        </w:rPr>
        <w:t>。</w:t>
      </w:r>
    </w:p>
    <w:p>
      <w:pPr>
        <w:pStyle w:val="6"/>
      </w:pPr>
      <w:r>
        <w:drawing>
          <wp:inline distT="0" distB="0" distL="114300" distR="114300">
            <wp:extent cx="5271770" cy="3088640"/>
            <wp:effectExtent l="4445" t="4445" r="19685" b="1206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b/>
          <w:sz w:val="32"/>
          <w:szCs w:val="32"/>
        </w:rPr>
      </w:pPr>
      <w:bookmarkStart w:id="56" w:name="_Toc5825"/>
      <w:bookmarkStart w:id="57" w:name="_Toc15377211"/>
      <w:r>
        <w:rPr>
          <w:rFonts w:hint="eastAsia" w:ascii="仿宋" w:hAnsi="仿宋" w:eastAsia="仿宋"/>
          <w:b/>
          <w:sz w:val="32"/>
          <w:szCs w:val="32"/>
        </w:rPr>
        <w:t>（二）一般公共预算财政拨款支出决算结构情况</w:t>
      </w:r>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sz w:val="32"/>
          <w:szCs w:val="32"/>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1109.43</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lang w:eastAsia="zh-CN"/>
        </w:rPr>
        <w:t>公共安全支出</w:t>
      </w:r>
      <w:r>
        <w:rPr>
          <w:rFonts w:hint="eastAsia" w:ascii="仿宋_GB2312" w:hAnsi="仿宋_GB2312" w:eastAsia="仿宋_GB2312" w:cs="仿宋_GB2312"/>
          <w:sz w:val="32"/>
          <w:szCs w:val="32"/>
          <w:lang w:val="en-US" w:eastAsia="zh-CN"/>
        </w:rPr>
        <w:t>911.81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102.31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22.34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72.97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w:t>
      </w:r>
    </w:p>
    <w:p>
      <w:pPr>
        <w:pStyle w:val="6"/>
      </w:pPr>
      <w:r>
        <w:drawing>
          <wp:inline distT="0" distB="0" distL="114300" distR="114300">
            <wp:extent cx="5271135" cy="2548890"/>
            <wp:effectExtent l="4445" t="4445" r="20320" b="1841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sz w:val="32"/>
          <w:szCs w:val="32"/>
        </w:rPr>
      </w:pPr>
      <w:bookmarkStart w:id="58" w:name="_Toc3214"/>
      <w:bookmarkStart w:id="59" w:name="_Toc15377212"/>
      <w:r>
        <w:rPr>
          <w:rFonts w:hint="eastAsia" w:ascii="仿宋_GB2312" w:hAnsi="仿宋_GB2312" w:eastAsia="仿宋_GB2312" w:cs="仿宋_GB2312"/>
          <w:b/>
          <w:sz w:val="32"/>
          <w:szCs w:val="32"/>
        </w:rPr>
        <w:t>（三）一般公共预算财政拨款支出决算具体情况</w:t>
      </w:r>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z w:val="32"/>
          <w:szCs w:val="32"/>
        </w:rPr>
      </w:pPr>
      <w:bookmarkStart w:id="60" w:name="_Toc15378460"/>
      <w:bookmarkStart w:id="61" w:name="_Toc15377213"/>
      <w:bookmarkStart w:id="62" w:name="_Toc18101"/>
      <w:bookmarkStart w:id="63" w:name="_Toc15377444"/>
      <w:r>
        <w:rPr>
          <w:rFonts w:hint="eastAsia" w:ascii="仿宋_GB2312" w:hAnsi="仿宋_GB2312" w:eastAsia="仿宋_GB2312" w:cs="仿宋_GB2312"/>
          <w:b/>
          <w:sz w:val="32"/>
          <w:szCs w:val="32"/>
        </w:rPr>
        <w:t>2022年一般公共预算支出决算数为</w:t>
      </w:r>
      <w:r>
        <w:rPr>
          <w:rFonts w:hint="eastAsia" w:ascii="仿宋_GB2312" w:hAnsi="仿宋_GB2312" w:eastAsia="仿宋_GB2312" w:cs="仿宋_GB2312"/>
          <w:b/>
          <w:sz w:val="32"/>
          <w:szCs w:val="32"/>
          <w:lang w:val="en-US" w:eastAsia="zh-CN"/>
        </w:rPr>
        <w:t>1109.43</w:t>
      </w:r>
      <w:r>
        <w:rPr>
          <w:rFonts w:hint="eastAsia" w:ascii="仿宋_GB2312" w:hAnsi="仿宋_GB2312" w:eastAsia="仿宋_GB2312" w:cs="仿宋_GB2312"/>
          <w:sz w:val="32"/>
          <w:szCs w:val="32"/>
        </w:rPr>
        <w:t>，</w:t>
      </w:r>
      <w:r>
        <w:rPr>
          <w:rStyle w:val="16"/>
          <w:rFonts w:hint="eastAsia" w:ascii="仿宋_GB2312" w:hAnsi="仿宋_GB2312" w:eastAsia="仿宋_GB2312" w:cs="仿宋_GB2312"/>
          <w:bCs/>
          <w:sz w:val="32"/>
          <w:szCs w:val="32"/>
        </w:rPr>
        <w:t>完成预算</w:t>
      </w:r>
      <w:r>
        <w:rPr>
          <w:rStyle w:val="16"/>
          <w:rFonts w:hint="eastAsia" w:ascii="仿宋_GB2312" w:hAnsi="仿宋_GB2312" w:eastAsia="仿宋_GB2312" w:cs="仿宋_GB2312"/>
          <w:bCs/>
          <w:sz w:val="32"/>
          <w:szCs w:val="32"/>
          <w:lang w:val="en-US" w:eastAsia="zh-CN"/>
        </w:rPr>
        <w:t>100</w:t>
      </w:r>
      <w:r>
        <w:rPr>
          <w:rStyle w:val="16"/>
          <w:rFonts w:hint="eastAsia" w:ascii="仿宋_GB2312" w:hAnsi="仿宋_GB2312" w:eastAsia="仿宋_GB2312" w:cs="仿宋_GB2312"/>
          <w:bCs/>
          <w:sz w:val="32"/>
          <w:szCs w:val="32"/>
        </w:rPr>
        <w:t>%。其中：</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1.</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行政运行</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850.04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2.</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一般行政管理事务</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30.49</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rPr>
        <w:t>3.</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基层司法业务</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15.76</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lang w:eastAsia="zh-CN"/>
        </w:rPr>
      </w:pPr>
      <w:r>
        <w:rPr>
          <w:rStyle w:val="16"/>
          <w:rFonts w:hint="eastAsia" w:ascii="仿宋_GB2312" w:hAnsi="仿宋_GB2312" w:eastAsia="仿宋_GB2312" w:cs="仿宋_GB2312"/>
          <w:bCs/>
          <w:sz w:val="32"/>
          <w:szCs w:val="32"/>
        </w:rPr>
        <w:t>4.</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普法宣传</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0.03</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sz w:val="32"/>
          <w:szCs w:val="32"/>
          <w:lang w:eastAsia="zh-CN"/>
        </w:rPr>
      </w:pPr>
      <w:r>
        <w:rPr>
          <w:rStyle w:val="16"/>
          <w:rFonts w:hint="eastAsia" w:ascii="仿宋_GB2312" w:hAnsi="仿宋_GB2312" w:eastAsia="仿宋_GB2312" w:cs="仿宋_GB2312"/>
          <w:bCs/>
          <w:sz w:val="32"/>
          <w:szCs w:val="32"/>
        </w:rPr>
        <w:t>5.</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公共法律服务</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sz w:val="32"/>
          <w:szCs w:val="32"/>
          <w:lang w:eastAsia="zh-CN"/>
        </w:rPr>
      </w:pPr>
      <w:r>
        <w:rPr>
          <w:rStyle w:val="16"/>
          <w:rFonts w:hint="eastAsia" w:ascii="仿宋_GB2312" w:hAnsi="仿宋_GB2312" w:eastAsia="仿宋_GB2312" w:cs="仿宋_GB2312"/>
          <w:bCs/>
          <w:sz w:val="32"/>
          <w:szCs w:val="32"/>
          <w:lang w:val="en-US" w:eastAsia="zh-CN"/>
        </w:rPr>
        <w:t>6.</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社区矫正</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10.87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sz w:val="32"/>
          <w:szCs w:val="32"/>
          <w:lang w:eastAsia="zh-CN"/>
        </w:rPr>
      </w:pPr>
      <w:r>
        <w:rPr>
          <w:rStyle w:val="16"/>
          <w:rFonts w:hint="eastAsia" w:ascii="仿宋_GB2312" w:hAnsi="仿宋_GB2312" w:eastAsia="仿宋_GB2312" w:cs="仿宋_GB2312"/>
          <w:bCs/>
          <w:sz w:val="32"/>
          <w:szCs w:val="32"/>
          <w:lang w:val="en-US" w:eastAsia="zh-CN"/>
        </w:rPr>
        <w:t>7.</w:t>
      </w:r>
      <w:r>
        <w:rPr>
          <w:rStyle w:val="16"/>
          <w:rFonts w:hint="eastAsia" w:ascii="仿宋_GB2312" w:hAnsi="仿宋_GB2312" w:eastAsia="仿宋_GB2312" w:cs="仿宋_GB2312"/>
          <w:bCs/>
          <w:sz w:val="32"/>
          <w:szCs w:val="32"/>
          <w:lang w:eastAsia="zh-CN"/>
        </w:rPr>
        <w:t>公共安全</w:t>
      </w:r>
      <w:r>
        <w:rPr>
          <w:rStyle w:val="16"/>
          <w:rFonts w:hint="eastAsia" w:ascii="仿宋_GB2312" w:hAnsi="仿宋_GB2312" w:eastAsia="仿宋_GB2312" w:cs="仿宋_GB2312"/>
          <w:bCs/>
          <w:sz w:val="32"/>
          <w:szCs w:val="32"/>
        </w:rPr>
        <w:t>（类）</w:t>
      </w:r>
      <w:r>
        <w:rPr>
          <w:rStyle w:val="16"/>
          <w:rFonts w:hint="eastAsia" w:ascii="仿宋_GB2312" w:hAnsi="仿宋_GB2312" w:eastAsia="仿宋_GB2312" w:cs="仿宋_GB2312"/>
          <w:bCs/>
          <w:sz w:val="32"/>
          <w:szCs w:val="32"/>
          <w:lang w:eastAsia="zh-CN"/>
        </w:rPr>
        <w:t>司法</w:t>
      </w:r>
      <w:r>
        <w:rPr>
          <w:rStyle w:val="16"/>
          <w:rFonts w:hint="eastAsia" w:ascii="仿宋_GB2312" w:hAnsi="仿宋_GB2312" w:eastAsia="仿宋_GB2312" w:cs="仿宋_GB2312"/>
          <w:bCs/>
          <w:sz w:val="32"/>
          <w:szCs w:val="32"/>
        </w:rPr>
        <w:t>（款）</w:t>
      </w:r>
      <w:r>
        <w:rPr>
          <w:rStyle w:val="16"/>
          <w:rFonts w:hint="eastAsia" w:ascii="仿宋_GB2312" w:hAnsi="仿宋_GB2312" w:eastAsia="仿宋_GB2312" w:cs="仿宋_GB2312"/>
          <w:bCs/>
          <w:sz w:val="32"/>
          <w:szCs w:val="32"/>
          <w:lang w:eastAsia="zh-CN"/>
        </w:rPr>
        <w:t>其他司法支出</w:t>
      </w:r>
      <w:r>
        <w:rPr>
          <w:rStyle w:val="16"/>
          <w:rFonts w:hint="eastAsia" w:ascii="仿宋_GB2312" w:hAnsi="仿宋_GB2312" w:eastAsia="仿宋_GB2312" w:cs="仿宋_GB2312"/>
          <w:bCs/>
          <w:sz w:val="32"/>
          <w:szCs w:val="32"/>
        </w:rPr>
        <w:t>（项）: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1.93</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lang w:val="en-US" w:eastAsia="zh-CN"/>
        </w:rPr>
        <w:t>8.</w:t>
      </w:r>
      <w:r>
        <w:rPr>
          <w:rStyle w:val="16"/>
          <w:rFonts w:hint="eastAsia" w:ascii="仿宋_GB2312" w:hAnsi="仿宋_GB2312" w:eastAsia="仿宋_GB2312" w:cs="仿宋_GB2312"/>
          <w:bCs/>
          <w:sz w:val="32"/>
          <w:szCs w:val="32"/>
        </w:rPr>
        <w:t>社会保障和就业（类）行政事业单位养老支出（款）机关事业单位基本养老保险缴费支出（项）: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49.84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lang w:val="en-US" w:eastAsia="zh-CN"/>
        </w:rPr>
        <w:t>9.</w:t>
      </w:r>
      <w:r>
        <w:rPr>
          <w:rStyle w:val="16"/>
          <w:rFonts w:hint="eastAsia" w:ascii="仿宋_GB2312" w:hAnsi="仿宋_GB2312" w:eastAsia="仿宋_GB2312" w:cs="仿宋_GB2312"/>
          <w:bCs/>
          <w:sz w:val="32"/>
          <w:szCs w:val="32"/>
        </w:rPr>
        <w:t>社会保障和就业（类）行政事业单位养老支出（款）机关事业单位职业年金缴费支出（项）: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27.64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lang w:val="en-US" w:eastAsia="zh-CN"/>
        </w:rPr>
        <w:t>10.</w:t>
      </w:r>
      <w:r>
        <w:rPr>
          <w:rStyle w:val="16"/>
          <w:rFonts w:hint="eastAsia" w:ascii="仿宋_GB2312" w:hAnsi="仿宋_GB2312" w:eastAsia="仿宋_GB2312" w:cs="仿宋_GB2312"/>
          <w:bCs/>
          <w:sz w:val="32"/>
          <w:szCs w:val="32"/>
        </w:rPr>
        <w:t>社会保障和就业（类）抚恤（款）死亡抚恤（项）: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21.25</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lang w:val="en-US" w:eastAsia="zh-CN"/>
        </w:rPr>
        <w:t>11.</w:t>
      </w:r>
      <w:r>
        <w:rPr>
          <w:rStyle w:val="16"/>
          <w:rFonts w:hint="eastAsia" w:ascii="仿宋_GB2312" w:hAnsi="仿宋_GB2312" w:eastAsia="仿宋_GB2312" w:cs="仿宋_GB2312"/>
          <w:bCs/>
          <w:sz w:val="32"/>
          <w:szCs w:val="32"/>
        </w:rPr>
        <w:t>社会保障和就业（类）抚恤（款）其他优抚支出（项）: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0.82</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Cs/>
          <w:sz w:val="32"/>
          <w:szCs w:val="32"/>
          <w:lang w:val="en-US" w:eastAsia="zh-CN"/>
        </w:rPr>
      </w:pPr>
      <w:r>
        <w:rPr>
          <w:rStyle w:val="16"/>
          <w:rFonts w:hint="eastAsia" w:ascii="仿宋_GB2312" w:hAnsi="仿宋_GB2312" w:eastAsia="仿宋_GB2312" w:cs="仿宋_GB2312"/>
          <w:bCs/>
          <w:sz w:val="32"/>
          <w:szCs w:val="32"/>
          <w:lang w:val="en-US" w:eastAsia="zh-CN"/>
        </w:rPr>
        <w:t>12.</w:t>
      </w:r>
      <w:r>
        <w:rPr>
          <w:rStyle w:val="16"/>
          <w:rFonts w:hint="eastAsia" w:ascii="仿宋_GB2312" w:hAnsi="仿宋_GB2312" w:eastAsia="仿宋_GB2312" w:cs="仿宋_GB2312"/>
          <w:bCs/>
          <w:sz w:val="32"/>
          <w:szCs w:val="32"/>
        </w:rPr>
        <w:t>社会保障和就业（类）其他社会保障和就业支出（款）其他社会保障和就业支出（项）:</w:t>
      </w:r>
      <w:r>
        <w:rPr>
          <w:rStyle w:val="16"/>
          <w:rFonts w:hint="eastAsia" w:ascii="仿宋_GB2312" w:hAnsi="仿宋_GB2312" w:eastAsia="仿宋_GB2312" w:cs="仿宋_GB2312"/>
          <w:b w:val="0"/>
          <w:bCs/>
          <w:sz w:val="32"/>
          <w:szCs w:val="32"/>
        </w:rPr>
        <w:t xml:space="preserve"> 支出决算为</w:t>
      </w:r>
      <w:r>
        <w:rPr>
          <w:rStyle w:val="16"/>
          <w:rFonts w:hint="eastAsia" w:ascii="仿宋_GB2312" w:hAnsi="仿宋_GB2312" w:eastAsia="仿宋_GB2312" w:cs="仿宋_GB2312"/>
          <w:b w:val="0"/>
          <w:bCs/>
          <w:sz w:val="32"/>
          <w:szCs w:val="32"/>
          <w:lang w:val="en-US" w:eastAsia="zh-CN"/>
        </w:rPr>
        <w:t>2.77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lang w:val="en-US" w:eastAsia="zh-CN"/>
        </w:rPr>
        <w:t>13.卫</w:t>
      </w:r>
      <w:r>
        <w:rPr>
          <w:rFonts w:hint="eastAsia" w:ascii="仿宋_GB2312" w:hAnsi="仿宋_GB2312" w:eastAsia="仿宋_GB2312" w:cs="仿宋_GB2312"/>
          <w:b/>
          <w:bCs/>
          <w:sz w:val="32"/>
          <w:szCs w:val="32"/>
        </w:rPr>
        <w:t>生健康</w:t>
      </w:r>
      <w:r>
        <w:rPr>
          <w:rStyle w:val="16"/>
          <w:rFonts w:hint="eastAsia" w:ascii="仿宋_GB2312" w:hAnsi="仿宋_GB2312" w:eastAsia="仿宋_GB2312" w:cs="仿宋_GB2312"/>
          <w:bCs/>
          <w:sz w:val="32"/>
          <w:szCs w:val="32"/>
        </w:rPr>
        <w:t>（类）行政事业单位医疗（款）行政单位医疗（项）: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22.34</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Style w:val="16"/>
          <w:rFonts w:hint="eastAsia" w:ascii="仿宋_GB2312" w:hAnsi="仿宋_GB2312" w:eastAsia="仿宋_GB2312" w:cs="仿宋_GB2312"/>
          <w:bCs/>
          <w:sz w:val="32"/>
          <w:szCs w:val="32"/>
          <w:lang w:val="en-US" w:eastAsia="zh-CN"/>
        </w:rPr>
        <w:t>14.住房保障</w:t>
      </w:r>
      <w:r>
        <w:rPr>
          <w:rStyle w:val="16"/>
          <w:rFonts w:hint="eastAsia" w:ascii="仿宋_GB2312" w:hAnsi="仿宋_GB2312" w:eastAsia="仿宋_GB2312" w:cs="仿宋_GB2312"/>
          <w:bCs/>
          <w:sz w:val="32"/>
          <w:szCs w:val="32"/>
        </w:rPr>
        <w:t>（类）住房改革支出（款）住房公积金（项）:</w:t>
      </w:r>
      <w:r>
        <w:rPr>
          <w:rStyle w:val="16"/>
          <w:rFonts w:hint="eastAsia" w:ascii="仿宋_GB2312" w:hAnsi="仿宋_GB2312" w:eastAsia="仿宋_GB2312" w:cs="仿宋_GB2312"/>
          <w:b w:val="0"/>
          <w:bCs/>
          <w:sz w:val="32"/>
          <w:szCs w:val="32"/>
        </w:rPr>
        <w:t>支出决算为</w:t>
      </w:r>
      <w:r>
        <w:rPr>
          <w:rStyle w:val="16"/>
          <w:rFonts w:hint="eastAsia" w:ascii="仿宋_GB2312" w:hAnsi="仿宋_GB2312" w:eastAsia="仿宋_GB2312" w:cs="仿宋_GB2312"/>
          <w:b w:val="0"/>
          <w:bCs/>
          <w:sz w:val="32"/>
          <w:szCs w:val="32"/>
          <w:lang w:val="en-US" w:eastAsia="zh-CN"/>
        </w:rPr>
        <w:t>72.97</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b/>
          <w:sz w:val="32"/>
          <w:szCs w:val="32"/>
        </w:rPr>
      </w:pP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8"/>
        </w:rPr>
      </w:pPr>
      <w:bookmarkStart w:id="64" w:name="_Toc15377214"/>
      <w:bookmarkStart w:id="65" w:name="_Toc28808"/>
      <w:bookmarkStart w:id="6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4"/>
      <w:bookmarkEnd w:id="65"/>
      <w:bookmarkEnd w:id="66"/>
      <w:r>
        <w:rPr>
          <w:rStyle w:val="28"/>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w:t>
      </w:r>
      <w:r>
        <w:rPr>
          <w:rFonts w:hint="eastAsia" w:ascii="仿宋_GB2312" w:hAnsi="仿宋_GB2312" w:eastAsia="仿宋_GB2312" w:cs="仿宋_GB2312"/>
          <w:sz w:val="32"/>
          <w:szCs w:val="32"/>
          <w:lang w:val="en-US" w:eastAsia="zh-CN"/>
        </w:rPr>
        <w:t>1047.66</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846.36</w:t>
      </w:r>
      <w:r>
        <w:rPr>
          <w:rFonts w:hint="eastAsia" w:ascii="仿宋_GB2312" w:hAnsi="仿宋_GB2312" w:eastAsia="仿宋_GB2312" w:cs="仿宋_GB2312"/>
          <w:sz w:val="32"/>
          <w:szCs w:val="32"/>
        </w:rPr>
        <w:t>万元，主要包括：基本工资、津贴补贴、奖金、机关事业单位基本养老保险缴费、职业年金缴费、职工基本医疗保险缴费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其他工资福利支出、抚恤金、生活补助、医疗费补助、奖励金等。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rPr>
        <w:t>万元，主要包括：办公费、印刷费、水费、电费、邮电费、物业管理费、差旅费、维修（护）费、培训费、公务接待费、劳务费、委托业务费、工会经费、福利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8"/>
          <w:rFonts w:ascii="黑体" w:hAnsi="黑体" w:eastAsia="黑体"/>
          <w:b w:val="0"/>
        </w:rPr>
      </w:pPr>
      <w:bookmarkStart w:id="67" w:name="_Toc15396609"/>
      <w:bookmarkStart w:id="68" w:name="_Toc10605"/>
      <w:bookmarkStart w:id="69"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仿宋_GB2312" w:hAnsi="仿宋_GB2312" w:eastAsia="仿宋_GB2312" w:cs="仿宋_GB2312"/>
          <w:b/>
          <w:sz w:val="32"/>
          <w:szCs w:val="32"/>
        </w:rPr>
      </w:pPr>
      <w:bookmarkStart w:id="70" w:name="_Toc15377216"/>
      <w:bookmarkStart w:id="71" w:name="_Toc24084"/>
      <w:r>
        <w:rPr>
          <w:rFonts w:hint="eastAsia" w:ascii="仿宋_GB2312" w:hAnsi="仿宋_GB2312" w:eastAsia="仿宋_GB2312" w:cs="仿宋_GB2312"/>
          <w:b/>
          <w:sz w:val="32"/>
          <w:szCs w:val="32"/>
        </w:rPr>
        <w:t>（一）“三公”经费财政拨款支出决算总体情况说明</w:t>
      </w:r>
      <w:bookmarkEnd w:id="70"/>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2022年“三公”经费财政拨款支出决算为</w:t>
      </w:r>
      <w:r>
        <w:rPr>
          <w:rFonts w:hint="eastAsia" w:ascii="仿宋_GB2312" w:hAnsi="仿宋_GB2312" w:eastAsia="仿宋_GB2312" w:cs="仿宋_GB2312"/>
          <w:sz w:val="32"/>
          <w:szCs w:val="32"/>
          <w:lang w:val="en-US" w:eastAsia="zh-CN"/>
        </w:rPr>
        <w:t>5.32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%，较上年减少</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41.5</w:t>
      </w:r>
      <w:r>
        <w:rPr>
          <w:rFonts w:hint="eastAsia" w:ascii="仿宋_GB2312" w:hAnsi="仿宋_GB2312" w:eastAsia="仿宋_GB2312" w:cs="仿宋_GB2312"/>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仿宋_GB2312" w:hAnsi="仿宋_GB2312" w:eastAsia="仿宋_GB2312" w:cs="仿宋_GB2312"/>
          <w:b/>
          <w:sz w:val="32"/>
          <w:szCs w:val="32"/>
        </w:rPr>
      </w:pPr>
      <w:bookmarkStart w:id="72" w:name="_Toc23244"/>
      <w:bookmarkStart w:id="73" w:name="_Toc15377217"/>
      <w:r>
        <w:rPr>
          <w:rFonts w:hint="eastAsia" w:ascii="仿宋_GB2312" w:hAnsi="仿宋_GB2312" w:eastAsia="仿宋_GB2312" w:cs="仿宋_GB2312"/>
          <w:b/>
          <w:sz w:val="32"/>
          <w:szCs w:val="32"/>
        </w:rPr>
        <w:t>（二）“三公”经费财政拨款支出决算具体情况说明</w:t>
      </w:r>
      <w:bookmarkEnd w:id="72"/>
      <w:bookmarkEnd w:id="73"/>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96.1</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%。具体情况如下：</w:t>
      </w:r>
    </w:p>
    <w:p>
      <w:pPr>
        <w:pStyle w:val="6"/>
        <w:rPr>
          <w:rFonts w:hint="eastAsia" w:ascii="仿宋" w:hAnsi="仿宋" w:eastAsia="仿宋"/>
          <w:sz w:val="32"/>
          <w:szCs w:val="32"/>
        </w:rPr>
      </w:pPr>
    </w:p>
    <w:p>
      <w:r>
        <w:drawing>
          <wp:inline distT="0" distB="0" distL="114300" distR="114300">
            <wp:extent cx="5269230" cy="2054860"/>
            <wp:effectExtent l="4445" t="4445" r="22225" b="1714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kinsoku/>
        <w:wordWrap/>
        <w:overflowPunct/>
        <w:topLinePunct w:val="0"/>
        <w:bidi w:val="0"/>
        <w:snapToGrid/>
        <w:spacing w:line="600" w:lineRule="exact"/>
        <w:ind w:firstLine="640"/>
        <w:textAlignment w:val="auto"/>
        <w:rPr>
          <w:rFonts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人。因公出国（境）支出决算比2021年</w:t>
      </w:r>
      <w:r>
        <w:rPr>
          <w:rFonts w:hint="eastAsia" w:ascii="仿宋_GB2312" w:hAnsi="仿宋_GB2312" w:eastAsia="仿宋_GB2312" w:cs="仿宋_GB2312"/>
          <w:sz w:val="32"/>
          <w:szCs w:val="32"/>
          <w:lang w:eastAsia="zh-CN"/>
        </w:rPr>
        <w:t>无变动</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公务用车购置及运行维护费支出决算比2021年减少</w:t>
      </w:r>
      <w:r>
        <w:rPr>
          <w:rFonts w:hint="eastAsia" w:ascii="仿宋_GB2312" w:hAnsi="仿宋_GB2312" w:eastAsia="仿宋_GB2312" w:cs="仿宋_GB2312"/>
          <w:sz w:val="32"/>
          <w:szCs w:val="32"/>
          <w:lang w:val="en-US" w:eastAsia="zh-CN"/>
        </w:rPr>
        <w:t>3.83</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000000"/>
          <w:sz w:val="32"/>
          <w:szCs w:val="32"/>
        </w:rPr>
        <w:t>厉行节约，严格落实公务派车制度，控制派车数</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万元。截至2022年12月底，单位共有公务用车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其他车型3辆</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color w:val="000000"/>
          <w:sz w:val="32"/>
          <w:szCs w:val="32"/>
        </w:rPr>
        <w:t>基层司法业务、社区矫正、行政复议及诉讼、行政执行协调监督、依法治市、普法宣传、法律援助、驻村帮扶、公共法律服务等工作所需的公务用车燃料费、维修费、过路过桥费、保险费等支出</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公务接待费支出决算比2021年增加</w:t>
      </w:r>
      <w:r>
        <w:rPr>
          <w:rFonts w:hint="eastAsia" w:ascii="仿宋_GB2312" w:hAnsi="仿宋_GB2312" w:eastAsia="仿宋_GB2312" w:cs="仿宋_GB2312"/>
          <w:sz w:val="32"/>
          <w:szCs w:val="32"/>
          <w:lang w:val="en-US" w:eastAsia="zh-CN"/>
        </w:rPr>
        <w:t>0.06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%。主要原因是本年接待批次增加1次。</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napToGrid/>
        <w:spacing w:line="600" w:lineRule="exact"/>
        <w:ind w:firstLine="640"/>
        <w:textAlignment w:val="auto"/>
        <w:outlineLvl w:val="1"/>
        <w:rPr>
          <w:rFonts w:ascii="黑体" w:eastAsia="黑体"/>
          <w:sz w:val="32"/>
          <w:szCs w:val="32"/>
        </w:rPr>
      </w:pPr>
      <w:bookmarkStart w:id="74" w:name="_Toc15396610"/>
      <w:bookmarkStart w:id="75" w:name="_Toc15377218"/>
    </w:p>
    <w:p>
      <w:pPr>
        <w:keepNext w:val="0"/>
        <w:keepLines w:val="0"/>
        <w:pageBreakBefore w:val="0"/>
        <w:kinsoku/>
        <w:wordWrap/>
        <w:overflowPunct/>
        <w:topLinePunct w:val="0"/>
        <w:bidi w:val="0"/>
        <w:snapToGrid/>
        <w:spacing w:line="600" w:lineRule="exact"/>
        <w:ind w:firstLine="640"/>
        <w:textAlignment w:val="auto"/>
        <w:outlineLvl w:val="1"/>
        <w:rPr>
          <w:rStyle w:val="28"/>
          <w:rFonts w:ascii="黑体" w:hAnsi="黑体" w:eastAsia="黑体"/>
        </w:rPr>
      </w:pPr>
      <w:bookmarkStart w:id="76" w:name="_Toc10894"/>
      <w:r>
        <w:rPr>
          <w:rFonts w:hint="eastAsia" w:ascii="黑体" w:eastAsia="黑体"/>
          <w:sz w:val="32"/>
          <w:szCs w:val="32"/>
        </w:rPr>
        <w:t>八、</w:t>
      </w:r>
      <w:r>
        <w:rPr>
          <w:rStyle w:val="28"/>
          <w:rFonts w:hint="eastAsia" w:ascii="黑体" w:hAnsi="黑体" w:eastAsia="黑体"/>
          <w:b w:val="0"/>
        </w:rPr>
        <w:t>政府性基金预算支出决算情况说明</w:t>
      </w:r>
      <w:bookmarkEnd w:id="74"/>
      <w:bookmarkEnd w:id="75"/>
      <w:bookmarkEnd w:id="76"/>
    </w:p>
    <w:p>
      <w:pPr>
        <w:keepNext w:val="0"/>
        <w:keepLines w:val="0"/>
        <w:pageBreakBefore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127.7</w:t>
      </w:r>
      <w:r>
        <w:rPr>
          <w:rFonts w:hint="eastAsia" w:ascii="仿宋_GB2312" w:eastAsia="仿宋_GB2312"/>
          <w:sz w:val="32"/>
          <w:szCs w:val="32"/>
        </w:rPr>
        <w:t>万元。</w:t>
      </w:r>
    </w:p>
    <w:p>
      <w:pPr>
        <w:keepNext w:val="0"/>
        <w:keepLines w:val="0"/>
        <w:pageBreakBefore w:val="0"/>
        <w:kinsoku/>
        <w:wordWrap/>
        <w:overflowPunct/>
        <w:topLinePunct w:val="0"/>
        <w:bidi w:val="0"/>
        <w:snapToGrid/>
        <w:spacing w:line="600" w:lineRule="exact"/>
        <w:ind w:firstLine="640"/>
        <w:textAlignment w:val="auto"/>
        <w:rPr>
          <w:rFonts w:ascii="仿宋_GB2312" w:eastAsia="仿宋_GB2312"/>
          <w:sz w:val="32"/>
          <w:szCs w:val="32"/>
        </w:rPr>
      </w:pPr>
    </w:p>
    <w:p>
      <w:pPr>
        <w:keepNext w:val="0"/>
        <w:keepLines w:val="0"/>
        <w:pageBreakBefore w:val="0"/>
        <w:numPr>
          <w:ilvl w:val="0"/>
          <w:numId w:val="3"/>
        </w:numPr>
        <w:kinsoku/>
        <w:wordWrap/>
        <w:overflowPunct/>
        <w:topLinePunct w:val="0"/>
        <w:bidi w:val="0"/>
        <w:snapToGrid/>
        <w:spacing w:line="600" w:lineRule="exact"/>
        <w:ind w:firstLine="640"/>
        <w:textAlignment w:val="auto"/>
        <w:outlineLvl w:val="1"/>
        <w:rPr>
          <w:rStyle w:val="28"/>
          <w:rFonts w:ascii="黑体" w:hAnsi="黑体" w:eastAsia="黑体"/>
          <w:b w:val="0"/>
        </w:rPr>
      </w:pPr>
      <w:bookmarkStart w:id="77" w:name="_Toc26555"/>
      <w:bookmarkStart w:id="78" w:name="_Toc15377219"/>
      <w:bookmarkStart w:id="79" w:name="_Toc15396611"/>
      <w:r>
        <w:rPr>
          <w:rStyle w:val="28"/>
          <w:rFonts w:hint="eastAsia" w:ascii="黑体" w:hAnsi="黑体" w:eastAsia="黑体"/>
          <w:b w:val="0"/>
        </w:rPr>
        <w:t>国有资本经营预算支出决算情况说明</w:t>
      </w:r>
      <w:bookmarkEnd w:id="77"/>
      <w:bookmarkEnd w:id="78"/>
      <w:bookmarkEnd w:id="79"/>
    </w:p>
    <w:p>
      <w:pPr>
        <w:keepNext w:val="0"/>
        <w:keepLines w:val="0"/>
        <w:pageBreakBefore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napToGrid/>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3"/>
        </w:numPr>
        <w:kinsoku/>
        <w:wordWrap/>
        <w:overflowPunct/>
        <w:topLinePunct w:val="0"/>
        <w:bidi w:val="0"/>
        <w:snapToGrid/>
        <w:spacing w:line="600" w:lineRule="exact"/>
        <w:ind w:firstLine="640"/>
        <w:textAlignment w:val="auto"/>
        <w:outlineLvl w:val="1"/>
        <w:rPr>
          <w:rStyle w:val="28"/>
          <w:rFonts w:ascii="黑体" w:hAnsi="黑体" w:eastAsia="黑体"/>
          <w:b w:val="0"/>
        </w:rPr>
      </w:pPr>
      <w:bookmarkStart w:id="80" w:name="_Toc15377221"/>
      <w:bookmarkStart w:id="81" w:name="_Toc15396612"/>
      <w:bookmarkStart w:id="82" w:name="_Toc28748"/>
      <w:r>
        <w:rPr>
          <w:rStyle w:val="28"/>
          <w:rFonts w:hint="eastAsia" w:ascii="黑体" w:hAnsi="黑体" w:eastAsia="黑体"/>
          <w:b w:val="0"/>
        </w:rPr>
        <w:t>其他重要事项的情况说明</w:t>
      </w:r>
      <w:bookmarkEnd w:id="80"/>
      <w:bookmarkEnd w:id="81"/>
      <w:bookmarkEnd w:id="82"/>
    </w:p>
    <w:p>
      <w:pPr>
        <w:keepNext w:val="0"/>
        <w:keepLines w:val="0"/>
        <w:pageBreakBefore w:val="0"/>
        <w:kinsoku/>
        <w:wordWrap/>
        <w:overflowPunct/>
        <w:topLinePunct w:val="0"/>
        <w:bidi w:val="0"/>
        <w:snapToGrid/>
        <w:spacing w:line="600" w:lineRule="exact"/>
        <w:ind w:firstLine="643" w:firstLineChars="200"/>
        <w:textAlignment w:val="auto"/>
        <w:outlineLvl w:val="2"/>
        <w:rPr>
          <w:rFonts w:hint="eastAsia" w:ascii="仿宋_GB2312" w:hAnsi="仿宋_GB2312" w:eastAsia="仿宋_GB2312" w:cs="仿宋_GB2312"/>
          <w:sz w:val="32"/>
          <w:szCs w:val="32"/>
        </w:rPr>
      </w:pPr>
      <w:bookmarkStart w:id="83" w:name="_Toc1535"/>
      <w:bookmarkStart w:id="84" w:name="_Toc15377222"/>
      <w:r>
        <w:rPr>
          <w:rFonts w:hint="eastAsia" w:ascii="仿宋_GB2312" w:hAnsi="仿宋_GB2312" w:eastAsia="仿宋_GB2312" w:cs="仿宋_GB2312"/>
          <w:b/>
          <w:sz w:val="32"/>
          <w:szCs w:val="32"/>
        </w:rPr>
        <w:t>（一）机关运行经费支出情况</w:t>
      </w:r>
      <w:bookmarkEnd w:id="83"/>
      <w:bookmarkEnd w:id="84"/>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峨眉山市司法局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rPr>
        <w:t>万元，比2021年减少</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和财政资金紧张，收支缩减。</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b/>
          <w:sz w:val="32"/>
          <w:szCs w:val="32"/>
        </w:rPr>
      </w:pPr>
      <w:bookmarkStart w:id="85" w:name="_Toc10143"/>
      <w:bookmarkStart w:id="86" w:name="_Toc15377223"/>
      <w:r>
        <w:rPr>
          <w:rFonts w:hint="eastAsia" w:ascii="仿宋_GB2312" w:hAnsi="仿宋_GB2312" w:eastAsia="仿宋_GB2312" w:cs="仿宋_GB2312"/>
          <w:b/>
          <w:sz w:val="32"/>
          <w:szCs w:val="32"/>
        </w:rPr>
        <w:t>（二）政府采购支出情况</w:t>
      </w:r>
      <w:bookmarkEnd w:id="85"/>
      <w:bookmarkEnd w:id="86"/>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峨眉山市司法局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b/>
          <w:sz w:val="32"/>
          <w:szCs w:val="32"/>
        </w:rPr>
      </w:pPr>
      <w:bookmarkStart w:id="87" w:name="_Toc15377224"/>
      <w:bookmarkStart w:id="88" w:name="_Toc1988"/>
      <w:r>
        <w:rPr>
          <w:rFonts w:hint="eastAsia" w:ascii="仿宋_GB2312" w:hAnsi="仿宋_GB2312" w:eastAsia="仿宋_GB2312" w:cs="仿宋_GB2312"/>
          <w:b/>
          <w:sz w:val="32"/>
          <w:szCs w:val="32"/>
        </w:rPr>
        <w:t>（三）国有资产占有使用情况</w:t>
      </w:r>
      <w:bookmarkEnd w:id="87"/>
      <w:bookmarkEnd w:id="88"/>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w:t>
      </w:r>
      <w:r>
        <w:rPr>
          <w:rFonts w:hint="eastAsia" w:ascii="仿宋_GB2312" w:hAnsi="仿宋_GB2312" w:eastAsia="仿宋_GB2312" w:cs="仿宋_GB2312"/>
          <w:sz w:val="32"/>
          <w:szCs w:val="32"/>
          <w:lang w:eastAsia="zh-CN"/>
        </w:rPr>
        <w:t>峨眉山市司法局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kern w:val="2"/>
          <w:sz w:val="32"/>
          <w:lang w:val="zh-CN"/>
        </w:rPr>
        <w:t>执法执勤用车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kern w:val="2"/>
          <w:sz w:val="32"/>
          <w:lang w:val="zh-CN"/>
        </w:rPr>
        <w:t>特种专业技术用车0辆、离退休干部用车0辆、其他用车0辆</w:t>
      </w:r>
      <w:r>
        <w:rPr>
          <w:rFonts w:hint="eastAsia" w:ascii="仿宋_GB2312" w:hAnsi="仿宋_GB2312" w:eastAsia="仿宋_GB2312" w:cs="仿宋_GB2312"/>
          <w:sz w:val="32"/>
          <w:szCs w:val="32"/>
        </w:rPr>
        <w:t>。单价100万元以上专用设备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b/>
          <w:sz w:val="32"/>
          <w:szCs w:val="32"/>
        </w:rPr>
      </w:pPr>
      <w:bookmarkStart w:id="89" w:name="_Toc4282"/>
      <w:r>
        <w:rPr>
          <w:rFonts w:hint="eastAsia" w:ascii="仿宋_GB2312" w:hAnsi="仿宋_GB2312" w:eastAsia="仿宋_GB2312" w:cs="仿宋_GB2312"/>
          <w:b/>
          <w:sz w:val="32"/>
          <w:szCs w:val="32"/>
        </w:rPr>
        <w:t>（四）预算绩效管理情况</w:t>
      </w:r>
      <w:bookmarkEnd w:id="89"/>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eastAsia="zh-CN"/>
        </w:rPr>
        <w:t>社区矫正</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个项目开展绩效监控。</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峨眉山市司法局</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（含部门预算项目）绩效自评报告、</w:t>
      </w:r>
      <w:r>
        <w:rPr>
          <w:rFonts w:hint="eastAsia" w:ascii="仿宋_GB2312" w:hAnsi="仿宋_GB2312" w:eastAsia="仿宋_GB2312" w:cs="仿宋_GB2312"/>
          <w:sz w:val="32"/>
          <w:szCs w:val="32"/>
          <w:lang w:eastAsia="zh-CN"/>
        </w:rPr>
        <w:t>社区矫正等其他</w:t>
      </w:r>
      <w:r>
        <w:rPr>
          <w:rFonts w:hint="eastAsia" w:ascii="仿宋_GB2312" w:hAnsi="仿宋_GB2312" w:eastAsia="仿宋_GB2312" w:cs="仿宋_GB2312"/>
          <w:sz w:val="32"/>
          <w:szCs w:val="32"/>
        </w:rPr>
        <w:t>项目绩效自评</w:t>
      </w:r>
      <w:r>
        <w:rPr>
          <w:rFonts w:hint="eastAsia" w:ascii="仿宋_GB2312" w:hAnsi="仿宋_GB2312" w:eastAsia="仿宋_GB2312" w:cs="仿宋_GB2312"/>
          <w:sz w:val="32"/>
          <w:szCs w:val="32"/>
          <w:lang w:eastAsia="zh-CN"/>
        </w:rPr>
        <w:t>表。峨眉山市司法局</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（含部门预算项目）绩效自评得分为</w:t>
      </w:r>
      <w:r>
        <w:rPr>
          <w:rFonts w:hint="eastAsia" w:ascii="仿宋_GB2312" w:hAnsi="仿宋_GB2312" w:eastAsia="仿宋_GB2312" w:cs="仿宋_GB2312"/>
          <w:sz w:val="32"/>
          <w:szCs w:val="32"/>
          <w:lang w:val="en-US" w:eastAsia="zh-CN"/>
        </w:rPr>
        <w:t>93.5</w:t>
      </w:r>
      <w:r>
        <w:rPr>
          <w:rFonts w:hint="eastAsia" w:ascii="仿宋_GB2312" w:hAnsi="仿宋_GB2312" w:eastAsia="仿宋_GB2312" w:cs="仿宋_GB2312"/>
          <w:sz w:val="32"/>
          <w:szCs w:val="32"/>
        </w:rPr>
        <w:t>分，绩效自评综述：我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支出总体执行情况较好，预期的绩效目标基本实现，同时财务操作程序规范有序，资金管理和使用有原则有计划按要求，</w:t>
      </w:r>
      <w:r>
        <w:rPr>
          <w:rFonts w:hint="eastAsia" w:ascii="仿宋_GB2312" w:hAnsi="仿宋_GB2312" w:eastAsia="仿宋_GB2312" w:cs="仿宋_GB2312"/>
          <w:sz w:val="32"/>
          <w:szCs w:val="32"/>
          <w:lang w:eastAsia="zh-CN"/>
        </w:rPr>
        <w:t>账务</w:t>
      </w:r>
      <w:r>
        <w:rPr>
          <w:rFonts w:hint="eastAsia" w:ascii="仿宋_GB2312" w:hAnsi="仿宋_GB2312" w:eastAsia="仿宋_GB2312" w:cs="仿宋_GB2312"/>
          <w:sz w:val="32"/>
          <w:szCs w:val="32"/>
        </w:rPr>
        <w:t>核算及时、准确，不存在违法乱纪的问题。</w:t>
      </w:r>
      <w:r>
        <w:rPr>
          <w:rFonts w:hint="eastAsia" w:ascii="仿宋_GB2312" w:hAnsi="仿宋_GB2312" w:eastAsia="仿宋_GB2312" w:cs="仿宋_GB2312"/>
          <w:sz w:val="32"/>
          <w:szCs w:val="32"/>
          <w:lang w:eastAsia="zh-CN"/>
        </w:rPr>
        <w:t>但仍存在一定不足：</w:t>
      </w:r>
      <w:r>
        <w:rPr>
          <w:rFonts w:hint="eastAsia" w:ascii="仿宋_GB2312" w:hAnsi="仿宋_GB2312" w:eastAsia="仿宋_GB2312" w:cs="仿宋_GB2312"/>
          <w:kern w:val="2"/>
          <w:sz w:val="32"/>
          <w:szCs w:val="32"/>
          <w:lang w:val="zh-CN" w:eastAsia="zh-CN" w:bidi="ar-SA"/>
        </w:rPr>
        <w:t>一是部分项目不可预见性较强，绩效指标设置和资金执行进度不能精确预估；二是财政资金紧张导致预算资金执行率不高</w:t>
      </w:r>
      <w:r>
        <w:rPr>
          <w:rFonts w:hint="eastAsia" w:ascii="仿宋_GB2312" w:hAnsi="仿宋_GB2312" w:eastAsia="仿宋_GB2312" w:cs="仿宋_GB2312"/>
          <w:sz w:val="32"/>
          <w:szCs w:val="32"/>
          <w:lang w:eastAsia="zh-CN"/>
        </w:rPr>
        <w:t>。</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90" w:name="_Toc20567"/>
      <w:bookmarkStart w:id="91" w:name="_Toc15396613"/>
      <w:bookmarkStart w:id="92" w:name="_Toc15377225"/>
      <w:r>
        <w:rPr>
          <w:rFonts w:hint="eastAsia" w:ascii="黑体" w:hAnsi="黑体" w:eastAsia="黑体"/>
          <w:sz w:val="44"/>
          <w:szCs w:val="44"/>
        </w:rPr>
        <w:t>名</w:t>
      </w:r>
      <w:r>
        <w:rPr>
          <w:rStyle w:val="27"/>
          <w:rFonts w:hint="eastAsia" w:ascii="黑体" w:hAnsi="黑体" w:eastAsia="黑体"/>
          <w:b w:val="0"/>
        </w:rPr>
        <w:t>词解释</w:t>
      </w:r>
      <w:bookmarkEnd w:id="90"/>
      <w:bookmarkEnd w:id="91"/>
      <w:bookmarkEnd w:id="92"/>
    </w:p>
    <w:p>
      <w:pPr>
        <w:keepNext w:val="0"/>
        <w:keepLines w:val="0"/>
        <w:pageBreakBefore w:val="0"/>
        <w:widowControl w:val="0"/>
        <w:kinsoku/>
        <w:wordWrap/>
        <w:overflowPunct/>
        <w:topLinePunct w:val="0"/>
        <w:bidi w:val="0"/>
        <w:snapToGrid/>
        <w:spacing w:line="600" w:lineRule="exact"/>
        <w:jc w:val="left"/>
        <w:textAlignment w:val="auto"/>
        <w:rPr>
          <w:rFonts w:ascii="宋体"/>
          <w:b/>
          <w:sz w:val="32"/>
          <w:szCs w:val="32"/>
        </w:rPr>
      </w:pP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 xml:space="preserve">2. </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公共安全（类）</w:t>
      </w:r>
      <w:r>
        <w:rPr>
          <w:rFonts w:hint="eastAsia" w:ascii="仿宋_GB2312" w:eastAsia="仿宋_GB2312"/>
          <w:sz w:val="32"/>
          <w:szCs w:val="32"/>
          <w:lang w:eastAsia="zh-CN"/>
        </w:rPr>
        <w:t>司法</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color w:val="000000"/>
          <w:sz w:val="32"/>
          <w:szCs w:val="32"/>
        </w:rPr>
        <w:t>指行政单位（包括实行公务员管理的事业单位）的基本支出</w:t>
      </w:r>
      <w:r>
        <w:rPr>
          <w:rFonts w:hint="eastAsia" w:ascii="仿宋_GB2312" w:eastAsia="仿宋_GB2312"/>
          <w:sz w:val="32"/>
          <w:szCs w:val="32"/>
        </w:rPr>
        <w:t>。</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lang w:eastAsia="zh-CN"/>
        </w:rPr>
        <w:t>公共安全</w:t>
      </w:r>
      <w:r>
        <w:rPr>
          <w:rFonts w:hint="eastAsia" w:ascii="仿宋_GB2312" w:eastAsia="仿宋_GB2312"/>
          <w:sz w:val="32"/>
          <w:szCs w:val="32"/>
        </w:rPr>
        <w:t>（类）</w:t>
      </w:r>
      <w:r>
        <w:rPr>
          <w:rFonts w:hint="eastAsia" w:ascii="仿宋_GB2312" w:eastAsia="仿宋_GB2312"/>
          <w:sz w:val="32"/>
          <w:szCs w:val="32"/>
          <w:lang w:eastAsia="zh-CN"/>
        </w:rPr>
        <w:t>司法</w:t>
      </w:r>
      <w:r>
        <w:rPr>
          <w:rFonts w:hint="eastAsia" w:ascii="仿宋_GB2312" w:eastAsia="仿宋_GB2312"/>
          <w:sz w:val="32"/>
          <w:szCs w:val="32"/>
        </w:rPr>
        <w:t>（款）</w:t>
      </w:r>
      <w:r>
        <w:rPr>
          <w:rFonts w:hint="eastAsia" w:ascii="仿宋_GB2312" w:eastAsia="仿宋_GB2312"/>
          <w:color w:val="000000"/>
          <w:sz w:val="32"/>
          <w:szCs w:val="32"/>
        </w:rPr>
        <w:t>一般行政事务管理</w:t>
      </w:r>
      <w:r>
        <w:rPr>
          <w:rFonts w:hint="eastAsia" w:ascii="仿宋_GB2312" w:eastAsia="仿宋_GB2312"/>
          <w:sz w:val="32"/>
          <w:szCs w:val="32"/>
        </w:rPr>
        <w:t>（项）：</w:t>
      </w:r>
      <w:r>
        <w:rPr>
          <w:rFonts w:hint="eastAsia" w:ascii="仿宋_GB2312" w:eastAsia="仿宋_GB2312"/>
          <w:color w:val="000000"/>
          <w:sz w:val="32"/>
          <w:szCs w:val="32"/>
        </w:rPr>
        <w:t>指行政单位（包括实行公务员管理的事业单位）未单独设置顶级科目的其他项目支出</w:t>
      </w:r>
      <w:r>
        <w:rPr>
          <w:rFonts w:hint="eastAsia" w:ascii="仿宋_GB2312" w:eastAsia="仿宋_GB2312"/>
          <w:sz w:val="32"/>
          <w:szCs w:val="32"/>
        </w:rPr>
        <w:t>。</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w:t>
      </w:r>
      <w:r>
        <w:rPr>
          <w:rFonts w:hint="eastAsia" w:ascii="仿宋_GB2312" w:hAnsi="仿宋_GB2312" w:eastAsia="仿宋_GB2312" w:cs="仿宋_GB2312"/>
          <w:sz w:val="32"/>
          <w:szCs w:val="32"/>
        </w:rPr>
        <w:t>公共安全支出（类）司法（款）基层司法业务（项）：指各级司法行政部门用于基层业务的支出，包括基层工作指导费、调解费、安置帮教费、司法所经费和</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法律服务</w:t>
      </w:r>
      <w:r>
        <w:rPr>
          <w:rFonts w:hint="eastAsia" w:ascii="仿宋_GB2312" w:hAnsi="仿宋_GB2312" w:eastAsia="仿宋_GB2312" w:cs="仿宋_GB2312"/>
          <w:sz w:val="32"/>
          <w:szCs w:val="32"/>
          <w:lang w:eastAsia="zh-CN"/>
        </w:rPr>
        <w:t>平台相关支出、人民陪审员选任管理费用、人民监督员选任管理费用</w:t>
      </w:r>
      <w:r>
        <w:rPr>
          <w:rFonts w:hint="eastAsia" w:ascii="仿宋_GB2312" w:hAnsi="仿宋_GB2312" w:eastAsia="仿宋_GB2312" w:cs="仿宋_GB2312"/>
          <w:sz w:val="32"/>
          <w:szCs w:val="32"/>
        </w:rPr>
        <w:t>等</w:t>
      </w:r>
      <w:r>
        <w:rPr>
          <w:rFonts w:hint="eastAsia" w:ascii="仿宋_GB2312" w:hAnsi="Times New Roman" w:eastAsia="仿宋_GB2312" w:cs="Times New Roman"/>
          <w:sz w:val="32"/>
          <w:szCs w:val="32"/>
          <w:lang w:eastAsia="zh-CN"/>
        </w:rPr>
        <w:t>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hAnsi="Times New Roman" w:eastAsia="仿宋_GB2312" w:cs="Times New Roman"/>
          <w:sz w:val="32"/>
          <w:szCs w:val="32"/>
          <w:lang w:eastAsia="zh-CN"/>
        </w:rPr>
        <w:t>公共安全支出（类）司法（款）普法宣传（项）：指各级司法行政部门用于组织各种媒体的宣传、普法装备与设施、宣传资料、对外宣传、法制作品的审读评审等方面的支出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hAnsi="Times New Roman" w:eastAsia="仿宋_GB2312" w:cs="Times New Roman"/>
          <w:sz w:val="32"/>
          <w:szCs w:val="32"/>
          <w:lang w:eastAsia="zh-CN"/>
        </w:rPr>
        <w:t>公共安全支出（类）司法（款）公共法律服务（项）：指司法行政部门用于法律援助、司法鉴定、公证、仲裁等公共法律服务工作的相关支出。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8.</w:t>
      </w:r>
      <w:r>
        <w:rPr>
          <w:rFonts w:hint="eastAsia" w:ascii="仿宋_GB2312" w:hAnsi="仿宋_GB2312" w:eastAsia="仿宋_GB2312" w:cs="仿宋_GB2312"/>
          <w:sz w:val="32"/>
          <w:szCs w:val="32"/>
        </w:rPr>
        <w:t>公共安全支出（类）司法（款）社区矫正（项）：指司法行政部门用于社区矫正的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支出。</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hAnsi="仿宋_GB2312" w:cs="仿宋_GB2312"/>
          <w:sz w:val="32"/>
          <w:szCs w:val="32"/>
          <w:lang w:val="en-US" w:eastAsia="zh-CN"/>
        </w:rPr>
        <w:t>9.</w:t>
      </w:r>
      <w:r>
        <w:rPr>
          <w:rFonts w:hint="eastAsia" w:ascii="仿宋_GB2312" w:hAnsi="Times New Roman" w:eastAsia="仿宋_GB2312" w:cs="Times New Roman"/>
          <w:kern w:val="0"/>
          <w:sz w:val="32"/>
          <w:szCs w:val="32"/>
          <w:lang w:val="en-US" w:eastAsia="zh-CN" w:bidi="ar-SA"/>
        </w:rPr>
        <w:t>公共安全支出（类）司法（款）其他司法支出（项）：指除上述项目以外其他用于司法方面的支出。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10.</w:t>
      </w:r>
      <w:r>
        <w:rPr>
          <w:rFonts w:hint="eastAsia" w:ascii="仿宋_GB2312" w:hAnsi="Times New Roman" w:eastAsia="仿宋_GB2312" w:cs="Times New Roman"/>
          <w:kern w:val="0"/>
          <w:sz w:val="32"/>
          <w:szCs w:val="32"/>
          <w:lang w:val="en-US" w:eastAsia="zh-CN" w:bidi="ar-SA"/>
        </w:rPr>
        <w:t>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11.</w:t>
      </w:r>
      <w:r>
        <w:rPr>
          <w:rFonts w:hint="eastAsia" w:ascii="仿宋_GB2312" w:hAnsi="Times New Roman" w:eastAsia="仿宋_GB2312" w:cs="Times New Roman"/>
          <w:kern w:val="0"/>
          <w:sz w:val="32"/>
          <w:szCs w:val="32"/>
          <w:lang w:val="en-US" w:eastAsia="zh-CN" w:bidi="ar-SA"/>
        </w:rPr>
        <w:t>社会保障和就业支出（类）行政事业单位养老支出（款）机关事业单位职业年金缴费支出（项）：指机关事业单位实施养老保险制度由单位缴纳的职业年金支出。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ascii="仿宋_GB2312" w:eastAsia="仿宋_GB2312"/>
          <w:color w:val="auto"/>
          <w:sz w:val="32"/>
          <w:szCs w:val="32"/>
        </w:rPr>
        <w:t>12.</w:t>
      </w:r>
      <w:r>
        <w:rPr>
          <w:rFonts w:hint="eastAsia" w:ascii="仿宋_GB2312" w:hAnsi="Times New Roman" w:eastAsia="仿宋_GB2312" w:cs="Times New Roman"/>
          <w:kern w:val="0"/>
          <w:sz w:val="32"/>
          <w:szCs w:val="32"/>
          <w:lang w:val="en-US" w:eastAsia="zh-CN" w:bidi="ar-SA"/>
        </w:rPr>
        <w:t>社会保障和就业支出（类）抚恤（款）</w:t>
      </w:r>
      <w:r>
        <w:rPr>
          <w:rFonts w:hint="eastAsia" w:ascii="仿宋_GB2312" w:eastAsia="仿宋_GB2312" w:cs="Times New Roman"/>
          <w:kern w:val="0"/>
          <w:sz w:val="32"/>
          <w:szCs w:val="32"/>
          <w:lang w:val="en-US" w:eastAsia="zh-CN" w:bidi="ar-SA"/>
        </w:rPr>
        <w:t>死亡抚恤</w:t>
      </w:r>
      <w:r>
        <w:rPr>
          <w:rFonts w:hint="eastAsia" w:ascii="仿宋_GB2312" w:hAnsi="Times New Roman" w:eastAsia="仿宋_GB2312" w:cs="Times New Roman"/>
          <w:kern w:val="0"/>
          <w:sz w:val="32"/>
          <w:szCs w:val="32"/>
          <w:lang w:val="en-US" w:eastAsia="zh-CN" w:bidi="ar-SA"/>
        </w:rPr>
        <w:t>（项）：指</w:t>
      </w:r>
      <w:r>
        <w:rPr>
          <w:rFonts w:hint="eastAsia" w:ascii="仿宋_GB2312" w:eastAsia="仿宋_GB2312" w:cs="Times New Roman"/>
          <w:kern w:val="0"/>
          <w:sz w:val="32"/>
          <w:szCs w:val="32"/>
          <w:lang w:val="en-US" w:eastAsia="zh-CN" w:bidi="ar-SA"/>
        </w:rPr>
        <w:t>按规定用于烈士和牺牲、病故人员家属的一次性和定期抚恤金、丧葬补助费以及烈士褒扬金。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cs="Times New Roman"/>
          <w:kern w:val="0"/>
          <w:sz w:val="32"/>
          <w:szCs w:val="32"/>
          <w:lang w:val="en-US" w:eastAsia="zh-CN" w:bidi="ar-SA"/>
        </w:rPr>
        <w:t>13.</w:t>
      </w:r>
      <w:r>
        <w:rPr>
          <w:rFonts w:hint="eastAsia" w:ascii="仿宋_GB2312" w:hAnsi="Times New Roman" w:eastAsia="仿宋_GB2312" w:cs="Times New Roman"/>
          <w:kern w:val="0"/>
          <w:sz w:val="32"/>
          <w:szCs w:val="32"/>
          <w:lang w:val="en-US" w:eastAsia="zh-CN" w:bidi="ar-SA"/>
        </w:rPr>
        <w:t>社会保障和就业支出（类）抚恤（款）其他优抚支出（项）：指上述项目以外其他用于优抚方面的支出，包括向优抚对象发放的价格临时补贴等支出。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hAnsi="Times New Roman" w:eastAsia="仿宋_GB2312" w:cs="Times New Roman"/>
          <w:kern w:val="0"/>
          <w:sz w:val="32"/>
          <w:szCs w:val="32"/>
          <w:lang w:val="en-US" w:eastAsia="zh-CN" w:bidi="ar-SA"/>
        </w:rPr>
        <w:t>社会保障和就业（类）其他社会保障和就业支出（款）其他社会保障和就业支出（项）：指上述项目以外其他用于社会保障和就业方面的支出。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hAnsi="Times New Roman" w:eastAsia="仿宋_GB2312" w:cs="Times New Roman"/>
          <w:kern w:val="0"/>
          <w:sz w:val="32"/>
          <w:szCs w:val="32"/>
          <w:lang w:val="en-US" w:eastAsia="zh-CN" w:bidi="ar-SA"/>
        </w:rPr>
        <w:t>卫生健康支出（类）行政事业单位医疗（款）行政单位医疗（项）：指财政部门集中安排的行政单位（包括实行公务员管理的事业单位）基本医疗保险缴费经费，未参加医疗保</w:t>
      </w:r>
      <w:r>
        <w:rPr>
          <w:rFonts w:hint="eastAsia" w:ascii="仿宋_GB2312" w:hAnsi="仿宋_GB2312" w:eastAsia="仿宋_GB2312" w:cs="仿宋_GB2312"/>
          <w:sz w:val="32"/>
          <w:szCs w:val="32"/>
        </w:rPr>
        <w:t>险的行政单位的公费医疗经费，按国家规定享受离休人员、红军老战士待遇人员的医疗经费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城乡社区支出（类）国有土地使用权出让收入安排的支出（款）土地开发支出（项）：指</w:t>
      </w:r>
      <w:r>
        <w:rPr>
          <w:rFonts w:hint="eastAsia" w:ascii="仿宋_GB2312" w:eastAsia="仿宋_GB2312"/>
          <w:sz w:val="32"/>
          <w:szCs w:val="32"/>
          <w:lang w:eastAsia="zh-CN"/>
        </w:rPr>
        <w:t>从国有土地收益基金中安排用于收购储备土地需要支付的前期土地开发性支出以及与前期土地开发相关的费用等支出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城乡社区支出（类）国有土地使用权出让收入安排的支出（款）其他国有土地使用权出让收入安排的支出（项）：指</w:t>
      </w:r>
      <w:r>
        <w:rPr>
          <w:rFonts w:hint="eastAsia" w:ascii="仿宋_GB2312" w:eastAsia="仿宋_GB2312"/>
          <w:sz w:val="32"/>
          <w:szCs w:val="32"/>
          <w:lang w:eastAsia="zh-CN"/>
        </w:rPr>
        <w:t>土地出让收入用于其他方面的支出</w:t>
      </w:r>
      <w:r>
        <w:rPr>
          <w:rFonts w:hint="eastAsia" w:ascii="仿宋_GB2312" w:eastAsia="仿宋_GB2312"/>
          <w:sz w:val="32"/>
          <w:szCs w:val="32"/>
        </w:rPr>
        <w:t>。</w:t>
      </w:r>
      <w:r>
        <w:rPr>
          <w:rFonts w:hint="eastAsia" w:ascii="仿宋_GB2312" w:eastAsia="仿宋_GB2312"/>
          <w:sz w:val="32"/>
          <w:szCs w:val="32"/>
          <w:lang w:eastAsia="zh-CN"/>
        </w:rPr>
        <w:t>不包括市县级政府当年按规定用土地出让收入向中央和省级政府缴纳的新增建设用地土地有偿使用费的支出。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城乡社区支出（类）国有土地收益基金安排的支出（款）其他国有土地收益基金支出（项）：指</w:t>
      </w:r>
      <w:r>
        <w:rPr>
          <w:rFonts w:hint="eastAsia" w:ascii="仿宋_GB2312" w:eastAsia="仿宋_GB2312"/>
          <w:sz w:val="32"/>
          <w:szCs w:val="32"/>
          <w:lang w:eastAsia="zh-CN"/>
        </w:rPr>
        <w:t>从国有土地收益基金安排用于其他支出。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b/>
          <w:sz w:val="32"/>
          <w:szCs w:val="32"/>
        </w:rPr>
      </w:pPr>
      <w:r>
        <w:rPr>
          <w:rFonts w:ascii="仿宋_GB2312" w:eastAsia="仿宋_GB2312"/>
          <w:sz w:val="32"/>
          <w:szCs w:val="32"/>
        </w:rPr>
        <w:t>19.</w:t>
      </w:r>
      <w:r>
        <w:rPr>
          <w:rFonts w:hint="eastAsia" w:ascii="仿宋_GB2312" w:hAnsi="仿宋_GB2312" w:eastAsia="仿宋_GB2312" w:cs="仿宋_GB2312"/>
          <w:sz w:val="32"/>
          <w:szCs w:val="32"/>
        </w:rPr>
        <w:t>住房保障</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（类）住房改革支出（款）住房公积金（项）：指行政事业单位按人力资源和社会保障部、财政部规定的基本工资和津贴补贴以及规定比例为职工缴纳的住房公积金。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b/>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93" w:name="_Toc15377226"/>
      <w:r>
        <w:rPr>
          <w:rFonts w:ascii="宋体"/>
          <w:b/>
          <w:sz w:val="44"/>
          <w:szCs w:val="44"/>
        </w:rPr>
        <w:br w:type="page"/>
      </w:r>
      <w:bookmarkStart w:id="94" w:name="_Toc15396614"/>
      <w:bookmarkStart w:id="95" w:name="_Toc15861"/>
      <w:r>
        <w:rPr>
          <w:rFonts w:hint="eastAsia" w:ascii="黑体" w:hAnsi="黑体" w:eastAsia="黑体"/>
          <w:sz w:val="44"/>
          <w:szCs w:val="44"/>
        </w:rPr>
        <w:t>第</w:t>
      </w:r>
      <w:r>
        <w:rPr>
          <w:rStyle w:val="27"/>
          <w:rFonts w:hint="eastAsia" w:ascii="黑体" w:hAnsi="黑体" w:eastAsia="黑体"/>
          <w:b w:val="0"/>
        </w:rPr>
        <w:t>四部分 附件</w:t>
      </w:r>
      <w:bookmarkEnd w:id="94"/>
      <w:bookmarkEnd w:id="95"/>
    </w:p>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44"/>
          <w:szCs w:val="44"/>
        </w:rPr>
      </w:pPr>
      <w:bookmarkStart w:id="96" w:name="_Toc31723"/>
      <w:r>
        <w:rPr>
          <w:rFonts w:hint="eastAsia" w:ascii="黑体" w:hAnsi="黑体" w:eastAsia="黑体" w:cs="黑体"/>
          <w:sz w:val="32"/>
          <w:szCs w:val="32"/>
        </w:rPr>
        <w:t>附件</w:t>
      </w:r>
      <w:bookmarkEnd w:id="96"/>
    </w:p>
    <w:p>
      <w:pPr>
        <w:keepNext w:val="0"/>
        <w:keepLines w:val="0"/>
        <w:pageBreakBefore w:val="0"/>
        <w:widowControl/>
        <w:kinsoku/>
        <w:wordWrap/>
        <w:overflowPunct/>
        <w:topLinePunct w:val="0"/>
        <w:autoSpaceDE/>
        <w:autoSpaceDN/>
        <w:bidi w:val="0"/>
        <w:spacing w:line="6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2023年部门整体绩效评价报告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峨眉山市司法局为政府行政部门，共有下属事业单位2个，其中：参公事业单位（法律援助中心）1个，自收自支事业单位（公证处）1个。</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机构职能和人员概况。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rPr>
        <w:t>承担依法治市重大问题的政策研究，协调有关方面提出全面依法治市规划建议，负责有关重大决策部署督查工作；</w:t>
      </w: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rPr>
        <w:t>负责协调各部门实施法律、法规、规章中的有关争议和问题；</w:t>
      </w:r>
      <w:r>
        <w:rPr>
          <w:rFonts w:hint="eastAsia" w:ascii="仿宋_GB2312" w:hAnsi="仿宋_GB2312" w:eastAsia="仿宋_GB2312" w:cs="仿宋_GB2312"/>
          <w:b w:val="0"/>
          <w:bCs w:val="0"/>
          <w:color w:val="000000"/>
          <w:kern w:val="0"/>
          <w:sz w:val="32"/>
          <w:szCs w:val="32"/>
          <w:shd w:val="clear" w:color="auto" w:fill="FFFFFF"/>
          <w:lang w:val="en-US" w:eastAsia="zh-CN"/>
        </w:rPr>
        <w:t>（3）</w:t>
      </w:r>
      <w:r>
        <w:rPr>
          <w:rFonts w:hint="eastAsia" w:ascii="仿宋_GB2312" w:hAnsi="仿宋_GB2312" w:eastAsia="仿宋_GB2312" w:cs="仿宋_GB2312"/>
          <w:b w:val="0"/>
          <w:bCs w:val="0"/>
          <w:color w:val="000000"/>
          <w:kern w:val="0"/>
          <w:sz w:val="32"/>
          <w:szCs w:val="32"/>
          <w:shd w:val="clear" w:color="auto" w:fill="FFFFFF"/>
          <w:lang w:val="zh-CN"/>
        </w:rPr>
        <w:t>负责市政府规范性文件、重大行政决策发布前的合法性审查；</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rPr>
        <w:t>承担统筹推进法治政府建设的责任，指导监督市政府各部门、各乡镇依法行政工作；</w:t>
      </w:r>
      <w:r>
        <w:rPr>
          <w:rFonts w:hint="eastAsia" w:ascii="仿宋_GB2312" w:hAnsi="仿宋_GB2312" w:eastAsia="仿宋_GB2312" w:cs="仿宋_GB2312"/>
          <w:b w:val="0"/>
          <w:bCs w:val="0"/>
          <w:color w:val="000000"/>
          <w:kern w:val="0"/>
          <w:sz w:val="32"/>
          <w:szCs w:val="32"/>
          <w:shd w:val="clear" w:color="auto" w:fill="FFFFFF"/>
          <w:lang w:val="en-US" w:eastAsia="zh-CN"/>
        </w:rPr>
        <w:t>（5）</w:t>
      </w:r>
      <w:r>
        <w:rPr>
          <w:rFonts w:hint="eastAsia" w:ascii="仿宋_GB2312" w:hAnsi="仿宋_GB2312" w:eastAsia="仿宋_GB2312" w:cs="仿宋_GB2312"/>
          <w:b w:val="0"/>
          <w:bCs w:val="0"/>
          <w:color w:val="000000"/>
          <w:kern w:val="0"/>
          <w:sz w:val="32"/>
          <w:szCs w:val="32"/>
          <w:shd w:val="clear" w:color="auto" w:fill="FFFFFF"/>
          <w:lang w:val="zh-CN"/>
        </w:rPr>
        <w:t>承担统筹规划法治社会建设的责任，负责拟定法治宣传教育规划，组织实施普法宣传工作，组织对外法治宣传；</w:t>
      </w:r>
      <w:r>
        <w:rPr>
          <w:rFonts w:hint="eastAsia" w:ascii="仿宋_GB2312" w:hAnsi="仿宋_GB2312" w:eastAsia="仿宋_GB2312" w:cs="仿宋_GB2312"/>
          <w:b w:val="0"/>
          <w:bCs w:val="0"/>
          <w:color w:val="000000"/>
          <w:kern w:val="0"/>
          <w:sz w:val="32"/>
          <w:szCs w:val="32"/>
          <w:shd w:val="clear" w:color="auto" w:fill="FFFFFF"/>
          <w:lang w:val="en-US" w:eastAsia="zh-CN"/>
        </w:rPr>
        <w:t>（6）</w:t>
      </w:r>
      <w:r>
        <w:rPr>
          <w:rFonts w:hint="eastAsia" w:ascii="仿宋_GB2312" w:hAnsi="仿宋_GB2312" w:eastAsia="仿宋_GB2312" w:cs="仿宋_GB2312"/>
          <w:b w:val="0"/>
          <w:bCs w:val="0"/>
          <w:color w:val="000000"/>
          <w:kern w:val="0"/>
          <w:sz w:val="32"/>
          <w:szCs w:val="32"/>
          <w:shd w:val="clear" w:color="auto" w:fill="FFFFFF"/>
          <w:lang w:val="zh-CN"/>
        </w:rPr>
        <w:t>指导管理全市社区矫正工作，指导刑满释放人员帮教安置工作；</w:t>
      </w:r>
      <w:r>
        <w:rPr>
          <w:rFonts w:hint="eastAsia" w:ascii="仿宋_GB2312" w:hAnsi="仿宋_GB2312" w:eastAsia="仿宋_GB2312" w:cs="仿宋_GB2312"/>
          <w:b w:val="0"/>
          <w:bCs w:val="0"/>
          <w:color w:val="000000"/>
          <w:kern w:val="0"/>
          <w:sz w:val="32"/>
          <w:szCs w:val="32"/>
          <w:shd w:val="clear" w:color="auto" w:fill="FFFFFF"/>
          <w:lang w:val="en-US" w:eastAsia="zh-CN"/>
        </w:rPr>
        <w:t>（7）</w:t>
      </w:r>
      <w:r>
        <w:rPr>
          <w:rFonts w:hint="eastAsia" w:ascii="仿宋_GB2312" w:hAnsi="仿宋_GB2312" w:eastAsia="仿宋_GB2312" w:cs="仿宋_GB2312"/>
          <w:b w:val="0"/>
          <w:bCs w:val="0"/>
          <w:color w:val="000000"/>
          <w:kern w:val="0"/>
          <w:sz w:val="32"/>
          <w:szCs w:val="32"/>
          <w:shd w:val="clear" w:color="auto" w:fill="FFFFFF"/>
          <w:lang w:val="zh-CN"/>
        </w:rPr>
        <w:t>负责拟定全市公共法律服务体系建设规划并指导实施，统筹和布局全市城乡、区域法律服务资源；</w:t>
      </w:r>
      <w:r>
        <w:rPr>
          <w:rFonts w:hint="eastAsia" w:ascii="仿宋_GB2312" w:hAnsi="仿宋_GB2312" w:eastAsia="仿宋_GB2312" w:cs="仿宋_GB2312"/>
          <w:b w:val="0"/>
          <w:bCs w:val="0"/>
          <w:color w:val="000000"/>
          <w:kern w:val="0"/>
          <w:sz w:val="32"/>
          <w:szCs w:val="32"/>
          <w:shd w:val="clear" w:color="auto" w:fill="FFFFFF"/>
          <w:lang w:val="en-US" w:eastAsia="zh-CN"/>
        </w:rPr>
        <w:t>（8）</w:t>
      </w:r>
      <w:r>
        <w:rPr>
          <w:rFonts w:hint="eastAsia" w:ascii="仿宋_GB2312" w:hAnsi="仿宋_GB2312" w:eastAsia="仿宋_GB2312" w:cs="仿宋_GB2312"/>
          <w:b w:val="0"/>
          <w:bCs w:val="0"/>
          <w:color w:val="000000"/>
          <w:kern w:val="0"/>
          <w:sz w:val="32"/>
          <w:szCs w:val="32"/>
          <w:shd w:val="clear" w:color="auto" w:fill="FFFFFF"/>
          <w:lang w:val="zh-CN"/>
        </w:rPr>
        <w:t>规划、协调、指导法治人才队伍建设相关工作，指导监督本系统队伍建设；</w:t>
      </w:r>
      <w:r>
        <w:rPr>
          <w:rFonts w:hint="eastAsia" w:ascii="仿宋_GB2312" w:hAnsi="仿宋_GB2312" w:eastAsia="仿宋_GB2312" w:cs="仿宋_GB2312"/>
          <w:b w:val="0"/>
          <w:bCs w:val="0"/>
          <w:color w:val="000000"/>
          <w:kern w:val="0"/>
          <w:sz w:val="32"/>
          <w:szCs w:val="32"/>
          <w:shd w:val="clear" w:color="auto" w:fill="FFFFFF"/>
          <w:lang w:val="en-US" w:eastAsia="zh-CN"/>
        </w:rPr>
        <w:t>（9）</w:t>
      </w:r>
      <w:r>
        <w:rPr>
          <w:rFonts w:hint="eastAsia" w:ascii="仿宋_GB2312" w:hAnsi="仿宋_GB2312" w:eastAsia="仿宋_GB2312" w:cs="仿宋_GB2312"/>
          <w:b w:val="0"/>
          <w:bCs w:val="0"/>
          <w:color w:val="000000"/>
          <w:kern w:val="0"/>
          <w:sz w:val="32"/>
          <w:szCs w:val="32"/>
          <w:shd w:val="clear" w:color="auto" w:fill="FFFFFF"/>
          <w:lang w:val="zh-CN"/>
        </w:rPr>
        <w:t>负责全市外来企业投诉处理和民营企业法律服务工作；</w:t>
      </w:r>
      <w:r>
        <w:rPr>
          <w:rFonts w:hint="eastAsia" w:ascii="仿宋_GB2312" w:hAnsi="仿宋_GB2312" w:eastAsia="仿宋_GB2312" w:cs="仿宋_GB2312"/>
          <w:b w:val="0"/>
          <w:bCs w:val="0"/>
          <w:color w:val="000000"/>
          <w:kern w:val="0"/>
          <w:sz w:val="32"/>
          <w:szCs w:val="32"/>
          <w:shd w:val="clear" w:color="auto" w:fill="FFFFFF"/>
          <w:lang w:val="en-US" w:eastAsia="zh-CN"/>
        </w:rPr>
        <w:t>（10）</w:t>
      </w:r>
      <w:r>
        <w:rPr>
          <w:rFonts w:hint="eastAsia" w:ascii="仿宋_GB2312" w:hAnsi="仿宋_GB2312" w:eastAsia="仿宋_GB2312" w:cs="仿宋_GB2312"/>
          <w:b w:val="0"/>
          <w:bCs w:val="0"/>
          <w:color w:val="000000"/>
          <w:kern w:val="0"/>
          <w:sz w:val="32"/>
          <w:szCs w:val="32"/>
          <w:shd w:val="clear" w:color="auto" w:fill="FFFFFF"/>
          <w:lang w:val="zh-CN"/>
        </w:rPr>
        <w:t>负责职责范围内的安全生产和职业健康、生态环境保护、审批服务便民化等工作；</w:t>
      </w:r>
      <w:r>
        <w:rPr>
          <w:rFonts w:hint="eastAsia" w:ascii="仿宋_GB2312" w:hAnsi="仿宋_GB2312" w:eastAsia="仿宋_GB2312" w:cs="仿宋_GB2312"/>
          <w:b w:val="0"/>
          <w:bCs w:val="0"/>
          <w:color w:val="000000"/>
          <w:kern w:val="0"/>
          <w:sz w:val="32"/>
          <w:szCs w:val="32"/>
          <w:shd w:val="clear" w:color="auto" w:fill="FFFFFF"/>
          <w:lang w:val="en-US" w:eastAsia="zh-CN"/>
        </w:rPr>
        <w:t>（11）</w:t>
      </w:r>
      <w:r>
        <w:rPr>
          <w:rFonts w:hint="eastAsia" w:ascii="仿宋_GB2312" w:hAnsi="仿宋_GB2312" w:eastAsia="仿宋_GB2312" w:cs="仿宋_GB2312"/>
          <w:b w:val="0"/>
          <w:bCs w:val="0"/>
          <w:color w:val="000000"/>
          <w:kern w:val="0"/>
          <w:sz w:val="32"/>
          <w:szCs w:val="32"/>
          <w:shd w:val="clear" w:color="auto" w:fill="FFFFFF"/>
          <w:lang w:val="zh-CN"/>
        </w:rPr>
        <w:t>完成市委、市政府交办的其他工作。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人员概况。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截止本年末，我单位共有在职人员</w:t>
      </w:r>
      <w:r>
        <w:rPr>
          <w:rFonts w:hint="eastAsia" w:ascii="仿宋_GB2312" w:hAnsi="仿宋_GB2312" w:eastAsia="仿宋_GB2312" w:cs="仿宋_GB2312"/>
          <w:b w:val="0"/>
          <w:bCs w:val="0"/>
          <w:color w:val="000000"/>
          <w:kern w:val="0"/>
          <w:sz w:val="32"/>
          <w:szCs w:val="32"/>
          <w:shd w:val="clear" w:color="auto" w:fill="FFFFFF"/>
          <w:lang w:val="en-US" w:eastAsia="zh-CN"/>
        </w:rPr>
        <w:t>45人，退休人员29人，劳务派遣人员17人。</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年度主要工作任务。</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仿宋_GB2312" w:hAnsi="仿宋_GB2312" w:eastAsia="仿宋_GB2312" w:cs="仿宋_GB2312"/>
          <w:b w:val="0"/>
          <w:bCs w:val="0"/>
          <w:color w:val="000000"/>
          <w:kern w:val="0"/>
          <w:sz w:val="32"/>
          <w:szCs w:val="32"/>
          <w:shd w:val="clear" w:color="auto" w:fill="FFFFFF"/>
          <w:lang w:val="zh-CN" w:eastAsia="zh-CN" w:bidi="ar-SA"/>
        </w:rPr>
        <w:t>2022年以来，我局紧扣统筹法治建设这一主线，纵深推进法治峨眉建设和法治政府建设、不断完善公共法律服务体系、持续促进“平安峨眉”建设，圆满地完成了各项工作任务。推进法治建设纳入市委市政府年度工作计划，深入学习贯彻习近平法治思想，部署推进全面依法治市和法治政府建设、依法行政年度重点工作。制定出台《法治峨眉建设规划（2021-2025年）》《峨眉山市市法治政府建设工作方案（2021-2025年）》《峨眉山市法治社会建设实施方案（2021-2025年）》和《峨眉山市法治宣传教育第八个五年规划（2021—2025年）》。全面推广全省法治建设“1+8”示范试点成果，深化创建“民主法治示范村（社区）”，圆满完成2022年乐山市法治建设督查迎检工作。9月，高桥镇寨子成功入选第一批“省级民主法治示范村（社区）”。深入开展法律七进，创新打造“典亮金顶”法治文化品牌，深入开展“送法进寺院”活动。持续开展“法律明白人”培养工程。全面推进公共法律服务中心（站、室）建设，优化公共法律服务供给，扎实做好法律援助等民生工程。持续推进智慧矫正中心建设，积极开展跨部门办案平台的案件办理和接收工作，深化“三新教育”，推进监督管理和教育帮扶精准化。全面推进“调解促稳定  喜迎二十大‘三查三化三优’专项行动”，确保重点时段社会大局稳定。今年5月，我局被省委、省政府评为“2016—2020年四川省普法先进单位”。11月，我局通过平安四川建设领导小组初审和复审，确定为平安四川建设先集体拟表彰对象。</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部门整体支出绩效目标。</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zh-CN" w:eastAsia="zh-CN" w:bidi="ar-SA"/>
        </w:rPr>
        <w:t>紧贴全市中心工作，着力发挥司法行政职能优势，有序完成各项工作和业务用房建设。完成司法业务用房建设</w:t>
      </w:r>
      <w:r>
        <w:rPr>
          <w:rFonts w:hint="eastAsia" w:ascii="仿宋_GB2312" w:hAnsi="仿宋_GB2312" w:eastAsia="仿宋_GB2312" w:cs="仿宋_GB2312"/>
          <w:b w:val="0"/>
          <w:bCs w:val="0"/>
          <w:color w:val="000000"/>
          <w:kern w:val="0"/>
          <w:sz w:val="32"/>
          <w:szCs w:val="32"/>
          <w:shd w:val="clear" w:color="auto" w:fill="FFFFFF"/>
          <w:lang w:val="en-US" w:eastAsia="zh-CN" w:bidi="ar-SA"/>
        </w:rPr>
        <w:t>1座，优质高效完成各项工作任务，市民法治观念进一步增强，持续优化司法生态环境，持续优化司法行政业务办理环境，公众满意度》95%。</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shd w:val="clear" w:color="auto" w:fill="FFFFFF"/>
          <w:lang w:val="en-US" w:eastAsia="zh-CN"/>
        </w:rPr>
        <w:t>2022年我局收入合计</w:t>
      </w:r>
      <w:r>
        <w:rPr>
          <w:rFonts w:hint="eastAsia" w:ascii="仿宋_GB2312" w:hAnsi="仿宋_GB2312" w:eastAsia="仿宋_GB2312" w:cs="仿宋_GB2312"/>
          <w:sz w:val="32"/>
          <w:szCs w:val="32"/>
        </w:rPr>
        <w:t>1237.13</w:t>
      </w:r>
      <w:r>
        <w:rPr>
          <w:rFonts w:hint="eastAsia" w:ascii="仿宋_GB2312" w:hAnsi="仿宋_GB2312" w:eastAsia="仿宋_GB2312" w:cs="仿宋_GB2312"/>
          <w:b w:val="0"/>
          <w:bCs w:val="0"/>
          <w:color w:val="000000"/>
          <w:kern w:val="0"/>
          <w:sz w:val="32"/>
          <w:szCs w:val="32"/>
          <w:shd w:val="clear" w:color="auto" w:fill="FFFFFF"/>
          <w:lang w:val="en-US" w:eastAsia="zh-CN"/>
        </w:rPr>
        <w:t>万元（包含年初结转和结余10万元），其中一般公共预算财政拨款补助收入1109.43万元，政府性基金预算财政拨款收入127.7万元。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2022年我局支出合计1237.13万元，其中：基本支出1047.66万元，占84.69%；项目支出189.46万元，占15.31%。</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2022年我局无年末结转和结余。</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2022年我局财政拨款收入合计</w:t>
      </w:r>
      <w:r>
        <w:rPr>
          <w:rFonts w:hint="eastAsia" w:ascii="仿宋_GB2312" w:hAnsi="仿宋_GB2312" w:eastAsia="仿宋_GB2312" w:cs="仿宋_GB2312"/>
          <w:sz w:val="32"/>
          <w:szCs w:val="32"/>
        </w:rPr>
        <w:t>1237.13</w:t>
      </w:r>
      <w:r>
        <w:rPr>
          <w:rFonts w:hint="eastAsia" w:ascii="仿宋_GB2312" w:hAnsi="仿宋_GB2312" w:eastAsia="仿宋_GB2312" w:cs="仿宋_GB2312"/>
          <w:b w:val="0"/>
          <w:bCs w:val="0"/>
          <w:color w:val="000000"/>
          <w:kern w:val="0"/>
          <w:sz w:val="32"/>
          <w:szCs w:val="32"/>
          <w:shd w:val="clear" w:color="auto" w:fill="FFFFFF"/>
          <w:lang w:val="en-US" w:eastAsia="zh-CN"/>
        </w:rPr>
        <w:t>万元（包含年初结转和结余10万元），其中一般公共预算财政拨款补助收入1109.43万元，政府性基金预算财政拨款收入127.7万。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2.部门财政拨款支出情况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2022年我局财政拨款支出合计1237.13万元（按功能分类分别为公共安全支出911.81万元，社会保障和就业支出102.31万元，卫生健康支出22.34万元，城乡社区支出127.7万元，住房保障支出72.97万元。）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rPr>
        <w:t>3.部门财政拨款结转结</w:t>
      </w:r>
      <w:r>
        <w:rPr>
          <w:rFonts w:hint="eastAsia" w:ascii="仿宋_GB2312" w:hAnsi="仿宋_GB2312" w:eastAsia="仿宋_GB2312" w:cs="仿宋_GB2312"/>
          <w:kern w:val="0"/>
          <w:sz w:val="32"/>
          <w:szCs w:val="32"/>
          <w:shd w:val="clear" w:color="auto" w:fill="FFFFFF"/>
        </w:rPr>
        <w:t>余情况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2022年我局无财政拨款年末结转和结余。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1.人员类项目绩效分析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zh-CN"/>
        </w:rPr>
        <w:t>人员类项目</w:t>
      </w:r>
      <w:r>
        <w:rPr>
          <w:rFonts w:hint="eastAsia" w:ascii="仿宋_GB2312" w:hAnsi="仿宋_GB2312" w:eastAsia="仿宋_GB2312" w:cs="仿宋_GB2312"/>
          <w:color w:val="auto"/>
          <w:kern w:val="0"/>
          <w:sz w:val="32"/>
          <w:szCs w:val="32"/>
          <w:shd w:val="clear" w:color="auto" w:fill="FFFFFF"/>
          <w:lang w:val="en-US" w:eastAsia="zh-CN"/>
        </w:rPr>
        <w:t>846.36万元，</w:t>
      </w:r>
      <w:r>
        <w:rPr>
          <w:rFonts w:hint="eastAsia" w:ascii="仿宋_GB2312" w:hAnsi="仿宋_GB2312" w:eastAsia="仿宋_GB2312" w:cs="仿宋_GB2312"/>
          <w:color w:val="auto"/>
          <w:kern w:val="0"/>
          <w:sz w:val="32"/>
          <w:szCs w:val="32"/>
          <w:shd w:val="clear" w:color="auto" w:fill="FFFFFF"/>
          <w:lang w:val="zh-CN"/>
        </w:rPr>
        <w:t>主要包括工资性支出、住房公积金、社会保障缴费、其他工资福利支出、独子费、遗属补助、建国初期参加革命工作部分退休干部困难补助等。制定足额保障率、按时发放率、结余率、科目调整次数等部门绩效目标。完成严格执行相关政策，保障工资及时足额发放，保险公积金及时足额缴纳，预算编制科学合理，减少结余资金目标。预算执行率</w:t>
      </w:r>
      <w:r>
        <w:rPr>
          <w:rFonts w:hint="eastAsia" w:ascii="仿宋_GB2312" w:hAnsi="仿宋_GB2312" w:eastAsia="仿宋_GB2312" w:cs="仿宋_GB2312"/>
          <w:color w:val="auto"/>
          <w:kern w:val="0"/>
          <w:sz w:val="32"/>
          <w:szCs w:val="32"/>
          <w:shd w:val="clear" w:color="auto" w:fill="FFFFFF"/>
          <w:lang w:val="en-US" w:eastAsia="zh-CN"/>
        </w:rPr>
        <w:t>100%，年末无</w:t>
      </w:r>
      <w:r>
        <w:rPr>
          <w:rFonts w:hint="eastAsia" w:ascii="仿宋_GB2312" w:hAnsi="仿宋_GB2312" w:eastAsia="仿宋_GB2312" w:cs="仿宋_GB2312"/>
          <w:color w:val="auto"/>
          <w:kern w:val="0"/>
          <w:sz w:val="32"/>
          <w:szCs w:val="32"/>
          <w:shd w:val="clear" w:color="auto" w:fill="FFFFFF"/>
          <w:lang w:val="zh-CN"/>
        </w:rPr>
        <w:t>资金结余，无违规记录。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2.运转类项目绩效分析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运转类项目</w:t>
      </w:r>
      <w:r>
        <w:rPr>
          <w:rFonts w:hint="eastAsia" w:ascii="仿宋_GB2312" w:hAnsi="仿宋_GB2312" w:eastAsia="仿宋_GB2312" w:cs="仿宋_GB2312"/>
          <w:b w:val="0"/>
          <w:bCs w:val="0"/>
          <w:color w:val="000000"/>
          <w:kern w:val="0"/>
          <w:sz w:val="32"/>
          <w:szCs w:val="32"/>
          <w:shd w:val="clear" w:color="auto" w:fill="FFFFFF"/>
          <w:lang w:val="en-US" w:eastAsia="zh-CN"/>
        </w:rPr>
        <w:t>201.30万元，</w:t>
      </w:r>
      <w:r>
        <w:rPr>
          <w:rFonts w:hint="eastAsia" w:ascii="仿宋_GB2312" w:hAnsi="仿宋_GB2312" w:eastAsia="仿宋_GB2312" w:cs="仿宋_GB2312"/>
          <w:color w:val="auto"/>
          <w:kern w:val="0"/>
          <w:sz w:val="32"/>
          <w:szCs w:val="32"/>
          <w:shd w:val="clear" w:color="auto" w:fill="FFFFFF"/>
          <w:lang w:eastAsia="zh-CN"/>
        </w:rPr>
        <w:t>主要包括公用经费、公务交通补贴、公车运行维护、午餐补助、劳务派遣、工会经费等，</w:t>
      </w:r>
      <w:r>
        <w:rPr>
          <w:rFonts w:hint="eastAsia" w:ascii="仿宋_GB2312" w:hAnsi="仿宋_GB2312" w:eastAsia="仿宋_GB2312" w:cs="仿宋_GB2312"/>
          <w:b w:val="0"/>
          <w:bCs w:val="0"/>
          <w:color w:val="auto"/>
          <w:kern w:val="0"/>
          <w:sz w:val="32"/>
          <w:szCs w:val="32"/>
          <w:shd w:val="clear" w:color="auto" w:fill="FFFFFF"/>
          <w:lang w:val="en-US" w:eastAsia="zh-CN"/>
        </w:rPr>
        <w:t>主要用于履行单位一般行政管理职能、维持机关日常高效运转。制定科目调整次数、预算编制准确率、“三公经费”控制率等</w:t>
      </w:r>
      <w:r>
        <w:rPr>
          <w:rFonts w:hint="eastAsia" w:ascii="仿宋_GB2312" w:hAnsi="仿宋_GB2312" w:eastAsia="仿宋_GB2312" w:cs="仿宋_GB2312"/>
          <w:color w:val="auto"/>
          <w:kern w:val="0"/>
          <w:sz w:val="32"/>
          <w:szCs w:val="32"/>
          <w:shd w:val="clear" w:color="auto" w:fill="FFFFFF"/>
          <w:lang w:val="zh-CN"/>
        </w:rPr>
        <w:t>部门绩效目标。完成保障单位日常运转，提高预算编制质量，严格执行预算目标。预算执行率</w:t>
      </w:r>
      <w:r>
        <w:rPr>
          <w:rFonts w:hint="eastAsia" w:ascii="仿宋_GB2312" w:hAnsi="仿宋_GB2312" w:eastAsia="仿宋_GB2312" w:cs="仿宋_GB2312"/>
          <w:color w:val="auto"/>
          <w:kern w:val="0"/>
          <w:sz w:val="32"/>
          <w:szCs w:val="32"/>
          <w:shd w:val="clear" w:color="auto" w:fill="FFFFFF"/>
          <w:lang w:val="en-US" w:eastAsia="zh-CN"/>
        </w:rPr>
        <w:t>100%，年末无</w:t>
      </w:r>
      <w:r>
        <w:rPr>
          <w:rFonts w:hint="eastAsia" w:ascii="仿宋_GB2312" w:hAnsi="仿宋_GB2312" w:eastAsia="仿宋_GB2312" w:cs="仿宋_GB2312"/>
          <w:color w:val="auto"/>
          <w:kern w:val="0"/>
          <w:sz w:val="32"/>
          <w:szCs w:val="32"/>
          <w:shd w:val="clear" w:color="auto" w:fill="FFFFFF"/>
          <w:lang w:val="zh-CN"/>
        </w:rPr>
        <w:t>资金结余，无违规记录。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3.特定目标类项目绩效分析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color w:val="FF0000"/>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rPr>
        <w:t>特定目标类项目</w:t>
      </w:r>
      <w:r>
        <w:rPr>
          <w:rFonts w:hint="eastAsia" w:ascii="仿宋_GB2312" w:hAnsi="仿宋_GB2312" w:eastAsia="仿宋_GB2312" w:cs="仿宋_GB2312"/>
          <w:b w:val="0"/>
          <w:bCs w:val="0"/>
          <w:color w:val="000000"/>
          <w:kern w:val="0"/>
          <w:sz w:val="32"/>
          <w:szCs w:val="32"/>
          <w:shd w:val="clear" w:color="auto" w:fill="FFFFFF"/>
          <w:lang w:val="en-US" w:eastAsia="zh-CN"/>
        </w:rPr>
        <w:t>189.47万元，</w:t>
      </w:r>
      <w:r>
        <w:rPr>
          <w:rFonts w:hint="eastAsia" w:ascii="仿宋_GB2312" w:hAnsi="仿宋_GB2312" w:eastAsia="仿宋_GB2312" w:cs="仿宋_GB2312"/>
          <w:color w:val="auto"/>
          <w:kern w:val="0"/>
          <w:sz w:val="32"/>
          <w:szCs w:val="32"/>
          <w:shd w:val="clear" w:color="auto" w:fill="FFFFFF"/>
          <w:lang w:eastAsia="zh-CN"/>
        </w:rPr>
        <w:t>主要包括社区矫正、基层司法所业务经费、普法宣传、依法治市业务经费、法制办业务经费、法律援助、医疗纠纷调解、基本工作因素（存量资金）、2022春节前工程款、雷马屏监狱春节慰问费、2021年第四季度矛盾纠纷调解包案经费、2021年第三季度矛盾纠纷调解包案经费、司法业务用房项目、法律援助、业务装备等项目资金、2022年第一季度矛盾纠纷调解包案经费等，</w:t>
      </w:r>
      <w:r>
        <w:rPr>
          <w:rFonts w:hint="eastAsia" w:ascii="仿宋_GB2312" w:hAnsi="仿宋_GB2312" w:eastAsia="仿宋_GB2312" w:cs="仿宋_GB2312"/>
          <w:b w:val="0"/>
          <w:bCs w:val="0"/>
          <w:color w:val="auto"/>
          <w:kern w:val="0"/>
          <w:sz w:val="32"/>
          <w:szCs w:val="32"/>
          <w:shd w:val="clear" w:color="auto" w:fill="FFFFFF"/>
          <w:lang w:val="zh-CN"/>
        </w:rPr>
        <w:t>主要用于下属司法所、法律援助中心、依法治市秘书股、行政复议与应诉股、行政执法协调监督股、人民参与和促进法治股、社区矫正管理</w:t>
      </w:r>
      <w:r>
        <w:rPr>
          <w:rFonts w:hint="eastAsia" w:ascii="仿宋_GB2312" w:hAnsi="仿宋_GB2312" w:eastAsia="仿宋_GB2312" w:cs="仿宋_GB2312"/>
          <w:b w:val="0"/>
          <w:bCs w:val="0"/>
          <w:color w:val="auto"/>
          <w:kern w:val="0"/>
          <w:sz w:val="32"/>
          <w:szCs w:val="32"/>
          <w:shd w:val="clear" w:color="auto" w:fill="FFFFFF"/>
          <w:lang w:val="zh-CN" w:eastAsia="zh-CN"/>
        </w:rPr>
        <w:t>局</w:t>
      </w:r>
      <w:r>
        <w:rPr>
          <w:rFonts w:hint="eastAsia" w:ascii="仿宋_GB2312" w:hAnsi="仿宋_GB2312" w:eastAsia="仿宋_GB2312" w:cs="仿宋_GB2312"/>
          <w:b w:val="0"/>
          <w:bCs w:val="0"/>
          <w:color w:val="auto"/>
          <w:kern w:val="0"/>
          <w:sz w:val="32"/>
          <w:szCs w:val="32"/>
          <w:shd w:val="clear" w:color="auto" w:fill="FFFFFF"/>
          <w:lang w:val="zh-CN"/>
        </w:rPr>
        <w:t>等为完成特定司法行政工作支出的专项业务经费</w:t>
      </w:r>
      <w:r>
        <w:rPr>
          <w:rFonts w:hint="eastAsia" w:ascii="仿宋_GB2312" w:hAnsi="仿宋_GB2312" w:eastAsia="仿宋_GB2312" w:cs="仿宋_GB2312"/>
          <w:b w:val="0"/>
          <w:bCs w:val="0"/>
          <w:color w:val="000000"/>
          <w:kern w:val="0"/>
          <w:sz w:val="32"/>
          <w:szCs w:val="32"/>
          <w:shd w:val="clear" w:color="auto" w:fill="FFFFFF"/>
          <w:lang w:val="zh-CN"/>
        </w:rPr>
        <w:t>。</w:t>
      </w:r>
      <w:r>
        <w:rPr>
          <w:rFonts w:hint="eastAsia" w:ascii="仿宋_GB2312" w:hAnsi="仿宋_GB2312" w:eastAsia="仿宋_GB2312" w:cs="仿宋_GB2312"/>
          <w:b w:val="0"/>
          <w:bCs w:val="0"/>
          <w:color w:val="auto"/>
          <w:kern w:val="0"/>
          <w:sz w:val="32"/>
          <w:szCs w:val="32"/>
          <w:shd w:val="clear" w:color="auto" w:fill="FFFFFF"/>
          <w:lang w:val="en-US" w:eastAsia="zh-CN"/>
        </w:rPr>
        <w:t>制定科目社区矫正业务培训次数、受其他部门委托完成社会调查评估率、调解成功率、业务培训会次数、协助乡镇开展矛盾纠纷调解次数、乡镇矛盾纠纷调解率、印制主题宣传资料份数、开展宣传活动次数、合法性审查率、法律援助案件录入率、办理法律援助案件数、调解医疗纠纷案件数、调解医疗纠纷成功率、公众满意度等</w:t>
      </w:r>
      <w:r>
        <w:rPr>
          <w:rFonts w:hint="eastAsia" w:ascii="仿宋_GB2312" w:hAnsi="仿宋_GB2312" w:eastAsia="仿宋_GB2312" w:cs="仿宋_GB2312"/>
          <w:color w:val="auto"/>
          <w:kern w:val="0"/>
          <w:sz w:val="32"/>
          <w:szCs w:val="32"/>
          <w:shd w:val="clear" w:color="auto" w:fill="FFFFFF"/>
          <w:lang w:val="zh-CN"/>
        </w:rPr>
        <w:t>部门绩效目标。高效完成各项工作任务，预算执行率</w:t>
      </w:r>
      <w:r>
        <w:rPr>
          <w:rFonts w:hint="eastAsia" w:ascii="仿宋_GB2312" w:hAnsi="仿宋_GB2312" w:eastAsia="仿宋_GB2312" w:cs="仿宋_GB2312"/>
          <w:color w:val="auto"/>
          <w:kern w:val="0"/>
          <w:sz w:val="32"/>
          <w:szCs w:val="32"/>
          <w:shd w:val="clear" w:color="auto" w:fill="FFFFFF"/>
          <w:lang w:val="en-US" w:eastAsia="zh-CN"/>
        </w:rPr>
        <w:t>100%，年末无</w:t>
      </w:r>
      <w:r>
        <w:rPr>
          <w:rFonts w:hint="eastAsia" w:ascii="仿宋_GB2312" w:hAnsi="仿宋_GB2312" w:eastAsia="仿宋_GB2312" w:cs="仿宋_GB2312"/>
          <w:color w:val="auto"/>
          <w:kern w:val="0"/>
          <w:sz w:val="32"/>
          <w:szCs w:val="32"/>
          <w:shd w:val="clear" w:color="auto" w:fill="FFFFFF"/>
          <w:lang w:val="zh-CN"/>
        </w:rPr>
        <w:t>资金结余，无违规记录。</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2"/>
          <w:sz w:val="32"/>
          <w:szCs w:val="32"/>
          <w:lang w:val="en-US" w:eastAsia="zh-CN" w:bidi="ar-SA"/>
        </w:rPr>
        <w:t>我单位支出总体执行情况较</w:t>
      </w:r>
      <w:r>
        <w:rPr>
          <w:rFonts w:hint="eastAsia" w:ascii="仿宋_GB2312" w:hAnsi="仿宋_GB2312" w:eastAsia="仿宋_GB2312" w:cs="仿宋_GB2312"/>
          <w:sz w:val="32"/>
          <w:szCs w:val="32"/>
        </w:rPr>
        <w:t>好，预期的绩效目标基本实现，同时财务操作程序规范有序，资金管理和使用有原则有计划按要求，</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务核算及时、准确，不存在违法乱纪的问题。年末</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结转资金</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（三）结果应用情况。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2022年我单位定期做好全年度部门预算支出绩效评价工作，及时收集、整理、归纳、分析、反馈绩效评价结果,将评价结果作为改进预算管理和组好年度预算编制的重要依据。进一步推进预算绩效管理，深化预算管理制度改革，促进财政资金的合理配置。逐步推进项目支出绩效运行监控管理，积极探索建立适合我单位实际情况的绩效运行监控管理机制定期采集绩效运行信息并汇总分析，促进绩效目标的顺利实现。</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已按要求将部门整体绩效自评情况报财政部门公</w:t>
      </w:r>
      <w:r>
        <w:rPr>
          <w:rFonts w:hint="eastAsia" w:ascii="仿宋_GB2312" w:hAnsi="仿宋_GB2312" w:eastAsia="仿宋_GB2312" w:cs="仿宋_GB2312"/>
          <w:sz w:val="32"/>
          <w:szCs w:val="32"/>
          <w:lang w:eastAsia="zh-CN"/>
        </w:rPr>
        <w:t>开。</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存在问题：</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法制办业务经费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依法治市业务经费</w:t>
      </w:r>
      <w:r>
        <w:rPr>
          <w:rFonts w:hint="eastAsia" w:ascii="仿宋_GB2312" w:hAnsi="仿宋_GB2312" w:eastAsia="仿宋_GB2312" w:cs="仿宋_GB2312"/>
          <w:sz w:val="32"/>
          <w:szCs w:val="32"/>
          <w:highlight w:val="none"/>
          <w:lang w:eastAsia="zh-CN"/>
        </w:rPr>
        <w:t>、普法宣传业务经费、法律援助经费、</w:t>
      </w:r>
      <w:r>
        <w:rPr>
          <w:rFonts w:hint="eastAsia" w:ascii="仿宋_GB2312" w:hAnsi="仿宋_GB2312" w:eastAsia="仿宋_GB2312" w:cs="仿宋_GB2312"/>
          <w:sz w:val="32"/>
          <w:szCs w:val="32"/>
          <w:highlight w:val="none"/>
        </w:rPr>
        <w:t>社区矫正工作经费</w:t>
      </w:r>
      <w:r>
        <w:rPr>
          <w:rFonts w:hint="eastAsia" w:ascii="仿宋_GB2312" w:hAnsi="仿宋_GB2312" w:eastAsia="仿宋_GB2312" w:cs="仿宋_GB2312"/>
          <w:sz w:val="32"/>
          <w:szCs w:val="32"/>
          <w:highlight w:val="none"/>
          <w:lang w:eastAsia="zh-CN"/>
        </w:rPr>
        <w:t>等项目预算执行率较低，预算执行进度还不理想；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上级转移支付项目资金有更多依赖于跨年度调剂，执行滞后性较明显；</w:t>
      </w:r>
      <w:r>
        <w:rPr>
          <w:rFonts w:hint="eastAsia" w:ascii="仿宋_GB2312" w:hAnsi="仿宋_GB2312" w:eastAsia="仿宋_GB2312" w:cs="仿宋_GB2312"/>
          <w:sz w:val="32"/>
          <w:szCs w:val="32"/>
          <w:highlight w:val="none"/>
          <w:lang w:val="en-US" w:eastAsia="zh-CN"/>
        </w:rPr>
        <w:t>3.部分工作任务可预见性不强，导致相应部门绩效预期目标与实现程度偏离度较大。</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将加强与业务股室的沟通，增强业务股室对项目业务支出的科</w:t>
      </w:r>
      <w:r>
        <w:rPr>
          <w:rFonts w:hint="eastAsia" w:ascii="仿宋_GB2312" w:hAnsi="仿宋_GB2312" w:eastAsia="仿宋_GB2312" w:cs="仿宋_GB2312"/>
          <w:sz w:val="32"/>
          <w:szCs w:val="32"/>
          <w:lang w:eastAsia="zh-CN"/>
        </w:rPr>
        <w:t>学预判，在保运行的基础上大幅提高项目资金预算和项目</w:t>
      </w:r>
      <w:r>
        <w:rPr>
          <w:rFonts w:hint="eastAsia" w:ascii="仿宋_GB2312" w:hAnsi="仿宋_GB2312" w:eastAsia="仿宋_GB2312" w:cs="仿宋_GB2312"/>
          <w:sz w:val="32"/>
          <w:szCs w:val="32"/>
          <w:highlight w:val="none"/>
          <w:lang w:val="en-US" w:eastAsia="zh-CN"/>
        </w:rPr>
        <w:t>绩效预期目标设定的</w:t>
      </w:r>
      <w:r>
        <w:rPr>
          <w:rFonts w:hint="eastAsia" w:ascii="仿宋_GB2312" w:hAnsi="仿宋_GB2312" w:eastAsia="仿宋_GB2312" w:cs="仿宋_GB2312"/>
          <w:sz w:val="32"/>
          <w:szCs w:val="32"/>
          <w:lang w:eastAsia="zh-CN"/>
        </w:rPr>
        <w:t>精确性；</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强化专项业务资金执行进度管理，根据业务需要灵活选择即时、按月、按季度、按半年度等结算方式，各相关业务股室提前做好项目用款计划报领导审批后由财务严格执行，重大资金支出经党组会议定;3、减少上级转移支付资金的跨年度使用的情况，提高预算资金使用进度的计划性和执行率。4、深化制度建设，形成用制度管人、管事、进一步推动我单位预算绩效管理工作与相关股室年度绩效考核挂钩落到实处。</w:t>
      </w:r>
      <w:r>
        <w:rPr>
          <w:rFonts w:hint="eastAsia" w:ascii="仿宋_GB2312" w:hAnsi="仿宋_GB2312" w:eastAsia="仿宋_GB2312" w:cs="仿宋_GB2312"/>
          <w:color w:val="000000"/>
          <w:kern w:val="0"/>
          <w:sz w:val="32"/>
          <w:szCs w:val="32"/>
          <w:shd w:val="clear" w:color="auto" w:fill="FFFFFF"/>
          <w:lang w:val="zh-CN"/>
        </w:rPr>
        <w:t>包括内部应用、自评公开、问题整改和应用反馈等情况。</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rPr>
        <w:t>我单位整体支出自评较准确</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整体支出绩效评价</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highlight w:val="none"/>
          <w:lang w:val="en-US" w:eastAsia="zh-CN"/>
        </w:rPr>
        <w:t>93.5</w:t>
      </w:r>
      <w:r>
        <w:rPr>
          <w:rFonts w:hint="eastAsia" w:ascii="仿宋_GB2312" w:hAnsi="仿宋_GB2312" w:eastAsia="仿宋_GB2312" w:cs="仿宋_GB2312"/>
          <w:sz w:val="32"/>
          <w:szCs w:val="32"/>
        </w:rPr>
        <w:t>分。我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支出总体执行情况较好，预期的绩效目标基本实现，同时财务操作程序规范有序，资金管理和使用有原则有计划按要求，</w:t>
      </w:r>
      <w:r>
        <w:rPr>
          <w:rFonts w:hint="eastAsia" w:ascii="仿宋_GB2312" w:hAnsi="仿宋_GB2312" w:eastAsia="仿宋_GB2312" w:cs="仿宋_GB2312"/>
          <w:sz w:val="32"/>
          <w:szCs w:val="32"/>
          <w:lang w:eastAsia="zh-CN"/>
        </w:rPr>
        <w:t>账务</w:t>
      </w:r>
      <w:r>
        <w:rPr>
          <w:rFonts w:hint="eastAsia" w:ascii="仿宋_GB2312" w:hAnsi="仿宋_GB2312" w:eastAsia="仿宋_GB2312" w:cs="仿宋_GB2312"/>
          <w:sz w:val="32"/>
          <w:szCs w:val="32"/>
        </w:rPr>
        <w:t>核算及时、准确，不存在违法乱纪的问题。</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kern w:val="2"/>
          <w:sz w:val="32"/>
          <w:szCs w:val="32"/>
          <w:lang w:val="zh-CN" w:eastAsia="zh-CN" w:bidi="ar-SA"/>
        </w:rPr>
        <w:t>一是部分项目不可预见性较强，绩效指标设置和资金执行进度不能精确预估；二是财政资金紧张导致预算资金执行率不高。</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left="0" w:leftChars="0"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改进建议。</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zh-CN" w:eastAsia="zh-CN" w:bidi="ar-SA"/>
        </w:rPr>
        <w:t>进一步加强绩效管理意识，按照相关政策法规，结合本单位发展规划和年度重点工作，总结上一年度预算执行情况，科学编制并严格审核预算方案。在预算执行过程中，强化监督管理，保障年初绩效目标顺利实现，加强与财政部门的衔接沟通，提高预算资金执行率和财政资金使用效益。</w:t>
      </w:r>
    </w:p>
    <w:p>
      <w:pPr>
        <w:pStyle w:val="13"/>
        <w:keepNext w:val="0"/>
        <w:keepLines w:val="0"/>
        <w:pageBreakBefore w:val="0"/>
        <w:widowControl w:val="0"/>
        <w:kinsoku/>
        <w:wordWrap/>
        <w:overflowPunct/>
        <w:topLinePunct w:val="0"/>
        <w:autoSpaceDE/>
        <w:autoSpaceDN/>
        <w:bidi w:val="0"/>
        <w:adjustRightInd/>
        <w:spacing w:line="60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附表：</w:t>
      </w:r>
      <w:r>
        <w:rPr>
          <w:rFonts w:hint="eastAsia" w:ascii="仿宋_GB2312" w:hAnsi="仿宋_GB2312" w:eastAsia="仿宋_GB2312" w:cs="仿宋_GB2312"/>
          <w:sz w:val="32"/>
          <w:szCs w:val="32"/>
        </w:rPr>
        <w:t>部门预算项目支出绩效自评表（2022年度）</w:t>
      </w:r>
    </w:p>
    <w:p>
      <w:pPr>
        <w:rPr>
          <w:rFonts w:hint="eastAsia" w:ascii="仿宋_GB2312" w:hAnsi="仿宋_GB2312" w:eastAsia="仿宋_GB2312" w:cs="仿宋_GB2312"/>
          <w:sz w:val="32"/>
          <w:szCs w:val="32"/>
          <w:lang w:val="zh-CN"/>
        </w:rPr>
        <w:sectPr>
          <w:footerReference r:id="rId5" w:type="firs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rPr>
        <w:br w:type="page"/>
      </w:r>
    </w:p>
    <w:p>
      <w:pPr>
        <w:spacing w:line="600" w:lineRule="exact"/>
        <w:jc w:val="center"/>
        <w:outlineLvl w:val="0"/>
        <w:rPr>
          <w:rFonts w:ascii="仿宋" w:hAnsi="仿宋" w:eastAsia="仿宋"/>
        </w:rPr>
      </w:pPr>
      <w:bookmarkStart w:id="97" w:name="_Toc15396618"/>
      <w:bookmarkStart w:id="98" w:name="_Toc18695"/>
      <w:r>
        <w:rPr>
          <w:rFonts w:hint="eastAsia" w:ascii="黑体" w:hAnsi="黑体" w:eastAsia="黑体"/>
          <w:sz w:val="44"/>
          <w:szCs w:val="44"/>
        </w:rPr>
        <w:t>第</w:t>
      </w:r>
      <w:r>
        <w:rPr>
          <w:rStyle w:val="27"/>
          <w:rFonts w:hint="eastAsia" w:ascii="黑体" w:hAnsi="黑体" w:eastAsia="黑体"/>
          <w:b w:val="0"/>
        </w:rPr>
        <w:t>五部分 附表</w:t>
      </w:r>
      <w:bookmarkEnd w:id="93"/>
      <w:bookmarkEnd w:id="97"/>
      <w:bookmarkEnd w:id="98"/>
      <w:bookmarkStart w:id="99" w:name="_Toc15396619"/>
    </w:p>
    <w:p>
      <w:pPr>
        <w:pStyle w:val="4"/>
        <w:rPr>
          <w:rFonts w:ascii="仿宋" w:hAnsi="仿宋" w:eastAsia="仿宋"/>
        </w:rPr>
      </w:pPr>
      <w:bookmarkStart w:id="100" w:name="_Toc14948"/>
      <w:r>
        <w:rPr>
          <w:rFonts w:hint="eastAsia" w:ascii="仿宋" w:hAnsi="仿宋" w:eastAsia="仿宋"/>
          <w:b w:val="0"/>
        </w:rPr>
        <w:t>一、收</w:t>
      </w:r>
      <w:r>
        <w:rPr>
          <w:rStyle w:val="28"/>
          <w:rFonts w:hint="eastAsia" w:ascii="仿宋" w:hAnsi="仿宋" w:eastAsia="仿宋"/>
          <w:b w:val="0"/>
          <w:bCs w:val="0"/>
        </w:rPr>
        <w:t>入支出决算总表</w:t>
      </w:r>
      <w:bookmarkEnd w:id="99"/>
      <w:bookmarkEnd w:id="100"/>
    </w:p>
    <w:p>
      <w:pPr>
        <w:pStyle w:val="4"/>
        <w:rPr>
          <w:rFonts w:ascii="仿宋" w:hAnsi="仿宋" w:eastAsia="仿宋"/>
        </w:rPr>
      </w:pPr>
      <w:bookmarkStart w:id="101" w:name="_Toc21291"/>
      <w:bookmarkStart w:id="102" w:name="_Toc15396620"/>
      <w:r>
        <w:rPr>
          <w:rFonts w:hint="eastAsia" w:ascii="仿宋" w:hAnsi="仿宋" w:eastAsia="仿宋"/>
          <w:b w:val="0"/>
        </w:rPr>
        <w:t>二、收</w:t>
      </w:r>
      <w:r>
        <w:rPr>
          <w:rStyle w:val="28"/>
          <w:rFonts w:hint="eastAsia" w:ascii="仿宋" w:hAnsi="仿宋" w:eastAsia="仿宋"/>
          <w:b w:val="0"/>
          <w:bCs w:val="0"/>
        </w:rPr>
        <w:t>入决算表</w:t>
      </w:r>
      <w:bookmarkEnd w:id="101"/>
      <w:bookmarkEnd w:id="102"/>
    </w:p>
    <w:p>
      <w:pPr>
        <w:pStyle w:val="4"/>
        <w:rPr>
          <w:rFonts w:ascii="仿宋" w:hAnsi="仿宋" w:eastAsia="仿宋"/>
        </w:rPr>
      </w:pPr>
      <w:bookmarkStart w:id="103" w:name="_Toc7535"/>
      <w:bookmarkStart w:id="104"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03"/>
      <w:bookmarkEnd w:id="104"/>
    </w:p>
    <w:p>
      <w:pPr>
        <w:pStyle w:val="4"/>
        <w:rPr>
          <w:rFonts w:ascii="仿宋" w:hAnsi="仿宋" w:eastAsia="仿宋"/>
          <w:b w:val="0"/>
        </w:rPr>
      </w:pPr>
      <w:bookmarkStart w:id="105" w:name="_Toc15396622"/>
      <w:bookmarkStart w:id="106" w:name="_Toc12106"/>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05"/>
      <w:bookmarkEnd w:id="106"/>
    </w:p>
    <w:p>
      <w:pPr>
        <w:pStyle w:val="4"/>
        <w:rPr>
          <w:rStyle w:val="28"/>
          <w:rFonts w:ascii="仿宋" w:hAnsi="仿宋" w:eastAsia="仿宋"/>
          <w:b w:val="0"/>
          <w:bCs w:val="0"/>
        </w:rPr>
      </w:pPr>
      <w:bookmarkStart w:id="107" w:name="_Toc15396623"/>
      <w:bookmarkStart w:id="108" w:name="_Toc23671"/>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07"/>
      <w:bookmarkEnd w:id="108"/>
      <w:bookmarkStart w:id="109" w:name="_Toc15396624"/>
    </w:p>
    <w:p>
      <w:pPr>
        <w:pStyle w:val="4"/>
        <w:rPr>
          <w:rFonts w:ascii="仿宋" w:hAnsi="仿宋" w:eastAsia="仿宋"/>
        </w:rPr>
      </w:pPr>
      <w:bookmarkStart w:id="110" w:name="_Toc20131"/>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09"/>
      <w:bookmarkEnd w:id="110"/>
    </w:p>
    <w:p>
      <w:pPr>
        <w:pStyle w:val="4"/>
        <w:rPr>
          <w:rFonts w:ascii="仿宋" w:hAnsi="仿宋" w:eastAsia="仿宋"/>
        </w:rPr>
      </w:pPr>
      <w:bookmarkStart w:id="111" w:name="_Toc15396625"/>
      <w:bookmarkStart w:id="112" w:name="_Toc25916"/>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11"/>
      <w:bookmarkEnd w:id="112"/>
    </w:p>
    <w:p>
      <w:pPr>
        <w:pStyle w:val="4"/>
        <w:rPr>
          <w:rFonts w:ascii="仿宋" w:hAnsi="仿宋" w:eastAsia="仿宋"/>
        </w:rPr>
      </w:pPr>
      <w:bookmarkStart w:id="113" w:name="_Toc15396626"/>
      <w:bookmarkStart w:id="114" w:name="_Toc2951"/>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13"/>
      <w:bookmarkEnd w:id="114"/>
    </w:p>
    <w:p>
      <w:pPr>
        <w:pStyle w:val="4"/>
        <w:rPr>
          <w:rFonts w:ascii="仿宋" w:hAnsi="仿宋" w:eastAsia="仿宋"/>
        </w:rPr>
      </w:pPr>
      <w:bookmarkStart w:id="115" w:name="_Toc15396627"/>
      <w:bookmarkStart w:id="116" w:name="_Toc1553"/>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15"/>
      <w:bookmarkEnd w:id="116"/>
    </w:p>
    <w:p>
      <w:pPr>
        <w:pStyle w:val="4"/>
        <w:rPr>
          <w:rFonts w:ascii="仿宋" w:hAnsi="仿宋" w:eastAsia="仿宋"/>
        </w:rPr>
      </w:pPr>
      <w:bookmarkStart w:id="117" w:name="_Toc15396628"/>
      <w:bookmarkStart w:id="118" w:name="_Toc2853"/>
      <w:r>
        <w:rPr>
          <w:rStyle w:val="28"/>
          <w:rFonts w:hint="eastAsia" w:ascii="仿宋" w:hAnsi="仿宋" w:eastAsia="仿宋"/>
          <w:b w:val="0"/>
          <w:bCs w:val="0"/>
        </w:rPr>
        <w:t>十、</w:t>
      </w:r>
      <w:bookmarkEnd w:id="117"/>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18"/>
    </w:p>
    <w:p>
      <w:pPr>
        <w:pStyle w:val="4"/>
        <w:rPr>
          <w:rFonts w:ascii="仿宋" w:hAnsi="仿宋" w:eastAsia="仿宋"/>
        </w:rPr>
      </w:pPr>
      <w:bookmarkStart w:id="119" w:name="_Toc15396629"/>
      <w:bookmarkStart w:id="120" w:name="_Toc9991"/>
      <w:r>
        <w:rPr>
          <w:rStyle w:val="28"/>
          <w:rFonts w:hint="eastAsia" w:ascii="仿宋" w:hAnsi="仿宋" w:eastAsia="仿宋"/>
          <w:b w:val="0"/>
          <w:bCs w:val="0"/>
        </w:rPr>
        <w:t>十一、</w:t>
      </w:r>
      <w:bookmarkEnd w:id="119"/>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20"/>
    </w:p>
    <w:p>
      <w:pPr>
        <w:pStyle w:val="4"/>
        <w:rPr>
          <w:rFonts w:ascii="仿宋" w:hAnsi="仿宋" w:eastAsia="仿宋"/>
        </w:rPr>
      </w:pPr>
      <w:bookmarkStart w:id="121" w:name="_Toc15396630"/>
      <w:bookmarkStart w:id="122" w:name="_Toc30325"/>
      <w:r>
        <w:rPr>
          <w:rStyle w:val="28"/>
          <w:rFonts w:hint="eastAsia" w:ascii="仿宋" w:hAnsi="仿宋" w:eastAsia="仿宋"/>
          <w:b w:val="0"/>
          <w:bCs w:val="0"/>
        </w:rPr>
        <w:t>十二、</w:t>
      </w:r>
      <w:bookmarkEnd w:id="121"/>
      <w:r>
        <w:rPr>
          <w:rStyle w:val="28"/>
          <w:rFonts w:hint="eastAsia" w:ascii="仿宋" w:hAnsi="仿宋" w:eastAsia="仿宋"/>
          <w:b w:val="0"/>
          <w:bCs w:val="0"/>
        </w:rPr>
        <w:t>国有资本经营预算财政拨款支出决算表</w:t>
      </w:r>
      <w:bookmarkEnd w:id="122"/>
    </w:p>
    <w:p>
      <w:pPr>
        <w:pStyle w:val="4"/>
        <w:rPr>
          <w:rFonts w:eastAsia="仿宋"/>
        </w:rPr>
      </w:pPr>
      <w:bookmarkStart w:id="123" w:name="_Toc15396631"/>
      <w:bookmarkStart w:id="124" w:name="_Toc29082"/>
      <w:r>
        <w:rPr>
          <w:rStyle w:val="28"/>
          <w:rFonts w:hint="eastAsia" w:ascii="仿宋" w:hAnsi="仿宋" w:eastAsia="仿宋"/>
          <w:b w:val="0"/>
          <w:bCs w:val="0"/>
        </w:rPr>
        <w:t>十三、</w:t>
      </w:r>
      <w:bookmarkEnd w:id="123"/>
      <w:r>
        <w:rPr>
          <w:rStyle w:val="28"/>
          <w:rFonts w:hint="eastAsia" w:ascii="仿宋" w:hAnsi="仿宋" w:eastAsia="仿宋"/>
          <w:b w:val="0"/>
          <w:bCs w:val="0"/>
        </w:rPr>
        <w:t>财政拨款“三公”经费支出决算表</w:t>
      </w:r>
      <w:bookmarkEnd w:id="124"/>
    </w:p>
    <w:sectPr>
      <w:footerReference r:id="rId7" w:type="first"/>
      <w:footerReference r:id="rId6" w:type="default"/>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lang w:val="en-US" w:eastAsia="zh-CN"/>
                            </w:rPr>
                            <w:t>29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lang w:val="en-US" w:eastAsia="zh-CN"/>
                      </w:rPr>
                      <w:t>29</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8F1FDB"/>
    <w:multiLevelType w:val="singleLevel"/>
    <w:tmpl w:val="B68F1FDB"/>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2782179"/>
    <w:multiLevelType w:val="singleLevel"/>
    <w:tmpl w:val="52782179"/>
    <w:lvl w:ilvl="0" w:tentative="0">
      <w:start w:val="2"/>
      <w:numFmt w:val="chineseCounting"/>
      <w:suff w:val="nothing"/>
      <w:lvlText w:val="（%1）"/>
      <w:lvlJc w:val="left"/>
      <w:rPr>
        <w:rFonts w:hint="eastAsia"/>
      </w:rPr>
    </w:lvl>
  </w:abstractNum>
  <w:abstractNum w:abstractNumId="7">
    <w:nsid w:val="60CB2AC5"/>
    <w:multiLevelType w:val="singleLevel"/>
    <w:tmpl w:val="60CB2AC5"/>
    <w:lvl w:ilvl="0" w:tentative="0">
      <w:start w:val="1"/>
      <w:numFmt w:val="chineseCounting"/>
      <w:suff w:val="nothing"/>
      <w:lvlText w:val="%1、"/>
      <w:lvlJc w:val="left"/>
      <w:rPr>
        <w:rFonts w:hint="eastAsia"/>
      </w:rPr>
    </w:lvl>
  </w:abstractNum>
  <w:num w:numId="1">
    <w:abstractNumId w:val="7"/>
  </w:num>
  <w:num w:numId="2">
    <w:abstractNumId w:val="5"/>
  </w:num>
  <w:num w:numId="3">
    <w:abstractNumId w:val="1"/>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677162"/>
    <w:rsid w:val="05366EE5"/>
    <w:rsid w:val="066E0107"/>
    <w:rsid w:val="07996F6E"/>
    <w:rsid w:val="08E47EAA"/>
    <w:rsid w:val="0A2032A3"/>
    <w:rsid w:val="0B7E0A31"/>
    <w:rsid w:val="0F98263C"/>
    <w:rsid w:val="101860EC"/>
    <w:rsid w:val="10C055FF"/>
    <w:rsid w:val="118107EC"/>
    <w:rsid w:val="13D50BC4"/>
    <w:rsid w:val="16BB723D"/>
    <w:rsid w:val="1BE8440E"/>
    <w:rsid w:val="1D155CEE"/>
    <w:rsid w:val="1FF35744"/>
    <w:rsid w:val="22296773"/>
    <w:rsid w:val="22C96073"/>
    <w:rsid w:val="23860B96"/>
    <w:rsid w:val="240371BF"/>
    <w:rsid w:val="28B3613D"/>
    <w:rsid w:val="29900411"/>
    <w:rsid w:val="29FD04D3"/>
    <w:rsid w:val="2AAD7551"/>
    <w:rsid w:val="2C8A61B5"/>
    <w:rsid w:val="2DF04E50"/>
    <w:rsid w:val="2EDC336A"/>
    <w:rsid w:val="2F040D46"/>
    <w:rsid w:val="309742D1"/>
    <w:rsid w:val="30B704F2"/>
    <w:rsid w:val="319F7F4E"/>
    <w:rsid w:val="31CD7F6E"/>
    <w:rsid w:val="3304709D"/>
    <w:rsid w:val="330A6286"/>
    <w:rsid w:val="36AA5135"/>
    <w:rsid w:val="376D39B2"/>
    <w:rsid w:val="37E16F03"/>
    <w:rsid w:val="38D469F0"/>
    <w:rsid w:val="39CE748C"/>
    <w:rsid w:val="3A7236DB"/>
    <w:rsid w:val="3D98207C"/>
    <w:rsid w:val="3E78745D"/>
    <w:rsid w:val="44167986"/>
    <w:rsid w:val="44E268DA"/>
    <w:rsid w:val="454059CC"/>
    <w:rsid w:val="455E7F82"/>
    <w:rsid w:val="460857C1"/>
    <w:rsid w:val="4A627F82"/>
    <w:rsid w:val="4B0E749A"/>
    <w:rsid w:val="4B4F25DA"/>
    <w:rsid w:val="4B5D33E2"/>
    <w:rsid w:val="4BE068DB"/>
    <w:rsid w:val="4D102065"/>
    <w:rsid w:val="4D577224"/>
    <w:rsid w:val="4D965040"/>
    <w:rsid w:val="4EAB630A"/>
    <w:rsid w:val="4ECE2238"/>
    <w:rsid w:val="527F7FAA"/>
    <w:rsid w:val="537E6D0A"/>
    <w:rsid w:val="58B07902"/>
    <w:rsid w:val="5AF92295"/>
    <w:rsid w:val="5BFA0D13"/>
    <w:rsid w:val="5C98465A"/>
    <w:rsid w:val="5CD71FC4"/>
    <w:rsid w:val="683654C7"/>
    <w:rsid w:val="6C2568FE"/>
    <w:rsid w:val="6C4A05C8"/>
    <w:rsid w:val="6CBB3B38"/>
    <w:rsid w:val="6D284613"/>
    <w:rsid w:val="6E7E3605"/>
    <w:rsid w:val="6FA832FA"/>
    <w:rsid w:val="6FF5CC65"/>
    <w:rsid w:val="715C0E4B"/>
    <w:rsid w:val="71600A67"/>
    <w:rsid w:val="72734D90"/>
    <w:rsid w:val="728C2C9C"/>
    <w:rsid w:val="73AD73D5"/>
    <w:rsid w:val="73B6EB34"/>
    <w:rsid w:val="744731E5"/>
    <w:rsid w:val="75A04E34"/>
    <w:rsid w:val="76E3355F"/>
    <w:rsid w:val="778769C8"/>
    <w:rsid w:val="785A0282"/>
    <w:rsid w:val="79194D99"/>
    <w:rsid w:val="79EE5BA4"/>
    <w:rsid w:val="7A894339"/>
    <w:rsid w:val="7E0B057C"/>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next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7"/>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2"/>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9"/>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istrator\&#26700;&#38754;\&#21496;&#27861;&#23616;2022&#24180;&#20915;&#31639;&#20844;&#24320;\2022&#24180;&#20915;&#31639;&#20844;&#24320;&#22270;&#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6.xml"/><Relationship Id="rId1" Type="http://schemas.openxmlformats.org/officeDocument/2006/relationships/oleObject" Target="file:///E:\&#38472;&#23195;\&#38472;&#23195;&#36130;&#21153;&#24037;&#20316;\&#20915;&#31639;\2022&#24180;&#20915;&#31639;\2022&#24180;&#20915;&#31639;&#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8472;&#23195;\&#38472;&#23195;&#36130;&#21153;&#24037;&#20316;\&#20915;&#31639;\2022&#24180;&#20915;&#31639;\2022&#24180;&#20915;&#31639;&#22270;&#3492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38472;&#23195;\&#38472;&#23195;&#36130;&#21153;&#24037;&#20316;\&#20915;&#31639;\2022&#24180;&#20915;&#31639;\2022&#24180;&#20915;&#31639;&#22270;&#349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38472;&#23195;\&#38472;&#23195;&#36130;&#21153;&#24037;&#20316;\&#20915;&#31639;\2022&#24180;&#20915;&#31639;\2022&#24180;&#20915;&#31639;&#22270;&#3492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2.xml"/><Relationship Id="rId1" Type="http://schemas.openxmlformats.org/officeDocument/2006/relationships/oleObject" Target="file:///E:\&#38472;&#23195;\&#38472;&#23195;&#36130;&#21153;&#24037;&#20316;\&#20915;&#31639;\2022&#24180;&#20915;&#31639;\2022&#24180;&#20915;&#31639;&#22270;&#3492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38472;&#23195;\&#38472;&#23195;&#36130;&#21153;&#24037;&#20316;\&#20915;&#31639;\2022&#24180;&#20915;&#31639;\2022&#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收、支决算总计变动情况图</a:t>
            </a:r>
            <a:endParaRPr lang="zh-CN" altLang="en-US" sz="1200"/>
          </a:p>
        </c:rich>
      </c:tx>
      <c:layout/>
      <c:overlay val="0"/>
    </c:title>
    <c:autoTitleDeleted val="0"/>
    <c:plotArea>
      <c:layout>
        <c:manualLayout>
          <c:layoutTarget val="inner"/>
          <c:xMode val="edge"/>
          <c:yMode val="edge"/>
          <c:x val="0.156484392738105"/>
          <c:y val="0.169268671298986"/>
          <c:w val="0.708832458442695"/>
          <c:h val="0.725890723771924"/>
        </c:manualLayout>
      </c:layout>
      <c:barChart>
        <c:barDir val="col"/>
        <c:grouping val="clustered"/>
        <c:varyColors val="0"/>
        <c:ser>
          <c:idx val="0"/>
          <c:order val="0"/>
          <c:tx>
            <c:strRef>
              <c:f>[2022年决算公开图表.xlsx]图1!$A$2</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[2022年决算公开图表.xlsx]图1!$B$1:$C$1</c:f>
              <c:strCache>
                <c:ptCount val="2"/>
                <c:pt idx="0">
                  <c:v>收入</c:v>
                </c:pt>
                <c:pt idx="1">
                  <c:v>支出</c:v>
                </c:pt>
              </c:strCache>
            </c:strRef>
          </c:cat>
          <c:val>
            <c:numRef>
              <c:f>[2022年决算公开图表.xlsx]图1!$B$2:$C$2</c:f>
              <c:numCache>
                <c:formatCode>General</c:formatCode>
                <c:ptCount val="2"/>
                <c:pt idx="0">
                  <c:v>1409.87</c:v>
                </c:pt>
                <c:pt idx="1">
                  <c:v>1409.87</c:v>
                </c:pt>
              </c:numCache>
            </c:numRef>
          </c:val>
        </c:ser>
        <c:ser>
          <c:idx val="1"/>
          <c:order val="1"/>
          <c:tx>
            <c:strRef>
              <c:f>[2022年决算公开图表.xlsx]图1!$A$3</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[2022年决算公开图表.xlsx]图1!$B$1:$C$1</c:f>
              <c:strCache>
                <c:ptCount val="2"/>
                <c:pt idx="0">
                  <c:v>收入</c:v>
                </c:pt>
                <c:pt idx="1">
                  <c:v>支出</c:v>
                </c:pt>
              </c:strCache>
            </c:strRef>
          </c:cat>
          <c:val>
            <c:numRef>
              <c:f>[2022年决算公开图表.xlsx]图1!$B$3:$C$3</c:f>
              <c:numCache>
                <c:formatCode>General</c:formatCode>
                <c:ptCount val="2"/>
                <c:pt idx="0">
                  <c:v>1237.13</c:v>
                </c:pt>
                <c:pt idx="1">
                  <c:v>1237.13</c:v>
                </c:pt>
              </c:numCache>
            </c:numRef>
          </c:val>
        </c:ser>
        <c:dLbls>
          <c:showLegendKey val="0"/>
          <c:showVal val="1"/>
          <c:showCatName val="0"/>
          <c:showSerName val="0"/>
          <c:showPercent val="0"/>
          <c:showBubbleSize val="0"/>
        </c:dLbls>
        <c:gapWidth val="150"/>
        <c:axId val="92167552"/>
        <c:axId val="83195008"/>
      </c:barChart>
      <c:catAx>
        <c:axId val="92167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195008"/>
        <c:crosses val="autoZero"/>
        <c:auto val="1"/>
        <c:lblAlgn val="ctr"/>
        <c:lblOffset val="100"/>
        <c:noMultiLvlLbl val="0"/>
      </c:catAx>
      <c:valAx>
        <c:axId val="83195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1675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sz="1600"/>
              <a:t>收入决算结构图  </a:t>
            </a:r>
            <a:r>
              <a:rPr sz="1200"/>
              <a:t>                       </a:t>
            </a:r>
            <a:r>
              <a:rPr sz="1000"/>
              <a:t>单位：万元</a:t>
            </a:r>
            <a:endParaRPr sz="1000"/>
          </a:p>
        </c:rich>
      </c:tx>
      <c:layout>
        <c:manualLayout>
          <c:xMode val="edge"/>
          <c:yMode val="edge"/>
          <c:x val="0.263472222222222"/>
          <c:y val="0.0381944444444444"/>
        </c:manualLayout>
      </c:layout>
      <c:overlay val="0"/>
      <c:spPr>
        <a:noFill/>
        <a:ln>
          <a:noFill/>
        </a:ln>
        <a:effectLst/>
      </c:spPr>
    </c:title>
    <c:autoTitleDeleted val="0"/>
    <c:plotArea>
      <c:layout/>
      <c:pieChart>
        <c:varyColors val="1"/>
        <c:ser>
          <c:idx val="0"/>
          <c:order val="0"/>
          <c:tx>
            <c:strRef>
              <c:f>[2022年决算图表.xlsx]Sheet1!$B$1</c:f>
              <c:strCache>
                <c:ptCount val="1"/>
                <c:pt idx="0">
                  <c:v>支出金额</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sz="900"/>
                      <a:t>一般公共预算财政拨款收</a:t>
                    </a:r>
                    <a:r>
                      <a:rPr lang="en-US" altLang="zh-CN" sz="900"/>
                      <a:t>,1099.43</a:t>
                    </a:r>
                    <a:endParaRPr sz="900"/>
                  </a:p>
                  <a:p>
                    <a:pPr defTabSz="914400">
                      <a:defRPr lang="zh-CN" sz="900" b="0" i="0" u="none" strike="noStrike" kern="1200" baseline="0">
                        <a:solidFill>
                          <a:schemeClr val="tx1"/>
                        </a:solidFill>
                        <a:latin typeface="+mn-lt"/>
                        <a:ea typeface="+mn-ea"/>
                        <a:cs typeface="+mn-cs"/>
                      </a:defRPr>
                    </a:pPr>
                    <a:r>
                      <a:rPr lang="en-US" altLang="zh-CN" sz="900"/>
                      <a:t>89.6</a:t>
                    </a:r>
                    <a:r>
                      <a:rPr sz="900"/>
                      <a:t>%</a:t>
                    </a:r>
                    <a:endParaRPr sz="900"/>
                  </a:p>
                </c:rich>
              </c:tx>
              <c:dLblPos val="ctr"/>
              <c:showLegendKey val="1"/>
              <c:showVal val="1"/>
              <c:showCatName val="1"/>
              <c:showSerName val="1"/>
              <c:showPercent val="1"/>
              <c:showBubbleSize val="0"/>
              <c:extLst>
                <c:ext xmlns:c15="http://schemas.microsoft.com/office/drawing/2012/chart" uri="{CE6537A1-D6FC-4f65-9D91-7224C49458BB}">
                  <c15:layout>
                    <c:manualLayout>
                      <c:w val="0.333151462243562"/>
                      <c:h val="0.249317064287015"/>
                    </c:manualLayout>
                  </c15:layout>
                </c:ext>
              </c:extLst>
            </c:dLbl>
            <c:dLbl>
              <c:idx val="1"/>
              <c:layout>
                <c:manualLayout>
                  <c:x val="-0.105877705415887"/>
                  <c:y val="0.0874089077415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rPr sz="900"/>
                      <a:t>政府性基金预算财政拨款收入</a:t>
                    </a:r>
                    <a:r>
                      <a:rPr lang="en-US" altLang="zh-CN" sz="900"/>
                      <a:t>127.7</a:t>
                    </a:r>
                    <a:r>
                      <a:rPr altLang="en-US" sz="900"/>
                      <a:t>，</a:t>
                    </a:r>
                    <a:endParaRPr sz="900"/>
                  </a:p>
                  <a:p>
                    <a:pPr defTabSz="914400">
                      <a:defRPr lang="zh-CN" sz="900" b="0" i="0" u="none" strike="noStrike" kern="1200" baseline="0">
                        <a:solidFill>
                          <a:schemeClr val="tx1"/>
                        </a:solidFill>
                        <a:latin typeface="+mn-lt"/>
                        <a:ea typeface="+mn-ea"/>
                        <a:cs typeface="+mn-cs"/>
                      </a:defRPr>
                    </a:pPr>
                    <a:r>
                      <a:rPr lang="en-US" altLang="zh-CN" sz="900"/>
                      <a:t>10.4</a:t>
                    </a:r>
                    <a:r>
                      <a:rPr sz="900"/>
                      <a:t>%</a:t>
                    </a:r>
                    <a:endParaRPr sz="90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dLbl>
              <c:idx val="7"/>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[2022年决算图表.xlsx]Sheet1!$A$2:$A$9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[2022年决算图表.xlsx]Sheet1!$B$2:$B$9</c:f>
              <c:numCache>
                <c:formatCode>General</c:formatCode>
                <c:ptCount val="8"/>
                <c:pt idx="0">
                  <c:v>1099.43</c:v>
                </c:pt>
                <c:pt idx="1">
                  <c:v>127.7</c:v>
                </c:pt>
                <c:pt idx="2">
                  <c:v>0</c:v>
                </c:pt>
                <c:pt idx="3">
                  <c:v>0</c:v>
                </c:pt>
                <c:pt idx="4">
                  <c:v>0</c:v>
                </c:pt>
                <c:pt idx="5">
                  <c:v>0</c:v>
                </c:pt>
                <c:pt idx="6">
                  <c:v>0</c:v>
                </c:pt>
                <c:pt idx="7">
                  <c:v>0</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7"/>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62647315582715"/>
          <c:y val="0.37570570023675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0"/>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sz="900"/>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支出决算结构图             </a:t>
            </a:r>
            <a:r>
              <a:rPr lang="zh-CN" altLang="en-US" sz="900" b="0"/>
              <a:t>单位：万元</a:t>
            </a:r>
            <a:endParaRPr lang="en-US" altLang="zh-CN" sz="900" b="0"/>
          </a:p>
        </c:rich>
      </c:tx>
      <c:layout>
        <c:manualLayout>
          <c:xMode val="edge"/>
          <c:yMode val="edge"/>
          <c:x val="0.265277777777778"/>
          <c:y val="0.0277777777777778"/>
        </c:manualLayout>
      </c:layout>
      <c:overlay val="0"/>
    </c:title>
    <c:autoTitleDeleted val="0"/>
    <c:plotArea>
      <c:layout/>
      <c:pieChart>
        <c:varyColors val="1"/>
        <c:ser>
          <c:idx val="0"/>
          <c:order val="0"/>
          <c:tx>
            <c:strRef>
              <c:f>[2022年决算图表.xlsx]Sheet2!$B$1</c:f>
              <c:strCache>
                <c:ptCount val="1"/>
                <c:pt idx="0">
                  <c:v>支出金额</c:v>
                </c:pt>
              </c:strCache>
            </c:strRef>
          </c:tx>
          <c:explosion val="0"/>
          <c:dPt>
            <c:idx val="0"/>
            <c:bubble3D val="0"/>
          </c:dPt>
          <c:dPt>
            <c:idx val="1"/>
            <c:bubble3D val="0"/>
          </c:dPt>
          <c:dPt>
            <c:idx val="2"/>
            <c:bubble3D val="0"/>
          </c:dPt>
          <c:dPt>
            <c:idx val="3"/>
            <c:bubble3D val="0"/>
          </c:dPt>
          <c:dPt>
            <c:idx val="4"/>
            <c:bubble3D val="0"/>
          </c:dPt>
          <c:dLbls>
            <c:dLbl>
              <c:idx val="0"/>
              <c:layout>
                <c:manualLayout>
                  <c:x val="-0.0729166666666667"/>
                  <c:y val="-0.187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 1047.66, 8</a:t>
                    </a:r>
                    <a:r>
                      <a:rPr lang="en-US" altLang="zh-CN"/>
                      <a:t>4.7</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 189.46, 15</a:t>
                    </a:r>
                    <a:r>
                      <a:rPr lang="en-US" altLang="zh-CN"/>
                      <a:t>.3</a:t>
                    </a:r>
                    <a:r>
                      <a:t>%</a:t>
                    </a:r>
                  </a:p>
                </c:rich>
              </c:tx>
              <c:dLblPos val="bestFit"/>
              <c:showLegendKey val="0"/>
              <c:showVal val="1"/>
              <c:showCatName val="1"/>
              <c:showSerName val="0"/>
              <c:showPercent val="1"/>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[2022年决算图表.xlsx]Sheet2!$A$2:$A$6</c:f>
              <c:strCache>
                <c:ptCount val="5"/>
                <c:pt idx="0">
                  <c:v>基本支出</c:v>
                </c:pt>
                <c:pt idx="1">
                  <c:v>项目支出</c:v>
                </c:pt>
                <c:pt idx="2">
                  <c:v>上缴上级支出</c:v>
                </c:pt>
                <c:pt idx="3">
                  <c:v>经营支出</c:v>
                </c:pt>
                <c:pt idx="4">
                  <c:v>对附属单位补助支出</c:v>
                </c:pt>
              </c:strCache>
            </c:strRef>
          </c:cat>
          <c:val>
            <c:numRef>
              <c:f>[2022年决算图表.xlsx]Sheet2!$B$2:$B$6</c:f>
              <c:numCache>
                <c:formatCode>General</c:formatCode>
                <c:ptCount val="5"/>
                <c:pt idx="0">
                  <c:v>1047.66</c:v>
                </c:pt>
                <c:pt idx="1">
                  <c:v>189.46</c:v>
                </c:pt>
                <c:pt idx="2">
                  <c:v>0</c:v>
                </c:pt>
                <c:pt idx="3">
                  <c:v>0</c:v>
                </c:pt>
                <c:pt idx="4">
                  <c:v>0</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52361111111111"/>
          <c:y val="0.3402777777777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财政拨款收、支决算总计变动情况图</a:t>
            </a:r>
            <a:endParaRPr lang="zh-CN" altLang="en-US" sz="1200"/>
          </a:p>
        </c:rich>
      </c:tx>
      <c:layout/>
      <c:overlay val="0"/>
    </c:title>
    <c:autoTitleDeleted val="0"/>
    <c:plotArea>
      <c:layout>
        <c:manualLayout>
          <c:layoutTarget val="inner"/>
          <c:xMode val="edge"/>
          <c:yMode val="edge"/>
          <c:x val="0.156484392738105"/>
          <c:y val="0.169268671298986"/>
          <c:w val="0.708832458442695"/>
          <c:h val="0.725890723771924"/>
        </c:manualLayout>
      </c:layout>
      <c:barChart>
        <c:barDir val="col"/>
        <c:grouping val="clustered"/>
        <c:varyColors val="0"/>
        <c:ser>
          <c:idx val="0"/>
          <c:order val="0"/>
          <c:tx>
            <c:strRef>
              <c:f>'[2022年决算图表.xlsx]图1 (2)'!$A$2</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'[2022年决算图表.xlsx]图1 (2)'!$B$1:$C$1</c:f>
              <c:strCache>
                <c:ptCount val="2"/>
                <c:pt idx="0">
                  <c:v>收入</c:v>
                </c:pt>
                <c:pt idx="1">
                  <c:v>支出</c:v>
                </c:pt>
              </c:strCache>
            </c:strRef>
          </c:cat>
          <c:val>
            <c:numRef>
              <c:f>'[2022年决算图表.xlsx]图1 (2)'!$B$2:$C$2</c:f>
              <c:numCache>
                <c:formatCode>General</c:formatCode>
                <c:ptCount val="2"/>
                <c:pt idx="0">
                  <c:v>1409.87</c:v>
                </c:pt>
                <c:pt idx="1">
                  <c:v>1409.87</c:v>
                </c:pt>
              </c:numCache>
            </c:numRef>
          </c:val>
        </c:ser>
        <c:ser>
          <c:idx val="1"/>
          <c:order val="1"/>
          <c:tx>
            <c:strRef>
              <c:f>'[2022年决算图表.xlsx]图1 (2)'!$A$3</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'[2022年决算图表.xlsx]图1 (2)'!$B$1:$C$1</c:f>
              <c:strCache>
                <c:ptCount val="2"/>
                <c:pt idx="0">
                  <c:v>收入</c:v>
                </c:pt>
                <c:pt idx="1">
                  <c:v>支出</c:v>
                </c:pt>
              </c:strCache>
            </c:strRef>
          </c:cat>
          <c:val>
            <c:numRef>
              <c:f>'[2022年决算图表.xlsx]图1 (2)'!$B$3:$C$3</c:f>
              <c:numCache>
                <c:formatCode>General</c:formatCode>
                <c:ptCount val="2"/>
                <c:pt idx="0">
                  <c:v>1237.13</c:v>
                </c:pt>
                <c:pt idx="1">
                  <c:v>1237.13</c:v>
                </c:pt>
              </c:numCache>
            </c:numRef>
          </c:val>
        </c:ser>
        <c:dLbls>
          <c:showLegendKey val="0"/>
          <c:showVal val="1"/>
          <c:showCatName val="0"/>
          <c:showSerName val="0"/>
          <c:showPercent val="0"/>
          <c:showBubbleSize val="0"/>
        </c:dLbls>
        <c:gapWidth val="150"/>
        <c:axId val="92167552"/>
        <c:axId val="83195008"/>
      </c:barChart>
      <c:catAx>
        <c:axId val="92167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3195008"/>
        <c:crosses val="autoZero"/>
        <c:auto val="1"/>
        <c:lblAlgn val="ctr"/>
        <c:lblOffset val="100"/>
        <c:noMultiLvlLbl val="0"/>
      </c:catAx>
      <c:valAx>
        <c:axId val="83195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1675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a:t>
            </a:r>
            <a:endParaRPr lang="zh-CN" altLang="en-US" sz="1200"/>
          </a:p>
        </c:rich>
      </c:tx>
      <c:layout/>
      <c:overlay val="0"/>
    </c:title>
    <c:autoTitleDeleted val="0"/>
    <c:plotArea>
      <c:layout>
        <c:manualLayout>
          <c:layoutTarget val="inner"/>
          <c:xMode val="edge"/>
          <c:yMode val="edge"/>
          <c:x val="0.156484392738105"/>
          <c:y val="0.169268671298986"/>
          <c:w val="0.708832458442695"/>
          <c:h val="0.725890723771924"/>
        </c:manualLayout>
      </c:layout>
      <c:barChart>
        <c:barDir val="col"/>
        <c:grouping val="clustered"/>
        <c:varyColors val="0"/>
        <c:ser>
          <c:idx val="0"/>
          <c:order val="0"/>
          <c:tx>
            <c:strRef>
              <c:f>[2022年决算图表.xlsx]Sheet3!$A$2</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[2022年决算图表.xlsx]Sheet3!$B$1</c:f>
              <c:strCache>
                <c:ptCount val="1"/>
                <c:pt idx="0">
                  <c:v>一般公共预算财政拨款支出</c:v>
                </c:pt>
              </c:strCache>
            </c:strRef>
          </c:cat>
          <c:val>
            <c:numRef>
              <c:f>[2022年决算图表.xlsx]Sheet3!$B$2</c:f>
              <c:numCache>
                <c:formatCode>General</c:formatCode>
                <c:ptCount val="1"/>
                <c:pt idx="0">
                  <c:v>1292.42</c:v>
                </c:pt>
              </c:numCache>
            </c:numRef>
          </c:val>
        </c:ser>
        <c:ser>
          <c:idx val="1"/>
          <c:order val="1"/>
          <c:tx>
            <c:strRef>
              <c:f>[2022年决算图表.xlsx]Sheet3!$A$3</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[2022年决算图表.xlsx]Sheet3!$B$1</c:f>
              <c:strCache>
                <c:ptCount val="1"/>
                <c:pt idx="0">
                  <c:v>一般公共预算财政拨款支出</c:v>
                </c:pt>
              </c:strCache>
            </c:strRef>
          </c:cat>
          <c:val>
            <c:numRef>
              <c:f>[2022年决算图表.xlsx]Sheet3!$B$3</c:f>
              <c:numCache>
                <c:formatCode>General</c:formatCode>
                <c:ptCount val="1"/>
                <c:pt idx="0">
                  <c:v>1109.43</c:v>
                </c:pt>
              </c:numCache>
            </c:numRef>
          </c:val>
        </c:ser>
        <c:dLbls>
          <c:showLegendKey val="0"/>
          <c:showVal val="1"/>
          <c:showCatName val="0"/>
          <c:showSerName val="0"/>
          <c:showPercent val="0"/>
          <c:showBubbleSize val="0"/>
        </c:dLbls>
        <c:gapWidth val="150"/>
        <c:axId val="35859456"/>
        <c:axId val="35885056"/>
      </c:barChart>
      <c:catAx>
        <c:axId val="35859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885056"/>
        <c:crosses val="autoZero"/>
        <c:auto val="1"/>
        <c:lblAlgn val="ctr"/>
        <c:lblOffset val="100"/>
        <c:noMultiLvlLbl val="0"/>
      </c:catAx>
      <c:valAx>
        <c:axId val="358850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859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t>一般公共预算财政拨款支出决算结构图        </a:t>
            </a:r>
            <a:r>
              <a:rPr sz="900" b="0"/>
              <a:t>单位：万元</a:t>
            </a:r>
            <a:endParaRPr sz="900" b="0"/>
          </a:p>
        </c:rich>
      </c:tx>
      <c:layout>
        <c:manualLayout>
          <c:xMode val="edge"/>
          <c:yMode val="edge"/>
          <c:x val="0.13445462785779"/>
          <c:y val="0.0343282954669093"/>
        </c:manualLayout>
      </c:layout>
      <c:overlay val="0"/>
      <c:spPr>
        <a:noFill/>
        <a:ln>
          <a:noFill/>
        </a:ln>
        <a:effectLst/>
      </c:spPr>
    </c:title>
    <c:autoTitleDeleted val="0"/>
    <c:plotArea>
      <c:layout/>
      <c:pieChart>
        <c:varyColors val="1"/>
        <c:ser>
          <c:idx val="0"/>
          <c:order val="0"/>
          <c:tx>
            <c:strRef>
              <c:f>[2022年决算图表.xlsx]Sheet4!$B$1</c:f>
              <c:strCache>
                <c:ptCount val="1"/>
                <c:pt idx="0">
                  <c:v>支出金额</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公共安全支出, 911.81, 82</a:t>
                    </a:r>
                    <a:r>
                      <a:rPr lang="en-US" altLang="zh-CN"/>
                      <a:t>.2</a:t>
                    </a:r>
                    <a:r>
                      <a:t>%</a:t>
                    </a:r>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0.0355433633714283"/>
                  <c:y val="0.1187396880576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社会保障和就业支出, 102.31, 9</a:t>
                    </a:r>
                    <a:r>
                      <a:rPr lang="en-US" altLang="zh-CN"/>
                      <a:t>.2</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21436896072722"/>
                  <c:y val="0.0115878824423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卫生健康支出, 22.34, 2%</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907842899681938"/>
                  <c:y val="0.02206036987570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 72.97, </a:t>
                    </a:r>
                    <a:r>
                      <a:rPr lang="en-US" altLang="zh-CN"/>
                      <a:t>6.6</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[2022年决算图表.xlsx]Sheet4!$A$2:$A$5</c:f>
              <c:strCache>
                <c:ptCount val="4"/>
                <c:pt idx="0">
                  <c:v>公共安全支出</c:v>
                </c:pt>
                <c:pt idx="1">
                  <c:v>社会保障和就业支出</c:v>
                </c:pt>
                <c:pt idx="2">
                  <c:v>卫生健康支出</c:v>
                </c:pt>
                <c:pt idx="3">
                  <c:v>住房保障支出</c:v>
                </c:pt>
              </c:strCache>
            </c:strRef>
          </c:cat>
          <c:val>
            <c:numRef>
              <c:f>[2022年决算图表.xlsx]Sheet4!$B$2:$B$5</c:f>
              <c:numCache>
                <c:formatCode>General</c:formatCode>
                <c:ptCount val="4"/>
                <c:pt idx="0">
                  <c:v>911.81</c:v>
                </c:pt>
                <c:pt idx="1">
                  <c:v>102.31</c:v>
                </c:pt>
                <c:pt idx="2">
                  <c:v>22.34</c:v>
                </c:pt>
                <c:pt idx="3">
                  <c:v>72.97</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1"/>
              <a:t>“三公”经费财政拨款支出结构</a:t>
            </a:r>
            <a:endParaRPr lang="en-US" altLang="zh-CN" sz="1400" b="1"/>
          </a:p>
        </c:rich>
      </c:tx>
      <c:layout>
        <c:manualLayout>
          <c:xMode val="edge"/>
          <c:yMode val="edge"/>
          <c:x val="0.298231929277171"/>
          <c:y val="0.044"/>
        </c:manualLayout>
      </c:layout>
      <c:overlay val="0"/>
    </c:title>
    <c:autoTitleDeleted val="0"/>
    <c:plotArea>
      <c:layout/>
      <c:pieChart>
        <c:varyColors val="1"/>
        <c:ser>
          <c:idx val="0"/>
          <c:order val="0"/>
          <c:tx>
            <c:strRef>
              <c:f>[2022年决算图表.xlsx]Sheet5!$B$1</c:f>
              <c:strCache>
                <c:ptCount val="1"/>
                <c:pt idx="0">
                  <c:v>支出金额</c:v>
                </c:pt>
              </c:strCache>
            </c:strRef>
          </c:tx>
          <c:explosion val="0"/>
          <c:dPt>
            <c:idx val="0"/>
            <c:bubble3D val="0"/>
          </c:dPt>
          <c:dPt>
            <c:idx val="1"/>
            <c:bubble3D val="0"/>
          </c:dPt>
          <c:dPt>
            <c:idx val="2"/>
            <c:bubble3D val="0"/>
          </c:dPt>
          <c:dLbls>
            <c:dLbl>
              <c:idx val="0"/>
              <c:layout>
                <c:manualLayout>
                  <c:x val="0.00739708026080912"/>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公务用车购置及运行维护费, </a:t>
                    </a:r>
                    <a:r>
                      <a:rPr lang="en-US" altLang="zh-CN"/>
                      <a:t>5.11</a:t>
                    </a:r>
                    <a:r>
                      <a:t> </a:t>
                    </a:r>
                    <a:r>
                      <a:rPr lang="en-US" altLang="zh-CN"/>
                      <a:t>96.1</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02550571267157"/>
                  <c:y val="0.11110335441031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公务接待费, </a:t>
                    </a:r>
                    <a:r>
                      <a:rPr lang="en-US" altLang="zh-CN"/>
                      <a:t>0.21</a:t>
                    </a:r>
                    <a:r>
                      <a:t>, </a:t>
                    </a:r>
                    <a:r>
                      <a:rPr lang="en-US" altLang="zh-CN"/>
                      <a:t>3.9</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[2022年决算图表.xlsx]Sheet5!$A$2:$A$4</c:f>
              <c:strCache>
                <c:ptCount val="3"/>
                <c:pt idx="0">
                  <c:v>公务用车购置及运行维护费</c:v>
                </c:pt>
                <c:pt idx="1">
                  <c:v>公务接待费</c:v>
                </c:pt>
                <c:pt idx="2">
                  <c:v>因公出国（境）费支出</c:v>
                </c:pt>
              </c:strCache>
            </c:strRef>
          </c:cat>
          <c:val>
            <c:numRef>
              <c:f>[2022年决算图表.xlsx]Sheet5!$B$2:$B$4</c:f>
              <c:numCache>
                <c:formatCode>General</c:formatCode>
                <c:ptCount val="3"/>
                <c:pt idx="0">
                  <c:v>5.11</c:v>
                </c:pt>
                <c:pt idx="1">
                  <c:v>0.21</c:v>
                </c:pt>
                <c:pt idx="2">
                  <c:v>0</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0.8218</cdr:x>
      <cdr:y>0.04336</cdr:y>
    </cdr:from>
    <cdr:to>
      <cdr:x>1</cdr:x>
      <cdr:y>0.12195</cdr:y>
    </cdr:to>
    <cdr:sp>
      <cdr:nvSpPr>
        <cdr:cNvPr id="2" name="矩形 1"/>
        <cdr:cNvSpPr/>
      </cdr:nvSpPr>
      <cdr:spPr xmlns:a="http://schemas.openxmlformats.org/drawingml/2006/main">
        <a:xfrm xmlns:a="http://schemas.openxmlformats.org/drawingml/2006/main">
          <a:off x="4562474" y="152401"/>
          <a:ext cx="981076"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0.0997263899746693</cdr:x>
      <cdr:y>0.111285471818582</cdr:y>
    </cdr:from>
    <cdr:to>
      <cdr:x>0.237220933841976</cdr:x>
      <cdr:y>0.207622913235003</cdr:y>
    </cdr:to>
    <cdr:sp>
      <cdr:nvSpPr>
        <cdr:cNvPr id="2" name="矩形 1"/>
        <cdr:cNvSpPr/>
      </cdr:nvSpPr>
      <cdr:spPr xmlns:a="http://schemas.openxmlformats.org/drawingml/2006/main">
        <a:xfrm xmlns:a="http://schemas.openxmlformats.org/drawingml/2006/main">
          <a:off x="628766" y="323369"/>
          <a:ext cx="866891" cy="27993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userShapes>
</file>

<file path=word/drawings/drawing3.xml><?xml version="1.0" encoding="utf-8"?>
<c:userShapes xmlns:c="http://schemas.openxmlformats.org/drawingml/2006/chart">
  <cdr:relSizeAnchor xmlns:cdr="http://schemas.openxmlformats.org/drawingml/2006/chartDrawing">
    <cdr:from>
      <cdr:x>0.72083</cdr:x>
      <cdr:y>0.22917</cdr:y>
    </cdr:from>
    <cdr:to>
      <cdr:x>0.95208</cdr:x>
      <cdr:y>0.32292</cdr:y>
    </cdr:to>
    <cdr:sp>
      <cdr:nvSpPr>
        <cdr:cNvPr id="2" name="矩形 1"/>
        <cdr:cNvSpPr/>
      </cdr:nvSpPr>
      <cdr:spPr xmlns:a="http://schemas.openxmlformats.org/drawingml/2006/main">
        <a:xfrm xmlns:a="http://schemas.openxmlformats.org/drawingml/2006/main">
          <a:off x="3295649" y="628650"/>
          <a:ext cx="1057275" cy="2571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单位：万元</a:t>
          </a:r>
          <a:endParaRPr lang="en-US" altLang="zh-CN" sz="1000"/>
        </a:p>
        <a:p>
          <a:endParaRPr lang="zh-CN" alt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0.8218</cdr:x>
      <cdr:y>0.04336</cdr:y>
    </cdr:from>
    <cdr:to>
      <cdr:x>1</cdr:x>
      <cdr:y>0.12195</cdr:y>
    </cdr:to>
    <cdr:sp>
      <cdr:nvSpPr>
        <cdr:cNvPr id="2" name="矩形 1"/>
        <cdr:cNvSpPr/>
      </cdr:nvSpPr>
      <cdr:spPr xmlns:a="http://schemas.openxmlformats.org/drawingml/2006/main">
        <a:xfrm xmlns:a="http://schemas.openxmlformats.org/drawingml/2006/main">
          <a:off x="4562474" y="152401"/>
          <a:ext cx="981076"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单位：万元</a:t>
          </a:r>
          <a:endParaRPr lang="zh-CN" altLang="en-US" sz="1000"/>
        </a:p>
      </cdr:txBody>
    </cdr:sp>
  </cdr:relSizeAnchor>
</c:userShapes>
</file>

<file path=word/drawings/drawing5.xml><?xml version="1.0" encoding="utf-8"?>
<c:userShapes xmlns:c="http://schemas.openxmlformats.org/drawingml/2006/chart">
  <cdr:relSizeAnchor xmlns:cdr="http://schemas.openxmlformats.org/drawingml/2006/chartDrawing">
    <cdr:from>
      <cdr:x>0.8218</cdr:x>
      <cdr:y>0.04336</cdr:y>
    </cdr:from>
    <cdr:to>
      <cdr:x>1</cdr:x>
      <cdr:y>0.12195</cdr:y>
    </cdr:to>
    <cdr:sp>
      <cdr:nvSpPr>
        <cdr:cNvPr id="2" name="矩形 1"/>
        <cdr:cNvSpPr/>
      </cdr:nvSpPr>
      <cdr:spPr xmlns:a="http://schemas.openxmlformats.org/drawingml/2006/main">
        <a:xfrm xmlns:a="http://schemas.openxmlformats.org/drawingml/2006/main">
          <a:off x="4562474" y="152401"/>
          <a:ext cx="981076"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单位：万元</a:t>
          </a:r>
          <a:endParaRPr lang="zh-CN" altLang="en-US" sz="1000"/>
        </a:p>
      </cdr:txBody>
    </cdr:sp>
  </cdr:relSizeAnchor>
</c:userShapes>
</file>

<file path=word/drawings/drawing6.xml><?xml version="1.0" encoding="utf-8"?>
<c:userShapes xmlns:c="http://schemas.openxmlformats.org/drawingml/2006/chart">
  <cdr:relSizeAnchor xmlns:cdr="http://schemas.openxmlformats.org/drawingml/2006/chartDrawing">
    <cdr:from>
      <cdr:x>0.332278481012658</cdr:x>
      <cdr:y>0.130953900958191</cdr:y>
    </cdr:from>
    <cdr:to>
      <cdr:x>0.469773024879965</cdr:x>
      <cdr:y>0.227291342374612</cdr:y>
    </cdr:to>
    <cdr:sp>
      <cdr:nvSpPr>
        <cdr:cNvPr id="2" name="矩形 1"/>
        <cdr:cNvSpPr/>
      </cdr:nvSpPr>
      <cdr:spPr xmlns:a="http://schemas.openxmlformats.org/drawingml/2006/main">
        <a:xfrm xmlns:a="http://schemas.openxmlformats.org/drawingml/2006/main">
          <a:off x="1933575" y="456608"/>
          <a:ext cx="800100" cy="335908"/>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dr:relSizeAnchor xmlns:cdr="http://schemas.openxmlformats.org/drawingml/2006/chartDrawing">
    <cdr:from>
      <cdr:x>0.653099083369708</cdr:x>
      <cdr:y>0.0491713713349117</cdr:y>
    </cdr:from>
    <cdr:to>
      <cdr:x>0.810235704932344</cdr:x>
      <cdr:y>0.311418685121107</cdr:y>
    </cdr:to>
    <cdr:sp>
      <cdr:nvSpPr>
        <cdr:cNvPr id="3" name="矩形 2"/>
        <cdr:cNvSpPr/>
      </cdr:nvSpPr>
      <cdr:spPr xmlns:a="http://schemas.openxmlformats.org/drawingml/2006/main">
        <a:xfrm xmlns:a="http://schemas.openxmlformats.org/drawingml/2006/main">
          <a:off x="3800475" y="171450"/>
          <a:ext cx="914400" cy="914400"/>
        </a:xfrm>
        <a:prstGeom xmlns:a="http://schemas.openxmlformats.org/drawingml/2006/main" prst="rect">
          <a:avLst/>
        </a:prstGeom>
      </cdr:spPr>
      <cdr:txBody xmlns:a="http://schemas.openxmlformats.org/drawingml/2006/main">
        <a:bodyPr vert="horz" wrap="none" lIns="45720" tIns="45720" rIns="45720" bIns="45720" anchor="t" anchorCtr="0">
          <a:sp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dr:relSizeAnchor xmlns:cdr="http://schemas.openxmlformats.org/drawingml/2006/chartDrawing">
    <cdr:from>
      <cdr:x>0.785683107813182</cdr:x>
      <cdr:y>0.215807685303223</cdr:y>
    </cdr:from>
    <cdr:to>
      <cdr:x>0.923177651680489</cdr:x>
      <cdr:y>0.316882170824986</cdr:y>
    </cdr:to>
    <cdr:sp>
      <cdr:nvSpPr>
        <cdr:cNvPr id="4" name="矩形 3"/>
        <cdr:cNvSpPr/>
      </cdr:nvSpPr>
      <cdr:spPr xmlns:a="http://schemas.openxmlformats.org/drawingml/2006/main">
        <a:xfrm xmlns:a="http://schemas.openxmlformats.org/drawingml/2006/main">
          <a:off x="4572000" y="752475"/>
          <a:ext cx="800100" cy="3524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16</TotalTime>
  <ScaleCrop>false</ScaleCrop>
  <LinksUpToDate>false</LinksUpToDate>
  <CharactersWithSpaces>8288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陈媛</cp:lastModifiedBy>
  <cp:lastPrinted>2023-12-13T03:17:00Z</cp:lastPrinted>
  <dcterms:modified xsi:type="dcterms:W3CDTF">2023-12-13T03:35:41Z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