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96597"/>
      <w:bookmarkStart w:id="1" w:name="_Toc15377193"/>
      <w:bookmarkStart w:id="2" w:name="_Toc15396475"/>
      <w:bookmarkStart w:id="3" w:name="_Toc15377425"/>
      <w:bookmarkStart w:id="4" w:name="_Toc15378441"/>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9774"/>
      <w:bookmarkStart w:id="7" w:name="_Toc1099"/>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bookmarkEnd w:id="7"/>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96598"/>
      <w:bookmarkStart w:id="9" w:name="_Toc15377426"/>
      <w:bookmarkStart w:id="10" w:name="_Toc15377194"/>
      <w:bookmarkStart w:id="11" w:name="_Toc15396476"/>
      <w:bookmarkStart w:id="12" w:name="_Toc15378442"/>
      <w:bookmarkStart w:id="13" w:name="_Toc3977"/>
      <w:bookmarkStart w:id="14" w:name="_Toc679"/>
      <w:r>
        <w:rPr>
          <w:rFonts w:hint="eastAsia" w:ascii="方正小标宋简体" w:hAnsi="方正小标宋简体" w:eastAsia="方正小标宋简体" w:cs="方正小标宋简体"/>
          <w:sz w:val="72"/>
          <w:szCs w:val="72"/>
        </w:rPr>
        <w:t>四川省</w:t>
      </w:r>
      <w:bookmarkEnd w:id="5"/>
      <w:bookmarkStart w:id="15" w:name="_Toc15306268"/>
      <w:r>
        <w:rPr>
          <w:rFonts w:hint="eastAsia" w:ascii="方正小标宋简体" w:hAnsi="方正小标宋简体" w:eastAsia="方正小标宋简体" w:cs="方正小标宋简体"/>
          <w:sz w:val="72"/>
          <w:szCs w:val="72"/>
          <w:lang w:eastAsia="zh-CN"/>
        </w:rPr>
        <w:t>龙门乡人民政府</w:t>
      </w:r>
      <w:r>
        <w:rPr>
          <w:rFonts w:hint="eastAsia" w:ascii="方正小标宋简体" w:hAnsi="方正小标宋简体" w:eastAsia="方正小标宋简体" w:cs="方正小标宋简体"/>
          <w:sz w:val="72"/>
          <w:szCs w:val="72"/>
        </w:rPr>
        <w:t>部门决算</w:t>
      </w:r>
      <w:bookmarkEnd w:id="8"/>
      <w:bookmarkEnd w:id="9"/>
      <w:bookmarkEnd w:id="10"/>
      <w:bookmarkEnd w:id="11"/>
      <w:bookmarkEnd w:id="12"/>
      <w:bookmarkEnd w:id="13"/>
      <w:bookmarkEnd w:id="14"/>
      <w:bookmarkEnd w:id="15"/>
    </w:p>
    <w:p/>
    <w:p>
      <w:pPr>
        <w:widowControl/>
        <w:jc w:val="center"/>
        <w:outlineLvl w:val="9"/>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kern w:val="2"/>
          <w:sz w:val="21"/>
          <w:szCs w:val="24"/>
          <w:lang w:val="en-US" w:eastAsia="zh-CN" w:bidi="ar-SA"/>
        </w:rPr>
        <w:id w:val="147470081"/>
        <w15:color w:val="DBDBDB"/>
        <w:docPartObj>
          <w:docPartGallery w:val="Table of Contents"/>
          <w:docPartUnique/>
        </w:docPartObj>
      </w:sdtPr>
      <w:sdtEndPr>
        <w:rPr>
          <w:rFonts w:hint="eastAsia" w:ascii="黑体" w:hAnsi="黑体" w:eastAsia="黑体" w:cs="Times New Roman"/>
          <w:b/>
          <w:bCs/>
          <w:kern w:val="44"/>
          <w:sz w:val="44"/>
          <w:szCs w:val="44"/>
          <w:lang w:val="en-US" w:eastAsia="zh-CN" w:bidi="ar-SA"/>
        </w:rPr>
      </w:sdtEndPr>
      <w:sdtContent>
        <w:p>
          <w:pPr>
            <w:spacing w:before="0" w:beforeLines="0" w:after="0" w:afterLines="0" w:line="240" w:lineRule="auto"/>
            <w:ind w:left="0" w:leftChars="0" w:right="0" w:rightChars="0" w:firstLine="0" w:firstLineChars="0"/>
            <w:jc w:val="center"/>
            <w:rPr>
              <w:sz w:val="28"/>
              <w:szCs w:val="36"/>
            </w:rPr>
          </w:pPr>
          <w:bookmarkStart w:id="16" w:name="_Toc15377196"/>
          <w:bookmarkStart w:id="17" w:name="_Toc15396599"/>
          <w:r>
            <w:rPr>
              <w:rFonts w:ascii="宋体" w:hAnsi="宋体" w:eastAsia="宋体"/>
              <w:sz w:val="28"/>
              <w:szCs w:val="36"/>
            </w:rPr>
            <w:t>目录</w:t>
          </w:r>
        </w:p>
        <w:p>
          <w:pPr>
            <w:pStyle w:val="36"/>
            <w:tabs>
              <w:tab w:val="right" w:leader="dot" w:pos="8306"/>
            </w:tabs>
            <w:rPr>
              <w:b/>
            </w:rPr>
          </w:pPr>
          <w:r>
            <w:rPr>
              <w:rFonts w:hint="eastAsia" w:ascii="黑体" w:hAnsi="黑体" w:eastAsia="黑体"/>
              <w:b w:val="0"/>
            </w:rPr>
            <w:fldChar w:fldCharType="begin"/>
          </w:r>
          <w:r>
            <w:rPr>
              <w:rFonts w:hint="eastAsia" w:ascii="黑体" w:hAnsi="黑体" w:eastAsia="黑体"/>
              <w:b w:val="0"/>
            </w:rPr>
            <w:instrText xml:space="preserve">TOC \o "1-2" \h \u </w:instrText>
          </w:r>
          <w:r>
            <w:rPr>
              <w:rFonts w:hint="eastAsia" w:ascii="黑体" w:hAnsi="黑体" w:eastAsia="黑体"/>
              <w:b w:val="0"/>
            </w:rPr>
            <w:fldChar w:fldCharType="separate"/>
          </w:r>
          <w:r>
            <w:rPr>
              <w:rFonts w:hint="eastAsia" w:ascii="黑体" w:hAnsi="黑体" w:eastAsia="黑体"/>
              <w:b/>
            </w:rPr>
            <w:fldChar w:fldCharType="begin"/>
          </w:r>
          <w:r>
            <w:rPr>
              <w:rFonts w:hint="eastAsia" w:ascii="黑体" w:hAnsi="黑体" w:eastAsia="黑体"/>
              <w:b/>
            </w:rPr>
            <w:instrText xml:space="preserve"> HYPERLINK \l _Toc9774 </w:instrText>
          </w:r>
          <w:r>
            <w:rPr>
              <w:rFonts w:hint="eastAsia" w:ascii="黑体" w:hAnsi="黑体" w:eastAsia="黑体"/>
              <w:b/>
            </w:rPr>
            <w:fldChar w:fldCharType="separate"/>
          </w:r>
          <w:r>
            <w:rPr>
              <w:rFonts w:hint="eastAsia" w:ascii="方正小标宋简体" w:hAnsi="方正小标宋简体" w:eastAsia="方正小标宋简体" w:cs="方正小标宋简体"/>
              <w:b/>
              <w:szCs w:val="72"/>
            </w:rPr>
            <w:t>2022年度</w:t>
          </w:r>
          <w:r>
            <w:rPr>
              <w:rFonts w:hint="eastAsia" w:ascii="黑体" w:hAnsi="黑体" w:eastAsia="黑体"/>
              <w:b/>
            </w:rPr>
            <w:fldChar w:fldCharType="end"/>
          </w:r>
          <w:r>
            <w:rPr>
              <w:rFonts w:hint="eastAsia" w:ascii="黑体" w:hAnsi="黑体" w:eastAsia="黑体"/>
              <w:b/>
            </w:rPr>
            <w:fldChar w:fldCharType="begin"/>
          </w:r>
          <w:r>
            <w:rPr>
              <w:rFonts w:hint="eastAsia" w:ascii="黑体" w:hAnsi="黑体" w:eastAsia="黑体"/>
              <w:b/>
            </w:rPr>
            <w:instrText xml:space="preserve"> HYPERLINK \l _Toc679 </w:instrText>
          </w:r>
          <w:r>
            <w:rPr>
              <w:rFonts w:hint="eastAsia" w:ascii="黑体" w:hAnsi="黑体" w:eastAsia="黑体"/>
              <w:b/>
            </w:rPr>
            <w:fldChar w:fldCharType="separate"/>
          </w:r>
          <w:r>
            <w:rPr>
              <w:rFonts w:hint="eastAsia" w:ascii="方正小标宋简体" w:hAnsi="方正小标宋简体" w:eastAsia="方正小标宋简体" w:cs="方正小标宋简体"/>
              <w:b/>
              <w:szCs w:val="72"/>
            </w:rPr>
            <w:t>四川省</w:t>
          </w:r>
          <w:r>
            <w:rPr>
              <w:rFonts w:hint="eastAsia" w:ascii="方正小标宋简体" w:hAnsi="方正小标宋简体" w:eastAsia="方正小标宋简体" w:cs="方正小标宋简体"/>
              <w:b/>
              <w:szCs w:val="72"/>
              <w:lang w:eastAsia="zh-CN"/>
            </w:rPr>
            <w:t>龙门乡人民政府</w:t>
          </w:r>
          <w:r>
            <w:rPr>
              <w:rFonts w:hint="eastAsia" w:ascii="方正小标宋简体" w:hAnsi="方正小标宋简体" w:eastAsia="方正小标宋简体" w:cs="方正小标宋简体"/>
              <w:b/>
              <w:szCs w:val="72"/>
            </w:rPr>
            <w:t>部门决算</w:t>
          </w:r>
          <w:r>
            <w:rPr>
              <w:b/>
            </w:rPr>
            <w:tab/>
          </w:r>
          <w:r>
            <w:rPr>
              <w:b/>
            </w:rPr>
            <w:fldChar w:fldCharType="begin"/>
          </w:r>
          <w:r>
            <w:rPr>
              <w:b/>
            </w:rPr>
            <w:instrText xml:space="preserve"> PAGEREF _Toc679 \h </w:instrText>
          </w:r>
          <w:r>
            <w:rPr>
              <w:b/>
            </w:rPr>
            <w:fldChar w:fldCharType="separate"/>
          </w:r>
          <w:r>
            <w:rPr>
              <w:b/>
            </w:rPr>
            <w:t>1</w:t>
          </w:r>
          <w:r>
            <w:rPr>
              <w:b/>
            </w:rPr>
            <w:fldChar w:fldCharType="end"/>
          </w:r>
          <w:r>
            <w:rPr>
              <w:rFonts w:hint="eastAsia" w:ascii="黑体" w:hAnsi="黑体" w:eastAsia="黑体"/>
              <w:b/>
            </w:rPr>
            <w:fldChar w:fldCharType="end"/>
          </w:r>
        </w:p>
        <w:p>
          <w:pPr>
            <w:pStyle w:val="36"/>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_Toc25825 </w:instrText>
          </w:r>
          <w:r>
            <w:rPr>
              <w:rFonts w:hint="eastAsia" w:ascii="黑体" w:hAnsi="黑体" w:eastAsia="黑体"/>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_Toc25825 \h </w:instrText>
          </w:r>
          <w:r>
            <w:rPr>
              <w:b/>
            </w:rPr>
            <w:fldChar w:fldCharType="separate"/>
          </w:r>
          <w:r>
            <w:rPr>
              <w:b/>
            </w:rPr>
            <w:t>3</w:t>
          </w:r>
          <w:r>
            <w:rPr>
              <w:b/>
            </w:rPr>
            <w:fldChar w:fldCharType="end"/>
          </w:r>
          <w:r>
            <w:rPr>
              <w:rFonts w:hint="eastAsia" w:ascii="黑体" w:hAnsi="黑体" w:eastAsia="黑体"/>
              <w:b/>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_Toc3057 </w:instrText>
          </w:r>
          <w:r>
            <w:rPr>
              <w:rFonts w:hint="eastAsia" w:ascii="黑体" w:hAnsi="黑体" w:eastAsia="黑体" w:cs="Times New Roman"/>
            </w:rPr>
            <w:fldChar w:fldCharType="separate"/>
          </w:r>
          <w:r>
            <w:rPr>
              <w:rFonts w:hint="eastAsia" w:ascii="黑体" w:hAnsi="黑体" w:eastAsia="黑体" w:cs="Times New Roman"/>
            </w:rPr>
            <w:t>一、 部门职责</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_Toc3057 \h </w:instrText>
          </w:r>
          <w:r>
            <w:rPr>
              <w:rFonts w:hint="eastAsia" w:ascii="黑体" w:hAnsi="黑体" w:eastAsia="黑体" w:cs="Times New Roman"/>
            </w:rPr>
            <w:fldChar w:fldCharType="separate"/>
          </w:r>
          <w:r>
            <w:rPr>
              <w:rFonts w:hint="eastAsia" w:ascii="黑体" w:hAnsi="黑体" w:eastAsia="黑体" w:cs="Times New Roman"/>
            </w:rPr>
            <w:t>3</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pPr>
          <w:r>
            <w:rPr>
              <w:rFonts w:hint="eastAsia" w:ascii="黑体" w:hAnsi="黑体" w:eastAsia="黑体" w:cs="Times New Roman"/>
            </w:rPr>
            <w:fldChar w:fldCharType="begin"/>
          </w:r>
          <w:r>
            <w:rPr>
              <w:rFonts w:hint="eastAsia" w:ascii="黑体" w:hAnsi="黑体" w:eastAsia="黑体" w:cs="Times New Roman"/>
            </w:rPr>
            <w:instrText xml:space="preserve"> HYPERLINK \l _Toc20338 </w:instrText>
          </w:r>
          <w:r>
            <w:rPr>
              <w:rFonts w:hint="eastAsia" w:ascii="黑体" w:hAnsi="黑体" w:eastAsia="黑体" w:cs="Times New Roman"/>
            </w:rPr>
            <w:fldChar w:fldCharType="separate"/>
          </w:r>
          <w:r>
            <w:rPr>
              <w:rFonts w:hint="eastAsia" w:ascii="黑体" w:hAnsi="黑体" w:eastAsia="黑体" w:cs="Times New Roman"/>
            </w:rPr>
            <w:t>二、机构设置</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_Toc20338 \h </w:instrText>
          </w:r>
          <w:r>
            <w:rPr>
              <w:rFonts w:hint="eastAsia" w:ascii="黑体" w:hAnsi="黑体" w:eastAsia="黑体" w:cs="Times New Roman"/>
            </w:rPr>
            <w:fldChar w:fldCharType="separate"/>
          </w:r>
          <w:r>
            <w:rPr>
              <w:rFonts w:hint="eastAsia" w:ascii="黑体" w:hAnsi="黑体" w:eastAsia="黑体" w:cs="Times New Roman"/>
            </w:rPr>
            <w:t>4</w:t>
          </w:r>
          <w:r>
            <w:rPr>
              <w:rFonts w:hint="eastAsia" w:ascii="黑体" w:hAnsi="黑体" w:eastAsia="黑体" w:cs="Times New Roman"/>
            </w:rPr>
            <w:fldChar w:fldCharType="end"/>
          </w:r>
          <w:r>
            <w:rPr>
              <w:rFonts w:hint="eastAsia" w:ascii="黑体" w:hAnsi="黑体" w:eastAsia="黑体" w:cs="Times New Roman"/>
            </w:rPr>
            <w:fldChar w:fldCharType="end"/>
          </w:r>
        </w:p>
        <w:p>
          <w:pPr>
            <w:pStyle w:val="36"/>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_Toc13581 </w:instrText>
          </w:r>
          <w:r>
            <w:rPr>
              <w:rFonts w:hint="eastAsia" w:ascii="黑体" w:hAnsi="黑体" w:eastAsia="黑体"/>
              <w:b/>
            </w:rPr>
            <w:fldChar w:fldCharType="separate"/>
          </w:r>
          <w:r>
            <w:rPr>
              <w:rFonts w:hint="eastAsia" w:ascii="黑体" w:hAnsi="黑体" w:eastAsia="黑体"/>
              <w:b/>
            </w:rPr>
            <w:t>第二部分 2022年度</w:t>
          </w:r>
          <w:r>
            <w:rPr>
              <w:rFonts w:hint="eastAsia" w:ascii="黑体" w:hAnsi="黑体" w:eastAsia="黑体"/>
              <w:b/>
              <w:bCs/>
            </w:rPr>
            <w:t>部门决算情况说明</w:t>
          </w:r>
          <w:r>
            <w:rPr>
              <w:b/>
            </w:rPr>
            <w:tab/>
          </w:r>
          <w:r>
            <w:rPr>
              <w:b/>
            </w:rPr>
            <w:fldChar w:fldCharType="begin"/>
          </w:r>
          <w:r>
            <w:rPr>
              <w:b/>
            </w:rPr>
            <w:instrText xml:space="preserve"> PAGEREF _Toc13581 \h </w:instrText>
          </w:r>
          <w:r>
            <w:rPr>
              <w:b/>
            </w:rPr>
            <w:fldChar w:fldCharType="separate"/>
          </w:r>
          <w:r>
            <w:rPr>
              <w:b/>
            </w:rPr>
            <w:t>5</w:t>
          </w:r>
          <w:r>
            <w:rPr>
              <w:b/>
            </w:rPr>
            <w:fldChar w:fldCharType="end"/>
          </w:r>
          <w:r>
            <w:rPr>
              <w:rFonts w:hint="eastAsia" w:ascii="黑体" w:hAnsi="黑体" w:eastAsia="黑体"/>
              <w:b/>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_Toc9555 </w:instrText>
          </w:r>
          <w:r>
            <w:rPr>
              <w:rFonts w:hint="eastAsia" w:ascii="黑体" w:hAnsi="黑体" w:eastAsia="黑体" w:cs="Times New Roman"/>
            </w:rPr>
            <w:fldChar w:fldCharType="separate"/>
          </w:r>
          <w:r>
            <w:rPr>
              <w:rFonts w:hint="default" w:ascii="黑体" w:hAnsi="黑体" w:eastAsia="黑体" w:cs="Times New Roman"/>
            </w:rPr>
            <w:t xml:space="preserve">一、 </w:t>
          </w:r>
          <w:r>
            <w:rPr>
              <w:rFonts w:hint="eastAsia" w:ascii="黑体" w:hAnsi="黑体" w:eastAsia="黑体" w:cs="Times New Roman"/>
            </w:rPr>
            <w:t>收入支出决算总体情况说明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_Toc9555 \h </w:instrText>
          </w:r>
          <w:r>
            <w:rPr>
              <w:rFonts w:hint="eastAsia" w:ascii="黑体" w:hAnsi="黑体" w:eastAsia="黑体" w:cs="Times New Roman"/>
            </w:rPr>
            <w:fldChar w:fldCharType="separate"/>
          </w:r>
          <w:r>
            <w:rPr>
              <w:rFonts w:hint="eastAsia" w:ascii="黑体" w:hAnsi="黑体" w:eastAsia="黑体" w:cs="Times New Roman"/>
            </w:rPr>
            <w:t>5</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_Toc6609 </w:instrText>
          </w:r>
          <w:r>
            <w:rPr>
              <w:rFonts w:hint="eastAsia" w:ascii="黑体" w:hAnsi="黑体" w:eastAsia="黑体" w:cs="Times New Roman"/>
            </w:rPr>
            <w:fldChar w:fldCharType="separate"/>
          </w:r>
          <w:r>
            <w:rPr>
              <w:rFonts w:hint="default" w:ascii="黑体" w:hAnsi="黑体" w:eastAsia="黑体" w:cs="Times New Roman"/>
            </w:rPr>
            <w:t xml:space="preserve">二、 </w:t>
          </w:r>
          <w:r>
            <w:rPr>
              <w:rFonts w:hint="eastAsia" w:ascii="黑体" w:hAnsi="黑体" w:eastAsia="黑体" w:cs="Times New Roman"/>
            </w:rPr>
            <w:t>收入决算情况说明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_Toc6609 \h </w:instrText>
          </w:r>
          <w:r>
            <w:rPr>
              <w:rFonts w:hint="eastAsia" w:ascii="黑体" w:hAnsi="黑体" w:eastAsia="黑体" w:cs="Times New Roman"/>
            </w:rPr>
            <w:fldChar w:fldCharType="separate"/>
          </w:r>
          <w:r>
            <w:rPr>
              <w:rFonts w:hint="eastAsia" w:ascii="黑体" w:hAnsi="黑体" w:eastAsia="黑体" w:cs="Times New Roman"/>
            </w:rPr>
            <w:t>5</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_Toc21767 </w:instrText>
          </w:r>
          <w:r>
            <w:rPr>
              <w:rFonts w:hint="eastAsia" w:ascii="黑体" w:hAnsi="黑体" w:eastAsia="黑体" w:cs="Times New Roman"/>
            </w:rPr>
            <w:fldChar w:fldCharType="separate"/>
          </w:r>
          <w:r>
            <w:rPr>
              <w:rFonts w:hint="default" w:ascii="黑体" w:hAnsi="黑体" w:eastAsia="黑体" w:cs="Times New Roman"/>
            </w:rPr>
            <w:t xml:space="preserve">三、 </w:t>
          </w:r>
          <w:r>
            <w:rPr>
              <w:rFonts w:hint="eastAsia" w:ascii="黑体" w:hAnsi="黑体" w:eastAsia="黑体" w:cs="Times New Roman"/>
            </w:rPr>
            <w:t>支出决算情况说明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_Toc21767 \h </w:instrText>
          </w:r>
          <w:r>
            <w:rPr>
              <w:rFonts w:hint="eastAsia" w:ascii="黑体" w:hAnsi="黑体" w:eastAsia="黑体" w:cs="Times New Roman"/>
            </w:rPr>
            <w:fldChar w:fldCharType="separate"/>
          </w:r>
          <w:r>
            <w:rPr>
              <w:rFonts w:hint="eastAsia" w:ascii="黑体" w:hAnsi="黑体" w:eastAsia="黑体" w:cs="Times New Roman"/>
            </w:rPr>
            <w:t>6</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_Toc3426 </w:instrText>
          </w:r>
          <w:r>
            <w:rPr>
              <w:rFonts w:hint="eastAsia" w:ascii="黑体" w:hAnsi="黑体" w:eastAsia="黑体" w:cs="Times New Roman"/>
            </w:rPr>
            <w:fldChar w:fldCharType="separate"/>
          </w:r>
          <w:r>
            <w:rPr>
              <w:rFonts w:hint="eastAsia" w:ascii="黑体" w:hAnsi="黑体" w:eastAsia="黑体" w:cs="Times New Roman"/>
            </w:rPr>
            <w:t>四、财政拨款收入支出决算总体情况说明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_Toc3426 \h </w:instrText>
          </w:r>
          <w:r>
            <w:rPr>
              <w:rFonts w:hint="eastAsia" w:ascii="黑体" w:hAnsi="黑体" w:eastAsia="黑体" w:cs="Times New Roman"/>
            </w:rPr>
            <w:fldChar w:fldCharType="separate"/>
          </w:r>
          <w:r>
            <w:rPr>
              <w:rFonts w:hint="eastAsia" w:ascii="黑体" w:hAnsi="黑体" w:eastAsia="黑体" w:cs="Times New Roman"/>
            </w:rPr>
            <w:t>7</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_Toc1643 </w:instrText>
          </w:r>
          <w:r>
            <w:rPr>
              <w:rFonts w:hint="eastAsia" w:ascii="黑体" w:hAnsi="黑体" w:eastAsia="黑体" w:cs="Times New Roman"/>
            </w:rPr>
            <w:fldChar w:fldCharType="separate"/>
          </w:r>
          <w:r>
            <w:rPr>
              <w:rFonts w:hint="eastAsia" w:ascii="黑体" w:hAnsi="黑体" w:eastAsia="黑体" w:cs="Times New Roman"/>
            </w:rPr>
            <w:t>五、一般公共预算财政拨款支出决算情况说明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_Toc1643 \h </w:instrText>
          </w:r>
          <w:r>
            <w:rPr>
              <w:rFonts w:hint="eastAsia" w:ascii="黑体" w:hAnsi="黑体" w:eastAsia="黑体" w:cs="Times New Roman"/>
            </w:rPr>
            <w:fldChar w:fldCharType="separate"/>
          </w:r>
          <w:r>
            <w:rPr>
              <w:rFonts w:hint="eastAsia" w:ascii="黑体" w:hAnsi="黑体" w:eastAsia="黑体" w:cs="Times New Roman"/>
            </w:rPr>
            <w:t>8</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_Toc21288 </w:instrText>
          </w:r>
          <w:r>
            <w:rPr>
              <w:rFonts w:hint="eastAsia" w:ascii="黑体" w:hAnsi="黑体" w:eastAsia="黑体" w:cs="Times New Roman"/>
            </w:rPr>
            <w:fldChar w:fldCharType="separate"/>
          </w:r>
          <w:r>
            <w:rPr>
              <w:rFonts w:hint="eastAsia" w:ascii="黑体" w:hAnsi="黑体" w:eastAsia="黑体" w:cs="Times New Roman"/>
            </w:rPr>
            <w:t>六、一般公共预算财政拨款基本支出决算情况说明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_Toc21288 \h </w:instrText>
          </w:r>
          <w:r>
            <w:rPr>
              <w:rFonts w:hint="eastAsia" w:ascii="黑体" w:hAnsi="黑体" w:eastAsia="黑体" w:cs="Times New Roman"/>
            </w:rPr>
            <w:fldChar w:fldCharType="separate"/>
          </w:r>
          <w:r>
            <w:rPr>
              <w:rFonts w:hint="eastAsia" w:ascii="黑体" w:hAnsi="黑体" w:eastAsia="黑体" w:cs="Times New Roman"/>
            </w:rPr>
            <w:t>12</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_Toc21968 </w:instrText>
          </w:r>
          <w:r>
            <w:rPr>
              <w:rFonts w:hint="eastAsia" w:ascii="黑体" w:hAnsi="黑体" w:eastAsia="黑体" w:cs="Times New Roman"/>
            </w:rPr>
            <w:fldChar w:fldCharType="separate"/>
          </w:r>
          <w:r>
            <w:rPr>
              <w:rFonts w:hint="eastAsia" w:ascii="黑体" w:hAnsi="黑体" w:eastAsia="黑体" w:cs="Times New Roman"/>
            </w:rPr>
            <w:t>七、财政拨款“三公”经费支出决算情况说明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_Toc21968 \h </w:instrText>
          </w:r>
          <w:r>
            <w:rPr>
              <w:rFonts w:hint="eastAsia" w:ascii="黑体" w:hAnsi="黑体" w:eastAsia="黑体" w:cs="Times New Roman"/>
            </w:rPr>
            <w:fldChar w:fldCharType="separate"/>
          </w:r>
          <w:r>
            <w:rPr>
              <w:rFonts w:hint="eastAsia" w:ascii="黑体" w:hAnsi="黑体" w:eastAsia="黑体" w:cs="Times New Roman"/>
            </w:rPr>
            <w:t>13</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_Toc31289 </w:instrText>
          </w:r>
          <w:r>
            <w:rPr>
              <w:rFonts w:hint="eastAsia" w:ascii="黑体" w:hAnsi="黑体" w:eastAsia="黑体" w:cs="Times New Roman"/>
            </w:rPr>
            <w:fldChar w:fldCharType="separate"/>
          </w:r>
          <w:r>
            <w:rPr>
              <w:rFonts w:hint="eastAsia" w:ascii="黑体" w:hAnsi="黑体" w:eastAsia="黑体" w:cs="Times New Roman"/>
            </w:rPr>
            <w:t>八、政府性基金预算支出决算情况说明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_Toc31289 \h </w:instrText>
          </w:r>
          <w:r>
            <w:rPr>
              <w:rFonts w:hint="eastAsia" w:ascii="黑体" w:hAnsi="黑体" w:eastAsia="黑体" w:cs="Times New Roman"/>
            </w:rPr>
            <w:fldChar w:fldCharType="separate"/>
          </w:r>
          <w:r>
            <w:rPr>
              <w:rFonts w:hint="eastAsia" w:ascii="黑体" w:hAnsi="黑体" w:eastAsia="黑体" w:cs="Times New Roman"/>
            </w:rPr>
            <w:t>15</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_Toc21168 </w:instrText>
          </w:r>
          <w:r>
            <w:rPr>
              <w:rFonts w:hint="eastAsia" w:ascii="黑体" w:hAnsi="黑体" w:eastAsia="黑体" w:cs="Times New Roman"/>
            </w:rPr>
            <w:fldChar w:fldCharType="separate"/>
          </w:r>
          <w:r>
            <w:rPr>
              <w:rFonts w:hint="eastAsia" w:ascii="黑体" w:hAnsi="黑体" w:eastAsia="黑体" w:cs="Times New Roman"/>
            </w:rPr>
            <w:t>九、 国有资本经营预算支出决算情况说明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_Toc21168 \h </w:instrText>
          </w:r>
          <w:r>
            <w:rPr>
              <w:rFonts w:hint="eastAsia" w:ascii="黑体" w:hAnsi="黑体" w:eastAsia="黑体" w:cs="Times New Roman"/>
            </w:rPr>
            <w:fldChar w:fldCharType="separate"/>
          </w:r>
          <w:r>
            <w:rPr>
              <w:rFonts w:hint="eastAsia" w:ascii="黑体" w:hAnsi="黑体" w:eastAsia="黑体" w:cs="Times New Roman"/>
            </w:rPr>
            <w:t>15</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pPr>
          <w:r>
            <w:rPr>
              <w:rFonts w:hint="eastAsia" w:ascii="黑体" w:hAnsi="黑体" w:eastAsia="黑体" w:cs="Times New Roman"/>
            </w:rPr>
            <w:fldChar w:fldCharType="begin"/>
          </w:r>
          <w:r>
            <w:rPr>
              <w:rFonts w:hint="eastAsia" w:ascii="黑体" w:hAnsi="黑体" w:eastAsia="黑体" w:cs="Times New Roman"/>
            </w:rPr>
            <w:instrText xml:space="preserve"> HYPERLINK \l _Toc19752 </w:instrText>
          </w:r>
          <w:r>
            <w:rPr>
              <w:rFonts w:hint="eastAsia" w:ascii="黑体" w:hAnsi="黑体" w:eastAsia="黑体" w:cs="Times New Roman"/>
            </w:rPr>
            <w:fldChar w:fldCharType="separate"/>
          </w:r>
          <w:r>
            <w:rPr>
              <w:rFonts w:hint="eastAsia" w:ascii="黑体" w:hAnsi="黑体" w:eastAsia="黑体" w:cs="Times New Roman"/>
            </w:rPr>
            <w:t>十、 其他重要事项的情况说明</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_Toc19752 \h </w:instrText>
          </w:r>
          <w:r>
            <w:rPr>
              <w:rFonts w:hint="eastAsia" w:ascii="黑体" w:hAnsi="黑体" w:eastAsia="黑体" w:cs="Times New Roman"/>
            </w:rPr>
            <w:fldChar w:fldCharType="separate"/>
          </w:r>
          <w:r>
            <w:rPr>
              <w:rFonts w:hint="eastAsia" w:ascii="黑体" w:hAnsi="黑体" w:eastAsia="黑体" w:cs="Times New Roman"/>
            </w:rPr>
            <w:t>15</w:t>
          </w:r>
          <w:r>
            <w:rPr>
              <w:rFonts w:hint="eastAsia" w:ascii="黑体" w:hAnsi="黑体" w:eastAsia="黑体" w:cs="Times New Roman"/>
            </w:rPr>
            <w:fldChar w:fldCharType="end"/>
          </w:r>
          <w:r>
            <w:rPr>
              <w:rFonts w:hint="eastAsia" w:ascii="黑体" w:hAnsi="黑体" w:eastAsia="黑体" w:cs="Times New Roman"/>
            </w:rPr>
            <w:fldChar w:fldCharType="end"/>
          </w:r>
        </w:p>
        <w:p>
          <w:pPr>
            <w:pStyle w:val="36"/>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_Toc4948 </w:instrText>
          </w:r>
          <w:r>
            <w:rPr>
              <w:rFonts w:hint="eastAsia" w:ascii="黑体" w:hAnsi="黑体" w:eastAsia="黑体"/>
              <w:b/>
            </w:rPr>
            <w:fldChar w:fldCharType="separate"/>
          </w:r>
          <w:r>
            <w:rPr>
              <w:rFonts w:hint="eastAsia" w:ascii="宋体"/>
              <w:b/>
              <w:szCs w:val="44"/>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_Toc4948 \h </w:instrText>
          </w:r>
          <w:r>
            <w:rPr>
              <w:b/>
            </w:rPr>
            <w:fldChar w:fldCharType="separate"/>
          </w:r>
          <w:r>
            <w:rPr>
              <w:b/>
            </w:rPr>
            <w:t>18</w:t>
          </w:r>
          <w:r>
            <w:rPr>
              <w:b/>
            </w:rPr>
            <w:fldChar w:fldCharType="end"/>
          </w:r>
          <w:r>
            <w:rPr>
              <w:rFonts w:hint="eastAsia" w:ascii="黑体" w:hAnsi="黑体" w:eastAsia="黑体"/>
              <w:b/>
            </w:rPr>
            <w:fldChar w:fldCharType="end"/>
          </w:r>
        </w:p>
        <w:p>
          <w:pPr>
            <w:pStyle w:val="36"/>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_Toc7300 </w:instrText>
          </w:r>
          <w:r>
            <w:rPr>
              <w:rFonts w:hint="eastAsia" w:ascii="黑体" w:hAnsi="黑体" w:eastAsia="黑体"/>
              <w:b/>
            </w:rPr>
            <w:fldChar w:fldCharType="separate"/>
          </w:r>
          <w:r>
            <w:rPr>
              <w:rFonts w:hint="eastAsia" w:ascii="方正小标宋简体" w:hAnsi="方正小标宋简体" w:eastAsia="方正小标宋简体" w:cs="方正小标宋简体"/>
              <w:b/>
              <w:bCs w:val="0"/>
              <w:szCs w:val="44"/>
              <w:shd w:val="clear" w:color="auto" w:fill="FFFFFF"/>
              <w:lang w:eastAsia="zh-CN"/>
            </w:rPr>
            <w:t>第四部分</w:t>
          </w:r>
          <w:r>
            <w:rPr>
              <w:rFonts w:hint="eastAsia" w:ascii="方正小标宋简体" w:hAnsi="方正小标宋简体" w:eastAsia="方正小标宋简体" w:cs="方正小标宋简体"/>
              <w:b/>
              <w:bCs w:val="0"/>
              <w:szCs w:val="44"/>
              <w:shd w:val="clear" w:color="auto" w:fill="FFFFFF"/>
              <w:lang w:val="en-US" w:eastAsia="zh-CN"/>
            </w:rPr>
            <w:t xml:space="preserve"> 附件</w:t>
          </w:r>
          <w:r>
            <w:rPr>
              <w:b/>
            </w:rPr>
            <w:tab/>
          </w:r>
          <w:r>
            <w:rPr>
              <w:b/>
            </w:rPr>
            <w:fldChar w:fldCharType="begin"/>
          </w:r>
          <w:r>
            <w:rPr>
              <w:b/>
            </w:rPr>
            <w:instrText xml:space="preserve"> PAGEREF _Toc7300 \h </w:instrText>
          </w:r>
          <w:r>
            <w:rPr>
              <w:b/>
            </w:rPr>
            <w:fldChar w:fldCharType="separate"/>
          </w:r>
          <w:r>
            <w:rPr>
              <w:b/>
            </w:rPr>
            <w:t>22</w:t>
          </w:r>
          <w:r>
            <w:rPr>
              <w:b/>
            </w:rPr>
            <w:fldChar w:fldCharType="end"/>
          </w:r>
          <w:r>
            <w:rPr>
              <w:rFonts w:hint="eastAsia" w:ascii="黑体" w:hAnsi="黑体" w:eastAsia="黑体"/>
              <w:b/>
            </w:rPr>
            <w:fldChar w:fldCharType="end"/>
          </w:r>
        </w:p>
        <w:p>
          <w:pPr>
            <w:pStyle w:val="36"/>
            <w:tabs>
              <w:tab w:val="right" w:leader="dot" w:pos="8306"/>
            </w:tabs>
            <w:ind w:firstLine="402" w:firstLineChars="200"/>
            <w:rPr>
              <w:b/>
            </w:rPr>
          </w:pPr>
          <w:r>
            <w:rPr>
              <w:rFonts w:hint="eastAsia" w:ascii="黑体" w:hAnsi="黑体" w:eastAsia="黑体"/>
              <w:b/>
              <w:lang w:eastAsia="zh-CN"/>
            </w:rPr>
            <w:t>附件</w:t>
          </w:r>
          <w:r>
            <w:rPr>
              <w:rFonts w:hint="eastAsia" w:ascii="黑体" w:hAnsi="黑体" w:eastAsia="黑体"/>
              <w:b/>
              <w:lang w:val="en-US" w:eastAsia="zh-CN"/>
            </w:rPr>
            <w:t xml:space="preserve">1 </w:t>
          </w:r>
          <w:r>
            <w:rPr>
              <w:rFonts w:hint="eastAsia" w:ascii="黑体" w:hAnsi="黑体" w:eastAsia="黑体"/>
              <w:b/>
              <w:lang w:eastAsia="zh-CN"/>
            </w:rPr>
            <w:t>单位</w:t>
          </w:r>
          <w:r>
            <w:rPr>
              <w:rFonts w:hint="eastAsia" w:ascii="黑体" w:hAnsi="黑体" w:eastAsia="黑体"/>
              <w:b/>
            </w:rPr>
            <w:fldChar w:fldCharType="begin"/>
          </w:r>
          <w:r>
            <w:rPr>
              <w:rFonts w:hint="eastAsia" w:ascii="黑体" w:hAnsi="黑体" w:eastAsia="黑体"/>
              <w:b/>
            </w:rPr>
            <w:instrText xml:space="preserve"> HYPERLINK \l _Toc14475 </w:instrText>
          </w:r>
          <w:r>
            <w:rPr>
              <w:rFonts w:hint="eastAsia" w:ascii="黑体" w:hAnsi="黑体" w:eastAsia="黑体"/>
              <w:b/>
            </w:rPr>
            <w:fldChar w:fldCharType="separate"/>
          </w:r>
          <w:r>
            <w:rPr>
              <w:rFonts w:hint="eastAsia" w:ascii="方正小标宋简体" w:hAnsi="方正小标宋简体" w:eastAsia="方正小标宋简体" w:cs="方正小标宋简体"/>
              <w:b/>
              <w:bCs w:val="0"/>
              <w:szCs w:val="44"/>
              <w:shd w:val="clear" w:color="auto" w:fill="FFFFFF"/>
            </w:rPr>
            <w:t>整体支出绩效评价报告</w:t>
          </w:r>
          <w:r>
            <w:rPr>
              <w:b/>
            </w:rPr>
            <w:tab/>
          </w:r>
          <w:r>
            <w:rPr>
              <w:b/>
            </w:rPr>
            <w:fldChar w:fldCharType="begin"/>
          </w:r>
          <w:r>
            <w:rPr>
              <w:b/>
            </w:rPr>
            <w:instrText xml:space="preserve"> PAGEREF _Toc14475 \h </w:instrText>
          </w:r>
          <w:r>
            <w:rPr>
              <w:b/>
            </w:rPr>
            <w:fldChar w:fldCharType="separate"/>
          </w:r>
          <w:r>
            <w:rPr>
              <w:b/>
            </w:rPr>
            <w:t>22</w:t>
          </w:r>
          <w:r>
            <w:rPr>
              <w:b/>
            </w:rPr>
            <w:fldChar w:fldCharType="end"/>
          </w:r>
          <w:r>
            <w:rPr>
              <w:rFonts w:hint="eastAsia" w:ascii="黑体" w:hAnsi="黑体" w:eastAsia="黑体"/>
              <w:b/>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_Toc7585 </w:instrText>
          </w:r>
          <w:r>
            <w:rPr>
              <w:rFonts w:hint="eastAsia" w:ascii="黑体" w:hAnsi="黑体" w:eastAsia="黑体" w:cs="Times New Roman"/>
            </w:rPr>
            <w:fldChar w:fldCharType="separate"/>
          </w:r>
          <w:r>
            <w:rPr>
              <w:rFonts w:hint="eastAsia" w:ascii="黑体" w:hAnsi="黑体" w:eastAsia="黑体" w:cs="Times New Roman"/>
            </w:rPr>
            <w:t>一、</w:t>
          </w:r>
          <w:r>
            <w:rPr>
              <w:rFonts w:hint="eastAsia" w:ascii="黑体" w:hAnsi="黑体" w:eastAsia="黑体" w:cs="Times New Roman"/>
              <w:lang w:val="zh-CN"/>
            </w:rPr>
            <w:t>单位概况</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_Toc7585 \h </w:instrText>
          </w:r>
          <w:r>
            <w:rPr>
              <w:rFonts w:hint="eastAsia" w:ascii="黑体" w:hAnsi="黑体" w:eastAsia="黑体" w:cs="Times New Roman"/>
            </w:rPr>
            <w:fldChar w:fldCharType="separate"/>
          </w:r>
          <w:r>
            <w:rPr>
              <w:rFonts w:hint="eastAsia" w:ascii="黑体" w:hAnsi="黑体" w:eastAsia="黑体" w:cs="Times New Roman"/>
            </w:rPr>
            <w:t>22</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_Toc25360 </w:instrText>
          </w:r>
          <w:r>
            <w:rPr>
              <w:rFonts w:hint="eastAsia" w:ascii="黑体" w:hAnsi="黑体" w:eastAsia="黑体" w:cs="Times New Roman"/>
            </w:rPr>
            <w:fldChar w:fldCharType="separate"/>
          </w:r>
          <w:r>
            <w:rPr>
              <w:rFonts w:hint="eastAsia" w:ascii="黑体" w:hAnsi="黑体" w:eastAsia="黑体" w:cs="Times New Roman"/>
            </w:rPr>
            <w:t>二、部门财政资金收支情况</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_Toc25360 \h </w:instrText>
          </w:r>
          <w:r>
            <w:rPr>
              <w:rFonts w:hint="eastAsia" w:ascii="黑体" w:hAnsi="黑体" w:eastAsia="黑体" w:cs="Times New Roman"/>
            </w:rPr>
            <w:fldChar w:fldCharType="separate"/>
          </w:r>
          <w:r>
            <w:rPr>
              <w:rFonts w:hint="eastAsia" w:ascii="黑体" w:hAnsi="黑体" w:eastAsia="黑体" w:cs="Times New Roman"/>
            </w:rPr>
            <w:t>23</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lang w:val="en-US" w:eastAsia="zh-CN"/>
            </w:rPr>
          </w:pPr>
          <w:r>
            <w:rPr>
              <w:rFonts w:hint="eastAsia" w:ascii="黑体" w:hAnsi="黑体" w:eastAsia="黑体" w:cs="Times New Roman"/>
            </w:rPr>
            <w:fldChar w:fldCharType="begin"/>
          </w:r>
          <w:r>
            <w:rPr>
              <w:rFonts w:hint="eastAsia" w:ascii="黑体" w:hAnsi="黑体" w:eastAsia="黑体" w:cs="Times New Roman"/>
            </w:rPr>
            <w:instrText xml:space="preserve"> HYPERLINK \l _Toc354 </w:instrText>
          </w:r>
          <w:r>
            <w:rPr>
              <w:rFonts w:hint="eastAsia" w:ascii="黑体" w:hAnsi="黑体" w:eastAsia="黑体" w:cs="Times New Roman"/>
            </w:rPr>
            <w:fldChar w:fldCharType="separate"/>
          </w:r>
          <w:r>
            <w:rPr>
              <w:rFonts w:hint="eastAsia" w:ascii="黑体" w:hAnsi="黑体" w:eastAsia="黑体" w:cs="Times New Roman"/>
              <w:lang w:eastAsia="zh-CN"/>
            </w:rPr>
            <w:t>三、</w:t>
          </w:r>
          <w:r>
            <w:rPr>
              <w:rFonts w:hint="eastAsia" w:ascii="黑体" w:hAnsi="黑体" w:eastAsia="黑体" w:cs="Times New Roman"/>
            </w:rPr>
            <w:t>部门整体预算绩效管理情况</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_Toc354 \h </w:instrText>
          </w:r>
          <w:r>
            <w:rPr>
              <w:rFonts w:hint="eastAsia" w:ascii="黑体" w:hAnsi="黑体" w:eastAsia="黑体" w:cs="Times New Roman"/>
            </w:rPr>
            <w:fldChar w:fldCharType="separate"/>
          </w:r>
          <w:r>
            <w:rPr>
              <w:rFonts w:hint="eastAsia" w:ascii="黑体" w:hAnsi="黑体" w:eastAsia="黑体" w:cs="Times New Roman"/>
            </w:rPr>
            <w:t>23</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pPr>
          <w:r>
            <w:rPr>
              <w:rFonts w:hint="eastAsia" w:ascii="黑体" w:hAnsi="黑体" w:eastAsia="黑体" w:cs="Times New Roman"/>
            </w:rPr>
            <w:fldChar w:fldCharType="begin"/>
          </w:r>
          <w:r>
            <w:rPr>
              <w:rFonts w:hint="eastAsia" w:ascii="黑体" w:hAnsi="黑体" w:eastAsia="黑体" w:cs="Times New Roman"/>
            </w:rPr>
            <w:instrText xml:space="preserve"> HYPERLINK \l _Toc18308 </w:instrText>
          </w:r>
          <w:r>
            <w:rPr>
              <w:rFonts w:hint="eastAsia" w:ascii="黑体" w:hAnsi="黑体" w:eastAsia="黑体" w:cs="Times New Roman"/>
            </w:rPr>
            <w:fldChar w:fldCharType="separate"/>
          </w:r>
          <w:r>
            <w:rPr>
              <w:rFonts w:hint="eastAsia" w:ascii="黑体" w:hAnsi="黑体" w:eastAsia="黑体" w:cs="Times New Roman"/>
              <w:lang w:eastAsia="zh-CN"/>
            </w:rPr>
            <w:t>四、评价结论及建议</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_Toc18308 \h </w:instrText>
          </w:r>
          <w:r>
            <w:rPr>
              <w:rFonts w:hint="eastAsia" w:ascii="黑体" w:hAnsi="黑体" w:eastAsia="黑体" w:cs="Times New Roman"/>
            </w:rPr>
            <w:fldChar w:fldCharType="separate"/>
          </w:r>
          <w:r>
            <w:rPr>
              <w:rFonts w:hint="eastAsia" w:ascii="黑体" w:hAnsi="黑体" w:eastAsia="黑体" w:cs="Times New Roman"/>
            </w:rPr>
            <w:t>25</w:t>
          </w:r>
          <w:r>
            <w:rPr>
              <w:rFonts w:hint="eastAsia" w:ascii="黑体" w:hAnsi="黑体" w:eastAsia="黑体" w:cs="Times New Roman"/>
            </w:rPr>
            <w:fldChar w:fldCharType="end"/>
          </w:r>
          <w:r>
            <w:rPr>
              <w:rFonts w:hint="eastAsia" w:ascii="黑体" w:hAnsi="黑体" w:eastAsia="黑体" w:cs="Times New Roman"/>
            </w:rPr>
            <w:fldChar w:fldCharType="end"/>
          </w:r>
        </w:p>
        <w:p>
          <w:pPr>
            <w:pStyle w:val="36"/>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_Toc19384 </w:instrText>
          </w:r>
          <w:r>
            <w:rPr>
              <w:rFonts w:hint="eastAsia" w:ascii="黑体" w:hAnsi="黑体" w:eastAsia="黑体"/>
              <w:b/>
            </w:rPr>
            <w:fldChar w:fldCharType="separate"/>
          </w:r>
          <w:r>
            <w:rPr>
              <w:rFonts w:hint="eastAsia" w:hAnsi="宋体" w:cs="宋体"/>
              <w:b/>
              <w:szCs w:val="32"/>
              <w:shd w:val="clear" w:color="auto" w:fill="FFFFFF"/>
              <w:lang w:val="zh-CN"/>
            </w:rPr>
            <w:t>附件</w:t>
          </w:r>
          <w:r>
            <w:rPr>
              <w:rFonts w:hint="eastAsia" w:hAnsi="宋体" w:cs="宋体"/>
              <w:b/>
              <w:szCs w:val="32"/>
              <w:shd w:val="clear" w:color="auto" w:fill="FFFFFF"/>
            </w:rPr>
            <w:t>2</w:t>
          </w:r>
          <w:r>
            <w:rPr>
              <w:rFonts w:hint="eastAsia" w:ascii="黑体" w:hAnsi="黑体" w:eastAsia="黑体"/>
              <w:b/>
            </w:rPr>
            <w:fldChar w:fldCharType="end"/>
          </w:r>
          <w:r>
            <w:rPr>
              <w:rFonts w:hint="eastAsia" w:ascii="黑体" w:hAnsi="黑体" w:eastAsia="黑体"/>
              <w:b/>
              <w:lang w:val="en-US" w:eastAsia="zh-CN"/>
            </w:rPr>
            <w:t xml:space="preserve"> </w:t>
          </w:r>
          <w:r>
            <w:rPr>
              <w:rFonts w:hint="eastAsia" w:ascii="黑体" w:hAnsi="黑体" w:eastAsia="黑体"/>
              <w:b/>
            </w:rPr>
            <w:fldChar w:fldCharType="begin"/>
          </w:r>
          <w:r>
            <w:rPr>
              <w:rFonts w:hint="eastAsia" w:ascii="黑体" w:hAnsi="黑体" w:eastAsia="黑体"/>
              <w:b/>
            </w:rPr>
            <w:instrText xml:space="preserve"> HYPERLINK \l _Toc29162 </w:instrText>
          </w:r>
          <w:r>
            <w:rPr>
              <w:rFonts w:hint="eastAsia" w:ascii="黑体" w:hAnsi="黑体" w:eastAsia="黑体"/>
              <w:b/>
            </w:rPr>
            <w:fldChar w:fldCharType="separate"/>
          </w:r>
          <w:r>
            <w:rPr>
              <w:rFonts w:hint="eastAsia" w:ascii="方正小标宋简体" w:hAnsi="方正小标宋简体" w:eastAsia="方正小标宋简体" w:cs="方正小标宋简体"/>
              <w:b/>
              <w:szCs w:val="44"/>
            </w:rPr>
            <w:t>202</w:t>
          </w:r>
          <w:r>
            <w:rPr>
              <w:rFonts w:hint="eastAsia" w:ascii="方正小标宋简体" w:hAnsi="方正小标宋简体" w:eastAsia="方正小标宋简体" w:cs="方正小标宋简体"/>
              <w:b/>
              <w:szCs w:val="44"/>
              <w:lang w:val="en-US" w:eastAsia="zh-CN"/>
            </w:rPr>
            <w:t>2</w:t>
          </w:r>
          <w:r>
            <w:rPr>
              <w:rFonts w:hint="eastAsia" w:ascii="方正小标宋简体" w:hAnsi="方正小标宋简体" w:eastAsia="方正小标宋简体" w:cs="方正小标宋简体"/>
              <w:b/>
              <w:szCs w:val="44"/>
            </w:rPr>
            <w:t>年</w:t>
          </w:r>
          <w:r>
            <w:rPr>
              <w:rFonts w:hint="eastAsia" w:ascii="方正小标宋简体" w:hAnsi="方正小标宋简体" w:eastAsia="方正小标宋简体" w:cs="方正小标宋简体"/>
              <w:b/>
              <w:szCs w:val="44"/>
              <w:lang w:val="zh-CN"/>
            </w:rPr>
            <w:t>专项预算项目支出绩效自评报告</w:t>
          </w:r>
          <w:r>
            <w:rPr>
              <w:b/>
            </w:rPr>
            <w:tab/>
          </w:r>
          <w:r>
            <w:rPr>
              <w:b/>
            </w:rPr>
            <w:fldChar w:fldCharType="begin"/>
          </w:r>
          <w:r>
            <w:rPr>
              <w:b/>
            </w:rPr>
            <w:instrText xml:space="preserve"> PAGEREF _Toc29162 \h </w:instrText>
          </w:r>
          <w:r>
            <w:rPr>
              <w:b/>
            </w:rPr>
            <w:fldChar w:fldCharType="separate"/>
          </w:r>
          <w:r>
            <w:rPr>
              <w:b/>
            </w:rPr>
            <w:t>31</w:t>
          </w:r>
          <w:r>
            <w:rPr>
              <w:b/>
            </w:rPr>
            <w:fldChar w:fldCharType="end"/>
          </w:r>
          <w:r>
            <w:rPr>
              <w:rFonts w:hint="eastAsia" w:ascii="黑体" w:hAnsi="黑体" w:eastAsia="黑体"/>
              <w:b/>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_Toc21236 </w:instrText>
          </w:r>
          <w:r>
            <w:rPr>
              <w:rFonts w:hint="eastAsia" w:ascii="黑体" w:hAnsi="黑体" w:eastAsia="黑体" w:cs="Times New Roman"/>
            </w:rPr>
            <w:fldChar w:fldCharType="separate"/>
          </w:r>
          <w:r>
            <w:rPr>
              <w:rFonts w:hint="eastAsia" w:ascii="黑体" w:hAnsi="黑体" w:eastAsia="黑体" w:cs="Times New Roman"/>
            </w:rPr>
            <w:t>一、</w:t>
          </w:r>
          <w:r>
            <w:rPr>
              <w:rFonts w:hint="eastAsia" w:ascii="黑体" w:hAnsi="黑体" w:eastAsia="黑体" w:cs="Times New Roman"/>
              <w:lang w:val="zh-CN"/>
            </w:rPr>
            <w:t>项目概况</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_Toc21236 \h </w:instrText>
          </w:r>
          <w:r>
            <w:rPr>
              <w:rFonts w:hint="eastAsia" w:ascii="黑体" w:hAnsi="黑体" w:eastAsia="黑体" w:cs="Times New Roman"/>
            </w:rPr>
            <w:fldChar w:fldCharType="separate"/>
          </w:r>
          <w:r>
            <w:rPr>
              <w:rFonts w:hint="eastAsia" w:ascii="黑体" w:hAnsi="黑体" w:eastAsia="黑体" w:cs="Times New Roman"/>
            </w:rPr>
            <w:t>31</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_Toc31649 </w:instrText>
          </w:r>
          <w:r>
            <w:rPr>
              <w:rFonts w:hint="eastAsia" w:ascii="黑体" w:hAnsi="黑体" w:eastAsia="黑体" w:cs="Times New Roman"/>
            </w:rPr>
            <w:fldChar w:fldCharType="separate"/>
          </w:r>
          <w:r>
            <w:rPr>
              <w:rFonts w:hint="eastAsia" w:ascii="黑体" w:hAnsi="黑体" w:eastAsia="黑体" w:cs="Times New Roman"/>
            </w:rPr>
            <w:t>二、项目资金申报及使用情况</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_Toc31649 \h </w:instrText>
          </w:r>
          <w:r>
            <w:rPr>
              <w:rFonts w:hint="eastAsia" w:ascii="黑体" w:hAnsi="黑体" w:eastAsia="黑体" w:cs="Times New Roman"/>
            </w:rPr>
            <w:fldChar w:fldCharType="separate"/>
          </w:r>
          <w:r>
            <w:rPr>
              <w:rFonts w:hint="eastAsia" w:ascii="黑体" w:hAnsi="黑体" w:eastAsia="黑体" w:cs="Times New Roman"/>
            </w:rPr>
            <w:t>32</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_Toc2602 </w:instrText>
          </w:r>
          <w:r>
            <w:rPr>
              <w:rFonts w:hint="eastAsia" w:ascii="黑体" w:hAnsi="黑体" w:eastAsia="黑体" w:cs="Times New Roman"/>
            </w:rPr>
            <w:fldChar w:fldCharType="separate"/>
          </w:r>
          <w:r>
            <w:rPr>
              <w:rFonts w:hint="eastAsia" w:ascii="黑体" w:hAnsi="黑体" w:eastAsia="黑体" w:cs="Times New Roman"/>
            </w:rPr>
            <w:t>三、项目实施及管理情况</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_Toc2602 \h </w:instrText>
          </w:r>
          <w:r>
            <w:rPr>
              <w:rFonts w:hint="eastAsia" w:ascii="黑体" w:hAnsi="黑体" w:eastAsia="黑体" w:cs="Times New Roman"/>
            </w:rPr>
            <w:fldChar w:fldCharType="separate"/>
          </w:r>
          <w:r>
            <w:rPr>
              <w:rFonts w:hint="eastAsia" w:ascii="黑体" w:hAnsi="黑体" w:eastAsia="黑体" w:cs="Times New Roman"/>
            </w:rPr>
            <w:t>33</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rPr>
              <w:rFonts w:hint="eastAsia" w:ascii="黑体" w:hAnsi="黑体" w:eastAsia="黑体" w:cs="Times New Roman"/>
            </w:rPr>
          </w:pPr>
          <w:r>
            <w:rPr>
              <w:rFonts w:hint="eastAsia" w:ascii="黑体" w:hAnsi="黑体" w:eastAsia="黑体" w:cs="Times New Roman"/>
            </w:rPr>
            <w:fldChar w:fldCharType="begin"/>
          </w:r>
          <w:r>
            <w:rPr>
              <w:rFonts w:hint="eastAsia" w:ascii="黑体" w:hAnsi="黑体" w:eastAsia="黑体" w:cs="Times New Roman"/>
            </w:rPr>
            <w:instrText xml:space="preserve"> HYPERLINK \l _Toc16652 </w:instrText>
          </w:r>
          <w:r>
            <w:rPr>
              <w:rFonts w:hint="eastAsia" w:ascii="黑体" w:hAnsi="黑体" w:eastAsia="黑体" w:cs="Times New Roman"/>
            </w:rPr>
            <w:fldChar w:fldCharType="separate"/>
          </w:r>
          <w:r>
            <w:rPr>
              <w:rFonts w:hint="eastAsia" w:ascii="黑体" w:hAnsi="黑体" w:eastAsia="黑体" w:cs="Times New Roman"/>
            </w:rPr>
            <w:t>四、项目绩效情况</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_Toc16652 \h </w:instrText>
          </w:r>
          <w:r>
            <w:rPr>
              <w:rFonts w:hint="eastAsia" w:ascii="黑体" w:hAnsi="黑体" w:eastAsia="黑体" w:cs="Times New Roman"/>
            </w:rPr>
            <w:fldChar w:fldCharType="separate"/>
          </w:r>
          <w:r>
            <w:rPr>
              <w:rFonts w:hint="eastAsia" w:ascii="黑体" w:hAnsi="黑体" w:eastAsia="黑体" w:cs="Times New Roman"/>
            </w:rPr>
            <w:t>33</w:t>
          </w:r>
          <w:r>
            <w:rPr>
              <w:rFonts w:hint="eastAsia" w:ascii="黑体" w:hAnsi="黑体" w:eastAsia="黑体" w:cs="Times New Roman"/>
            </w:rPr>
            <w:fldChar w:fldCharType="end"/>
          </w:r>
          <w:r>
            <w:rPr>
              <w:rFonts w:hint="eastAsia" w:ascii="黑体" w:hAnsi="黑体" w:eastAsia="黑体" w:cs="Times New Roman"/>
            </w:rPr>
            <w:fldChar w:fldCharType="end"/>
          </w:r>
        </w:p>
        <w:p>
          <w:pPr>
            <w:pStyle w:val="37"/>
            <w:tabs>
              <w:tab w:val="right" w:leader="dot" w:pos="8306"/>
            </w:tabs>
          </w:pPr>
          <w:r>
            <w:rPr>
              <w:rFonts w:hint="eastAsia" w:ascii="黑体" w:hAnsi="黑体" w:eastAsia="黑体" w:cs="Times New Roman"/>
            </w:rPr>
            <w:fldChar w:fldCharType="begin"/>
          </w:r>
          <w:r>
            <w:rPr>
              <w:rFonts w:hint="eastAsia" w:ascii="黑体" w:hAnsi="黑体" w:eastAsia="黑体" w:cs="Times New Roman"/>
            </w:rPr>
            <w:instrText xml:space="preserve"> HYPERLINK \l _Toc16483 </w:instrText>
          </w:r>
          <w:r>
            <w:rPr>
              <w:rFonts w:hint="eastAsia" w:ascii="黑体" w:hAnsi="黑体" w:eastAsia="黑体" w:cs="Times New Roman"/>
            </w:rPr>
            <w:fldChar w:fldCharType="separate"/>
          </w:r>
          <w:r>
            <w:rPr>
              <w:rFonts w:hint="eastAsia" w:ascii="黑体" w:hAnsi="黑体" w:eastAsia="黑体" w:cs="Times New Roman"/>
              <w:lang w:val="zh-CN" w:eastAsia="zh-CN"/>
            </w:rPr>
            <w:t>五、评价结论及建议</w:t>
          </w:r>
          <w:r>
            <w:rPr>
              <w:rFonts w:hint="eastAsia" w:ascii="黑体" w:hAnsi="黑体" w:eastAsia="黑体" w:cs="Times New Roman"/>
            </w:rPr>
            <w:tab/>
          </w:r>
          <w:r>
            <w:rPr>
              <w:rFonts w:hint="eastAsia" w:ascii="黑体" w:hAnsi="黑体" w:eastAsia="黑体" w:cs="Times New Roman"/>
            </w:rPr>
            <w:fldChar w:fldCharType="begin"/>
          </w:r>
          <w:r>
            <w:rPr>
              <w:rFonts w:hint="eastAsia" w:ascii="黑体" w:hAnsi="黑体" w:eastAsia="黑体" w:cs="Times New Roman"/>
            </w:rPr>
            <w:instrText xml:space="preserve"> PAGEREF _Toc16483 \h </w:instrText>
          </w:r>
          <w:r>
            <w:rPr>
              <w:rFonts w:hint="eastAsia" w:ascii="黑体" w:hAnsi="黑体" w:eastAsia="黑体" w:cs="Times New Roman"/>
            </w:rPr>
            <w:fldChar w:fldCharType="separate"/>
          </w:r>
          <w:r>
            <w:rPr>
              <w:rFonts w:hint="eastAsia" w:ascii="黑体" w:hAnsi="黑体" w:eastAsia="黑体" w:cs="Times New Roman"/>
            </w:rPr>
            <w:t>34</w:t>
          </w:r>
          <w:r>
            <w:rPr>
              <w:rFonts w:hint="eastAsia" w:ascii="黑体" w:hAnsi="黑体" w:eastAsia="黑体" w:cs="Times New Roman"/>
            </w:rPr>
            <w:fldChar w:fldCharType="end"/>
          </w:r>
          <w:r>
            <w:rPr>
              <w:rFonts w:hint="eastAsia" w:ascii="黑体" w:hAnsi="黑体" w:eastAsia="黑体" w:cs="Times New Roman"/>
            </w:rPr>
            <w:fldChar w:fldCharType="end"/>
          </w:r>
        </w:p>
        <w:p>
          <w:pPr>
            <w:pStyle w:val="36"/>
            <w:tabs>
              <w:tab w:val="right" w:leader="dot" w:pos="8306"/>
            </w:tabs>
            <w:rPr>
              <w:b/>
            </w:rPr>
          </w:pPr>
          <w:r>
            <w:rPr>
              <w:rFonts w:hint="eastAsia" w:ascii="黑体" w:hAnsi="黑体" w:eastAsia="黑体"/>
              <w:b/>
            </w:rPr>
            <w:fldChar w:fldCharType="begin"/>
          </w:r>
          <w:r>
            <w:rPr>
              <w:rFonts w:hint="eastAsia" w:ascii="黑体" w:hAnsi="黑体" w:eastAsia="黑体"/>
              <w:b/>
            </w:rPr>
            <w:instrText xml:space="preserve"> HYPERLINK \l _Toc13339 </w:instrText>
          </w:r>
          <w:r>
            <w:rPr>
              <w:rFonts w:hint="eastAsia" w:ascii="黑体" w:hAnsi="黑体" w:eastAsia="黑体"/>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_Toc13339 \h </w:instrText>
          </w:r>
          <w:r>
            <w:rPr>
              <w:b/>
            </w:rPr>
            <w:fldChar w:fldCharType="separate"/>
          </w:r>
          <w:r>
            <w:rPr>
              <w:b/>
            </w:rPr>
            <w:t>35</w:t>
          </w:r>
          <w:r>
            <w:rPr>
              <w:b/>
            </w:rPr>
            <w:fldChar w:fldCharType="end"/>
          </w:r>
          <w:r>
            <w:rPr>
              <w:rFonts w:hint="eastAsia" w:ascii="黑体" w:hAnsi="黑体" w:eastAsia="黑体"/>
              <w:b/>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_Toc10924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一、收入支出决算总表</w:t>
          </w:r>
          <w:r>
            <w:tab/>
          </w:r>
          <w:r>
            <w:fldChar w:fldCharType="begin"/>
          </w:r>
          <w:r>
            <w:instrText xml:space="preserve"> PAGEREF _Toc10924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_Toc7423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二、收入决算表</w:t>
          </w:r>
          <w:r>
            <w:tab/>
          </w:r>
          <w:r>
            <w:fldChar w:fldCharType="begin"/>
          </w:r>
          <w:r>
            <w:instrText xml:space="preserve"> PAGEREF _Toc7423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_Toc8807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三、支出决算表</w:t>
          </w:r>
          <w:r>
            <w:tab/>
          </w:r>
          <w:r>
            <w:fldChar w:fldCharType="begin"/>
          </w:r>
          <w:r>
            <w:instrText xml:space="preserve"> PAGEREF _Toc8807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_Toc8633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四、财政拨款收入支出决算总表</w:t>
          </w:r>
          <w:r>
            <w:tab/>
          </w:r>
          <w:r>
            <w:fldChar w:fldCharType="begin"/>
          </w:r>
          <w:r>
            <w:instrText xml:space="preserve"> PAGEREF _Toc8633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_Toc18192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五、财政拨款支出决算明细表</w:t>
          </w:r>
          <w:r>
            <w:tab/>
          </w:r>
          <w:r>
            <w:fldChar w:fldCharType="begin"/>
          </w:r>
          <w:r>
            <w:instrText xml:space="preserve"> PAGEREF _Toc18192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_Toc14165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六、一般公共预算财政拨款支出决算表</w:t>
          </w:r>
          <w:r>
            <w:tab/>
          </w:r>
          <w:r>
            <w:fldChar w:fldCharType="begin"/>
          </w:r>
          <w:r>
            <w:instrText xml:space="preserve"> PAGEREF _Toc14165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_Toc10010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七、一般公共预算财政拨款支出决算明细表</w:t>
          </w:r>
          <w:r>
            <w:tab/>
          </w:r>
          <w:r>
            <w:fldChar w:fldCharType="begin"/>
          </w:r>
          <w:r>
            <w:instrText xml:space="preserve"> PAGEREF _Toc10010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_Toc12738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八、一般公共预算财政拨款基本支出决算表</w:t>
          </w:r>
          <w:r>
            <w:tab/>
          </w:r>
          <w:r>
            <w:fldChar w:fldCharType="begin"/>
          </w:r>
          <w:r>
            <w:instrText xml:space="preserve"> PAGEREF _Toc12738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_Toc28885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九、一般公共预算财政拨款项目支出决算表</w:t>
          </w:r>
          <w:r>
            <w:tab/>
          </w:r>
          <w:r>
            <w:fldChar w:fldCharType="begin"/>
          </w:r>
          <w:r>
            <w:instrText xml:space="preserve"> PAGEREF _Toc28885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_Toc4006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十、政府性基金预算财政拨款收入支出决算表</w:t>
          </w:r>
          <w:r>
            <w:tab/>
          </w:r>
          <w:r>
            <w:fldChar w:fldCharType="begin"/>
          </w:r>
          <w:r>
            <w:instrText xml:space="preserve"> PAGEREF _Toc4006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_Toc29574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十一、国有资本经营预算财政拨款收入支出决算表</w:t>
          </w:r>
          <w:r>
            <w:tab/>
          </w:r>
          <w:r>
            <w:fldChar w:fldCharType="begin"/>
          </w:r>
          <w:r>
            <w:instrText xml:space="preserve"> PAGEREF _Toc29574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_Toc18850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十二、国有资本经营预算财政拨款支出决算表</w:t>
          </w:r>
          <w:r>
            <w:tab/>
          </w:r>
          <w:r>
            <w:fldChar w:fldCharType="begin"/>
          </w:r>
          <w:r>
            <w:instrText xml:space="preserve"> PAGEREF _Toc18850 \h </w:instrText>
          </w:r>
          <w:r>
            <w:fldChar w:fldCharType="separate"/>
          </w:r>
          <w:r>
            <w:t>35</w:t>
          </w:r>
          <w:r>
            <w:fldChar w:fldCharType="end"/>
          </w:r>
          <w:r>
            <w:rPr>
              <w:rFonts w:hint="eastAsia" w:ascii="黑体" w:hAnsi="黑体" w:eastAsia="黑体"/>
            </w:rPr>
            <w:fldChar w:fldCharType="end"/>
          </w:r>
        </w:p>
        <w:p>
          <w:pPr>
            <w:pStyle w:val="37"/>
            <w:tabs>
              <w:tab w:val="right" w:leader="dot" w:pos="8306"/>
            </w:tabs>
          </w:pPr>
          <w:r>
            <w:rPr>
              <w:rFonts w:hint="eastAsia" w:ascii="黑体" w:hAnsi="黑体" w:eastAsia="黑体"/>
            </w:rPr>
            <w:fldChar w:fldCharType="begin"/>
          </w:r>
          <w:r>
            <w:rPr>
              <w:rFonts w:hint="eastAsia" w:ascii="黑体" w:hAnsi="黑体" w:eastAsia="黑体"/>
            </w:rPr>
            <w:instrText xml:space="preserve"> HYPERLINK \l _Toc14855 </w:instrText>
          </w:r>
          <w:r>
            <w:rPr>
              <w:rFonts w:hint="eastAsia" w:ascii="黑体" w:hAnsi="黑体" w:eastAsia="黑体"/>
            </w:rPr>
            <w:fldChar w:fldCharType="separate"/>
          </w:r>
          <w:r>
            <w:rPr>
              <w:rFonts w:hint="eastAsia" w:ascii="仿宋_GB2312" w:hAnsi="Times New Roman" w:eastAsia="仿宋_GB2312" w:cs="Times New Roman"/>
              <w:bCs w:val="0"/>
              <w:kern w:val="2"/>
              <w:szCs w:val="32"/>
              <w:lang w:val="zh-CN" w:eastAsia="zh-CN" w:bidi="ar-SA"/>
            </w:rPr>
            <w:t>十三、财政拨款“三公”经费支出决算表</w:t>
          </w:r>
          <w:r>
            <w:tab/>
          </w:r>
          <w:r>
            <w:fldChar w:fldCharType="begin"/>
          </w:r>
          <w:r>
            <w:instrText xml:space="preserve"> PAGEREF _Toc14855 \h </w:instrText>
          </w:r>
          <w:r>
            <w:fldChar w:fldCharType="separate"/>
          </w:r>
          <w:r>
            <w:t>35</w:t>
          </w:r>
          <w:r>
            <w:fldChar w:fldCharType="end"/>
          </w:r>
          <w:r>
            <w:rPr>
              <w:rFonts w:hint="eastAsia" w:ascii="黑体" w:hAnsi="黑体" w:eastAsia="黑体"/>
            </w:rPr>
            <w:fldChar w:fldCharType="end"/>
          </w:r>
        </w:p>
        <w:p>
          <w:pPr>
            <w:pStyle w:val="3"/>
            <w:jc w:val="both"/>
            <w:outlineLvl w:val="9"/>
            <w:rPr>
              <w:rFonts w:hint="eastAsia" w:ascii="黑体" w:hAnsi="黑体" w:eastAsia="黑体"/>
              <w:b w:val="0"/>
            </w:rPr>
          </w:pPr>
          <w:r>
            <w:rPr>
              <w:rFonts w:hint="eastAsia" w:ascii="黑体" w:hAnsi="黑体" w:eastAsia="黑体"/>
              <w:b/>
            </w:rPr>
            <w:fldChar w:fldCharType="end"/>
          </w:r>
        </w:p>
      </w:sdtContent>
    </w:sdt>
    <w:p>
      <w:pPr>
        <w:pStyle w:val="3"/>
        <w:jc w:val="center"/>
        <w:rPr>
          <w:rStyle w:val="29"/>
          <w:rFonts w:ascii="黑体" w:hAnsi="黑体" w:eastAsia="黑体"/>
          <w:b/>
          <w:bCs w:val="0"/>
        </w:rPr>
      </w:pPr>
      <w:bookmarkStart w:id="18" w:name="_Toc25825"/>
      <w:r>
        <w:rPr>
          <w:rFonts w:hint="eastAsia" w:ascii="黑体" w:hAnsi="黑体" w:eastAsia="黑体"/>
          <w:b w:val="0"/>
        </w:rPr>
        <w:t xml:space="preserve">第一部分 </w:t>
      </w:r>
      <w:r>
        <w:rPr>
          <w:rStyle w:val="29"/>
          <w:rFonts w:hint="eastAsia" w:ascii="黑体" w:hAnsi="黑体" w:eastAsia="黑体"/>
          <w:b w:val="0"/>
          <w:bCs w:val="0"/>
        </w:rPr>
        <w:t>部门概况</w:t>
      </w:r>
      <w:bookmarkEnd w:id="16"/>
      <w:bookmarkEnd w:id="17"/>
      <w:bookmarkEnd w:id="18"/>
    </w:p>
    <w:p>
      <w:pPr>
        <w:widowControl/>
        <w:jc w:val="left"/>
        <w:rPr>
          <w:rFonts w:ascii="黑体" w:eastAsia="黑体"/>
          <w:sz w:val="32"/>
          <w:szCs w:val="32"/>
        </w:rPr>
      </w:pPr>
    </w:p>
    <w:p>
      <w:pPr>
        <w:pStyle w:val="4"/>
        <w:numPr>
          <w:ilvl w:val="0"/>
          <w:numId w:val="1"/>
        </w:numPr>
        <w:rPr>
          <w:rFonts w:hint="eastAsia" w:ascii="黑体" w:hAnsi="黑体" w:eastAsia="黑体"/>
          <w:b w:val="0"/>
        </w:rPr>
      </w:pPr>
      <w:bookmarkStart w:id="19" w:name="_Toc3057"/>
      <w:r>
        <w:rPr>
          <w:rFonts w:hint="eastAsia" w:ascii="黑体" w:hAnsi="黑体" w:eastAsia="黑体"/>
          <w:b w:val="0"/>
        </w:rPr>
        <w:t>部门职责</w:t>
      </w:r>
      <w:bookmarkEnd w:id="1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（一）、主要职能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1.贯彻落实党的路线方针政策和国家法律法规以及上级的决定和命令，加强农村基层政权建设，巩固党在农村的执政基础。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2.组织编制本行政区域经济社会发展规划和乡国土空间规划、村(社区)规划等相关规划。组织农村基础设施和各项公益事业建设，实施乡村振兴战略，加快经济社会发展，改善群众生产生活环境。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3.指导农村经济发展，推进农业经济结构调整，促进经济增长方式转变，促进农业增效、农民增收。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4.加强农村公共服务体系建设，抓好基础教育、统计、科技、文化、体育、卫生健康、食品安全等工作，做好民政事务、就业培训、社会保障、劳动关系协调、民族宗教等工作，促进农村社会事业健康发展。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5.推进基层民主法制建设，加强普法依法治理，指导村(居)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民委员会工作，维护群众合法权益。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6.承担辖区平安建设、社会治安综合治理、公共安全、安全生产及应急管理等有关工作，处理群众来信来访，反映社情民意化解矛盾纠纷，维护社会安全稳定。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7.做好国防教育和兵役等工作。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8.做好生态环境保护、人居环境整治相关工作。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9.负责建立和完善权力清单、责任清单、公共服务清单动态调整和公示机制，推进政务公开，接受群众监督，增强政府公信力。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10.承担法律、法规、规章规定的其他职能，完成市委、市政府交办的其他工作。</w:t>
      </w:r>
    </w:p>
    <w:p>
      <w:pPr>
        <w:numPr>
          <w:ilvl w:val="0"/>
          <w:numId w:val="0"/>
        </w:numPr>
      </w:pPr>
    </w:p>
    <w:p>
      <w:pPr>
        <w:pStyle w:val="4"/>
        <w:rPr>
          <w:rStyle w:val="30"/>
          <w:b w:val="0"/>
          <w:bCs w:val="0"/>
        </w:rPr>
      </w:pPr>
      <w:bookmarkStart w:id="20" w:name="_Toc15377200"/>
      <w:bookmarkStart w:id="21" w:name="_Toc15396601"/>
      <w:bookmarkStart w:id="22" w:name="_Toc20338"/>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20"/>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峨眉山市龙门乡人民政府下属二级单位4个，其中行政单位1个，参照公务员法管理的事业单位0个，其他事业单位3个。分别是便民服务中心、农业综合服务中心、文化旅游服务中心。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纳入峨眉山市龙门乡人民政府2022年度部门决算编制范围的二级预算单位包括：无</w:t>
      </w:r>
      <w:r>
        <w:rPr>
          <w:rFonts w:hint="eastAsia" w:ascii="仿宋_GB2312" w:hAnsi="仿宋_GB2312" w:eastAsia="仿宋_GB2312" w:cs="仿宋_GB2312"/>
          <w:sz w:val="32"/>
          <w:szCs w:val="32"/>
          <w:lang w:val="en-US" w:eastAsia="zh-CN"/>
        </w:rPr>
        <w:br w:type="page"/>
      </w:r>
    </w:p>
    <w:p>
      <w:pPr>
        <w:pStyle w:val="3"/>
        <w:ind w:right="440"/>
        <w:jc w:val="both"/>
        <w:rPr>
          <w:rStyle w:val="29"/>
          <w:rFonts w:ascii="黑体" w:hAnsi="黑体" w:eastAsia="黑体"/>
          <w:b w:val="0"/>
          <w:bCs/>
        </w:rPr>
      </w:pPr>
      <w:bookmarkStart w:id="23" w:name="_Toc13581"/>
      <w:bookmarkStart w:id="24" w:name="_Toc15396602"/>
      <w:bookmarkStart w:id="25" w:name="_Toc15377204"/>
      <w:r>
        <w:rPr>
          <w:rFonts w:hint="eastAsia" w:ascii="黑体" w:hAnsi="黑体" w:eastAsia="黑体"/>
          <w:b w:val="0"/>
        </w:rPr>
        <w:t>第二部分 2022年度</w:t>
      </w:r>
      <w:r>
        <w:rPr>
          <w:rStyle w:val="29"/>
          <w:rFonts w:hint="eastAsia" w:ascii="黑体" w:hAnsi="黑体" w:eastAsia="黑体"/>
          <w:b w:val="0"/>
          <w:bCs/>
        </w:rPr>
        <w:t>部门决算情况说明</w:t>
      </w:r>
      <w:bookmarkEnd w:id="23"/>
      <w:bookmarkEnd w:id="24"/>
      <w:bookmarkEnd w:id="25"/>
    </w:p>
    <w:p/>
    <w:p>
      <w:pPr>
        <w:pStyle w:val="28"/>
        <w:numPr>
          <w:ilvl w:val="0"/>
          <w:numId w:val="2"/>
        </w:numPr>
        <w:spacing w:line="600" w:lineRule="exact"/>
        <w:ind w:firstLineChars="0"/>
        <w:outlineLvl w:val="1"/>
        <w:rPr>
          <w:rStyle w:val="30"/>
          <w:rFonts w:ascii="黑体" w:hAnsi="黑体" w:eastAsia="黑体"/>
          <w:b w:val="0"/>
        </w:rPr>
      </w:pPr>
      <w:bookmarkStart w:id="26" w:name="_Toc9555"/>
      <w:bookmarkStart w:id="27" w:name="_Toc15377205"/>
      <w:bookmarkStart w:id="28"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6"/>
      <w:bookmarkEnd w:id="27"/>
      <w:bookmarkEnd w:id="28"/>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2022年度收、支总计2719.02万元。与2021年相比，收入减少372.03万元，支出增加了334.95万元，收入下降了23%，支出增加了29.4%。主要变动原因是2021年收部分项目资金，2022年项目竣工后支付。</w:t>
      </w:r>
    </w:p>
    <w:p>
      <w:pPr>
        <w:pStyle w:val="14"/>
        <w:outlineLvl w:val="9"/>
        <w:rPr>
          <w:rFonts w:hint="eastAsia" w:eastAsia="仿宋"/>
          <w:lang w:eastAsia="zh-CN"/>
        </w:rPr>
      </w:pPr>
      <w:bookmarkStart w:id="29" w:name="_Toc7404"/>
      <w:bookmarkStart w:id="30" w:name="_Toc12285"/>
      <w:bookmarkStart w:id="31" w:name="_Toc23830"/>
      <w:r>
        <w:rPr>
          <w:rFonts w:hint="eastAsia" w:eastAsia="仿宋"/>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29"/>
      <w:bookmarkEnd w:id="30"/>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32" w:name="_Toc15396604"/>
      <w:bookmarkStart w:id="33" w:name="_Toc15377206"/>
      <w:bookmarkStart w:id="34" w:name="_Toc6609"/>
      <w:r>
        <w:rPr>
          <w:rFonts w:hint="eastAsia" w:ascii="黑体" w:hAnsi="黑体" w:eastAsia="黑体"/>
          <w:sz w:val="32"/>
          <w:szCs w:val="32"/>
        </w:rPr>
        <w:t>收</w:t>
      </w:r>
      <w:r>
        <w:rPr>
          <w:rStyle w:val="30"/>
          <w:rFonts w:hint="eastAsia" w:ascii="黑体" w:hAnsi="黑体" w:eastAsia="黑体"/>
          <w:b w:val="0"/>
        </w:rPr>
        <w:t>入决算情况说明</w:t>
      </w:r>
      <w:bookmarkEnd w:id="32"/>
      <w:bookmarkEnd w:id="33"/>
      <w:bookmarkEnd w:id="3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2022年本年收入合计1,246.46万元，其中：一般公共预算财政拨款收入1,009.26万元，占81%；政府性基金预算财政拨款收入233.42万元，占18.7；其他收入3.78万元，占0.3%。</w:t>
      </w:r>
    </w:p>
    <w:p>
      <w:pPr>
        <w:spacing w:line="600" w:lineRule="exact"/>
        <w:ind w:firstLine="640" w:firstLineChars="200"/>
        <w:outlineLvl w:val="9"/>
        <w:rPr>
          <w:rFonts w:ascii="仿宋" w:hAnsi="仿宋" w:eastAsia="仿宋"/>
          <w:sz w:val="32"/>
          <w:szCs w:val="32"/>
        </w:rPr>
      </w:pPr>
    </w:p>
    <w:p>
      <w:pPr>
        <w:pStyle w:val="14"/>
        <w:outlineLvl w:val="9"/>
        <w:rPr>
          <w:rFonts w:hint="eastAsia" w:eastAsia="仿宋"/>
          <w:lang w:eastAsia="zh-CN"/>
        </w:rPr>
      </w:pPr>
      <w:bookmarkStart w:id="35" w:name="_Toc9350"/>
      <w:bookmarkStart w:id="36" w:name="_Toc321"/>
      <w:bookmarkStart w:id="37" w:name="_Toc29058"/>
      <w:r>
        <w:rPr>
          <w:rFonts w:hint="eastAsia" w:eastAsia="仿宋"/>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35"/>
      <w:bookmarkEnd w:id="36"/>
      <w:bookmarkEnd w:id="37"/>
    </w:p>
    <w:p>
      <w:pPr>
        <w:spacing w:line="600" w:lineRule="exact"/>
        <w:ind w:firstLine="1600" w:firstLineChars="5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8"/>
        <w:numPr>
          <w:ilvl w:val="0"/>
          <w:numId w:val="2"/>
        </w:numPr>
        <w:spacing w:line="600" w:lineRule="exact"/>
        <w:ind w:firstLineChars="0"/>
        <w:outlineLvl w:val="1"/>
        <w:rPr>
          <w:rStyle w:val="30"/>
          <w:rFonts w:ascii="黑体" w:hAnsi="黑体" w:eastAsia="黑体"/>
          <w:b w:val="0"/>
        </w:rPr>
      </w:pPr>
      <w:bookmarkStart w:id="38" w:name="_Toc15377207"/>
      <w:bookmarkStart w:id="39" w:name="_Toc15396605"/>
      <w:bookmarkStart w:id="40" w:name="_Toc21767"/>
      <w:r>
        <w:rPr>
          <w:rFonts w:hint="eastAsia" w:ascii="黑体" w:hAnsi="黑体" w:eastAsia="黑体"/>
          <w:sz w:val="32"/>
          <w:szCs w:val="32"/>
        </w:rPr>
        <w:t>支</w:t>
      </w:r>
      <w:r>
        <w:rPr>
          <w:rStyle w:val="30"/>
          <w:rFonts w:hint="eastAsia" w:ascii="黑体" w:hAnsi="黑体" w:eastAsia="黑体"/>
          <w:b w:val="0"/>
        </w:rPr>
        <w:t>出决算情况说明</w:t>
      </w:r>
      <w:bookmarkEnd w:id="38"/>
      <w:bookmarkEnd w:id="39"/>
      <w:bookmarkEnd w:id="4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2022年本年支出合计1472.56万元，其中：基本支出655.98万元，占44.5%；项目支出816.58万元，占55.5%。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14"/>
        <w:outlineLvl w:val="9"/>
      </w:pPr>
      <w:bookmarkStart w:id="41" w:name="_Toc28606"/>
      <w:bookmarkStart w:id="42" w:name="_Toc5273"/>
      <w:bookmarkStart w:id="43" w:name="_Toc3623"/>
      <w:r>
        <w:rPr>
          <w:rFonts w:hint="eastAsia" w:eastAsia="仿宋"/>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41"/>
      <w:bookmarkEnd w:id="42"/>
      <w:bookmarkEnd w:id="43"/>
    </w:p>
    <w:p>
      <w:pPr>
        <w:spacing w:line="600" w:lineRule="exact"/>
        <w:ind w:firstLine="1280" w:firstLineChars="4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ascii="黑体" w:hAnsi="黑体" w:eastAsia="黑体"/>
          <w:b w:val="0"/>
        </w:rPr>
      </w:pPr>
      <w:bookmarkStart w:id="44" w:name="_Toc15396606"/>
      <w:bookmarkStart w:id="45" w:name="_Toc3426"/>
      <w:bookmarkStart w:id="46"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44"/>
      <w:bookmarkEnd w:id="45"/>
      <w:bookmarkEnd w:id="4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2022年度收、支总计2714.37万元。与2021年相比，收入减少375.81万元，支出增加了334.08万元，收入下降了23.22%，支出增加了29.37%。主要变动原因是2021年收部分项目资金，2022年项目竣工后支付。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pStyle w:val="14"/>
        <w:outlineLvl w:val="9"/>
      </w:pPr>
      <w:bookmarkStart w:id="47" w:name="_Toc27717"/>
      <w:bookmarkStart w:id="48" w:name="_Toc29948"/>
      <w:bookmarkStart w:id="49" w:name="_Toc30733"/>
      <w:r>
        <w:rPr>
          <w:rFonts w:hint="eastAsia" w:eastAsia="仿宋"/>
          <w:lang w:eastAsia="zh-CN"/>
        </w:rPr>
        <w:drawing>
          <wp:inline distT="0" distB="0" distL="114300" distR="114300">
            <wp:extent cx="5080000" cy="38100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47"/>
      <w:bookmarkEnd w:id="48"/>
      <w:bookmarkEnd w:id="49"/>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50" w:name="_Toc15396607"/>
      <w:bookmarkStart w:id="51" w:name="_Toc1643"/>
      <w:bookmarkStart w:id="52"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50"/>
      <w:bookmarkEnd w:id="51"/>
      <w:bookmarkEnd w:id="52"/>
    </w:p>
    <w:p>
      <w:pPr>
        <w:spacing w:line="600" w:lineRule="exact"/>
        <w:ind w:firstLine="643" w:firstLineChars="200"/>
        <w:outlineLvl w:val="2"/>
        <w:rPr>
          <w:rFonts w:ascii="仿宋" w:hAnsi="仿宋" w:eastAsia="仿宋"/>
          <w:b/>
          <w:sz w:val="32"/>
          <w:szCs w:val="32"/>
        </w:rPr>
      </w:pPr>
      <w:bookmarkStart w:id="53" w:name="_Toc15377210"/>
      <w:r>
        <w:rPr>
          <w:rFonts w:hint="eastAsia" w:ascii="仿宋" w:hAnsi="仿宋" w:eastAsia="仿宋"/>
          <w:b/>
          <w:sz w:val="32"/>
          <w:szCs w:val="32"/>
        </w:rPr>
        <w:t>（一）一般公共预算财政拨款支出决算总体情况</w:t>
      </w:r>
      <w:bookmarkEnd w:id="53"/>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2022年一般公共预算财政拨款支出1238.26万元，占本年支出合计的84.1%。与2021年相比，一般公共预算财政拨款支出增加274.5万元，增长28.5%。主要变动原因是项目工作经费增加，部分项目竣工后已验收支付。</w:t>
      </w:r>
    </w:p>
    <w:p>
      <w:pPr>
        <w:pStyle w:val="14"/>
        <w:outlineLvl w:val="9"/>
        <w:rPr>
          <w:rFonts w:hint="eastAsia"/>
          <w:lang w:eastAsia="zh-CN"/>
        </w:rPr>
      </w:pPr>
      <w:bookmarkStart w:id="54" w:name="_Toc15403"/>
      <w:bookmarkStart w:id="55" w:name="_Toc6628"/>
      <w:r>
        <w:rPr>
          <w:rFonts w:hint="eastAsia" w:eastAsia="仿宋"/>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End w:id="54"/>
      <w:bookmarkEnd w:id="55"/>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56" w:name="_Toc15377211"/>
      <w:r>
        <w:rPr>
          <w:rFonts w:hint="eastAsia" w:ascii="仿宋" w:hAnsi="仿宋" w:eastAsia="仿宋"/>
          <w:b/>
          <w:sz w:val="32"/>
          <w:szCs w:val="32"/>
        </w:rPr>
        <w:t>（二）一般公共预算财政拨款支出决算结构情况</w:t>
      </w:r>
      <w:bookmarkEnd w:id="56"/>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57" w:name="_Toc4221"/>
      <w:bookmarkStart w:id="58" w:name="_Toc26284"/>
      <w:r>
        <w:rPr>
          <w:rFonts w:hint="eastAsia" w:ascii="仿宋_GB2312" w:hAnsi="仿宋_GB2312" w:eastAsia="仿宋_GB2312" w:cs="仿宋_GB2312"/>
          <w:b w:val="0"/>
          <w:bCs w:val="0"/>
          <w:kern w:val="2"/>
          <w:sz w:val="32"/>
          <w:szCs w:val="32"/>
          <w:lang w:val="en-US" w:eastAsia="zh-CN" w:bidi="ar-SA"/>
        </w:rPr>
        <w:t>2022年一般公共预算财政拨款支出1238.26万元，主要用于以下方面:一般公共服务支出348.8万元，占28.2%；社会保障和就业支出61.85万元，占5%；卫生健康支出13.81万元，占1%；住房保障支出45.82万元，占3.7%；城乡社区支出29.48万元，占2.3%；农林水支出738.5万元，占60%。</w:t>
      </w:r>
      <w:bookmarkEnd w:id="57"/>
      <w:bookmarkEnd w:id="58"/>
    </w:p>
    <w:p>
      <w:pPr>
        <w:spacing w:line="600" w:lineRule="exact"/>
        <w:ind w:firstLine="640"/>
        <w:rPr>
          <w:rFonts w:ascii="仿宋" w:hAnsi="仿宋" w:eastAsia="仿宋"/>
          <w:sz w:val="32"/>
          <w:szCs w:val="32"/>
        </w:rPr>
      </w:pPr>
    </w:p>
    <w:p>
      <w:pPr>
        <w:pStyle w:val="2"/>
      </w:pPr>
      <w:r>
        <w:rPr>
          <w:rFonts w:hint="eastAsia" w:eastAsia="仿宋"/>
          <w:lang w:eastAsia="zh-CN"/>
        </w:rPr>
        <w:drawing>
          <wp:inline distT="0" distB="0" distL="114300" distR="114300">
            <wp:extent cx="5080000" cy="3810000"/>
            <wp:effectExtent l="4445" t="4445" r="20955" b="1460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w:t>
      </w:r>
      <w:r>
        <w:rPr>
          <w:rFonts w:hint="eastAsia" w:ascii="仿宋" w:hAnsi="仿宋" w:eastAsia="仿宋"/>
          <w:sz w:val="32"/>
          <w:szCs w:val="32"/>
          <w:lang w:eastAsia="zh-CN"/>
        </w:rPr>
        <w:t>图</w:t>
      </w:r>
      <w:r>
        <w:rPr>
          <w:rFonts w:hint="eastAsia" w:ascii="仿宋" w:hAnsi="仿宋" w:eastAsia="仿宋"/>
          <w:sz w:val="32"/>
          <w:szCs w:val="32"/>
        </w:rPr>
        <w:t>）（饼状图）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59" w:name="_Toc15377212"/>
      <w:r>
        <w:rPr>
          <w:rFonts w:hint="eastAsia" w:ascii="仿宋" w:hAnsi="仿宋" w:eastAsia="仿宋"/>
          <w:b/>
          <w:sz w:val="32"/>
          <w:szCs w:val="32"/>
        </w:rPr>
        <w:t>（三）一般公共预算财政拨款支出决算具体情况</w:t>
      </w:r>
      <w:bookmarkEnd w:id="59"/>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60" w:name="_Toc15377213"/>
      <w:bookmarkStart w:id="61" w:name="_Toc15378460"/>
      <w:bookmarkStart w:id="62" w:name="_Toc15377444"/>
      <w:bookmarkStart w:id="63" w:name="_Toc3058"/>
      <w:bookmarkStart w:id="64" w:name="_Toc25064"/>
      <w:r>
        <w:rPr>
          <w:rFonts w:hint="eastAsia" w:ascii="仿宋_GB2312" w:hAnsi="仿宋_GB2312" w:eastAsia="仿宋_GB2312" w:cs="仿宋_GB2312"/>
          <w:b w:val="0"/>
          <w:bCs w:val="0"/>
          <w:kern w:val="2"/>
          <w:sz w:val="32"/>
          <w:szCs w:val="32"/>
          <w:lang w:val="en-US" w:eastAsia="zh-CN" w:bidi="ar-SA"/>
        </w:rPr>
        <w:t>2022年一般公共预算支出决算数为1238.26万元，完成预算100%。其中：</w:t>
      </w:r>
      <w:bookmarkEnd w:id="60"/>
      <w:bookmarkEnd w:id="61"/>
      <w:bookmarkEnd w:id="62"/>
      <w:bookmarkEnd w:id="63"/>
      <w:bookmarkEnd w:id="64"/>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65" w:name="_Toc23726"/>
      <w:bookmarkStart w:id="66" w:name="_Toc9706"/>
      <w:r>
        <w:rPr>
          <w:rFonts w:hint="eastAsia" w:ascii="仿宋_GB2312" w:hAnsi="仿宋_GB2312" w:eastAsia="仿宋_GB2312" w:cs="仿宋_GB2312"/>
          <w:b w:val="0"/>
          <w:bCs w:val="0"/>
          <w:kern w:val="2"/>
          <w:sz w:val="32"/>
          <w:szCs w:val="32"/>
          <w:lang w:val="en-US" w:eastAsia="zh-CN" w:bidi="ar-SA"/>
        </w:rPr>
        <w:t>一般公共服务（类）政府办公厅（室）及相关机构事务（款）行政运行（项）: 支出决算为348.50万元，完成预算100%。</w:t>
      </w:r>
      <w:bookmarkEnd w:id="65"/>
      <w:bookmarkEnd w:id="66"/>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67" w:name="_Toc16583"/>
      <w:bookmarkStart w:id="68" w:name="_Toc26996"/>
      <w:r>
        <w:rPr>
          <w:rFonts w:hint="eastAsia" w:ascii="仿宋_GB2312" w:hAnsi="仿宋_GB2312" w:eastAsia="仿宋_GB2312" w:cs="仿宋_GB2312"/>
          <w:b w:val="0"/>
          <w:bCs w:val="0"/>
          <w:kern w:val="2"/>
          <w:sz w:val="32"/>
          <w:szCs w:val="32"/>
          <w:lang w:val="en-US" w:eastAsia="zh-CN" w:bidi="ar-SA"/>
        </w:rPr>
        <w:t>2.一般公共服务（类）政府办公厅（室）及相关机构事务（款）  其他政府办公厅（室）及相关机构事务支出（项）: 支出决算为0.3万元，完成预算100%。</w:t>
      </w:r>
      <w:bookmarkEnd w:id="67"/>
      <w:bookmarkEnd w:id="68"/>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69" w:name="_Toc22150"/>
      <w:bookmarkStart w:id="70" w:name="_Toc7694"/>
      <w:r>
        <w:rPr>
          <w:rFonts w:hint="eastAsia" w:ascii="仿宋_GB2312" w:hAnsi="仿宋_GB2312" w:eastAsia="仿宋_GB2312" w:cs="仿宋_GB2312"/>
          <w:b w:val="0"/>
          <w:bCs w:val="0"/>
          <w:kern w:val="2"/>
          <w:sz w:val="32"/>
          <w:szCs w:val="32"/>
          <w:lang w:val="en-US" w:eastAsia="zh-CN" w:bidi="ar-SA"/>
        </w:rPr>
        <w:t>6.社会保障和就业（类）行政事业单位养老支出（款）机关事业单位基本养老保险缴费支出（项）: 支出决算为32.32万元，完成预算100%。</w:t>
      </w:r>
      <w:bookmarkEnd w:id="69"/>
      <w:bookmarkEnd w:id="70"/>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71" w:name="_Toc16472"/>
      <w:bookmarkStart w:id="72" w:name="_Toc14537"/>
      <w:r>
        <w:rPr>
          <w:rFonts w:hint="eastAsia" w:ascii="仿宋_GB2312" w:hAnsi="仿宋_GB2312" w:eastAsia="仿宋_GB2312" w:cs="仿宋_GB2312"/>
          <w:b w:val="0"/>
          <w:bCs w:val="0"/>
          <w:kern w:val="2"/>
          <w:sz w:val="32"/>
          <w:szCs w:val="32"/>
          <w:lang w:val="en-US" w:eastAsia="zh-CN" w:bidi="ar-SA"/>
        </w:rPr>
        <w:t>7.社会保障和就业（类）行政事业单位养老支出（款） 机关事业单位职业年金缴费支出（项）: 支出决算为16.16万元，完成预算100%。</w:t>
      </w:r>
      <w:bookmarkEnd w:id="71"/>
      <w:bookmarkEnd w:id="72"/>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73" w:name="_Toc28193"/>
      <w:bookmarkStart w:id="74" w:name="_Toc23663"/>
      <w:r>
        <w:rPr>
          <w:rFonts w:hint="eastAsia" w:ascii="仿宋_GB2312" w:hAnsi="仿宋_GB2312" w:eastAsia="仿宋_GB2312" w:cs="仿宋_GB2312"/>
          <w:b w:val="0"/>
          <w:bCs w:val="0"/>
          <w:kern w:val="2"/>
          <w:sz w:val="32"/>
          <w:szCs w:val="32"/>
          <w:lang w:val="en-US" w:eastAsia="zh-CN" w:bidi="ar-SA"/>
        </w:rPr>
        <w:t>8.社会保障和就业（类）抚恤（款） 其他优抚支出（项）: 支出决算为3.38万元，完成预算100%。</w:t>
      </w:r>
      <w:bookmarkEnd w:id="73"/>
      <w:bookmarkEnd w:id="74"/>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75" w:name="_Toc7610"/>
      <w:bookmarkStart w:id="76" w:name="_Toc32171"/>
      <w:r>
        <w:rPr>
          <w:rFonts w:hint="eastAsia" w:ascii="仿宋_GB2312" w:hAnsi="仿宋_GB2312" w:eastAsia="仿宋_GB2312" w:cs="仿宋_GB2312"/>
          <w:b w:val="0"/>
          <w:bCs w:val="0"/>
          <w:kern w:val="2"/>
          <w:sz w:val="32"/>
          <w:szCs w:val="32"/>
          <w:lang w:val="en-US" w:eastAsia="zh-CN" w:bidi="ar-SA"/>
        </w:rPr>
        <w:t>9.社会保障和就业（类）其他社会保障和就业支出（款） 其他社会保障和就业支出（项）: 支出决算为3.6万元，完成预算100%。</w:t>
      </w:r>
      <w:bookmarkEnd w:id="75"/>
      <w:bookmarkEnd w:id="76"/>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77" w:name="_Toc13317"/>
      <w:bookmarkStart w:id="78" w:name="_Toc32351"/>
      <w:r>
        <w:rPr>
          <w:rFonts w:hint="eastAsia" w:ascii="仿宋_GB2312" w:hAnsi="仿宋_GB2312" w:eastAsia="仿宋_GB2312" w:cs="仿宋_GB2312"/>
          <w:b w:val="0"/>
          <w:bCs w:val="0"/>
          <w:kern w:val="2"/>
          <w:sz w:val="32"/>
          <w:szCs w:val="32"/>
          <w:lang w:val="en-US" w:eastAsia="zh-CN" w:bidi="ar-SA"/>
        </w:rPr>
        <w:t>卫生健康支出（类）行政事业单位医疗（款）行政单位医疗（项）:支出决算为13.81万元，完成预算100%。</w:t>
      </w:r>
      <w:bookmarkEnd w:id="77"/>
      <w:bookmarkEnd w:id="78"/>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79" w:name="_Toc21007"/>
      <w:bookmarkStart w:id="80" w:name="_Toc29757"/>
      <w:r>
        <w:rPr>
          <w:rFonts w:hint="eastAsia" w:ascii="仿宋_GB2312" w:hAnsi="仿宋_GB2312" w:eastAsia="仿宋_GB2312" w:cs="仿宋_GB2312"/>
          <w:b w:val="0"/>
          <w:bCs w:val="0"/>
          <w:kern w:val="2"/>
          <w:sz w:val="32"/>
          <w:szCs w:val="32"/>
          <w:lang w:val="en-US" w:eastAsia="zh-CN" w:bidi="ar-SA"/>
        </w:rPr>
        <w:t>城乡社区支出（类）城乡社区环境卫生（款）城乡社区环境卫生（项）:支出决算为29.48万元，完成预算100%。</w:t>
      </w:r>
      <w:bookmarkEnd w:id="79"/>
      <w:bookmarkEnd w:id="80"/>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81" w:name="_Toc9370"/>
      <w:bookmarkStart w:id="82" w:name="_Toc31525"/>
      <w:r>
        <w:rPr>
          <w:rFonts w:hint="eastAsia" w:ascii="仿宋_GB2312" w:hAnsi="仿宋_GB2312" w:eastAsia="仿宋_GB2312" w:cs="仿宋_GB2312"/>
          <w:b w:val="0"/>
          <w:bCs w:val="0"/>
          <w:kern w:val="2"/>
          <w:sz w:val="32"/>
          <w:szCs w:val="32"/>
          <w:lang w:val="en-US" w:eastAsia="zh-CN" w:bidi="ar-SA"/>
        </w:rPr>
        <w:t>农林水支出（类）农业农村（款）事业运行（项）:支出决算为194.49万元，完成预算100%。</w:t>
      </w:r>
      <w:bookmarkEnd w:id="81"/>
      <w:bookmarkEnd w:id="82"/>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83" w:name="_Toc30895"/>
      <w:bookmarkStart w:id="84" w:name="_Toc31633"/>
      <w:r>
        <w:rPr>
          <w:rFonts w:hint="eastAsia" w:ascii="仿宋_GB2312" w:hAnsi="仿宋_GB2312" w:eastAsia="仿宋_GB2312" w:cs="仿宋_GB2312"/>
          <w:b w:val="0"/>
          <w:bCs w:val="0"/>
          <w:kern w:val="2"/>
          <w:sz w:val="32"/>
          <w:szCs w:val="32"/>
          <w:lang w:val="en-US" w:eastAsia="zh-CN" w:bidi="ar-SA"/>
        </w:rPr>
        <w:t>15.农林水支出（类）农业农村（款）其他农业农村支出（项）:支出决算为50.12万元，完成预算100%。</w:t>
      </w:r>
      <w:bookmarkEnd w:id="83"/>
      <w:bookmarkEnd w:id="84"/>
    </w:p>
    <w:p>
      <w:pPr>
        <w:pStyle w:val="14"/>
        <w:keepNext w:val="0"/>
        <w:keepLines w:val="0"/>
        <w:pageBreakBefore w:val="0"/>
        <w:kinsoku/>
        <w:wordWrap/>
        <w:overflowPunct/>
        <w:topLinePunct w:val="0"/>
        <w:bidi w:val="0"/>
        <w:spacing w:line="600"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bookmarkStart w:id="85" w:name="_Toc25663"/>
      <w:bookmarkStart w:id="86" w:name="_Toc3793"/>
      <w:r>
        <w:rPr>
          <w:rFonts w:hint="eastAsia" w:ascii="仿宋_GB2312" w:hAnsi="仿宋_GB2312" w:eastAsia="仿宋_GB2312" w:cs="仿宋_GB2312"/>
          <w:b w:val="0"/>
          <w:bCs w:val="0"/>
          <w:kern w:val="2"/>
          <w:sz w:val="32"/>
          <w:szCs w:val="32"/>
          <w:lang w:val="en-US" w:eastAsia="zh-CN" w:bidi="ar-SA"/>
        </w:rPr>
        <w:t>17.农林水支出（类）农村综合改革（款）对村民委员会和村党支部的补助（项）:支出决算为288.89万元，完成预算100%。</w:t>
      </w:r>
      <w:bookmarkEnd w:id="85"/>
      <w:bookmarkEnd w:id="86"/>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87" w:name="_Toc18773"/>
      <w:bookmarkStart w:id="88" w:name="_Toc23480"/>
      <w:r>
        <w:rPr>
          <w:rFonts w:hint="eastAsia" w:ascii="仿宋_GB2312" w:hAnsi="仿宋_GB2312" w:eastAsia="仿宋_GB2312" w:cs="仿宋_GB2312"/>
          <w:b w:val="0"/>
          <w:bCs w:val="0"/>
          <w:kern w:val="2"/>
          <w:sz w:val="32"/>
          <w:szCs w:val="32"/>
          <w:lang w:val="en-US" w:eastAsia="zh-CN" w:bidi="ar-SA"/>
        </w:rPr>
        <w:t>18.农林水支出（类）农村综合改革（款）对村集体经济组织的补助（项）:支出决算为9.54万元，完成预算100%。</w:t>
      </w:r>
      <w:bookmarkEnd w:id="87"/>
      <w:bookmarkEnd w:id="88"/>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89" w:name="_Toc17715"/>
      <w:bookmarkStart w:id="90" w:name="_Toc21634"/>
      <w:r>
        <w:rPr>
          <w:rFonts w:hint="eastAsia" w:ascii="仿宋_GB2312" w:hAnsi="仿宋_GB2312" w:eastAsia="仿宋_GB2312" w:cs="仿宋_GB2312"/>
          <w:b w:val="0"/>
          <w:bCs w:val="0"/>
          <w:kern w:val="2"/>
          <w:sz w:val="32"/>
          <w:szCs w:val="32"/>
          <w:lang w:val="en-US" w:eastAsia="zh-CN" w:bidi="ar-SA"/>
        </w:rPr>
        <w:t>农林水支出（类）农村综合改革（款</w:t>
      </w:r>
      <w:r>
        <w:rPr>
          <w:rFonts w:hint="default"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w:t>
      </w:r>
      <w:r>
        <w:rPr>
          <w:rFonts w:hint="default" w:ascii="仿宋_GB2312" w:hAnsi="仿宋_GB2312" w:eastAsia="仿宋_GB2312" w:cs="仿宋_GB2312"/>
          <w:b w:val="0"/>
          <w:bCs w:val="0"/>
          <w:kern w:val="2"/>
          <w:sz w:val="32"/>
          <w:szCs w:val="32"/>
          <w:lang w:val="en-US" w:eastAsia="zh-CN" w:bidi="ar-SA"/>
        </w:rPr>
        <w:t xml:space="preserve"> 其他农村综合改革支出</w:t>
      </w:r>
      <w:r>
        <w:rPr>
          <w:rFonts w:hint="eastAsia" w:ascii="仿宋_GB2312" w:hAnsi="仿宋_GB2312" w:eastAsia="仿宋_GB2312" w:cs="仿宋_GB2312"/>
          <w:b w:val="0"/>
          <w:bCs w:val="0"/>
          <w:kern w:val="2"/>
          <w:sz w:val="32"/>
          <w:szCs w:val="32"/>
          <w:lang w:val="en-US" w:eastAsia="zh-CN" w:bidi="ar-SA"/>
        </w:rPr>
        <w:t>（项）:支出决算为2.46万元，完成预算100%。</w:t>
      </w:r>
      <w:bookmarkEnd w:id="89"/>
      <w:bookmarkEnd w:id="90"/>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91" w:name="_Toc10477"/>
      <w:bookmarkStart w:id="92" w:name="_Toc12634"/>
      <w:r>
        <w:rPr>
          <w:rFonts w:hint="eastAsia" w:ascii="仿宋_GB2312" w:hAnsi="仿宋_GB2312" w:eastAsia="仿宋_GB2312" w:cs="仿宋_GB2312"/>
          <w:b w:val="0"/>
          <w:bCs w:val="0"/>
          <w:kern w:val="2"/>
          <w:sz w:val="32"/>
          <w:szCs w:val="32"/>
          <w:lang w:val="en-US" w:eastAsia="zh-CN" w:bidi="ar-SA"/>
        </w:rPr>
        <w:t>农林水支出（类）其他农林水支出（款</w:t>
      </w:r>
      <w:r>
        <w:rPr>
          <w:rFonts w:hint="default" w:ascii="仿宋_GB2312" w:hAnsi="仿宋_GB2312" w:eastAsia="仿宋_GB2312" w:cs="仿宋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 其他农林水支出（项）：支出决算为193万元，完成预算100%。</w:t>
      </w:r>
      <w:bookmarkEnd w:id="91"/>
      <w:bookmarkEnd w:id="92"/>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93" w:name="_Toc11695"/>
      <w:bookmarkStart w:id="94" w:name="_Toc21531"/>
      <w:r>
        <w:rPr>
          <w:rFonts w:hint="eastAsia" w:ascii="仿宋_GB2312" w:hAnsi="仿宋_GB2312" w:eastAsia="仿宋_GB2312" w:cs="仿宋_GB2312"/>
          <w:b w:val="0"/>
          <w:bCs w:val="0"/>
          <w:kern w:val="2"/>
          <w:sz w:val="32"/>
          <w:szCs w:val="32"/>
          <w:lang w:val="en-US" w:eastAsia="zh-CN" w:bidi="ar-SA"/>
        </w:rPr>
        <w:t>19.住房保障支出（类）住房改革支出（款）住房公积金（项）:支出决算为45.82万元，完成预算100%。</w:t>
      </w:r>
      <w:bookmarkEnd w:id="93"/>
      <w:bookmarkEnd w:id="94"/>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0"/>
        </w:rPr>
      </w:pPr>
      <w:bookmarkStart w:id="95" w:name="_Toc15396608"/>
      <w:bookmarkStart w:id="96" w:name="_Toc15377214"/>
      <w:bookmarkStart w:id="97" w:name="_Toc2128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95"/>
      <w:bookmarkEnd w:id="96"/>
      <w:bookmarkEnd w:id="97"/>
      <w:r>
        <w:rPr>
          <w:rStyle w:val="30"/>
          <w:rFonts w:ascii="黑体" w:hAnsi="黑体" w:eastAsia="黑体"/>
          <w:b w:val="0"/>
        </w:rPr>
        <w:tab/>
      </w:r>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98" w:name="_Toc26593"/>
      <w:bookmarkStart w:id="99" w:name="_Toc9859"/>
      <w:r>
        <w:rPr>
          <w:rFonts w:hint="eastAsia" w:ascii="仿宋_GB2312" w:hAnsi="仿宋_GB2312" w:eastAsia="仿宋_GB2312" w:cs="仿宋_GB2312"/>
          <w:b w:val="0"/>
          <w:bCs w:val="0"/>
          <w:kern w:val="2"/>
          <w:sz w:val="32"/>
          <w:szCs w:val="32"/>
          <w:lang w:val="en-US" w:eastAsia="zh-CN" w:bidi="ar-SA"/>
        </w:rPr>
        <w:t>2022年一般公共预算财政拨款基本支出655.97万元，其中：</w:t>
      </w:r>
      <w:bookmarkEnd w:id="98"/>
      <w:bookmarkEnd w:id="99"/>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100" w:name="_Toc6686"/>
      <w:bookmarkStart w:id="101" w:name="_Toc26521"/>
      <w:r>
        <w:rPr>
          <w:rFonts w:hint="eastAsia" w:ascii="仿宋_GB2312" w:hAnsi="仿宋_GB2312" w:eastAsia="仿宋_GB2312" w:cs="仿宋_GB2312"/>
          <w:b w:val="0"/>
          <w:bCs w:val="0"/>
          <w:kern w:val="2"/>
          <w:sz w:val="32"/>
          <w:szCs w:val="32"/>
          <w:lang w:val="en-US" w:eastAsia="zh-CN" w:bidi="ar-SA"/>
        </w:rPr>
        <w:t>人员经费523.46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bookmarkEnd w:id="100"/>
      <w:bookmarkEnd w:id="101"/>
    </w:p>
    <w:p>
      <w:pPr>
        <w:pStyle w:val="14"/>
        <w:keepNext w:val="0"/>
        <w:keepLines w:val="0"/>
        <w:pageBreakBefore w:val="0"/>
        <w:kinsoku/>
        <w:wordWrap/>
        <w:overflowPunct/>
        <w:topLinePunct w:val="0"/>
        <w:bidi w:val="0"/>
        <w:spacing w:line="600"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102" w:name="_Toc29353"/>
      <w:bookmarkStart w:id="103" w:name="_Toc11479"/>
      <w:r>
        <w:rPr>
          <w:rFonts w:hint="eastAsia" w:ascii="仿宋_GB2312" w:hAnsi="仿宋_GB2312" w:eastAsia="仿宋_GB2312" w:cs="仿宋_GB2312"/>
          <w:b w:val="0"/>
          <w:bCs w:val="0"/>
          <w:kern w:val="2"/>
          <w:sz w:val="32"/>
          <w:szCs w:val="32"/>
          <w:lang w:val="en-US" w:eastAsia="zh-CN" w:bidi="ar-SA"/>
        </w:rPr>
        <w:t>公用经费123.51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End w:id="102"/>
      <w:bookmarkEnd w:id="103"/>
    </w:p>
    <w:p>
      <w:pPr>
        <w:spacing w:line="600" w:lineRule="exact"/>
        <w:ind w:firstLine="640"/>
        <w:rPr>
          <w:rFonts w:ascii="仿宋" w:hAnsi="仿宋" w:eastAsia="仿宋"/>
          <w:b/>
          <w:sz w:val="32"/>
          <w:szCs w:val="32"/>
        </w:rPr>
      </w:pPr>
    </w:p>
    <w:p>
      <w:pPr>
        <w:spacing w:line="600" w:lineRule="exact"/>
        <w:ind w:firstLine="640"/>
        <w:outlineLvl w:val="1"/>
        <w:rPr>
          <w:rStyle w:val="30"/>
          <w:rFonts w:ascii="黑体" w:hAnsi="黑体" w:eastAsia="黑体"/>
          <w:b w:val="0"/>
        </w:rPr>
      </w:pPr>
      <w:bookmarkStart w:id="104" w:name="_Toc15396609"/>
      <w:bookmarkStart w:id="105" w:name="_Toc15377215"/>
      <w:bookmarkStart w:id="106" w:name="_Toc21968"/>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104"/>
      <w:bookmarkEnd w:id="105"/>
      <w:bookmarkEnd w:id="106"/>
    </w:p>
    <w:p>
      <w:pPr>
        <w:spacing w:line="600" w:lineRule="exact"/>
        <w:ind w:firstLine="640"/>
        <w:outlineLvl w:val="2"/>
        <w:rPr>
          <w:rFonts w:ascii="仿宋" w:hAnsi="仿宋" w:eastAsia="仿宋"/>
          <w:b/>
          <w:sz w:val="32"/>
          <w:szCs w:val="32"/>
        </w:rPr>
      </w:pPr>
      <w:bookmarkStart w:id="107" w:name="_Toc15377216"/>
      <w:r>
        <w:rPr>
          <w:rFonts w:hint="eastAsia" w:ascii="仿宋" w:hAnsi="仿宋" w:eastAsia="仿宋"/>
          <w:b/>
          <w:sz w:val="32"/>
          <w:szCs w:val="32"/>
        </w:rPr>
        <w:t>（一）“三公”经费财政拨款支出决算总体情况说明</w:t>
      </w:r>
      <w:bookmarkEnd w:id="107"/>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三公”经费财政拨款支出决算为11.94万元，完成预算86.5%，较上年减少11.27万元，下降48.6%。决算数小于预算数的主要原因是我乡继续认真贯彻落实中央八项规定及省委省政府十项规定要求，厉行节约，加强“三公”经费管理，并且在2021年购置了一台公务用车。</w:t>
      </w:r>
    </w:p>
    <w:p>
      <w:pPr>
        <w:spacing w:line="600" w:lineRule="exact"/>
        <w:ind w:firstLine="640"/>
        <w:outlineLvl w:val="2"/>
        <w:rPr>
          <w:rFonts w:ascii="仿宋" w:hAnsi="仿宋" w:eastAsia="仿宋"/>
          <w:b/>
          <w:sz w:val="32"/>
          <w:szCs w:val="32"/>
        </w:rPr>
      </w:pPr>
      <w:bookmarkStart w:id="108" w:name="_Toc15377217"/>
      <w:r>
        <w:rPr>
          <w:rFonts w:hint="eastAsia" w:ascii="仿宋" w:hAnsi="仿宋" w:eastAsia="仿宋"/>
          <w:b/>
          <w:sz w:val="32"/>
          <w:szCs w:val="32"/>
        </w:rPr>
        <w:t>（二）“三公”经费财政拨款支出决算具体情况说明</w:t>
      </w:r>
      <w:bookmarkEnd w:id="108"/>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2022年“三公”经费财政拨款支出决算中，因公出国（境）费支出决算0万元，占0%；公务用车购置及运行维护费支出决算11.94万元，占100%；公务接待费支出决算0万元，占0%。具体情况如下：</w:t>
      </w:r>
    </w:p>
    <w:p>
      <w:pPr>
        <w:pStyle w:val="6"/>
        <w:rPr>
          <w:rFonts w:hint="eastAsia" w:ascii="仿宋" w:hAnsi="仿宋" w:eastAsia="仿宋"/>
          <w:sz w:val="32"/>
          <w:szCs w:val="32"/>
        </w:rPr>
      </w:pPr>
      <w:r>
        <w:rPr>
          <w:rFonts w:hint="eastAsia"/>
          <w:sz w:val="32"/>
          <w:lang w:val="en-US" w:eastAsia="zh-CN"/>
        </w:rPr>
        <w:t xml:space="preserve">    </w:t>
      </w:r>
      <w:r>
        <w:rPr>
          <w:sz w:val="32"/>
        </w:rPr>
        <w:drawing>
          <wp:inline distT="0" distB="0" distL="114300" distR="114300">
            <wp:extent cx="4584065" cy="2755265"/>
            <wp:effectExtent l="0" t="0" r="6985" b="6985"/>
            <wp:docPr id="26" name="图片 26" descr="三公经费财政拨款支出结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三公经费财政拨款支出结构"/>
                    <pic:cNvPicPr>
                      <a:picLocks noChangeAspect="1"/>
                    </pic:cNvPicPr>
                  </pic:nvPicPr>
                  <pic:blipFill>
                    <a:blip r:embed="rId12"/>
                    <a:stretch>
                      <a:fillRect/>
                    </a:stretch>
                  </pic:blipFill>
                  <pic:spPr>
                    <a:xfrm>
                      <a:off x="1143000" y="5547995"/>
                      <a:ext cx="4584065" cy="2755265"/>
                    </a:xfrm>
                    <a:prstGeom prst="rect">
                      <a:avLst/>
                    </a:prstGeom>
                  </pic:spPr>
                </pic:pic>
              </a:graphicData>
            </a:graphic>
          </wp:inline>
        </w:drawing>
      </w:r>
    </w:p>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keepNext w:val="0"/>
        <w:keepLines w:val="0"/>
        <w:pageBreakBefore w:val="0"/>
        <w:numPr>
          <w:ilvl w:val="0"/>
          <w:numId w:val="3"/>
        </w:numPr>
        <w:kinsoku/>
        <w:wordWrap/>
        <w:overflowPunct/>
        <w:topLinePunct w:val="0"/>
        <w:bidi w:val="0"/>
        <w:spacing w:line="600" w:lineRule="exact"/>
        <w:ind w:firstLine="64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因公出国（境）经费支出</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%。全年安排因公出国（境）团组</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次，出国（境）</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人。因公出国（境）支出决算</w:t>
      </w:r>
      <w:r>
        <w:rPr>
          <w:rFonts w:hint="eastAsia" w:ascii="仿宋_GB2312" w:hAnsi="Times New Roman" w:eastAsia="仿宋_GB2312" w:cs="Times New Roman"/>
          <w:sz w:val="32"/>
          <w:szCs w:val="32"/>
          <w:lang w:eastAsia="zh-CN"/>
        </w:rPr>
        <w:t>与</w:t>
      </w:r>
      <w:r>
        <w:rPr>
          <w:rFonts w:hint="eastAsia" w:ascii="仿宋_GB2312" w:hAnsi="Times New Roman" w:eastAsia="仿宋_GB2312" w:cs="Times New Roman"/>
          <w:sz w:val="32"/>
          <w:szCs w:val="32"/>
        </w:rPr>
        <w:t>202</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持平</w:t>
      </w:r>
      <w:r>
        <w:rPr>
          <w:rFonts w:hint="eastAsia" w:ascii="仿宋_GB2312" w:hAnsi="Times New Roman" w:eastAsia="仿宋_GB2312" w:cs="Times New Roman"/>
          <w:sz w:val="32"/>
          <w:szCs w:val="32"/>
        </w:rPr>
        <w:t>。</w:t>
      </w:r>
    </w:p>
    <w:p>
      <w:pPr>
        <w:keepNext w:val="0"/>
        <w:keepLines w:val="0"/>
        <w:pageBreakBefore w:val="0"/>
        <w:numPr>
          <w:ilvl w:val="0"/>
          <w:numId w:val="0"/>
        </w:numPr>
        <w:kinsoku/>
        <w:wordWrap/>
        <w:overflowPunct/>
        <w:topLinePunct w:val="0"/>
        <w:bidi w:val="0"/>
        <w:spacing w:line="600" w:lineRule="exact"/>
        <w:ind w:firstLine="640" w:firstLineChars="200"/>
        <w:textAlignment w:val="auto"/>
        <w:rPr>
          <w:rFonts w:ascii="仿宋_GB2312" w:eastAsia="仿宋_GB2312"/>
          <w:b/>
          <w:sz w:val="32"/>
          <w:szCs w:val="32"/>
        </w:rPr>
      </w:pPr>
      <w:r>
        <w:rPr>
          <w:rFonts w:hint="eastAsia" w:ascii="仿宋_GB2312" w:hAnsi="Times New Roman" w:eastAsia="仿宋_GB2312" w:cs="Times New Roman"/>
          <w:sz w:val="32"/>
          <w:szCs w:val="32"/>
        </w:rPr>
        <w:t>2.公务用车购置及运行维护费支出</w:t>
      </w:r>
      <w:r>
        <w:rPr>
          <w:rFonts w:hint="eastAsia" w:ascii="仿宋_GB2312" w:hAnsi="Times New Roman" w:eastAsia="仿宋_GB2312" w:cs="Times New Roman"/>
          <w:sz w:val="32"/>
          <w:szCs w:val="32"/>
          <w:lang w:val="en-US" w:eastAsia="zh-CN"/>
        </w:rPr>
        <w:t>11.94</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val="en-US" w:eastAsia="zh-CN"/>
        </w:rPr>
        <w:t>86.5</w:t>
      </w:r>
      <w:r>
        <w:rPr>
          <w:rFonts w:hint="eastAsia" w:ascii="仿宋_GB2312" w:hAnsi="Times New Roman" w:eastAsia="仿宋_GB2312" w:cs="Times New Roman"/>
          <w:sz w:val="32"/>
          <w:szCs w:val="32"/>
        </w:rPr>
        <w:t>%。公务用</w:t>
      </w:r>
      <w:r>
        <w:rPr>
          <w:rFonts w:hint="eastAsia" w:ascii="仿宋_GB2312" w:eastAsia="仿宋_GB2312"/>
          <w:sz w:val="32"/>
          <w:szCs w:val="32"/>
        </w:rPr>
        <w:t>车购置及运行维护费支出决算比</w:t>
      </w:r>
      <w:r>
        <w:rPr>
          <w:rFonts w:ascii="仿宋_GB2312" w:eastAsia="仿宋_GB2312"/>
          <w:sz w:val="32"/>
          <w:szCs w:val="32"/>
        </w:rPr>
        <w:t>20</w:t>
      </w:r>
      <w:r>
        <w:rPr>
          <w:rFonts w:hint="eastAsia" w:ascii="仿宋_GB2312" w:eastAsia="仿宋_GB2312"/>
          <w:sz w:val="32"/>
          <w:szCs w:val="32"/>
        </w:rPr>
        <w:t>21年</w:t>
      </w:r>
      <w:r>
        <w:rPr>
          <w:rFonts w:hint="eastAsia" w:ascii="仿宋" w:hAnsi="仿宋" w:eastAsia="仿宋"/>
          <w:sz w:val="32"/>
          <w:szCs w:val="32"/>
        </w:rPr>
        <w:t>减少</w:t>
      </w:r>
      <w:r>
        <w:rPr>
          <w:rFonts w:hint="eastAsia" w:ascii="仿宋" w:hAnsi="仿宋" w:eastAsia="仿宋"/>
          <w:sz w:val="32"/>
          <w:szCs w:val="32"/>
          <w:lang w:val="en-US" w:eastAsia="zh-CN"/>
        </w:rPr>
        <w:t>11.27</w:t>
      </w:r>
      <w:r>
        <w:rPr>
          <w:rFonts w:hint="eastAsia" w:ascii="仿宋" w:hAnsi="仿宋" w:eastAsia="仿宋"/>
          <w:sz w:val="32"/>
          <w:szCs w:val="32"/>
        </w:rPr>
        <w:t>万元，下降</w:t>
      </w:r>
      <w:r>
        <w:rPr>
          <w:rFonts w:hint="eastAsia" w:ascii="仿宋" w:hAnsi="仿宋" w:eastAsia="仿宋"/>
          <w:sz w:val="32"/>
          <w:szCs w:val="32"/>
          <w:lang w:val="en-US" w:eastAsia="zh-CN"/>
        </w:rPr>
        <w:t>48.6</w:t>
      </w:r>
      <w:r>
        <w:rPr>
          <w:rFonts w:hint="eastAsia" w:ascii="仿宋" w:hAnsi="仿宋" w:eastAsia="仿宋"/>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我单位厉行节约</w:t>
      </w:r>
      <w:r>
        <w:rPr>
          <w:rFonts w:hint="eastAsia" w:ascii="仿宋_GB2312" w:eastAsia="仿宋_GB2312"/>
          <w:sz w:val="32"/>
          <w:szCs w:val="32"/>
        </w:rPr>
        <w:t>。</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eastAsia="仿宋_GB2312"/>
          <w:sz w:val="32"/>
          <w:szCs w:val="32"/>
        </w:rPr>
        <w:t>其中：</w:t>
      </w:r>
      <w:r>
        <w:rPr>
          <w:rFonts w:hint="eastAsia" w:ascii="仿宋_GB2312" w:hAnsi="Times New Roman" w:eastAsia="仿宋_GB2312" w:cs="Times New Roman"/>
          <w:sz w:val="32"/>
          <w:szCs w:val="32"/>
        </w:rPr>
        <w:t>公务用车购置支出</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万元。全年按规定更新购置公务用车</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辆，其中：轿车</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辆、金额</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万元，越野车</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辆、金额</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万元，载客汽车</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辆、金额</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万元，主要用于…。截至2022年12月底，单位共有公务用车</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辆，其中：轿车</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辆、越野车</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辆、载客汽车</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辆。</w:t>
      </w:r>
    </w:p>
    <w:p>
      <w:pPr>
        <w:spacing w:line="600" w:lineRule="exact"/>
        <w:ind w:firstLine="640"/>
        <w:rPr>
          <w:rFonts w:ascii="仿宋_GB2312" w:eastAsia="仿宋_GB2312"/>
          <w:sz w:val="32"/>
          <w:szCs w:val="32"/>
        </w:rPr>
      </w:pPr>
      <w:r>
        <w:rPr>
          <w:rFonts w:hint="eastAsia" w:ascii="仿宋_GB2312" w:hAnsi="Times New Roman" w:eastAsia="仿宋_GB2312" w:cs="Times New Roman"/>
          <w:sz w:val="32"/>
          <w:szCs w:val="32"/>
        </w:rPr>
        <w:t>公务用车运行维护费支出</w:t>
      </w:r>
      <w:r>
        <w:rPr>
          <w:rFonts w:hint="eastAsia" w:ascii="仿宋_GB2312" w:hAnsi="Times New Roman" w:eastAsia="仿宋_GB2312" w:cs="Times New Roman"/>
          <w:sz w:val="32"/>
          <w:szCs w:val="32"/>
          <w:lang w:val="en-US" w:eastAsia="zh-CN"/>
        </w:rPr>
        <w:t>11.94</w:t>
      </w:r>
      <w:r>
        <w:rPr>
          <w:rFonts w:hint="eastAsia" w:ascii="仿宋_GB2312" w:hAnsi="Times New Roman" w:eastAsia="仿宋_GB2312" w:cs="Times New Roman"/>
          <w:sz w:val="32"/>
          <w:szCs w:val="32"/>
        </w:rPr>
        <w:t>万元。主要用于环境整治工作、</w:t>
      </w:r>
      <w:r>
        <w:rPr>
          <w:rFonts w:hint="eastAsia" w:ascii="仿宋_GB2312" w:hAnsi="Times New Roman" w:eastAsia="仿宋_GB2312" w:cs="Times New Roman"/>
          <w:sz w:val="32"/>
          <w:szCs w:val="32"/>
          <w:lang w:eastAsia="zh-CN"/>
        </w:rPr>
        <w:t>安全排查</w:t>
      </w:r>
      <w:r>
        <w:rPr>
          <w:rFonts w:hint="eastAsia" w:ascii="仿宋_GB2312" w:hAnsi="Times New Roman" w:eastAsia="仿宋_GB2312" w:cs="Times New Roman"/>
          <w:sz w:val="32"/>
          <w:szCs w:val="32"/>
        </w:rPr>
        <w:t>、河长制巡查</w:t>
      </w:r>
      <w:r>
        <w:rPr>
          <w:rFonts w:hint="eastAsia" w:ascii="仿宋_GB2312" w:hAnsi="Times New Roman" w:eastAsia="仿宋_GB2312" w:cs="Times New Roman"/>
          <w:sz w:val="32"/>
          <w:szCs w:val="32"/>
          <w:lang w:eastAsia="zh-CN"/>
        </w:rPr>
        <w:t>、精准扶贫、乡村振兴工作</w:t>
      </w:r>
      <w:r>
        <w:rPr>
          <w:rFonts w:hint="eastAsia" w:ascii="仿宋_GB2312" w:hAnsi="Times New Roman" w:eastAsia="仿宋_GB2312" w:cs="Times New Roman"/>
          <w:sz w:val="32"/>
          <w:szCs w:val="32"/>
        </w:rPr>
        <w:t>（具体工作）等所需的公务用车燃料费、维修费、过路过</w:t>
      </w:r>
      <w:r>
        <w:rPr>
          <w:rFonts w:hint="eastAsia" w:ascii="仿宋_GB2312" w:eastAsia="仿宋_GB2312"/>
          <w:sz w:val="32"/>
          <w:szCs w:val="32"/>
        </w:rPr>
        <w:t>桥费、保险费等支出。</w:t>
      </w:r>
    </w:p>
    <w:p>
      <w:pPr>
        <w:spacing w:line="60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公务接待费支出</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万元，完成预算</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%。公务接待费支出决算与2021年持平。</w:t>
      </w:r>
    </w:p>
    <w:p>
      <w:pPr>
        <w:spacing w:line="600" w:lineRule="exact"/>
        <w:ind w:firstLine="640"/>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国内公务接待支出</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万元，国内公务接待</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批次，</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人次（不包括陪同人员），共计支出</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eastAsia="zh-CN"/>
        </w:rPr>
        <w:t>。</w:t>
      </w:r>
    </w:p>
    <w:p>
      <w:pPr>
        <w:spacing w:line="60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外事接待支出</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万元，外事接待</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批次，</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人次（不包括陪同人员），共计支出</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w:t>
      </w:r>
    </w:p>
    <w:p>
      <w:pPr>
        <w:spacing w:line="600" w:lineRule="exact"/>
        <w:ind w:firstLine="640"/>
        <w:outlineLvl w:val="9"/>
        <w:rPr>
          <w:rFonts w:ascii="黑体" w:eastAsia="黑体"/>
          <w:sz w:val="32"/>
          <w:szCs w:val="32"/>
        </w:rPr>
      </w:pPr>
      <w:bookmarkStart w:id="109" w:name="_Toc15396610"/>
      <w:bookmarkStart w:id="110" w:name="_Toc15377218"/>
    </w:p>
    <w:p>
      <w:pPr>
        <w:spacing w:line="600" w:lineRule="exact"/>
        <w:ind w:firstLine="640"/>
        <w:outlineLvl w:val="1"/>
        <w:rPr>
          <w:rStyle w:val="30"/>
          <w:rFonts w:ascii="黑体" w:hAnsi="黑体" w:eastAsia="黑体"/>
        </w:rPr>
      </w:pPr>
      <w:bookmarkStart w:id="111" w:name="_Toc31289"/>
      <w:r>
        <w:rPr>
          <w:rFonts w:hint="eastAsia" w:ascii="黑体" w:eastAsia="黑体"/>
          <w:sz w:val="32"/>
          <w:szCs w:val="32"/>
        </w:rPr>
        <w:t>八、</w:t>
      </w:r>
      <w:r>
        <w:rPr>
          <w:rStyle w:val="30"/>
          <w:rFonts w:hint="eastAsia" w:ascii="黑体" w:hAnsi="黑体" w:eastAsia="黑体"/>
          <w:b w:val="0"/>
        </w:rPr>
        <w:t>政府性基金预算支出决算情况说明</w:t>
      </w:r>
      <w:bookmarkEnd w:id="109"/>
      <w:bookmarkEnd w:id="110"/>
      <w:bookmarkEnd w:id="111"/>
    </w:p>
    <w:p>
      <w:pPr>
        <w:spacing w:line="600" w:lineRule="exact"/>
        <w:ind w:firstLine="640"/>
        <w:rPr>
          <w:rFonts w:ascii="仿宋_GB2312" w:eastAsia="仿宋_GB2312"/>
          <w:sz w:val="32"/>
          <w:szCs w:val="32"/>
        </w:rPr>
      </w:pPr>
      <w:r>
        <w:rPr>
          <w:rFonts w:hint="eastAsia" w:ascii="仿宋_GB2312" w:hAnsi="Times New Roman" w:eastAsia="仿宋_GB2312" w:cs="Times New Roman"/>
          <w:sz w:val="32"/>
          <w:szCs w:val="32"/>
        </w:rPr>
        <w:t>2022年政府性基金预算财政拨款支出233.42万元</w:t>
      </w:r>
      <w:r>
        <w:rPr>
          <w:rFonts w:hint="eastAsia" w:ascii="仿宋_GB2312" w:eastAsia="仿宋_GB2312"/>
          <w:sz w:val="32"/>
          <w:szCs w:val="32"/>
        </w:rPr>
        <w:t>。</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30"/>
          <w:rFonts w:ascii="黑体" w:hAnsi="黑体" w:eastAsia="黑体"/>
          <w:b w:val="0"/>
        </w:rPr>
      </w:pPr>
      <w:bookmarkStart w:id="112" w:name="_Toc15377219"/>
      <w:bookmarkStart w:id="113" w:name="_Toc15396611"/>
      <w:bookmarkStart w:id="114" w:name="_Toc21168"/>
      <w:r>
        <w:rPr>
          <w:rStyle w:val="30"/>
          <w:rFonts w:hint="eastAsia" w:ascii="黑体" w:hAnsi="黑体" w:eastAsia="黑体"/>
          <w:b w:val="0"/>
        </w:rPr>
        <w:t>国有资本经营预算支出决算情况说明</w:t>
      </w:r>
      <w:bookmarkEnd w:id="112"/>
      <w:bookmarkEnd w:id="113"/>
      <w:bookmarkEnd w:id="114"/>
    </w:p>
    <w:p>
      <w:pPr>
        <w:spacing w:line="600" w:lineRule="exact"/>
        <w:ind w:firstLine="64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2022年国有资本经营预算财政拨款支出</w:t>
      </w:r>
      <w:r>
        <w:rPr>
          <w:rFonts w:hint="eastAsia" w:ascii="仿宋_GB2312" w:hAnsi="Times New Roman" w:eastAsia="仿宋_GB2312" w:cs="Times New Roman"/>
          <w:sz w:val="32"/>
          <w:szCs w:val="32"/>
          <w:lang w:eastAsia="zh-CN"/>
        </w:rPr>
        <w:t>0</w:t>
      </w:r>
      <w:r>
        <w:rPr>
          <w:rFonts w:hint="eastAsia" w:ascii="仿宋_GB2312" w:hAnsi="Times New Roman" w:eastAsia="仿宋_GB2312" w:cs="Times New Roman"/>
          <w:sz w:val="32"/>
          <w:szCs w:val="32"/>
        </w:rPr>
        <w:t>万元。</w:t>
      </w:r>
    </w:p>
    <w:p>
      <w:pPr>
        <w:spacing w:line="600" w:lineRule="exact"/>
        <w:ind w:firstLine="640"/>
        <w:rPr>
          <w:rFonts w:hint="eastAsia" w:ascii="仿宋_GB2312" w:hAnsi="Times New Roman" w:eastAsia="仿宋_GB2312" w:cs="Times New Roman"/>
          <w:sz w:val="32"/>
          <w:szCs w:val="32"/>
        </w:rPr>
      </w:pPr>
    </w:p>
    <w:p>
      <w:pPr>
        <w:numPr>
          <w:ilvl w:val="0"/>
          <w:numId w:val="4"/>
        </w:numPr>
        <w:spacing w:line="600" w:lineRule="exact"/>
        <w:ind w:firstLine="640"/>
        <w:outlineLvl w:val="1"/>
        <w:rPr>
          <w:rStyle w:val="30"/>
          <w:rFonts w:ascii="黑体" w:hAnsi="黑体" w:eastAsia="黑体"/>
          <w:b w:val="0"/>
        </w:rPr>
      </w:pPr>
      <w:bookmarkStart w:id="115" w:name="_Toc15377221"/>
      <w:bookmarkStart w:id="116" w:name="_Toc15396612"/>
      <w:bookmarkStart w:id="117" w:name="_Toc19752"/>
      <w:r>
        <w:rPr>
          <w:rStyle w:val="30"/>
          <w:rFonts w:hint="eastAsia" w:ascii="黑体" w:hAnsi="黑体" w:eastAsia="黑体"/>
          <w:b w:val="0"/>
        </w:rPr>
        <w:t>其他重要事项的情况说明</w:t>
      </w:r>
      <w:bookmarkEnd w:id="115"/>
      <w:bookmarkEnd w:id="116"/>
      <w:bookmarkEnd w:id="117"/>
    </w:p>
    <w:p>
      <w:pPr>
        <w:spacing w:line="600" w:lineRule="exact"/>
        <w:ind w:firstLine="643" w:firstLineChars="200"/>
        <w:outlineLvl w:val="2"/>
        <w:rPr>
          <w:rFonts w:ascii="仿宋" w:hAnsi="仿宋" w:eastAsia="仿宋"/>
          <w:sz w:val="32"/>
          <w:szCs w:val="32"/>
        </w:rPr>
      </w:pPr>
      <w:bookmarkStart w:id="118" w:name="_Toc15377222"/>
      <w:r>
        <w:rPr>
          <w:rFonts w:hint="eastAsia" w:ascii="仿宋" w:hAnsi="仿宋" w:eastAsia="仿宋"/>
          <w:b/>
          <w:sz w:val="32"/>
          <w:szCs w:val="32"/>
        </w:rPr>
        <w:t>（一）机关运行经费支出情况</w:t>
      </w:r>
      <w:bookmarkEnd w:id="11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峨眉山市龙门乡人民政府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123.5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hint="eastAsia" w:ascii="仿宋_GB2312" w:eastAsia="仿宋_GB2312"/>
          <w:sz w:val="32"/>
          <w:szCs w:val="32"/>
          <w:lang w:val="en-US" w:eastAsia="zh-CN"/>
        </w:rPr>
        <w:t>42.65</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52.7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人员增加</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19" w:name="_Toc15377223"/>
      <w:r>
        <w:rPr>
          <w:rFonts w:hint="eastAsia" w:ascii="仿宋" w:hAnsi="仿宋" w:eastAsia="仿宋"/>
          <w:b/>
          <w:sz w:val="32"/>
          <w:szCs w:val="32"/>
        </w:rPr>
        <w:t>（二）政府采购支出情况</w:t>
      </w:r>
      <w:bookmarkEnd w:id="11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峨眉山市龙门乡人民</w:t>
      </w:r>
      <w:r>
        <w:rPr>
          <w:rFonts w:hint="eastAsia" w:ascii="仿宋_GB2312" w:eastAsia="仿宋_GB2312"/>
          <w:sz w:val="32"/>
          <w:szCs w:val="32"/>
        </w:rPr>
        <w:t>政府采购支出总额</w:t>
      </w:r>
      <w:r>
        <w:rPr>
          <w:rFonts w:hint="eastAsia" w:ascii="仿宋_GB2312" w:eastAsia="仿宋_GB2312"/>
          <w:sz w:val="32"/>
          <w:szCs w:val="32"/>
          <w:lang w:eastAsia="zh-CN"/>
        </w:rPr>
        <w:t>0</w:t>
      </w:r>
      <w:r>
        <w:rPr>
          <w:rFonts w:hint="eastAsia" w:ascii="仿宋_GB2312" w:eastAsia="仿宋_GB2312"/>
          <w:sz w:val="32"/>
          <w:szCs w:val="32"/>
        </w:rPr>
        <w:t>万元，其中：政府采购货物支出</w:t>
      </w:r>
      <w:r>
        <w:rPr>
          <w:rFonts w:hint="eastAsia" w:ascii="仿宋_GB2312" w:eastAsia="仿宋_GB2312"/>
          <w:sz w:val="32"/>
          <w:szCs w:val="32"/>
          <w:lang w:eastAsia="zh-CN"/>
        </w:rPr>
        <w:t>0</w:t>
      </w:r>
      <w:r>
        <w:rPr>
          <w:rFonts w:hint="eastAsia" w:ascii="仿宋_GB2312" w:eastAsia="仿宋_GB2312"/>
          <w:sz w:val="32"/>
          <w:szCs w:val="32"/>
        </w:rPr>
        <w:t>万元、政府采购工程支出</w:t>
      </w:r>
      <w:r>
        <w:rPr>
          <w:rFonts w:hint="eastAsia" w:ascii="仿宋_GB2312" w:eastAsia="仿宋_GB2312"/>
          <w:sz w:val="32"/>
          <w:szCs w:val="32"/>
          <w:lang w:eastAsia="zh-CN"/>
        </w:rPr>
        <w:t>0</w:t>
      </w:r>
      <w:r>
        <w:rPr>
          <w:rFonts w:hint="eastAsia" w:ascii="仿宋_GB2312" w:eastAsia="仿宋_GB2312"/>
          <w:sz w:val="32"/>
          <w:szCs w:val="32"/>
        </w:rPr>
        <w:t>万元、政府采购服务支出</w:t>
      </w:r>
      <w:r>
        <w:rPr>
          <w:rFonts w:hint="eastAsia" w:ascii="仿宋_GB2312" w:eastAsia="仿宋_GB2312"/>
          <w:sz w:val="32"/>
          <w:szCs w:val="32"/>
          <w:lang w:eastAsia="zh-CN"/>
        </w:rPr>
        <w:t>0</w:t>
      </w:r>
      <w:r>
        <w:rPr>
          <w:rFonts w:hint="eastAsia" w:ascii="仿宋_GB2312" w:eastAsia="仿宋_GB2312"/>
          <w:sz w:val="32"/>
          <w:szCs w:val="32"/>
        </w:rPr>
        <w:t>万元。授予中小企业合同金额</w:t>
      </w:r>
      <w:r>
        <w:rPr>
          <w:rFonts w:hint="eastAsia" w:ascii="仿宋_GB2312" w:eastAsia="仿宋_GB2312"/>
          <w:sz w:val="32"/>
          <w:szCs w:val="32"/>
          <w:lang w:eastAsia="zh-CN"/>
        </w:rPr>
        <w:t>0</w:t>
      </w:r>
      <w:r>
        <w:rPr>
          <w:rFonts w:hint="eastAsia" w:ascii="仿宋_GB2312" w:eastAsia="仿宋_GB2312"/>
          <w:sz w:val="32"/>
          <w:szCs w:val="32"/>
        </w:rPr>
        <w:t>万元，占政府采购支出总额的</w:t>
      </w:r>
      <w:r>
        <w:rPr>
          <w:rFonts w:hint="eastAsia" w:ascii="仿宋_GB2312" w:eastAsia="仿宋_GB2312"/>
          <w:sz w:val="32"/>
          <w:szCs w:val="32"/>
          <w:lang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eastAsia="zh-CN"/>
        </w:rPr>
        <w:t>0</w:t>
      </w:r>
      <w:r>
        <w:rPr>
          <w:rFonts w:hint="eastAsia" w:ascii="仿宋_GB2312" w:eastAsia="仿宋_GB2312"/>
          <w:sz w:val="32"/>
          <w:szCs w:val="32"/>
        </w:rPr>
        <w:t>万元，占政府采购支出总额的</w:t>
      </w:r>
      <w:r>
        <w:rPr>
          <w:rFonts w:hint="eastAsia" w:ascii="仿宋_GB2312" w:eastAsia="仿宋_GB2312"/>
          <w:sz w:val="32"/>
          <w:szCs w:val="32"/>
          <w:lang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120" w:name="_Toc15377224"/>
      <w:r>
        <w:rPr>
          <w:rFonts w:hint="eastAsia" w:ascii="仿宋" w:hAnsi="仿宋" w:eastAsia="仿宋"/>
          <w:b/>
          <w:sz w:val="32"/>
          <w:szCs w:val="32"/>
        </w:rPr>
        <w:t>（三）国有资产占有使用情况</w:t>
      </w:r>
      <w:bookmarkEnd w:id="120"/>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峨眉山市龙门乡人民政府</w:t>
      </w:r>
      <w:r>
        <w:rPr>
          <w:rFonts w:hint="eastAsia" w:ascii="仿宋_GB2312" w:eastAsia="仿宋_GB2312"/>
          <w:sz w:val="32"/>
          <w:szCs w:val="32"/>
        </w:rPr>
        <w:t>共有车辆</w:t>
      </w:r>
      <w:r>
        <w:rPr>
          <w:rFonts w:hint="eastAsia" w:ascii="仿宋_GB2312" w:eastAsia="仿宋_GB2312"/>
          <w:sz w:val="32"/>
          <w:szCs w:val="32"/>
          <w:lang w:val="en-US" w:eastAsia="zh-CN"/>
        </w:rPr>
        <w:t>3</w:t>
      </w:r>
      <w:r>
        <w:rPr>
          <w:rFonts w:hint="eastAsia" w:ascii="仿宋_GB2312" w:eastAsia="仿宋_GB2312"/>
          <w:sz w:val="32"/>
          <w:szCs w:val="32"/>
        </w:rPr>
        <w:t>辆，其中：主要领导干部用车</w:t>
      </w:r>
      <w:r>
        <w:rPr>
          <w:rFonts w:hint="eastAsia" w:ascii="仿宋_GB2312" w:eastAsia="仿宋_GB2312"/>
          <w:sz w:val="32"/>
          <w:szCs w:val="32"/>
          <w:lang w:eastAsia="zh-CN"/>
        </w:rPr>
        <w:t>0</w:t>
      </w:r>
      <w:r>
        <w:rPr>
          <w:rFonts w:hint="eastAsia" w:ascii="仿宋_GB2312" w:eastAsia="仿宋_GB2312"/>
          <w:sz w:val="32"/>
          <w:szCs w:val="32"/>
        </w:rPr>
        <w:t>辆、机要通信用车</w:t>
      </w:r>
      <w:r>
        <w:rPr>
          <w:rFonts w:hint="eastAsia" w:ascii="仿宋_GB2312" w:eastAsia="仿宋_GB2312"/>
          <w:sz w:val="32"/>
          <w:szCs w:val="32"/>
          <w:lang w:eastAsia="zh-CN"/>
        </w:rPr>
        <w:t>0</w:t>
      </w:r>
      <w:r>
        <w:rPr>
          <w:rFonts w:hint="eastAsia" w:ascii="仿宋_GB2312" w:eastAsia="仿宋_GB2312"/>
          <w:sz w:val="32"/>
          <w:szCs w:val="32"/>
        </w:rPr>
        <w:t>辆、应急保障用车</w:t>
      </w:r>
      <w:r>
        <w:rPr>
          <w:rFonts w:hint="eastAsia" w:ascii="仿宋_GB2312" w:eastAsia="仿宋_GB2312"/>
          <w:sz w:val="32"/>
          <w:szCs w:val="32"/>
          <w:lang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辆，其他用车主要是用于森林防灭火、疫情防控、环境卫生整治、精准扶贫、秸杆禁烧巡查、维稳、社会治安巡逻、农业技术推广等工作所需的公务用车燃料费、维修费、过路过桥费、保险费等支出。单价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根据预算绩效管理要求，本部门在2022年度预算编制阶段，组织对公务交通补贴（行政）</w:t>
      </w:r>
      <w:r>
        <w:rPr>
          <w:rFonts w:hint="eastAsia" w:ascii="仿宋_GB2312" w:hAnsi="Times New Roman" w:eastAsia="仿宋_GB2312" w:cs="Times New Roman"/>
          <w:sz w:val="32"/>
          <w:szCs w:val="32"/>
          <w:lang w:eastAsia="zh-CN"/>
        </w:rPr>
        <w:t>、离退休人员活动费、村办公经费</w:t>
      </w:r>
      <w:r>
        <w:rPr>
          <w:rFonts w:hint="eastAsia" w:ascii="仿宋_GB2312" w:hAnsi="Times New Roman" w:eastAsia="仿宋_GB2312" w:cs="Times New Roman"/>
          <w:sz w:val="32"/>
          <w:szCs w:val="32"/>
        </w:rPr>
        <w:t>项目等</w:t>
      </w:r>
      <w:r>
        <w:rPr>
          <w:rFonts w:hint="eastAsia" w:ascii="仿宋_GB2312" w:hAnsi="Times New Roman" w:eastAsia="仿宋_GB2312" w:cs="Times New Roman"/>
          <w:sz w:val="32"/>
          <w:szCs w:val="32"/>
          <w:lang w:val="en-US" w:eastAsia="zh-CN"/>
        </w:rPr>
        <w:t>22</w:t>
      </w:r>
      <w:r>
        <w:rPr>
          <w:rFonts w:hint="eastAsia" w:ascii="仿宋_GB2312" w:hAnsi="Times New Roman" w:eastAsia="仿宋_GB2312" w:cs="Times New Roman"/>
          <w:sz w:val="32"/>
          <w:szCs w:val="32"/>
        </w:rPr>
        <w:t>个项目开展了预算事前绩效评估，对</w:t>
      </w:r>
      <w:r>
        <w:rPr>
          <w:rFonts w:hint="eastAsia" w:ascii="仿宋_GB2312" w:hAnsi="Times New Roman" w:eastAsia="仿宋_GB2312" w:cs="Times New Roman"/>
          <w:sz w:val="32"/>
          <w:szCs w:val="32"/>
          <w:lang w:val="en-US" w:eastAsia="zh-CN"/>
        </w:rPr>
        <w:t>22</w:t>
      </w:r>
      <w:r>
        <w:rPr>
          <w:rFonts w:hint="eastAsia" w:ascii="仿宋_GB2312" w:hAnsi="Times New Roman" w:eastAsia="仿宋_GB2312" w:cs="Times New Roman"/>
          <w:sz w:val="32"/>
          <w:szCs w:val="32"/>
        </w:rPr>
        <w:t>个项目编制了绩效目标，预算执行过程中，选取</w:t>
      </w:r>
      <w:r>
        <w:rPr>
          <w:rFonts w:hint="eastAsia" w:ascii="仿宋_GB2312" w:hAnsi="Times New Roman" w:eastAsia="仿宋_GB2312" w:cs="Times New Roman"/>
          <w:sz w:val="32"/>
          <w:szCs w:val="32"/>
          <w:lang w:val="en-US" w:eastAsia="zh-CN"/>
        </w:rPr>
        <w:t>22</w:t>
      </w:r>
      <w:r>
        <w:rPr>
          <w:rFonts w:hint="eastAsia" w:ascii="仿宋_GB2312" w:hAnsi="Times New Roman" w:eastAsia="仿宋_GB2312" w:cs="Times New Roman"/>
          <w:sz w:val="32"/>
          <w:szCs w:val="32"/>
        </w:rPr>
        <w:t>个项目开展绩效监控。</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组织对2022年度一般公共预算、政府性基金预算、国有资本经营预算、社会保险基金预算以及资本资产、债券资金等全面开展绩效自评，形成</w:t>
      </w:r>
      <w:r>
        <w:rPr>
          <w:rFonts w:hint="eastAsia" w:ascii="仿宋_GB2312" w:hAnsi="Times New Roman" w:eastAsia="仿宋_GB2312" w:cs="Times New Roman"/>
          <w:sz w:val="32"/>
          <w:szCs w:val="32"/>
          <w:lang w:eastAsia="zh-CN"/>
        </w:rPr>
        <w:t>龙门乡</w:t>
      </w:r>
      <w:r>
        <w:rPr>
          <w:rFonts w:hint="eastAsia" w:ascii="仿宋_GB2312" w:hAnsi="Times New Roman" w:eastAsia="仿宋_GB2312" w:cs="Times New Roman"/>
          <w:sz w:val="32"/>
          <w:szCs w:val="32"/>
        </w:rPr>
        <w:t>部门整体（含部门预算项目）绩效自评报告、</w:t>
      </w:r>
      <w:r>
        <w:rPr>
          <w:rFonts w:hint="eastAsia" w:ascii="仿宋_GB2312" w:hAnsi="Times New Roman" w:eastAsia="仿宋_GB2312" w:cs="Times New Roman"/>
          <w:sz w:val="32"/>
          <w:szCs w:val="32"/>
          <w:lang w:eastAsia="zh-CN"/>
        </w:rPr>
        <w:t>龙门乡</w:t>
      </w:r>
      <w:r>
        <w:rPr>
          <w:rFonts w:hint="eastAsia" w:ascii="仿宋_GB2312" w:hAnsi="Times New Roman" w:eastAsia="仿宋_GB2312" w:cs="Times New Roman"/>
          <w:sz w:val="32"/>
          <w:szCs w:val="32"/>
        </w:rPr>
        <w:t>等专项预算项目绩效自评报告，其中，</w:t>
      </w:r>
      <w:r>
        <w:rPr>
          <w:rFonts w:hint="eastAsia" w:ascii="仿宋_GB2312" w:hAnsi="Times New Roman" w:eastAsia="仿宋_GB2312" w:cs="Times New Roman"/>
          <w:sz w:val="32"/>
          <w:szCs w:val="32"/>
          <w:lang w:eastAsia="zh-CN"/>
        </w:rPr>
        <w:t>龙门乡</w:t>
      </w:r>
      <w:r>
        <w:rPr>
          <w:rFonts w:hint="eastAsia" w:ascii="仿宋_GB2312" w:hAnsi="Times New Roman" w:eastAsia="仿宋_GB2312" w:cs="Times New Roman"/>
          <w:sz w:val="32"/>
          <w:szCs w:val="32"/>
        </w:rPr>
        <w:t>部门整体（含部门预算项目）绩效自评得分为</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分，绩效自评综述：</w:t>
      </w:r>
      <w:r>
        <w:rPr>
          <w:rFonts w:hint="eastAsia" w:ascii="仿宋_GB2312" w:hAnsi="Times New Roman" w:eastAsia="仿宋_GB2312" w:cs="Times New Roman"/>
          <w:sz w:val="32"/>
          <w:szCs w:val="32"/>
          <w:lang w:val="en-US" w:eastAsia="zh-CN"/>
        </w:rPr>
        <w:t>2022年，我单位严格按照相关政策，提高预算编制质量，严格执行预算，保障相关资金足额及时发放，保障全乡日常工作的开展，促进乡村振兴，提高群众生活质量</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同时，本部门对202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年部门整体开展绩效自评，《202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龙门乡</w:t>
      </w:r>
      <w:r>
        <w:rPr>
          <w:rFonts w:hint="eastAsia" w:ascii="仿宋_GB2312" w:hAnsi="Times New Roman" w:eastAsia="仿宋_GB2312" w:cs="Times New Roman"/>
          <w:sz w:val="32"/>
          <w:szCs w:val="32"/>
        </w:rPr>
        <w:t>部门整体绩效评价报告》见附件（第四部分）。</w:t>
      </w:r>
    </w:p>
    <w:p>
      <w:pPr>
        <w:widowControl/>
        <w:ind w:firstLine="643" w:firstLineChars="200"/>
        <w:jc w:val="left"/>
        <w:rPr>
          <w:rFonts w:ascii="仿宋_GB2312" w:eastAsia="仿宋_GB2312"/>
          <w:b/>
          <w:sz w:val="32"/>
          <w:szCs w:val="32"/>
        </w:rPr>
      </w:pPr>
      <w:r>
        <w:rPr>
          <w:rFonts w:ascii="仿宋_GB2312" w:eastAsia="仿宋_GB2312"/>
          <w:b/>
          <w:sz w:val="32"/>
          <w:szCs w:val="32"/>
        </w:rPr>
        <w:br w:type="page"/>
      </w:r>
    </w:p>
    <w:p>
      <w:pPr>
        <w:numPr>
          <w:ilvl w:val="0"/>
          <w:numId w:val="5"/>
        </w:numPr>
        <w:spacing w:line="600" w:lineRule="exact"/>
        <w:ind w:firstLine="660" w:firstLineChars="150"/>
        <w:jc w:val="center"/>
        <w:outlineLvl w:val="0"/>
        <w:rPr>
          <w:rFonts w:ascii="宋体"/>
          <w:b/>
          <w:sz w:val="44"/>
          <w:szCs w:val="44"/>
        </w:rPr>
      </w:pPr>
      <w:bookmarkStart w:id="121" w:name="_Toc15377225"/>
      <w:bookmarkStart w:id="122" w:name="_Toc15396613"/>
      <w:bookmarkStart w:id="123" w:name="_Toc4948"/>
      <w:r>
        <w:rPr>
          <w:rFonts w:hint="eastAsia" w:ascii="黑体" w:hAnsi="黑体" w:eastAsia="黑体"/>
          <w:sz w:val="44"/>
          <w:szCs w:val="44"/>
        </w:rPr>
        <w:t>名</w:t>
      </w:r>
      <w:r>
        <w:rPr>
          <w:rStyle w:val="29"/>
          <w:rFonts w:hint="eastAsia" w:ascii="黑体" w:hAnsi="黑体" w:eastAsia="黑体"/>
          <w:b w:val="0"/>
        </w:rPr>
        <w:t>词解释</w:t>
      </w:r>
      <w:bookmarkEnd w:id="121"/>
      <w:bookmarkEnd w:id="122"/>
      <w:bookmarkEnd w:id="123"/>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一、财政拨款收入：指单位从同级财政部门取得的财政预算资金。</w:t>
      </w:r>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二、事业收入：指事业单位开展专业业务活动及辅助活动取得的收入。</w:t>
      </w:r>
    </w:p>
    <w:p>
      <w:pPr>
        <w:pStyle w:val="27"/>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四、其他收入：指单位取得的除上述收入以外的各项收入。</w:t>
      </w:r>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五、使用非财政拨款结余：指事业单位使用以前年度积累的非财政拨款结余弥补当年收支差额的金额。</w:t>
      </w:r>
      <w:r>
        <w:rPr>
          <w:rFonts w:ascii="仿宋_GB2312" w:eastAsia="仿宋_GB2312"/>
          <w:sz w:val="32"/>
          <w:szCs w:val="32"/>
        </w:rPr>
        <w:t xml:space="preserve"> </w:t>
      </w:r>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r>
        <w:rPr>
          <w:rFonts w:ascii="仿宋_GB2312" w:eastAsia="仿宋_GB2312"/>
          <w:sz w:val="32"/>
          <w:szCs w:val="32"/>
        </w:rPr>
        <w:t xml:space="preserve"> </w:t>
      </w:r>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七、结余分配：指事业单位按照会计制度规定缴纳的所得税、提取的专用结余以及转入非财政拨款结余的金额等。</w:t>
      </w:r>
    </w:p>
    <w:p>
      <w:pPr>
        <w:pStyle w:val="27"/>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八、年末结转和结余：指单位按有关规定结转到下年或以后年度继续使用的资金。</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九、</w:t>
      </w:r>
      <w:r>
        <w:rPr>
          <w:rStyle w:val="18"/>
          <w:rFonts w:hint="eastAsia" w:ascii="仿宋_GB2312" w:eastAsia="仿宋_GB2312"/>
          <w:b w:val="0"/>
          <w:color w:val="000000"/>
          <w:sz w:val="32"/>
          <w:szCs w:val="32"/>
        </w:rPr>
        <w:t>一般公共服务支出（类）政府办公厅（室）及相关机关机构事务（款）行政运行（项）</w:t>
      </w:r>
      <w:r>
        <w:rPr>
          <w:rFonts w:hint="eastAsia" w:ascii="仿宋_GB2312" w:eastAsia="仿宋_GB2312"/>
          <w:color w:val="000000"/>
          <w:sz w:val="32"/>
          <w:szCs w:val="32"/>
        </w:rPr>
        <w:t>：指反映行政单位（包括实行公务员管理的事业单位）的基本支出。</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rPr>
      </w:pPr>
      <w:r>
        <w:rPr>
          <w:rFonts w:hint="eastAsia" w:ascii="仿宋_GB2312" w:eastAsia="仿宋_GB2312"/>
          <w:color w:val="000000"/>
          <w:sz w:val="32"/>
          <w:szCs w:val="32"/>
          <w:lang w:eastAsia="zh-CN"/>
        </w:rPr>
        <w:t>十</w:t>
      </w:r>
      <w:r>
        <w:rPr>
          <w:rFonts w:hint="eastAsia" w:ascii="仿宋_GB2312" w:eastAsia="仿宋_GB2312"/>
          <w:color w:val="000000"/>
          <w:sz w:val="32"/>
          <w:szCs w:val="32"/>
        </w:rPr>
        <w:t>、</w:t>
      </w:r>
      <w:r>
        <w:rPr>
          <w:rStyle w:val="18"/>
          <w:rFonts w:hint="eastAsia" w:ascii="仿宋_GB2312" w:eastAsia="仿宋_GB2312"/>
          <w:b w:val="0"/>
          <w:color w:val="000000"/>
          <w:sz w:val="32"/>
          <w:szCs w:val="32"/>
        </w:rPr>
        <w:t>一般公共服务支出（类）政府办公厅（室）及相关机关机构事务（款）</w:t>
      </w:r>
      <w:r>
        <w:rPr>
          <w:rStyle w:val="18"/>
          <w:rFonts w:hint="eastAsia" w:ascii="仿宋_GB2312" w:eastAsia="仿宋_GB2312"/>
          <w:b w:val="0"/>
          <w:color w:val="000000"/>
          <w:sz w:val="32"/>
          <w:szCs w:val="32"/>
          <w:lang w:eastAsia="zh-CN"/>
        </w:rPr>
        <w:t>事业</w:t>
      </w:r>
      <w:r>
        <w:rPr>
          <w:rStyle w:val="18"/>
          <w:rFonts w:hint="eastAsia" w:ascii="仿宋_GB2312" w:eastAsia="仿宋_GB2312"/>
          <w:b w:val="0"/>
          <w:color w:val="000000"/>
          <w:sz w:val="32"/>
          <w:szCs w:val="32"/>
        </w:rPr>
        <w:t>（项）</w:t>
      </w:r>
      <w:r>
        <w:rPr>
          <w:rFonts w:hint="eastAsia" w:ascii="仿宋_GB2312" w:eastAsia="仿宋_GB2312"/>
          <w:color w:val="000000"/>
          <w:sz w:val="32"/>
          <w:szCs w:val="32"/>
        </w:rPr>
        <w:t>：指反映</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w:t>
      </w:r>
      <w:r>
        <w:rPr>
          <w:rFonts w:hint="eastAsia" w:ascii="仿宋_GB2312" w:eastAsia="仿宋_GB2312"/>
          <w:color w:val="000000"/>
          <w:sz w:val="32"/>
          <w:szCs w:val="32"/>
          <w:lang w:eastAsia="zh-CN"/>
        </w:rPr>
        <w:t>的基本支出，不包括行政单位</w:t>
      </w:r>
      <w:r>
        <w:rPr>
          <w:rFonts w:hint="eastAsia" w:ascii="仿宋_GB2312" w:eastAsia="仿宋_GB2312"/>
          <w:color w:val="000000"/>
          <w:sz w:val="32"/>
          <w:szCs w:val="32"/>
        </w:rPr>
        <w:t>（包括实行公务员管理的事业单位）</w:t>
      </w:r>
      <w:r>
        <w:rPr>
          <w:rFonts w:hint="eastAsia" w:ascii="仿宋_GB2312" w:eastAsia="仿宋_GB2312"/>
          <w:color w:val="000000"/>
          <w:sz w:val="32"/>
          <w:szCs w:val="32"/>
          <w:lang w:eastAsia="zh-CN"/>
        </w:rPr>
        <w:t>后勤服务中心、医务室等附属事业单位。</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Style w:val="18"/>
          <w:rFonts w:hint="eastAsia" w:ascii="仿宋_GB2312" w:eastAsia="仿宋_GB2312"/>
          <w:b w:val="0"/>
          <w:color w:val="000000"/>
          <w:sz w:val="32"/>
          <w:szCs w:val="32"/>
          <w:lang w:eastAsia="zh-CN"/>
        </w:rPr>
      </w:pPr>
      <w:r>
        <w:rPr>
          <w:rStyle w:val="18"/>
          <w:rFonts w:hint="eastAsia" w:ascii="仿宋_GB2312" w:eastAsia="仿宋_GB2312"/>
          <w:b w:val="0"/>
          <w:color w:val="000000"/>
          <w:sz w:val="32"/>
          <w:szCs w:val="32"/>
        </w:rPr>
        <w:t>十</w:t>
      </w:r>
      <w:r>
        <w:rPr>
          <w:rStyle w:val="18"/>
          <w:rFonts w:hint="eastAsia" w:ascii="仿宋_GB2312" w:eastAsia="仿宋_GB2312"/>
          <w:b w:val="0"/>
          <w:color w:val="000000"/>
          <w:sz w:val="32"/>
          <w:szCs w:val="32"/>
          <w:lang w:eastAsia="zh-CN"/>
        </w:rPr>
        <w:t>一</w:t>
      </w:r>
      <w:r>
        <w:rPr>
          <w:rStyle w:val="18"/>
          <w:rFonts w:hint="eastAsia" w:ascii="仿宋_GB2312" w:eastAsia="仿宋_GB2312"/>
          <w:b w:val="0"/>
          <w:color w:val="000000"/>
          <w:sz w:val="32"/>
          <w:szCs w:val="32"/>
        </w:rPr>
        <w:t>、</w:t>
      </w:r>
      <w:r>
        <w:rPr>
          <w:rFonts w:hint="eastAsia" w:ascii="仿宋_GB2312" w:hAnsi="仿宋_GB2312" w:eastAsia="仿宋_GB2312" w:cs="仿宋_GB2312"/>
          <w:sz w:val="32"/>
          <w:szCs w:val="32"/>
        </w:rPr>
        <w:t>文化旅游体育与传媒（类）文化和旅游（款） 其他文化和旅游支出（项）</w:t>
      </w:r>
      <w:r>
        <w:rPr>
          <w:rStyle w:val="18"/>
          <w:rFonts w:hint="eastAsia" w:ascii="仿宋_GB2312" w:eastAsia="仿宋_GB2312"/>
          <w:b w:val="0"/>
          <w:color w:val="000000"/>
          <w:sz w:val="32"/>
          <w:szCs w:val="32"/>
        </w:rPr>
        <w:t>：指反映</w:t>
      </w:r>
      <w:r>
        <w:rPr>
          <w:rStyle w:val="18"/>
          <w:rFonts w:hint="eastAsia" w:ascii="仿宋_GB2312" w:eastAsia="仿宋_GB2312"/>
          <w:b w:val="0"/>
          <w:color w:val="000000"/>
          <w:sz w:val="32"/>
          <w:szCs w:val="32"/>
          <w:lang w:eastAsia="zh-CN"/>
        </w:rPr>
        <w:t>除上述项目以外其他用于文化和旅游方面的支出。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Style w:val="18"/>
          <w:rFonts w:hint="eastAsia" w:ascii="仿宋_GB2312" w:eastAsia="仿宋_GB2312"/>
          <w:b w:val="0"/>
          <w:color w:val="000000"/>
          <w:sz w:val="32"/>
          <w:szCs w:val="32"/>
        </w:rPr>
        <w:t>十二、社会保障和就业支出（类）行政事业单位离退休（款）机关事业单位基本养老保险缴费支出（项）</w:t>
      </w:r>
      <w:r>
        <w:rPr>
          <w:rStyle w:val="18"/>
          <w:rFonts w:ascii="仿宋_GB2312" w:eastAsia="仿宋_GB2312"/>
          <w:b w:val="0"/>
          <w:color w:val="000000"/>
          <w:sz w:val="32"/>
          <w:szCs w:val="32"/>
        </w:rPr>
        <w:t>:</w:t>
      </w:r>
      <w:r>
        <w:rPr>
          <w:rStyle w:val="18"/>
          <w:rFonts w:hint="eastAsia" w:ascii="仿宋_GB2312" w:eastAsia="仿宋_GB2312"/>
          <w:b w:val="0"/>
          <w:color w:val="000000"/>
          <w:sz w:val="32"/>
          <w:szCs w:val="32"/>
        </w:rPr>
        <w:t>反映机关事业单位实施养老保险制度由单位缴纳的养老保险费支出。</w:t>
      </w:r>
    </w:p>
    <w:p>
      <w:pPr>
        <w:keepNext w:val="0"/>
        <w:keepLines w:val="0"/>
        <w:pageBreakBefore w:val="0"/>
        <w:kinsoku/>
        <w:wordWrap/>
        <w:overflowPunct/>
        <w:topLinePunct w:val="0"/>
        <w:bidi w:val="0"/>
        <w:spacing w:line="600" w:lineRule="exact"/>
        <w:ind w:firstLine="640" w:firstLineChars="200"/>
        <w:textAlignment w:val="auto"/>
        <w:rPr>
          <w:rStyle w:val="18"/>
          <w:rFonts w:ascii="仿宋_GB2312" w:eastAsia="仿宋_GB2312"/>
          <w:b w:val="0"/>
          <w:color w:val="000000"/>
          <w:sz w:val="32"/>
          <w:szCs w:val="32"/>
        </w:rPr>
      </w:pPr>
      <w:r>
        <w:rPr>
          <w:rStyle w:val="18"/>
          <w:rFonts w:hint="eastAsia" w:ascii="仿宋_GB2312" w:eastAsia="仿宋_GB2312"/>
          <w:b w:val="0"/>
          <w:color w:val="000000"/>
          <w:sz w:val="32"/>
          <w:szCs w:val="32"/>
        </w:rPr>
        <w:t>十三、社会保障和就业支出（类）行政事业单位离退休（款）机关事业单位职业年金缴费支出（项）：反映事业单位实施养老保险制度由单位实际缴纳的职业年金支出。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sz w:val="32"/>
          <w:szCs w:val="32"/>
        </w:rPr>
      </w:pPr>
      <w:r>
        <w:rPr>
          <w:rStyle w:val="18"/>
          <w:rFonts w:hint="eastAsia" w:ascii="仿宋_GB2312" w:eastAsia="仿宋_GB2312"/>
          <w:b w:val="0"/>
          <w:color w:val="000000"/>
          <w:sz w:val="32"/>
          <w:szCs w:val="32"/>
        </w:rPr>
        <w:t>十</w:t>
      </w:r>
      <w:r>
        <w:rPr>
          <w:rStyle w:val="18"/>
          <w:rFonts w:hint="eastAsia" w:ascii="仿宋_GB2312" w:eastAsia="仿宋_GB2312"/>
          <w:b w:val="0"/>
          <w:color w:val="000000"/>
          <w:sz w:val="32"/>
          <w:szCs w:val="32"/>
          <w:lang w:eastAsia="zh-CN"/>
        </w:rPr>
        <w:t>四</w:t>
      </w:r>
      <w:r>
        <w:rPr>
          <w:rStyle w:val="18"/>
          <w:rFonts w:hint="eastAsia" w:ascii="仿宋_GB2312" w:eastAsia="仿宋_GB2312"/>
          <w:b w:val="0"/>
          <w:color w:val="000000"/>
          <w:sz w:val="32"/>
          <w:szCs w:val="32"/>
        </w:rPr>
        <w:t>、</w:t>
      </w:r>
      <w:r>
        <w:rPr>
          <w:rFonts w:hint="eastAsia" w:ascii="仿宋_GB2312" w:eastAsia="仿宋_GB2312"/>
          <w:bCs/>
          <w:sz w:val="32"/>
          <w:szCs w:val="32"/>
        </w:rPr>
        <w:t xml:space="preserve"> 社会保障和就业（类）抚恤（款）其他优抚支出（项）:</w:t>
      </w:r>
      <w:r>
        <w:rPr>
          <w:rFonts w:hint="eastAsia" w:ascii="仿宋_GB2312" w:eastAsia="仿宋_GB2312"/>
          <w:color w:val="000000"/>
          <w:sz w:val="32"/>
          <w:szCs w:val="32"/>
        </w:rPr>
        <w:t>指死亡的行政事业单位工作人员遗属补助。</w:t>
      </w:r>
    </w:p>
    <w:p>
      <w:pPr>
        <w:keepNext w:val="0"/>
        <w:keepLines w:val="0"/>
        <w:pageBreakBefore w:val="0"/>
        <w:kinsoku/>
        <w:wordWrap/>
        <w:overflowPunct/>
        <w:topLinePunct w:val="0"/>
        <w:bidi w:val="0"/>
        <w:spacing w:line="600" w:lineRule="exact"/>
        <w:ind w:firstLine="640" w:firstLineChars="200"/>
        <w:textAlignment w:val="auto"/>
        <w:rPr>
          <w:rStyle w:val="18"/>
          <w:rFonts w:hint="eastAsia" w:ascii="仿宋_GB2312" w:eastAsia="仿宋_GB2312"/>
          <w:b w:val="0"/>
          <w:bCs/>
          <w:sz w:val="32"/>
          <w:szCs w:val="32"/>
          <w:highlight w:val="none"/>
        </w:rPr>
      </w:pPr>
      <w:r>
        <w:rPr>
          <w:rStyle w:val="18"/>
          <w:rFonts w:hint="eastAsia" w:ascii="仿宋_GB2312" w:eastAsia="仿宋_GB2312"/>
          <w:b w:val="0"/>
          <w:color w:val="000000"/>
          <w:sz w:val="32"/>
          <w:szCs w:val="32"/>
          <w:highlight w:val="none"/>
        </w:rPr>
        <w:t>十</w:t>
      </w:r>
      <w:r>
        <w:rPr>
          <w:rStyle w:val="18"/>
          <w:rFonts w:hint="eastAsia" w:ascii="仿宋_GB2312" w:eastAsia="仿宋_GB2312"/>
          <w:b w:val="0"/>
          <w:color w:val="000000"/>
          <w:sz w:val="32"/>
          <w:szCs w:val="32"/>
          <w:highlight w:val="none"/>
          <w:lang w:eastAsia="zh-CN"/>
        </w:rPr>
        <w:t>五</w:t>
      </w:r>
      <w:r>
        <w:rPr>
          <w:rStyle w:val="18"/>
          <w:rFonts w:hint="eastAsia" w:ascii="仿宋_GB2312" w:eastAsia="仿宋_GB2312"/>
          <w:b w:val="0"/>
          <w:color w:val="000000"/>
          <w:sz w:val="32"/>
          <w:szCs w:val="32"/>
          <w:highlight w:val="none"/>
        </w:rPr>
        <w:t>、</w:t>
      </w:r>
      <w:r>
        <w:rPr>
          <w:rFonts w:hint="eastAsia" w:ascii="仿宋_GB2312" w:eastAsia="仿宋_GB2312"/>
          <w:bCs/>
          <w:sz w:val="32"/>
          <w:szCs w:val="32"/>
          <w:highlight w:val="none"/>
        </w:rPr>
        <w:t>社会保障和就业</w:t>
      </w:r>
      <w:r>
        <w:rPr>
          <w:rStyle w:val="18"/>
          <w:rFonts w:hint="eastAsia" w:ascii="仿宋_GB2312" w:eastAsia="仿宋_GB2312"/>
          <w:b w:val="0"/>
          <w:color w:val="000000"/>
          <w:sz w:val="32"/>
          <w:szCs w:val="32"/>
          <w:highlight w:val="none"/>
        </w:rPr>
        <w:t>支出</w:t>
      </w:r>
      <w:r>
        <w:rPr>
          <w:rFonts w:hint="eastAsia" w:ascii="仿宋_GB2312" w:eastAsia="仿宋_GB2312"/>
          <w:bCs/>
          <w:sz w:val="32"/>
          <w:szCs w:val="32"/>
          <w:highlight w:val="none"/>
        </w:rPr>
        <w:t>（类）其他社会保障和就业支出（款）其他社会保障和就业支出（项）:</w:t>
      </w:r>
      <w:r>
        <w:rPr>
          <w:rFonts w:hint="eastAsia" w:ascii="仿宋_GB2312" w:eastAsia="仿宋_GB2312"/>
          <w:bCs/>
          <w:sz w:val="32"/>
          <w:szCs w:val="32"/>
          <w:highlight w:val="none"/>
          <w:lang w:eastAsia="zh-CN"/>
        </w:rPr>
        <w:t>反映除上述项目以外其他用于社会保障和就业方面的支出</w:t>
      </w:r>
      <w:r>
        <w:rPr>
          <w:rFonts w:hint="eastAsia" w:ascii="仿宋_GB2312" w:eastAsia="仿宋_GB2312"/>
          <w:bCs/>
          <w:sz w:val="32"/>
          <w:szCs w:val="32"/>
          <w:highlight w:val="none"/>
        </w:rPr>
        <w:t xml:space="preserve"> </w:t>
      </w:r>
      <w:r>
        <w:rPr>
          <w:rFonts w:hint="eastAsia" w:ascii="仿宋_GB2312" w:eastAsia="仿宋_GB2312"/>
          <w:color w:val="00000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Style w:val="18"/>
          <w:rFonts w:hint="eastAsia" w:ascii="仿宋_GB2312" w:eastAsia="仿宋_GB2312"/>
          <w:b w:val="0"/>
          <w:color w:val="000000"/>
          <w:sz w:val="32"/>
          <w:szCs w:val="32"/>
          <w:highlight w:val="none"/>
          <w:lang w:eastAsia="zh-CN"/>
        </w:rPr>
      </w:pPr>
      <w:r>
        <w:rPr>
          <w:rStyle w:val="18"/>
          <w:rFonts w:hint="eastAsia" w:ascii="仿宋_GB2312" w:eastAsia="仿宋_GB2312"/>
          <w:b w:val="0"/>
          <w:color w:val="000000"/>
          <w:sz w:val="32"/>
          <w:szCs w:val="32"/>
          <w:highlight w:val="none"/>
        </w:rPr>
        <w:t>十</w:t>
      </w:r>
      <w:r>
        <w:rPr>
          <w:rStyle w:val="18"/>
          <w:rFonts w:hint="eastAsia" w:ascii="仿宋_GB2312" w:eastAsia="仿宋_GB2312"/>
          <w:b w:val="0"/>
          <w:color w:val="000000"/>
          <w:sz w:val="32"/>
          <w:szCs w:val="32"/>
          <w:highlight w:val="none"/>
          <w:lang w:eastAsia="zh-CN"/>
        </w:rPr>
        <w:t>六</w:t>
      </w:r>
      <w:r>
        <w:rPr>
          <w:rStyle w:val="18"/>
          <w:rFonts w:hint="eastAsia" w:ascii="仿宋_GB2312" w:eastAsia="仿宋_GB2312"/>
          <w:b w:val="0"/>
          <w:color w:val="000000"/>
          <w:sz w:val="32"/>
          <w:szCs w:val="32"/>
          <w:highlight w:val="none"/>
        </w:rPr>
        <w:t>、</w:t>
      </w:r>
      <w:r>
        <w:rPr>
          <w:rFonts w:hint="eastAsia"/>
          <w:highlight w:val="none"/>
        </w:rPr>
        <w:t xml:space="preserve"> </w:t>
      </w:r>
      <w:r>
        <w:rPr>
          <w:rStyle w:val="18"/>
          <w:rFonts w:hint="eastAsia" w:ascii="仿宋_GB2312" w:eastAsia="仿宋_GB2312"/>
          <w:b w:val="0"/>
          <w:color w:val="000000"/>
          <w:sz w:val="32"/>
          <w:szCs w:val="32"/>
          <w:highlight w:val="none"/>
        </w:rPr>
        <w:t>卫生健康支出（类）行政事业单位医疗（款）行政单位医疗（项）</w:t>
      </w:r>
      <w:r>
        <w:rPr>
          <w:rStyle w:val="18"/>
          <w:rFonts w:ascii="仿宋_GB2312" w:eastAsia="仿宋_GB2312"/>
          <w:b w:val="0"/>
          <w:color w:val="000000"/>
          <w:sz w:val="32"/>
          <w:szCs w:val="32"/>
          <w:highlight w:val="none"/>
        </w:rPr>
        <w:t>:</w:t>
      </w:r>
      <w:r>
        <w:rPr>
          <w:rStyle w:val="18"/>
          <w:rFonts w:hint="eastAsia" w:ascii="仿宋_GB2312" w:eastAsia="仿宋_GB2312"/>
          <w:b w:val="0"/>
          <w:color w:val="000000"/>
          <w:sz w:val="32"/>
          <w:szCs w:val="32"/>
          <w:highlight w:val="none"/>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2"/>
        <w:keepNext w:val="0"/>
        <w:keepLines w:val="0"/>
        <w:pageBreakBefore w:val="0"/>
        <w:kinsoku/>
        <w:wordWrap/>
        <w:overflowPunct/>
        <w:topLinePunct w:val="0"/>
        <w:bidi w:val="0"/>
        <w:spacing w:line="600" w:lineRule="exact"/>
        <w:ind w:left="0" w:leftChars="0" w:firstLine="419" w:firstLineChars="131"/>
        <w:textAlignment w:val="auto"/>
        <w:rPr>
          <w:rFonts w:hint="eastAsia" w:eastAsia="仿宋_GB2312"/>
          <w:lang w:eastAsia="zh-CN"/>
        </w:rPr>
      </w:pPr>
      <w:r>
        <w:rPr>
          <w:rStyle w:val="18"/>
          <w:rFonts w:hint="eastAsia" w:ascii="仿宋_GB2312" w:eastAsia="仿宋_GB2312"/>
          <w:b w:val="0"/>
          <w:color w:val="000000"/>
          <w:sz w:val="32"/>
          <w:szCs w:val="32"/>
          <w:highlight w:val="none"/>
        </w:rPr>
        <w:t>十七、卫生健康支出（类）行政事业单位医疗（款）</w:t>
      </w:r>
      <w:r>
        <w:rPr>
          <w:rStyle w:val="18"/>
          <w:rFonts w:hint="eastAsia" w:ascii="仿宋_GB2312" w:eastAsia="仿宋_GB2312"/>
          <w:b w:val="0"/>
          <w:color w:val="000000"/>
          <w:sz w:val="32"/>
          <w:szCs w:val="32"/>
          <w:highlight w:val="none"/>
          <w:lang w:eastAsia="zh-CN"/>
        </w:rPr>
        <w:t>公务员医疗补助</w:t>
      </w:r>
      <w:r>
        <w:rPr>
          <w:rStyle w:val="18"/>
          <w:rFonts w:hint="eastAsia" w:ascii="仿宋_GB2312" w:eastAsia="仿宋_GB2312"/>
          <w:b w:val="0"/>
          <w:color w:val="000000"/>
          <w:sz w:val="32"/>
          <w:szCs w:val="32"/>
          <w:highlight w:val="none"/>
        </w:rPr>
        <w:t>（项）</w:t>
      </w:r>
      <w:r>
        <w:rPr>
          <w:rStyle w:val="18"/>
          <w:rFonts w:ascii="仿宋_GB2312" w:eastAsia="仿宋_GB2312"/>
          <w:b w:val="0"/>
          <w:color w:val="000000"/>
          <w:sz w:val="32"/>
          <w:szCs w:val="32"/>
          <w:highlight w:val="none"/>
        </w:rPr>
        <w:t>:</w:t>
      </w:r>
      <w:r>
        <w:rPr>
          <w:rStyle w:val="18"/>
          <w:rFonts w:hint="eastAsia" w:ascii="仿宋_GB2312" w:eastAsia="仿宋_GB2312"/>
          <w:b w:val="0"/>
          <w:color w:val="000000"/>
          <w:sz w:val="32"/>
          <w:szCs w:val="32"/>
          <w:highlight w:val="none"/>
          <w:lang w:eastAsia="zh-CN"/>
        </w:rPr>
        <w:t>反映财政部门安排的公务员医疗补助经费。</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十八、城乡社区支出（类）城乡社区环境卫生（款）城乡社区环境卫生（项）：反映城乡社区道路清扫、垃圾清运与处理、公布建设与维护、园林绿化等方面的支出。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Style w:val="18"/>
          <w:rFonts w:hint="eastAsia" w:ascii="仿宋_GB2312" w:eastAsia="仿宋_GB2312"/>
          <w:b w:val="0"/>
          <w:color w:val="000000"/>
          <w:sz w:val="32"/>
          <w:szCs w:val="32"/>
        </w:rPr>
        <w:t>十九、农林水支出（类）农业农村（款）事业运行（项）</w:t>
      </w:r>
      <w:r>
        <w:rPr>
          <w:rStyle w:val="18"/>
          <w:rFonts w:ascii="仿宋_GB2312" w:eastAsia="仿宋_GB2312"/>
          <w:b w:val="0"/>
          <w:color w:val="000000"/>
          <w:sz w:val="32"/>
          <w:szCs w:val="32"/>
        </w:rPr>
        <w:t>:</w:t>
      </w:r>
      <w:r>
        <w:rPr>
          <w:rStyle w:val="18"/>
          <w:rFonts w:hint="eastAsia" w:ascii="仿宋_GB2312" w:eastAsia="仿宋_GB2312"/>
          <w:b w:val="0"/>
          <w:color w:val="000000"/>
          <w:sz w:val="32"/>
          <w:szCs w:val="32"/>
        </w:rPr>
        <w:t>指反映用于农业事业单位基本支出，事业单位设施、系统运行与资产维护等方面的支出。</w:t>
      </w:r>
    </w:p>
    <w:p>
      <w:pPr>
        <w:pStyle w:val="27"/>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Style w:val="18"/>
          <w:rFonts w:hint="eastAsia" w:ascii="仿宋_GB2312" w:eastAsia="仿宋_GB2312"/>
          <w:b w:val="0"/>
          <w:sz w:val="32"/>
          <w:szCs w:val="32"/>
        </w:rPr>
        <w:t>二十、农林水支出（类）扶贫（款）其他扶贫支出（项）</w:t>
      </w:r>
      <w:r>
        <w:rPr>
          <w:rStyle w:val="18"/>
          <w:rFonts w:ascii="仿宋_GB2312" w:eastAsia="仿宋_GB2312"/>
          <w:b w:val="0"/>
          <w:sz w:val="32"/>
          <w:szCs w:val="32"/>
        </w:rPr>
        <w:t>:</w:t>
      </w:r>
      <w:r>
        <w:rPr>
          <w:rFonts w:hint="eastAsia" w:ascii="仿宋_GB2312" w:eastAsia="仿宋_GB2312"/>
          <w:sz w:val="32"/>
          <w:szCs w:val="32"/>
        </w:rPr>
        <w:t>指其他用于扶贫方面的支出。</w:t>
      </w:r>
    </w:p>
    <w:p>
      <w:pPr>
        <w:keepNext w:val="0"/>
        <w:keepLines w:val="0"/>
        <w:pageBreakBefore w:val="0"/>
        <w:kinsoku/>
        <w:wordWrap/>
        <w:overflowPunct/>
        <w:topLinePunct w:val="0"/>
        <w:bidi w:val="0"/>
        <w:spacing w:line="600" w:lineRule="exact"/>
        <w:ind w:firstLine="640" w:firstLineChars="200"/>
        <w:textAlignment w:val="auto"/>
        <w:rPr>
          <w:rStyle w:val="18"/>
          <w:rFonts w:ascii="仿宋_GB2312" w:eastAsia="仿宋_GB2312"/>
          <w:b w:val="0"/>
          <w:color w:val="000000"/>
          <w:sz w:val="32"/>
          <w:szCs w:val="32"/>
        </w:rPr>
      </w:pPr>
      <w:r>
        <w:rPr>
          <w:rStyle w:val="18"/>
          <w:rFonts w:hint="eastAsia" w:ascii="仿宋_GB2312" w:eastAsia="仿宋_GB2312"/>
          <w:b w:val="0"/>
          <w:color w:val="000000"/>
          <w:sz w:val="32"/>
          <w:szCs w:val="32"/>
        </w:rPr>
        <w:t>二十一、</w:t>
      </w:r>
      <w:r>
        <w:rPr>
          <w:rStyle w:val="18"/>
          <w:rFonts w:hint="eastAsia" w:ascii="仿宋_GB2312" w:eastAsia="仿宋_GB2312"/>
          <w:b w:val="0"/>
          <w:sz w:val="32"/>
          <w:szCs w:val="32"/>
        </w:rPr>
        <w:t>农林水支出</w:t>
      </w:r>
      <w:r>
        <w:rPr>
          <w:rStyle w:val="18"/>
          <w:rFonts w:hint="eastAsia" w:ascii="仿宋_GB2312" w:eastAsia="仿宋_GB2312"/>
          <w:b w:val="0"/>
          <w:color w:val="000000"/>
          <w:sz w:val="32"/>
          <w:szCs w:val="32"/>
        </w:rPr>
        <w:t>（类）农村综合改革（款）</w:t>
      </w:r>
      <w:r>
        <w:rPr>
          <w:rStyle w:val="18"/>
          <w:rFonts w:hint="eastAsia" w:ascii="仿宋_GB2312" w:eastAsia="仿宋_GB2312"/>
          <w:b w:val="0"/>
          <w:color w:val="000000"/>
          <w:sz w:val="32"/>
          <w:szCs w:val="32"/>
          <w:lang w:eastAsia="zh-CN"/>
        </w:rPr>
        <w:t>对村级公益事业建设的补助</w:t>
      </w:r>
      <w:r>
        <w:rPr>
          <w:rStyle w:val="18"/>
          <w:rFonts w:hint="eastAsia" w:ascii="仿宋_GB2312" w:eastAsia="仿宋_GB2312"/>
          <w:b w:val="0"/>
          <w:color w:val="000000"/>
          <w:sz w:val="32"/>
          <w:szCs w:val="32"/>
        </w:rPr>
        <w:t>（项）</w:t>
      </w:r>
      <w:r>
        <w:rPr>
          <w:rStyle w:val="18"/>
          <w:rFonts w:ascii="仿宋_GB2312" w:eastAsia="仿宋_GB2312"/>
          <w:b w:val="0"/>
          <w:color w:val="000000"/>
          <w:sz w:val="32"/>
          <w:szCs w:val="32"/>
        </w:rPr>
        <w:t>:</w:t>
      </w:r>
      <w:r>
        <w:rPr>
          <w:rStyle w:val="18"/>
          <w:rFonts w:hint="eastAsia" w:ascii="仿宋_GB2312" w:eastAsia="仿宋_GB2312"/>
          <w:b w:val="0"/>
          <w:color w:val="000000"/>
          <w:sz w:val="32"/>
          <w:szCs w:val="32"/>
        </w:rPr>
        <w:t>反映农村税费改革后对村级公益事业建设的补助支出。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000000"/>
          <w:sz w:val="32"/>
          <w:szCs w:val="32"/>
        </w:rPr>
      </w:pPr>
      <w:r>
        <w:rPr>
          <w:rStyle w:val="18"/>
          <w:rFonts w:hint="eastAsia" w:ascii="仿宋_GB2312" w:eastAsia="仿宋_GB2312"/>
          <w:b w:val="0"/>
          <w:color w:val="000000"/>
          <w:sz w:val="32"/>
          <w:szCs w:val="32"/>
        </w:rPr>
        <w:t>二十二、</w:t>
      </w:r>
      <w:r>
        <w:rPr>
          <w:rStyle w:val="18"/>
          <w:rFonts w:hint="eastAsia" w:ascii="仿宋_GB2312" w:eastAsia="仿宋_GB2312"/>
          <w:b w:val="0"/>
          <w:sz w:val="32"/>
          <w:szCs w:val="32"/>
        </w:rPr>
        <w:t>农林水支出</w:t>
      </w:r>
      <w:r>
        <w:rPr>
          <w:rStyle w:val="18"/>
          <w:rFonts w:hint="eastAsia" w:ascii="仿宋_GB2312" w:eastAsia="仿宋_GB2312"/>
          <w:b w:val="0"/>
          <w:color w:val="000000"/>
          <w:sz w:val="32"/>
          <w:szCs w:val="32"/>
        </w:rPr>
        <w:t>（类）农村综合改革（款）对村民委员会和村党支部的补助（项）</w:t>
      </w:r>
      <w:r>
        <w:rPr>
          <w:rStyle w:val="18"/>
          <w:rFonts w:ascii="仿宋_GB2312" w:eastAsia="仿宋_GB2312"/>
          <w:b w:val="0"/>
          <w:color w:val="000000"/>
          <w:sz w:val="32"/>
          <w:szCs w:val="32"/>
        </w:rPr>
        <w:t>:</w:t>
      </w:r>
      <w:r>
        <w:rPr>
          <w:rFonts w:hint="eastAsia" w:ascii="仿宋_GB2312" w:eastAsia="仿宋_GB2312"/>
          <w:color w:val="000000"/>
          <w:sz w:val="32"/>
          <w:szCs w:val="32"/>
        </w:rPr>
        <w:t>指反映各级财政对村民委员会村党支部的补助支出，以及支持建设县级基本财力保障机制安排村级组织运转奖补资金。</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color w:val="000000"/>
          <w:sz w:val="32"/>
          <w:szCs w:val="32"/>
        </w:rPr>
      </w:pPr>
      <w:r>
        <w:rPr>
          <w:rStyle w:val="18"/>
          <w:rFonts w:hint="eastAsia" w:ascii="仿宋_GB2312" w:eastAsia="仿宋_GB2312"/>
          <w:b w:val="0"/>
          <w:color w:val="000000"/>
          <w:sz w:val="32"/>
          <w:szCs w:val="32"/>
        </w:rPr>
        <w:t>二十三、</w:t>
      </w:r>
      <w:r>
        <w:rPr>
          <w:rStyle w:val="18"/>
          <w:rFonts w:hint="eastAsia" w:ascii="仿宋_GB2312" w:eastAsia="仿宋_GB2312"/>
          <w:b w:val="0"/>
          <w:sz w:val="32"/>
          <w:szCs w:val="32"/>
        </w:rPr>
        <w:t>农林水支出</w:t>
      </w:r>
      <w:r>
        <w:rPr>
          <w:rStyle w:val="18"/>
          <w:rFonts w:hint="eastAsia" w:ascii="仿宋_GB2312" w:eastAsia="仿宋_GB2312"/>
          <w:b w:val="0"/>
          <w:color w:val="000000"/>
          <w:sz w:val="32"/>
          <w:szCs w:val="32"/>
        </w:rPr>
        <w:t>（类）农村综合改革（款）对村集体经济组织的补助（项）</w:t>
      </w:r>
      <w:r>
        <w:rPr>
          <w:rStyle w:val="18"/>
          <w:rFonts w:ascii="仿宋_GB2312" w:eastAsia="仿宋_GB2312"/>
          <w:b w:val="0"/>
          <w:color w:val="000000"/>
          <w:sz w:val="32"/>
          <w:szCs w:val="32"/>
        </w:rPr>
        <w:t>:</w:t>
      </w:r>
      <w:r>
        <w:rPr>
          <w:rStyle w:val="18"/>
          <w:rFonts w:hint="eastAsia" w:ascii="仿宋_GB2312" w:eastAsia="仿宋_GB2312"/>
          <w:b w:val="0"/>
          <w:color w:val="000000"/>
          <w:sz w:val="32"/>
          <w:szCs w:val="32"/>
        </w:rPr>
        <w:t>反映各级财政对农村改革示范试点、新型农业社会化服务体系建设等补助支出。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color w:val="000000"/>
          <w:sz w:val="32"/>
          <w:szCs w:val="32"/>
        </w:rPr>
      </w:pPr>
      <w:r>
        <w:rPr>
          <w:rStyle w:val="18"/>
          <w:rFonts w:hint="eastAsia" w:ascii="仿宋_GB2312" w:eastAsia="仿宋_GB2312"/>
          <w:b w:val="0"/>
          <w:color w:val="000000"/>
          <w:sz w:val="32"/>
          <w:szCs w:val="32"/>
        </w:rPr>
        <w:t>二十四、</w:t>
      </w:r>
      <w:r>
        <w:rPr>
          <w:rStyle w:val="18"/>
          <w:rFonts w:hint="eastAsia" w:ascii="仿宋_GB2312" w:eastAsia="仿宋_GB2312"/>
          <w:b w:val="0"/>
          <w:sz w:val="32"/>
          <w:szCs w:val="32"/>
        </w:rPr>
        <w:t>农林水支出</w:t>
      </w:r>
      <w:r>
        <w:rPr>
          <w:rStyle w:val="18"/>
          <w:rFonts w:hint="eastAsia" w:ascii="仿宋_GB2312" w:eastAsia="仿宋_GB2312"/>
          <w:b w:val="0"/>
          <w:color w:val="000000"/>
          <w:sz w:val="32"/>
          <w:szCs w:val="32"/>
        </w:rPr>
        <w:t>（类）农村综合改革（款）其他</w:t>
      </w:r>
      <w:r>
        <w:rPr>
          <w:rStyle w:val="18"/>
          <w:rFonts w:hint="eastAsia" w:ascii="仿宋_GB2312" w:eastAsia="仿宋_GB2312"/>
          <w:b w:val="0"/>
          <w:color w:val="000000"/>
          <w:sz w:val="32"/>
          <w:szCs w:val="32"/>
          <w:lang w:eastAsia="zh-CN"/>
        </w:rPr>
        <w:t>农林水支出</w:t>
      </w:r>
      <w:r>
        <w:rPr>
          <w:rStyle w:val="18"/>
          <w:rFonts w:hint="eastAsia" w:ascii="仿宋_GB2312" w:eastAsia="仿宋_GB2312"/>
          <w:b w:val="0"/>
          <w:color w:val="000000"/>
          <w:sz w:val="32"/>
          <w:szCs w:val="32"/>
        </w:rPr>
        <w:t>（项）</w:t>
      </w:r>
      <w:r>
        <w:rPr>
          <w:rStyle w:val="18"/>
          <w:rFonts w:ascii="仿宋_GB2312" w:eastAsia="仿宋_GB2312"/>
          <w:b w:val="0"/>
          <w:color w:val="000000"/>
          <w:sz w:val="32"/>
          <w:szCs w:val="32"/>
        </w:rPr>
        <w:t>:</w:t>
      </w:r>
      <w:r>
        <w:rPr>
          <w:rStyle w:val="18"/>
          <w:rFonts w:hint="eastAsia" w:ascii="仿宋_GB2312" w:eastAsia="仿宋_GB2312"/>
          <w:b w:val="0"/>
          <w:color w:val="000000"/>
          <w:sz w:val="32"/>
          <w:szCs w:val="32"/>
        </w:rPr>
        <w:t>反映</w:t>
      </w:r>
      <w:r>
        <w:rPr>
          <w:rStyle w:val="18"/>
          <w:rFonts w:hint="eastAsia" w:ascii="仿宋_GB2312" w:eastAsia="仿宋_GB2312"/>
          <w:b w:val="0"/>
          <w:color w:val="000000"/>
          <w:sz w:val="32"/>
          <w:szCs w:val="32"/>
          <w:lang w:eastAsia="zh-CN"/>
        </w:rPr>
        <w:t>除化解债务支出以外其他用于农林水方面的支出</w:t>
      </w:r>
      <w:r>
        <w:rPr>
          <w:rStyle w:val="18"/>
          <w:rFonts w:hint="eastAsia" w:ascii="仿宋_GB2312" w:eastAsia="仿宋_GB2312"/>
          <w:b w:val="0"/>
          <w:color w:val="000000"/>
          <w:sz w:val="32"/>
          <w:szCs w:val="32"/>
        </w:rPr>
        <w:t>。</w:t>
      </w:r>
    </w:p>
    <w:p>
      <w:pPr>
        <w:pStyle w:val="27"/>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Style w:val="18"/>
          <w:rFonts w:hint="eastAsia" w:ascii="仿宋_GB2312" w:eastAsia="仿宋_GB2312"/>
          <w:b w:val="0"/>
          <w:sz w:val="32"/>
          <w:szCs w:val="32"/>
        </w:rPr>
        <w:t>二十五、住房保障（类）住房改革支出（款）住房公积金（项）</w:t>
      </w:r>
      <w:r>
        <w:rPr>
          <w:rStyle w:val="18"/>
          <w:rFonts w:ascii="仿宋_GB2312" w:eastAsia="仿宋_GB2312"/>
          <w:b w:val="0"/>
          <w:sz w:val="32"/>
          <w:szCs w:val="32"/>
        </w:rPr>
        <w:t>:</w:t>
      </w:r>
      <w:r>
        <w:rPr>
          <w:rFonts w:hint="eastAsia" w:ascii="仿宋_GB2312" w:eastAsia="仿宋_GB2312"/>
          <w:sz w:val="32"/>
          <w:szCs w:val="32"/>
        </w:rPr>
        <w:t>指反映行政事业按人力资源和社会保障部、财政部规定的基本工资和津贴补贴以及规定比例为职工缴纳的住房公积金。</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二十六、基本支出：指为保障机构正常运转、完成日常工作任务而发生的人员支出和公用支出。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二十七、项目支出：指在基本支出之外为完成特定行政任务和事业发展目标所发生的支出。 </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二十八、经营支出：指事业单位在专业业务活动及其辅助活动之外开展非独立核算经营活动发生的支出。</w:t>
      </w:r>
    </w:p>
    <w:p>
      <w:pPr>
        <w:pStyle w:val="27"/>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十九、“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keepNext w:val="0"/>
        <w:keepLines w:val="0"/>
        <w:pageBreakBefore w:val="0"/>
        <w:kinsoku/>
        <w:wordWrap/>
        <w:overflowPunct/>
        <w:topLinePunct w:val="0"/>
        <w:bidi w:val="0"/>
        <w:spacing w:line="600" w:lineRule="exact"/>
        <w:ind w:firstLine="640" w:firstLineChars="200"/>
        <w:textAlignment w:val="auto"/>
        <w:rPr>
          <w:rFonts w:hint="eastAsia" w:ascii="黑体" w:hAnsi="黑体" w:eastAsia="黑体" w:cs="Times New Roman"/>
          <w:color w:val="auto"/>
          <w:kern w:val="2"/>
          <w:sz w:val="44"/>
          <w:szCs w:val="44"/>
          <w:lang w:val="en-US" w:eastAsia="zh-CN" w:bidi="ar-SA"/>
        </w:rPr>
      </w:pPr>
      <w:r>
        <w:rPr>
          <w:rFonts w:hint="eastAsia" w:ascii="仿宋_GB2312" w:hAnsi="仿宋_GB2312" w:eastAsia="仿宋_GB2312" w:cs="仿宋_GB2312"/>
          <w:bCs/>
          <w:sz w:val="32"/>
          <w:szCs w:val="32"/>
        </w:rPr>
        <w:t>三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24" w:name="_Toc15377226"/>
      <w:r>
        <w:rPr>
          <w:rFonts w:ascii="宋体"/>
          <w:b/>
          <w:sz w:val="44"/>
          <w:szCs w:val="44"/>
        </w:rPr>
        <w:br w:type="page"/>
      </w:r>
      <w:bookmarkStart w:id="125" w:name="_Toc15396614"/>
      <w:r>
        <w:rPr>
          <w:rFonts w:hint="eastAsia" w:ascii="宋体"/>
          <w:b/>
          <w:sz w:val="44"/>
          <w:szCs w:val="44"/>
          <w:lang w:val="en-US" w:eastAsia="zh-CN"/>
        </w:rPr>
        <w:t xml:space="preserve">            </w:t>
      </w:r>
      <w:r>
        <w:rPr>
          <w:rFonts w:hint="eastAsia" w:ascii="黑体" w:hAnsi="黑体" w:eastAsia="黑体" w:cs="Times New Roman"/>
          <w:color w:val="auto"/>
          <w:kern w:val="2"/>
          <w:sz w:val="44"/>
          <w:szCs w:val="44"/>
          <w:lang w:val="en-US" w:eastAsia="zh-CN" w:bidi="ar-SA"/>
        </w:rPr>
        <w:t>第四部分 附件</w:t>
      </w:r>
      <w:bookmarkEnd w:id="125"/>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 w:val="0"/>
          <w:bCs w:val="0"/>
          <w:sz w:val="44"/>
          <w:szCs w:val="44"/>
          <w:shd w:val="clear" w:color="auto" w:fill="FFFFFF"/>
        </w:rPr>
      </w:pPr>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outlineLvl w:val="0"/>
        <w:rPr>
          <w:rFonts w:hint="eastAsia" w:ascii="方正小标宋简体" w:hAnsi="方正小标宋简体" w:eastAsia="方正小标宋简体" w:cs="方正小标宋简体"/>
          <w:b w:val="0"/>
          <w:bCs w:val="0"/>
          <w:sz w:val="44"/>
          <w:szCs w:val="44"/>
          <w:shd w:val="clear" w:color="auto" w:fill="FFFFFF"/>
        </w:rPr>
      </w:pPr>
      <w:bookmarkStart w:id="126" w:name="_Toc7300"/>
      <w:r>
        <w:rPr>
          <w:rFonts w:hint="eastAsia" w:ascii="方正小标宋简体" w:hAnsi="方正小标宋简体" w:eastAsia="方正小标宋简体" w:cs="方正小标宋简体"/>
          <w:b w:val="0"/>
          <w:bCs w:val="0"/>
          <w:sz w:val="44"/>
          <w:szCs w:val="44"/>
          <w:shd w:val="clear" w:color="auto" w:fill="FFFFFF"/>
        </w:rPr>
        <w:t>20</w:t>
      </w:r>
      <w:r>
        <w:rPr>
          <w:rFonts w:hint="eastAsia" w:ascii="方正小标宋简体" w:hAnsi="方正小标宋简体" w:eastAsia="方正小标宋简体" w:cs="方正小标宋简体"/>
          <w:b w:val="0"/>
          <w:bCs w:val="0"/>
          <w:sz w:val="44"/>
          <w:szCs w:val="44"/>
          <w:shd w:val="clear" w:color="auto" w:fill="FFFFFF"/>
          <w:lang w:val="en-US" w:eastAsia="zh-CN"/>
        </w:rPr>
        <w:t>23</w:t>
      </w:r>
      <w:r>
        <w:rPr>
          <w:rFonts w:hint="eastAsia" w:ascii="方正小标宋简体" w:hAnsi="方正小标宋简体" w:eastAsia="方正小标宋简体" w:cs="方正小标宋简体"/>
          <w:b w:val="0"/>
          <w:bCs w:val="0"/>
          <w:sz w:val="44"/>
          <w:szCs w:val="44"/>
          <w:shd w:val="clear" w:color="auto" w:fill="FFFFFF"/>
        </w:rPr>
        <w:t>年峨眉山市龙门乡人民政府</w:t>
      </w:r>
      <w:bookmarkEnd w:id="126"/>
    </w:p>
    <w:p>
      <w:pPr>
        <w:keepNext w:val="0"/>
        <w:keepLines w:val="0"/>
        <w:pageBreakBefore w:val="0"/>
        <w:widowControl/>
        <w:kinsoku/>
        <w:wordWrap/>
        <w:overflowPunct/>
        <w:topLinePunct w:val="0"/>
        <w:autoSpaceDE/>
        <w:autoSpaceDN/>
        <w:bidi w:val="0"/>
        <w:adjustRightInd/>
        <w:snapToGrid/>
        <w:spacing w:line="640" w:lineRule="exact"/>
        <w:contextualSpacing/>
        <w:jc w:val="center"/>
        <w:textAlignment w:val="auto"/>
        <w:outlineLvl w:val="0"/>
        <w:rPr>
          <w:rFonts w:ascii="黑体" w:hAnsi="宋体" w:eastAsia="黑体" w:cs="宋体"/>
          <w:b w:val="0"/>
          <w:bCs w:val="0"/>
          <w:color w:val="000000"/>
          <w:kern w:val="0"/>
          <w:sz w:val="24"/>
          <w:szCs w:val="32"/>
          <w:shd w:val="clear" w:color="auto" w:fill="FFFFFF"/>
        </w:rPr>
      </w:pPr>
      <w:bookmarkStart w:id="127" w:name="_Toc14475"/>
      <w:r>
        <w:rPr>
          <w:rFonts w:hint="eastAsia" w:ascii="方正小标宋简体" w:hAnsi="方正小标宋简体" w:eastAsia="方正小标宋简体" w:cs="方正小标宋简体"/>
          <w:b w:val="0"/>
          <w:bCs w:val="0"/>
          <w:sz w:val="44"/>
          <w:szCs w:val="44"/>
          <w:shd w:val="clear" w:color="auto" w:fill="FFFFFF"/>
        </w:rPr>
        <w:t>整体支出绩效评价报告</w:t>
      </w:r>
      <w:bookmarkEnd w:id="127"/>
    </w:p>
    <w:p>
      <w:pPr>
        <w:pStyle w:val="2"/>
      </w:pP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outlineLvl w:val="0"/>
        <w:rPr>
          <w:rFonts w:hint="eastAsia" w:ascii="黑体" w:hAnsi="宋体" w:eastAsia="黑体" w:cs="宋体"/>
          <w:b w:val="0"/>
          <w:bCs w:val="0"/>
          <w:color w:val="000000"/>
          <w:kern w:val="0"/>
          <w:sz w:val="32"/>
          <w:szCs w:val="32"/>
          <w:shd w:val="clear" w:color="auto" w:fill="FFFFFF"/>
          <w:lang w:val="zh-CN"/>
        </w:rPr>
      </w:pPr>
      <w:bookmarkStart w:id="128" w:name="_Toc7585"/>
      <w:r>
        <w:rPr>
          <w:rFonts w:hint="eastAsia" w:ascii="黑体" w:hAnsi="宋体" w:eastAsia="黑体" w:cs="宋体"/>
          <w:b w:val="0"/>
          <w:bCs w:val="0"/>
          <w:color w:val="000000"/>
          <w:kern w:val="0"/>
          <w:sz w:val="32"/>
          <w:szCs w:val="32"/>
          <w:shd w:val="clear" w:color="auto" w:fill="FFFFFF"/>
        </w:rPr>
        <w:t>一、</w:t>
      </w:r>
      <w:r>
        <w:rPr>
          <w:rFonts w:hint="eastAsia" w:ascii="黑体" w:hAnsi="宋体" w:eastAsia="黑体" w:cs="宋体"/>
          <w:b w:val="0"/>
          <w:bCs w:val="0"/>
          <w:color w:val="000000"/>
          <w:kern w:val="0"/>
          <w:sz w:val="32"/>
          <w:szCs w:val="32"/>
          <w:shd w:val="clear" w:color="auto" w:fill="FFFFFF"/>
          <w:lang w:val="zh-CN"/>
        </w:rPr>
        <w:t>单位概况</w:t>
      </w:r>
      <w:bookmarkEnd w:id="128"/>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000000"/>
          <w:kern w:val="0"/>
          <w:sz w:val="32"/>
          <w:szCs w:val="32"/>
          <w:shd w:val="clear" w:color="auto" w:fill="FFFFFF"/>
          <w:lang w:val="zh-CN"/>
        </w:rPr>
      </w:pPr>
      <w:r>
        <w:rPr>
          <w:rFonts w:hint="eastAsia" w:ascii="楷体_GB2312" w:hAnsi="楷体_GB2312" w:eastAsia="楷体_GB2312" w:cs="楷体_GB2312"/>
          <w:b w:val="0"/>
          <w:bCs w:val="0"/>
          <w:color w:val="000000"/>
          <w:kern w:val="0"/>
          <w:sz w:val="32"/>
          <w:szCs w:val="32"/>
          <w:shd w:val="clear" w:color="auto" w:fill="FFFFFF"/>
          <w:lang w:val="zh-CN"/>
        </w:rPr>
        <w:t>（一）机构组成。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宋体" w:cs="宋体"/>
          <w:color w:val="000000"/>
          <w:kern w:val="0"/>
          <w:sz w:val="32"/>
          <w:szCs w:val="32"/>
          <w:shd w:val="clear" w:color="auto" w:fill="FFFFFF"/>
          <w:lang w:val="zh-CN" w:eastAsia="zh-CN"/>
        </w:rPr>
        <w:t>龙门乡</w:t>
      </w:r>
      <w:r>
        <w:rPr>
          <w:rFonts w:hint="eastAsia" w:ascii="仿宋_GB2312" w:hAnsi="宋体" w:eastAsia="仿宋_GB2312" w:cs="宋体"/>
          <w:color w:val="000000"/>
          <w:kern w:val="0"/>
          <w:sz w:val="32"/>
          <w:szCs w:val="32"/>
          <w:shd w:val="clear" w:color="auto" w:fill="FFFFFF"/>
          <w:lang w:val="zh-CN" w:eastAsia="zh-CN"/>
        </w:rPr>
        <w:t>人民政府属于行政单位，是一级预算单位。本单位20</w:t>
      </w: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eastAsia="zh-CN"/>
        </w:rPr>
        <w:t>年预算编制独立核算机构1个，独立编制机构</w:t>
      </w:r>
      <w:r>
        <w:rPr>
          <w:rFonts w:hint="eastAsia" w:ascii="仿宋_GB2312" w:hAnsi="宋体"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eastAsia="zh-CN"/>
        </w:rPr>
        <w:t>个，其中：事业</w:t>
      </w:r>
      <w:r>
        <w:rPr>
          <w:rFonts w:hint="eastAsia" w:ascii="仿宋_GB2312" w:hAnsi="宋体" w:cs="宋体"/>
          <w:color w:val="000000"/>
          <w:kern w:val="0"/>
          <w:sz w:val="32"/>
          <w:szCs w:val="32"/>
          <w:shd w:val="clear" w:color="auto" w:fill="FFFFFF"/>
          <w:lang w:val="en-US" w:eastAsia="zh-CN"/>
        </w:rPr>
        <w:t>3</w:t>
      </w:r>
      <w:r>
        <w:rPr>
          <w:rFonts w:hint="eastAsia" w:ascii="仿宋_GB2312" w:hAnsi="宋体" w:eastAsia="仿宋_GB2312" w:cs="宋体"/>
          <w:color w:val="000000"/>
          <w:kern w:val="0"/>
          <w:sz w:val="32"/>
          <w:szCs w:val="32"/>
          <w:shd w:val="clear" w:color="auto" w:fill="FFFFFF"/>
          <w:lang w:val="zh-CN" w:eastAsia="zh-CN"/>
        </w:rPr>
        <w:t>个，分别是</w:t>
      </w:r>
      <w:r>
        <w:rPr>
          <w:rFonts w:hint="eastAsia" w:ascii="仿宋_GB2312" w:hAnsi="仿宋_GB2312" w:eastAsia="仿宋_GB2312" w:cs="仿宋_GB2312"/>
          <w:color w:val="auto"/>
          <w:spacing w:val="0"/>
          <w:w w:val="100"/>
          <w:kern w:val="2"/>
          <w:sz w:val="32"/>
          <w:szCs w:val="32"/>
          <w:lang w:val="en-US" w:eastAsia="zh-CN" w:bidi="zh-CN"/>
        </w:rPr>
        <w:t>便民服务中心、农业综合服务中心、文化旅游服务中心。</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机构职能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cs="仿宋_GB2312"/>
          <w:color w:val="auto"/>
          <w:spacing w:val="0"/>
          <w:w w:val="100"/>
          <w:kern w:val="2"/>
          <w:sz w:val="32"/>
          <w:szCs w:val="32"/>
          <w:lang w:val="en-US" w:eastAsia="zh-CN" w:bidi="zh-CN"/>
        </w:rPr>
        <w:t>龙门乡</w:t>
      </w:r>
      <w:r>
        <w:rPr>
          <w:rFonts w:hint="eastAsia" w:ascii="仿宋_GB2312" w:hAnsi="仿宋_GB2312" w:eastAsia="仿宋_GB2312" w:cs="仿宋_GB2312"/>
          <w:color w:val="auto"/>
          <w:spacing w:val="0"/>
          <w:w w:val="100"/>
          <w:kern w:val="2"/>
          <w:sz w:val="32"/>
          <w:szCs w:val="32"/>
          <w:lang w:val="en-US" w:eastAsia="zh-CN" w:bidi="zh-CN"/>
        </w:rPr>
        <w:t>行政机构设7个综合性办公室：党政办公室、党建办公室、社会事务办公室、综合执法办公室、规划建设管理办公室、乡村振兴办公室、财政所。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outlineLvl w:val="9"/>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en-US" w:eastAsia="zh-CN" w:bidi="zh-CN"/>
        </w:rPr>
        <w:t>行政机构主要职责：（一）负责</w:t>
      </w:r>
      <w:r>
        <w:rPr>
          <w:rFonts w:hint="eastAsia" w:ascii="仿宋_GB2312" w:hAnsi="仿宋_GB2312" w:cs="仿宋_GB2312"/>
          <w:color w:val="auto"/>
          <w:spacing w:val="0"/>
          <w:w w:val="100"/>
          <w:kern w:val="2"/>
          <w:sz w:val="32"/>
          <w:szCs w:val="32"/>
          <w:lang w:val="en-US" w:eastAsia="zh-CN" w:bidi="zh-CN"/>
        </w:rPr>
        <w:t>乡</w:t>
      </w:r>
      <w:r>
        <w:rPr>
          <w:rFonts w:hint="eastAsia" w:ascii="仿宋_GB2312" w:hAnsi="仿宋_GB2312" w:eastAsia="仿宋_GB2312" w:cs="仿宋_GB2312"/>
          <w:color w:val="auto"/>
          <w:spacing w:val="0"/>
          <w:w w:val="100"/>
          <w:kern w:val="2"/>
          <w:sz w:val="32"/>
          <w:szCs w:val="32"/>
          <w:lang w:val="en-US" w:eastAsia="zh-CN" w:bidi="zh-CN"/>
        </w:rPr>
        <w:t>党委、政府工作的统筹谋划、综合协调、后勤保障等工作。（二）负责指导基层党组织建设等工作。（三）负责民政、社保、医保、教育、科技、文化、卫生健康等社会事业发展以及基层治理、综治维稳、矛盾化解、平安建设等工作。（四）负责整合执法力量，统一指挥协调开展综合执法工作；负责安全、应急等相关工作。（五）负责</w:t>
      </w:r>
      <w:r>
        <w:rPr>
          <w:rFonts w:hint="eastAsia" w:ascii="仿宋_GB2312" w:hAnsi="仿宋_GB2312" w:cs="仿宋_GB2312"/>
          <w:color w:val="auto"/>
          <w:spacing w:val="0"/>
          <w:w w:val="100"/>
          <w:kern w:val="2"/>
          <w:sz w:val="32"/>
          <w:szCs w:val="32"/>
          <w:lang w:val="en-US" w:eastAsia="zh-CN" w:bidi="zh-CN"/>
        </w:rPr>
        <w:t>乡</w:t>
      </w:r>
      <w:r>
        <w:rPr>
          <w:rFonts w:hint="eastAsia" w:ascii="仿宋_GB2312" w:hAnsi="仿宋_GB2312" w:eastAsia="仿宋_GB2312" w:cs="仿宋_GB2312"/>
          <w:color w:val="auto"/>
          <w:spacing w:val="0"/>
          <w:w w:val="100"/>
          <w:kern w:val="2"/>
          <w:sz w:val="32"/>
          <w:szCs w:val="32"/>
          <w:lang w:val="en-US" w:eastAsia="zh-CN" w:bidi="zh-CN"/>
        </w:rPr>
        <w:t>国土空间规划、村</w:t>
      </w:r>
      <w:r>
        <w:rPr>
          <w:rFonts w:hint="eastAsia" w:ascii="仿宋_GB2312" w:hAnsi="仿宋_GB2312" w:cs="仿宋_GB2312"/>
          <w:color w:val="auto"/>
          <w:spacing w:val="0"/>
          <w:w w:val="100"/>
          <w:kern w:val="2"/>
          <w:sz w:val="32"/>
          <w:szCs w:val="32"/>
          <w:lang w:val="en-US" w:eastAsia="zh-CN" w:bidi="zh-CN"/>
        </w:rPr>
        <w:t>乡</w:t>
      </w:r>
      <w:r>
        <w:rPr>
          <w:rFonts w:hint="eastAsia" w:ascii="仿宋_GB2312" w:hAnsi="仿宋_GB2312" w:eastAsia="仿宋_GB2312" w:cs="仿宋_GB2312"/>
          <w:color w:val="auto"/>
          <w:spacing w:val="0"/>
          <w:w w:val="100"/>
          <w:kern w:val="2"/>
          <w:sz w:val="32"/>
          <w:szCs w:val="32"/>
          <w:lang w:val="en-US" w:eastAsia="zh-CN" w:bidi="zh-CN"/>
        </w:rPr>
        <w:t>建设管理等相关工作以及自然资源和生态环境保护、城乡环境治理、人居环境整治等工作。（六）负责统筹协调乡村振兴、脱贫攻坚、经济发展等相关工作。（七）负责</w:t>
      </w:r>
      <w:r>
        <w:rPr>
          <w:rFonts w:hint="eastAsia" w:ascii="仿宋_GB2312" w:hAnsi="仿宋_GB2312" w:cs="仿宋_GB2312"/>
          <w:color w:val="auto"/>
          <w:spacing w:val="0"/>
          <w:w w:val="100"/>
          <w:kern w:val="2"/>
          <w:sz w:val="32"/>
          <w:szCs w:val="32"/>
          <w:lang w:val="en-US" w:eastAsia="zh-CN" w:bidi="zh-CN"/>
        </w:rPr>
        <w:t>乡</w:t>
      </w:r>
      <w:r>
        <w:rPr>
          <w:rFonts w:hint="eastAsia" w:ascii="仿宋_GB2312" w:hAnsi="仿宋_GB2312" w:eastAsia="仿宋_GB2312" w:cs="仿宋_GB2312"/>
          <w:color w:val="auto"/>
          <w:spacing w:val="0"/>
          <w:w w:val="100"/>
          <w:kern w:val="2"/>
          <w:sz w:val="32"/>
          <w:szCs w:val="32"/>
          <w:lang w:val="en-US" w:eastAsia="zh-CN" w:bidi="zh-CN"/>
        </w:rPr>
        <w:t>财务和村级财务的管理指导等相关工作。</w:t>
      </w:r>
    </w:p>
    <w:p>
      <w:pPr>
        <w:pStyle w:val="2"/>
        <w:keepNext w:val="0"/>
        <w:keepLines w:val="0"/>
        <w:pageBreakBefore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pacing w:val="0"/>
          <w:w w:val="100"/>
          <w:kern w:val="2"/>
          <w:sz w:val="32"/>
          <w:szCs w:val="32"/>
          <w:lang w:val="en-US" w:eastAsia="zh-CN" w:bidi="zh-CN"/>
        </w:rPr>
      </w:pPr>
      <w:r>
        <w:rPr>
          <w:rFonts w:hint="eastAsia" w:ascii="仿宋_GB2312" w:hAnsi="仿宋_GB2312" w:eastAsia="仿宋_GB2312" w:cs="仿宋_GB2312"/>
          <w:color w:val="auto"/>
          <w:spacing w:val="0"/>
          <w:w w:val="100"/>
          <w:kern w:val="2"/>
          <w:sz w:val="32"/>
          <w:szCs w:val="32"/>
          <w:lang w:val="zh-CN" w:eastAsia="zh-CN" w:bidi="zh-CN"/>
        </w:rPr>
        <w:t>三个事业机构：</w:t>
      </w:r>
      <w:r>
        <w:rPr>
          <w:rFonts w:hint="eastAsia" w:ascii="仿宋_GB2312" w:hAnsi="仿宋_GB2312" w:eastAsia="仿宋_GB2312" w:cs="仿宋_GB2312"/>
          <w:color w:val="auto"/>
          <w:spacing w:val="0"/>
          <w:w w:val="100"/>
          <w:kern w:val="2"/>
          <w:sz w:val="32"/>
          <w:szCs w:val="32"/>
          <w:lang w:val="en-US" w:eastAsia="zh-CN" w:bidi="zh-CN"/>
        </w:rPr>
        <w:t>便民服务中心、农业综合服务中心、文化旅游服务中心。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outlineLvl w:val="9"/>
        <w:rPr>
          <w:rFonts w:hint="eastAsia"/>
          <w:lang w:val="zh-CN"/>
        </w:rPr>
      </w:pPr>
      <w:r>
        <w:rPr>
          <w:rFonts w:hint="eastAsia" w:ascii="仿宋_GB2312" w:hAnsi="仿宋_GB2312" w:eastAsia="仿宋_GB2312" w:cs="仿宋_GB2312"/>
          <w:color w:val="auto"/>
          <w:spacing w:val="0"/>
          <w:w w:val="100"/>
          <w:kern w:val="2"/>
          <w:sz w:val="32"/>
          <w:szCs w:val="32"/>
          <w:lang w:val="en-US" w:eastAsia="zh-CN" w:bidi="zh-CN"/>
        </w:rPr>
        <w:t>事业机构主要职责：（一）承担公共服务事项和行政审批集中受理以及退役军人服务等相关事务性工作。（二）承担为农业农村发展提供综合服务。（三）承担为文化旅游建设、服务等工作。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color w:val="auto"/>
          <w:spacing w:val="0"/>
          <w:w w:val="100"/>
          <w:kern w:val="2"/>
          <w:sz w:val="32"/>
          <w:szCs w:val="32"/>
          <w:lang w:val="en-US" w:eastAsia="zh-CN" w:bidi="zh-CN"/>
        </w:rPr>
      </w:pPr>
      <w:r>
        <w:rPr>
          <w:rFonts w:hint="eastAsia" w:ascii="楷体_GB2312" w:hAnsi="楷体_GB2312" w:eastAsia="楷体_GB2312" w:cs="楷体_GB2312"/>
          <w:color w:val="000000"/>
          <w:kern w:val="0"/>
          <w:sz w:val="32"/>
          <w:szCs w:val="32"/>
          <w:shd w:val="clear" w:color="auto" w:fill="FFFFFF"/>
          <w:lang w:val="zh-CN"/>
        </w:rPr>
        <w:t>（三）人员概况。</w:t>
      </w:r>
      <w:r>
        <w:rPr>
          <w:rFonts w:hint="eastAsia" w:ascii="仿宋_GB2312" w:hAnsi="仿宋_GB2312" w:eastAsia="仿宋_GB2312" w:cs="仿宋_GB2312"/>
          <w:color w:val="auto"/>
          <w:spacing w:val="0"/>
          <w:w w:val="100"/>
          <w:kern w:val="2"/>
          <w:sz w:val="32"/>
          <w:szCs w:val="32"/>
          <w:lang w:val="en-US" w:eastAsia="zh-CN" w:bidi="zh-CN"/>
        </w:rPr>
        <w:t>峨眉山市龙门乡人民政府在编人员20人，较上年增加</w:t>
      </w:r>
      <w:r>
        <w:rPr>
          <w:rFonts w:hint="eastAsia" w:ascii="仿宋_GB2312" w:hAnsi="仿宋_GB2312" w:cs="仿宋_GB2312"/>
          <w:color w:val="auto"/>
          <w:spacing w:val="0"/>
          <w:w w:val="100"/>
          <w:kern w:val="2"/>
          <w:sz w:val="32"/>
          <w:szCs w:val="32"/>
          <w:lang w:val="en-US" w:eastAsia="zh-CN" w:bidi="zh-CN"/>
        </w:rPr>
        <w:t>0</w:t>
      </w:r>
      <w:r>
        <w:rPr>
          <w:rFonts w:hint="eastAsia" w:ascii="仿宋_GB2312" w:hAnsi="仿宋_GB2312" w:eastAsia="仿宋_GB2312" w:cs="仿宋_GB2312"/>
          <w:color w:val="auto"/>
          <w:spacing w:val="0"/>
          <w:w w:val="100"/>
          <w:kern w:val="2"/>
          <w:sz w:val="32"/>
          <w:szCs w:val="32"/>
          <w:lang w:val="en-US" w:eastAsia="zh-CN" w:bidi="zh-CN"/>
        </w:rPr>
        <w:t>人，峨眉山市龙门乡文化旅游服务中心在编3人、峨眉山市龙门乡农业综合服务中心在编人员3人、峨眉山市龙门乡便民服务中心在编人员7人。</w:t>
      </w: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outlineLvl w:val="0"/>
        <w:rPr>
          <w:rFonts w:hint="eastAsia" w:ascii="黑体" w:hAnsi="宋体" w:eastAsia="黑体" w:cs="宋体"/>
          <w:b w:val="0"/>
          <w:bCs w:val="0"/>
          <w:color w:val="000000"/>
          <w:kern w:val="0"/>
          <w:sz w:val="32"/>
          <w:szCs w:val="32"/>
          <w:shd w:val="clear" w:color="auto" w:fill="FFFFFF"/>
        </w:rPr>
      </w:pPr>
      <w:bookmarkStart w:id="129" w:name="_Toc25360"/>
      <w:r>
        <w:rPr>
          <w:rFonts w:hint="eastAsia" w:ascii="黑体" w:hAnsi="宋体" w:eastAsia="黑体" w:cs="宋体"/>
          <w:b w:val="0"/>
          <w:bCs w:val="0"/>
          <w:color w:val="000000"/>
          <w:kern w:val="0"/>
          <w:sz w:val="32"/>
          <w:szCs w:val="32"/>
          <w:shd w:val="clear" w:color="auto" w:fill="FFFFFF"/>
        </w:rPr>
        <w:t>二、部门财政资金收支情况</w:t>
      </w:r>
      <w:bookmarkEnd w:id="129"/>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楷体_GB2312" w:hAnsi="楷体_GB2312" w:eastAsia="楷体_GB2312" w:cs="楷体_GB2312"/>
          <w:color w:val="000000"/>
          <w:kern w:val="0"/>
          <w:sz w:val="32"/>
          <w:szCs w:val="32"/>
          <w:shd w:val="clear" w:color="auto" w:fill="FFFFFF"/>
          <w:lang w:val="zh-CN"/>
        </w:rPr>
      </w:pPr>
      <w:bookmarkStart w:id="130" w:name="_Toc5151"/>
      <w:r>
        <w:rPr>
          <w:rFonts w:hint="eastAsia" w:ascii="楷体_GB2312" w:hAnsi="楷体_GB2312" w:eastAsia="楷体_GB2312" w:cs="楷体_GB2312"/>
          <w:color w:val="000000"/>
          <w:kern w:val="0"/>
          <w:sz w:val="32"/>
          <w:szCs w:val="32"/>
          <w:shd w:val="clear" w:color="auto" w:fill="FFFFFF"/>
          <w:lang w:val="zh-CN"/>
        </w:rPr>
        <w:t>（一）部门财政资金收入情况。</w:t>
      </w:r>
      <w:bookmarkEnd w:id="130"/>
    </w:p>
    <w:p>
      <w:pPr>
        <w:keepNext w:val="0"/>
        <w:keepLines w:val="0"/>
        <w:pageBreakBefore w:val="0"/>
        <w:kinsoku/>
        <w:wordWrap/>
        <w:overflowPunct/>
        <w:topLinePunct w:val="0"/>
        <w:autoSpaceDE/>
        <w:autoSpaceDN/>
        <w:bidi w:val="0"/>
        <w:spacing w:line="560" w:lineRule="exact"/>
        <w:ind w:firstLine="709"/>
        <w:textAlignment w:val="auto"/>
        <w:rPr>
          <w:rFonts w:hint="default" w:ascii="仿宋_GB2312" w:hAnsi="仿宋" w:cs="仿宋"/>
          <w:color w:val="000000"/>
          <w:sz w:val="32"/>
          <w:szCs w:val="32"/>
          <w:lang w:val="en-US" w:eastAsia="zh-CN"/>
        </w:rPr>
      </w:pPr>
      <w:r>
        <w:rPr>
          <w:rFonts w:hint="eastAsia" w:ascii="仿宋_GB2312" w:hAnsi="仿宋_GB2312" w:eastAsia="仿宋_GB2312" w:cs="仿宋_GB2312"/>
          <w:color w:val="auto"/>
          <w:spacing w:val="0"/>
          <w:w w:val="100"/>
          <w:kern w:val="2"/>
          <w:sz w:val="32"/>
          <w:szCs w:val="32"/>
          <w:lang w:val="en-US" w:eastAsia="zh-CN" w:bidi="zh-CN"/>
        </w:rPr>
        <w:t>本单位202</w:t>
      </w:r>
      <w:r>
        <w:rPr>
          <w:rFonts w:hint="eastAsia" w:ascii="仿宋_GB2312" w:hAnsi="仿宋_GB2312" w:cs="仿宋_GB2312"/>
          <w:color w:val="auto"/>
          <w:spacing w:val="0"/>
          <w:w w:val="100"/>
          <w:kern w:val="2"/>
          <w:sz w:val="32"/>
          <w:szCs w:val="32"/>
          <w:lang w:val="en-US" w:eastAsia="zh-CN" w:bidi="zh-CN"/>
        </w:rPr>
        <w:t>2</w:t>
      </w:r>
      <w:r>
        <w:rPr>
          <w:rFonts w:hint="eastAsia" w:ascii="仿宋_GB2312" w:hAnsi="仿宋_GB2312" w:eastAsia="仿宋_GB2312" w:cs="仿宋_GB2312"/>
          <w:color w:val="auto"/>
          <w:spacing w:val="0"/>
          <w:w w:val="100"/>
          <w:kern w:val="2"/>
          <w:sz w:val="32"/>
          <w:szCs w:val="32"/>
          <w:lang w:val="en-US" w:eastAsia="zh-CN" w:bidi="zh-CN"/>
        </w:rPr>
        <w:t>年总收入</w:t>
      </w:r>
      <w:r>
        <w:rPr>
          <w:rFonts w:hint="eastAsia" w:ascii="仿宋_GB2312" w:hAnsi="仿宋" w:eastAsia="仿宋_GB2312"/>
          <w:sz w:val="32"/>
          <w:szCs w:val="32"/>
          <w:lang w:val="en-US" w:eastAsia="zh-CN"/>
        </w:rPr>
        <w:t>1246.46</w:t>
      </w:r>
      <w:r>
        <w:rPr>
          <w:rFonts w:hint="eastAsia" w:ascii="仿宋_GB2312" w:hAnsi="仿宋_GB2312" w:eastAsia="仿宋_GB2312" w:cs="仿宋_GB2312"/>
          <w:color w:val="auto"/>
          <w:spacing w:val="0"/>
          <w:w w:val="100"/>
          <w:kern w:val="2"/>
          <w:sz w:val="32"/>
          <w:szCs w:val="32"/>
          <w:lang w:val="en-US" w:eastAsia="zh-CN" w:bidi="zh-CN"/>
        </w:rPr>
        <w:t>元，其中财政拨款收入</w:t>
      </w:r>
      <w:r>
        <w:rPr>
          <w:rFonts w:hint="eastAsia" w:ascii="仿宋_GB2312" w:hAnsi="仿宋" w:eastAsia="仿宋_GB2312"/>
          <w:sz w:val="32"/>
          <w:szCs w:val="32"/>
          <w:lang w:val="en-US" w:eastAsia="zh-CN"/>
        </w:rPr>
        <w:t>1242.68</w:t>
      </w:r>
      <w:r>
        <w:rPr>
          <w:rFonts w:hint="eastAsia" w:ascii="仿宋_GB2312" w:hAnsi="仿宋_GB2312" w:eastAsia="仿宋_GB2312" w:cs="仿宋_GB2312"/>
          <w:color w:val="auto"/>
          <w:spacing w:val="0"/>
          <w:w w:val="100"/>
          <w:kern w:val="2"/>
          <w:sz w:val="32"/>
          <w:szCs w:val="32"/>
          <w:lang w:val="en-US" w:eastAsia="zh-CN" w:bidi="zh-CN"/>
        </w:rPr>
        <w:t>万元，</w:t>
      </w:r>
      <w:r>
        <w:rPr>
          <w:rFonts w:hint="eastAsia" w:ascii="仿宋_GB2312" w:hAnsi="宋体" w:cs="宋体"/>
          <w:color w:val="000000"/>
          <w:kern w:val="0"/>
          <w:szCs w:val="32"/>
          <w:shd w:val="clear" w:color="auto" w:fill="FFFFFF"/>
          <w:lang w:val="zh-CN"/>
        </w:rPr>
        <w:t>占总</w:t>
      </w:r>
      <w:r>
        <w:rPr>
          <w:rFonts w:hint="eastAsia" w:ascii="仿宋_GB2312" w:hAnsi="宋体" w:cs="宋体"/>
          <w:color w:val="000000"/>
          <w:kern w:val="0"/>
          <w:szCs w:val="32"/>
          <w:shd w:val="clear" w:color="auto" w:fill="FFFFFF"/>
          <w:lang w:val="zh-CN" w:eastAsia="zh-CN"/>
        </w:rPr>
        <w:t>收入</w:t>
      </w:r>
      <w:r>
        <w:rPr>
          <w:rFonts w:hint="eastAsia" w:ascii="仿宋_GB2312" w:hAnsi="宋体" w:cs="宋体"/>
          <w:color w:val="000000"/>
          <w:kern w:val="0"/>
          <w:szCs w:val="32"/>
          <w:shd w:val="clear" w:color="auto" w:fill="FFFFFF"/>
          <w:lang w:val="zh-CN"/>
        </w:rPr>
        <w:t>的</w:t>
      </w:r>
      <w:r>
        <w:rPr>
          <w:rFonts w:hint="eastAsia" w:ascii="仿宋_GB2312" w:hAnsi="仿宋" w:eastAsia="仿宋_GB2312"/>
          <w:sz w:val="32"/>
          <w:szCs w:val="32"/>
          <w:lang w:val="en-US" w:eastAsia="zh-CN"/>
        </w:rPr>
        <w:t>99.7</w:t>
      </w:r>
      <w:r>
        <w:rPr>
          <w:rFonts w:hint="eastAsia" w:ascii="仿宋_GB2312" w:hAnsi="宋体" w:cs="宋体"/>
          <w:color w:val="000000"/>
          <w:kern w:val="0"/>
          <w:szCs w:val="32"/>
          <w:shd w:val="clear" w:color="auto" w:fill="FFFFFF"/>
          <w:lang w:val="zh-CN"/>
        </w:rPr>
        <w:t>%</w:t>
      </w:r>
      <w:r>
        <w:rPr>
          <w:rFonts w:hint="eastAsia" w:ascii="仿宋_GB2312" w:hAnsi="仿宋_GB2312" w:eastAsia="仿宋_GB2312" w:cs="仿宋_GB2312"/>
          <w:color w:val="auto"/>
          <w:spacing w:val="0"/>
          <w:w w:val="100"/>
          <w:kern w:val="2"/>
          <w:sz w:val="32"/>
          <w:szCs w:val="32"/>
          <w:lang w:val="en-US" w:eastAsia="zh-CN" w:bidi="zh-CN"/>
        </w:rPr>
        <w:t>；(其中一般公共预算财政拨款收入</w:t>
      </w:r>
      <w:r>
        <w:rPr>
          <w:rFonts w:hint="eastAsia" w:ascii="仿宋_GB2312" w:hAnsi="仿宋" w:eastAsia="仿宋_GB2312"/>
          <w:sz w:val="32"/>
          <w:szCs w:val="32"/>
          <w:lang w:val="en-US" w:eastAsia="zh-CN"/>
        </w:rPr>
        <w:t>1009</w:t>
      </w:r>
      <w:r>
        <w:rPr>
          <w:rFonts w:hint="eastAsia" w:ascii="仿宋_GB2312" w:hAnsi="仿宋"/>
          <w:sz w:val="32"/>
          <w:szCs w:val="32"/>
          <w:lang w:val="en-US" w:eastAsia="zh-CN"/>
        </w:rPr>
        <w:t>.</w:t>
      </w:r>
      <w:r>
        <w:rPr>
          <w:rFonts w:hint="eastAsia" w:ascii="仿宋_GB2312" w:hAnsi="仿宋" w:eastAsia="仿宋_GB2312"/>
          <w:sz w:val="32"/>
          <w:szCs w:val="32"/>
          <w:lang w:val="en-US" w:eastAsia="zh-CN"/>
        </w:rPr>
        <w:t>26</w:t>
      </w:r>
      <w:r>
        <w:rPr>
          <w:rFonts w:hint="eastAsia" w:ascii="仿宋_GB2312" w:hAnsi="仿宋_GB2312" w:eastAsia="仿宋_GB2312" w:cs="仿宋_GB2312"/>
          <w:color w:val="auto"/>
          <w:spacing w:val="0"/>
          <w:w w:val="100"/>
          <w:kern w:val="2"/>
          <w:sz w:val="32"/>
          <w:szCs w:val="32"/>
          <w:lang w:val="en-US" w:eastAsia="zh-CN" w:bidi="zh-CN"/>
        </w:rPr>
        <w:t>万元，政府性基金预算财政拨款收入233</w:t>
      </w:r>
      <w:r>
        <w:rPr>
          <w:rFonts w:hint="eastAsia" w:ascii="仿宋_GB2312" w:hAnsi="仿宋_GB2312" w:cs="仿宋_GB2312"/>
          <w:color w:val="auto"/>
          <w:spacing w:val="0"/>
          <w:w w:val="100"/>
          <w:kern w:val="2"/>
          <w:sz w:val="32"/>
          <w:szCs w:val="32"/>
          <w:lang w:val="en-US" w:eastAsia="zh-CN" w:bidi="zh-CN"/>
        </w:rPr>
        <w:t>.</w:t>
      </w:r>
      <w:r>
        <w:rPr>
          <w:rFonts w:hint="eastAsia" w:ascii="仿宋_GB2312" w:hAnsi="仿宋_GB2312" w:eastAsia="仿宋_GB2312" w:cs="仿宋_GB2312"/>
          <w:color w:val="auto"/>
          <w:spacing w:val="0"/>
          <w:w w:val="100"/>
          <w:kern w:val="2"/>
          <w:sz w:val="32"/>
          <w:szCs w:val="32"/>
          <w:lang w:val="en-US" w:eastAsia="zh-CN" w:bidi="zh-CN"/>
        </w:rPr>
        <w:t>4</w:t>
      </w:r>
      <w:r>
        <w:rPr>
          <w:rFonts w:hint="eastAsia" w:ascii="仿宋_GB2312" w:hAnsi="仿宋_GB2312" w:cs="仿宋_GB2312"/>
          <w:color w:val="auto"/>
          <w:spacing w:val="0"/>
          <w:w w:val="100"/>
          <w:kern w:val="2"/>
          <w:sz w:val="32"/>
          <w:szCs w:val="32"/>
          <w:lang w:val="en-US" w:eastAsia="zh-CN" w:bidi="zh-CN"/>
        </w:rPr>
        <w:t>2</w:t>
      </w:r>
      <w:r>
        <w:rPr>
          <w:rFonts w:hint="eastAsia" w:ascii="仿宋_GB2312" w:hAnsi="仿宋_GB2312" w:eastAsia="仿宋_GB2312" w:cs="仿宋_GB2312"/>
          <w:color w:val="auto"/>
          <w:spacing w:val="0"/>
          <w:w w:val="100"/>
          <w:kern w:val="2"/>
          <w:sz w:val="32"/>
          <w:szCs w:val="32"/>
          <w:lang w:val="en-US" w:eastAsia="zh-CN" w:bidi="zh-CN"/>
        </w:rPr>
        <w:t>万元</w:t>
      </w:r>
      <w:r>
        <w:rPr>
          <w:rFonts w:hint="eastAsia" w:ascii="仿宋_GB2312" w:hAnsi="仿宋_GB2312" w:cs="仿宋_GB2312"/>
          <w:color w:val="auto"/>
          <w:spacing w:val="0"/>
          <w:w w:val="100"/>
          <w:kern w:val="2"/>
          <w:sz w:val="32"/>
          <w:szCs w:val="32"/>
          <w:lang w:val="en-US" w:eastAsia="zh-CN" w:bidi="zh-CN"/>
        </w:rPr>
        <w:t>)</w:t>
      </w:r>
      <w:r>
        <w:rPr>
          <w:rFonts w:hint="eastAsia" w:ascii="仿宋_GB2312" w:hAnsi="仿宋_GB2312" w:eastAsia="仿宋_GB2312" w:cs="仿宋_GB2312"/>
          <w:color w:val="auto"/>
          <w:spacing w:val="0"/>
          <w:w w:val="100"/>
          <w:kern w:val="2"/>
          <w:sz w:val="32"/>
          <w:szCs w:val="32"/>
          <w:lang w:val="en-US" w:eastAsia="zh-CN" w:bidi="zh-CN"/>
        </w:rPr>
        <w:t>。上级补助收入0</w:t>
      </w:r>
      <w:r>
        <w:rPr>
          <w:rFonts w:hint="eastAsia" w:ascii="仿宋_GB2312" w:hAnsi="仿宋_GB2312" w:cs="仿宋_GB2312"/>
          <w:color w:val="auto"/>
          <w:spacing w:val="0"/>
          <w:w w:val="100"/>
          <w:kern w:val="2"/>
          <w:sz w:val="32"/>
          <w:szCs w:val="32"/>
          <w:lang w:val="en-US" w:eastAsia="zh-CN" w:bidi="zh-CN"/>
        </w:rPr>
        <w:t>万</w:t>
      </w:r>
      <w:r>
        <w:rPr>
          <w:rFonts w:hint="eastAsia" w:ascii="仿宋_GB2312" w:hAnsi="仿宋_GB2312" w:eastAsia="仿宋_GB2312" w:cs="仿宋_GB2312"/>
          <w:color w:val="auto"/>
          <w:spacing w:val="0"/>
          <w:w w:val="100"/>
          <w:kern w:val="2"/>
          <w:sz w:val="32"/>
          <w:szCs w:val="32"/>
          <w:lang w:val="en-US" w:eastAsia="zh-CN" w:bidi="zh-CN"/>
        </w:rPr>
        <w:t>元，事业收入0</w:t>
      </w:r>
      <w:r>
        <w:rPr>
          <w:rFonts w:hint="eastAsia" w:ascii="仿宋_GB2312" w:hAnsi="仿宋_GB2312" w:cs="仿宋_GB2312"/>
          <w:color w:val="auto"/>
          <w:spacing w:val="0"/>
          <w:w w:val="100"/>
          <w:kern w:val="2"/>
          <w:sz w:val="32"/>
          <w:szCs w:val="32"/>
          <w:lang w:val="en-US" w:eastAsia="zh-CN" w:bidi="zh-CN"/>
        </w:rPr>
        <w:t>万</w:t>
      </w:r>
      <w:r>
        <w:rPr>
          <w:rFonts w:hint="eastAsia" w:ascii="仿宋_GB2312" w:hAnsi="仿宋_GB2312" w:eastAsia="仿宋_GB2312" w:cs="仿宋_GB2312"/>
          <w:color w:val="auto"/>
          <w:spacing w:val="0"/>
          <w:w w:val="100"/>
          <w:kern w:val="2"/>
          <w:sz w:val="32"/>
          <w:szCs w:val="32"/>
          <w:lang w:val="en-US" w:eastAsia="zh-CN" w:bidi="zh-CN"/>
        </w:rPr>
        <w:t>元，经营收入0</w:t>
      </w:r>
      <w:r>
        <w:rPr>
          <w:rFonts w:hint="eastAsia" w:ascii="仿宋_GB2312" w:hAnsi="仿宋_GB2312" w:cs="仿宋_GB2312"/>
          <w:color w:val="auto"/>
          <w:spacing w:val="0"/>
          <w:w w:val="100"/>
          <w:kern w:val="2"/>
          <w:sz w:val="32"/>
          <w:szCs w:val="32"/>
          <w:lang w:val="en-US" w:eastAsia="zh-CN" w:bidi="zh-CN"/>
        </w:rPr>
        <w:t>万</w:t>
      </w:r>
      <w:r>
        <w:rPr>
          <w:rFonts w:hint="eastAsia" w:ascii="仿宋_GB2312" w:hAnsi="仿宋_GB2312" w:eastAsia="仿宋_GB2312" w:cs="仿宋_GB2312"/>
          <w:color w:val="auto"/>
          <w:spacing w:val="0"/>
          <w:w w:val="100"/>
          <w:kern w:val="2"/>
          <w:sz w:val="32"/>
          <w:szCs w:val="32"/>
          <w:lang w:val="en-US" w:eastAsia="zh-CN" w:bidi="zh-CN"/>
        </w:rPr>
        <w:t>元，其他收入3</w:t>
      </w:r>
      <w:r>
        <w:rPr>
          <w:rFonts w:hint="eastAsia" w:ascii="仿宋_GB2312" w:hAnsi="仿宋_GB2312" w:cs="仿宋_GB2312"/>
          <w:color w:val="auto"/>
          <w:spacing w:val="0"/>
          <w:w w:val="100"/>
          <w:kern w:val="2"/>
          <w:sz w:val="32"/>
          <w:szCs w:val="32"/>
          <w:lang w:val="en-US" w:eastAsia="zh-CN" w:bidi="zh-CN"/>
        </w:rPr>
        <w:t>.</w:t>
      </w:r>
      <w:r>
        <w:rPr>
          <w:rFonts w:hint="eastAsia" w:ascii="仿宋_GB2312" w:hAnsi="仿宋_GB2312" w:eastAsia="仿宋_GB2312" w:cs="仿宋_GB2312"/>
          <w:color w:val="auto"/>
          <w:spacing w:val="0"/>
          <w:w w:val="100"/>
          <w:kern w:val="2"/>
          <w:sz w:val="32"/>
          <w:szCs w:val="32"/>
          <w:lang w:val="en-US" w:eastAsia="zh-CN" w:bidi="zh-CN"/>
        </w:rPr>
        <w:t>7</w:t>
      </w:r>
      <w:r>
        <w:rPr>
          <w:rFonts w:hint="eastAsia" w:ascii="仿宋_GB2312" w:hAnsi="仿宋_GB2312" w:cs="仿宋_GB2312"/>
          <w:color w:val="auto"/>
          <w:spacing w:val="0"/>
          <w:w w:val="100"/>
          <w:kern w:val="2"/>
          <w:sz w:val="32"/>
          <w:szCs w:val="32"/>
          <w:lang w:val="en-US" w:eastAsia="zh-CN" w:bidi="zh-CN"/>
        </w:rPr>
        <w:t>8万</w:t>
      </w:r>
      <w:r>
        <w:rPr>
          <w:rFonts w:hint="eastAsia" w:ascii="仿宋_GB2312" w:hAnsi="仿宋_GB2312" w:eastAsia="仿宋_GB2312" w:cs="仿宋_GB2312"/>
          <w:color w:val="auto"/>
          <w:spacing w:val="0"/>
          <w:w w:val="100"/>
          <w:kern w:val="2"/>
          <w:sz w:val="32"/>
          <w:szCs w:val="32"/>
          <w:lang w:val="en-US" w:eastAsia="zh-CN" w:bidi="zh-CN"/>
        </w:rPr>
        <w:t>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楷体_GB2312" w:hAnsi="楷体_GB2312" w:eastAsia="楷体_GB2312" w:cs="楷体_GB2312"/>
          <w:color w:val="000000"/>
          <w:kern w:val="0"/>
          <w:sz w:val="32"/>
          <w:szCs w:val="32"/>
          <w:shd w:val="clear" w:color="auto" w:fill="FFFFFF"/>
          <w:lang w:val="zh-CN"/>
        </w:rPr>
      </w:pPr>
      <w:bookmarkStart w:id="131" w:name="_Toc7822"/>
      <w:r>
        <w:rPr>
          <w:rFonts w:hint="eastAsia" w:ascii="楷体_GB2312" w:hAnsi="楷体_GB2312" w:eastAsia="楷体_GB2312" w:cs="楷体_GB2312"/>
          <w:color w:val="000000"/>
          <w:kern w:val="0"/>
          <w:sz w:val="32"/>
          <w:szCs w:val="32"/>
          <w:shd w:val="clear" w:color="auto" w:fill="FFFFFF"/>
          <w:lang w:val="zh-CN"/>
        </w:rPr>
        <w:t>（二）部门财政资金支出情况。</w:t>
      </w:r>
      <w:bookmarkEnd w:id="131"/>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本单位2022年总支出1471.69万元，其中基本支出655.98万元，</w:t>
      </w:r>
      <w:r>
        <w:rPr>
          <w:rFonts w:hint="eastAsia" w:ascii="仿宋_GB2312" w:hAnsi="Times New Roman" w:eastAsia="仿宋_GB2312" w:cs="Times New Roman"/>
          <w:sz w:val="32"/>
          <w:szCs w:val="32"/>
          <w:lang w:val="zh-CN" w:eastAsia="zh-CN"/>
        </w:rPr>
        <w:t>占总支出的</w:t>
      </w:r>
      <w:r>
        <w:rPr>
          <w:rFonts w:hint="eastAsia" w:ascii="仿宋_GB2312" w:hAnsi="Times New Roman" w:eastAsia="仿宋_GB2312" w:cs="Times New Roman"/>
          <w:sz w:val="32"/>
          <w:szCs w:val="32"/>
          <w:lang w:val="en-US" w:eastAsia="zh-CN"/>
        </w:rPr>
        <w:t>44.57</w:t>
      </w:r>
      <w:r>
        <w:rPr>
          <w:rFonts w:hint="eastAsia" w:ascii="仿宋_GB2312" w:hAnsi="Times New Roman" w:eastAsia="仿宋_GB2312" w:cs="Times New Roman"/>
          <w:sz w:val="32"/>
          <w:szCs w:val="32"/>
          <w:lang w:val="zh-CN" w:eastAsia="zh-CN"/>
        </w:rPr>
        <w:t>%；</w:t>
      </w:r>
      <w:r>
        <w:rPr>
          <w:rFonts w:hint="eastAsia" w:ascii="仿宋_GB2312" w:hAnsi="Times New Roman" w:eastAsia="仿宋_GB2312" w:cs="Times New Roman"/>
          <w:sz w:val="32"/>
          <w:szCs w:val="32"/>
          <w:lang w:val="en-US" w:eastAsia="zh-CN"/>
        </w:rPr>
        <w:t>项目支出815.71万元，</w:t>
      </w:r>
      <w:r>
        <w:rPr>
          <w:rFonts w:hint="eastAsia" w:ascii="仿宋_GB2312" w:hAnsi="Times New Roman" w:eastAsia="仿宋_GB2312" w:cs="Times New Roman"/>
          <w:sz w:val="32"/>
          <w:szCs w:val="32"/>
          <w:lang w:val="zh-CN" w:eastAsia="zh-CN"/>
        </w:rPr>
        <w:t>占总支出的</w:t>
      </w:r>
      <w:r>
        <w:rPr>
          <w:rFonts w:hint="eastAsia" w:ascii="仿宋_GB2312" w:hAnsi="Times New Roman" w:eastAsia="仿宋_GB2312" w:cs="Times New Roman"/>
          <w:sz w:val="32"/>
          <w:szCs w:val="32"/>
          <w:lang w:val="en-US" w:eastAsia="zh-CN"/>
        </w:rPr>
        <w:t>55.43</w:t>
      </w:r>
      <w:r>
        <w:rPr>
          <w:rFonts w:hint="eastAsia" w:ascii="仿宋_GB2312" w:hAnsi="Times New Roman" w:eastAsia="仿宋_GB2312" w:cs="Times New Roman"/>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outlineLvl w:val="0"/>
        <w:rPr>
          <w:rFonts w:hint="eastAsia" w:ascii="黑体" w:hAnsi="宋体" w:eastAsia="黑体" w:cs="宋体"/>
          <w:b w:val="0"/>
          <w:bCs w:val="0"/>
          <w:color w:val="000000"/>
          <w:kern w:val="0"/>
          <w:sz w:val="32"/>
          <w:szCs w:val="32"/>
          <w:shd w:val="clear" w:color="auto" w:fill="FFFFFF"/>
        </w:rPr>
      </w:pPr>
      <w:bookmarkStart w:id="132" w:name="_Toc354"/>
      <w:r>
        <w:rPr>
          <w:rFonts w:hint="eastAsia" w:ascii="黑体" w:hAnsi="宋体" w:eastAsia="黑体" w:cs="宋体"/>
          <w:b w:val="0"/>
          <w:bCs w:val="0"/>
          <w:color w:val="000000"/>
          <w:kern w:val="0"/>
          <w:sz w:val="32"/>
          <w:szCs w:val="32"/>
          <w:shd w:val="clear" w:color="auto" w:fill="FFFFFF"/>
          <w:lang w:eastAsia="zh-CN"/>
        </w:rPr>
        <w:t>三、</w:t>
      </w:r>
      <w:r>
        <w:rPr>
          <w:rFonts w:hint="eastAsia" w:ascii="黑体" w:hAnsi="宋体" w:eastAsia="黑体" w:cs="宋体"/>
          <w:b w:val="0"/>
          <w:bCs w:val="0"/>
          <w:color w:val="000000"/>
          <w:kern w:val="0"/>
          <w:sz w:val="32"/>
          <w:szCs w:val="32"/>
          <w:shd w:val="clear" w:color="auto" w:fill="FFFFFF"/>
        </w:rPr>
        <w:t>部门整体预算绩效管理情况</w:t>
      </w:r>
      <w:bookmarkEnd w:id="132"/>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楷体_GB2312" w:hAnsi="楷体_GB2312" w:eastAsia="楷体_GB2312" w:cs="楷体_GB2312"/>
          <w:color w:val="000000"/>
          <w:kern w:val="0"/>
          <w:sz w:val="32"/>
          <w:szCs w:val="32"/>
          <w:shd w:val="clear" w:color="auto" w:fill="FFFFFF"/>
          <w:lang w:val="zh-CN"/>
        </w:rPr>
      </w:pPr>
      <w:bookmarkStart w:id="133" w:name="_Toc430"/>
      <w:r>
        <w:rPr>
          <w:rFonts w:hint="eastAsia" w:ascii="楷体_GB2312" w:hAnsi="楷体_GB2312" w:eastAsia="楷体_GB2312" w:cs="楷体_GB2312"/>
          <w:color w:val="000000"/>
          <w:kern w:val="0"/>
          <w:sz w:val="32"/>
          <w:szCs w:val="32"/>
          <w:shd w:val="clear" w:color="auto" w:fill="FFFFFF"/>
          <w:lang w:val="zh-CN"/>
        </w:rPr>
        <w:t>（一）部门预算项目绩效管理。</w:t>
      </w:r>
      <w:bookmarkEnd w:id="133"/>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1、按照峨眉山市财政局关于编制</w:t>
      </w:r>
      <w:r>
        <w:rPr>
          <w:rFonts w:hint="eastAsia" w:ascii="仿宋_GB2312"/>
          <w:sz w:val="32"/>
          <w:szCs w:val="32"/>
          <w:lang w:val="en-US" w:eastAsia="zh-CN"/>
        </w:rPr>
        <w:t>2023</w:t>
      </w:r>
      <w:r>
        <w:rPr>
          <w:rFonts w:hint="eastAsia" w:ascii="仿宋_GB2312" w:eastAsia="仿宋_GB2312"/>
          <w:sz w:val="32"/>
          <w:szCs w:val="32"/>
        </w:rPr>
        <w:t>年部门预算的通知和有关要求，按时完成基础款、项目库报送工作，按时完成预算编制工作并提交部门预算草案。</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仿宋_GB2312" w:eastAsia="仿宋_GB2312"/>
          <w:sz w:val="32"/>
          <w:szCs w:val="32"/>
        </w:rPr>
      </w:pPr>
      <w:r>
        <w:rPr>
          <w:rFonts w:hint="eastAsia" w:ascii="仿宋_GB2312" w:eastAsia="仿宋_GB2312"/>
          <w:sz w:val="32"/>
          <w:szCs w:val="32"/>
        </w:rPr>
        <w:t xml:space="preserve">    2、龙门乡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3、进一步强化绩效理念，健全管理制度，提高绩效评价工作质量，细化部门预算编制。</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4、在财政部门批复后二十日内向社会公开本部门预算，包括财政资金安排的“三公经费”、机关运行经费的安排、使用情况等。</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ascii="仿宋_GB2312" w:hAnsi="宋体" w:cs="宋体"/>
          <w:b w:val="0"/>
          <w:bCs w:val="0"/>
          <w:color w:val="000000"/>
          <w:kern w:val="0"/>
          <w:szCs w:val="32"/>
          <w:highlight w:val="red"/>
          <w:shd w:val="clear" w:color="auto" w:fill="FFFFFF"/>
          <w:lang w:val="zh-CN"/>
        </w:rPr>
      </w:pPr>
      <w:r>
        <w:rPr>
          <w:rFonts w:hint="eastAsia" w:ascii="仿宋_GB2312" w:eastAsia="仿宋_GB2312"/>
          <w:sz w:val="32"/>
          <w:szCs w:val="32"/>
        </w:rPr>
        <w:t>5、认真编报决算报表，无应编未编、虚假混编等现象。并按要求对重点支出项目、三公经费及结余结转情况进行公开。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楷体_GB2312" w:hAnsi="楷体_GB2312" w:eastAsia="楷体_GB2312" w:cs="楷体_GB2312"/>
          <w:color w:val="000000"/>
          <w:kern w:val="0"/>
          <w:sz w:val="32"/>
          <w:szCs w:val="32"/>
          <w:shd w:val="clear" w:color="auto" w:fill="FFFFFF"/>
          <w:lang w:val="zh-CN"/>
        </w:rPr>
      </w:pPr>
      <w:bookmarkStart w:id="134" w:name="_Toc14556"/>
      <w:r>
        <w:rPr>
          <w:rFonts w:hint="eastAsia" w:ascii="楷体_GB2312" w:hAnsi="楷体_GB2312" w:eastAsia="楷体_GB2312" w:cs="楷体_GB2312"/>
          <w:color w:val="000000"/>
          <w:kern w:val="0"/>
          <w:sz w:val="32"/>
          <w:szCs w:val="32"/>
          <w:shd w:val="clear" w:color="auto" w:fill="FFFFFF"/>
          <w:lang w:val="zh-CN"/>
        </w:rPr>
        <w:t>（二）结果应用情况。</w:t>
      </w:r>
      <w:bookmarkEnd w:id="134"/>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_GB2312" w:hAnsi="宋体" w:eastAsia="仿宋_GB2312"/>
          <w:sz w:val="32"/>
          <w:szCs w:val="32"/>
        </w:rPr>
      </w:pPr>
      <w:r>
        <w:rPr>
          <w:rFonts w:hint="eastAsia" w:ascii="仿宋_GB2312" w:hAnsi="宋体" w:eastAsia="仿宋_GB2312"/>
          <w:sz w:val="32"/>
          <w:szCs w:val="32"/>
        </w:rPr>
        <w:t>本年绩效目标基本完成，达到了项目要求，现就几项重点情况汇报如下：</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_GB2312" w:hAnsi="宋体" w:eastAsia="仿宋_GB2312"/>
          <w:sz w:val="32"/>
          <w:szCs w:val="32"/>
        </w:rPr>
      </w:pPr>
      <w:r>
        <w:rPr>
          <w:rFonts w:hint="eastAsia" w:ascii="仿宋_GB2312" w:hAnsi="宋体" w:eastAsia="仿宋_GB2312"/>
          <w:sz w:val="32"/>
          <w:szCs w:val="32"/>
        </w:rPr>
        <w:t>1、对村民委员会和村党支部的补助：村办公经费、公共运行维护费按各村资金需求及时间进度实行报账，保障各村正常运转，村组干部报酬按月全额发放，确保村基层组织正常运行。</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_GB2312" w:hAnsi="宋体" w:eastAsia="仿宋_GB2312"/>
          <w:sz w:val="32"/>
          <w:szCs w:val="32"/>
        </w:rPr>
      </w:pPr>
      <w:r>
        <w:rPr>
          <w:rFonts w:hint="eastAsia" w:ascii="仿宋_GB2312" w:hAnsi="宋体" w:eastAsia="仿宋_GB2312"/>
          <w:sz w:val="32"/>
          <w:szCs w:val="32"/>
        </w:rPr>
        <w:t xml:space="preserve">2、 </w:t>
      </w:r>
      <w:r>
        <w:rPr>
          <w:rFonts w:hint="eastAsia" w:ascii="仿宋_GB2312" w:hAnsi="宋体"/>
          <w:sz w:val="32"/>
          <w:szCs w:val="32"/>
          <w:lang w:eastAsia="zh-CN"/>
        </w:rPr>
        <w:t>乡镇专项业务经费</w:t>
      </w:r>
      <w:r>
        <w:rPr>
          <w:rFonts w:hint="eastAsia" w:ascii="仿宋_GB2312" w:hAnsi="宋体" w:eastAsia="仿宋_GB2312"/>
          <w:sz w:val="32"/>
          <w:szCs w:val="32"/>
        </w:rPr>
        <w:t>等：20</w:t>
      </w:r>
      <w:r>
        <w:rPr>
          <w:rFonts w:hint="eastAsia" w:ascii="仿宋_GB2312" w:hAnsi="宋体"/>
          <w:sz w:val="32"/>
          <w:szCs w:val="32"/>
          <w:lang w:val="en-US" w:eastAsia="zh-CN"/>
        </w:rPr>
        <w:t>22</w:t>
      </w:r>
      <w:r>
        <w:rPr>
          <w:rFonts w:hint="eastAsia" w:ascii="仿宋_GB2312" w:hAnsi="宋体" w:eastAsia="仿宋_GB2312"/>
          <w:sz w:val="32"/>
          <w:szCs w:val="32"/>
        </w:rPr>
        <w:t>年我乡按实报销，保障</w:t>
      </w:r>
      <w:r>
        <w:rPr>
          <w:rFonts w:hint="eastAsia" w:ascii="仿宋_GB2312" w:hAnsi="宋体"/>
          <w:sz w:val="32"/>
          <w:szCs w:val="32"/>
          <w:lang w:eastAsia="zh-CN"/>
        </w:rPr>
        <w:t>安全、</w:t>
      </w:r>
      <w:r>
        <w:rPr>
          <w:rFonts w:hint="eastAsia" w:ascii="仿宋_GB2312" w:hAnsi="宋体" w:eastAsia="仿宋_GB2312"/>
          <w:sz w:val="32"/>
          <w:szCs w:val="32"/>
        </w:rPr>
        <w:t>群团、</w:t>
      </w:r>
      <w:r>
        <w:rPr>
          <w:rFonts w:hint="eastAsia" w:ascii="仿宋_GB2312" w:hAnsi="宋体"/>
          <w:sz w:val="32"/>
          <w:szCs w:val="32"/>
          <w:lang w:eastAsia="zh-CN"/>
        </w:rPr>
        <w:t>人大、</w:t>
      </w:r>
      <w:r>
        <w:rPr>
          <w:rFonts w:hint="eastAsia" w:ascii="仿宋_GB2312" w:hAnsi="宋体" w:eastAsia="仿宋_GB2312"/>
          <w:sz w:val="32"/>
          <w:szCs w:val="32"/>
        </w:rPr>
        <w:t>武装、食品药品站等部门工作正常开展，有力促进我乡总体绩效目标完成。</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ascii="仿宋_GB2312" w:hAnsi="宋体" w:eastAsia="仿宋_GB2312"/>
          <w:sz w:val="32"/>
          <w:szCs w:val="32"/>
        </w:rPr>
      </w:pPr>
      <w:r>
        <w:rPr>
          <w:rFonts w:hint="eastAsia" w:ascii="仿宋_GB2312" w:hAnsi="宋体" w:eastAsia="仿宋_GB2312"/>
          <w:sz w:val="32"/>
          <w:szCs w:val="32"/>
        </w:rPr>
        <w:t>3、各项工程类资金按照相关规定及时拨付，确保全乡基础设施建设，保障农村产业发展。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宋体" w:eastAsia="仿宋_GB2312"/>
          <w:sz w:val="32"/>
          <w:szCs w:val="32"/>
        </w:rPr>
      </w:pPr>
      <w:r>
        <w:rPr>
          <w:rFonts w:hint="eastAsia" w:ascii="仿宋_GB2312" w:hAnsi="宋体" w:eastAsia="仿宋_GB2312"/>
          <w:sz w:val="32"/>
          <w:szCs w:val="32"/>
        </w:rPr>
        <w:t>总体上我乡各项目完成情况良好。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楷体_GB2312" w:hAnsi="楷体_GB2312" w:eastAsia="楷体_GB2312" w:cs="楷体_GB2312"/>
          <w:color w:val="000000"/>
          <w:kern w:val="0"/>
          <w:sz w:val="32"/>
          <w:szCs w:val="32"/>
          <w:shd w:val="clear" w:color="auto" w:fill="FFFFFF"/>
          <w:lang w:val="zh-CN"/>
        </w:rPr>
      </w:pPr>
      <w:bookmarkStart w:id="135" w:name="_Toc5067"/>
      <w:r>
        <w:rPr>
          <w:rFonts w:hint="eastAsia" w:ascii="楷体_GB2312" w:hAnsi="楷体_GB2312" w:eastAsia="楷体_GB2312" w:cs="楷体_GB2312"/>
          <w:color w:val="000000"/>
          <w:kern w:val="0"/>
          <w:sz w:val="32"/>
          <w:szCs w:val="32"/>
          <w:shd w:val="clear" w:color="auto" w:fill="FFFFFF"/>
          <w:lang w:val="zh-CN"/>
        </w:rPr>
        <w:t>（三）自评质量</w:t>
      </w:r>
      <w:bookmarkEnd w:id="13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宋体" w:eastAsia="仿宋_GB2312" w:cs="宋体"/>
          <w:b w:val="0"/>
          <w:bCs w:val="0"/>
          <w:color w:val="000000"/>
          <w:kern w:val="0"/>
          <w:szCs w:val="32"/>
          <w:shd w:val="clear" w:color="auto" w:fill="FFFFFF"/>
          <w:lang w:val="en-US" w:eastAsia="zh-CN"/>
        </w:rPr>
      </w:pPr>
      <w:r>
        <w:rPr>
          <w:rFonts w:hint="eastAsia" w:ascii="仿宋_GB2312" w:hAnsi="宋体" w:eastAsia="仿宋_GB2312"/>
          <w:sz w:val="32"/>
          <w:szCs w:val="32"/>
        </w:rPr>
        <w:t>通过认真自评，本单位自评得分</w:t>
      </w:r>
      <w:r>
        <w:rPr>
          <w:rFonts w:hint="eastAsia" w:ascii="仿宋_GB2312" w:hAnsi="宋体"/>
          <w:sz w:val="32"/>
          <w:szCs w:val="32"/>
          <w:lang w:val="en-US" w:eastAsia="zh-CN"/>
        </w:rPr>
        <w:t>100</w:t>
      </w:r>
      <w:r>
        <w:rPr>
          <w:rFonts w:hint="eastAsia" w:ascii="仿宋_GB2312" w:hAnsi="宋体" w:eastAsia="仿宋_GB2312"/>
          <w:sz w:val="32"/>
          <w:szCs w:val="32"/>
        </w:rPr>
        <w:t>分(见附表)</w:t>
      </w: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outlineLvl w:val="0"/>
        <w:rPr>
          <w:rFonts w:hint="eastAsia" w:ascii="黑体" w:hAnsi="宋体" w:eastAsia="黑体" w:cs="宋体"/>
          <w:b w:val="0"/>
          <w:bCs w:val="0"/>
          <w:color w:val="000000"/>
          <w:kern w:val="0"/>
          <w:sz w:val="32"/>
          <w:szCs w:val="32"/>
          <w:shd w:val="clear" w:color="auto" w:fill="FFFFFF"/>
          <w:lang w:eastAsia="zh-CN"/>
        </w:rPr>
      </w:pPr>
      <w:bookmarkStart w:id="136" w:name="_Toc18308"/>
      <w:r>
        <w:rPr>
          <w:rFonts w:hint="eastAsia" w:ascii="黑体" w:hAnsi="宋体" w:eastAsia="黑体" w:cs="宋体"/>
          <w:b w:val="0"/>
          <w:bCs w:val="0"/>
          <w:color w:val="000000"/>
          <w:kern w:val="0"/>
          <w:sz w:val="32"/>
          <w:szCs w:val="32"/>
          <w:shd w:val="clear" w:color="auto" w:fill="FFFFFF"/>
          <w:lang w:eastAsia="zh-CN"/>
        </w:rPr>
        <w:t>四、评价结论及建议</w:t>
      </w:r>
      <w:bookmarkEnd w:id="13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楷体_GB2312" w:hAnsi="楷体_GB2312" w:eastAsia="楷体_GB2312" w:cs="楷体_GB2312"/>
          <w:color w:val="000000"/>
          <w:kern w:val="0"/>
          <w:sz w:val="32"/>
          <w:szCs w:val="32"/>
          <w:shd w:val="clear" w:color="auto" w:fill="FFFFFF"/>
          <w:lang w:val="zh-CN"/>
        </w:rPr>
      </w:pPr>
      <w:bookmarkStart w:id="137" w:name="_Toc19704"/>
      <w:r>
        <w:rPr>
          <w:rFonts w:hint="eastAsia" w:ascii="楷体_GB2312" w:hAnsi="楷体_GB2312" w:eastAsia="楷体_GB2312" w:cs="楷体_GB2312"/>
          <w:color w:val="000000"/>
          <w:kern w:val="0"/>
          <w:sz w:val="32"/>
          <w:szCs w:val="32"/>
          <w:shd w:val="clear" w:color="auto" w:fill="FFFFFF"/>
          <w:lang w:val="zh-CN"/>
        </w:rPr>
        <w:t>（一）评价结论</w:t>
      </w:r>
      <w:bookmarkEnd w:id="137"/>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本单位财务管理未发现明显问题，财政资金收支预算符合相关规定，能够严格控制“三公”经费支出，内部控制制度健全完整，执行到位，单位未出现廉政风险。</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200"/>
        <w:contextualSpacing/>
        <w:jc w:val="left"/>
        <w:textAlignment w:val="auto"/>
        <w:outlineLvl w:val="1"/>
        <w:rPr>
          <w:rFonts w:hint="eastAsia" w:ascii="楷体_GB2312" w:hAnsi="楷体_GB2312" w:eastAsia="楷体_GB2312" w:cs="楷体_GB2312"/>
          <w:color w:val="000000"/>
          <w:kern w:val="0"/>
          <w:sz w:val="32"/>
          <w:szCs w:val="32"/>
          <w:shd w:val="clear" w:color="auto" w:fill="FFFFFF"/>
          <w:lang w:val="zh-CN"/>
        </w:rPr>
      </w:pPr>
      <w:bookmarkStart w:id="138" w:name="_Toc20529"/>
      <w:r>
        <w:rPr>
          <w:rFonts w:hint="eastAsia" w:ascii="楷体_GB2312" w:hAnsi="楷体_GB2312" w:eastAsia="楷体_GB2312" w:cs="楷体_GB2312"/>
          <w:color w:val="000000"/>
          <w:kern w:val="0"/>
          <w:sz w:val="32"/>
          <w:szCs w:val="32"/>
          <w:shd w:val="clear" w:color="auto" w:fill="FFFFFF"/>
          <w:lang w:val="zh-CN"/>
        </w:rPr>
        <w:t>（二）存在问题</w:t>
      </w:r>
      <w:bookmarkEnd w:id="138"/>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eastAsia="zh-CN"/>
        </w:rPr>
        <w:t>因更换预算一体化系统，且人员更换，对一体化系统不够熟悉</w:t>
      </w:r>
      <w:r>
        <w:rPr>
          <w:rFonts w:hint="eastAsia" w:ascii="仿宋_GB2312" w:hAnsi="Times New Roman" w:eastAsia="仿宋_GB2312" w:cs="Times New Roman"/>
          <w:sz w:val="32"/>
          <w:szCs w:val="32"/>
        </w:rPr>
        <w:t>。</w:t>
      </w:r>
    </w:p>
    <w:p>
      <w:pPr>
        <w:keepNext w:val="0"/>
        <w:keepLines w:val="0"/>
        <w:pageBreakBefore w:val="0"/>
        <w:numPr>
          <w:ilvl w:val="0"/>
          <w:numId w:val="6"/>
        </w:numPr>
        <w:kinsoku/>
        <w:wordWrap/>
        <w:overflowPunct/>
        <w:topLinePunct w:val="0"/>
        <w:autoSpaceDE/>
        <w:autoSpaceDN/>
        <w:bidi w:val="0"/>
        <w:snapToGrid w:val="0"/>
        <w:spacing w:line="560" w:lineRule="exact"/>
        <w:ind w:left="0" w:leftChars="0" w:firstLine="640" w:firstLineChars="200"/>
        <w:textAlignment w:val="auto"/>
        <w:outlineLvl w:val="1"/>
        <w:rPr>
          <w:rFonts w:ascii="仿宋_GB2312" w:eastAsia="仿宋_GB2312"/>
          <w:sz w:val="32"/>
          <w:szCs w:val="32"/>
        </w:rPr>
      </w:pPr>
      <w:bookmarkStart w:id="139" w:name="_Toc27513"/>
      <w:r>
        <w:rPr>
          <w:rFonts w:hint="eastAsia" w:ascii="楷体_GB2312" w:hAnsi="楷体_GB2312" w:eastAsia="楷体_GB2312" w:cs="楷体_GB2312"/>
          <w:color w:val="000000"/>
          <w:kern w:val="0"/>
          <w:sz w:val="32"/>
          <w:szCs w:val="32"/>
          <w:shd w:val="clear" w:color="auto" w:fill="FFFFFF"/>
          <w:lang w:val="zh-CN"/>
        </w:rPr>
        <w:t>改进建议</w:t>
      </w:r>
      <w:bookmarkEnd w:id="139"/>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eastAsia="zh-CN"/>
        </w:rPr>
        <w:t>完善人员配置，确保财务工作人员的稳定性，加强对财政工作人员的业务培训，确保会计处理的严肃性和准确性。进一步加强内部机构的预算管理意识，严格按照预算编制的相关制度和要求，本着“勤俭节约、保障运转”的原则进行预算的编制；编制范围尽可能全面、不漏项，进一步提高预算编制的科学性、合理性、严谨性和可控性。</w:t>
      </w:r>
    </w:p>
    <w:p>
      <w:pPr>
        <w:pStyle w:val="2"/>
        <w:rPr>
          <w:rFonts w:hint="eastAsia" w:ascii="黑体" w:hAnsi="黑体" w:eastAsia="黑体" w:cs="黑体"/>
          <w:b w:val="0"/>
          <w:bCs w:val="0"/>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600" w:lineRule="exact"/>
        <w:contextualSpacing/>
        <w:jc w:val="both"/>
        <w:textAlignment w:val="auto"/>
        <w:rPr>
          <w:rFonts w:hint="eastAsia" w:ascii="黑体" w:hAnsi="黑体" w:eastAsia="黑体" w:cs="黑体"/>
          <w:b w:val="0"/>
          <w:bCs w:val="0"/>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600" w:lineRule="exact"/>
        <w:contextualSpacing/>
        <w:jc w:val="both"/>
        <w:textAlignment w:val="auto"/>
        <w:rPr>
          <w:rFonts w:hint="eastAsia" w:ascii="黑体" w:hAnsi="黑体" w:eastAsia="黑体" w:cs="黑体"/>
          <w:b w:val="0"/>
          <w:bCs w:val="0"/>
          <w:color w:val="000000"/>
          <w:kern w:val="0"/>
          <w:szCs w:val="32"/>
          <w:shd w:val="clear" w:color="auto" w:fill="FFFFFF"/>
          <w:lang w:val="zh-CN"/>
        </w:rPr>
      </w:pPr>
      <w:r>
        <w:rPr>
          <w:rFonts w:hint="eastAsia" w:ascii="黑体" w:hAnsi="黑体" w:eastAsia="黑体" w:cs="黑体"/>
          <w:b w:val="0"/>
          <w:bCs w:val="0"/>
          <w:color w:val="000000"/>
          <w:kern w:val="0"/>
          <w:szCs w:val="32"/>
          <w:shd w:val="clear" w:color="auto" w:fill="FFFFFF"/>
          <w:lang w:val="zh-CN"/>
        </w:rPr>
        <w:t>附表</w:t>
      </w:r>
    </w:p>
    <w:tbl>
      <w:tblPr>
        <w:tblStyle w:val="16"/>
        <w:tblpPr w:leftFromText="180" w:rightFromText="180" w:vertAnchor="text" w:horzAnchor="page" w:tblpX="1256" w:tblpY="221"/>
        <w:tblOverlap w:val="never"/>
        <w:tblW w:w="53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7"/>
        <w:gridCol w:w="1145"/>
        <w:gridCol w:w="1443"/>
        <w:gridCol w:w="1306"/>
        <w:gridCol w:w="1300"/>
        <w:gridCol w:w="165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9" w:type="pct"/>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2023年村干部工资</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hAnsi="宋体" w:eastAsia="宋体" w:cs="宋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c>
        <w:tc>
          <w:tcPr>
            <w:tcW w:w="13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565" w:hRule="atLeast"/>
        </w:trPr>
        <w:tc>
          <w:tcPr>
            <w:tcW w:w="1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主管部门及代码</w:t>
            </w:r>
          </w:p>
        </w:tc>
        <w:tc>
          <w:tcPr>
            <w:tcW w:w="15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rPr>
              <w:t>龙门乡人民政府10</w:t>
            </w:r>
            <w:r>
              <w:rPr>
                <w:rFonts w:hint="eastAsia" w:asciiTheme="minorEastAsia" w:hAnsiTheme="minorEastAsia" w:eastAsiaTheme="minorEastAsia" w:cstheme="minorEastAsia"/>
                <w:b w:val="0"/>
                <w:bCs w:val="0"/>
                <w:i w:val="0"/>
                <w:color w:val="000000"/>
                <w:sz w:val="24"/>
                <w:szCs w:val="24"/>
                <w:u w:val="none"/>
                <w:lang w:val="en-US" w:eastAsia="zh-CN"/>
              </w:rPr>
              <w:t>9001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实施单位</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0" w:type="pct"/>
          <w:trHeight w:val="341" w:hRule="atLeast"/>
        </w:trPr>
        <w:tc>
          <w:tcPr>
            <w:tcW w:w="17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（万元）</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预算数：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rPr>
              <w:t>1</w:t>
            </w:r>
            <w:r>
              <w:rPr>
                <w:rFonts w:hint="eastAsia" w:asciiTheme="minorEastAsia" w:hAnsiTheme="minorEastAsia" w:eastAsiaTheme="minorEastAsia" w:cstheme="minorEastAsia"/>
                <w:b w:val="0"/>
                <w:bCs w:val="0"/>
                <w:i w:val="0"/>
                <w:color w:val="000000"/>
                <w:sz w:val="24"/>
                <w:szCs w:val="24"/>
                <w:u w:val="none"/>
                <w:lang w:val="en-US" w:eastAsia="zh-CN"/>
              </w:rPr>
              <w:t>42万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执行数：</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w:t>
            </w:r>
            <w:r>
              <w:rPr>
                <w:rFonts w:hint="eastAsia" w:asciiTheme="minorEastAsia" w:hAnsiTheme="minorEastAsia" w:eastAsiaTheme="minorEastAsia" w:cstheme="minorEastAsia"/>
                <w:b w:val="0"/>
                <w:bCs w:val="0"/>
                <w:i w:val="0"/>
                <w:color w:val="000000"/>
                <w:sz w:val="24"/>
                <w:szCs w:val="24"/>
                <w:u w:val="none"/>
                <w:lang w:val="en-US" w:eastAsia="zh-CN"/>
              </w:rPr>
              <w:t>42万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577" w:hRule="atLeast"/>
        </w:trPr>
        <w:tc>
          <w:tcPr>
            <w:tcW w:w="17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w:t>
            </w:r>
            <w:r>
              <w:rPr>
                <w:rFonts w:hint="eastAsia" w:asciiTheme="minorEastAsia" w:hAnsiTheme="minorEastAsia" w:eastAsiaTheme="minorEastAsia" w:cstheme="minorEastAsia"/>
                <w:b w:val="0"/>
                <w:bCs w:val="0"/>
                <w:i w:val="0"/>
                <w:color w:val="000000"/>
                <w:sz w:val="24"/>
                <w:szCs w:val="24"/>
                <w:u w:val="none"/>
                <w:lang w:val="en-US" w:eastAsia="zh-CN"/>
              </w:rPr>
              <w:t>42万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w:t>
            </w:r>
            <w:r>
              <w:rPr>
                <w:rFonts w:hint="eastAsia" w:asciiTheme="minorEastAsia" w:hAnsiTheme="minorEastAsia" w:eastAsiaTheme="minorEastAsia" w:cstheme="minorEastAsia"/>
                <w:b w:val="0"/>
                <w:bCs w:val="0"/>
                <w:i w:val="0"/>
                <w:color w:val="000000"/>
                <w:sz w:val="24"/>
                <w:szCs w:val="24"/>
                <w:u w:val="none"/>
                <w:lang w:val="en-US" w:eastAsia="zh-CN"/>
              </w:rPr>
              <w:t>42万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341" w:hRule="atLeast"/>
        </w:trPr>
        <w:tc>
          <w:tcPr>
            <w:tcW w:w="17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217" w:hRule="atLeast"/>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21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预期目标</w:t>
            </w:r>
          </w:p>
        </w:tc>
        <w:tc>
          <w:tcPr>
            <w:tcW w:w="1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1297"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215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发放</w:t>
            </w:r>
            <w:r>
              <w:rPr>
                <w:rFonts w:hint="eastAsia" w:asciiTheme="minorEastAsia" w:hAnsiTheme="minorEastAsia" w:eastAsiaTheme="minorEastAsia" w:cstheme="minorEastAsia"/>
                <w:b w:val="0"/>
                <w:bCs w:val="0"/>
                <w:i w:val="0"/>
                <w:color w:val="000000"/>
                <w:sz w:val="24"/>
                <w:szCs w:val="24"/>
                <w:u w:val="none"/>
              </w:rPr>
              <w:t>村组干部</w:t>
            </w:r>
            <w:r>
              <w:rPr>
                <w:rFonts w:hint="eastAsia" w:asciiTheme="minorEastAsia" w:hAnsiTheme="minorEastAsia" w:eastAsiaTheme="minorEastAsia" w:cstheme="minorEastAsia"/>
                <w:b w:val="0"/>
                <w:bCs w:val="0"/>
                <w:i w:val="0"/>
                <w:color w:val="000000"/>
                <w:sz w:val="24"/>
                <w:szCs w:val="24"/>
                <w:u w:val="none"/>
                <w:lang w:eastAsia="zh-CN"/>
              </w:rPr>
              <w:t>工资，保障村级组织运行。</w:t>
            </w:r>
          </w:p>
        </w:tc>
        <w:tc>
          <w:tcPr>
            <w:tcW w:w="16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按时发放村组干部工资，保障村级组织运行工作。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738" w:hRule="atLeast"/>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预期指标值</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产出指标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数量指标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涉及村数量</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6个村</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6个村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9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质量指标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工资发放到位率</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时效指标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全年及时发放村组干部工资</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按月发放</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eastAsia="zh-CN"/>
              </w:rPr>
              <w:t>按月发放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成本指标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涉及项目金额</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rPr>
              <w:t>1</w:t>
            </w:r>
            <w:r>
              <w:rPr>
                <w:rFonts w:hint="eastAsia" w:asciiTheme="minorEastAsia" w:hAnsiTheme="minorEastAsia" w:eastAsiaTheme="minorEastAsia" w:cstheme="minorEastAsia"/>
                <w:b w:val="0"/>
                <w:bCs w:val="0"/>
                <w:i w:val="0"/>
                <w:color w:val="000000"/>
                <w:sz w:val="24"/>
                <w:szCs w:val="24"/>
                <w:u w:val="none"/>
                <w:lang w:val="en-US" w:eastAsia="zh-CN"/>
              </w:rPr>
              <w:t>42万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1</w:t>
            </w:r>
            <w:r>
              <w:rPr>
                <w:rFonts w:hint="eastAsia" w:asciiTheme="minorEastAsia" w:hAnsiTheme="minorEastAsia" w:eastAsiaTheme="minorEastAsia" w:cstheme="minorEastAsia"/>
                <w:b w:val="0"/>
                <w:bCs w:val="0"/>
                <w:i w:val="0"/>
                <w:color w:val="000000"/>
                <w:sz w:val="24"/>
                <w:szCs w:val="24"/>
                <w:u w:val="none"/>
                <w:lang w:val="en-US" w:eastAsia="zh-CN"/>
              </w:rPr>
              <w:t>42万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增加村干部收入</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eastAsia="zh-CN"/>
              </w:rPr>
              <w:t>良好</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575"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both"/>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577"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240" w:firstLineChars="100"/>
              <w:jc w:val="left"/>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生态效益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423" w:leftChars="87" w:hanging="240" w:hangingChars="100"/>
              <w:jc w:val="left"/>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保障村组干部生产生活正常运转</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村组干部工作积极性提高</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val="en-US" w:eastAsia="zh-CN"/>
              </w:rPr>
              <w:t>90%</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0" w:type="pct"/>
          <w:trHeight w:val="480" w:hRule="atLeast"/>
        </w:trPr>
        <w:tc>
          <w:tcPr>
            <w:tcW w:w="109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度指标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村组干部满意度</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sz w:val="24"/>
                <w:szCs w:val="24"/>
                <w:u w:val="none"/>
                <w:lang w:val="en-US" w:eastAsia="zh-CN"/>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c>
          <w:tcPr>
            <w:tcW w:w="90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r>
    </w:tbl>
    <w:p>
      <w:pPr>
        <w:keepNext w:val="0"/>
        <w:keepLines w:val="0"/>
        <w:pageBreakBefore w:val="0"/>
        <w:widowControl/>
        <w:kinsoku/>
        <w:wordWrap/>
        <w:overflowPunct/>
        <w:topLinePunct w:val="0"/>
        <w:autoSpaceDE/>
        <w:autoSpaceDN/>
        <w:bidi w:val="0"/>
        <w:adjustRightInd w:val="0"/>
        <w:snapToGrid w:val="0"/>
        <w:spacing w:afterAutospacing="0" w:line="600" w:lineRule="exact"/>
        <w:contextualSpacing/>
        <w:jc w:val="both"/>
        <w:textAlignment w:val="auto"/>
        <w:rPr>
          <w:rFonts w:hint="eastAsia" w:ascii="黑体" w:hAnsi="黑体" w:eastAsia="黑体" w:cs="黑体"/>
          <w:b w:val="0"/>
          <w:bCs w:val="0"/>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600" w:lineRule="exact"/>
        <w:contextualSpacing/>
        <w:jc w:val="both"/>
        <w:textAlignment w:val="auto"/>
        <w:rPr>
          <w:rFonts w:hint="eastAsia" w:ascii="黑体" w:hAnsi="黑体" w:eastAsia="黑体" w:cs="黑体"/>
          <w:b w:val="0"/>
          <w:bCs w:val="0"/>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600" w:lineRule="exact"/>
        <w:contextualSpacing/>
        <w:jc w:val="both"/>
        <w:textAlignment w:val="auto"/>
        <w:rPr>
          <w:rFonts w:hint="eastAsia" w:ascii="黑体" w:hAnsi="黑体" w:eastAsia="黑体" w:cs="黑体"/>
          <w:b w:val="0"/>
          <w:bCs w:val="0"/>
          <w:color w:val="000000"/>
          <w:kern w:val="0"/>
          <w:szCs w:val="32"/>
          <w:shd w:val="clear" w:color="auto" w:fill="FFFFFF"/>
          <w:lang w:val="zh-CN"/>
        </w:rPr>
      </w:pPr>
      <w:r>
        <w:rPr>
          <w:rFonts w:hint="eastAsia" w:ascii="黑体" w:hAnsi="黑体" w:eastAsia="黑体" w:cs="黑体"/>
          <w:b w:val="0"/>
          <w:bCs w:val="0"/>
          <w:color w:val="000000"/>
          <w:kern w:val="0"/>
          <w:szCs w:val="32"/>
          <w:shd w:val="clear" w:color="auto" w:fill="FFFFFF"/>
          <w:lang w:val="zh-CN"/>
        </w:rPr>
        <w:t>附表</w:t>
      </w:r>
    </w:p>
    <w:tbl>
      <w:tblPr>
        <w:tblStyle w:val="16"/>
        <w:tblpPr w:leftFromText="180" w:rightFromText="180" w:vertAnchor="text" w:horzAnchor="page" w:tblpX="1256" w:tblpY="221"/>
        <w:tblOverlap w:val="never"/>
        <w:tblW w:w="53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78"/>
        <w:gridCol w:w="1145"/>
        <w:gridCol w:w="1443"/>
        <w:gridCol w:w="1304"/>
        <w:gridCol w:w="1298"/>
        <w:gridCol w:w="1652"/>
        <w:gridCol w:w="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869" w:type="pct"/>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44"/>
                <w:szCs w:val="44"/>
                <w:u w:val="none"/>
                <w:lang w:val="en-US" w:eastAsia="zh-CN"/>
              </w:rPr>
            </w:pPr>
            <w:r>
              <w:rPr>
                <w:rFonts w:hint="eastAsia" w:ascii="方正小标宋简体" w:hAnsi="方正小标宋简体" w:eastAsia="方正小标宋简体" w:cs="方正小标宋简体"/>
                <w:b w:val="0"/>
                <w:bCs w:val="0"/>
                <w:i w:val="0"/>
                <w:color w:val="000000"/>
                <w:sz w:val="44"/>
                <w:szCs w:val="44"/>
                <w:u w:val="none"/>
                <w:lang w:val="en-US" w:eastAsia="zh-CN"/>
              </w:rPr>
              <w:t>春节前工程款</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hAnsi="宋体" w:eastAsia="宋体" w:cs="宋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sz w:val="44"/>
                <w:szCs w:val="44"/>
                <w:u w:val="none"/>
                <w:lang w:val="en-US" w:eastAsia="zh-CN"/>
              </w:rPr>
              <w:t>预算项目绩效目标自评</w:t>
            </w:r>
          </w:p>
        </w:tc>
        <w:tc>
          <w:tcPr>
            <w:tcW w:w="130"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565" w:hRule="atLeast"/>
        </w:trPr>
        <w:tc>
          <w:tcPr>
            <w:tcW w:w="17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主管部门及代码</w:t>
            </w:r>
          </w:p>
        </w:tc>
        <w:tc>
          <w:tcPr>
            <w:tcW w:w="15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rPr>
              <w:t>龙门乡人民政府10</w:t>
            </w:r>
            <w:r>
              <w:rPr>
                <w:rFonts w:hint="eastAsia" w:asciiTheme="minorEastAsia" w:hAnsiTheme="minorEastAsia" w:eastAsiaTheme="minorEastAsia" w:cstheme="minorEastAsia"/>
                <w:b w:val="0"/>
                <w:bCs w:val="0"/>
                <w:i w:val="0"/>
                <w:color w:val="000000"/>
                <w:sz w:val="24"/>
                <w:szCs w:val="24"/>
                <w:u w:val="none"/>
                <w:lang w:val="en-US" w:eastAsia="zh-CN"/>
              </w:rPr>
              <w:t>9001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实施单位</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0" w:type="pct"/>
          <w:trHeight w:val="341" w:hRule="atLeast"/>
        </w:trPr>
        <w:tc>
          <w:tcPr>
            <w:tcW w:w="17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（万元）</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预算数：</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hAnsi="宋体" w:eastAsia="宋体" w:cs="宋体"/>
                <w:sz w:val="24"/>
                <w:szCs w:val="24"/>
                <w:lang w:val="en-US" w:eastAsia="zh-CN"/>
              </w:rPr>
              <w:t>302.1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执行数：</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302.1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577" w:hRule="atLeast"/>
        </w:trPr>
        <w:tc>
          <w:tcPr>
            <w:tcW w:w="17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302.1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302.1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341" w:hRule="atLeast"/>
        </w:trPr>
        <w:tc>
          <w:tcPr>
            <w:tcW w:w="17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217" w:hRule="atLeast"/>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预期目标</w:t>
            </w:r>
          </w:p>
        </w:tc>
        <w:tc>
          <w:tcPr>
            <w:tcW w:w="16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1297"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2149"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龙门乡春节前工程款共有49个项目，春节前工程款保障龙门乡项目工程费用，加强基础设施建设，促进产业发展，基础设施改善，提高群众生产生活质量。</w:t>
            </w:r>
          </w:p>
        </w:tc>
        <w:tc>
          <w:tcPr>
            <w:tcW w:w="1627"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按时发放村组干部工资，保障村级组织运行工作。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738" w:hRule="atLeast"/>
        </w:trPr>
        <w:tc>
          <w:tcPr>
            <w:tcW w:w="10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预期指标值</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产出指标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数量指标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涉及项目数量</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eastAsia="宋体" w:asciiTheme="minorEastAsia" w:hAnsiTheme="minorEastAsia" w:cstheme="minorEastAsia"/>
                <w:b w:val="0"/>
                <w:bCs w:val="0"/>
                <w:i w:val="0"/>
                <w:color w:val="000000"/>
                <w:sz w:val="24"/>
                <w:szCs w:val="24"/>
                <w:u w:val="none"/>
                <w:lang w:eastAsia="zh-CN"/>
              </w:rPr>
            </w:pPr>
            <w:r>
              <w:rPr>
                <w:rFonts w:hint="eastAsia" w:ascii="宋体" w:hAnsi="宋体" w:eastAsia="宋体" w:cs="宋体"/>
                <w:sz w:val="24"/>
                <w:szCs w:val="24"/>
                <w:lang w:val="en-US" w:eastAsia="zh-CN"/>
              </w:rPr>
              <w:t>27</w:t>
            </w:r>
            <w:r>
              <w:rPr>
                <w:rFonts w:hint="eastAsia" w:ascii="宋体" w:hAnsi="宋体" w:eastAsia="宋体" w:cs="宋体"/>
                <w:sz w:val="24"/>
                <w:szCs w:val="24"/>
                <w:lang w:eastAsia="zh-CN"/>
              </w:rPr>
              <w:t>个</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val="en-US" w:eastAsia="zh-CN"/>
              </w:rPr>
            </w:pPr>
            <w:r>
              <w:rPr>
                <w:rFonts w:hint="eastAsia" w:ascii="宋体" w:hAnsi="宋体" w:eastAsia="宋体" w:cs="宋体"/>
                <w:sz w:val="24"/>
                <w:szCs w:val="24"/>
                <w:lang w:val="en-US" w:eastAsia="zh-CN"/>
              </w:rPr>
              <w:t>27</w:t>
            </w:r>
            <w:r>
              <w:rPr>
                <w:rFonts w:hint="eastAsia" w:ascii="宋体" w:hAnsi="宋体" w:eastAsia="宋体" w:cs="宋体"/>
                <w:sz w:val="24"/>
                <w:szCs w:val="24"/>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质量指标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项目工程建设保质保量</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sz w:val="24"/>
                <w:szCs w:val="24"/>
                <w:u w:val="none"/>
                <w:lang w:val="en-US"/>
              </w:rPr>
            </w:pPr>
            <w:r>
              <w:rPr>
                <w:rFonts w:hint="eastAsia" w:asciiTheme="minorEastAsia" w:hAnsiTheme="minorEastAsia" w:eastAsiaTheme="minorEastAsia" w:cstheme="minorEastAsia"/>
                <w:b w:val="0"/>
                <w:bCs w:val="0"/>
                <w:i w:val="0"/>
                <w:color w:val="000000"/>
                <w:sz w:val="24"/>
                <w:szCs w:val="24"/>
                <w:u w:val="none"/>
                <w:lang w:val="en-US" w:eastAsia="zh-CN"/>
              </w:rPr>
              <w:t>95%</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时效指标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及时完成项目费用支付</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val="en-US" w:eastAsia="zh-CN"/>
              </w:rPr>
              <w:t>95%</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成本指标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涉及项目建设费用</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hAnsi="宋体" w:eastAsia="宋体" w:cs="宋体"/>
                <w:sz w:val="24"/>
                <w:szCs w:val="24"/>
                <w:lang w:val="en-US" w:eastAsia="zh-CN"/>
              </w:rPr>
              <w:t>302.1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302.1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增加村干部收入</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eastAsia="zh-CN"/>
              </w:rPr>
              <w:t>良好</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0" w:type="pct"/>
          <w:trHeight w:val="575"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rPr>
            </w:pPr>
            <w:r>
              <w:rPr>
                <w:rFonts w:hint="eastAsia" w:asciiTheme="minorEastAsia" w:hAnsiTheme="minorEastAsia" w:eastAsiaTheme="minorEastAsia" w:cstheme="minorEastAsia"/>
                <w:b w:val="0"/>
                <w:bCs w:val="0"/>
                <w:i w:val="0"/>
                <w:color w:val="000000"/>
                <w:sz w:val="18"/>
                <w:szCs w:val="18"/>
                <w:u w:val="none"/>
                <w:lang w:eastAsia="zh-CN"/>
              </w:rPr>
              <w:t>保障群众生产生活</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95%</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0" w:type="pct"/>
          <w:trHeight w:val="577" w:hRule="atLeast"/>
        </w:trPr>
        <w:tc>
          <w:tcPr>
            <w:tcW w:w="10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ind w:left="423" w:leftChars="87" w:hanging="240" w:hangingChars="100"/>
              <w:jc w:val="left"/>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生态效益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423" w:leftChars="87" w:hanging="240" w:hangingChars="100"/>
              <w:jc w:val="left"/>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rPr>
            </w:pP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95%</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0" w:type="pct"/>
          <w:trHeight w:val="480" w:hRule="atLeast"/>
        </w:trPr>
        <w:tc>
          <w:tcPr>
            <w:tcW w:w="1092" w:type="pct"/>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hint="eastAsia" w:eastAsia="宋体" w:asciiTheme="minorEastAsia" w:hAnsi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改善群众生产生活质量</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val="en-US" w:eastAsia="zh-CN"/>
              </w:rPr>
              <w:t>95%</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0" w:type="pct"/>
          <w:trHeight w:val="480" w:hRule="atLeast"/>
        </w:trPr>
        <w:tc>
          <w:tcPr>
            <w:tcW w:w="109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度指标</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辖区内群众满意度</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lang w:val="en-US" w:eastAsia="zh-CN"/>
              </w:rPr>
              <w:t>95%</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val="en-US" w:eastAsia="zh-CN"/>
              </w:rPr>
              <w:t>95%</w:t>
            </w:r>
          </w:p>
        </w:tc>
      </w:tr>
    </w:tbl>
    <w:p>
      <w:pPr>
        <w:keepNext w:val="0"/>
        <w:keepLines w:val="0"/>
        <w:pageBreakBefore w:val="0"/>
        <w:widowControl/>
        <w:kinsoku/>
        <w:wordWrap/>
        <w:overflowPunct/>
        <w:topLinePunct w:val="0"/>
        <w:autoSpaceDE/>
        <w:autoSpaceDN/>
        <w:bidi w:val="0"/>
        <w:adjustRightInd w:val="0"/>
        <w:snapToGrid w:val="0"/>
        <w:spacing w:afterAutospacing="0" w:line="600" w:lineRule="exact"/>
        <w:contextualSpacing/>
        <w:jc w:val="both"/>
        <w:textAlignment w:val="auto"/>
        <w:rPr>
          <w:rFonts w:hint="eastAsia" w:ascii="黑体" w:hAnsi="黑体" w:eastAsia="黑体" w:cs="黑体"/>
          <w:b w:val="0"/>
          <w:bCs w:val="0"/>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600" w:lineRule="exact"/>
        <w:contextualSpacing/>
        <w:jc w:val="both"/>
        <w:textAlignment w:val="auto"/>
        <w:rPr>
          <w:rFonts w:hint="eastAsia" w:ascii="黑体" w:hAnsi="黑体" w:eastAsia="黑体" w:cs="黑体"/>
          <w:b w:val="0"/>
          <w:bCs w:val="0"/>
          <w:color w:val="000000"/>
          <w:kern w:val="0"/>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afterAutospacing="0" w:line="600" w:lineRule="exact"/>
        <w:contextualSpacing/>
        <w:jc w:val="both"/>
        <w:textAlignment w:val="auto"/>
        <w:rPr>
          <w:rFonts w:hint="eastAsia" w:ascii="黑体" w:hAnsi="黑体" w:eastAsia="黑体" w:cs="黑体"/>
          <w:b w:val="0"/>
          <w:bCs w:val="0"/>
          <w:color w:val="000000"/>
          <w:kern w:val="0"/>
          <w:szCs w:val="32"/>
          <w:shd w:val="clear" w:color="auto" w:fill="FFFFFF"/>
          <w:lang w:val="zh-CN"/>
        </w:rPr>
      </w:pPr>
      <w:r>
        <w:rPr>
          <w:rFonts w:hint="eastAsia" w:ascii="黑体" w:hAnsi="黑体" w:eastAsia="黑体" w:cs="黑体"/>
          <w:b w:val="0"/>
          <w:bCs w:val="0"/>
          <w:color w:val="000000"/>
          <w:kern w:val="0"/>
          <w:szCs w:val="32"/>
          <w:shd w:val="clear" w:color="auto" w:fill="FFFFFF"/>
          <w:lang w:val="zh-CN"/>
        </w:rPr>
        <w:t>附表</w:t>
      </w:r>
    </w:p>
    <w:tbl>
      <w:tblPr>
        <w:tblStyle w:val="16"/>
        <w:tblpPr w:leftFromText="180" w:rightFromText="180" w:vertAnchor="text" w:horzAnchor="page" w:tblpX="1256" w:tblpY="221"/>
        <w:tblOverlap w:val="never"/>
        <w:tblW w:w="51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1"/>
        <w:gridCol w:w="1096"/>
        <w:gridCol w:w="1374"/>
        <w:gridCol w:w="1244"/>
        <w:gridCol w:w="1236"/>
        <w:gridCol w:w="1783"/>
        <w:gridCol w:w="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866" w:type="pct"/>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32"/>
                <w:szCs w:val="32"/>
                <w:u w:val="none"/>
                <w:lang w:val="en-US" w:eastAsia="zh-CN"/>
              </w:rPr>
            </w:pPr>
            <w:r>
              <w:rPr>
                <w:rFonts w:hint="eastAsia" w:ascii="方正小标宋简体" w:hAnsi="方正小标宋简体" w:eastAsia="方正小标宋简体" w:cs="方正小标宋简体"/>
                <w:b w:val="0"/>
                <w:bCs w:val="0"/>
                <w:i w:val="0"/>
                <w:color w:val="000000"/>
                <w:sz w:val="32"/>
                <w:szCs w:val="32"/>
                <w:u w:val="none"/>
                <w:lang w:val="en-US" w:eastAsia="zh-CN"/>
              </w:rPr>
              <w:t>以工代赈示范工程项目</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hAnsi="宋体" w:eastAsia="宋体" w:cs="宋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sz w:val="32"/>
                <w:szCs w:val="32"/>
                <w:u w:val="none"/>
                <w:lang w:val="en-US" w:eastAsia="zh-CN"/>
              </w:rPr>
              <w:t>预算项目绩效目标自评</w:t>
            </w:r>
          </w:p>
        </w:tc>
        <w:tc>
          <w:tcPr>
            <w:tcW w:w="133"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609" w:hRule="atLeast"/>
        </w:trPr>
        <w:tc>
          <w:tcPr>
            <w:tcW w:w="16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主管部门及代码</w:t>
            </w:r>
          </w:p>
        </w:tc>
        <w:tc>
          <w:tcPr>
            <w:tcW w:w="1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rPr>
              <w:t>龙门乡人民政府10</w:t>
            </w:r>
            <w:r>
              <w:rPr>
                <w:rFonts w:hint="eastAsia" w:asciiTheme="minorEastAsia" w:hAnsiTheme="minorEastAsia" w:eastAsiaTheme="minorEastAsia" w:cstheme="minorEastAsia"/>
                <w:b w:val="0"/>
                <w:bCs w:val="0"/>
                <w:i w:val="0"/>
                <w:color w:val="000000"/>
                <w:sz w:val="24"/>
                <w:szCs w:val="24"/>
                <w:u w:val="none"/>
                <w:lang w:val="en-US" w:eastAsia="zh-CN"/>
              </w:rPr>
              <w:t>9001</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实施单位</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33" w:type="pct"/>
          <w:trHeight w:val="324" w:hRule="atLeast"/>
        </w:trPr>
        <w:tc>
          <w:tcPr>
            <w:tcW w:w="168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（万元）</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预算数：</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hAnsi="宋体" w:eastAsia="宋体" w:cs="宋体"/>
                <w:sz w:val="24"/>
                <w:szCs w:val="24"/>
                <w:lang w:val="en-US" w:eastAsia="zh-CN"/>
              </w:rPr>
              <w:t>500</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执行数：</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193</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571" w:hRule="atLeast"/>
        </w:trPr>
        <w:tc>
          <w:tcPr>
            <w:tcW w:w="16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500</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193</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324" w:hRule="atLeast"/>
        </w:trPr>
        <w:tc>
          <w:tcPr>
            <w:tcW w:w="168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291" w:hRule="atLeast"/>
        </w:trPr>
        <w:tc>
          <w:tcPr>
            <w:tcW w:w="10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20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预期目标</w:t>
            </w:r>
          </w:p>
        </w:tc>
        <w:tc>
          <w:tcPr>
            <w:tcW w:w="17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845" w:hRule="atLeast"/>
        </w:trPr>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209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提升龙门乡道路基础设施建设，促进乡村振兴发展。</w:t>
            </w:r>
          </w:p>
        </w:tc>
        <w:tc>
          <w:tcPr>
            <w:tcW w:w="1704"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保障双龙路道路拓宽资金正常支付，确保以工代赈项目建设顺利推进。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680" w:hRule="atLeast"/>
        </w:trPr>
        <w:tc>
          <w:tcPr>
            <w:tcW w:w="10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预期指标值</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449" w:hRule="atLeast"/>
        </w:trPr>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产出指标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数量指标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852" w:hRule="atLeast"/>
        </w:trPr>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质量指标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确保以工代赈项目工程达到建设标准</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852" w:hRule="atLeast"/>
        </w:trPr>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时效指标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2022年完成以工代赈项目建设示范工程</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sz w:val="24"/>
                <w:szCs w:val="24"/>
              </w:rPr>
              <w:t>100</w:t>
            </w:r>
            <w:r>
              <w:rPr>
                <w:rFonts w:hint="eastAsia" w:asciiTheme="minorEastAsia" w:hAnsiTheme="minorEastAsia" w:eastAsiaTheme="minorEastAsia" w:cstheme="minorEastAsia"/>
                <w:b w:val="0"/>
                <w:bCs w:val="0"/>
                <w:i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33" w:type="pct"/>
          <w:trHeight w:val="571" w:hRule="atLeast"/>
        </w:trPr>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成本指标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项目建设资金不超过预算数</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hAnsi="宋体" w:eastAsia="宋体" w:cs="宋体"/>
                <w:sz w:val="24"/>
                <w:szCs w:val="24"/>
                <w:lang w:val="en-US" w:eastAsia="zh-CN"/>
              </w:rPr>
              <w:t>500</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193</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 w:type="pct"/>
          <w:trHeight w:val="571" w:hRule="atLeast"/>
        </w:trPr>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 w:type="pct"/>
          <w:trHeight w:val="852" w:hRule="atLeast"/>
        </w:trPr>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为群众提供生产生活便捷，促进经济发展</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eastAsia="zh-CN"/>
              </w:rPr>
              <w:t>良好</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 w:type="pct"/>
          <w:trHeight w:val="571" w:hRule="atLeast"/>
        </w:trPr>
        <w:tc>
          <w:tcPr>
            <w:tcW w:w="10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ind w:left="423" w:leftChars="87" w:hanging="240" w:hangingChars="100"/>
              <w:jc w:val="left"/>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生态效益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423" w:leftChars="87" w:hanging="240" w:hangingChars="100"/>
              <w:jc w:val="left"/>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 w:type="pct"/>
          <w:trHeight w:val="852" w:hRule="atLeast"/>
        </w:trPr>
        <w:tc>
          <w:tcPr>
            <w:tcW w:w="1063" w:type="pct"/>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完善道路建设，促进全乡经济发展</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良好</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lang w:eastAsia="zh-CN"/>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33" w:type="pct"/>
          <w:trHeight w:val="581" w:hRule="atLeast"/>
        </w:trPr>
        <w:tc>
          <w:tcPr>
            <w:tcW w:w="106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度指标</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0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r>
              <w:rPr>
                <w:rFonts w:hint="eastAsia" w:asciiTheme="minorEastAsia" w:hAnsiTheme="minorEastAsia" w:eastAsiaTheme="minorEastAsia" w:cstheme="minorEastAsia"/>
                <w:b w:val="0"/>
                <w:bCs w:val="0"/>
                <w:i w:val="0"/>
                <w:color w:val="000000"/>
                <w:sz w:val="18"/>
                <w:szCs w:val="18"/>
                <w:u w:val="none"/>
                <w:lang w:eastAsia="zh-CN"/>
              </w:rPr>
              <w:t>群众满意度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default" w:asciiTheme="minorEastAsia" w:hAnsiTheme="minorEastAsia" w:eastAsiaTheme="minorEastAsia" w:cstheme="minorEastAsia"/>
                <w:b w:val="0"/>
                <w:bCs w:val="0"/>
                <w:i w:val="0"/>
                <w:color w:val="000000"/>
                <w:sz w:val="24"/>
                <w:szCs w:val="24"/>
                <w:u w:val="none"/>
                <w:lang w:val="en-US" w:eastAsia="zh-CN"/>
              </w:rPr>
            </w:pPr>
            <w:r>
              <w:rPr>
                <w:rFonts w:hint="eastAsia" w:ascii="宋体" w:hAnsi="宋体" w:eastAsia="宋体" w:cs="宋体"/>
                <w:sz w:val="24"/>
                <w:szCs w:val="24"/>
                <w:lang w:val="en-US" w:eastAsia="zh-CN"/>
              </w:rPr>
              <w:t>95</w:t>
            </w:r>
            <w:r>
              <w:rPr>
                <w:rFonts w:hint="eastAsia" w:asciiTheme="minorEastAsia" w:hAnsiTheme="minorEastAsia" w:eastAsiaTheme="minorEastAsia" w:cstheme="minorEastAsia"/>
                <w:b w:val="0"/>
                <w:bCs w:val="0"/>
                <w:i w:val="0"/>
                <w:color w:val="000000"/>
                <w:sz w:val="24"/>
                <w:szCs w:val="24"/>
                <w:u w:val="none"/>
                <w:lang w:val="en-US" w:eastAsia="zh-CN"/>
              </w:rPr>
              <w:t>%</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95</w:t>
            </w:r>
            <w:r>
              <w:rPr>
                <w:rFonts w:hint="eastAsia" w:asciiTheme="minorEastAsia" w:hAnsiTheme="minorEastAsia" w:eastAsiaTheme="minorEastAsia" w:cstheme="minorEastAsia"/>
                <w:b w:val="0"/>
                <w:bCs w:val="0"/>
                <w:i w:val="0"/>
                <w:color w:val="000000"/>
                <w:sz w:val="24"/>
                <w:szCs w:val="24"/>
                <w:u w:val="none"/>
                <w:lang w:val="en-US" w:eastAsia="zh-CN"/>
              </w:rPr>
              <w:t>%</w:t>
            </w:r>
          </w:p>
        </w:tc>
      </w:tr>
    </w:tbl>
    <w:p>
      <w:pPr>
        <w:keepNext w:val="0"/>
        <w:keepLines w:val="0"/>
        <w:pageBreakBefore w:val="0"/>
        <w:widowControl/>
        <w:kinsoku/>
        <w:wordWrap/>
        <w:overflowPunct/>
        <w:topLinePunct w:val="0"/>
        <w:autoSpaceDE/>
        <w:autoSpaceDN/>
        <w:bidi w:val="0"/>
        <w:adjustRightInd w:val="0"/>
        <w:snapToGrid w:val="0"/>
        <w:spacing w:afterAutospacing="0" w:line="600" w:lineRule="exact"/>
        <w:contextualSpacing/>
        <w:jc w:val="both"/>
        <w:textAlignment w:val="auto"/>
        <w:rPr>
          <w:rFonts w:hint="eastAsia" w:ascii="黑体" w:hAnsi="黑体" w:eastAsia="黑体" w:cs="黑体"/>
          <w:b w:val="0"/>
          <w:bCs w:val="0"/>
          <w:color w:val="000000"/>
          <w:kern w:val="0"/>
          <w:szCs w:val="32"/>
          <w:shd w:val="clear" w:color="auto" w:fill="FFFFFF"/>
          <w:lang w:val="zh-CN"/>
        </w:rPr>
      </w:pPr>
      <w:r>
        <w:rPr>
          <w:rFonts w:hint="eastAsia" w:ascii="黑体" w:hAnsi="黑体" w:eastAsia="黑体" w:cs="黑体"/>
          <w:b w:val="0"/>
          <w:bCs w:val="0"/>
          <w:color w:val="000000"/>
          <w:kern w:val="0"/>
          <w:szCs w:val="32"/>
          <w:shd w:val="clear" w:color="auto" w:fill="FFFFFF"/>
          <w:lang w:val="zh-CN"/>
        </w:rPr>
        <w:t>附表</w:t>
      </w:r>
    </w:p>
    <w:tbl>
      <w:tblPr>
        <w:tblStyle w:val="16"/>
        <w:tblpPr w:leftFromText="180" w:rightFromText="180" w:vertAnchor="text" w:horzAnchor="page" w:tblpX="1256" w:tblpY="221"/>
        <w:tblOverlap w:val="never"/>
        <w:tblW w:w="533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1"/>
        <w:gridCol w:w="1096"/>
        <w:gridCol w:w="1369"/>
        <w:gridCol w:w="1500"/>
        <w:gridCol w:w="985"/>
        <w:gridCol w:w="2040"/>
        <w:gridCol w:w="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873" w:type="pct"/>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32"/>
                <w:szCs w:val="32"/>
                <w:u w:val="none"/>
                <w:lang w:val="en-US" w:eastAsia="zh-CN"/>
              </w:rPr>
            </w:pPr>
            <w:r>
              <w:rPr>
                <w:rFonts w:hint="eastAsia" w:ascii="方正小标宋简体" w:hAnsi="方正小标宋简体" w:eastAsia="方正小标宋简体" w:cs="方正小标宋简体"/>
                <w:b w:val="0"/>
                <w:bCs w:val="0"/>
                <w:i w:val="0"/>
                <w:color w:val="000000"/>
                <w:sz w:val="32"/>
                <w:szCs w:val="32"/>
                <w:u w:val="none"/>
                <w:lang w:val="en-US" w:eastAsia="zh-CN"/>
              </w:rPr>
              <w:t>周山村1、2、3组道安工程项目</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hAnsi="宋体" w:eastAsia="宋体" w:cs="宋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sz w:val="32"/>
                <w:szCs w:val="32"/>
                <w:u w:val="none"/>
                <w:lang w:val="en-US" w:eastAsia="zh-CN"/>
              </w:rPr>
              <w:t>预算项目绩效目标自评</w:t>
            </w:r>
          </w:p>
        </w:tc>
        <w:tc>
          <w:tcPr>
            <w:tcW w:w="126"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609" w:hRule="atLeast"/>
        </w:trPr>
        <w:tc>
          <w:tcPr>
            <w:tcW w:w="1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主管部门及代码</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rPr>
              <w:t>龙门乡人民政府10</w:t>
            </w:r>
            <w:r>
              <w:rPr>
                <w:rFonts w:hint="eastAsia" w:asciiTheme="minorEastAsia" w:hAnsiTheme="minorEastAsia" w:eastAsiaTheme="minorEastAsia" w:cstheme="minorEastAsia"/>
                <w:b w:val="0"/>
                <w:bCs w:val="0"/>
                <w:i w:val="0"/>
                <w:color w:val="000000"/>
                <w:sz w:val="24"/>
                <w:szCs w:val="24"/>
                <w:u w:val="none"/>
                <w:lang w:val="en-US" w:eastAsia="zh-CN"/>
              </w:rPr>
              <w:t>9001</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实施单位</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6" w:type="pct"/>
          <w:trHeight w:val="324" w:hRule="atLeast"/>
        </w:trPr>
        <w:tc>
          <w:tcPr>
            <w:tcW w:w="16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（万元）</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预算数：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hAnsi="宋体" w:eastAsia="宋体" w:cs="宋体"/>
                <w:sz w:val="24"/>
                <w:szCs w:val="24"/>
                <w:lang w:val="en-US" w:eastAsia="zh-CN"/>
              </w:rPr>
              <w:t>49.83</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执行数：</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49.83</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571" w:hRule="atLeast"/>
        </w:trPr>
        <w:tc>
          <w:tcPr>
            <w:tcW w:w="16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49.83</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49.83</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324" w:hRule="atLeast"/>
        </w:trPr>
        <w:tc>
          <w:tcPr>
            <w:tcW w:w="16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291" w:hRule="atLeast"/>
        </w:trPr>
        <w:tc>
          <w:tcPr>
            <w:tcW w:w="1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21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预期目标</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845"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217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保障项目工程费用，提高群众生产生活质量。</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保障周山村1、2、3组道安工程项目实施，加强基础设施建设。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680" w:hRule="atLeast"/>
        </w:trPr>
        <w:tc>
          <w:tcPr>
            <w:tcW w:w="1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预期指标值</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449"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产出指标</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数量指标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涉及项目数量</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1</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852"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成本指标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涉及项目建设费用</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498343</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498343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852"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时效指标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按时完成项目费用支付</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95</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571"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时效指标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571"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社会效益指标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保障群众生产生活</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优良中低差</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852"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可持续发展指标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改善群众出行</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优良中低差</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571"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质量指标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项目工程建设质量到位</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852" w:hRule="atLeast"/>
        </w:trPr>
        <w:tc>
          <w:tcPr>
            <w:tcW w:w="1034" w:type="pct"/>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423" w:leftChars="87" w:hanging="240" w:hangingChars="100"/>
              <w:jc w:val="left"/>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生态效益</w:t>
            </w:r>
          </w:p>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581" w:hRule="atLeast"/>
        </w:trPr>
        <w:tc>
          <w:tcPr>
            <w:tcW w:w="103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度指标</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服务对象满意度指标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群众满意度</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color w:val="000000"/>
                <w:sz w:val="24"/>
                <w:szCs w:val="24"/>
                <w:u w:val="none"/>
                <w:lang w:val="en-US" w:eastAsia="zh-CN"/>
              </w:rPr>
            </w:pPr>
            <w:r>
              <w:rPr>
                <w:rFonts w:ascii="宋体" w:hAnsi="宋体" w:eastAsia="宋体" w:cs="宋体"/>
                <w:i w:val="0"/>
                <w:iCs w:val="0"/>
                <w:color w:val="000000"/>
                <w:kern w:val="0"/>
                <w:sz w:val="24"/>
                <w:szCs w:val="24"/>
                <w:u w:val="none"/>
                <w:lang w:val="en-US" w:eastAsia="zh-CN" w:bidi="ar"/>
              </w:rPr>
              <w:t>90</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trPr>
        <w:tc>
          <w:tcPr>
            <w:tcW w:w="4873" w:type="pct"/>
            <w:gridSpan w:val="6"/>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方正小标宋简体" w:hAnsi="方正小标宋简体" w:eastAsia="方正小标宋简体" w:cs="方正小标宋简体"/>
                <w:b w:val="0"/>
                <w:bCs w:val="0"/>
                <w:i w:val="0"/>
                <w:color w:val="000000"/>
                <w:sz w:val="32"/>
                <w:szCs w:val="32"/>
                <w:u w:val="none"/>
                <w:lang w:val="en-US" w:eastAsia="zh-CN"/>
              </w:rPr>
            </w:pPr>
            <w:r>
              <w:rPr>
                <w:rFonts w:hint="eastAsia" w:ascii="方正小标宋简体" w:hAnsi="方正小标宋简体" w:eastAsia="方正小标宋简体" w:cs="方正小标宋简体"/>
                <w:b w:val="0"/>
                <w:bCs w:val="0"/>
                <w:i w:val="0"/>
                <w:color w:val="000000"/>
                <w:sz w:val="32"/>
                <w:szCs w:val="32"/>
                <w:u w:val="none"/>
                <w:lang w:val="en-US" w:eastAsia="zh-CN"/>
              </w:rPr>
              <w:t>峨眉山市村（社区）“三资”清产核资经费</w:t>
            </w:r>
          </w:p>
          <w:p>
            <w:pPr>
              <w:keepNext w:val="0"/>
              <w:keepLines w:val="0"/>
              <w:pageBreakBefore w:val="0"/>
              <w:widowControl/>
              <w:suppressLineNumbers w:val="0"/>
              <w:kinsoku/>
              <w:wordWrap/>
              <w:overflowPunct/>
              <w:topLinePunct w:val="0"/>
              <w:autoSpaceDE/>
              <w:autoSpaceDN/>
              <w:bidi w:val="0"/>
              <w:adjustRightInd/>
              <w:snapToGrid/>
              <w:spacing w:beforeAutospacing="0" w:line="600" w:lineRule="exact"/>
              <w:jc w:val="center"/>
              <w:textAlignment w:val="center"/>
              <w:rPr>
                <w:rFonts w:hint="eastAsia" w:ascii="宋体" w:hAnsi="宋体" w:eastAsia="宋体" w:cs="宋体"/>
                <w:b w:val="0"/>
                <w:bCs w:val="0"/>
                <w:i w:val="0"/>
                <w:color w:val="000000"/>
                <w:sz w:val="32"/>
                <w:szCs w:val="32"/>
                <w:u w:val="none"/>
              </w:rPr>
            </w:pPr>
            <w:r>
              <w:rPr>
                <w:rFonts w:hint="eastAsia" w:ascii="方正小标宋简体" w:hAnsi="方正小标宋简体" w:eastAsia="方正小标宋简体" w:cs="方正小标宋简体"/>
                <w:b w:val="0"/>
                <w:bCs w:val="0"/>
                <w:i w:val="0"/>
                <w:color w:val="000000"/>
                <w:sz w:val="32"/>
                <w:szCs w:val="32"/>
                <w:u w:val="none"/>
                <w:lang w:val="en-US" w:eastAsia="zh-CN"/>
              </w:rPr>
              <w:t>预算项目绩效目标自评</w:t>
            </w:r>
          </w:p>
        </w:tc>
        <w:tc>
          <w:tcPr>
            <w:tcW w:w="126" w:type="pct"/>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609" w:hRule="atLeast"/>
        </w:trPr>
        <w:tc>
          <w:tcPr>
            <w:tcW w:w="16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主管部门及代码</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heme="minorEastAsia" w:hAnsiTheme="minorEastAsia" w:eastAsiaTheme="minorEastAsia" w:cstheme="minorEastAsia"/>
                <w:b w:val="0"/>
                <w:bCs w:val="0"/>
                <w:i w:val="0"/>
                <w:color w:val="000000"/>
                <w:sz w:val="24"/>
                <w:szCs w:val="24"/>
                <w:u w:val="none"/>
                <w:lang w:val="en-US" w:eastAsia="zh-CN"/>
              </w:rPr>
            </w:pPr>
            <w:r>
              <w:rPr>
                <w:rFonts w:hint="eastAsia" w:asciiTheme="minorEastAsia" w:hAnsiTheme="minorEastAsia" w:eastAsiaTheme="minorEastAsia" w:cstheme="minorEastAsia"/>
                <w:b w:val="0"/>
                <w:bCs w:val="0"/>
                <w:i w:val="0"/>
                <w:color w:val="000000"/>
                <w:sz w:val="24"/>
                <w:szCs w:val="24"/>
                <w:u w:val="none"/>
              </w:rPr>
              <w:t>龙门乡人民政府10</w:t>
            </w:r>
            <w:r>
              <w:rPr>
                <w:rFonts w:hint="eastAsia" w:asciiTheme="minorEastAsia" w:hAnsiTheme="minorEastAsia" w:eastAsiaTheme="minorEastAsia" w:cstheme="minorEastAsia"/>
                <w:b w:val="0"/>
                <w:bCs w:val="0"/>
                <w:i w:val="0"/>
                <w:color w:val="000000"/>
                <w:sz w:val="24"/>
                <w:szCs w:val="24"/>
                <w:u w:val="none"/>
                <w:lang w:val="en-US" w:eastAsia="zh-CN"/>
              </w:rPr>
              <w:t>9001</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实施单位</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sz w:val="24"/>
                <w:szCs w:val="24"/>
                <w:u w:val="none"/>
              </w:rPr>
              <w:t>龙门乡人民政府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126" w:type="pct"/>
          <w:trHeight w:val="324" w:hRule="atLeast"/>
        </w:trPr>
        <w:tc>
          <w:tcPr>
            <w:tcW w:w="16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（万元）</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预算数：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hint="eastAsia" w:ascii="宋体" w:hAnsi="宋体" w:eastAsia="宋体" w:cs="宋体"/>
                <w:sz w:val="24"/>
                <w:szCs w:val="24"/>
                <w:lang w:val="en-US" w:eastAsia="zh-CN"/>
              </w:rPr>
              <w:t>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 xml:space="preserve"> 执行数：</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571" w:hRule="atLeast"/>
        </w:trPr>
        <w:tc>
          <w:tcPr>
            <w:tcW w:w="16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财政拨款</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宋体" w:hAnsi="宋体" w:eastAsia="宋体" w:cs="宋体"/>
                <w:sz w:val="24"/>
                <w:szCs w:val="24"/>
                <w:lang w:val="en-US" w:eastAsia="zh-CN"/>
              </w:rPr>
              <w:t>2.1</w:t>
            </w:r>
            <w:r>
              <w:rPr>
                <w:rFonts w:hint="eastAsia" w:asciiTheme="minorEastAsia" w:hAnsiTheme="minorEastAsia" w:eastAsiaTheme="minorEastAsia" w:cstheme="minorEastAsia"/>
                <w:b w:val="0"/>
                <w:bCs w:val="0"/>
                <w:i w:val="0"/>
                <w:color w:val="000000"/>
                <w:sz w:val="24"/>
                <w:szCs w:val="24"/>
                <w:u w:val="none"/>
                <w:lang w:val="en-US" w:eastAsia="zh-CN"/>
              </w:rPr>
              <w:t>万</w:t>
            </w:r>
            <w:r>
              <w:rPr>
                <w:rFonts w:hint="eastAsia" w:asciiTheme="minorEastAsia" w:hAnsiTheme="minorEastAsia" w:eastAsiaTheme="minorEastAsia" w:cstheme="minorEastAsia"/>
                <w:b w:val="0"/>
                <w:bCs w:val="0"/>
                <w:i w:val="0"/>
                <w:color w:val="000000"/>
                <w:sz w:val="24"/>
                <w:szCs w:val="24"/>
                <w:u w:val="none"/>
                <w:lang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324" w:hRule="atLeast"/>
        </w:trPr>
        <w:tc>
          <w:tcPr>
            <w:tcW w:w="16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其他资金</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291" w:hRule="atLeast"/>
        </w:trPr>
        <w:tc>
          <w:tcPr>
            <w:tcW w:w="1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21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预期目标</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845"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217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开展村级“三资”清产核资工作，促进工作顺利推进，提升村级资产管理能力。</w:t>
            </w:r>
          </w:p>
        </w:tc>
        <w:tc>
          <w:tcPr>
            <w:tcW w:w="166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inorEastAsia" w:hAnsiTheme="minorEastAsia" w:eastAsiaTheme="minorEastAsia" w:cstheme="minorEastAsia"/>
                <w:b w:val="0"/>
                <w:bCs w:val="0"/>
                <w:i w:val="0"/>
                <w:color w:val="000000"/>
                <w:sz w:val="24"/>
                <w:szCs w:val="24"/>
                <w:u w:val="none"/>
                <w:lang w:eastAsia="zh-CN"/>
              </w:rPr>
            </w:pPr>
            <w:r>
              <w:rPr>
                <w:rFonts w:hint="eastAsia" w:asciiTheme="minorEastAsia" w:hAnsiTheme="minorEastAsia" w:eastAsiaTheme="minorEastAsia" w:cstheme="minorEastAsia"/>
                <w:b w:val="0"/>
                <w:bCs w:val="0"/>
                <w:i w:val="0"/>
                <w:color w:val="000000"/>
                <w:sz w:val="24"/>
                <w:szCs w:val="24"/>
                <w:u w:val="none"/>
                <w:lang w:eastAsia="zh-CN"/>
              </w:rPr>
              <w:t>提升村级资产管理能力，保障资产安全。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680" w:hRule="atLeast"/>
        </w:trPr>
        <w:tc>
          <w:tcPr>
            <w:tcW w:w="10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年度绩效指标</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完成情况</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预期指标值</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449"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产出指标</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数量指标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852"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质量指标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按照工作要求，保质保量完成清产核资工作</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26" w:type="pct"/>
          <w:trHeight w:val="852"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时效指标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及时完成资金支付</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95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 w:type="pct"/>
          <w:trHeight w:val="571"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成本指标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不超过预算数</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21000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微软雅黑" w:hAnsi="微软雅黑" w:eastAsia="微软雅黑" w:cs="微软雅黑"/>
                <w:i/>
                <w:iCs/>
                <w:color w:val="000000"/>
                <w:kern w:val="0"/>
                <w:sz w:val="24"/>
                <w:szCs w:val="24"/>
                <w:u w:val="none"/>
                <w:lang w:val="en-US" w:eastAsia="zh-CN" w:bidi="ar"/>
              </w:rPr>
              <w:t>21000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 w:type="pct"/>
          <w:trHeight w:val="571"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 w:type="pct"/>
          <w:trHeight w:val="852"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促进清产核资工作顺利推进</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较好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 w:type="pct"/>
          <w:trHeight w:val="571" w:hRule="atLeast"/>
        </w:trPr>
        <w:tc>
          <w:tcPr>
            <w:tcW w:w="10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ind w:left="423" w:leftChars="87" w:hanging="240" w:hangingChars="100"/>
              <w:jc w:val="left"/>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生态效益</w:t>
            </w:r>
          </w:p>
          <w:p>
            <w:pPr>
              <w:keepNext w:val="0"/>
              <w:keepLines w:val="0"/>
              <w:pageBreakBefore w:val="0"/>
              <w:widowControl/>
              <w:suppressLineNumbers w:val="0"/>
              <w:kinsoku/>
              <w:wordWrap/>
              <w:overflowPunct/>
              <w:topLinePunct w:val="0"/>
              <w:autoSpaceDE/>
              <w:autoSpaceDN/>
              <w:bidi w:val="0"/>
              <w:adjustRightInd/>
              <w:snapToGrid/>
              <w:spacing w:line="300" w:lineRule="exact"/>
              <w:ind w:left="423" w:leftChars="87" w:hanging="240" w:hangingChars="100"/>
              <w:jc w:val="left"/>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18"/>
                <w:szCs w:val="18"/>
                <w:u w:val="none"/>
                <w:lang w:eastAsia="zh-CN"/>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 w:type="pct"/>
          <w:trHeight w:val="852" w:hRule="atLeast"/>
        </w:trPr>
        <w:tc>
          <w:tcPr>
            <w:tcW w:w="1034" w:type="pct"/>
            <w:vMerge w:val="continue"/>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可持续影响</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提升村级资产管理能力，保障资产安全</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较好</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较好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6" w:type="pct"/>
          <w:trHeight w:val="581" w:hRule="atLeast"/>
        </w:trPr>
        <w:tc>
          <w:tcPr>
            <w:tcW w:w="1034"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b w:val="0"/>
                <w:bCs w:val="0"/>
                <w:i w:val="0"/>
                <w:color w:val="000000"/>
                <w:sz w:val="24"/>
                <w:szCs w:val="24"/>
                <w:u w:val="none"/>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度指标</w:t>
            </w:r>
          </w:p>
        </w:tc>
        <w:tc>
          <w:tcPr>
            <w:tcW w:w="75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指标</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lang w:eastAsia="zh-CN"/>
              </w:rPr>
            </w:pPr>
            <w:r>
              <w:rPr>
                <w:rFonts w:ascii="宋体" w:hAnsi="宋体" w:eastAsia="宋体" w:cs="宋体"/>
                <w:i w:val="0"/>
                <w:iCs w:val="0"/>
                <w:color w:val="000000"/>
                <w:kern w:val="0"/>
                <w:sz w:val="24"/>
                <w:szCs w:val="24"/>
                <w:u w:val="none"/>
                <w:lang w:val="en-US" w:eastAsia="zh-CN" w:bidi="ar"/>
              </w:rPr>
              <w:t>各村满意度</w:t>
            </w: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color w:val="000000"/>
                <w:sz w:val="24"/>
                <w:szCs w:val="24"/>
                <w:u w:val="none"/>
                <w:lang w:val="en-US" w:eastAsia="zh-CN"/>
              </w:rPr>
            </w:pPr>
            <w:r>
              <w:rPr>
                <w:rFonts w:ascii="宋体" w:hAnsi="宋体" w:eastAsia="宋体" w:cs="宋体"/>
                <w:i w:val="0"/>
                <w:iCs w:val="0"/>
                <w:color w:val="000000"/>
                <w:kern w:val="0"/>
                <w:sz w:val="24"/>
                <w:szCs w:val="24"/>
                <w:u w:val="none"/>
                <w:lang w:val="en-US" w:eastAsia="zh-CN" w:bidi="ar"/>
              </w:rPr>
              <w:t>95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ascii="宋体" w:hAnsi="宋体" w:eastAsia="宋体" w:cs="宋体"/>
                <w:i w:val="0"/>
                <w:iCs w:val="0"/>
                <w:color w:val="000000"/>
                <w:kern w:val="0"/>
                <w:sz w:val="24"/>
                <w:szCs w:val="24"/>
                <w:u w:val="none"/>
                <w:lang w:val="en-US" w:eastAsia="zh-CN" w:bidi="ar"/>
              </w:rPr>
              <w:t>95</w:t>
            </w:r>
          </w:p>
        </w:tc>
      </w:tr>
    </w:tbl>
    <w:p>
      <w:pPr>
        <w:pStyle w:val="6"/>
        <w:spacing w:before="93"/>
        <w:rPr>
          <w:rFonts w:hAnsi="宋体" w:cs="宋体"/>
          <w:sz w:val="32"/>
          <w:szCs w:val="32"/>
          <w:shd w:val="clear" w:color="auto" w:fill="FFFFFF"/>
          <w:lang w:val="zh-CN"/>
        </w:rPr>
      </w:pPr>
    </w:p>
    <w:p>
      <w:pPr>
        <w:pStyle w:val="6"/>
        <w:spacing w:before="93"/>
        <w:outlineLvl w:val="0"/>
        <w:rPr>
          <w:sz w:val="32"/>
          <w:szCs w:val="32"/>
        </w:rPr>
      </w:pPr>
      <w:bookmarkStart w:id="140" w:name="_Toc19384"/>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bookmarkEnd w:id="140"/>
    </w:p>
    <w:p>
      <w:pPr>
        <w:keepNext w:val="0"/>
        <w:keepLines w:val="0"/>
        <w:pageBreakBefore w:val="0"/>
        <w:kinsoku/>
        <w:wordWrap/>
        <w:overflowPunct/>
        <w:topLinePunct w:val="0"/>
        <w:bidi w:val="0"/>
        <w:spacing w:line="600" w:lineRule="exact"/>
        <w:jc w:val="center"/>
        <w:textAlignment w:val="auto"/>
        <w:outlineLvl w:val="0"/>
        <w:rPr>
          <w:rFonts w:hint="eastAsia" w:ascii="方正小标宋简体" w:hAnsi="方正小标宋简体" w:eastAsia="方正小标宋简体" w:cs="方正小标宋简体"/>
          <w:sz w:val="44"/>
          <w:szCs w:val="44"/>
          <w:lang w:val="zh-CN"/>
        </w:rPr>
      </w:pPr>
      <w:bookmarkStart w:id="141" w:name="_Toc29162"/>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zh-CN"/>
        </w:rPr>
        <w:t>专项预算项目支出绩效自评报告</w:t>
      </w:r>
      <w:bookmarkEnd w:id="141"/>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outlineLvl w:val="1"/>
        <w:rPr>
          <w:rFonts w:ascii="黑体" w:hAnsi="宋体" w:eastAsia="黑体"/>
          <w:sz w:val="32"/>
          <w:szCs w:val="32"/>
          <w:lang w:val="zh-CN"/>
        </w:rPr>
      </w:pPr>
      <w:bookmarkStart w:id="142" w:name="_Toc21236"/>
      <w:r>
        <w:rPr>
          <w:rFonts w:hint="eastAsia" w:ascii="黑体" w:hAnsi="宋体" w:eastAsia="黑体"/>
          <w:sz w:val="32"/>
          <w:szCs w:val="32"/>
        </w:rPr>
        <w:t>一、</w:t>
      </w:r>
      <w:r>
        <w:rPr>
          <w:rFonts w:hint="eastAsia" w:ascii="黑体" w:hAnsi="宋体" w:eastAsia="黑体"/>
          <w:sz w:val="32"/>
          <w:szCs w:val="32"/>
          <w:lang w:val="zh-CN"/>
        </w:rPr>
        <w:t>项目概况</w:t>
      </w:r>
      <w:bookmarkEnd w:id="142"/>
    </w:p>
    <w:p>
      <w:pPr>
        <w:keepNext w:val="0"/>
        <w:keepLines w:val="0"/>
        <w:pageBreakBefore w:val="0"/>
        <w:kinsoku/>
        <w:wordWrap/>
        <w:overflowPunct/>
        <w:topLinePunct w:val="0"/>
        <w:bidi w:val="0"/>
        <w:adjustRightInd w:val="0"/>
        <w:snapToGrid w:val="0"/>
        <w:spacing w:line="600" w:lineRule="exact"/>
        <w:ind w:firstLine="720"/>
        <w:textAlignment w:val="auto"/>
        <w:outlineLvl w:val="2"/>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bidi w:val="0"/>
        <w:spacing w:line="600" w:lineRule="exact"/>
        <w:ind w:firstLine="640" w:firstLineChars="200"/>
        <w:textAlignment w:val="auto"/>
        <w:rPr>
          <w:rFonts w:hint="eastAsia" w:ascii="仿宋" w:hAnsi="仿宋" w:eastAsia="仿宋" w:cs="仿宋_GB2312"/>
          <w:sz w:val="32"/>
          <w:szCs w:val="32"/>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 w:hAnsi="仿宋" w:eastAsia="仿宋"/>
          <w:sz w:val="32"/>
          <w:szCs w:val="32"/>
          <w:lang w:val="zh-CN"/>
        </w:rPr>
        <w:t>按照市委市政府要求，加强对集镇公共设施的运行维护，为创建卫生乡镇做好基础工作，维护集镇风貌，如及时对损坏的集镇公共设施进行维修、更换，维护集镇秩序，清理集镇垃圾等，为群众营造良好的生活、生产环境；</w:t>
      </w:r>
      <w:r>
        <w:rPr>
          <w:rFonts w:hint="eastAsia" w:ascii="仿宋" w:hAnsi="仿宋" w:eastAsia="仿宋" w:cs="仿宋_GB2312"/>
          <w:sz w:val="32"/>
          <w:szCs w:val="32"/>
        </w:rPr>
        <w:t>加强武装工作，做好征兵宣传，增强群众的主要参军意识，提高民兵综合素质</w:t>
      </w:r>
      <w:r>
        <w:rPr>
          <w:rFonts w:hint="eastAsia" w:ascii="仿宋" w:hAnsi="仿宋" w:eastAsia="仿宋" w:cs="仿宋_GB2312"/>
          <w:sz w:val="32"/>
          <w:szCs w:val="32"/>
          <w:lang w:eastAsia="zh-CN"/>
        </w:rPr>
        <w:t>；</w:t>
      </w:r>
      <w:r>
        <w:rPr>
          <w:rFonts w:hint="eastAsia" w:ascii="仿宋" w:hAnsi="仿宋" w:eastAsia="仿宋"/>
          <w:sz w:val="32"/>
          <w:szCs w:val="32"/>
          <w:lang w:val="zh-CN"/>
        </w:rPr>
        <w:t>加强</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管理工作、积极</w:t>
      </w:r>
      <w:r>
        <w:rPr>
          <w:rFonts w:hint="eastAsia" w:ascii="仿宋" w:hAnsi="仿宋" w:eastAsia="仿宋" w:cs="仿宋_GB2312"/>
          <w:sz w:val="32"/>
          <w:szCs w:val="32"/>
          <w:shd w:val="clear" w:color="auto" w:fill="FFFFFF"/>
        </w:rPr>
        <w:t>开展</w:t>
      </w:r>
      <w:r>
        <w:rPr>
          <w:rFonts w:hint="eastAsia" w:ascii="仿宋" w:hAnsi="仿宋" w:eastAsia="仿宋" w:cs="仿宋_GB2312"/>
          <w:sz w:val="32"/>
          <w:szCs w:val="32"/>
          <w:shd w:val="clear" w:color="auto" w:fill="FFFFFF"/>
          <w:lang w:eastAsia="zh-CN"/>
        </w:rPr>
        <w:t>安全</w:t>
      </w:r>
      <w:r>
        <w:rPr>
          <w:rFonts w:hint="eastAsia" w:ascii="仿宋" w:hAnsi="仿宋" w:eastAsia="仿宋" w:cs="仿宋_GB2312"/>
          <w:sz w:val="32"/>
          <w:szCs w:val="32"/>
          <w:shd w:val="clear" w:color="auto" w:fill="FFFFFF"/>
        </w:rPr>
        <w:t>宣传教育活动，</w:t>
      </w:r>
      <w:r>
        <w:rPr>
          <w:rFonts w:hint="eastAsia" w:ascii="仿宋" w:hAnsi="仿宋" w:eastAsia="仿宋" w:cs="仿宋_GB2312"/>
          <w:sz w:val="32"/>
          <w:szCs w:val="32"/>
          <w:shd w:val="clear" w:color="auto" w:fill="FFFFFF"/>
          <w:lang w:eastAsia="zh-CN"/>
        </w:rPr>
        <w:t>保障道路安全</w:t>
      </w:r>
      <w:r>
        <w:rPr>
          <w:rFonts w:hint="eastAsia" w:ascii="仿宋" w:hAnsi="仿宋" w:eastAsia="仿宋" w:cs="仿宋_GB2312"/>
          <w:sz w:val="32"/>
          <w:szCs w:val="32"/>
          <w:shd w:val="clear" w:color="auto" w:fill="FFFFFF"/>
        </w:rPr>
        <w:t>；</w:t>
      </w:r>
      <w:r>
        <w:rPr>
          <w:rFonts w:hint="eastAsia" w:ascii="仿宋" w:hAnsi="仿宋" w:eastAsia="仿宋" w:cs="仿宋_GB2312"/>
          <w:sz w:val="32"/>
          <w:szCs w:val="32"/>
          <w:lang w:eastAsia="zh-CN"/>
        </w:rPr>
        <w:t>促进乡村振兴发展</w:t>
      </w:r>
      <w:r>
        <w:rPr>
          <w:rFonts w:hint="eastAsia" w:ascii="仿宋" w:hAnsi="仿宋" w:eastAsia="仿宋" w:cs="仿宋_GB2312"/>
          <w:sz w:val="32"/>
          <w:szCs w:val="32"/>
        </w:rPr>
        <w:t>；加强</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工作，防止安全事故的发生，切实保障人民群众</w:t>
      </w:r>
      <w:r>
        <w:rPr>
          <w:rFonts w:hint="eastAsia" w:ascii="仿宋" w:hAnsi="仿宋" w:eastAsia="仿宋" w:cs="仿宋_GB2312"/>
          <w:sz w:val="32"/>
          <w:szCs w:val="32"/>
          <w:lang w:eastAsia="zh-CN"/>
        </w:rPr>
        <w:t>生命财产安全</w:t>
      </w:r>
      <w:r>
        <w:rPr>
          <w:rFonts w:hint="eastAsia" w:ascii="仿宋" w:hAnsi="仿宋" w:eastAsia="仿宋" w:cs="仿宋_GB2312"/>
          <w:sz w:val="32"/>
          <w:szCs w:val="32"/>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 w:hAnsi="仿宋" w:eastAsia="仿宋"/>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 w:hAnsi="仿宋" w:eastAsia="仿宋"/>
          <w:sz w:val="32"/>
          <w:szCs w:val="32"/>
          <w:lang w:val="zh-CN"/>
        </w:rPr>
        <w:t>202</w:t>
      </w:r>
      <w:r>
        <w:rPr>
          <w:rFonts w:hint="eastAsia" w:ascii="仿宋" w:hAnsi="仿宋" w:eastAsia="仿宋"/>
          <w:sz w:val="32"/>
          <w:szCs w:val="32"/>
          <w:lang w:val="en-US" w:eastAsia="zh-CN"/>
        </w:rPr>
        <w:t>2</w:t>
      </w:r>
      <w:r>
        <w:rPr>
          <w:rFonts w:hint="eastAsia" w:ascii="仿宋" w:hAnsi="仿宋" w:eastAsia="仿宋"/>
          <w:sz w:val="32"/>
          <w:szCs w:val="32"/>
          <w:lang w:val="zh-CN"/>
        </w:rPr>
        <w:t>年年初我乡按严格预算编制要求，对集镇公共设施运维费、</w:t>
      </w:r>
      <w:r>
        <w:rPr>
          <w:rFonts w:hint="eastAsia" w:ascii="仿宋" w:hAnsi="仿宋" w:eastAsia="仿宋" w:cs="仿宋_GB2312"/>
          <w:sz w:val="32"/>
          <w:szCs w:val="32"/>
          <w:lang w:eastAsia="zh-CN"/>
        </w:rPr>
        <w:t>武装</w:t>
      </w:r>
      <w:r>
        <w:rPr>
          <w:rFonts w:hint="eastAsia" w:ascii="仿宋" w:hAnsi="仿宋" w:eastAsia="仿宋" w:cs="仿宋_GB2312"/>
          <w:sz w:val="32"/>
          <w:szCs w:val="32"/>
        </w:rPr>
        <w:t>工作经费</w:t>
      </w:r>
      <w:r>
        <w:rPr>
          <w:rFonts w:hint="eastAsia" w:ascii="仿宋" w:hAnsi="仿宋" w:eastAsia="仿宋" w:cs="仿宋_GB2312"/>
          <w:sz w:val="32"/>
          <w:szCs w:val="32"/>
          <w:lang w:eastAsia="zh-CN"/>
        </w:rPr>
        <w:t>、交管办及村级劝导员</w:t>
      </w:r>
      <w:r>
        <w:rPr>
          <w:rFonts w:hint="eastAsia" w:ascii="仿宋" w:hAnsi="仿宋" w:eastAsia="仿宋" w:cs="仿宋_GB2312"/>
          <w:sz w:val="32"/>
          <w:szCs w:val="32"/>
        </w:rPr>
        <w:t>经费、</w:t>
      </w:r>
      <w:r>
        <w:rPr>
          <w:rFonts w:hint="eastAsia" w:ascii="仿宋" w:hAnsi="仿宋" w:eastAsia="仿宋" w:cs="仿宋_GB2312"/>
          <w:sz w:val="32"/>
          <w:szCs w:val="32"/>
          <w:lang w:eastAsia="zh-CN"/>
        </w:rPr>
        <w:t>安全监管</w:t>
      </w:r>
      <w:r>
        <w:rPr>
          <w:rFonts w:hint="eastAsia" w:ascii="仿宋" w:hAnsi="仿宋" w:eastAsia="仿宋" w:cs="仿宋_GB2312"/>
          <w:sz w:val="32"/>
          <w:szCs w:val="32"/>
        </w:rPr>
        <w:t>工作经费</w:t>
      </w:r>
      <w:r>
        <w:rPr>
          <w:rFonts w:hint="eastAsia" w:ascii="仿宋" w:hAnsi="仿宋" w:eastAsia="仿宋"/>
          <w:sz w:val="32"/>
          <w:szCs w:val="32"/>
          <w:lang w:val="zh-CN"/>
        </w:rPr>
        <w:t>进行预算编制</w:t>
      </w:r>
      <w:r>
        <w:rPr>
          <w:rFonts w:hint="eastAsia" w:ascii="仿宋" w:hAnsi="仿宋" w:eastAsia="仿宋"/>
          <w:sz w:val="32"/>
          <w:szCs w:val="32"/>
          <w:highlight w:val="none"/>
          <w:lang w:val="zh-CN"/>
        </w:rPr>
        <w:t>。</w:t>
      </w:r>
    </w:p>
    <w:p>
      <w:pPr>
        <w:keepNext w:val="0"/>
        <w:keepLines w:val="0"/>
        <w:pageBreakBefore w:val="0"/>
        <w:kinsoku/>
        <w:wordWrap/>
        <w:overflowPunct/>
        <w:topLinePunct w:val="0"/>
        <w:bidi w:val="0"/>
        <w:adjustRightInd w:val="0"/>
        <w:snapToGrid w:val="0"/>
        <w:spacing w:line="600" w:lineRule="exact"/>
        <w:ind w:firstLine="720"/>
        <w:textAlignment w:val="auto"/>
        <w:outlineLvl w:val="2"/>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eastAsia="zh-CN"/>
        </w:rPr>
      </w:pPr>
      <w:r>
        <w:rPr>
          <w:rFonts w:ascii="仿宋_GB2312" w:hAnsi="宋体" w:eastAsia="仿宋_GB2312"/>
          <w:sz w:val="32"/>
          <w:szCs w:val="32"/>
          <w:lang w:val="zh-CN"/>
        </w:rPr>
        <w:t>1</w:t>
      </w:r>
      <w:r>
        <w:rPr>
          <w:rFonts w:hint="eastAsia" w:ascii="仿宋_GB2312" w:hAnsi="宋体" w:eastAsia="仿宋_GB2312"/>
          <w:sz w:val="32"/>
          <w:szCs w:val="32"/>
          <w:lang w:val="zh-CN"/>
        </w:rPr>
        <w:t>．</w:t>
      </w:r>
      <w:r>
        <w:rPr>
          <w:rFonts w:hint="eastAsia" w:ascii="仿宋_GB2312" w:hAnsi="Times New Roman" w:eastAsia="仿宋_GB2312" w:cs="Times New Roman"/>
          <w:sz w:val="32"/>
          <w:szCs w:val="32"/>
          <w:lang w:val="zh-CN" w:eastAsia="zh-CN"/>
        </w:rPr>
        <w:t>项目主要内容及实现的具体绩效目标。通过预算编制，规划绩效目标：集镇公共设施运维的目标是规范集镇农贸市场外周围街道散户菜贩摊位和水果摊位、整治农贸市场外道路乱停乱放车辆、开展疫情防控工作、公共厕所维护等。</w:t>
      </w:r>
      <w:r>
        <w:rPr>
          <w:rFonts w:hint="eastAsia" w:ascii="仿宋_GB2312" w:hAnsi="Times New Roman" w:eastAsia="仿宋_GB2312" w:cs="Times New Roman"/>
          <w:sz w:val="32"/>
          <w:szCs w:val="32"/>
          <w:lang w:eastAsia="zh-CN"/>
        </w:rPr>
        <w:t>武装工作目标是预计全面完成征兵、民兵预备训练工作。交管办及村级劝导员目标是维护水上安全和道路交通安全，确保无安全事故发生。安全监管工作目标是增强群众安全意识、确保不发生安全事故。</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宋体" w:eastAsia="仿宋_GB2312"/>
          <w:sz w:val="32"/>
          <w:szCs w:val="32"/>
          <w:lang w:val="zh-CN"/>
        </w:rPr>
        <w:t>2．分</w:t>
      </w:r>
      <w:r>
        <w:rPr>
          <w:rFonts w:hint="eastAsia" w:ascii="仿宋_GB2312" w:hAnsi="Times New Roman" w:eastAsia="仿宋_GB2312" w:cs="Times New Roman"/>
          <w:sz w:val="32"/>
          <w:szCs w:val="32"/>
          <w:lang w:val="zh-CN" w:eastAsia="zh-CN"/>
        </w:rPr>
        <w:t>析评价申报内容是否与实际相符，申报目标是否合理可行。集镇公共设施运维推进可以规范集镇秩序，优化集镇环境，同时也服务当地人民群众；</w:t>
      </w:r>
      <w:r>
        <w:rPr>
          <w:rFonts w:hint="eastAsia" w:ascii="仿宋_GB2312" w:hAnsi="Times New Roman" w:eastAsia="仿宋_GB2312" w:cs="Times New Roman"/>
          <w:sz w:val="32"/>
          <w:szCs w:val="32"/>
          <w:lang w:eastAsia="zh-CN"/>
        </w:rPr>
        <w:t>武装工作可以做好征兵宣传，增强群众的主要参军意识，提高民兵综合素质</w:t>
      </w:r>
      <w:r>
        <w:rPr>
          <w:rFonts w:hint="eastAsia" w:ascii="仿宋_GB2312" w:hAnsi="Times New Roman" w:eastAsia="仿宋_GB2312" w:cs="Times New Roman"/>
          <w:sz w:val="32"/>
          <w:szCs w:val="32"/>
          <w:lang w:val="zh-CN" w:eastAsia="zh-CN"/>
        </w:rPr>
        <w:t>；</w:t>
      </w:r>
      <w:r>
        <w:rPr>
          <w:rFonts w:hint="eastAsia" w:ascii="仿宋_GB2312" w:hAnsi="Times New Roman" w:eastAsia="仿宋_GB2312" w:cs="Times New Roman"/>
          <w:sz w:val="32"/>
          <w:szCs w:val="32"/>
          <w:lang w:eastAsia="zh-CN"/>
        </w:rPr>
        <w:t>交管办及村级劝导员目标是维护水上安全和道路交通安全，提高群众安全意识；安全监管工作提高群众安全意识。</w:t>
      </w:r>
      <w:r>
        <w:rPr>
          <w:rFonts w:hint="eastAsia" w:ascii="仿宋_GB2312" w:hAnsi="Times New Roman" w:eastAsia="仿宋_GB2312" w:cs="Times New Roman"/>
          <w:sz w:val="32"/>
          <w:szCs w:val="32"/>
          <w:lang w:val="zh-CN" w:eastAsia="zh-CN"/>
        </w:rPr>
        <w:t>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outlineLvl w:val="1"/>
        <w:rPr>
          <w:rFonts w:ascii="黑体" w:hAnsi="宋体" w:eastAsia="黑体"/>
          <w:sz w:val="32"/>
          <w:szCs w:val="32"/>
        </w:rPr>
      </w:pPr>
      <w:bookmarkStart w:id="143" w:name="_Toc31649"/>
      <w:r>
        <w:rPr>
          <w:rFonts w:hint="eastAsia" w:ascii="黑体" w:hAnsi="宋体" w:eastAsia="黑体"/>
          <w:sz w:val="32"/>
          <w:szCs w:val="32"/>
        </w:rPr>
        <w:t>二、项目资金申报及使用情况</w:t>
      </w:r>
      <w:bookmarkEnd w:id="143"/>
    </w:p>
    <w:p>
      <w:pPr>
        <w:keepNext w:val="0"/>
        <w:keepLines w:val="0"/>
        <w:pageBreakBefore w:val="0"/>
        <w:kinsoku/>
        <w:wordWrap/>
        <w:overflowPunct/>
        <w:topLinePunct w:val="0"/>
        <w:bidi w:val="0"/>
        <w:adjustRightInd w:val="0"/>
        <w:snapToGrid w:val="0"/>
        <w:spacing w:line="600" w:lineRule="exact"/>
        <w:ind w:firstLine="720"/>
        <w:textAlignment w:val="auto"/>
        <w:outlineLvl w:val="2"/>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项目资金严格按照相关资金申报规定进行申报，通过申报、批复、预算调整等程序。</w:t>
      </w:r>
    </w:p>
    <w:p>
      <w:pPr>
        <w:keepNext w:val="0"/>
        <w:keepLines w:val="0"/>
        <w:pageBreakBefore w:val="0"/>
        <w:kinsoku/>
        <w:wordWrap/>
        <w:overflowPunct/>
        <w:topLinePunct w:val="0"/>
        <w:bidi w:val="0"/>
        <w:adjustRightInd w:val="0"/>
        <w:snapToGrid w:val="0"/>
        <w:spacing w:line="600" w:lineRule="exact"/>
        <w:ind w:firstLine="720"/>
        <w:textAlignment w:val="auto"/>
        <w:outlineLvl w:val="2"/>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（二）资金计划、到位及使用情况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lang w:val="zh-CN" w:eastAsia="zh-CN"/>
        </w:rPr>
        <w:t>2021年全域创卫迎访经费总投资</w:t>
      </w:r>
      <w:r>
        <w:rPr>
          <w:rFonts w:hint="eastAsia" w:ascii="仿宋_GB2312" w:hAnsi="Times New Roman" w:eastAsia="仿宋_GB2312" w:cs="Times New Roman"/>
          <w:sz w:val="32"/>
          <w:szCs w:val="32"/>
          <w:lang w:val="en-US" w:eastAsia="zh-CN"/>
        </w:rPr>
        <w:t>9.6</w:t>
      </w:r>
      <w:r>
        <w:rPr>
          <w:rFonts w:hint="eastAsia" w:ascii="仿宋_GB2312" w:hAnsi="Times New Roman" w:eastAsia="仿宋_GB2312" w:cs="Times New Roman"/>
          <w:sz w:val="32"/>
          <w:szCs w:val="32"/>
          <w:lang w:val="zh-CN" w:eastAsia="zh-CN"/>
        </w:rPr>
        <w:t>万元，实际财政资金到位</w:t>
      </w:r>
      <w:r>
        <w:rPr>
          <w:rFonts w:hint="eastAsia" w:ascii="仿宋_GB2312" w:hAnsi="Times New Roman" w:eastAsia="仿宋_GB2312" w:cs="Times New Roman"/>
          <w:sz w:val="32"/>
          <w:szCs w:val="32"/>
          <w:lang w:val="en-US" w:eastAsia="zh-CN"/>
        </w:rPr>
        <w:t>9.6</w:t>
      </w:r>
      <w:r>
        <w:rPr>
          <w:rFonts w:hint="eastAsia" w:ascii="仿宋_GB2312" w:hAnsi="Times New Roman" w:eastAsia="仿宋_GB2312" w:cs="Times New Roman"/>
          <w:sz w:val="32"/>
          <w:szCs w:val="32"/>
          <w:lang w:val="zh-CN" w:eastAsia="zh-CN"/>
        </w:rPr>
        <w:t>万元，到位率100%。创卫相关工作劳务费</w:t>
      </w:r>
      <w:r>
        <w:rPr>
          <w:rFonts w:hint="eastAsia" w:ascii="仿宋_GB2312" w:hAnsi="Times New Roman" w:eastAsia="仿宋_GB2312" w:cs="Times New Roman"/>
          <w:sz w:val="32"/>
          <w:szCs w:val="32"/>
          <w:lang w:val="en-US" w:eastAsia="zh-CN"/>
        </w:rPr>
        <w:t>1.96万元，维修费0.76万元，印刷费1.66万元，差旅费2.22万元，其他工作费2.1万元，</w:t>
      </w:r>
      <w:r>
        <w:rPr>
          <w:rFonts w:hint="eastAsia" w:ascii="仿宋_GB2312" w:hAnsi="Times New Roman" w:eastAsia="仿宋_GB2312" w:cs="Times New Roman"/>
          <w:sz w:val="32"/>
          <w:szCs w:val="32"/>
          <w:lang w:val="zh-CN" w:eastAsia="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2.武装工作经费</w:t>
      </w:r>
      <w:r>
        <w:rPr>
          <w:rFonts w:hint="eastAsia" w:ascii="仿宋_GB2312" w:hAnsi="Times New Roman" w:eastAsia="仿宋_GB2312" w:cs="Times New Roman"/>
          <w:sz w:val="32"/>
          <w:szCs w:val="32"/>
          <w:lang w:val="zh-CN" w:eastAsia="zh-CN"/>
        </w:rPr>
        <w:t>总投资</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eastAsia="zh-CN"/>
        </w:rPr>
        <w:t>万元，实际财政资金到位1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lang w:val="zh-CN" w:eastAsia="zh-CN"/>
        </w:rPr>
        <w:t>22万元，到位率</w:t>
      </w:r>
      <w:r>
        <w:rPr>
          <w:rFonts w:hint="eastAsia" w:ascii="仿宋_GB2312" w:hAnsi="Times New Roman" w:eastAsia="仿宋_GB2312" w:cs="Times New Roman"/>
          <w:sz w:val="32"/>
          <w:szCs w:val="32"/>
          <w:lang w:val="en-US" w:eastAsia="zh-CN"/>
        </w:rPr>
        <w:t>40.7</w:t>
      </w:r>
      <w:r>
        <w:rPr>
          <w:rFonts w:hint="eastAsia" w:ascii="仿宋_GB2312" w:hAnsi="Times New Roman" w:eastAsia="仿宋_GB2312" w:cs="Times New Roman"/>
          <w:sz w:val="32"/>
          <w:szCs w:val="32"/>
          <w:lang w:val="zh-CN" w:eastAsia="zh-CN"/>
        </w:rPr>
        <w:t>%。</w:t>
      </w:r>
      <w:r>
        <w:rPr>
          <w:rFonts w:hint="eastAsia" w:ascii="仿宋_GB2312" w:hAnsi="Times New Roman" w:eastAsia="仿宋_GB2312" w:cs="Times New Roman"/>
          <w:sz w:val="32"/>
          <w:szCs w:val="32"/>
          <w:lang w:val="en-US" w:eastAsia="zh-CN"/>
        </w:rPr>
        <w:t>开展武装工作经费0.24万元，其他交通费0.98</w:t>
      </w:r>
      <w:r>
        <w:rPr>
          <w:rFonts w:hint="eastAsia" w:ascii="仿宋_GB2312" w:hAnsi="Times New Roman" w:eastAsia="仿宋_GB2312" w:cs="Times New Roman"/>
          <w:sz w:val="32"/>
          <w:szCs w:val="32"/>
          <w:lang w:val="zh-CN" w:eastAsia="zh-CN"/>
        </w:rPr>
        <w:t>万元，支付率达到100%，对财政资金的使用符合规定。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3.交管办及村级劝导员经费</w:t>
      </w:r>
      <w:r>
        <w:rPr>
          <w:rFonts w:hint="eastAsia" w:ascii="仿宋_GB2312" w:hAnsi="Times New Roman" w:eastAsia="仿宋_GB2312" w:cs="Times New Roman"/>
          <w:sz w:val="32"/>
          <w:szCs w:val="32"/>
          <w:lang w:val="zh-CN" w:eastAsia="zh-CN"/>
        </w:rPr>
        <w:t>总投资</w:t>
      </w:r>
      <w:r>
        <w:rPr>
          <w:rFonts w:hint="eastAsia" w:ascii="仿宋_GB2312" w:hAnsi="Times New Roman" w:eastAsia="仿宋_GB2312" w:cs="Times New Roman"/>
          <w:sz w:val="32"/>
          <w:szCs w:val="32"/>
          <w:lang w:val="en-US" w:eastAsia="zh-CN"/>
        </w:rPr>
        <w:t>5.44</w:t>
      </w:r>
      <w:r>
        <w:rPr>
          <w:rFonts w:hint="eastAsia" w:ascii="仿宋_GB2312" w:hAnsi="Times New Roman" w:eastAsia="仿宋_GB2312" w:cs="Times New Roman"/>
          <w:sz w:val="32"/>
          <w:szCs w:val="32"/>
          <w:lang w:val="zh-CN" w:eastAsia="zh-CN"/>
        </w:rPr>
        <w:t>万元，实际财政资金到位</w:t>
      </w:r>
      <w:r>
        <w:rPr>
          <w:rFonts w:hint="eastAsia" w:ascii="仿宋_GB2312" w:hAnsi="Times New Roman" w:eastAsia="仿宋_GB2312" w:cs="Times New Roman"/>
          <w:sz w:val="32"/>
          <w:szCs w:val="32"/>
          <w:lang w:val="en-US" w:eastAsia="zh-CN"/>
        </w:rPr>
        <w:t>5.44</w:t>
      </w:r>
      <w:r>
        <w:rPr>
          <w:rFonts w:hint="eastAsia" w:ascii="仿宋_GB2312" w:hAnsi="Times New Roman" w:eastAsia="仿宋_GB2312" w:cs="Times New Roman"/>
          <w:sz w:val="32"/>
          <w:szCs w:val="32"/>
          <w:lang w:val="zh-CN" w:eastAsia="zh-CN"/>
        </w:rPr>
        <w:t>万元，到位率100%。</w:t>
      </w:r>
      <w:r>
        <w:rPr>
          <w:rFonts w:hint="eastAsia" w:ascii="仿宋_GB2312" w:hAnsi="Times New Roman" w:eastAsia="仿宋_GB2312" w:cs="Times New Roman"/>
          <w:sz w:val="32"/>
          <w:szCs w:val="32"/>
          <w:lang w:val="en-US" w:eastAsia="zh-CN"/>
        </w:rPr>
        <w:t>交管站交管员和水上劝导员工资4.67</w:t>
      </w:r>
      <w:r>
        <w:rPr>
          <w:rFonts w:hint="eastAsia" w:ascii="仿宋_GB2312" w:hAnsi="Times New Roman" w:eastAsia="仿宋_GB2312" w:cs="Times New Roman"/>
          <w:sz w:val="32"/>
          <w:szCs w:val="32"/>
          <w:lang w:val="zh-CN" w:eastAsia="zh-CN"/>
        </w:rPr>
        <w:t>万元，差旅费</w:t>
      </w:r>
      <w:r>
        <w:rPr>
          <w:rFonts w:hint="eastAsia" w:ascii="仿宋_GB2312" w:hAnsi="Times New Roman" w:eastAsia="仿宋_GB2312" w:cs="Times New Roman"/>
          <w:sz w:val="32"/>
          <w:szCs w:val="32"/>
          <w:lang w:val="en-US" w:eastAsia="zh-CN"/>
        </w:rPr>
        <w:t>1.77万元，</w:t>
      </w:r>
      <w:r>
        <w:rPr>
          <w:rFonts w:hint="eastAsia" w:ascii="仿宋_GB2312" w:hAnsi="Times New Roman" w:eastAsia="仿宋_GB2312" w:cs="Times New Roman"/>
          <w:sz w:val="32"/>
          <w:szCs w:val="32"/>
          <w:lang w:val="zh-CN" w:eastAsia="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4.2021年新冠病毒疫苗接种补助经费总投资2万元</w:t>
      </w:r>
      <w:r>
        <w:rPr>
          <w:rFonts w:hint="eastAsia" w:ascii="仿宋_GB2312" w:hAnsi="Times New Roman" w:eastAsia="仿宋_GB2312" w:cs="Times New Roman"/>
          <w:sz w:val="32"/>
          <w:szCs w:val="32"/>
          <w:lang w:val="zh-CN" w:eastAsia="zh-CN"/>
        </w:rPr>
        <w:t>，实际财政资金到位</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lang w:val="zh-CN" w:eastAsia="zh-CN"/>
        </w:rPr>
        <w:t>万元，到位率100%。</w:t>
      </w:r>
      <w:r>
        <w:rPr>
          <w:rFonts w:hint="eastAsia" w:ascii="仿宋_GB2312" w:hAnsi="Times New Roman" w:eastAsia="仿宋_GB2312" w:cs="Times New Roman"/>
          <w:sz w:val="32"/>
          <w:szCs w:val="32"/>
          <w:lang w:val="en-US" w:eastAsia="zh-CN"/>
        </w:rPr>
        <w:t>2021年新冠病毒疫苗接种补助经费实际支付2万元</w:t>
      </w:r>
      <w:r>
        <w:rPr>
          <w:rFonts w:hint="eastAsia" w:ascii="仿宋_GB2312" w:hAnsi="Times New Roman" w:eastAsia="仿宋_GB2312" w:cs="Times New Roman"/>
          <w:sz w:val="32"/>
          <w:szCs w:val="32"/>
          <w:lang w:val="zh-CN" w:eastAsia="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en-US" w:eastAsia="zh-CN"/>
        </w:rPr>
        <w:t>5.周山村1、2、3组道安工程项目</w:t>
      </w:r>
      <w:r>
        <w:rPr>
          <w:rFonts w:hint="eastAsia" w:ascii="仿宋_GB2312" w:hAnsi="Times New Roman" w:eastAsia="仿宋_GB2312" w:cs="Times New Roman"/>
          <w:sz w:val="32"/>
          <w:szCs w:val="32"/>
          <w:lang w:val="zh-CN" w:eastAsia="zh-CN"/>
        </w:rPr>
        <w:t>总投资</w:t>
      </w:r>
      <w:r>
        <w:rPr>
          <w:rFonts w:hint="eastAsia" w:ascii="仿宋_GB2312" w:hAnsi="Times New Roman" w:eastAsia="仿宋_GB2312" w:cs="Times New Roman"/>
          <w:sz w:val="32"/>
          <w:szCs w:val="32"/>
          <w:lang w:val="en-US" w:eastAsia="zh-CN"/>
        </w:rPr>
        <w:t>49.8</w:t>
      </w:r>
      <w:r>
        <w:rPr>
          <w:rFonts w:hint="eastAsia" w:ascii="仿宋_GB2312" w:hAnsi="Times New Roman" w:eastAsia="仿宋_GB2312" w:cs="Times New Roman"/>
          <w:sz w:val="32"/>
          <w:szCs w:val="32"/>
          <w:lang w:val="zh-CN" w:eastAsia="zh-CN"/>
        </w:rPr>
        <w:t>万元，实际财政资金到</w:t>
      </w:r>
      <w:r>
        <w:rPr>
          <w:rFonts w:hint="eastAsia" w:ascii="仿宋_GB2312" w:eastAsia="仿宋_GB2312" w:cs="Times New Roman"/>
          <w:sz w:val="32"/>
          <w:szCs w:val="32"/>
          <w:lang w:val="zh-CN" w:eastAsia="zh-CN"/>
        </w:rPr>
        <w:t>位</w:t>
      </w:r>
      <w:r>
        <w:rPr>
          <w:rFonts w:hint="eastAsia" w:ascii="仿宋_GB2312" w:hAnsi="Times New Roman" w:eastAsia="仿宋_GB2312" w:cs="Times New Roman"/>
          <w:sz w:val="32"/>
          <w:szCs w:val="32"/>
          <w:lang w:val="en-US" w:eastAsia="zh-CN"/>
        </w:rPr>
        <w:t>49.8</w:t>
      </w:r>
      <w:r>
        <w:rPr>
          <w:rFonts w:hint="eastAsia" w:ascii="仿宋_GB2312" w:hAnsi="Times New Roman" w:eastAsia="仿宋_GB2312" w:cs="Times New Roman"/>
          <w:sz w:val="32"/>
          <w:szCs w:val="32"/>
          <w:lang w:val="zh-CN" w:eastAsia="zh-CN"/>
        </w:rPr>
        <w:t>万元，到位率100%。</w:t>
      </w:r>
      <w:r>
        <w:rPr>
          <w:rFonts w:hint="eastAsia" w:ascii="仿宋_GB2312" w:hAnsi="Times New Roman" w:eastAsia="仿宋_GB2312" w:cs="Times New Roman"/>
          <w:sz w:val="32"/>
          <w:szCs w:val="32"/>
          <w:lang w:val="en-US" w:eastAsia="zh-CN"/>
        </w:rPr>
        <w:t>支周山村1、2、3组道安工程项目相关经费49.8万元</w:t>
      </w:r>
      <w:r>
        <w:rPr>
          <w:rFonts w:hint="eastAsia" w:ascii="仿宋_GB2312" w:hAnsi="Times New Roman" w:eastAsia="仿宋_GB2312" w:cs="Times New Roman"/>
          <w:sz w:val="32"/>
          <w:szCs w:val="32"/>
          <w:lang w:val="zh-CN" w:eastAsia="zh-CN"/>
        </w:rPr>
        <w:t>，支付率达到100%，对财政资金的使用符合规定。</w:t>
      </w:r>
    </w:p>
    <w:p>
      <w:pPr>
        <w:keepNext w:val="0"/>
        <w:keepLines w:val="0"/>
        <w:pageBreakBefore w:val="0"/>
        <w:kinsoku/>
        <w:wordWrap/>
        <w:overflowPunct/>
        <w:topLinePunct w:val="0"/>
        <w:bidi w:val="0"/>
        <w:adjustRightInd w:val="0"/>
        <w:snapToGrid w:val="0"/>
        <w:spacing w:line="600" w:lineRule="exact"/>
        <w:ind w:firstLine="720"/>
        <w:textAlignment w:val="auto"/>
        <w:outlineLvl w:val="2"/>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我单位财务管理制度健全，严格执行国家法律、法规，按照《会计法》财务规则制度，科学、合理的使用资金，及时处理各笔款项，会计核算规范。</w:t>
      </w:r>
      <w:bookmarkStart w:id="175" w:name="_GoBack"/>
      <w:bookmarkEnd w:id="175"/>
    </w:p>
    <w:p>
      <w:pPr>
        <w:keepNext w:val="0"/>
        <w:keepLines w:val="0"/>
        <w:pageBreakBefore w:val="0"/>
        <w:kinsoku/>
        <w:wordWrap/>
        <w:overflowPunct/>
        <w:topLinePunct w:val="0"/>
        <w:bidi w:val="0"/>
        <w:adjustRightInd w:val="0"/>
        <w:snapToGrid w:val="0"/>
        <w:spacing w:line="600" w:lineRule="exact"/>
        <w:ind w:firstLine="720"/>
        <w:textAlignment w:val="auto"/>
        <w:outlineLvl w:val="1"/>
        <w:rPr>
          <w:rFonts w:ascii="黑体" w:hAnsi="宋体" w:eastAsia="黑体"/>
          <w:sz w:val="32"/>
          <w:szCs w:val="32"/>
        </w:rPr>
      </w:pPr>
      <w:bookmarkStart w:id="144" w:name="_Toc2602"/>
      <w:r>
        <w:rPr>
          <w:rFonts w:hint="eastAsia" w:ascii="黑体" w:hAnsi="宋体" w:eastAsia="黑体"/>
          <w:sz w:val="32"/>
          <w:szCs w:val="32"/>
        </w:rPr>
        <w:t>三、项目实施及管理情况</w:t>
      </w:r>
      <w:bookmarkEnd w:id="144"/>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我乡所有项目开展相关事宜均通过分管领导提出解决方案，由党委集体研究方案可行性，最终通过表决确定项目实施单位或者个人。</w:t>
      </w:r>
    </w:p>
    <w:p>
      <w:pPr>
        <w:keepNext w:val="0"/>
        <w:keepLines w:val="0"/>
        <w:pageBreakBefore w:val="0"/>
        <w:kinsoku/>
        <w:wordWrap/>
        <w:overflowPunct/>
        <w:topLinePunct w:val="0"/>
        <w:bidi w:val="0"/>
        <w:adjustRightInd w:val="0"/>
        <w:snapToGrid w:val="0"/>
        <w:spacing w:line="600" w:lineRule="exact"/>
        <w:ind w:firstLine="720"/>
        <w:textAlignment w:val="auto"/>
        <w:outlineLvl w:val="1"/>
        <w:rPr>
          <w:rFonts w:ascii="仿宋_GB2312" w:hAnsi="宋体" w:eastAsia="仿宋_GB2312"/>
          <w:sz w:val="32"/>
          <w:szCs w:val="32"/>
          <w:lang w:val="zh-CN"/>
        </w:rPr>
      </w:pPr>
      <w:bookmarkStart w:id="145" w:name="_Toc16652"/>
      <w:r>
        <w:rPr>
          <w:rFonts w:hint="eastAsia" w:ascii="黑体" w:hAnsi="宋体" w:eastAsia="黑体"/>
          <w:sz w:val="32"/>
          <w:szCs w:val="32"/>
        </w:rPr>
        <w:t>四、项目绩效情况</w:t>
      </w:r>
      <w:bookmarkEnd w:id="145"/>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outlineLvl w:val="2"/>
        <w:rPr>
          <w:rFonts w:hint="eastAsia" w:ascii="仿宋_GB2312" w:hAnsi="Times New Roman" w:eastAsia="仿宋_GB2312" w:cs="Times New Roman"/>
          <w:sz w:val="32"/>
          <w:szCs w:val="32"/>
          <w:lang w:val="zh-CN" w:eastAsia="zh-CN"/>
        </w:rPr>
      </w:pPr>
      <w:r>
        <w:rPr>
          <w:rFonts w:hint="eastAsia" w:ascii="楷体_GB2312" w:hAnsi="宋体" w:eastAsia="楷体_GB2312"/>
          <w:b w:val="0"/>
          <w:bCs/>
          <w:sz w:val="32"/>
          <w:szCs w:val="32"/>
          <w:lang w:val="zh-CN"/>
        </w:rPr>
        <w:t>（</w:t>
      </w:r>
      <w:r>
        <w:rPr>
          <w:rFonts w:hint="eastAsia" w:ascii="仿宋_GB2312" w:hAnsi="Times New Roman" w:eastAsia="仿宋_GB2312" w:cs="Times New Roman"/>
          <w:sz w:val="32"/>
          <w:szCs w:val="32"/>
          <w:lang w:val="zh-CN" w:eastAsia="zh-CN"/>
        </w:rPr>
        <w:t>一）项目完成情况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我乡开展这5个项目以来成效明显：1、集镇及农贸市场环境卫生进行整治，之前散乱脏的现象得到了有效整治。2、民兵参与演练的积极性提高、为维护一方安稳提供坚实的后盾。</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lang w:val="zh-CN" w:eastAsia="zh-CN"/>
        </w:rPr>
        <w:t>规范车辆乱停乱放现象，群众交通安全意识提高。4、疫情接种覆盖率高，保障全乡健康安全。5、加强基础设施建设，改善群众出行，提高群众生产生活质量；</w:t>
      </w:r>
    </w:p>
    <w:p>
      <w:pPr>
        <w:keepNext w:val="0"/>
        <w:keepLines w:val="0"/>
        <w:pageBreakBefore w:val="0"/>
        <w:kinsoku/>
        <w:wordWrap/>
        <w:overflowPunct/>
        <w:topLinePunct w:val="0"/>
        <w:bidi w:val="0"/>
        <w:adjustRightInd w:val="0"/>
        <w:snapToGrid w:val="0"/>
        <w:spacing w:line="600" w:lineRule="exact"/>
        <w:ind w:firstLine="720"/>
        <w:textAlignment w:val="auto"/>
        <w:outlineLvl w:val="2"/>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5个项目的实施有效改善集镇环境、提高安全意识、维护社会稳定，促进群众生产生活便捷性，营造良好的社会氛围，从根本上促进区域经济发展，受到群众的一致好评，群众满意度较高。</w:t>
      </w:r>
    </w:p>
    <w:p>
      <w:pPr>
        <w:keepNext w:val="0"/>
        <w:keepLines w:val="0"/>
        <w:pageBreakBefore w:val="0"/>
        <w:kinsoku/>
        <w:wordWrap/>
        <w:overflowPunct/>
        <w:topLinePunct w:val="0"/>
        <w:bidi w:val="0"/>
        <w:adjustRightInd w:val="0"/>
        <w:snapToGrid w:val="0"/>
        <w:spacing w:line="600" w:lineRule="exact"/>
        <w:ind w:firstLine="720"/>
        <w:textAlignment w:val="auto"/>
        <w:outlineLvl w:val="1"/>
        <w:rPr>
          <w:rFonts w:hint="eastAsia" w:ascii="黑体" w:hAnsi="宋体" w:eastAsia="黑体" w:cs="Times New Roman"/>
          <w:sz w:val="32"/>
          <w:szCs w:val="32"/>
          <w:lang w:val="zh-CN" w:eastAsia="zh-CN"/>
        </w:rPr>
      </w:pPr>
      <w:bookmarkStart w:id="146" w:name="_Toc16483"/>
      <w:r>
        <w:rPr>
          <w:rFonts w:hint="eastAsia" w:ascii="黑体" w:hAnsi="宋体" w:eastAsia="黑体" w:cs="Times New Roman"/>
          <w:sz w:val="32"/>
          <w:szCs w:val="32"/>
          <w:lang w:val="zh-CN" w:eastAsia="zh-CN"/>
        </w:rPr>
        <w:t>五、评价结论及建议</w:t>
      </w:r>
      <w:bookmarkEnd w:id="146"/>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Times New Roman" w:eastAsia="仿宋_GB2312" w:cs="Times New Roman"/>
          <w:sz w:val="32"/>
          <w:szCs w:val="32"/>
          <w:lang w:val="zh-CN" w:eastAsia="zh-CN"/>
        </w:rPr>
      </w:pPr>
      <w:r>
        <w:rPr>
          <w:rFonts w:hint="eastAsia" w:ascii="仿宋_GB2312" w:hAnsi="Times New Roman" w:eastAsia="仿宋_GB2312" w:cs="Times New Roman"/>
          <w:sz w:val="32"/>
          <w:szCs w:val="32"/>
          <w:lang w:val="zh-CN" w:eastAsia="zh-CN"/>
        </w:rPr>
        <w:t>通过项目绩效管理自评，我乡在项目支出中不存在违法违纪行为，做到及时支付，专款专用。</w:t>
      </w:r>
    </w:p>
    <w:p>
      <w:pPr>
        <w:spacing w:line="600" w:lineRule="exact"/>
        <w:jc w:val="center"/>
        <w:outlineLvl w:val="9"/>
        <w:rPr>
          <w:rFonts w:hint="eastAsia" w:ascii="黑体" w:hAnsi="黑体" w:eastAsia="黑体"/>
          <w:sz w:val="44"/>
          <w:szCs w:val="44"/>
        </w:rPr>
      </w:pPr>
      <w:bookmarkStart w:id="147" w:name="_Toc15396618"/>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pStyle w:val="2"/>
        <w:rPr>
          <w:rFonts w:hint="eastAsia"/>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9"/>
        <w:rPr>
          <w:rFonts w:hint="eastAsia" w:ascii="黑体" w:hAnsi="黑体" w:eastAsia="黑体"/>
          <w:sz w:val="44"/>
          <w:szCs w:val="44"/>
        </w:rPr>
      </w:pPr>
    </w:p>
    <w:p>
      <w:pPr>
        <w:spacing w:line="600" w:lineRule="exact"/>
        <w:jc w:val="center"/>
        <w:outlineLvl w:val="0"/>
        <w:rPr>
          <w:rFonts w:ascii="仿宋" w:hAnsi="仿宋" w:eastAsia="仿宋"/>
        </w:rPr>
      </w:pPr>
      <w:bookmarkStart w:id="148" w:name="_Toc13339"/>
      <w:r>
        <w:rPr>
          <w:rFonts w:hint="eastAsia" w:ascii="黑体" w:hAnsi="黑体" w:eastAsia="黑体"/>
          <w:sz w:val="44"/>
          <w:szCs w:val="44"/>
        </w:rPr>
        <w:t>第</w:t>
      </w:r>
      <w:r>
        <w:rPr>
          <w:rStyle w:val="29"/>
          <w:rFonts w:hint="eastAsia" w:ascii="黑体" w:hAnsi="黑体" w:eastAsia="黑体"/>
          <w:b w:val="0"/>
        </w:rPr>
        <w:t>五部分 附表</w:t>
      </w:r>
      <w:bookmarkEnd w:id="124"/>
      <w:bookmarkEnd w:id="147"/>
      <w:bookmarkEnd w:id="148"/>
      <w:bookmarkStart w:id="149" w:name="_Toc15396619"/>
    </w:p>
    <w:p>
      <w:pPr>
        <w:pStyle w:val="4"/>
        <w:rPr>
          <w:rFonts w:hint="eastAsia" w:ascii="仿宋_GB2312" w:hAnsi="Times New Roman" w:eastAsia="仿宋_GB2312" w:cs="Times New Roman"/>
          <w:b w:val="0"/>
          <w:bCs w:val="0"/>
          <w:kern w:val="2"/>
          <w:sz w:val="32"/>
          <w:szCs w:val="32"/>
          <w:lang w:val="zh-CN" w:eastAsia="zh-CN" w:bidi="ar-SA"/>
        </w:rPr>
      </w:pPr>
      <w:bookmarkStart w:id="150" w:name="_Toc10924"/>
      <w:r>
        <w:rPr>
          <w:rFonts w:hint="eastAsia" w:ascii="仿宋_GB2312" w:hAnsi="Times New Roman" w:eastAsia="仿宋_GB2312" w:cs="Times New Roman"/>
          <w:b w:val="0"/>
          <w:bCs w:val="0"/>
          <w:kern w:val="2"/>
          <w:sz w:val="32"/>
          <w:szCs w:val="32"/>
          <w:lang w:val="zh-CN" w:eastAsia="zh-CN" w:bidi="ar-SA"/>
        </w:rPr>
        <w:t>一、收入支出决算总表</w:t>
      </w:r>
      <w:bookmarkEnd w:id="149"/>
      <w:bookmarkEnd w:id="150"/>
    </w:p>
    <w:p>
      <w:pPr>
        <w:pStyle w:val="4"/>
        <w:rPr>
          <w:rFonts w:hint="eastAsia" w:ascii="仿宋_GB2312" w:hAnsi="Times New Roman" w:eastAsia="仿宋_GB2312" w:cs="Times New Roman"/>
          <w:b w:val="0"/>
          <w:bCs w:val="0"/>
          <w:kern w:val="2"/>
          <w:sz w:val="32"/>
          <w:szCs w:val="32"/>
          <w:lang w:val="zh-CN" w:eastAsia="zh-CN" w:bidi="ar-SA"/>
        </w:rPr>
      </w:pPr>
      <w:bookmarkStart w:id="151" w:name="_Toc7423"/>
      <w:bookmarkStart w:id="152" w:name="_Toc15396620"/>
      <w:r>
        <w:rPr>
          <w:rFonts w:hint="eastAsia" w:ascii="仿宋_GB2312" w:hAnsi="Times New Roman" w:eastAsia="仿宋_GB2312" w:cs="Times New Roman"/>
          <w:b w:val="0"/>
          <w:bCs w:val="0"/>
          <w:kern w:val="2"/>
          <w:sz w:val="32"/>
          <w:szCs w:val="32"/>
          <w:lang w:val="zh-CN" w:eastAsia="zh-CN" w:bidi="ar-SA"/>
        </w:rPr>
        <w:t>二、收入决算表</w:t>
      </w:r>
      <w:bookmarkEnd w:id="151"/>
      <w:bookmarkEnd w:id="152"/>
    </w:p>
    <w:p>
      <w:pPr>
        <w:pStyle w:val="4"/>
        <w:rPr>
          <w:rFonts w:hint="eastAsia" w:ascii="仿宋_GB2312" w:hAnsi="Times New Roman" w:eastAsia="仿宋_GB2312" w:cs="Times New Roman"/>
          <w:b w:val="0"/>
          <w:bCs w:val="0"/>
          <w:kern w:val="2"/>
          <w:sz w:val="32"/>
          <w:szCs w:val="32"/>
          <w:lang w:val="zh-CN" w:eastAsia="zh-CN" w:bidi="ar-SA"/>
        </w:rPr>
      </w:pPr>
      <w:bookmarkStart w:id="153" w:name="_Toc15396621"/>
      <w:bookmarkStart w:id="154" w:name="_Toc8807"/>
      <w:r>
        <w:rPr>
          <w:rFonts w:hint="eastAsia" w:ascii="仿宋_GB2312" w:hAnsi="Times New Roman" w:eastAsia="仿宋_GB2312" w:cs="Times New Roman"/>
          <w:b w:val="0"/>
          <w:bCs w:val="0"/>
          <w:kern w:val="2"/>
          <w:sz w:val="32"/>
          <w:szCs w:val="32"/>
          <w:lang w:val="zh-CN" w:eastAsia="zh-CN" w:bidi="ar-SA"/>
        </w:rPr>
        <w:t>三、支出决算表</w:t>
      </w:r>
      <w:bookmarkEnd w:id="153"/>
      <w:bookmarkEnd w:id="154"/>
    </w:p>
    <w:p>
      <w:pPr>
        <w:pStyle w:val="4"/>
        <w:rPr>
          <w:rFonts w:hint="eastAsia" w:ascii="仿宋_GB2312" w:hAnsi="Times New Roman" w:eastAsia="仿宋_GB2312" w:cs="Times New Roman"/>
          <w:b w:val="0"/>
          <w:bCs w:val="0"/>
          <w:kern w:val="2"/>
          <w:sz w:val="32"/>
          <w:szCs w:val="32"/>
          <w:lang w:val="zh-CN" w:eastAsia="zh-CN" w:bidi="ar-SA"/>
        </w:rPr>
      </w:pPr>
      <w:bookmarkStart w:id="155" w:name="_Toc15396622"/>
      <w:bookmarkStart w:id="156" w:name="_Toc8633"/>
      <w:r>
        <w:rPr>
          <w:rFonts w:hint="eastAsia" w:ascii="仿宋_GB2312" w:hAnsi="Times New Roman" w:eastAsia="仿宋_GB2312" w:cs="Times New Roman"/>
          <w:b w:val="0"/>
          <w:bCs w:val="0"/>
          <w:kern w:val="2"/>
          <w:sz w:val="32"/>
          <w:szCs w:val="32"/>
          <w:lang w:val="zh-CN" w:eastAsia="zh-CN" w:bidi="ar-SA"/>
        </w:rPr>
        <w:t>四、财政拨款收入支出决算总表</w:t>
      </w:r>
      <w:bookmarkEnd w:id="155"/>
      <w:bookmarkEnd w:id="156"/>
    </w:p>
    <w:p>
      <w:pPr>
        <w:pStyle w:val="4"/>
        <w:rPr>
          <w:rFonts w:hint="eastAsia" w:ascii="仿宋_GB2312" w:hAnsi="Times New Roman" w:eastAsia="仿宋_GB2312" w:cs="Times New Roman"/>
          <w:b w:val="0"/>
          <w:bCs w:val="0"/>
          <w:kern w:val="2"/>
          <w:sz w:val="32"/>
          <w:szCs w:val="32"/>
          <w:lang w:val="zh-CN" w:eastAsia="zh-CN" w:bidi="ar-SA"/>
        </w:rPr>
      </w:pPr>
      <w:bookmarkStart w:id="157" w:name="_Toc15396623"/>
      <w:bookmarkStart w:id="158" w:name="_Toc18192"/>
      <w:r>
        <w:rPr>
          <w:rFonts w:hint="eastAsia" w:ascii="仿宋_GB2312" w:hAnsi="Times New Roman" w:eastAsia="仿宋_GB2312" w:cs="Times New Roman"/>
          <w:b w:val="0"/>
          <w:bCs w:val="0"/>
          <w:kern w:val="2"/>
          <w:sz w:val="32"/>
          <w:szCs w:val="32"/>
          <w:lang w:val="zh-CN" w:eastAsia="zh-CN" w:bidi="ar-SA"/>
        </w:rPr>
        <w:t>五、财政拨款支出决算明细表</w:t>
      </w:r>
      <w:bookmarkEnd w:id="157"/>
      <w:bookmarkEnd w:id="158"/>
      <w:bookmarkStart w:id="159" w:name="_Toc15396624"/>
    </w:p>
    <w:p>
      <w:pPr>
        <w:pStyle w:val="4"/>
        <w:rPr>
          <w:rFonts w:hint="eastAsia" w:ascii="仿宋_GB2312" w:hAnsi="Times New Roman" w:eastAsia="仿宋_GB2312" w:cs="Times New Roman"/>
          <w:b w:val="0"/>
          <w:bCs w:val="0"/>
          <w:kern w:val="2"/>
          <w:sz w:val="32"/>
          <w:szCs w:val="32"/>
          <w:lang w:val="zh-CN" w:eastAsia="zh-CN" w:bidi="ar-SA"/>
        </w:rPr>
      </w:pPr>
      <w:bookmarkStart w:id="160" w:name="_Toc14165"/>
      <w:r>
        <w:rPr>
          <w:rFonts w:hint="eastAsia" w:ascii="仿宋_GB2312" w:hAnsi="Times New Roman" w:eastAsia="仿宋_GB2312" w:cs="Times New Roman"/>
          <w:b w:val="0"/>
          <w:bCs w:val="0"/>
          <w:kern w:val="2"/>
          <w:sz w:val="32"/>
          <w:szCs w:val="32"/>
          <w:lang w:val="zh-CN" w:eastAsia="zh-CN" w:bidi="ar-SA"/>
        </w:rPr>
        <w:t>六、一般公共预算财政拨款支出决算表</w:t>
      </w:r>
      <w:bookmarkEnd w:id="159"/>
      <w:bookmarkEnd w:id="160"/>
    </w:p>
    <w:p>
      <w:pPr>
        <w:pStyle w:val="4"/>
        <w:rPr>
          <w:rFonts w:hint="eastAsia" w:ascii="仿宋_GB2312" w:hAnsi="Times New Roman" w:eastAsia="仿宋_GB2312" w:cs="Times New Roman"/>
          <w:b w:val="0"/>
          <w:bCs w:val="0"/>
          <w:kern w:val="2"/>
          <w:sz w:val="32"/>
          <w:szCs w:val="32"/>
          <w:lang w:val="zh-CN" w:eastAsia="zh-CN" w:bidi="ar-SA"/>
        </w:rPr>
      </w:pPr>
      <w:bookmarkStart w:id="161" w:name="_Toc15396625"/>
      <w:bookmarkStart w:id="162" w:name="_Toc10010"/>
      <w:r>
        <w:rPr>
          <w:rFonts w:hint="eastAsia" w:ascii="仿宋_GB2312" w:hAnsi="Times New Roman" w:eastAsia="仿宋_GB2312" w:cs="Times New Roman"/>
          <w:b w:val="0"/>
          <w:bCs w:val="0"/>
          <w:kern w:val="2"/>
          <w:sz w:val="32"/>
          <w:szCs w:val="32"/>
          <w:lang w:val="zh-CN" w:eastAsia="zh-CN" w:bidi="ar-SA"/>
        </w:rPr>
        <w:t>七、一般公共预算财政拨款支出决算明细表</w:t>
      </w:r>
      <w:bookmarkEnd w:id="161"/>
      <w:bookmarkEnd w:id="162"/>
    </w:p>
    <w:p>
      <w:pPr>
        <w:pStyle w:val="4"/>
        <w:rPr>
          <w:rFonts w:hint="eastAsia" w:ascii="仿宋_GB2312" w:hAnsi="Times New Roman" w:eastAsia="仿宋_GB2312" w:cs="Times New Roman"/>
          <w:b w:val="0"/>
          <w:bCs w:val="0"/>
          <w:kern w:val="2"/>
          <w:sz w:val="32"/>
          <w:szCs w:val="32"/>
          <w:lang w:val="zh-CN" w:eastAsia="zh-CN" w:bidi="ar-SA"/>
        </w:rPr>
      </w:pPr>
      <w:bookmarkStart w:id="163" w:name="_Toc15396626"/>
      <w:bookmarkStart w:id="164" w:name="_Toc12738"/>
      <w:r>
        <w:rPr>
          <w:rFonts w:hint="eastAsia" w:ascii="仿宋_GB2312" w:hAnsi="Times New Roman" w:eastAsia="仿宋_GB2312" w:cs="Times New Roman"/>
          <w:b w:val="0"/>
          <w:bCs w:val="0"/>
          <w:kern w:val="2"/>
          <w:sz w:val="32"/>
          <w:szCs w:val="32"/>
          <w:lang w:val="zh-CN" w:eastAsia="zh-CN" w:bidi="ar-SA"/>
        </w:rPr>
        <w:t>八、一般公共预算财政拨款基本支出决算表</w:t>
      </w:r>
      <w:bookmarkEnd w:id="163"/>
      <w:bookmarkEnd w:id="164"/>
    </w:p>
    <w:p>
      <w:pPr>
        <w:pStyle w:val="4"/>
        <w:rPr>
          <w:rFonts w:hint="eastAsia" w:ascii="仿宋_GB2312" w:hAnsi="Times New Roman" w:eastAsia="仿宋_GB2312" w:cs="Times New Roman"/>
          <w:b w:val="0"/>
          <w:bCs w:val="0"/>
          <w:kern w:val="2"/>
          <w:sz w:val="32"/>
          <w:szCs w:val="32"/>
          <w:lang w:val="zh-CN" w:eastAsia="zh-CN" w:bidi="ar-SA"/>
        </w:rPr>
      </w:pPr>
      <w:bookmarkStart w:id="165" w:name="_Toc15396627"/>
      <w:bookmarkStart w:id="166" w:name="_Toc28885"/>
      <w:r>
        <w:rPr>
          <w:rFonts w:hint="eastAsia" w:ascii="仿宋_GB2312" w:hAnsi="Times New Roman" w:eastAsia="仿宋_GB2312" w:cs="Times New Roman"/>
          <w:b w:val="0"/>
          <w:bCs w:val="0"/>
          <w:kern w:val="2"/>
          <w:sz w:val="32"/>
          <w:szCs w:val="32"/>
          <w:lang w:val="zh-CN" w:eastAsia="zh-CN" w:bidi="ar-SA"/>
        </w:rPr>
        <w:t>九、一般公共预算财政拨款项目支出决算表</w:t>
      </w:r>
      <w:bookmarkEnd w:id="165"/>
      <w:bookmarkEnd w:id="166"/>
    </w:p>
    <w:p>
      <w:pPr>
        <w:pStyle w:val="4"/>
        <w:rPr>
          <w:rFonts w:hint="eastAsia" w:ascii="仿宋_GB2312" w:hAnsi="Times New Roman" w:eastAsia="仿宋_GB2312" w:cs="Times New Roman"/>
          <w:b w:val="0"/>
          <w:bCs w:val="0"/>
          <w:kern w:val="2"/>
          <w:sz w:val="32"/>
          <w:szCs w:val="32"/>
          <w:lang w:val="zh-CN" w:eastAsia="zh-CN" w:bidi="ar-SA"/>
        </w:rPr>
      </w:pPr>
      <w:bookmarkStart w:id="167" w:name="_Toc15396628"/>
      <w:bookmarkStart w:id="168" w:name="_Toc4006"/>
      <w:r>
        <w:rPr>
          <w:rFonts w:hint="eastAsia" w:ascii="仿宋_GB2312" w:hAnsi="Times New Roman" w:eastAsia="仿宋_GB2312" w:cs="Times New Roman"/>
          <w:b w:val="0"/>
          <w:bCs w:val="0"/>
          <w:kern w:val="2"/>
          <w:sz w:val="32"/>
          <w:szCs w:val="32"/>
          <w:lang w:val="zh-CN" w:eastAsia="zh-CN" w:bidi="ar-SA"/>
        </w:rPr>
        <w:t>十、</w:t>
      </w:r>
      <w:bookmarkEnd w:id="167"/>
      <w:r>
        <w:rPr>
          <w:rFonts w:hint="eastAsia" w:ascii="仿宋_GB2312" w:hAnsi="Times New Roman" w:eastAsia="仿宋_GB2312" w:cs="Times New Roman"/>
          <w:b w:val="0"/>
          <w:bCs w:val="0"/>
          <w:kern w:val="2"/>
          <w:sz w:val="32"/>
          <w:szCs w:val="32"/>
          <w:lang w:val="zh-CN" w:eastAsia="zh-CN" w:bidi="ar-SA"/>
        </w:rPr>
        <w:t>政府性基金预算财政拨款收入支出决算表</w:t>
      </w:r>
      <w:bookmarkEnd w:id="168"/>
    </w:p>
    <w:p>
      <w:pPr>
        <w:pStyle w:val="4"/>
        <w:rPr>
          <w:rFonts w:hint="eastAsia" w:ascii="仿宋_GB2312" w:hAnsi="Times New Roman" w:eastAsia="仿宋_GB2312" w:cs="Times New Roman"/>
          <w:b w:val="0"/>
          <w:bCs w:val="0"/>
          <w:kern w:val="2"/>
          <w:sz w:val="32"/>
          <w:szCs w:val="32"/>
          <w:lang w:val="zh-CN" w:eastAsia="zh-CN" w:bidi="ar-SA"/>
        </w:rPr>
      </w:pPr>
      <w:bookmarkStart w:id="169" w:name="_Toc15396629"/>
      <w:bookmarkStart w:id="170" w:name="_Toc29574"/>
      <w:r>
        <w:rPr>
          <w:rFonts w:hint="eastAsia" w:ascii="仿宋_GB2312" w:hAnsi="Times New Roman" w:eastAsia="仿宋_GB2312" w:cs="Times New Roman"/>
          <w:b w:val="0"/>
          <w:bCs w:val="0"/>
          <w:kern w:val="2"/>
          <w:sz w:val="32"/>
          <w:szCs w:val="32"/>
          <w:lang w:val="zh-CN" w:eastAsia="zh-CN" w:bidi="ar-SA"/>
        </w:rPr>
        <w:t>十一、</w:t>
      </w:r>
      <w:bookmarkEnd w:id="169"/>
      <w:r>
        <w:rPr>
          <w:rFonts w:hint="eastAsia" w:ascii="仿宋_GB2312" w:hAnsi="Times New Roman" w:eastAsia="仿宋_GB2312" w:cs="Times New Roman"/>
          <w:b w:val="0"/>
          <w:bCs w:val="0"/>
          <w:kern w:val="2"/>
          <w:sz w:val="32"/>
          <w:szCs w:val="32"/>
          <w:lang w:val="zh-CN" w:eastAsia="zh-CN" w:bidi="ar-SA"/>
        </w:rPr>
        <w:t>国有资本经营预算财政拨款收入支出决算表</w:t>
      </w:r>
      <w:bookmarkEnd w:id="170"/>
    </w:p>
    <w:p>
      <w:pPr>
        <w:pStyle w:val="4"/>
        <w:rPr>
          <w:rFonts w:hint="eastAsia" w:ascii="仿宋_GB2312" w:hAnsi="Times New Roman" w:eastAsia="仿宋_GB2312" w:cs="Times New Roman"/>
          <w:b w:val="0"/>
          <w:bCs w:val="0"/>
          <w:kern w:val="2"/>
          <w:sz w:val="32"/>
          <w:szCs w:val="32"/>
          <w:lang w:val="zh-CN" w:eastAsia="zh-CN" w:bidi="ar-SA"/>
        </w:rPr>
      </w:pPr>
      <w:bookmarkStart w:id="171" w:name="_Toc15396630"/>
      <w:bookmarkStart w:id="172" w:name="_Toc18850"/>
      <w:r>
        <w:rPr>
          <w:rFonts w:hint="eastAsia" w:ascii="仿宋_GB2312" w:hAnsi="Times New Roman" w:eastAsia="仿宋_GB2312" w:cs="Times New Roman"/>
          <w:b w:val="0"/>
          <w:bCs w:val="0"/>
          <w:kern w:val="2"/>
          <w:sz w:val="32"/>
          <w:szCs w:val="32"/>
          <w:lang w:val="zh-CN" w:eastAsia="zh-CN" w:bidi="ar-SA"/>
        </w:rPr>
        <w:t>十二、</w:t>
      </w:r>
      <w:bookmarkEnd w:id="171"/>
      <w:r>
        <w:rPr>
          <w:rFonts w:hint="eastAsia" w:ascii="仿宋_GB2312" w:hAnsi="Times New Roman" w:eastAsia="仿宋_GB2312" w:cs="Times New Roman"/>
          <w:b w:val="0"/>
          <w:bCs w:val="0"/>
          <w:kern w:val="2"/>
          <w:sz w:val="32"/>
          <w:szCs w:val="32"/>
          <w:lang w:val="zh-CN" w:eastAsia="zh-CN" w:bidi="ar-SA"/>
        </w:rPr>
        <w:t>国有资本经营预算财政拨款支出决算表</w:t>
      </w:r>
      <w:bookmarkEnd w:id="172"/>
    </w:p>
    <w:p>
      <w:pPr>
        <w:pStyle w:val="4"/>
        <w:rPr>
          <w:rFonts w:hint="eastAsia" w:ascii="仿宋_GB2312" w:hAnsi="Times New Roman" w:eastAsia="仿宋_GB2312" w:cs="Times New Roman"/>
          <w:b w:val="0"/>
          <w:bCs w:val="0"/>
          <w:kern w:val="2"/>
          <w:sz w:val="32"/>
          <w:szCs w:val="32"/>
          <w:lang w:val="zh-CN" w:eastAsia="zh-CN" w:bidi="ar-SA"/>
        </w:rPr>
      </w:pPr>
      <w:bookmarkStart w:id="173" w:name="_Toc15396631"/>
      <w:bookmarkStart w:id="174" w:name="_Toc14855"/>
      <w:r>
        <w:rPr>
          <w:rFonts w:hint="eastAsia" w:ascii="仿宋_GB2312" w:hAnsi="Times New Roman" w:eastAsia="仿宋_GB2312" w:cs="Times New Roman"/>
          <w:b w:val="0"/>
          <w:bCs w:val="0"/>
          <w:kern w:val="2"/>
          <w:sz w:val="32"/>
          <w:szCs w:val="32"/>
          <w:lang w:val="zh-CN" w:eastAsia="zh-CN" w:bidi="ar-SA"/>
        </w:rPr>
        <w:t>十三、</w:t>
      </w:r>
      <w:bookmarkEnd w:id="173"/>
      <w:r>
        <w:rPr>
          <w:rFonts w:hint="eastAsia" w:ascii="仿宋_GB2312" w:hAnsi="Times New Roman" w:eastAsia="仿宋_GB2312" w:cs="Times New Roman"/>
          <w:b w:val="0"/>
          <w:bCs w:val="0"/>
          <w:kern w:val="2"/>
          <w:sz w:val="32"/>
          <w:szCs w:val="32"/>
          <w:lang w:val="zh-CN" w:eastAsia="zh-CN" w:bidi="ar-SA"/>
        </w:rPr>
        <w:t>财政拨款“三公”经费支出决算表</w:t>
      </w:r>
      <w:bookmarkEnd w:id="1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6927E"/>
    <w:multiLevelType w:val="singleLevel"/>
    <w:tmpl w:val="A626927E"/>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3FB5491"/>
    <w:multiLevelType w:val="singleLevel"/>
    <w:tmpl w:val="13FB5491"/>
    <w:lvl w:ilvl="0" w:tentative="0">
      <w:start w:val="1"/>
      <w:numFmt w:val="chineseCounting"/>
      <w:suff w:val="nothing"/>
      <w:lvlText w:val="%1、"/>
      <w:lvlJc w:val="left"/>
      <w:rPr>
        <w:rFonts w:hint="eastAsia"/>
      </w:rPr>
    </w:lvl>
  </w:abstractNum>
  <w:abstractNum w:abstractNumId="5">
    <w:nsid w:val="5DCE32C1"/>
    <w:multiLevelType w:val="singleLevel"/>
    <w:tmpl w:val="5DCE32C1"/>
    <w:lvl w:ilvl="0" w:tentative="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611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D825140"/>
    <w:rsid w:val="1FF35744"/>
    <w:rsid w:val="23860B96"/>
    <w:rsid w:val="240371BF"/>
    <w:rsid w:val="29FD04D3"/>
    <w:rsid w:val="2A6320C4"/>
    <w:rsid w:val="2C8A61B5"/>
    <w:rsid w:val="2DF04E50"/>
    <w:rsid w:val="2F040D46"/>
    <w:rsid w:val="319F7F4E"/>
    <w:rsid w:val="3304709D"/>
    <w:rsid w:val="36AA5135"/>
    <w:rsid w:val="376D39B2"/>
    <w:rsid w:val="37E16F03"/>
    <w:rsid w:val="38D469F0"/>
    <w:rsid w:val="39AE6787"/>
    <w:rsid w:val="3D98207C"/>
    <w:rsid w:val="3E047890"/>
    <w:rsid w:val="3E78745D"/>
    <w:rsid w:val="44E268DA"/>
    <w:rsid w:val="4A627F82"/>
    <w:rsid w:val="4B0E749A"/>
    <w:rsid w:val="4B4F25DA"/>
    <w:rsid w:val="4BE068DB"/>
    <w:rsid w:val="4D577224"/>
    <w:rsid w:val="4E051353"/>
    <w:rsid w:val="4EAB630A"/>
    <w:rsid w:val="4ECE2238"/>
    <w:rsid w:val="537E6D0A"/>
    <w:rsid w:val="587A4EC7"/>
    <w:rsid w:val="5AF92295"/>
    <w:rsid w:val="5CD71FC4"/>
    <w:rsid w:val="6C266ABC"/>
    <w:rsid w:val="6C4A05C8"/>
    <w:rsid w:val="6E7E3605"/>
    <w:rsid w:val="6FF5CC65"/>
    <w:rsid w:val="715C0E4B"/>
    <w:rsid w:val="72734D90"/>
    <w:rsid w:val="73AD73D5"/>
    <w:rsid w:val="73B6EB34"/>
    <w:rsid w:val="73CD639B"/>
    <w:rsid w:val="744731E5"/>
    <w:rsid w:val="74867110"/>
    <w:rsid w:val="76E3355F"/>
    <w:rsid w:val="778769C8"/>
    <w:rsid w:val="78CD548A"/>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rPr>
      <w:rFonts w:eastAsia="仿宋"/>
      <w:sz w:val="32"/>
      <w:szCs w:val="24"/>
    </w:rPr>
  </w:style>
  <w:style w:type="paragraph" w:styleId="6">
    <w:name w:val="Body Text"/>
    <w:basedOn w:val="1"/>
    <w:next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WPSOffice手动目录 1"/>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1618.49</c:v>
                </c:pt>
                <c:pt idx="1">
                  <c:v>1137.61</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1246.46</c:v>
                </c:pt>
                <c:pt idx="1">
                  <c:v>1472.56</c:v>
                </c:pt>
              </c:numCache>
            </c:numRef>
          </c:val>
        </c:ser>
        <c:dLbls>
          <c:showLegendKey val="0"/>
          <c:showVal val="1"/>
          <c:showCatName val="0"/>
          <c:showSerName val="0"/>
          <c:showPercent val="0"/>
          <c:showBubbleSize val="0"/>
        </c:dLbls>
        <c:gapWidth val="219"/>
        <c:overlap val="-27"/>
        <c:axId val="23045779"/>
        <c:axId val="95255465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30457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554654"/>
        <c:crosses val="autoZero"/>
        <c:auto val="1"/>
        <c:lblAlgn val="ctr"/>
        <c:lblOffset val="100"/>
        <c:noMultiLvlLbl val="0"/>
      </c:catAx>
      <c:valAx>
        <c:axId val="9525546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4577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0%</c:formatCode>
                <c:ptCount val="3"/>
                <c:pt idx="0">
                  <c:v>0.81</c:v>
                </c:pt>
                <c:pt idx="1" c:formatCode="0.00%">
                  <c:v>0.187</c:v>
                </c:pt>
                <c:pt idx="2" c:formatCode="0.00%">
                  <c:v>0.003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0.445</c:v>
                </c:pt>
                <c:pt idx="1">
                  <c:v>0.555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1618.49</c:v>
                </c:pt>
                <c:pt idx="1">
                  <c:v>1137.61</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1242.68</c:v>
                </c:pt>
                <c:pt idx="1">
                  <c:v>1471.69</c:v>
                </c:pt>
              </c:numCache>
            </c:numRef>
          </c:val>
        </c:ser>
        <c:dLbls>
          <c:showLegendKey val="0"/>
          <c:showVal val="1"/>
          <c:showCatName val="0"/>
          <c:showSerName val="0"/>
          <c:showPercent val="0"/>
          <c:showBubbleSize val="0"/>
        </c:dLbls>
        <c:gapWidth val="219"/>
        <c:overlap val="-27"/>
        <c:axId val="23045779"/>
        <c:axId val="95255465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30457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554654"/>
        <c:crosses val="autoZero"/>
        <c:auto val="1"/>
        <c:lblAlgn val="ctr"/>
        <c:lblOffset val="100"/>
        <c:noMultiLvlLbl val="0"/>
      </c:catAx>
      <c:valAx>
        <c:axId val="9525546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4577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963.76</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1238.26</c:v>
                </c:pt>
              </c:numCache>
            </c:numRef>
          </c:val>
        </c:ser>
        <c:dLbls>
          <c:showLegendKey val="0"/>
          <c:showVal val="1"/>
          <c:showCatName val="0"/>
          <c:showSerName val="0"/>
          <c:showPercent val="0"/>
          <c:showBubbleSize val="0"/>
        </c:dLbls>
        <c:gapWidth val="219"/>
        <c:overlap val="-27"/>
        <c:axId val="23045779"/>
        <c:axId val="95255465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c15:sqref>
                        </c15:formulaRef>
                      </c:ext>
                    </c:extLst>
                    <c:strCache>
                      <c:ptCount val="1"/>
                      <c:pt idx="0">
                        <c:v>一般公共预算财政拨款支出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230457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2554654"/>
        <c:crosses val="autoZero"/>
        <c:auto val="1"/>
        <c:lblAlgn val="ctr"/>
        <c:lblOffset val="100"/>
        <c:noMultiLvlLbl val="0"/>
      </c:catAx>
      <c:valAx>
        <c:axId val="9525546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04577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一般公共服务</c:v>
                </c:pt>
                <c:pt idx="1">
                  <c:v>社会保障和就业</c:v>
                </c:pt>
                <c:pt idx="2">
                  <c:v>卫生健康</c:v>
                </c:pt>
                <c:pt idx="3">
                  <c:v>住房保障</c:v>
                </c:pt>
                <c:pt idx="4">
                  <c:v>城乡社区</c:v>
                </c:pt>
                <c:pt idx="5">
                  <c:v>农林水</c:v>
                </c:pt>
              </c:strCache>
            </c:strRef>
          </c:cat>
          <c:val>
            <c:numRef>
              <c:f>Sheet1!$B$2:$B$7</c:f>
              <c:numCache>
                <c:formatCode>0.00%</c:formatCode>
                <c:ptCount val="6"/>
                <c:pt idx="0">
                  <c:v>0.282</c:v>
                </c:pt>
                <c:pt idx="1">
                  <c:v>0.05</c:v>
                </c:pt>
                <c:pt idx="2">
                  <c:v>0.01</c:v>
                </c:pt>
                <c:pt idx="3">
                  <c:v>0.037</c:v>
                </c:pt>
                <c:pt idx="4">
                  <c:v>0.023</c:v>
                </c:pt>
                <c:pt idx="5">
                  <c:v>0.6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12073</Words>
  <Characters>12989</Characters>
  <Lines>58</Lines>
  <Paragraphs>16</Paragraphs>
  <TotalTime>20</TotalTime>
  <ScaleCrop>false</ScaleCrop>
  <LinksUpToDate>false</LinksUpToDate>
  <CharactersWithSpaces>13187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2023-12-11T07:32:07Z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91816B3740E745DC8AFBEA0B06E30A98</vt:lpwstr>
  </property>
</Properties>
</file>