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宋体" w:eastAsia="方正小标宋简体"/>
          <w:sz w:val="72"/>
          <w:szCs w:val="72"/>
          <w:highlight w:val="none"/>
        </w:rPr>
      </w:pPr>
      <w:bookmarkStart w:id="0" w:name="_Toc15306267"/>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hAnsi="宋体" w:eastAsia="方正小标宋简体"/>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highlight w:val="none"/>
        </w:rPr>
      </w:pPr>
      <w:bookmarkStart w:id="1" w:name="_Toc15377193"/>
      <w:bookmarkStart w:id="2" w:name="_Toc15396597"/>
      <w:bookmarkStart w:id="3" w:name="_Toc15377425"/>
      <w:bookmarkStart w:id="4" w:name="_Toc15378441"/>
      <w:bookmarkStart w:id="5" w:name="_Toc15396475"/>
      <w:r>
        <w:rPr>
          <w:rFonts w:hint="eastAsia" w:ascii="方正小标宋简体" w:hAnsi="方正小标宋简体" w:eastAsia="方正小标宋简体" w:cs="方正小标宋简体"/>
          <w:sz w:val="72"/>
          <w:szCs w:val="72"/>
          <w:highlight w:val="none"/>
        </w:rPr>
        <w:t>2022年度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highlight w:val="none"/>
        </w:rPr>
      </w:pPr>
      <w:bookmarkStart w:id="6" w:name="_Toc15378442"/>
      <w:bookmarkStart w:id="7" w:name="_Toc15306268"/>
      <w:bookmarkStart w:id="8" w:name="_Toc15396476"/>
      <w:bookmarkStart w:id="9" w:name="_Toc15377194"/>
      <w:bookmarkStart w:id="10" w:name="_Toc15396598"/>
      <w:bookmarkStart w:id="11" w:name="_Toc15377426"/>
      <w:r>
        <w:rPr>
          <w:rFonts w:hint="eastAsia" w:ascii="方正小标宋简体" w:hAnsi="方正小标宋简体" w:eastAsia="方正小标宋简体"/>
          <w:kern w:val="2"/>
          <w:sz w:val="72"/>
          <w:highlight w:val="none"/>
          <w:lang w:val="zh-CN" w:eastAsia="zh-CN"/>
        </w:rPr>
        <w:t>四川省</w:t>
      </w:r>
      <w:r>
        <w:rPr>
          <w:rFonts w:hint="eastAsia" w:ascii="方正小标宋简体" w:hAnsi="方正小标宋简体" w:eastAsia="方正小标宋简体"/>
          <w:kern w:val="2"/>
          <w:sz w:val="72"/>
          <w:highlight w:val="none"/>
          <w:lang w:val="zh-CN"/>
        </w:rPr>
        <w:t>峨眉山市城乡建设保障服务中心</w:t>
      </w:r>
      <w:r>
        <w:rPr>
          <w:rFonts w:hint="eastAsia" w:ascii="方正小标宋简体" w:hAnsi="方正小标宋简体" w:eastAsia="方正小标宋简体" w:cs="方正小标宋简体"/>
          <w:sz w:val="72"/>
          <w:szCs w:val="72"/>
          <w:highlight w:val="none"/>
        </w:rPr>
        <w:t>单位决算</w:t>
      </w:r>
      <w:bookmarkEnd w:id="6"/>
      <w:bookmarkEnd w:id="7"/>
      <w:bookmarkEnd w:id="8"/>
      <w:bookmarkEnd w:id="9"/>
      <w:bookmarkEnd w:id="10"/>
      <w:bookmarkEnd w:id="11"/>
    </w:p>
    <w:p>
      <w:pPr>
        <w:widowControl/>
        <w:jc w:val="center"/>
        <w:rPr>
          <w:rFonts w:ascii="方正小标宋简体" w:hAnsi="宋体" w:eastAsia="方正小标宋简体"/>
          <w:sz w:val="36"/>
          <w:szCs w:val="36"/>
          <w:highlight w:val="none"/>
        </w:rPr>
      </w:pPr>
    </w:p>
    <w:p>
      <w:pPr>
        <w:pStyle w:val="2"/>
      </w:pPr>
    </w:p>
    <w:p>
      <w:pPr>
        <w:widowControl/>
        <w:jc w:val="center"/>
        <w:rPr>
          <w:rFonts w:ascii="方正小标宋简体" w:hAnsi="宋体" w:eastAsia="方正小标宋简体"/>
          <w:sz w:val="36"/>
          <w:szCs w:val="36"/>
          <w:highlight w:val="none"/>
        </w:rPr>
      </w:pPr>
    </w:p>
    <w:p>
      <w:pPr>
        <w:widowControl/>
        <w:jc w:val="center"/>
        <w:rPr>
          <w:rFonts w:ascii="方正小标宋简体" w:hAnsi="宋体" w:eastAsia="方正小标宋简体"/>
          <w:sz w:val="36"/>
          <w:szCs w:val="36"/>
          <w:highlight w:val="none"/>
        </w:rPr>
      </w:pPr>
    </w:p>
    <w:p>
      <w:pPr>
        <w:widowControl/>
        <w:jc w:val="center"/>
        <w:rPr>
          <w:rFonts w:ascii="方正小标宋简体" w:hAnsi="宋体" w:eastAsia="方正小标宋简体"/>
          <w:sz w:val="36"/>
          <w:szCs w:val="36"/>
          <w:highlight w:val="none"/>
        </w:rPr>
      </w:pPr>
    </w:p>
    <w:p>
      <w:pPr>
        <w:pStyle w:val="2"/>
        <w:rPr>
          <w:rFonts w:ascii="方正小标宋简体" w:hAnsi="宋体" w:eastAsia="方正小标宋简体"/>
          <w:sz w:val="36"/>
          <w:szCs w:val="36"/>
          <w:highlight w:val="none"/>
        </w:rPr>
      </w:pPr>
    </w:p>
    <w:p>
      <w:pPr>
        <w:widowControl/>
        <w:jc w:val="center"/>
        <w:rPr>
          <w:rFonts w:ascii="黑体" w:hAnsi="黑体" w:eastAsia="黑体"/>
          <w:sz w:val="48"/>
          <w:szCs w:val="48"/>
        </w:rPr>
      </w:pPr>
      <w:bookmarkStart w:id="12" w:name="_Toc11762_WPSOffice_Type2"/>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jc w:val="center"/>
      </w:pPr>
      <w:r>
        <w:rPr>
          <w:rFonts w:hint="eastAsia"/>
        </w:rPr>
        <w:t>公开时间：2023年</w:t>
      </w:r>
      <w:r>
        <w:rPr>
          <w:rFonts w:hint="eastAsia"/>
          <w:lang w:val="en-US" w:eastAsia="zh-CN"/>
        </w:rPr>
        <w:t>12</w:t>
      </w:r>
      <w:r>
        <w:rPr>
          <w:rFonts w:hint="eastAsia"/>
        </w:rPr>
        <w:t>月</w:t>
      </w:r>
      <w:r>
        <w:rPr>
          <w:rFonts w:hint="eastAsia"/>
          <w:lang w:val="en-US" w:eastAsia="zh-CN"/>
        </w:rPr>
        <w:t>1</w:t>
      </w:r>
      <w:r>
        <w:rPr>
          <w:rFonts w:hint="eastAsia"/>
        </w:rPr>
        <w:t>日</w:t>
      </w:r>
    </w:p>
    <w:p/>
    <w:sdt>
      <w:sdtPr>
        <w:rPr>
          <w:rFonts w:ascii="宋体" w:hAnsi="宋体" w:eastAsia="宋体" w:cs="Times New Roman"/>
          <w:kern w:val="2"/>
          <w:sz w:val="21"/>
          <w:szCs w:val="24"/>
          <w:lang w:val="en-US" w:eastAsia="zh-CN" w:bidi="ar-SA"/>
        </w:rPr>
        <w:id w:val="147451599"/>
        <w:docPartObj>
          <w:docPartGallery w:val="Table of Contents"/>
          <w:docPartUnique/>
        </w:docPartObj>
      </w:sdtPr>
      <w:sdtEndPr>
        <w:rPr>
          <w:rFonts w:hint="eastAsia" w:ascii="Times New Roman" w:hAnsi="Times New Roman" w:eastAsia="宋体" w:cs="Times New Roman"/>
          <w:kern w:val="2"/>
          <w:sz w:val="24"/>
          <w:szCs w:val="24"/>
          <w:lang w:val="en-US" w:eastAsia="zh-CN" w:bidi="ar-SA"/>
        </w:rPr>
      </w:sdtEndPr>
      <w:sdtContent>
        <w:p>
          <w:pPr>
            <w:pStyle w:val="10"/>
            <w:adjustRightInd w:val="0"/>
            <w:snapToGrid w:val="0"/>
            <w:spacing w:before="0" w:line="440" w:lineRule="exact"/>
            <w:jc w:val="left"/>
            <w:rPr>
              <w:rFonts w:hint="eastAsia" w:cs="Times New Roman"/>
              <w:sz w:val="24"/>
            </w:rPr>
          </w:pPr>
          <w:r>
            <w:rPr>
              <w:rFonts w:hint="eastAsia" w:cs="Times New Roman"/>
              <w:sz w:val="24"/>
            </w:rPr>
            <w:fldChar w:fldCharType="begin"/>
          </w:r>
          <w:r>
            <w:rPr>
              <w:rFonts w:hint="eastAsia" w:cs="Times New Roman"/>
              <w:sz w:val="24"/>
            </w:rPr>
            <w:instrText xml:space="preserve"> HYPERLINK \l _Toc5102_WPSOffice_Level1 </w:instrText>
          </w:r>
          <w:r>
            <w:rPr>
              <w:rFonts w:hint="eastAsia" w:cs="Times New Roman"/>
              <w:sz w:val="24"/>
            </w:rPr>
            <w:fldChar w:fldCharType="separate"/>
          </w:r>
          <w:sdt>
            <w:sdtPr>
              <w:rPr>
                <w:rFonts w:hint="eastAsia" w:cs="Times New Roman"/>
                <w:sz w:val="24"/>
              </w:rPr>
              <w:id w:val="147451599"/>
              <w:placeholder>
                <w:docPart w:val="{f862b9ec-5822-4f15-986d-4b70c6e663a5}"/>
              </w:placeholder>
            </w:sdtPr>
            <w:sdtEndPr>
              <w:rPr>
                <w:rFonts w:hint="eastAsia" w:cs="Times New Roman"/>
                <w:sz w:val="24"/>
              </w:rPr>
            </w:sdtEndPr>
            <w:sdtContent>
              <w:r>
                <w:rPr>
                  <w:rFonts w:hint="eastAsia" w:cs="Times New Roman"/>
                  <w:sz w:val="24"/>
                </w:rPr>
                <w:t>第一部分 单位概况</w:t>
              </w:r>
            </w:sdtContent>
          </w:sdt>
          <w:r>
            <w:rPr>
              <w:rFonts w:hint="eastAsia" w:cs="Times New Roman"/>
              <w:sz w:val="24"/>
            </w:rPr>
            <w:tab/>
          </w:r>
          <w:bookmarkStart w:id="13" w:name="_Toc5102_WPSOffice_Level1Page"/>
          <w:r>
            <w:rPr>
              <w:rFonts w:hint="eastAsia" w:cs="Times New Roman"/>
              <w:sz w:val="24"/>
            </w:rPr>
            <w:t>4</w:t>
          </w:r>
          <w:bookmarkEnd w:id="13"/>
          <w:r>
            <w:rPr>
              <w:rFonts w:hint="eastAsia"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_Toc12169_WPSOffice_Level2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bb9c332b-a4d6-4775-bca9-836e9f648c41}"/>
              </w:placeholder>
            </w:sdtPr>
            <w:sdtEndPr>
              <w:rPr>
                <w:rFonts w:hint="eastAsia" w:ascii="Times New Roman" w:hAnsi="Times New Roman" w:cs="Times New Roman"/>
                <w:sz w:val="24"/>
              </w:rPr>
            </w:sdtEndPr>
            <w:sdtContent>
              <w:r>
                <w:rPr>
                  <w:rFonts w:hint="eastAsia" w:ascii="Times New Roman" w:hAnsi="Times New Roman" w:cs="Times New Roman"/>
                  <w:sz w:val="24"/>
                </w:rPr>
                <w:t>一、主要职责</w:t>
              </w:r>
            </w:sdtContent>
          </w:sdt>
          <w:r>
            <w:rPr>
              <w:rFonts w:hint="eastAsia" w:ascii="Times New Roman" w:hAnsi="Times New Roman" w:cs="Times New Roman"/>
              <w:sz w:val="24"/>
            </w:rPr>
            <w:tab/>
          </w:r>
          <w:bookmarkStart w:id="14" w:name="_Toc12169_WPSOffice_Level2Page"/>
          <w:r>
            <w:rPr>
              <w:rFonts w:hint="eastAsia" w:ascii="Times New Roman" w:hAnsi="Times New Roman" w:cs="Times New Roman"/>
              <w:sz w:val="24"/>
            </w:rPr>
            <w:t>4</w:t>
          </w:r>
          <w:bookmarkEnd w:id="14"/>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_Toc24742_WPSOffice_Level2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2fa6b4d5-3336-47ff-ab52-d9a69aeaf4ee}"/>
              </w:placeholder>
            </w:sdtPr>
            <w:sdtEndPr>
              <w:rPr>
                <w:rFonts w:hint="eastAsia" w:ascii="Times New Roman" w:hAnsi="Times New Roman" w:cs="Times New Roman"/>
                <w:sz w:val="24"/>
              </w:rPr>
            </w:sdtEndPr>
            <w:sdtContent>
              <w:r>
                <w:rPr>
                  <w:rFonts w:hint="eastAsia" w:ascii="Times New Roman" w:hAnsi="Times New Roman" w:cs="Times New Roman"/>
                  <w:sz w:val="24"/>
                </w:rPr>
                <w:t>二、机构设置</w:t>
              </w:r>
            </w:sdtContent>
          </w:sdt>
          <w:r>
            <w:rPr>
              <w:rFonts w:hint="eastAsia" w:ascii="Times New Roman" w:hAnsi="Times New Roman" w:cs="Times New Roman"/>
              <w:sz w:val="24"/>
            </w:rPr>
            <w:tab/>
          </w:r>
          <w:bookmarkStart w:id="15" w:name="_Toc24742_WPSOffice_Level2Page"/>
          <w:r>
            <w:rPr>
              <w:rFonts w:hint="eastAsia" w:ascii="Times New Roman" w:hAnsi="Times New Roman" w:cs="Times New Roman"/>
              <w:sz w:val="24"/>
            </w:rPr>
            <w:t>5</w:t>
          </w:r>
          <w:bookmarkEnd w:id="15"/>
          <w:r>
            <w:rPr>
              <w:rFonts w:hint="eastAsia" w:ascii="Times New Roman" w:hAnsi="Times New Roman" w:cs="Times New Roman"/>
              <w:sz w:val="24"/>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_Toc16877_WPSOffice_Level1 </w:instrText>
          </w:r>
          <w:r>
            <w:rPr>
              <w:rFonts w:hint="eastAsia" w:asciiTheme="minorEastAsia" w:hAnsiTheme="minorEastAsia" w:eastAsiaTheme="minorEastAsia" w:cstheme="minorEastAsia"/>
              <w:b w:val="0"/>
              <w:bCs w:val="0"/>
            </w:rPr>
            <w:fldChar w:fldCharType="separate"/>
          </w:r>
          <w:sdt>
            <w:sdtPr>
              <w:rPr>
                <w:rFonts w:hint="eastAsia" w:asciiTheme="minorEastAsia" w:hAnsiTheme="minorEastAsia" w:eastAsiaTheme="minorEastAsia" w:cstheme="minorEastAsia"/>
                <w:b w:val="0"/>
                <w:bCs w:val="0"/>
                <w:sz w:val="20"/>
                <w:szCs w:val="20"/>
              </w:rPr>
              <w:id w:val="147451599"/>
              <w:placeholder>
                <w:docPart w:val="{163b72aa-4e24-49bd-9112-b4b99bfd1ede}"/>
              </w:placeholder>
            </w:sdtPr>
            <w:sdtEndPr>
              <w:rPr>
                <w:rFonts w:hint="eastAsia" w:ascii="仿宋" w:hAnsi="仿宋" w:eastAsia="仿宋" w:cs="Times New Roman"/>
                <w:b w:val="0"/>
                <w:bCs w:val="0"/>
                <w:kern w:val="2"/>
                <w:sz w:val="24"/>
                <w:szCs w:val="28"/>
                <w:lang w:val="en-US" w:eastAsia="zh-CN" w:bidi="ar-SA"/>
              </w:rPr>
            </w:sdtEndPr>
            <w:sdtContent>
              <w:r>
                <w:rPr>
                  <w:rFonts w:hint="eastAsia" w:ascii="仿宋" w:hAnsi="仿宋" w:eastAsia="仿宋" w:cs="Times New Roman"/>
                  <w:kern w:val="2"/>
                  <w:sz w:val="24"/>
                  <w:szCs w:val="28"/>
                  <w:lang w:val="en-US" w:eastAsia="zh-CN" w:bidi="ar-SA"/>
                </w:rPr>
                <w:t>第二部分 2022年度单位决算情况说明</w:t>
              </w:r>
            </w:sdtContent>
          </w:sdt>
          <w:r>
            <w:rPr>
              <w:rFonts w:hint="eastAsia" w:ascii="仿宋" w:hAnsi="仿宋" w:eastAsia="仿宋" w:cs="Times New Roman"/>
              <w:kern w:val="2"/>
              <w:sz w:val="24"/>
              <w:szCs w:val="28"/>
              <w:lang w:val="en-US" w:eastAsia="zh-CN" w:bidi="ar-SA"/>
            </w:rPr>
            <w:tab/>
          </w:r>
          <w:bookmarkStart w:id="16" w:name="_Toc16877_WPSOffice_Level1Page"/>
          <w:r>
            <w:rPr>
              <w:rFonts w:hint="eastAsia" w:ascii="仿宋" w:hAnsi="仿宋" w:eastAsia="仿宋" w:cs="Times New Roman"/>
              <w:kern w:val="2"/>
              <w:sz w:val="24"/>
              <w:szCs w:val="28"/>
              <w:lang w:val="en-US" w:eastAsia="zh-CN" w:bidi="ar-SA"/>
            </w:rPr>
            <w:t>5</w:t>
          </w:r>
          <w:bookmarkEnd w:id="16"/>
          <w:r>
            <w:rPr>
              <w:rFonts w:hint="eastAsia" w:asciiTheme="minorEastAsia" w:hAnsiTheme="minorEastAsia" w:eastAsiaTheme="minorEastAsia" w:cstheme="minorEastAsia"/>
              <w:b w:val="0"/>
              <w:bCs w:val="0"/>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_Toc4689_WPSOffice_Level2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6312c327-113f-4286-b388-168c05569402}"/>
              </w:placeholder>
            </w:sdtPr>
            <w:sdtEndPr>
              <w:rPr>
                <w:rFonts w:hint="eastAsia" w:ascii="Times New Roman" w:hAnsi="Times New Roman" w:cs="Times New Roman"/>
                <w:sz w:val="24"/>
              </w:rPr>
            </w:sdtEndPr>
            <w:sdtContent>
              <w:r>
                <w:rPr>
                  <w:rFonts w:hint="eastAsia" w:ascii="Times New Roman" w:hAnsi="Times New Roman" w:cs="Times New Roman"/>
                  <w:sz w:val="24"/>
                </w:rPr>
                <w:t>一、收入支出决算总体情况说明</w:t>
              </w:r>
            </w:sdtContent>
          </w:sdt>
          <w:r>
            <w:rPr>
              <w:rFonts w:hint="eastAsia" w:ascii="Times New Roman" w:hAnsi="Times New Roman" w:cs="Times New Roman"/>
              <w:sz w:val="24"/>
            </w:rPr>
            <w:tab/>
          </w:r>
          <w:bookmarkStart w:id="17" w:name="_Toc4689_WPSOffice_Level2Page"/>
          <w:r>
            <w:rPr>
              <w:rFonts w:hint="eastAsia" w:ascii="Times New Roman" w:hAnsi="Times New Roman" w:cs="Times New Roman"/>
              <w:sz w:val="24"/>
            </w:rPr>
            <w:t>5</w:t>
          </w:r>
          <w:bookmarkEnd w:id="17"/>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_Toc3194_WPSOffice_Level2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0910245c-7c7d-48a9-b4eb-0d70939c231d}"/>
              </w:placeholder>
            </w:sdtPr>
            <w:sdtEndPr>
              <w:rPr>
                <w:rFonts w:hint="eastAsia" w:ascii="Times New Roman" w:hAnsi="Times New Roman" w:cs="Times New Roman"/>
                <w:sz w:val="24"/>
              </w:rPr>
            </w:sdtEndPr>
            <w:sdtContent>
              <w:r>
                <w:rPr>
                  <w:rFonts w:hint="eastAsia" w:ascii="Times New Roman" w:hAnsi="Times New Roman" w:cs="Times New Roman"/>
                  <w:sz w:val="24"/>
                </w:rPr>
                <w:t>二、收入决算情况说明</w:t>
              </w:r>
            </w:sdtContent>
          </w:sdt>
          <w:r>
            <w:rPr>
              <w:rFonts w:hint="eastAsia" w:ascii="Times New Roman" w:hAnsi="Times New Roman" w:cs="Times New Roman"/>
              <w:sz w:val="24"/>
            </w:rPr>
            <w:tab/>
          </w:r>
          <w:bookmarkStart w:id="18" w:name="_Toc3194_WPSOffice_Level2Page"/>
          <w:r>
            <w:rPr>
              <w:rFonts w:hint="eastAsia" w:ascii="Times New Roman" w:hAnsi="Times New Roman" w:cs="Times New Roman"/>
              <w:sz w:val="24"/>
            </w:rPr>
            <w:t>6</w:t>
          </w:r>
          <w:bookmarkEnd w:id="18"/>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_Toc5615_WPSOffice_Level2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fd522db0-dae9-4fc3-9abb-f65f8bb4f6a9}"/>
              </w:placeholder>
            </w:sdtPr>
            <w:sdtEndPr>
              <w:rPr>
                <w:rFonts w:hint="eastAsia" w:ascii="Times New Roman" w:hAnsi="Times New Roman" w:cs="Times New Roman"/>
                <w:sz w:val="24"/>
              </w:rPr>
            </w:sdtEndPr>
            <w:sdtContent>
              <w:r>
                <w:rPr>
                  <w:rFonts w:hint="eastAsia" w:ascii="Times New Roman" w:hAnsi="Times New Roman" w:cs="Times New Roman"/>
                  <w:sz w:val="24"/>
                </w:rPr>
                <w:t>三、支出决算情况说明</w:t>
              </w:r>
            </w:sdtContent>
          </w:sdt>
          <w:r>
            <w:rPr>
              <w:rFonts w:hint="eastAsia" w:ascii="Times New Roman" w:hAnsi="Times New Roman" w:cs="Times New Roman"/>
              <w:sz w:val="24"/>
            </w:rPr>
            <w:tab/>
          </w:r>
          <w:bookmarkStart w:id="19" w:name="_Toc5615_WPSOffice_Level2Page"/>
          <w:r>
            <w:rPr>
              <w:rFonts w:hint="eastAsia" w:ascii="Times New Roman" w:hAnsi="Times New Roman" w:cs="Times New Roman"/>
              <w:sz w:val="24"/>
            </w:rPr>
            <w:t>7</w:t>
          </w:r>
          <w:bookmarkEnd w:id="19"/>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_Toc24943_WPSOffice_Level2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abed8639-62db-45dd-9be9-adc52480d112}"/>
              </w:placeholder>
            </w:sdtPr>
            <w:sdtEndPr>
              <w:rPr>
                <w:rFonts w:hint="eastAsia" w:ascii="Times New Roman" w:hAnsi="Times New Roman" w:cs="Times New Roman"/>
                <w:sz w:val="24"/>
              </w:rPr>
            </w:sdtEndPr>
            <w:sdtContent>
              <w:r>
                <w:rPr>
                  <w:rFonts w:hint="eastAsia" w:ascii="Times New Roman" w:hAnsi="Times New Roman" w:cs="Times New Roman"/>
                  <w:sz w:val="24"/>
                </w:rPr>
                <w:t>四、财政拨款收入支出决算总体情况说明</w:t>
              </w:r>
            </w:sdtContent>
          </w:sdt>
          <w:r>
            <w:rPr>
              <w:rFonts w:hint="eastAsia" w:ascii="Times New Roman" w:hAnsi="Times New Roman" w:cs="Times New Roman"/>
              <w:sz w:val="24"/>
            </w:rPr>
            <w:tab/>
          </w:r>
          <w:bookmarkStart w:id="20" w:name="_Toc24943_WPSOffice_Level2Page"/>
          <w:r>
            <w:rPr>
              <w:rFonts w:hint="eastAsia" w:ascii="Times New Roman" w:hAnsi="Times New Roman" w:cs="Times New Roman"/>
              <w:sz w:val="24"/>
            </w:rPr>
            <w:t>8</w:t>
          </w:r>
          <w:bookmarkEnd w:id="20"/>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_Toc6208_WPSOffice_Level2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b4626f5f-def0-4382-8b88-01bd396382f1}"/>
              </w:placeholder>
            </w:sdtPr>
            <w:sdtEndPr>
              <w:rPr>
                <w:rFonts w:hint="eastAsia" w:ascii="Times New Roman" w:hAnsi="Times New Roman" w:cs="Times New Roman"/>
                <w:sz w:val="24"/>
              </w:rPr>
            </w:sdtEndPr>
            <w:sdtContent>
              <w:r>
                <w:rPr>
                  <w:rFonts w:hint="eastAsia" w:ascii="Times New Roman" w:hAnsi="Times New Roman" w:cs="Times New Roman"/>
                  <w:sz w:val="24"/>
                </w:rPr>
                <w:t>五、一般公共预算财政拨款支出决算情况说明</w:t>
              </w:r>
            </w:sdtContent>
          </w:sdt>
          <w:r>
            <w:rPr>
              <w:rFonts w:hint="eastAsia" w:ascii="Times New Roman" w:hAnsi="Times New Roman" w:cs="Times New Roman"/>
              <w:sz w:val="24"/>
            </w:rPr>
            <w:tab/>
          </w:r>
          <w:bookmarkStart w:id="21" w:name="_Toc6208_WPSOffice_Level2Page"/>
          <w:r>
            <w:rPr>
              <w:rFonts w:hint="eastAsia" w:ascii="Times New Roman" w:hAnsi="Times New Roman" w:cs="Times New Roman"/>
              <w:sz w:val="24"/>
            </w:rPr>
            <w:t>8</w:t>
          </w:r>
          <w:bookmarkEnd w:id="21"/>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_Toc29961_WPSOffice_Level2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5034f6c4-e42d-4a34-a813-fa5395c9120f}"/>
              </w:placeholder>
            </w:sdtPr>
            <w:sdtEndPr>
              <w:rPr>
                <w:rFonts w:hint="eastAsia" w:ascii="Times New Roman" w:hAnsi="Times New Roman" w:cs="Times New Roman"/>
                <w:sz w:val="24"/>
              </w:rPr>
            </w:sdtEndPr>
            <w:sdtContent>
              <w:r>
                <w:rPr>
                  <w:rFonts w:hint="eastAsia" w:ascii="Times New Roman" w:hAnsi="Times New Roman" w:cs="Times New Roman"/>
                  <w:sz w:val="24"/>
                </w:rPr>
                <w:t>六、一般公共预算财政拨款基本支出决算情况说明</w:t>
              </w:r>
            </w:sdtContent>
          </w:sdt>
          <w:r>
            <w:rPr>
              <w:rFonts w:hint="eastAsia" w:ascii="Times New Roman" w:hAnsi="Times New Roman" w:cs="Times New Roman"/>
              <w:sz w:val="24"/>
            </w:rPr>
            <w:tab/>
          </w:r>
          <w:bookmarkStart w:id="22" w:name="_Toc29961_WPSOffice_Level2Page"/>
          <w:r>
            <w:rPr>
              <w:rFonts w:hint="eastAsia" w:ascii="Times New Roman" w:hAnsi="Times New Roman" w:cs="Times New Roman"/>
              <w:sz w:val="24"/>
            </w:rPr>
            <w:t>12</w:t>
          </w:r>
          <w:bookmarkEnd w:id="22"/>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_Toc13166_WPSOffice_Level2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8c350e3b-fd27-49e6-89a9-adfad5dc5822}"/>
              </w:placeholder>
            </w:sdtPr>
            <w:sdtEndPr>
              <w:rPr>
                <w:rFonts w:hint="eastAsia" w:ascii="Times New Roman" w:hAnsi="Times New Roman" w:cs="Times New Roman"/>
                <w:sz w:val="24"/>
              </w:rPr>
            </w:sdtEndPr>
            <w:sdtContent>
              <w:r>
                <w:rPr>
                  <w:rFonts w:hint="eastAsia" w:ascii="Times New Roman" w:hAnsi="Times New Roman" w:cs="Times New Roman"/>
                  <w:sz w:val="24"/>
                </w:rPr>
                <w:t>七、财政拨款“三公”经费支出决算情况说明</w:t>
              </w:r>
            </w:sdtContent>
          </w:sdt>
          <w:r>
            <w:rPr>
              <w:rFonts w:hint="eastAsia" w:ascii="Times New Roman" w:hAnsi="Times New Roman" w:cs="Times New Roman"/>
              <w:sz w:val="24"/>
            </w:rPr>
            <w:tab/>
          </w:r>
          <w:bookmarkStart w:id="23" w:name="_Toc13166_WPSOffice_Level2Page"/>
          <w:r>
            <w:rPr>
              <w:rFonts w:hint="eastAsia" w:ascii="Times New Roman" w:hAnsi="Times New Roman" w:cs="Times New Roman"/>
              <w:sz w:val="24"/>
            </w:rPr>
            <w:t>12</w:t>
          </w:r>
          <w:bookmarkEnd w:id="23"/>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_Toc12469_WPSOffice_Level2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d11be73f-b860-4cee-8287-fc9f3940a0d3}"/>
              </w:placeholder>
            </w:sdtPr>
            <w:sdtEndPr>
              <w:rPr>
                <w:rFonts w:hint="eastAsia" w:ascii="Times New Roman" w:hAnsi="Times New Roman" w:cs="Times New Roman"/>
                <w:sz w:val="24"/>
              </w:rPr>
            </w:sdtEndPr>
            <w:sdtContent>
              <w:r>
                <w:rPr>
                  <w:rFonts w:hint="eastAsia" w:ascii="Times New Roman" w:hAnsi="Times New Roman" w:cs="Times New Roman"/>
                  <w:sz w:val="24"/>
                </w:rPr>
                <w:t>八、政府性基金预算支出决算情况说明</w:t>
              </w:r>
            </w:sdtContent>
          </w:sdt>
          <w:r>
            <w:rPr>
              <w:rFonts w:hint="eastAsia" w:ascii="Times New Roman" w:hAnsi="Times New Roman" w:cs="Times New Roman"/>
              <w:sz w:val="24"/>
            </w:rPr>
            <w:tab/>
          </w:r>
          <w:bookmarkStart w:id="24" w:name="_Toc12469_WPSOffice_Level2Page"/>
          <w:r>
            <w:rPr>
              <w:rFonts w:hint="eastAsia" w:ascii="Times New Roman" w:hAnsi="Times New Roman" w:cs="Times New Roman"/>
              <w:sz w:val="24"/>
            </w:rPr>
            <w:t>14</w:t>
          </w:r>
          <w:bookmarkEnd w:id="24"/>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_Toc11115_WPSOffice_Level2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007edabc-32d4-4fce-8214-9c60a399fedf}"/>
              </w:placeholder>
            </w:sdtPr>
            <w:sdtEndPr>
              <w:rPr>
                <w:rFonts w:hint="eastAsia" w:ascii="Times New Roman" w:hAnsi="Times New Roman" w:cs="Times New Roman"/>
                <w:sz w:val="24"/>
              </w:rPr>
            </w:sdtEndPr>
            <w:sdtContent>
              <w:r>
                <w:rPr>
                  <w:rFonts w:hint="eastAsia" w:ascii="Times New Roman" w:hAnsi="Times New Roman" w:cs="Times New Roman"/>
                  <w:sz w:val="24"/>
                </w:rPr>
                <w:t>九、国有资本经营预算支出决算情况说明</w:t>
              </w:r>
            </w:sdtContent>
          </w:sdt>
          <w:r>
            <w:rPr>
              <w:rFonts w:hint="eastAsia" w:ascii="Times New Roman" w:hAnsi="Times New Roman" w:cs="Times New Roman"/>
              <w:sz w:val="24"/>
            </w:rPr>
            <w:tab/>
          </w:r>
          <w:bookmarkStart w:id="25" w:name="_Toc11115_WPSOffice_Level2Page"/>
          <w:r>
            <w:rPr>
              <w:rFonts w:hint="eastAsia" w:ascii="Times New Roman" w:hAnsi="Times New Roman" w:cs="Times New Roman"/>
              <w:sz w:val="24"/>
            </w:rPr>
            <w:t>14</w:t>
          </w:r>
          <w:bookmarkEnd w:id="25"/>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_Toc20434_WPSOffice_Level2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4e538a55-ca96-4e6f-975b-3f434f904634}"/>
              </w:placeholder>
            </w:sdtPr>
            <w:sdtEndPr>
              <w:rPr>
                <w:rFonts w:hint="eastAsia" w:ascii="Times New Roman" w:hAnsi="Times New Roman" w:cs="Times New Roman"/>
                <w:sz w:val="24"/>
              </w:rPr>
            </w:sdtEndPr>
            <w:sdtContent>
              <w:r>
                <w:rPr>
                  <w:rFonts w:hint="eastAsia" w:ascii="Times New Roman" w:hAnsi="Times New Roman" w:cs="Times New Roman"/>
                  <w:sz w:val="24"/>
                </w:rPr>
                <w:t>十、其他重要事项的情况说明</w:t>
              </w:r>
            </w:sdtContent>
          </w:sdt>
          <w:r>
            <w:rPr>
              <w:rFonts w:hint="eastAsia" w:ascii="Times New Roman" w:hAnsi="Times New Roman" w:cs="Times New Roman"/>
              <w:sz w:val="24"/>
            </w:rPr>
            <w:tab/>
          </w:r>
          <w:bookmarkStart w:id="26" w:name="_Toc20434_WPSOffice_Level2Page"/>
          <w:r>
            <w:rPr>
              <w:rFonts w:hint="eastAsia" w:ascii="Times New Roman" w:hAnsi="Times New Roman" w:cs="Times New Roman"/>
              <w:sz w:val="24"/>
            </w:rPr>
            <w:t>14</w:t>
          </w:r>
          <w:bookmarkEnd w:id="26"/>
          <w:r>
            <w:rPr>
              <w:rFonts w:hint="eastAsia" w:ascii="Times New Roman" w:hAnsi="Times New Roman" w:cs="Times New Roman"/>
              <w:sz w:val="24"/>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fldChar w:fldCharType="begin"/>
          </w:r>
          <w:r>
            <w:rPr>
              <w:rFonts w:hint="eastAsia" w:ascii="仿宋" w:hAnsi="仿宋" w:eastAsia="仿宋" w:cs="Times New Roman"/>
              <w:kern w:val="2"/>
              <w:sz w:val="24"/>
              <w:szCs w:val="28"/>
              <w:lang w:val="en-US" w:eastAsia="zh-CN" w:bidi="ar-SA"/>
            </w:rPr>
            <w:instrText xml:space="preserve"> HYPERLINK \l _Toc10267_WPSOffice_Level1 </w:instrText>
          </w:r>
          <w:r>
            <w:rPr>
              <w:rFonts w:hint="eastAsia" w:ascii="仿宋" w:hAnsi="仿宋" w:eastAsia="仿宋" w:cs="Times New Roman"/>
              <w:kern w:val="2"/>
              <w:sz w:val="24"/>
              <w:szCs w:val="28"/>
              <w:lang w:val="en-US" w:eastAsia="zh-CN" w:bidi="ar-SA"/>
            </w:rPr>
            <w:fldChar w:fldCharType="separate"/>
          </w:r>
          <w:sdt>
            <w:sdtPr>
              <w:rPr>
                <w:rFonts w:hint="eastAsia" w:ascii="仿宋" w:hAnsi="仿宋" w:eastAsia="仿宋" w:cs="Times New Roman"/>
                <w:kern w:val="2"/>
                <w:sz w:val="24"/>
                <w:szCs w:val="28"/>
                <w:lang w:val="en-US" w:eastAsia="zh-CN" w:bidi="ar-SA"/>
              </w:rPr>
              <w:id w:val="147451599"/>
              <w:placeholder>
                <w:docPart w:val="{dc9e45f1-dfcf-434f-bcca-0fdac0ad48b2}"/>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第三部分 名词解释</w:t>
              </w:r>
            </w:sdtContent>
          </w:sdt>
          <w:r>
            <w:rPr>
              <w:rFonts w:hint="eastAsia" w:ascii="仿宋" w:hAnsi="仿宋" w:eastAsia="仿宋" w:cs="Times New Roman"/>
              <w:kern w:val="2"/>
              <w:sz w:val="24"/>
              <w:szCs w:val="28"/>
              <w:lang w:val="en-US" w:eastAsia="zh-CN" w:bidi="ar-SA"/>
            </w:rPr>
            <w:tab/>
          </w:r>
          <w:bookmarkStart w:id="27" w:name="_Toc10267_WPSOffice_Level1Page"/>
          <w:r>
            <w:rPr>
              <w:rFonts w:hint="eastAsia" w:ascii="仿宋" w:hAnsi="仿宋" w:eastAsia="仿宋" w:cs="Times New Roman"/>
              <w:kern w:val="2"/>
              <w:sz w:val="24"/>
              <w:szCs w:val="28"/>
              <w:lang w:val="en-US" w:eastAsia="zh-CN" w:bidi="ar-SA"/>
            </w:rPr>
            <w:t>17</w:t>
          </w:r>
          <w:bookmarkEnd w:id="27"/>
          <w:r>
            <w:rPr>
              <w:rFonts w:hint="eastAsia" w:ascii="仿宋" w:hAnsi="仿宋" w:eastAsia="仿宋" w:cs="Times New Roman"/>
              <w:kern w:val="2"/>
              <w:sz w:val="24"/>
              <w:szCs w:val="28"/>
              <w:lang w:val="en-US" w:eastAsia="zh-CN" w:bidi="ar-SA"/>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fldChar w:fldCharType="begin"/>
          </w:r>
          <w:r>
            <w:rPr>
              <w:rFonts w:hint="eastAsia" w:ascii="仿宋" w:hAnsi="仿宋" w:eastAsia="仿宋" w:cs="Times New Roman"/>
              <w:kern w:val="2"/>
              <w:sz w:val="24"/>
              <w:szCs w:val="28"/>
              <w:lang w:val="en-US" w:eastAsia="zh-CN" w:bidi="ar-SA"/>
            </w:rPr>
            <w:instrText xml:space="preserve"> HYPERLINK \l _Toc28475_WPSOffice_Level1 </w:instrText>
          </w:r>
          <w:r>
            <w:rPr>
              <w:rFonts w:hint="eastAsia" w:ascii="仿宋" w:hAnsi="仿宋" w:eastAsia="仿宋" w:cs="Times New Roman"/>
              <w:kern w:val="2"/>
              <w:sz w:val="24"/>
              <w:szCs w:val="28"/>
              <w:lang w:val="en-US" w:eastAsia="zh-CN" w:bidi="ar-SA"/>
            </w:rPr>
            <w:fldChar w:fldCharType="separate"/>
          </w:r>
          <w:sdt>
            <w:sdtPr>
              <w:rPr>
                <w:rFonts w:hint="eastAsia" w:ascii="仿宋" w:hAnsi="仿宋" w:eastAsia="仿宋" w:cs="Times New Roman"/>
                <w:kern w:val="2"/>
                <w:sz w:val="24"/>
                <w:szCs w:val="28"/>
                <w:lang w:val="en-US" w:eastAsia="zh-CN" w:bidi="ar-SA"/>
              </w:rPr>
              <w:id w:val="147451599"/>
              <w:placeholder>
                <w:docPart w:val="{b31542a1-bcc8-48db-ae0b-4207a3e31ee5}"/>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第四部分 附件</w:t>
              </w:r>
            </w:sdtContent>
          </w:sdt>
          <w:r>
            <w:rPr>
              <w:rFonts w:hint="eastAsia" w:ascii="仿宋" w:hAnsi="仿宋" w:eastAsia="仿宋" w:cs="Times New Roman"/>
              <w:kern w:val="2"/>
              <w:sz w:val="24"/>
              <w:szCs w:val="28"/>
              <w:lang w:val="en-US" w:eastAsia="zh-CN" w:bidi="ar-SA"/>
            </w:rPr>
            <w:tab/>
          </w:r>
          <w:bookmarkStart w:id="28" w:name="_Toc28475_WPSOffice_Level1Page"/>
          <w:r>
            <w:rPr>
              <w:rFonts w:hint="eastAsia" w:ascii="仿宋" w:hAnsi="仿宋" w:eastAsia="仿宋" w:cs="Times New Roman"/>
              <w:kern w:val="2"/>
              <w:sz w:val="24"/>
              <w:szCs w:val="28"/>
              <w:lang w:val="en-US" w:eastAsia="zh-CN" w:bidi="ar-SA"/>
            </w:rPr>
            <w:t>21</w:t>
          </w:r>
          <w:bookmarkEnd w:id="28"/>
          <w:r>
            <w:rPr>
              <w:rFonts w:hint="eastAsia" w:ascii="仿宋" w:hAnsi="仿宋" w:eastAsia="仿宋" w:cs="Times New Roman"/>
              <w:kern w:val="2"/>
              <w:sz w:val="24"/>
              <w:szCs w:val="28"/>
              <w:lang w:val="en-US" w:eastAsia="zh-CN" w:bidi="ar-SA"/>
            </w:rPr>
            <w:fldChar w:fldCharType="end"/>
          </w:r>
        </w:p>
        <w:p>
          <w:pPr>
            <w:pStyle w:val="30"/>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fldChar w:fldCharType="begin"/>
          </w:r>
          <w:r>
            <w:rPr>
              <w:rFonts w:hint="eastAsia" w:ascii="仿宋" w:hAnsi="仿宋" w:eastAsia="仿宋" w:cs="Times New Roman"/>
              <w:kern w:val="2"/>
              <w:sz w:val="24"/>
              <w:szCs w:val="28"/>
              <w:lang w:val="en-US" w:eastAsia="zh-CN" w:bidi="ar-SA"/>
            </w:rPr>
            <w:instrText xml:space="preserve"> HYPERLINK \l _Toc3662_WPSOffice_Level1 </w:instrText>
          </w:r>
          <w:r>
            <w:rPr>
              <w:rFonts w:hint="eastAsia" w:ascii="仿宋" w:hAnsi="仿宋" w:eastAsia="仿宋" w:cs="Times New Roman"/>
              <w:kern w:val="2"/>
              <w:sz w:val="24"/>
              <w:szCs w:val="28"/>
              <w:lang w:val="en-US" w:eastAsia="zh-CN" w:bidi="ar-SA"/>
            </w:rPr>
            <w:fldChar w:fldCharType="separate"/>
          </w:r>
          <w:sdt>
            <w:sdtPr>
              <w:rPr>
                <w:rFonts w:hint="eastAsia" w:ascii="仿宋" w:hAnsi="仿宋" w:eastAsia="仿宋" w:cs="Times New Roman"/>
                <w:kern w:val="2"/>
                <w:sz w:val="24"/>
                <w:szCs w:val="28"/>
                <w:lang w:val="en-US" w:eastAsia="zh-CN" w:bidi="ar-SA"/>
              </w:rPr>
              <w:id w:val="147451599"/>
              <w:placeholder>
                <w:docPart w:val="{7963830b-1579-4522-94a8-fec568a593b9}"/>
              </w:placeholder>
            </w:sdtPr>
            <w:sdtEndPr>
              <w:rPr>
                <w:rFonts w:hint="eastAsia" w:ascii="仿宋" w:hAnsi="仿宋" w:eastAsia="仿宋" w:cs="Times New Roman"/>
                <w:kern w:val="2"/>
                <w:sz w:val="24"/>
                <w:szCs w:val="28"/>
                <w:lang w:val="en-US" w:eastAsia="zh-CN" w:bidi="ar-SA"/>
              </w:rPr>
            </w:sdtEndPr>
            <w:sdtContent>
              <w:r>
                <w:rPr>
                  <w:rFonts w:hint="eastAsia" w:ascii="仿宋" w:hAnsi="仿宋" w:eastAsia="仿宋" w:cs="Times New Roman"/>
                  <w:kern w:val="2"/>
                  <w:sz w:val="24"/>
                  <w:szCs w:val="28"/>
                  <w:lang w:val="en-US" w:eastAsia="zh-CN" w:bidi="ar-SA"/>
                </w:rPr>
                <w:t>第五部分 附表</w:t>
              </w:r>
            </w:sdtContent>
          </w:sdt>
          <w:r>
            <w:rPr>
              <w:rFonts w:hint="eastAsia" w:ascii="仿宋" w:hAnsi="仿宋" w:eastAsia="仿宋" w:cs="Times New Roman"/>
              <w:kern w:val="2"/>
              <w:sz w:val="24"/>
              <w:szCs w:val="28"/>
              <w:lang w:val="en-US" w:eastAsia="zh-CN" w:bidi="ar-SA"/>
            </w:rPr>
            <w:tab/>
          </w:r>
          <w:bookmarkStart w:id="29" w:name="_Toc3662_WPSOffice_Level1Page"/>
          <w:r>
            <w:rPr>
              <w:rFonts w:hint="eastAsia" w:ascii="仿宋" w:hAnsi="仿宋" w:eastAsia="仿宋" w:cs="Times New Roman"/>
              <w:kern w:val="2"/>
              <w:sz w:val="24"/>
              <w:szCs w:val="28"/>
              <w:lang w:val="en-US" w:eastAsia="zh-CN" w:bidi="ar-SA"/>
            </w:rPr>
            <w:t>4</w:t>
          </w:r>
          <w:bookmarkEnd w:id="29"/>
          <w:r>
            <w:rPr>
              <w:rFonts w:hint="eastAsia" w:ascii="仿宋" w:hAnsi="仿宋" w:eastAsia="仿宋" w:cs="Times New Roman"/>
              <w:kern w:val="2"/>
              <w:sz w:val="24"/>
              <w:szCs w:val="28"/>
              <w:lang w:val="en-US" w:eastAsia="zh-CN" w:bidi="ar-SA"/>
            </w:rPr>
            <w:t>7</w:t>
          </w:r>
          <w:r>
            <w:rPr>
              <w:rFonts w:hint="eastAsia" w:ascii="仿宋" w:hAnsi="仿宋" w:eastAsia="仿宋" w:cs="Times New Roman"/>
              <w:kern w:val="2"/>
              <w:sz w:val="24"/>
              <w:szCs w:val="28"/>
              <w:lang w:val="en-US" w:eastAsia="zh-CN" w:bidi="ar-SA"/>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_Toc1743_WPSOffice_Level2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89c0530d-894e-4aea-a13f-aa467462e4b2}"/>
              </w:placeholder>
            </w:sdtPr>
            <w:sdtEndPr>
              <w:rPr>
                <w:rFonts w:hint="eastAsia" w:ascii="Times New Roman" w:hAnsi="Times New Roman" w:cs="Times New Roman"/>
                <w:sz w:val="24"/>
              </w:rPr>
            </w:sdtEndPr>
            <w:sdtContent>
              <w:r>
                <w:rPr>
                  <w:rFonts w:hint="eastAsia" w:ascii="Times New Roman" w:hAnsi="Times New Roman" w:cs="Times New Roman"/>
                  <w:sz w:val="24"/>
                </w:rPr>
                <w:t>一、收入支出决算总表</w:t>
              </w:r>
            </w:sdtContent>
          </w:sdt>
          <w:r>
            <w:rPr>
              <w:rFonts w:hint="eastAsia" w:ascii="Times New Roman" w:hAnsi="Times New Roman" w:cs="Times New Roman"/>
              <w:sz w:val="24"/>
            </w:rPr>
            <w:tab/>
          </w:r>
          <w:bookmarkStart w:id="30" w:name="_Toc1743_WPSOffice_Level2Page"/>
          <w:r>
            <w:rPr>
              <w:rFonts w:hint="eastAsia" w:ascii="Times New Roman" w:hAnsi="Times New Roman" w:cs="Times New Roman"/>
              <w:sz w:val="24"/>
            </w:rPr>
            <w:t>4</w:t>
          </w:r>
          <w:bookmarkEnd w:id="30"/>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_Toc28082_WPSOffice_Level2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5412eb09-94c0-4c86-8b06-0646860d5d80}"/>
              </w:placeholder>
            </w:sdtPr>
            <w:sdtEndPr>
              <w:rPr>
                <w:rFonts w:hint="eastAsia" w:ascii="Times New Roman" w:hAnsi="Times New Roman" w:cs="Times New Roman"/>
                <w:sz w:val="24"/>
              </w:rPr>
            </w:sdtEndPr>
            <w:sdtContent>
              <w:r>
                <w:rPr>
                  <w:rFonts w:hint="eastAsia" w:ascii="Times New Roman" w:hAnsi="Times New Roman" w:cs="Times New Roman"/>
                  <w:sz w:val="24"/>
                </w:rPr>
                <w:t>二、收入决算表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_Toc11556_WPSOffice_Level2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baff68a5-2b27-4e95-af31-2b4426e45688}"/>
              </w:placeholder>
            </w:sdtPr>
            <w:sdtEndPr>
              <w:rPr>
                <w:rFonts w:hint="eastAsia" w:ascii="Times New Roman" w:hAnsi="Times New Roman" w:cs="Times New Roman"/>
                <w:sz w:val="24"/>
              </w:rPr>
            </w:sdtEndPr>
            <w:sdtContent>
              <w:r>
                <w:rPr>
                  <w:rFonts w:hint="eastAsia" w:ascii="Times New Roman" w:hAnsi="Times New Roman" w:cs="Times New Roman"/>
                  <w:sz w:val="24"/>
                </w:rPr>
                <w:t>三、支出决算表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_Toc18026_WPSOffice_Level2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965be378-fe04-4c27-be6a-18cbcf16c73a}"/>
              </w:placeholder>
            </w:sdtPr>
            <w:sdtEndPr>
              <w:rPr>
                <w:rFonts w:hint="eastAsia" w:ascii="Times New Roman" w:hAnsi="Times New Roman" w:cs="Times New Roman"/>
                <w:sz w:val="24"/>
              </w:rPr>
            </w:sdtEndPr>
            <w:sdtContent>
              <w:r>
                <w:rPr>
                  <w:rFonts w:hint="eastAsia" w:ascii="Times New Roman" w:hAnsi="Times New Roman" w:cs="Times New Roman"/>
                  <w:sz w:val="24"/>
                </w:rPr>
                <w:t>四、财政拨款收入支出决算总表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_Toc6134_WPSOffice_Level2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7eefbee2-90b0-4dc0-ba90-77dd5f8375aa}"/>
              </w:placeholder>
            </w:sdtPr>
            <w:sdtEndPr>
              <w:rPr>
                <w:rFonts w:hint="eastAsia" w:ascii="Times New Roman" w:hAnsi="Times New Roman" w:cs="Times New Roman"/>
                <w:sz w:val="24"/>
              </w:rPr>
            </w:sdtEndPr>
            <w:sdtContent>
              <w:r>
                <w:rPr>
                  <w:rFonts w:hint="eastAsia" w:ascii="Times New Roman" w:hAnsi="Times New Roman" w:cs="Times New Roman"/>
                  <w:sz w:val="24"/>
                </w:rPr>
                <w:t>五、财政拨款支出决算明细表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bookmarkStart w:id="199" w:name="_GoBack"/>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_Toc7849_WPSOffice_Level2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9e45215b-0278-4ced-9fb3-84bf5d2de1dd}"/>
              </w:placeholder>
            </w:sdtPr>
            <w:sdtEndPr>
              <w:rPr>
                <w:rFonts w:hint="eastAsia" w:ascii="Times New Roman" w:hAnsi="Times New Roman" w:cs="Times New Roman"/>
                <w:sz w:val="24"/>
              </w:rPr>
            </w:sdtEndPr>
            <w:sdtContent>
              <w:r>
                <w:rPr>
                  <w:rFonts w:hint="eastAsia" w:ascii="Times New Roman" w:hAnsi="Times New Roman" w:cs="Times New Roman"/>
                  <w:sz w:val="24"/>
                </w:rPr>
                <w:t>六、一般公共预算财政拨款支出决算表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bookmarkEnd w:id="199"/>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_Toc24127_WPSOffice_Level2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05496998-bc40-4927-9e57-1370dde66ae0}"/>
              </w:placeholder>
            </w:sdtPr>
            <w:sdtEndPr>
              <w:rPr>
                <w:rFonts w:hint="eastAsia" w:ascii="Times New Roman" w:hAnsi="Times New Roman" w:cs="Times New Roman"/>
                <w:sz w:val="24"/>
              </w:rPr>
            </w:sdtEndPr>
            <w:sdtContent>
              <w:r>
                <w:rPr>
                  <w:rFonts w:hint="eastAsia" w:ascii="Times New Roman" w:hAnsi="Times New Roman" w:cs="Times New Roman"/>
                  <w:sz w:val="24"/>
                </w:rPr>
                <w:t>七、一般公共预算财政拨款支出决算明细表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_Toc4958_WPSOffice_Level2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2a72d7fb-5e0c-4244-94c0-9438042544a8}"/>
              </w:placeholder>
            </w:sdtPr>
            <w:sdtEndPr>
              <w:rPr>
                <w:rFonts w:hint="eastAsia" w:ascii="Times New Roman" w:hAnsi="Times New Roman" w:cs="Times New Roman"/>
                <w:sz w:val="24"/>
              </w:rPr>
            </w:sdtEndPr>
            <w:sdtContent>
              <w:r>
                <w:rPr>
                  <w:rFonts w:hint="eastAsia" w:ascii="Times New Roman" w:hAnsi="Times New Roman" w:cs="Times New Roman"/>
                  <w:sz w:val="24"/>
                </w:rPr>
                <w:t>八、一般公共预算财政拨款基本支出决算表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_Toc2952_WPSOffice_Level2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ebb291ef-ab67-4f8a-b167-adedb4529833}"/>
              </w:placeholder>
            </w:sdtPr>
            <w:sdtEndPr>
              <w:rPr>
                <w:rFonts w:hint="eastAsia" w:ascii="Times New Roman" w:hAnsi="Times New Roman" w:cs="Times New Roman"/>
                <w:sz w:val="24"/>
              </w:rPr>
            </w:sdtEndPr>
            <w:sdtContent>
              <w:r>
                <w:rPr>
                  <w:rFonts w:hint="eastAsia" w:ascii="Times New Roman" w:hAnsi="Times New Roman" w:cs="Times New Roman"/>
                  <w:sz w:val="24"/>
                </w:rPr>
                <w:t>九、一般公共预算财政拨款项目支出决算表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_Toc17127_WPSOffice_Level2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cd43b8a6-0d5c-4269-9f46-c8df42a1aeee}"/>
              </w:placeholder>
            </w:sdtPr>
            <w:sdtEndPr>
              <w:rPr>
                <w:rFonts w:hint="eastAsia" w:ascii="Times New Roman" w:hAnsi="Times New Roman" w:cs="Times New Roman"/>
                <w:sz w:val="24"/>
              </w:rPr>
            </w:sdtEndPr>
            <w:sdtContent>
              <w:r>
                <w:rPr>
                  <w:rFonts w:hint="eastAsia" w:ascii="Times New Roman" w:hAnsi="Times New Roman" w:cs="Times New Roman"/>
                  <w:sz w:val="24"/>
                </w:rPr>
                <w:t>十、政府性基金预算财政拨款收入支出决算表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_Toc18920_WPSOffice_Level2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2831cfa8-c001-447d-8a6a-1203eade5bb6}"/>
              </w:placeholder>
            </w:sdtPr>
            <w:sdtEndPr>
              <w:rPr>
                <w:rFonts w:hint="eastAsia" w:ascii="Times New Roman" w:hAnsi="Times New Roman" w:cs="Times New Roman"/>
                <w:sz w:val="24"/>
              </w:rPr>
            </w:sdtEndPr>
            <w:sdtContent>
              <w:r>
                <w:rPr>
                  <w:rFonts w:hint="eastAsia" w:ascii="Times New Roman" w:hAnsi="Times New Roman" w:cs="Times New Roman"/>
                  <w:sz w:val="24"/>
                </w:rPr>
                <w:t>十一、国有资本经营预算财政拨款收入支出决算表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_Toc18299_WPSOffice_Level2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0e88ba11-fe07-4ffe-9225-5065c55ae9f7}"/>
              </w:placeholder>
            </w:sdtPr>
            <w:sdtEndPr>
              <w:rPr>
                <w:rFonts w:hint="eastAsia" w:ascii="Times New Roman" w:hAnsi="Times New Roman" w:cs="Times New Roman"/>
                <w:sz w:val="24"/>
              </w:rPr>
            </w:sdtEndPr>
            <w:sdtContent>
              <w:r>
                <w:rPr>
                  <w:rFonts w:hint="eastAsia" w:ascii="Times New Roman" w:hAnsi="Times New Roman" w:cs="Times New Roman"/>
                  <w:sz w:val="24"/>
                </w:rPr>
                <w:t>十二、国有资本经营预算财政拨款支出决算表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p>
        <w:p>
          <w:pPr>
            <w:pStyle w:val="11"/>
            <w:adjustRightInd w:val="0"/>
            <w:snapToGrid w:val="0"/>
            <w:spacing w:line="440" w:lineRule="exact"/>
            <w:jc w:val="left"/>
            <w:rPr>
              <w:rFonts w:hint="eastAsia" w:ascii="Times New Roman" w:hAnsi="Times New Roman" w:cs="Times New Roman"/>
              <w:sz w:val="24"/>
            </w:rPr>
          </w:pPr>
          <w:r>
            <w:rPr>
              <w:rFonts w:hint="eastAsia" w:ascii="Times New Roman" w:hAnsi="Times New Roman" w:cs="Times New Roman"/>
              <w:sz w:val="24"/>
            </w:rPr>
            <w:fldChar w:fldCharType="begin"/>
          </w:r>
          <w:r>
            <w:rPr>
              <w:rFonts w:hint="eastAsia" w:ascii="Times New Roman" w:hAnsi="Times New Roman" w:cs="Times New Roman"/>
              <w:sz w:val="24"/>
            </w:rPr>
            <w:instrText xml:space="preserve"> HYPERLINK \l _Toc2349_WPSOffice_Level2 </w:instrText>
          </w:r>
          <w:r>
            <w:rPr>
              <w:rFonts w:hint="eastAsia" w:ascii="Times New Roman" w:hAnsi="Times New Roman" w:cs="Times New Roman"/>
              <w:sz w:val="24"/>
            </w:rPr>
            <w:fldChar w:fldCharType="separate"/>
          </w:r>
          <w:sdt>
            <w:sdtPr>
              <w:rPr>
                <w:rFonts w:hint="eastAsia" w:ascii="Times New Roman" w:hAnsi="Times New Roman" w:cs="Times New Roman"/>
                <w:sz w:val="24"/>
              </w:rPr>
              <w:id w:val="147451599"/>
              <w:placeholder>
                <w:docPart w:val="{c959fc45-b34d-420b-b24b-d8d14f6a6b8e}"/>
              </w:placeholder>
            </w:sdtPr>
            <w:sdtEndPr>
              <w:rPr>
                <w:rFonts w:hint="eastAsia" w:ascii="Times New Roman" w:hAnsi="Times New Roman" w:cs="Times New Roman"/>
                <w:sz w:val="24"/>
              </w:rPr>
            </w:sdtEndPr>
            <w:sdtContent>
              <w:r>
                <w:rPr>
                  <w:rFonts w:hint="eastAsia" w:ascii="Times New Roman" w:hAnsi="Times New Roman" w:cs="Times New Roman"/>
                  <w:sz w:val="24"/>
                </w:rPr>
                <w:t>十三、财政拨款“三公”经费支出决算表</w:t>
              </w:r>
            </w:sdtContent>
          </w:sdt>
          <w:r>
            <w:rPr>
              <w:rFonts w:hint="eastAsia" w:ascii="Times New Roman" w:hAnsi="Times New Roman" w:cs="Times New Roman"/>
              <w:sz w:val="24"/>
            </w:rPr>
            <w:tab/>
          </w:r>
          <w:r>
            <w:rPr>
              <w:rFonts w:hint="eastAsia" w:ascii="Times New Roman" w:hAnsi="Times New Roman" w:cs="Times New Roman"/>
              <w:sz w:val="24"/>
            </w:rPr>
            <w:t>4</w:t>
          </w:r>
          <w:r>
            <w:rPr>
              <w:rFonts w:hint="eastAsia" w:cs="Times New Roman"/>
              <w:sz w:val="24"/>
              <w:lang w:val="en-US" w:eastAsia="zh-CN"/>
            </w:rPr>
            <w:t>7</w:t>
          </w:r>
          <w:r>
            <w:rPr>
              <w:rFonts w:hint="eastAsia" w:ascii="Times New Roman" w:hAnsi="Times New Roman" w:cs="Times New Roman"/>
              <w:sz w:val="24"/>
            </w:rPr>
            <w:fldChar w:fldCharType="end"/>
          </w:r>
          <w:bookmarkEnd w:id="12"/>
        </w:p>
      </w:sdtContent>
    </w:sdt>
    <w:p>
      <w:pPr>
        <w:pStyle w:val="3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p>
    <w:p>
      <w:pPr>
        <w:widowControl/>
        <w:jc w:val="both"/>
        <w:rPr>
          <w:rFonts w:ascii="方正小标宋简体" w:hAnsi="宋体" w:eastAsia="方正小标宋简体"/>
          <w:sz w:val="36"/>
          <w:szCs w:val="36"/>
          <w:highlight w:val="none"/>
        </w:rPr>
      </w:pPr>
      <w:r>
        <w:rPr>
          <w:rFonts w:ascii="方正小标宋简体" w:hAnsi="宋体" w:eastAsia="方正小标宋简体"/>
          <w:sz w:val="36"/>
          <w:szCs w:val="36"/>
          <w:highlight w:val="none"/>
        </w:rPr>
        <w:br w:type="page"/>
      </w:r>
    </w:p>
    <w:p>
      <w:pPr>
        <w:pStyle w:val="3"/>
        <w:keepNext/>
        <w:keepLines/>
        <w:pageBreakBefore w:val="0"/>
        <w:widowControl w:val="0"/>
        <w:numPr>
          <w:ilvl w:val="0"/>
          <w:numId w:val="1"/>
        </w:numPr>
        <w:kinsoku/>
        <w:wordWrap/>
        <w:overflowPunct/>
        <w:topLinePunct w:val="0"/>
        <w:autoSpaceDE/>
        <w:autoSpaceDN/>
        <w:bidi w:val="0"/>
        <w:adjustRightInd/>
        <w:snapToGrid/>
        <w:spacing w:line="579" w:lineRule="auto"/>
        <w:jc w:val="center"/>
        <w:textAlignment w:val="auto"/>
        <w:rPr>
          <w:rStyle w:val="24"/>
          <w:rFonts w:hint="eastAsia" w:ascii="黑体" w:hAnsi="黑体" w:eastAsia="黑体"/>
          <w:b w:val="0"/>
          <w:bCs w:val="0"/>
          <w:highlight w:val="none"/>
        </w:rPr>
      </w:pPr>
      <w:bookmarkStart w:id="31" w:name="_Toc5102_WPSOffice_Level1"/>
      <w:bookmarkStart w:id="32" w:name="_Toc15377196"/>
      <w:bookmarkStart w:id="33" w:name="_Toc29694_WPSOffice_Level1"/>
      <w:bookmarkStart w:id="34" w:name="_Toc15396599"/>
      <w:bookmarkStart w:id="35" w:name="_Hlk146544157"/>
      <w:r>
        <w:rPr>
          <w:rFonts w:hint="eastAsia" w:ascii="黑体" w:hAnsi="黑体" w:eastAsia="黑体"/>
          <w:b w:val="0"/>
          <w:highlight w:val="none"/>
        </w:rPr>
        <w:t>单位</w:t>
      </w:r>
      <w:r>
        <w:rPr>
          <w:rStyle w:val="24"/>
          <w:rFonts w:hint="eastAsia" w:ascii="黑体" w:hAnsi="黑体" w:eastAsia="黑体"/>
          <w:b w:val="0"/>
          <w:bCs w:val="0"/>
          <w:highlight w:val="none"/>
        </w:rPr>
        <w:t>概况</w:t>
      </w:r>
      <w:bookmarkEnd w:id="31"/>
      <w:bookmarkEnd w:id="32"/>
      <w:bookmarkEnd w:id="33"/>
      <w:bookmarkEnd w:id="34"/>
    </w:p>
    <w:p>
      <w:pPr>
        <w:numPr>
          <w:ilvl w:val="0"/>
          <w:numId w:val="0"/>
        </w:numPr>
        <w:rPr>
          <w:highlight w:val="none"/>
        </w:rPr>
      </w:pPr>
    </w:p>
    <w:p>
      <w:pPr>
        <w:pStyle w:val="4"/>
        <w:keepNext/>
        <w:keepLines/>
        <w:pageBreakBefore w:val="0"/>
        <w:widowControl w:val="0"/>
        <w:kinsoku/>
        <w:wordWrap/>
        <w:overflowPunct/>
        <w:topLinePunct w:val="0"/>
        <w:autoSpaceDE/>
        <w:autoSpaceDN/>
        <w:bidi w:val="0"/>
        <w:adjustRightInd/>
        <w:snapToGrid/>
        <w:spacing w:line="416" w:lineRule="auto"/>
        <w:textAlignment w:val="auto"/>
        <w:rPr>
          <w:rFonts w:hint="eastAsia" w:ascii="黑体" w:hAnsi="黑体" w:eastAsia="黑体"/>
          <w:b w:val="0"/>
          <w:highlight w:val="none"/>
        </w:rPr>
      </w:pPr>
      <w:bookmarkStart w:id="36" w:name="_Toc12169_WPSOffice_Level2"/>
      <w:bookmarkStart w:id="37" w:name="_Toc15396600"/>
      <w:bookmarkStart w:id="38" w:name="_Toc15377197"/>
      <w:r>
        <w:rPr>
          <w:rFonts w:hint="eastAsia" w:ascii="黑体" w:hAnsi="黑体" w:eastAsia="黑体"/>
          <w:b w:val="0"/>
          <w:highlight w:val="none"/>
          <w:lang w:eastAsia="zh-CN"/>
        </w:rPr>
        <w:t>一、</w:t>
      </w:r>
      <w:r>
        <w:rPr>
          <w:rFonts w:hint="eastAsia" w:ascii="黑体" w:hAnsi="黑体" w:eastAsia="黑体"/>
          <w:b w:val="0"/>
          <w:highlight w:val="none"/>
        </w:rPr>
        <w:t>主要职责</w:t>
      </w:r>
      <w:bookmarkEnd w:id="36"/>
    </w:p>
    <w:p>
      <w:pPr>
        <w:pStyle w:val="2"/>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峨眉山市城乡建设保障服务中心承担城镇道路、桥涵及其设施建设的技术服务和管养维护工作；承担城乡生活污水治理设施及配套管网的建设和技术保障工作；承担排水（雨水和生活污水排放、防水排涝）设施建设的技术服务和运行维护工作；承担农村住房建设通用设计图集的编制、设计及推广工作；承担农村作为业主和接管的安置房遗留问题处置相关事务性工作；承担农村危房改造事务性工作；组织实施农村建筑工匠培训；承担建筑劳务输出服务工作；承担村镇建设试点具体事务性工作；承担杆管线迁改、新建服务工作；承担城镇公共照明设施、景观亮化工程的建设、运行、维护和用电安全相关工作；承担全市城乡建设档案的建立、收集、保管、利用、开发等相关工作。承担城镇环卫设施的运行、维护工作；承担城镇公共场所的清扫保洁工作，组织对城乡生活垃圾进行清扫、收集、运输和处理，承担市政公共厕所的维护、保洁工作。承担城镇园林绿化、园林景观建设、苗圃培育、公园广场和园林市政设施的维护管养、技术保障等工作；承担城市古树名木建档、养护工作；承担园林绿化和古建筑研究相关工作；完成上级交办的其他任务。</w:t>
      </w:r>
    </w:p>
    <w:p>
      <w:pPr>
        <w:pStyle w:val="4"/>
        <w:keepNext/>
        <w:keepLines/>
        <w:pageBreakBefore w:val="0"/>
        <w:widowControl w:val="0"/>
        <w:kinsoku/>
        <w:wordWrap/>
        <w:overflowPunct/>
        <w:topLinePunct w:val="0"/>
        <w:autoSpaceDE/>
        <w:autoSpaceDN/>
        <w:bidi w:val="0"/>
        <w:adjustRightInd/>
        <w:snapToGrid/>
        <w:spacing w:line="416" w:lineRule="auto"/>
        <w:textAlignment w:val="auto"/>
        <w:rPr>
          <w:rFonts w:ascii="黑体" w:hAnsi="黑体" w:eastAsia="黑体"/>
          <w:b w:val="0"/>
          <w:highlight w:val="none"/>
        </w:rPr>
      </w:pPr>
      <w:bookmarkStart w:id="39" w:name="_Toc24742_WPSOffice_Level2"/>
      <w:r>
        <w:rPr>
          <w:rFonts w:hint="eastAsia" w:ascii="黑体" w:hAnsi="黑体" w:eastAsia="黑体"/>
          <w:b w:val="0"/>
          <w:highlight w:val="none"/>
        </w:rPr>
        <w:t>二、机构设置</w:t>
      </w:r>
      <w:bookmarkEnd w:id="39"/>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2022年根据峨编发（2021）42号文件精神，将市环境卫生服务中心、市城乡建设服务中心职能整合到市城市绿化保障中心，更名为峨眉山市城乡建设保障服务中心，撤销市环境卫生服务中心、市城乡建设服务中心。</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峨眉山市城乡建设保障服务中心属于峨眉山市住房和城乡建设局下属的二级预算单位，下设独立编制机构1个，其中行政机构0个，参照公务员法管理的事业机构0个，其他事业机构1个。</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en-US" w:eastAsia="zh-CN" w:bidi="ar-SA"/>
        </w:rPr>
        <w:t>2022年度原环境卫生服务中心、</w:t>
      </w:r>
      <w:r>
        <w:rPr>
          <w:rFonts w:hint="eastAsia" w:cs="Times New Roman"/>
          <w:kern w:val="2"/>
          <w:sz w:val="32"/>
          <w:szCs w:val="32"/>
          <w:highlight w:val="none"/>
          <w:lang w:val="en-US" w:eastAsia="zh-CN" w:bidi="ar-SA"/>
        </w:rPr>
        <w:t>原</w:t>
      </w:r>
      <w:r>
        <w:rPr>
          <w:rFonts w:hint="eastAsia" w:ascii="仿宋_GB2312" w:hAnsi="Times New Roman" w:eastAsia="仿宋_GB2312" w:cs="Times New Roman"/>
          <w:kern w:val="2"/>
          <w:sz w:val="32"/>
          <w:szCs w:val="32"/>
          <w:highlight w:val="none"/>
          <w:lang w:val="en-US" w:eastAsia="zh-CN" w:bidi="ar-SA"/>
        </w:rPr>
        <w:t>城乡建设服务中心撤销后人员合并41人至我单位后共计有在编人员73人，2022年度在编人员退休6人，年末实有人数为67人。本单位设</w:t>
      </w:r>
      <w:r>
        <w:rPr>
          <w:rFonts w:hint="eastAsia" w:cs="Times New Roman"/>
          <w:kern w:val="2"/>
          <w:sz w:val="32"/>
          <w:szCs w:val="32"/>
          <w:highlight w:val="none"/>
          <w:lang w:val="en-US" w:eastAsia="zh-CN" w:bidi="ar-SA"/>
        </w:rPr>
        <w:t>4个股室</w:t>
      </w:r>
      <w:r>
        <w:rPr>
          <w:rFonts w:hint="eastAsia" w:ascii="仿宋_GB2312" w:hAnsi="Times New Roman" w:eastAsia="仿宋_GB2312" w:cs="Times New Roman"/>
          <w:kern w:val="2"/>
          <w:sz w:val="32"/>
          <w:szCs w:val="32"/>
          <w:highlight w:val="none"/>
          <w:lang w:val="en-US" w:eastAsia="zh-CN" w:bidi="ar-SA"/>
        </w:rPr>
        <w:t>：绿化股、管线股、市政股、环卫股。</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纳入2022年度单位决算编制范围的独立编制机构包括：</w:t>
      </w:r>
      <w:r>
        <w:rPr>
          <w:rFonts w:hint="eastAsia" w:ascii="仿宋_GB2312" w:hAnsi="Times New Roman" w:eastAsia="仿宋_GB2312" w:cs="Times New Roman"/>
          <w:kern w:val="2"/>
          <w:sz w:val="32"/>
          <w:szCs w:val="32"/>
          <w:highlight w:val="none"/>
          <w:lang w:val="en-US" w:eastAsia="zh-CN" w:bidi="ar-SA"/>
        </w:rPr>
        <w:t>峨眉山市城乡建设保障服务中心。</w:t>
      </w:r>
      <w:bookmarkEnd w:id="35"/>
      <w:bookmarkEnd w:id="37"/>
      <w:bookmarkEnd w:id="38"/>
    </w:p>
    <w:p>
      <w:pPr>
        <w:pStyle w:val="3"/>
        <w:keepNext/>
        <w:keepLines/>
        <w:pageBreakBefore w:val="0"/>
        <w:widowControl w:val="0"/>
        <w:numPr>
          <w:ilvl w:val="0"/>
          <w:numId w:val="1"/>
        </w:numPr>
        <w:kinsoku/>
        <w:wordWrap/>
        <w:overflowPunct/>
        <w:topLinePunct w:val="0"/>
        <w:autoSpaceDE/>
        <w:autoSpaceDN/>
        <w:bidi w:val="0"/>
        <w:adjustRightInd/>
        <w:snapToGrid/>
        <w:spacing w:line="579" w:lineRule="auto"/>
        <w:jc w:val="center"/>
        <w:textAlignment w:val="auto"/>
        <w:rPr>
          <w:rFonts w:hint="eastAsia" w:ascii="黑体" w:hAnsi="黑体" w:eastAsia="黑体"/>
          <w:b w:val="0"/>
          <w:highlight w:val="none"/>
        </w:rPr>
      </w:pPr>
      <w:bookmarkStart w:id="40" w:name="_Toc15377204"/>
      <w:bookmarkStart w:id="41" w:name="_Toc16877_WPSOffice_Level1"/>
      <w:bookmarkStart w:id="42" w:name="_Toc5956_WPSOffice_Level1"/>
      <w:bookmarkStart w:id="43" w:name="_Toc15396602"/>
      <w:r>
        <w:rPr>
          <w:rFonts w:hint="eastAsia" w:ascii="黑体" w:hAnsi="黑体" w:eastAsia="黑体"/>
          <w:b w:val="0"/>
          <w:highlight w:val="none"/>
        </w:rPr>
        <w:t>2022年度单位决算情况说明</w:t>
      </w:r>
      <w:bookmarkEnd w:id="40"/>
      <w:bookmarkEnd w:id="41"/>
      <w:bookmarkEnd w:id="42"/>
      <w:bookmarkEnd w:id="43"/>
    </w:p>
    <w:p>
      <w:pPr>
        <w:numPr>
          <w:ilvl w:val="0"/>
          <w:numId w:val="0"/>
        </w:numPr>
        <w:ind w:leftChars="0"/>
        <w:rPr>
          <w:highlight w:val="none"/>
        </w:rPr>
      </w:pPr>
    </w:p>
    <w:p>
      <w:pPr>
        <w:pStyle w:val="2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Fonts w:hint="eastAsia" w:ascii="黑体" w:hAnsi="黑体" w:eastAsia="黑体"/>
          <w:sz w:val="32"/>
          <w:szCs w:val="32"/>
          <w:highlight w:val="none"/>
        </w:rPr>
      </w:pPr>
      <w:bookmarkStart w:id="44" w:name="_Toc4689_WPSOffice_Level2"/>
      <w:bookmarkStart w:id="45" w:name="_Toc15396603"/>
      <w:bookmarkStart w:id="46" w:name="_Toc15377205"/>
      <w:r>
        <w:rPr>
          <w:rFonts w:hint="eastAsia" w:ascii="黑体" w:hAnsi="黑体" w:eastAsia="黑体"/>
          <w:sz w:val="32"/>
          <w:szCs w:val="32"/>
          <w:highlight w:val="none"/>
        </w:rPr>
        <w:t>收入支出决算总体情况说明</w:t>
      </w:r>
      <w:bookmarkEnd w:id="44"/>
      <w:bookmarkEnd w:id="45"/>
      <w:bookmarkEnd w:id="46"/>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2022年度收、支总计51,351.9</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万元。与2021年相比，收、支总计各增加49,401.67万元，增长2,533.</w:t>
      </w:r>
      <w:r>
        <w:rPr>
          <w:rFonts w:hint="eastAsia" w:ascii="仿宋_GB2312" w:hAnsi="Times New Roman" w:eastAsia="仿宋_GB2312" w:cs="Times New Roman"/>
          <w:kern w:val="2"/>
          <w:sz w:val="32"/>
          <w:szCs w:val="32"/>
          <w:highlight w:val="none"/>
          <w:lang w:val="en-US" w:eastAsia="zh-CN" w:bidi="ar-SA"/>
        </w:rPr>
        <w:t>2</w:t>
      </w:r>
      <w:r>
        <w:rPr>
          <w:rFonts w:hint="eastAsia" w:ascii="仿宋_GB2312" w:hAnsi="Times New Roman" w:eastAsia="仿宋_GB2312" w:cs="Times New Roman"/>
          <w:kern w:val="2"/>
          <w:sz w:val="32"/>
          <w:szCs w:val="32"/>
          <w:highlight w:val="none"/>
          <w:lang w:val="zh-CN" w:eastAsia="zh-CN" w:bidi="ar-SA"/>
        </w:rPr>
        <w:t>1%。主要变动原因是</w:t>
      </w:r>
      <w:r>
        <w:rPr>
          <w:rFonts w:hint="eastAsia" w:ascii="仿宋_GB2312" w:hAnsi="Times New Roman" w:eastAsia="仿宋_GB2312" w:cs="Times New Roman"/>
          <w:kern w:val="2"/>
          <w:sz w:val="32"/>
          <w:szCs w:val="32"/>
          <w:highlight w:val="none"/>
          <w:lang w:val="en-US" w:eastAsia="zh-CN" w:bidi="ar-SA"/>
        </w:rPr>
        <w:t>原环境卫生服务中心、</w:t>
      </w:r>
      <w:r>
        <w:rPr>
          <w:rFonts w:hint="eastAsia" w:cs="Times New Roman"/>
          <w:kern w:val="2"/>
          <w:sz w:val="32"/>
          <w:szCs w:val="32"/>
          <w:highlight w:val="none"/>
          <w:lang w:val="en-US" w:eastAsia="zh-CN" w:bidi="ar-SA"/>
        </w:rPr>
        <w:t>原</w:t>
      </w:r>
      <w:r>
        <w:rPr>
          <w:rFonts w:hint="eastAsia" w:ascii="仿宋_GB2312" w:hAnsi="Times New Roman" w:eastAsia="仿宋_GB2312" w:cs="Times New Roman"/>
          <w:kern w:val="2"/>
          <w:sz w:val="32"/>
          <w:szCs w:val="32"/>
          <w:highlight w:val="none"/>
          <w:lang w:val="en-US" w:eastAsia="zh-CN" w:bidi="ar-SA"/>
        </w:rPr>
        <w:t>城乡建设服务中心</w:t>
      </w:r>
      <w:r>
        <w:rPr>
          <w:rFonts w:hint="eastAsia" w:ascii="仿宋_GB2312" w:hAnsi="Times New Roman" w:eastAsia="仿宋_GB2312" w:cs="Times New Roman"/>
          <w:kern w:val="2"/>
          <w:sz w:val="32"/>
          <w:szCs w:val="32"/>
          <w:highlight w:val="none"/>
          <w:lang w:val="zh-CN" w:eastAsia="zh-CN" w:bidi="ar-SA"/>
        </w:rPr>
        <w:t>合并至城乡建设保障服务中心后导致2022年度收入、支出总计增加。</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（图1：收、支决算总计变动情况图）（柱状图）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drawing>
          <wp:inline distT="0" distB="0" distL="114300" distR="114300">
            <wp:extent cx="5272405" cy="3749675"/>
            <wp:effectExtent l="0" t="0" r="4445" b="317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stretch>
                      <a:fillRect/>
                    </a:stretch>
                  </pic:blipFill>
                  <pic:spPr>
                    <a:xfrm>
                      <a:off x="0" y="0"/>
                      <a:ext cx="5272405" cy="3749675"/>
                    </a:xfrm>
                    <a:prstGeom prst="rect">
                      <a:avLst/>
                    </a:prstGeom>
                  </pic:spPr>
                </pic:pic>
              </a:graphicData>
            </a:graphic>
          </wp:inline>
        </w:drawing>
      </w:r>
    </w:p>
    <w:p>
      <w:pPr>
        <w:pStyle w:val="2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Fonts w:hint="eastAsia" w:ascii="黑体" w:hAnsi="黑体" w:eastAsia="黑体"/>
          <w:sz w:val="32"/>
          <w:szCs w:val="32"/>
          <w:highlight w:val="none"/>
        </w:rPr>
      </w:pPr>
      <w:bookmarkStart w:id="47" w:name="_Toc3194_WPSOffice_Level2"/>
      <w:bookmarkStart w:id="48" w:name="_Toc15396604"/>
      <w:bookmarkStart w:id="49" w:name="_Toc15377206"/>
      <w:r>
        <w:rPr>
          <w:rFonts w:hint="eastAsia" w:ascii="黑体" w:hAnsi="黑体" w:eastAsia="黑体"/>
          <w:sz w:val="32"/>
          <w:szCs w:val="32"/>
          <w:highlight w:val="none"/>
        </w:rPr>
        <w:t>收入决算情况说明</w:t>
      </w:r>
      <w:bookmarkEnd w:id="47"/>
      <w:bookmarkEnd w:id="48"/>
      <w:bookmarkEnd w:id="49"/>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2022年本年收入合计18,229.88万元，其中：一般公共预算财政拨款收入6,711.2</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万元，占36.8</w:t>
      </w:r>
      <w:r>
        <w:rPr>
          <w:rFonts w:hint="eastAsia" w:ascii="仿宋_GB2312" w:hAnsi="Times New Roman" w:eastAsia="仿宋_GB2312" w:cs="Times New Roman"/>
          <w:kern w:val="2"/>
          <w:sz w:val="32"/>
          <w:szCs w:val="32"/>
          <w:highlight w:val="none"/>
          <w:lang w:val="en-US" w:eastAsia="zh-CN" w:bidi="ar-SA"/>
        </w:rPr>
        <w:t>1</w:t>
      </w:r>
      <w:r>
        <w:rPr>
          <w:rFonts w:hint="eastAsia" w:ascii="仿宋_GB2312" w:hAnsi="Times New Roman" w:eastAsia="仿宋_GB2312" w:cs="Times New Roman"/>
          <w:kern w:val="2"/>
          <w:sz w:val="32"/>
          <w:szCs w:val="32"/>
          <w:highlight w:val="none"/>
          <w:lang w:val="zh-CN" w:eastAsia="zh-CN" w:bidi="ar-SA"/>
        </w:rPr>
        <w:t>%；政府性基金预算财政拨款收入11,518.68万元，占63.</w:t>
      </w:r>
      <w:r>
        <w:rPr>
          <w:rFonts w:hint="eastAsia" w:ascii="仿宋_GB2312" w:hAnsi="Times New Roman" w:eastAsia="仿宋_GB2312" w:cs="Times New Roman"/>
          <w:kern w:val="2"/>
          <w:sz w:val="32"/>
          <w:szCs w:val="32"/>
          <w:highlight w:val="none"/>
          <w:lang w:val="en-US" w:eastAsia="zh-CN" w:bidi="ar-SA"/>
        </w:rPr>
        <w:t>19</w:t>
      </w:r>
      <w:r>
        <w:rPr>
          <w:rFonts w:hint="eastAsia" w:ascii="仿宋_GB2312" w:hAnsi="Times New Roman" w:eastAsia="仿宋_GB2312" w:cs="Times New Roman"/>
          <w:kern w:val="2"/>
          <w:sz w:val="32"/>
          <w:szCs w:val="32"/>
          <w:highlight w:val="none"/>
          <w:lang w:val="zh-CN" w:eastAsia="zh-CN" w:bidi="ar-SA"/>
        </w:rPr>
        <w:t>%；国有资本经营预算财政拨款收入0万元，占0%；上级补助收入0万元，占0%；事业收入0万元，占0%；经营收入0万元，占0%；附属单位上缴收入0万元，占0%；其他收入0万元，占0%。</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（图2：收入决算结构图）（饼状图）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_GB2312" w:eastAsia="仿宋_GB2312"/>
          <w:sz w:val="32"/>
          <w:szCs w:val="32"/>
          <w:highlight w:val="none"/>
        </w:rPr>
      </w:pPr>
      <w:r>
        <w:rPr>
          <w:rFonts w:hint="eastAsia" w:ascii="仿宋_GB2312" w:eastAsia="仿宋_GB2312"/>
          <w:sz w:val="32"/>
          <w:szCs w:val="32"/>
          <w:highlight w:val="none"/>
          <w:lang w:eastAsia="zh-CN"/>
        </w:rPr>
        <w:drawing>
          <wp:inline distT="0" distB="0" distL="114300" distR="114300">
            <wp:extent cx="4908550" cy="2998470"/>
            <wp:effectExtent l="0" t="0" r="6350" b="11430"/>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9"/>
                    <a:stretch>
                      <a:fillRect/>
                    </a:stretch>
                  </pic:blipFill>
                  <pic:spPr>
                    <a:xfrm>
                      <a:off x="0" y="0"/>
                      <a:ext cx="4908550" cy="2998470"/>
                    </a:xfrm>
                    <a:prstGeom prst="rect">
                      <a:avLst/>
                    </a:prstGeom>
                  </pic:spPr>
                </pic:pic>
              </a:graphicData>
            </a:graphic>
          </wp:inline>
        </w:drawing>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1" w:leftChars="0"/>
        <w:textAlignment w:val="auto"/>
        <w:outlineLvl w:val="1"/>
        <w:rPr>
          <w:rFonts w:hint="eastAsia" w:ascii="黑体" w:hAnsi="黑体" w:eastAsia="黑体"/>
          <w:sz w:val="32"/>
          <w:szCs w:val="32"/>
          <w:highlight w:val="none"/>
        </w:rPr>
      </w:pPr>
      <w:bookmarkStart w:id="50" w:name="_Toc5615_WPSOffice_Level2"/>
      <w:bookmarkStart w:id="51" w:name="_Toc15396605"/>
      <w:bookmarkStart w:id="52" w:name="_Toc15377207"/>
      <w:r>
        <w:rPr>
          <w:rFonts w:hint="eastAsia" w:ascii="黑体" w:hAnsi="黑体" w:eastAsia="黑体"/>
          <w:sz w:val="32"/>
          <w:szCs w:val="32"/>
          <w:highlight w:val="none"/>
          <w:lang w:eastAsia="zh-CN"/>
        </w:rPr>
        <w:t>三、</w:t>
      </w:r>
      <w:r>
        <w:rPr>
          <w:rFonts w:hint="eastAsia" w:ascii="黑体" w:hAnsi="黑体" w:eastAsia="黑体"/>
          <w:sz w:val="32"/>
          <w:szCs w:val="32"/>
          <w:highlight w:val="none"/>
        </w:rPr>
        <w:t>支出决算情况说明</w:t>
      </w:r>
      <w:bookmarkEnd w:id="50"/>
      <w:bookmarkEnd w:id="51"/>
      <w:bookmarkEnd w:id="52"/>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2022年本年支出合计18,235.1</w:t>
      </w:r>
      <w:r>
        <w:rPr>
          <w:rFonts w:hint="eastAsia" w:ascii="仿宋_GB2312" w:hAnsi="Times New Roman" w:eastAsia="仿宋_GB2312" w:cs="Times New Roman"/>
          <w:kern w:val="2"/>
          <w:sz w:val="32"/>
          <w:szCs w:val="32"/>
          <w:highlight w:val="none"/>
          <w:lang w:val="en-US" w:eastAsia="zh-CN" w:bidi="ar-SA"/>
        </w:rPr>
        <w:t>2</w:t>
      </w:r>
      <w:r>
        <w:rPr>
          <w:rFonts w:hint="eastAsia" w:ascii="仿宋_GB2312" w:hAnsi="Times New Roman" w:eastAsia="仿宋_GB2312" w:cs="Times New Roman"/>
          <w:kern w:val="2"/>
          <w:sz w:val="32"/>
          <w:szCs w:val="32"/>
          <w:highlight w:val="none"/>
          <w:lang w:val="zh-CN" w:eastAsia="zh-CN" w:bidi="ar-SA"/>
        </w:rPr>
        <w:t>万元，其中：基本支出6,613.0</w:t>
      </w:r>
      <w:r>
        <w:rPr>
          <w:rFonts w:hint="eastAsia" w:ascii="仿宋_GB2312" w:hAnsi="Times New Roman" w:eastAsia="仿宋_GB2312" w:cs="Times New Roman"/>
          <w:kern w:val="2"/>
          <w:sz w:val="32"/>
          <w:szCs w:val="32"/>
          <w:highlight w:val="none"/>
          <w:lang w:val="en-US" w:eastAsia="zh-CN" w:bidi="ar-SA"/>
        </w:rPr>
        <w:t>3</w:t>
      </w:r>
      <w:r>
        <w:rPr>
          <w:rFonts w:hint="eastAsia" w:ascii="仿宋_GB2312" w:hAnsi="Times New Roman" w:eastAsia="仿宋_GB2312" w:cs="Times New Roman"/>
          <w:kern w:val="2"/>
          <w:sz w:val="32"/>
          <w:szCs w:val="32"/>
          <w:highlight w:val="none"/>
          <w:lang w:val="zh-CN" w:eastAsia="zh-CN" w:bidi="ar-SA"/>
        </w:rPr>
        <w:t>万元，占36.</w:t>
      </w:r>
      <w:r>
        <w:rPr>
          <w:rFonts w:hint="eastAsia" w:ascii="仿宋_GB2312" w:hAnsi="Times New Roman" w:eastAsia="仿宋_GB2312" w:cs="Times New Roman"/>
          <w:kern w:val="2"/>
          <w:sz w:val="32"/>
          <w:szCs w:val="32"/>
          <w:highlight w:val="none"/>
          <w:lang w:val="en-US" w:eastAsia="zh-CN" w:bidi="ar-SA"/>
        </w:rPr>
        <w:t>27</w:t>
      </w:r>
      <w:r>
        <w:rPr>
          <w:rFonts w:hint="eastAsia" w:ascii="仿宋_GB2312" w:hAnsi="Times New Roman" w:eastAsia="仿宋_GB2312" w:cs="Times New Roman"/>
          <w:kern w:val="2"/>
          <w:sz w:val="32"/>
          <w:szCs w:val="32"/>
          <w:highlight w:val="none"/>
          <w:lang w:val="zh-CN" w:eastAsia="zh-CN" w:bidi="ar-SA"/>
        </w:rPr>
        <w:t>%；项目支出11,622.09万元，占63.7</w:t>
      </w:r>
      <w:r>
        <w:rPr>
          <w:rFonts w:hint="eastAsia" w:ascii="仿宋_GB2312" w:hAnsi="Times New Roman" w:eastAsia="仿宋_GB2312" w:cs="Times New Roman"/>
          <w:kern w:val="2"/>
          <w:sz w:val="32"/>
          <w:szCs w:val="32"/>
          <w:highlight w:val="none"/>
          <w:lang w:val="en-US" w:eastAsia="zh-CN" w:bidi="ar-SA"/>
        </w:rPr>
        <w:t>3</w:t>
      </w:r>
      <w:r>
        <w:rPr>
          <w:rFonts w:hint="eastAsia" w:ascii="仿宋_GB2312" w:hAnsi="Times New Roman" w:eastAsia="仿宋_GB2312" w:cs="Times New Roman"/>
          <w:kern w:val="2"/>
          <w:sz w:val="32"/>
          <w:szCs w:val="32"/>
          <w:highlight w:val="none"/>
          <w:lang w:val="zh-CN" w:eastAsia="zh-CN" w:bidi="ar-SA"/>
        </w:rPr>
        <w:t>%；上缴上级支出0万元，占0%；经营支出0万元，占0%；对附属单位补助支出0万元，占0%。</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highlight w:val="none"/>
        </w:rPr>
      </w:pPr>
      <w:r>
        <w:rPr>
          <w:rFonts w:hint="eastAsia" w:ascii="仿宋_GB2312" w:eastAsia="仿宋_GB2312"/>
          <w:sz w:val="32"/>
          <w:szCs w:val="32"/>
          <w:highlight w:val="none"/>
          <w:lang w:eastAsia="zh-CN"/>
        </w:rPr>
        <w:drawing>
          <wp:inline distT="0" distB="0" distL="114300" distR="114300">
            <wp:extent cx="4968240" cy="2898775"/>
            <wp:effectExtent l="0" t="0" r="3810" b="15875"/>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10"/>
                    <a:stretch>
                      <a:fillRect/>
                    </a:stretch>
                  </pic:blipFill>
                  <pic:spPr>
                    <a:xfrm>
                      <a:off x="0" y="0"/>
                      <a:ext cx="4968240" cy="2898775"/>
                    </a:xfrm>
                    <a:prstGeom prst="rect">
                      <a:avLst/>
                    </a:prstGeom>
                  </pic:spPr>
                </pic:pic>
              </a:graphicData>
            </a:graphic>
          </wp:inline>
        </w:drawing>
      </w:r>
    </w:p>
    <w:p>
      <w:pPr>
        <w:spacing w:line="600" w:lineRule="exact"/>
        <w:ind w:firstLine="640" w:firstLineChars="200"/>
        <w:outlineLvl w:val="1"/>
        <w:rPr>
          <w:rFonts w:hint="eastAsia" w:ascii="黑体" w:hAnsi="黑体" w:eastAsia="黑体" w:cs="Times New Roman"/>
          <w:kern w:val="2"/>
          <w:sz w:val="32"/>
          <w:szCs w:val="32"/>
          <w:highlight w:val="none"/>
          <w:lang w:val="en-US" w:eastAsia="zh-CN" w:bidi="ar-SA"/>
        </w:rPr>
      </w:pPr>
      <w:bookmarkStart w:id="53" w:name="_Toc24943_WPSOffice_Level2"/>
      <w:bookmarkStart w:id="54" w:name="_Toc15396606"/>
      <w:bookmarkStart w:id="55" w:name="_Toc15377208"/>
      <w:r>
        <w:rPr>
          <w:rFonts w:hint="eastAsia" w:ascii="黑体" w:hAnsi="黑体" w:eastAsia="黑体" w:cs="Times New Roman"/>
          <w:kern w:val="2"/>
          <w:sz w:val="32"/>
          <w:szCs w:val="32"/>
          <w:highlight w:val="none"/>
          <w:lang w:val="en-US" w:eastAsia="zh-CN" w:bidi="ar-SA"/>
        </w:rPr>
        <w:t>四、财政拨款收入支出决算总体情况说明</w:t>
      </w:r>
      <w:bookmarkEnd w:id="53"/>
      <w:bookmarkEnd w:id="54"/>
      <w:bookmarkEnd w:id="55"/>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2022年财政拨款收、支总计51,281.82万元。与2021年相比，财政拨款收、支总计各增加49,401.67万元，增长2,627.5</w:t>
      </w:r>
      <w:r>
        <w:rPr>
          <w:rFonts w:hint="eastAsia" w:ascii="仿宋_GB2312" w:hAnsi="Times New Roman" w:eastAsia="仿宋_GB2312" w:cs="Times New Roman"/>
          <w:kern w:val="2"/>
          <w:sz w:val="32"/>
          <w:szCs w:val="32"/>
          <w:highlight w:val="none"/>
          <w:lang w:val="en-US" w:eastAsia="zh-CN" w:bidi="ar-SA"/>
        </w:rPr>
        <w:t>4</w:t>
      </w:r>
      <w:r>
        <w:rPr>
          <w:rFonts w:hint="eastAsia" w:ascii="仿宋_GB2312" w:hAnsi="Times New Roman" w:eastAsia="仿宋_GB2312" w:cs="Times New Roman"/>
          <w:kern w:val="2"/>
          <w:sz w:val="32"/>
          <w:szCs w:val="32"/>
          <w:highlight w:val="none"/>
          <w:lang w:val="zh-CN" w:eastAsia="zh-CN" w:bidi="ar-SA"/>
        </w:rPr>
        <w:t>%。主要变动原因是</w:t>
      </w:r>
      <w:r>
        <w:rPr>
          <w:rFonts w:hint="eastAsia" w:cs="Times New Roman"/>
          <w:kern w:val="2"/>
          <w:sz w:val="32"/>
          <w:szCs w:val="32"/>
          <w:highlight w:val="none"/>
          <w:lang w:val="zh-CN" w:eastAsia="zh-CN" w:bidi="ar-SA"/>
        </w:rPr>
        <w:t>原</w:t>
      </w:r>
      <w:r>
        <w:rPr>
          <w:rFonts w:hint="eastAsia" w:ascii="仿宋_GB2312" w:hAnsi="Times New Roman" w:eastAsia="仿宋_GB2312" w:cs="Times New Roman"/>
          <w:kern w:val="2"/>
          <w:sz w:val="32"/>
          <w:szCs w:val="32"/>
          <w:highlight w:val="none"/>
          <w:lang w:val="en-US" w:eastAsia="zh-CN" w:bidi="ar-SA"/>
        </w:rPr>
        <w:t>环境卫生服务中心、</w:t>
      </w:r>
      <w:r>
        <w:rPr>
          <w:rFonts w:hint="eastAsia" w:cs="Times New Roman"/>
          <w:kern w:val="2"/>
          <w:sz w:val="32"/>
          <w:szCs w:val="32"/>
          <w:highlight w:val="none"/>
          <w:lang w:val="en-US" w:eastAsia="zh-CN" w:bidi="ar-SA"/>
        </w:rPr>
        <w:t>原</w:t>
      </w:r>
      <w:r>
        <w:rPr>
          <w:rFonts w:hint="eastAsia" w:ascii="仿宋_GB2312" w:hAnsi="Times New Roman" w:eastAsia="仿宋_GB2312" w:cs="Times New Roman"/>
          <w:kern w:val="2"/>
          <w:sz w:val="32"/>
          <w:szCs w:val="32"/>
          <w:highlight w:val="none"/>
          <w:lang w:val="en-US" w:eastAsia="zh-CN" w:bidi="ar-SA"/>
        </w:rPr>
        <w:t>城乡建设服务中心</w:t>
      </w:r>
      <w:r>
        <w:rPr>
          <w:rFonts w:hint="eastAsia" w:ascii="仿宋_GB2312" w:hAnsi="Times New Roman" w:eastAsia="仿宋_GB2312" w:cs="Times New Roman"/>
          <w:kern w:val="2"/>
          <w:sz w:val="32"/>
          <w:szCs w:val="32"/>
          <w:highlight w:val="none"/>
          <w:lang w:val="zh-CN" w:eastAsia="zh-CN" w:bidi="ar-SA"/>
        </w:rPr>
        <w:t>合并至城乡建设保障服务中心后导致2022年度财政拨款收入、支出增加。</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drawing>
          <wp:inline distT="0" distB="0" distL="114300" distR="114300">
            <wp:extent cx="5327650" cy="3274060"/>
            <wp:effectExtent l="0" t="0" r="6350" b="2540"/>
            <wp:docPr id="9" name="图片 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6"/>
                    <pic:cNvPicPr>
                      <a:picLocks noChangeAspect="1"/>
                    </pic:cNvPicPr>
                  </pic:nvPicPr>
                  <pic:blipFill>
                    <a:blip r:embed="rId11"/>
                    <a:stretch>
                      <a:fillRect/>
                    </a:stretch>
                  </pic:blipFill>
                  <pic:spPr>
                    <a:xfrm>
                      <a:off x="0" y="0"/>
                      <a:ext cx="5327650" cy="32740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5"/>
          <w:rFonts w:ascii="黑体" w:hAnsi="黑体" w:eastAsia="黑体"/>
          <w:b w:val="0"/>
          <w:highlight w:val="none"/>
        </w:rPr>
      </w:pPr>
      <w:bookmarkStart w:id="56" w:name="_Toc6208_WPSOffice_Level2"/>
      <w:bookmarkStart w:id="57" w:name="_Toc15396607"/>
      <w:bookmarkStart w:id="58" w:name="_Toc15377209"/>
      <w:r>
        <w:rPr>
          <w:rFonts w:hint="eastAsia" w:ascii="黑体" w:hAnsi="黑体" w:eastAsia="黑体"/>
          <w:sz w:val="32"/>
          <w:szCs w:val="32"/>
          <w:highlight w:val="none"/>
        </w:rPr>
        <w:t>五、</w:t>
      </w:r>
      <w:r>
        <w:rPr>
          <w:rFonts w:hint="eastAsia" w:ascii="黑体" w:hAnsi="黑体" w:eastAsia="黑体"/>
          <w:b/>
          <w:sz w:val="32"/>
          <w:szCs w:val="32"/>
          <w:highlight w:val="none"/>
        </w:rPr>
        <w:t>一</w:t>
      </w:r>
      <w:r>
        <w:rPr>
          <w:rStyle w:val="25"/>
          <w:rFonts w:hint="eastAsia" w:ascii="黑体" w:hAnsi="黑体" w:eastAsia="黑体"/>
          <w:b w:val="0"/>
          <w:highlight w:val="none"/>
        </w:rPr>
        <w:t>般公共预算财政拨款支出决算情况说明</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sz w:val="32"/>
          <w:szCs w:val="32"/>
          <w:highlight w:val="none"/>
        </w:rPr>
      </w:pPr>
      <w:bookmarkStart w:id="59" w:name="_Toc15377210"/>
      <w:r>
        <w:rPr>
          <w:rFonts w:hint="eastAsia" w:ascii="仿宋" w:hAnsi="仿宋" w:eastAsia="仿宋"/>
          <w:b/>
          <w:sz w:val="32"/>
          <w:szCs w:val="32"/>
          <w:highlight w:val="none"/>
        </w:rPr>
        <w:t>（一）一般公共预算财政拨款支出决算总体情况</w:t>
      </w:r>
      <w:bookmarkEnd w:id="59"/>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2022年一般公共预算财政拨款支出6,716.4</w:t>
      </w:r>
      <w:r>
        <w:rPr>
          <w:rFonts w:hint="eastAsia" w:ascii="仿宋_GB2312" w:hAnsi="Times New Roman" w:eastAsia="仿宋_GB2312" w:cs="Times New Roman"/>
          <w:kern w:val="2"/>
          <w:sz w:val="32"/>
          <w:szCs w:val="32"/>
          <w:highlight w:val="none"/>
          <w:lang w:val="en-US" w:eastAsia="zh-CN" w:bidi="ar-SA"/>
        </w:rPr>
        <w:t>4</w:t>
      </w:r>
      <w:r>
        <w:rPr>
          <w:rFonts w:hint="eastAsia" w:ascii="仿宋_GB2312" w:hAnsi="Times New Roman" w:eastAsia="仿宋_GB2312" w:cs="Times New Roman"/>
          <w:kern w:val="2"/>
          <w:sz w:val="32"/>
          <w:szCs w:val="32"/>
          <w:highlight w:val="none"/>
          <w:lang w:val="zh-CN" w:eastAsia="zh-CN" w:bidi="ar-SA"/>
        </w:rPr>
        <w:t>万元，占本年支出合计的36.8</w:t>
      </w:r>
      <w:r>
        <w:rPr>
          <w:rFonts w:hint="eastAsia" w:ascii="仿宋_GB2312" w:hAnsi="Times New Roman" w:eastAsia="仿宋_GB2312" w:cs="Times New Roman"/>
          <w:kern w:val="2"/>
          <w:sz w:val="32"/>
          <w:szCs w:val="32"/>
          <w:highlight w:val="none"/>
          <w:lang w:val="en-US" w:eastAsia="zh-CN" w:bidi="ar-SA"/>
        </w:rPr>
        <w:t>3</w:t>
      </w:r>
      <w:r>
        <w:rPr>
          <w:rFonts w:hint="eastAsia" w:ascii="仿宋_GB2312" w:hAnsi="Times New Roman" w:eastAsia="仿宋_GB2312" w:cs="Times New Roman"/>
          <w:kern w:val="2"/>
          <w:sz w:val="32"/>
          <w:szCs w:val="32"/>
          <w:highlight w:val="none"/>
          <w:lang w:val="zh-CN" w:eastAsia="zh-CN" w:bidi="ar-SA"/>
        </w:rPr>
        <w:t>%。与2021年相比，一般公共预算财政拨款支出增加6,115.35万元，增长1,017.</w:t>
      </w:r>
      <w:r>
        <w:rPr>
          <w:rFonts w:hint="eastAsia" w:ascii="仿宋_GB2312" w:hAnsi="Times New Roman" w:eastAsia="仿宋_GB2312" w:cs="Times New Roman"/>
          <w:kern w:val="2"/>
          <w:sz w:val="32"/>
          <w:szCs w:val="32"/>
          <w:highlight w:val="none"/>
          <w:lang w:val="en-US" w:eastAsia="zh-CN" w:bidi="ar-SA"/>
        </w:rPr>
        <w:t>38</w:t>
      </w:r>
      <w:r>
        <w:rPr>
          <w:rFonts w:hint="eastAsia" w:ascii="仿宋_GB2312" w:hAnsi="Times New Roman" w:eastAsia="仿宋_GB2312" w:cs="Times New Roman"/>
          <w:kern w:val="2"/>
          <w:sz w:val="32"/>
          <w:szCs w:val="32"/>
          <w:highlight w:val="none"/>
          <w:lang w:val="zh-CN" w:eastAsia="zh-CN" w:bidi="ar-SA"/>
        </w:rPr>
        <w:t>%。主要变动原因是</w:t>
      </w:r>
      <w:r>
        <w:rPr>
          <w:rFonts w:hint="eastAsia" w:cs="Times New Roman"/>
          <w:kern w:val="2"/>
          <w:sz w:val="32"/>
          <w:szCs w:val="32"/>
          <w:highlight w:val="none"/>
          <w:lang w:val="zh-CN" w:eastAsia="zh-CN" w:bidi="ar-SA"/>
        </w:rPr>
        <w:t>原</w:t>
      </w:r>
      <w:r>
        <w:rPr>
          <w:rFonts w:hint="eastAsia" w:ascii="仿宋_GB2312" w:hAnsi="Times New Roman" w:eastAsia="仿宋_GB2312" w:cs="Times New Roman"/>
          <w:kern w:val="2"/>
          <w:sz w:val="32"/>
          <w:szCs w:val="32"/>
          <w:highlight w:val="none"/>
          <w:lang w:val="en-US" w:eastAsia="zh-CN" w:bidi="ar-SA"/>
        </w:rPr>
        <w:t>环境卫生服务中心、</w:t>
      </w:r>
      <w:r>
        <w:rPr>
          <w:rFonts w:hint="eastAsia" w:cs="Times New Roman"/>
          <w:kern w:val="2"/>
          <w:sz w:val="32"/>
          <w:szCs w:val="32"/>
          <w:highlight w:val="none"/>
          <w:lang w:val="en-US" w:eastAsia="zh-CN" w:bidi="ar-SA"/>
        </w:rPr>
        <w:t>原</w:t>
      </w:r>
      <w:r>
        <w:rPr>
          <w:rFonts w:hint="eastAsia" w:ascii="仿宋_GB2312" w:hAnsi="Times New Roman" w:eastAsia="仿宋_GB2312" w:cs="Times New Roman"/>
          <w:kern w:val="2"/>
          <w:sz w:val="32"/>
          <w:szCs w:val="32"/>
          <w:highlight w:val="none"/>
          <w:lang w:val="en-US" w:eastAsia="zh-CN" w:bidi="ar-SA"/>
        </w:rPr>
        <w:t>城乡建设服务中心合并至城乡建设保障服务中心后导致</w:t>
      </w:r>
      <w:r>
        <w:rPr>
          <w:rFonts w:hint="eastAsia" w:ascii="仿宋_GB2312" w:hAnsi="Times New Roman" w:eastAsia="仿宋_GB2312" w:cs="Times New Roman"/>
          <w:kern w:val="2"/>
          <w:sz w:val="32"/>
          <w:szCs w:val="32"/>
          <w:highlight w:val="none"/>
          <w:lang w:val="zh-CN" w:eastAsia="zh-CN" w:bidi="ar-SA"/>
        </w:rPr>
        <w:t>202</w:t>
      </w:r>
      <w:r>
        <w:rPr>
          <w:rFonts w:hint="eastAsia" w:ascii="仿宋_GB2312" w:hAnsi="Times New Roman" w:eastAsia="仿宋_GB2312" w:cs="Times New Roman"/>
          <w:kern w:val="2"/>
          <w:sz w:val="32"/>
          <w:szCs w:val="32"/>
          <w:highlight w:val="none"/>
          <w:lang w:val="en-US" w:eastAsia="zh-CN" w:bidi="ar-SA"/>
        </w:rPr>
        <w:t>2</w:t>
      </w:r>
      <w:r>
        <w:rPr>
          <w:rFonts w:hint="eastAsia" w:ascii="仿宋_GB2312" w:hAnsi="Times New Roman" w:eastAsia="仿宋_GB2312" w:cs="Times New Roman"/>
          <w:kern w:val="2"/>
          <w:sz w:val="32"/>
          <w:szCs w:val="32"/>
          <w:highlight w:val="none"/>
          <w:lang w:val="zh-CN" w:eastAsia="zh-CN" w:bidi="ar-SA"/>
        </w:rPr>
        <w:t>年度一般公共预算财政拨款支出</w:t>
      </w:r>
      <w:r>
        <w:rPr>
          <w:rFonts w:hint="eastAsia" w:ascii="仿宋_GB2312" w:hAnsi="Times New Roman" w:eastAsia="仿宋_GB2312" w:cs="Times New Roman"/>
          <w:kern w:val="2"/>
          <w:sz w:val="32"/>
          <w:szCs w:val="32"/>
          <w:highlight w:val="none"/>
          <w:lang w:val="en-US" w:eastAsia="zh-CN" w:bidi="ar-SA"/>
        </w:rPr>
        <w:t>增加。</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highlight w:val="none"/>
        </w:rPr>
      </w:pPr>
      <w:r>
        <w:rPr>
          <w:rFonts w:hint="eastAsia" w:ascii="仿宋" w:hAnsi="仿宋" w:eastAsia="仿宋"/>
          <w:sz w:val="32"/>
          <w:szCs w:val="32"/>
          <w:highlight w:val="none"/>
          <w:lang w:eastAsia="zh-CN"/>
        </w:rPr>
        <w:drawing>
          <wp:inline distT="0" distB="0" distL="114300" distR="114300">
            <wp:extent cx="5367020" cy="3553460"/>
            <wp:effectExtent l="0" t="0" r="5080" b="8890"/>
            <wp:docPr id="11" name="图片 11"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8"/>
                    <pic:cNvPicPr>
                      <a:picLocks noChangeAspect="1"/>
                    </pic:cNvPicPr>
                  </pic:nvPicPr>
                  <pic:blipFill>
                    <a:blip r:embed="rId12"/>
                    <a:stretch>
                      <a:fillRect/>
                    </a:stretch>
                  </pic:blipFill>
                  <pic:spPr>
                    <a:xfrm>
                      <a:off x="0" y="0"/>
                      <a:ext cx="5367020" cy="35534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b/>
          <w:sz w:val="32"/>
          <w:szCs w:val="32"/>
          <w:highlight w:val="none"/>
        </w:rPr>
      </w:pPr>
      <w:bookmarkStart w:id="60" w:name="_Toc15377211"/>
      <w:r>
        <w:rPr>
          <w:rFonts w:hint="eastAsia" w:ascii="仿宋" w:hAnsi="仿宋" w:eastAsia="仿宋"/>
          <w:b/>
          <w:sz w:val="32"/>
          <w:szCs w:val="32"/>
          <w:highlight w:val="none"/>
        </w:rPr>
        <w:t>（二）一般公共预算财政拨款支出决算结构情况</w:t>
      </w:r>
      <w:bookmarkEnd w:id="60"/>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2022年一般公共预算财政拨款支出6,716.44万元，主要用于以下方面: 一般公共服务支出0万元，占0%；外交支出0万元，占0%；国防支出3.41万元，占0.</w:t>
      </w:r>
      <w:r>
        <w:rPr>
          <w:rFonts w:hint="eastAsia" w:ascii="仿宋_GB2312" w:hAnsi="Times New Roman" w:eastAsia="仿宋_GB2312" w:cs="Times New Roman"/>
          <w:kern w:val="2"/>
          <w:sz w:val="32"/>
          <w:szCs w:val="32"/>
          <w:highlight w:val="none"/>
          <w:lang w:val="en-US" w:eastAsia="zh-CN" w:bidi="ar-SA"/>
        </w:rPr>
        <w:t>05</w:t>
      </w:r>
      <w:r>
        <w:rPr>
          <w:rFonts w:hint="eastAsia" w:ascii="仿宋_GB2312" w:hAnsi="Times New Roman" w:eastAsia="仿宋_GB2312" w:cs="Times New Roman"/>
          <w:kern w:val="2"/>
          <w:sz w:val="32"/>
          <w:szCs w:val="32"/>
          <w:highlight w:val="none"/>
          <w:lang w:val="zh-CN" w:eastAsia="zh-CN" w:bidi="ar-SA"/>
        </w:rPr>
        <w:t>%；公共安全支出0万元，占0%；教育支出0万元，占0%；科学技术支出0万元，占0%；文化体育与传媒支出0万元，占0%；社会保障和就业支出134.46万元，占2</w:t>
      </w:r>
      <w:r>
        <w:rPr>
          <w:rFonts w:hint="eastAsia" w:ascii="仿宋_GB2312" w:hAnsi="Times New Roman" w:eastAsia="仿宋_GB2312" w:cs="Times New Roman"/>
          <w:kern w:val="2"/>
          <w:sz w:val="32"/>
          <w:szCs w:val="32"/>
          <w:highlight w:val="none"/>
          <w:lang w:val="en-US" w:eastAsia="zh-CN" w:bidi="ar-SA"/>
        </w:rPr>
        <w:t>.00</w:t>
      </w:r>
      <w:r>
        <w:rPr>
          <w:rFonts w:hint="eastAsia" w:ascii="仿宋_GB2312" w:hAnsi="Times New Roman" w:eastAsia="仿宋_GB2312" w:cs="Times New Roman"/>
          <w:kern w:val="2"/>
          <w:sz w:val="32"/>
          <w:szCs w:val="32"/>
          <w:highlight w:val="none"/>
          <w:lang w:val="zh-CN" w:eastAsia="zh-CN" w:bidi="ar-SA"/>
        </w:rPr>
        <w:t>%；卫生健康支出30.91万元，占0.</w:t>
      </w:r>
      <w:r>
        <w:rPr>
          <w:rFonts w:hint="eastAsia" w:ascii="仿宋_GB2312" w:hAnsi="Times New Roman" w:eastAsia="仿宋_GB2312" w:cs="Times New Roman"/>
          <w:kern w:val="2"/>
          <w:sz w:val="32"/>
          <w:szCs w:val="32"/>
          <w:highlight w:val="none"/>
          <w:lang w:val="en-US" w:eastAsia="zh-CN" w:bidi="ar-SA"/>
        </w:rPr>
        <w:t>46</w:t>
      </w:r>
      <w:r>
        <w:rPr>
          <w:rFonts w:hint="eastAsia" w:ascii="仿宋_GB2312" w:hAnsi="Times New Roman" w:eastAsia="仿宋_GB2312" w:cs="Times New Roman"/>
          <w:kern w:val="2"/>
          <w:sz w:val="32"/>
          <w:szCs w:val="32"/>
          <w:highlight w:val="none"/>
          <w:lang w:val="zh-CN" w:eastAsia="zh-CN" w:bidi="ar-SA"/>
        </w:rPr>
        <w:t>%；节能环保支出0万元，占0%；城乡社区支出6,454.55万元，占96.1</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农林水支出0万元，占0%；交通运输支出0万元，占0%；资源勘探工业信息等支出0万元，占0%；商业服务业等支出0万元，占0%；金融支出0万元，占0%；援助其他地区支出0万元，占0%；自然资源海洋气象等支出0万元，占0%</w:t>
      </w:r>
      <w:r>
        <w:rPr>
          <w:rFonts w:hint="eastAsia" w:cs="Times New Roman"/>
          <w:kern w:val="2"/>
          <w:sz w:val="32"/>
          <w:szCs w:val="32"/>
          <w:highlight w:val="none"/>
          <w:lang w:val="zh-CN" w:eastAsia="zh-CN" w:bidi="ar-SA"/>
        </w:rPr>
        <w:t>；</w:t>
      </w:r>
      <w:r>
        <w:rPr>
          <w:rFonts w:hint="eastAsia" w:ascii="仿宋_GB2312" w:hAnsi="Times New Roman" w:eastAsia="仿宋_GB2312" w:cs="Times New Roman"/>
          <w:kern w:val="2"/>
          <w:sz w:val="32"/>
          <w:szCs w:val="32"/>
          <w:highlight w:val="none"/>
          <w:lang w:val="zh-CN" w:eastAsia="zh-CN" w:bidi="ar-SA"/>
        </w:rPr>
        <w:t>住房保障支出93.11万元，占1.</w:t>
      </w:r>
      <w:r>
        <w:rPr>
          <w:rFonts w:hint="eastAsia" w:ascii="仿宋_GB2312" w:hAnsi="Times New Roman" w:eastAsia="仿宋_GB2312" w:cs="Times New Roman"/>
          <w:kern w:val="2"/>
          <w:sz w:val="32"/>
          <w:szCs w:val="32"/>
          <w:highlight w:val="none"/>
          <w:lang w:val="en-US" w:eastAsia="zh-CN" w:bidi="ar-SA"/>
        </w:rPr>
        <w:t>39</w:t>
      </w:r>
      <w:r>
        <w:rPr>
          <w:rFonts w:hint="eastAsia" w:ascii="仿宋_GB2312" w:hAnsi="Times New Roman" w:eastAsia="仿宋_GB2312" w:cs="Times New Roman"/>
          <w:kern w:val="2"/>
          <w:sz w:val="32"/>
          <w:szCs w:val="32"/>
          <w:highlight w:val="none"/>
          <w:lang w:val="zh-CN" w:eastAsia="zh-CN" w:bidi="ar-SA"/>
        </w:rPr>
        <w:t>%；粮油物资储备支出0万元，占0%；国有资本经营预算支出0万元，占0%；灾害防治及应急管理支出0万元，占0%；其他支出0万元，占0%；债务还本支出0万元，占0%；债务付息支出0万元，占0%；抗疫特别国债安排的支出0万元，占0%。</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highlight w:val="none"/>
        </w:rPr>
      </w:pPr>
      <w:r>
        <w:rPr>
          <w:rFonts w:hint="eastAsia" w:ascii="仿宋" w:hAnsi="仿宋" w:eastAsia="仿宋"/>
          <w:sz w:val="32"/>
          <w:szCs w:val="32"/>
          <w:highlight w:val="none"/>
          <w:lang w:eastAsia="zh-CN"/>
        </w:rPr>
        <w:drawing>
          <wp:inline distT="0" distB="0" distL="114300" distR="114300">
            <wp:extent cx="5171440" cy="3095625"/>
            <wp:effectExtent l="0" t="0" r="10160" b="9525"/>
            <wp:docPr id="15" name="图片 15" descr="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2"/>
                    <pic:cNvPicPr>
                      <a:picLocks noChangeAspect="1"/>
                    </pic:cNvPicPr>
                  </pic:nvPicPr>
                  <pic:blipFill>
                    <a:blip r:embed="rId13"/>
                    <a:stretch>
                      <a:fillRect/>
                    </a:stretch>
                  </pic:blipFill>
                  <pic:spPr>
                    <a:xfrm>
                      <a:off x="0" y="0"/>
                      <a:ext cx="5171440" cy="30956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b/>
          <w:sz w:val="32"/>
          <w:szCs w:val="32"/>
          <w:highlight w:val="none"/>
        </w:rPr>
      </w:pPr>
      <w:bookmarkStart w:id="61" w:name="_Toc15377212"/>
      <w:r>
        <w:rPr>
          <w:rFonts w:hint="eastAsia" w:ascii="仿宋" w:hAnsi="仿宋" w:eastAsia="仿宋"/>
          <w:b/>
          <w:sz w:val="32"/>
          <w:szCs w:val="32"/>
          <w:highlight w:val="none"/>
        </w:rPr>
        <w:t>（三）一般公共预算财政拨款支出决算具体情况</w:t>
      </w:r>
      <w:bookmarkEnd w:id="61"/>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bookmarkStart w:id="62" w:name="_Toc15378460"/>
      <w:bookmarkStart w:id="63" w:name="_Toc15377444"/>
      <w:bookmarkStart w:id="64" w:name="_Toc15377213"/>
      <w:r>
        <w:rPr>
          <w:rFonts w:hint="eastAsia" w:ascii="仿宋_GB2312" w:hAnsi="Times New Roman" w:eastAsia="仿宋_GB2312" w:cs="Times New Roman"/>
          <w:kern w:val="2"/>
          <w:sz w:val="32"/>
          <w:szCs w:val="32"/>
          <w:highlight w:val="none"/>
          <w:lang w:val="en-US" w:eastAsia="zh-CN" w:bidi="ar-SA"/>
        </w:rPr>
        <w:t>2022年一般公共预算支出决算数为</w:t>
      </w:r>
      <w:r>
        <w:rPr>
          <w:rFonts w:hint="eastAsia" w:ascii="仿宋_GB2312" w:hAnsi="Times New Roman" w:eastAsia="仿宋_GB2312" w:cs="Times New Roman"/>
          <w:kern w:val="2"/>
          <w:sz w:val="32"/>
          <w:szCs w:val="32"/>
          <w:highlight w:val="none"/>
          <w:lang w:val="zh-CN" w:eastAsia="zh-CN" w:bidi="ar-SA"/>
        </w:rPr>
        <w:t>6,716.4</w:t>
      </w:r>
      <w:r>
        <w:rPr>
          <w:rFonts w:hint="eastAsia" w:ascii="仿宋_GB2312" w:hAnsi="Times New Roman" w:eastAsia="仿宋_GB2312" w:cs="Times New Roman"/>
          <w:kern w:val="2"/>
          <w:sz w:val="32"/>
          <w:szCs w:val="32"/>
          <w:highlight w:val="none"/>
          <w:lang w:val="en-US" w:eastAsia="zh-CN" w:bidi="ar-SA"/>
        </w:rPr>
        <w:t>4万元，完成预算100</w:t>
      </w:r>
      <w:r>
        <w:rPr>
          <w:rFonts w:hint="eastAsia" w:ascii="仿宋_GB2312" w:hAnsi="Times New Roman" w:eastAsia="仿宋_GB2312" w:cs="Times New Roman"/>
          <w:kern w:val="2"/>
          <w:sz w:val="32"/>
          <w:szCs w:val="32"/>
          <w:highlight w:val="none"/>
          <w:lang w:val="zh-CN" w:eastAsia="zh-CN" w:bidi="ar-SA"/>
        </w:rPr>
        <w:t>%</w:t>
      </w:r>
      <w:r>
        <w:rPr>
          <w:rFonts w:hint="eastAsia" w:ascii="仿宋_GB2312" w:hAnsi="Times New Roman" w:eastAsia="仿宋_GB2312" w:cs="Times New Roman"/>
          <w:kern w:val="2"/>
          <w:sz w:val="32"/>
          <w:szCs w:val="32"/>
          <w:highlight w:val="none"/>
          <w:lang w:val="en-US" w:eastAsia="zh-CN" w:bidi="ar-SA"/>
        </w:rPr>
        <w:t>。其中：</w:t>
      </w:r>
      <w:bookmarkEnd w:id="62"/>
      <w:bookmarkEnd w:id="63"/>
      <w:bookmarkEnd w:id="64"/>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1.国防支出（类）国防动员（款）人民防空（项）: 支出决算为3.41万元，完成预算100%。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2.社会保障和就业支出（类）行政事业单位养老支出（款）机关事业单位基本养老保险缴费支出（项）: 支出决算为77.86万元，完成预算100%。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3.社会保障和就业支出（类）行政事业单位养老支出（款）机关事业单位职业年金缴费支出（项）: 支出决算为38.93万元，完成预算100%。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4.社会保障和就业支出（类）抚恤（款）死亡抚恤（项）: 支出决算为11.74万元，完成预算100%。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5.社会保障和就业支出（类）抚恤（款）其他优抚支出（项）: 支出决算为2.07万元，完成预算100%。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6.社会保障和就业支出（类）其他社会保障和就业支出（款）其他社会保障和就业支出（项）: 支出决算为3.86万元，完成预算100%。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7.卫生健康支出（类）行政事业单位医疗（款）事业单位医疗（项）: 支出决算为30.91万元，完成预算100%。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8.城乡社区支出（类）城乡社区公共设施（款）其他城乡社区公共设施支出（项）: 支出决算为100万元，完成预算100%。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9.城乡社区支出（类）城乡社区环境卫生（款）城乡社区环境卫生（项）: 支出决算为6,354.55万元，完成预算100%。</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10.住房保障支出（类）住房改革支出（款）住房公积金（项）: 支出决算为93.11万元，完成预算100%。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textAlignment w:val="auto"/>
        <w:outlineLvl w:val="1"/>
        <w:rPr>
          <w:rStyle w:val="25"/>
          <w:highlight w:val="none"/>
        </w:rPr>
      </w:pPr>
      <w:bookmarkStart w:id="65" w:name="_Toc15396608"/>
      <w:bookmarkStart w:id="66" w:name="_Toc15377214"/>
      <w:bookmarkStart w:id="67" w:name="_Toc29961_WPSOffice_Level2"/>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25"/>
          <w:rFonts w:hint="eastAsia" w:ascii="黑体" w:hAnsi="黑体" w:eastAsia="黑体"/>
          <w:b w:val="0"/>
          <w:highlight w:val="none"/>
        </w:rPr>
        <w:t>般公共预算财政拨款基本支出决算情况说明</w:t>
      </w:r>
      <w:bookmarkEnd w:id="65"/>
      <w:bookmarkEnd w:id="66"/>
      <w:bookmarkEnd w:id="67"/>
      <w:r>
        <w:rPr>
          <w:rStyle w:val="25"/>
          <w:rFonts w:ascii="黑体" w:hAnsi="黑体" w:eastAsia="黑体"/>
          <w:b w:val="0"/>
          <w:highlight w:val="none"/>
        </w:rPr>
        <w:tab/>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2022年一般公共预算财政拨款基本支出6,613.03万元，其中：</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人员经费2,879.17万元，主要包括：</w:t>
      </w:r>
      <w:r>
        <w:rPr>
          <w:rFonts w:hint="eastAsia" w:ascii="仿宋_GB2312" w:hAnsi="Times New Roman" w:eastAsia="仿宋_GB2312" w:cs="Times New Roman"/>
          <w:kern w:val="2"/>
          <w:sz w:val="32"/>
          <w:szCs w:val="32"/>
          <w:highlight w:val="none"/>
          <w:lang w:val="en-US" w:eastAsia="zh-CN" w:bidi="ar-SA"/>
        </w:rPr>
        <w:t>基本工资、津贴补贴、奖金、绩效工资、机关事业单位基本养老保险缴费、职业年金缴费、医疗费</w:t>
      </w:r>
      <w:r>
        <w:rPr>
          <w:rFonts w:hint="eastAsia"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其他社会保障缴费、其他工资福利支出、抚恤金、生活补助、医疗费</w:t>
      </w:r>
      <w:r>
        <w:rPr>
          <w:rFonts w:hint="eastAsia" w:cs="Times New Roman"/>
          <w:kern w:val="2"/>
          <w:sz w:val="32"/>
          <w:szCs w:val="32"/>
          <w:highlight w:val="none"/>
          <w:lang w:val="en-US" w:eastAsia="zh-CN" w:bidi="ar-SA"/>
        </w:rPr>
        <w:t>补助</w:t>
      </w:r>
      <w:r>
        <w:rPr>
          <w:rFonts w:hint="eastAsia" w:ascii="仿宋_GB2312" w:hAnsi="Times New Roman" w:eastAsia="仿宋_GB2312" w:cs="Times New Roman"/>
          <w:kern w:val="2"/>
          <w:sz w:val="32"/>
          <w:szCs w:val="32"/>
          <w:highlight w:val="none"/>
          <w:lang w:val="en-US" w:eastAsia="zh-CN" w:bidi="ar-SA"/>
        </w:rPr>
        <w:t>、奖励金、住房公积金、其他对个人和家庭的补助支出等</w:t>
      </w:r>
      <w:r>
        <w:rPr>
          <w:rFonts w:hint="eastAsia" w:ascii="仿宋_GB2312" w:hAnsi="Times New Roman" w:eastAsia="仿宋_GB2312" w:cs="Times New Roman"/>
          <w:kern w:val="2"/>
          <w:sz w:val="32"/>
          <w:szCs w:val="32"/>
          <w:highlight w:val="none"/>
          <w:lang w:val="zh-CN" w:eastAsia="zh-CN" w:bidi="ar-SA"/>
        </w:rPr>
        <w:t>。</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公用经费3,733.86万元，主要包括：</w:t>
      </w:r>
      <w:r>
        <w:rPr>
          <w:rFonts w:hint="eastAsia" w:ascii="仿宋_GB2312" w:hAnsi="Times New Roman" w:eastAsia="仿宋_GB2312" w:cs="Times New Roman"/>
          <w:kern w:val="2"/>
          <w:sz w:val="32"/>
          <w:szCs w:val="32"/>
          <w:highlight w:val="none"/>
          <w:lang w:val="en-US" w:eastAsia="zh-CN" w:bidi="ar-SA"/>
        </w:rPr>
        <w:t>办公费</w:t>
      </w:r>
      <w:r>
        <w:rPr>
          <w:rFonts w:hint="eastAsia" w:cs="Times New Roman"/>
          <w:kern w:val="2"/>
          <w:sz w:val="32"/>
          <w:szCs w:val="32"/>
          <w:highlight w:val="none"/>
          <w:lang w:val="en-US" w:eastAsia="zh-CN" w:bidi="ar-SA"/>
        </w:rPr>
        <w:t>、</w:t>
      </w:r>
      <w:r>
        <w:rPr>
          <w:rFonts w:hint="eastAsia" w:ascii="仿宋_GB2312" w:hAnsi="Times New Roman" w:eastAsia="仿宋_GB2312" w:cs="Times New Roman"/>
          <w:kern w:val="2"/>
          <w:sz w:val="32"/>
          <w:szCs w:val="32"/>
          <w:highlight w:val="none"/>
          <w:lang w:val="en-US" w:eastAsia="zh-CN" w:bidi="ar-SA"/>
        </w:rPr>
        <w:t>水费、电费、邮电费、物业管理费、差旅费、维修（护）费、租赁费、劳务费、委托业务费、工会经费、福利费、公务用车运行维护费、其他交通费</w:t>
      </w:r>
      <w:r>
        <w:rPr>
          <w:rFonts w:hint="eastAsia" w:cs="Times New Roman"/>
          <w:kern w:val="2"/>
          <w:sz w:val="32"/>
          <w:szCs w:val="32"/>
          <w:highlight w:val="none"/>
          <w:lang w:val="en-US" w:eastAsia="zh-CN" w:bidi="ar-SA"/>
        </w:rPr>
        <w:t>用</w:t>
      </w:r>
      <w:r>
        <w:rPr>
          <w:rFonts w:hint="eastAsia" w:ascii="仿宋_GB2312" w:hAnsi="Times New Roman" w:eastAsia="仿宋_GB2312" w:cs="Times New Roman"/>
          <w:kern w:val="2"/>
          <w:sz w:val="32"/>
          <w:szCs w:val="32"/>
          <w:highlight w:val="none"/>
          <w:lang w:val="en-US" w:eastAsia="zh-CN" w:bidi="ar-SA"/>
        </w:rPr>
        <w:t>、其他商品和服务支出、其他资本性支出等</w:t>
      </w:r>
      <w:r>
        <w:rPr>
          <w:rFonts w:hint="eastAsia" w:ascii="仿宋_GB2312" w:hAnsi="Times New Roman" w:eastAsia="仿宋_GB2312" w:cs="Times New Roman"/>
          <w:kern w:val="2"/>
          <w:sz w:val="32"/>
          <w:szCs w:val="32"/>
          <w:highlight w:val="none"/>
          <w:lang w:val="zh-CN" w:eastAsia="zh-CN" w:bidi="ar-SA"/>
        </w:rPr>
        <w:t>。</w:t>
      </w:r>
    </w:p>
    <w:p>
      <w:pPr>
        <w:spacing w:line="600" w:lineRule="exact"/>
        <w:ind w:firstLine="640"/>
        <w:outlineLvl w:val="1"/>
        <w:rPr>
          <w:rStyle w:val="25"/>
          <w:rFonts w:ascii="黑体" w:hAnsi="黑体" w:eastAsia="黑体"/>
          <w:b w:val="0"/>
          <w:highlight w:val="none"/>
        </w:rPr>
      </w:pPr>
      <w:bookmarkStart w:id="68" w:name="_Toc15396609"/>
      <w:bookmarkStart w:id="69" w:name="_Toc13166_WPSOffice_Level2"/>
      <w:bookmarkStart w:id="70" w:name="_Toc15377215"/>
      <w:r>
        <w:rPr>
          <w:rFonts w:hint="eastAsia" w:ascii="黑体" w:eastAsia="黑体"/>
          <w:sz w:val="32"/>
          <w:szCs w:val="32"/>
          <w:highlight w:val="none"/>
        </w:rPr>
        <w:t>七、</w:t>
      </w:r>
      <w:r>
        <w:rPr>
          <w:rStyle w:val="25"/>
          <w:rFonts w:hint="eastAsia" w:ascii="黑体" w:hAnsi="黑体" w:eastAsia="黑体"/>
          <w:b w:val="0"/>
          <w:highlight w:val="none"/>
        </w:rPr>
        <w:t>财政拨款</w:t>
      </w:r>
      <w:r>
        <w:rPr>
          <w:rStyle w:val="25"/>
          <w:rFonts w:hint="eastAsia" w:ascii="黑体" w:hAnsi="黑体" w:eastAsia="黑体"/>
          <w:highlight w:val="none"/>
        </w:rPr>
        <w:t>“</w:t>
      </w:r>
      <w:r>
        <w:rPr>
          <w:rStyle w:val="25"/>
          <w:rFonts w:hint="eastAsia" w:ascii="黑体" w:hAnsi="黑体" w:eastAsia="黑体"/>
          <w:b w:val="0"/>
          <w:highlight w:val="none"/>
        </w:rPr>
        <w:t>三公”经费支出决算情况说明</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b/>
          <w:sz w:val="32"/>
          <w:szCs w:val="32"/>
          <w:highlight w:val="none"/>
        </w:rPr>
      </w:pPr>
      <w:bookmarkStart w:id="71" w:name="_Toc15377216"/>
      <w:r>
        <w:rPr>
          <w:rFonts w:hint="eastAsia" w:ascii="仿宋" w:hAnsi="仿宋" w:eastAsia="仿宋"/>
          <w:b/>
          <w:sz w:val="32"/>
          <w:szCs w:val="32"/>
          <w:highlight w:val="none"/>
        </w:rPr>
        <w:t>（一）“三公”经费财政拨款支出决算总体情况说明</w:t>
      </w:r>
      <w:bookmarkEnd w:id="71"/>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en-US" w:eastAsia="zh-CN" w:bidi="ar-SA"/>
        </w:rPr>
        <w:t>2022</w:t>
      </w:r>
      <w:r>
        <w:rPr>
          <w:rFonts w:hint="eastAsia" w:ascii="仿宋_GB2312" w:hAnsi="Times New Roman" w:eastAsia="仿宋_GB2312" w:cs="Times New Roman"/>
          <w:kern w:val="2"/>
          <w:sz w:val="32"/>
          <w:szCs w:val="32"/>
          <w:highlight w:val="none"/>
          <w:lang w:val="zh-CN" w:eastAsia="zh-CN" w:bidi="ar-SA"/>
        </w:rPr>
        <w:t>年“三公”经费财政拨款支出决算为0.31万元，完成预算</w:t>
      </w:r>
      <w:r>
        <w:rPr>
          <w:rFonts w:hint="eastAsia" w:ascii="仿宋_GB2312" w:hAnsi="Times New Roman" w:eastAsia="仿宋_GB2312" w:cs="Times New Roman"/>
          <w:kern w:val="2"/>
          <w:sz w:val="32"/>
          <w:szCs w:val="32"/>
          <w:highlight w:val="none"/>
          <w:lang w:val="en-US" w:eastAsia="zh-CN" w:bidi="ar-SA"/>
        </w:rPr>
        <w:t>100</w:t>
      </w:r>
      <w:r>
        <w:rPr>
          <w:rFonts w:hint="eastAsia" w:ascii="仿宋_GB2312" w:hAnsi="Times New Roman" w:eastAsia="仿宋_GB2312" w:cs="Times New Roman"/>
          <w:kern w:val="2"/>
          <w:sz w:val="32"/>
          <w:szCs w:val="32"/>
          <w:highlight w:val="none"/>
          <w:lang w:val="zh-CN" w:eastAsia="zh-CN" w:bidi="ar-SA"/>
        </w:rPr>
        <w:t>%；较上年增加0万元，增长0%。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 w:hAnsi="仿宋" w:eastAsia="仿宋"/>
          <w:b/>
          <w:sz w:val="32"/>
          <w:szCs w:val="32"/>
          <w:highlight w:val="none"/>
        </w:rPr>
      </w:pPr>
      <w:bookmarkStart w:id="72" w:name="_Toc15377217"/>
      <w:r>
        <w:rPr>
          <w:rFonts w:hint="eastAsia" w:ascii="仿宋" w:hAnsi="仿宋" w:eastAsia="仿宋"/>
          <w:b/>
          <w:sz w:val="32"/>
          <w:szCs w:val="32"/>
          <w:highlight w:val="none"/>
        </w:rPr>
        <w:t>（二）“三公”经费财政拨款支出决算具体情况说明</w:t>
      </w:r>
      <w:bookmarkEnd w:id="72"/>
    </w:p>
    <w:p>
      <w:pPr>
        <w:pStyle w:val="2"/>
        <w:spacing w:before="93"/>
        <w:ind w:firstLine="640" w:firstLineChars="200"/>
        <w:rPr>
          <w:rFonts w:hint="eastAsia"/>
          <w:highlight w:val="none"/>
          <w:lang w:val="en-US"/>
        </w:rPr>
      </w:pPr>
      <w:r>
        <w:rPr>
          <w:rFonts w:hint="eastAsia" w:ascii="仿宋_GB2312" w:hAnsi="Times New Roman" w:eastAsia="仿宋_GB2312" w:cs="Times New Roman"/>
          <w:kern w:val="2"/>
          <w:sz w:val="32"/>
          <w:szCs w:val="32"/>
          <w:highlight w:val="none"/>
          <w:lang w:val="zh-CN" w:eastAsia="zh-CN" w:bidi="ar-SA"/>
        </w:rPr>
        <w:t>2022年“三公”经费财政拨款支出决算中，因公出国（境）费支出决算0万元，占0%；公务用车购置及运行维护费支出决算0.31万元，占100%；公务接待费支出决算0万元，占0%。具体情况如下：</w:t>
      </w:r>
    </w:p>
    <w:p>
      <w:pPr>
        <w:spacing w:line="60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（图7：“三公”经费财政拨款支出结构）（饼状图）</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4600575" cy="2743200"/>
            <wp:effectExtent l="0" t="0" r="9525" b="0"/>
            <wp:docPr id="4" name="图片 4"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9"/>
                    <pic:cNvPicPr>
                      <a:picLocks noChangeAspect="1"/>
                    </pic:cNvPicPr>
                  </pic:nvPicPr>
                  <pic:blipFill>
                    <a:blip r:embed="rId14"/>
                    <a:stretch>
                      <a:fillRect/>
                    </a:stretch>
                  </pic:blipFill>
                  <pic:spPr>
                    <a:xfrm>
                      <a:off x="0" y="0"/>
                      <a:ext cx="4600575" cy="2743200"/>
                    </a:xfrm>
                    <a:prstGeom prst="rect">
                      <a:avLst/>
                    </a:prstGeom>
                  </pic:spPr>
                </pic:pic>
              </a:graphicData>
            </a:graphic>
          </wp:inline>
        </w:drawing>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1.因公出国（境）经费支出0万元，完成预算0%。全年安排因公出国（境）团组0个，出国（境）0人。</w:t>
      </w:r>
      <w:r>
        <w:rPr>
          <w:rFonts w:hint="eastAsia" w:ascii="仿宋_GB2312" w:eastAsia="仿宋_GB2312"/>
          <w:sz w:val="32"/>
          <w:szCs w:val="32"/>
          <w:highlight w:val="none"/>
        </w:rPr>
        <w:t>因公出国（境）支出决算比</w:t>
      </w:r>
      <w:r>
        <w:rPr>
          <w:rFonts w:ascii="仿宋_GB2312" w:eastAsia="仿宋_GB2312"/>
          <w:sz w:val="32"/>
          <w:szCs w:val="32"/>
          <w:highlight w:val="none"/>
        </w:rPr>
        <w:t>20</w:t>
      </w:r>
      <w:r>
        <w:rPr>
          <w:rFonts w:hint="eastAsia" w:ascii="仿宋_GB2312" w:eastAsia="仿宋_GB2312"/>
          <w:sz w:val="32"/>
          <w:szCs w:val="32"/>
          <w:highlight w:val="none"/>
        </w:rPr>
        <w:t>21年增加</w:t>
      </w:r>
      <w:r>
        <w:rPr>
          <w:rFonts w:hint="eastAsia"/>
          <w:sz w:val="32"/>
          <w:szCs w:val="32"/>
          <w:highlight w:val="none"/>
          <w:lang w:val="en-US" w:eastAsia="zh-CN"/>
        </w:rPr>
        <w:t>0</w:t>
      </w:r>
      <w:r>
        <w:rPr>
          <w:rFonts w:hint="eastAsia" w:ascii="仿宋_GB2312" w:eastAsia="仿宋_GB2312"/>
          <w:sz w:val="32"/>
          <w:szCs w:val="32"/>
          <w:highlight w:val="none"/>
        </w:rPr>
        <w:t>万元，增长</w:t>
      </w:r>
      <w:r>
        <w:rPr>
          <w:rFonts w:hint="eastAsia"/>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2.公务用车购置及运行维护费支出0.31万元，完成预算</w:t>
      </w:r>
      <w:r>
        <w:rPr>
          <w:rFonts w:hint="eastAsia" w:ascii="仿宋_GB2312" w:hAnsi="Times New Roman" w:eastAsia="仿宋_GB2312" w:cs="Times New Roman"/>
          <w:kern w:val="2"/>
          <w:sz w:val="32"/>
          <w:szCs w:val="32"/>
          <w:highlight w:val="none"/>
          <w:lang w:val="en-US" w:eastAsia="zh-CN" w:bidi="ar-SA"/>
        </w:rPr>
        <w:t>100</w:t>
      </w:r>
      <w:r>
        <w:rPr>
          <w:rFonts w:hint="eastAsia" w:ascii="仿宋_GB2312" w:hAnsi="Times New Roman" w:eastAsia="仿宋_GB2312" w:cs="Times New Roman"/>
          <w:kern w:val="2"/>
          <w:sz w:val="32"/>
          <w:szCs w:val="32"/>
          <w:highlight w:val="none"/>
          <w:lang w:val="zh-CN" w:eastAsia="zh-CN" w:bidi="ar-SA"/>
        </w:rPr>
        <w:t>%。公务用车购置及运行维护费支出决算比2021年增加0万元，增长0%。</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其中：公务用车购置支出</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万元。全年按规定更新购置公务用车</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辆，其中：轿车</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辆、金额</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万元，越野车</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辆、金额</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万元，载客汽车</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辆、金额</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万元。截至2022年12月底，单位共有公务用车</w:t>
      </w:r>
      <w:r>
        <w:rPr>
          <w:rFonts w:hint="eastAsia" w:ascii="仿宋_GB2312" w:hAnsi="Times New Roman" w:eastAsia="仿宋_GB2312" w:cs="Times New Roman"/>
          <w:kern w:val="2"/>
          <w:sz w:val="32"/>
          <w:szCs w:val="32"/>
          <w:highlight w:val="none"/>
          <w:lang w:val="en-US" w:eastAsia="zh-CN" w:bidi="ar-SA"/>
        </w:rPr>
        <w:t>1</w:t>
      </w:r>
      <w:r>
        <w:rPr>
          <w:rFonts w:hint="eastAsia" w:ascii="仿宋_GB2312" w:hAnsi="Times New Roman" w:eastAsia="仿宋_GB2312" w:cs="Times New Roman"/>
          <w:kern w:val="2"/>
          <w:sz w:val="32"/>
          <w:szCs w:val="32"/>
          <w:highlight w:val="none"/>
          <w:lang w:val="zh-CN" w:eastAsia="zh-CN" w:bidi="ar-SA"/>
        </w:rPr>
        <w:t>辆，其中：轿车</w:t>
      </w:r>
      <w:r>
        <w:rPr>
          <w:rFonts w:hint="eastAsia" w:ascii="仿宋_GB2312" w:hAnsi="Times New Roman" w:eastAsia="仿宋_GB2312" w:cs="Times New Roman"/>
          <w:kern w:val="2"/>
          <w:sz w:val="32"/>
          <w:szCs w:val="32"/>
          <w:highlight w:val="none"/>
          <w:lang w:val="en-US" w:eastAsia="zh-CN" w:bidi="ar-SA"/>
        </w:rPr>
        <w:t>1</w:t>
      </w:r>
      <w:r>
        <w:rPr>
          <w:rFonts w:hint="eastAsia" w:ascii="仿宋_GB2312" w:hAnsi="Times New Roman" w:eastAsia="仿宋_GB2312" w:cs="Times New Roman"/>
          <w:kern w:val="2"/>
          <w:sz w:val="32"/>
          <w:szCs w:val="32"/>
          <w:highlight w:val="none"/>
          <w:lang w:val="zh-CN" w:eastAsia="zh-CN" w:bidi="ar-SA"/>
        </w:rPr>
        <w:t>辆、越野车</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辆、载客汽车</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辆。</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公务用车运行维护费支出0.31万元。主要用于城市建设、市政基础设施管理、城市绿化亮化提升、城乡环境卫生治理等所需的公务用车燃料费、维修费、过路过桥费、保险费等支出。</w:t>
      </w:r>
    </w:p>
    <w:p>
      <w:pPr>
        <w:spacing w:line="600" w:lineRule="exact"/>
        <w:ind w:firstLine="640"/>
        <w:rPr>
          <w:rFonts w:hint="eastAsia"/>
          <w:sz w:val="32"/>
          <w:szCs w:val="32"/>
          <w:highlight w:val="none"/>
          <w:lang w:eastAsia="zh-CN"/>
        </w:rPr>
      </w:pPr>
      <w:r>
        <w:rPr>
          <w:rFonts w:hint="eastAsia" w:ascii="仿宋_GB2312" w:eastAsia="仿宋_GB2312" w:cs="Times New Roman"/>
          <w:kern w:val="2"/>
          <w:sz w:val="32"/>
          <w:szCs w:val="32"/>
          <w:highlight w:val="none"/>
          <w:lang w:val="en-US" w:eastAsia="zh-CN" w:bidi="ar-SA"/>
        </w:rPr>
        <w:t>3</w:t>
      </w:r>
      <w:r>
        <w:rPr>
          <w:rFonts w:hint="eastAsia" w:ascii="仿宋_GB2312" w:hAnsi="Times New Roman" w:eastAsia="仿宋_GB2312" w:cs="Times New Roman"/>
          <w:kern w:val="2"/>
          <w:sz w:val="32"/>
          <w:szCs w:val="32"/>
          <w:highlight w:val="none"/>
          <w:lang w:val="zh-CN" w:eastAsia="zh-CN" w:bidi="ar-SA"/>
        </w:rPr>
        <w:t>.公务接待费支出</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万元，完成预算</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w:t>
      </w:r>
      <w:r>
        <w:rPr>
          <w:rFonts w:hint="eastAsia" w:ascii="仿宋_GB2312" w:eastAsia="仿宋_GB2312"/>
          <w:sz w:val="32"/>
          <w:szCs w:val="32"/>
          <w:highlight w:val="none"/>
        </w:rPr>
        <w:t>公务接待费支出决算比</w:t>
      </w:r>
      <w:r>
        <w:rPr>
          <w:rFonts w:ascii="仿宋_GB2312" w:eastAsia="仿宋_GB2312"/>
          <w:sz w:val="32"/>
          <w:szCs w:val="32"/>
          <w:highlight w:val="none"/>
        </w:rPr>
        <w:t>20</w:t>
      </w:r>
      <w:r>
        <w:rPr>
          <w:rFonts w:hint="eastAsia" w:ascii="仿宋_GB2312" w:eastAsia="仿宋_GB2312"/>
          <w:sz w:val="32"/>
          <w:szCs w:val="32"/>
          <w:highlight w:val="none"/>
        </w:rPr>
        <w:t>21年增加</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万元，增长</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%。其中：</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国内公务接待支出</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万元。国内公务接待</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批次，</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人次（不包括陪同人员），共计支出</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w:t>
      </w:r>
    </w:p>
    <w:p>
      <w:pPr>
        <w:pStyle w:val="2"/>
        <w:spacing w:before="93"/>
        <w:ind w:firstLine="640" w:firstLineChars="200"/>
        <w:rPr>
          <w:rFonts w:hint="eastAsia" w:ascii="仿宋_GB2312" w:hAnsi="Times New Roman" w:eastAsia="仿宋_GB2312" w:cs="Times New Roman"/>
          <w:kern w:val="2"/>
          <w:sz w:val="32"/>
          <w:szCs w:val="32"/>
          <w:highlight w:val="none"/>
          <w:lang w:val="zh-CN" w:eastAsia="zh-CN" w:bidi="ar-SA"/>
        </w:rPr>
      </w:pPr>
      <w:r>
        <w:rPr>
          <w:rFonts w:hint="eastAsia" w:ascii="仿宋_GB2312" w:hAnsi="Times New Roman" w:eastAsia="仿宋_GB2312" w:cs="Times New Roman"/>
          <w:kern w:val="2"/>
          <w:sz w:val="32"/>
          <w:szCs w:val="32"/>
          <w:highlight w:val="none"/>
          <w:lang w:val="zh-CN" w:eastAsia="zh-CN" w:bidi="ar-SA"/>
        </w:rPr>
        <w:t>外事接待支出</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万元。外事接待</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批次，</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人次（不包括陪同人员），共计支出</w:t>
      </w:r>
      <w:r>
        <w:rPr>
          <w:rFonts w:hint="eastAsia" w:ascii="仿宋_GB2312" w:hAnsi="Times New Roman" w:eastAsia="仿宋_GB2312" w:cs="Times New Roman"/>
          <w:kern w:val="2"/>
          <w:sz w:val="32"/>
          <w:szCs w:val="32"/>
          <w:highlight w:val="none"/>
          <w:lang w:val="en-US" w:eastAsia="zh-CN" w:bidi="ar-SA"/>
        </w:rPr>
        <w:t>0</w:t>
      </w:r>
      <w:r>
        <w:rPr>
          <w:rFonts w:hint="eastAsia" w:ascii="仿宋_GB2312" w:hAnsi="Times New Roman" w:eastAsia="仿宋_GB2312" w:cs="Times New Roman"/>
          <w:kern w:val="2"/>
          <w:sz w:val="32"/>
          <w:szCs w:val="32"/>
          <w:highlight w:val="none"/>
          <w:lang w:val="zh-CN" w:eastAsia="zh-CN" w:bidi="ar-SA"/>
        </w:rPr>
        <w:t>万元。</w:t>
      </w:r>
      <w:bookmarkStart w:id="73" w:name="_Toc15377218"/>
      <w:bookmarkStart w:id="74" w:name="_Toc15396610"/>
    </w:p>
    <w:p>
      <w:pPr>
        <w:spacing w:line="600" w:lineRule="exact"/>
        <w:ind w:firstLine="640"/>
        <w:outlineLvl w:val="1"/>
        <w:rPr>
          <w:rStyle w:val="25"/>
          <w:rFonts w:ascii="黑体" w:hAnsi="黑体" w:eastAsia="黑体"/>
          <w:highlight w:val="none"/>
        </w:rPr>
      </w:pPr>
      <w:bookmarkStart w:id="75" w:name="_Toc12469_WPSOffice_Level2"/>
      <w:r>
        <w:rPr>
          <w:rFonts w:hint="eastAsia" w:ascii="黑体" w:eastAsia="黑体"/>
          <w:sz w:val="32"/>
          <w:szCs w:val="32"/>
          <w:highlight w:val="none"/>
        </w:rPr>
        <w:t>八、</w:t>
      </w:r>
      <w:r>
        <w:rPr>
          <w:rStyle w:val="25"/>
          <w:rFonts w:hint="eastAsia" w:ascii="黑体" w:hAnsi="黑体" w:eastAsia="黑体"/>
          <w:b w:val="0"/>
          <w:highlight w:val="none"/>
        </w:rPr>
        <w:t>政府性基金预算支出决算情况说明</w:t>
      </w:r>
      <w:bookmarkEnd w:id="73"/>
      <w:bookmarkEnd w:id="74"/>
      <w:bookmarkEnd w:id="75"/>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2022年政府性基金预算财政拨款支出</w:t>
      </w:r>
      <w:r>
        <w:rPr>
          <w:rFonts w:hint="eastAsia" w:ascii="仿宋_GB2312" w:hAnsi="Times New Roman" w:eastAsia="仿宋_GB2312" w:cs="Times New Roman"/>
          <w:kern w:val="2"/>
          <w:sz w:val="32"/>
          <w:szCs w:val="32"/>
          <w:highlight w:val="none"/>
          <w:lang w:val="zh-CN" w:eastAsia="zh-CN" w:bidi="ar-SA"/>
        </w:rPr>
        <w:t>11,518.68</w:t>
      </w:r>
      <w:r>
        <w:rPr>
          <w:rFonts w:hint="eastAsia" w:ascii="仿宋_GB2312" w:hAnsi="Times New Roman" w:eastAsia="仿宋_GB2312" w:cs="Times New Roman"/>
          <w:kern w:val="2"/>
          <w:sz w:val="32"/>
          <w:szCs w:val="32"/>
          <w:highlight w:val="none"/>
          <w:lang w:val="en-US" w:eastAsia="zh-CN" w:bidi="ar-SA"/>
        </w:rPr>
        <w:t>万元。</w:t>
      </w:r>
    </w:p>
    <w:p>
      <w:pPr>
        <w:numPr>
          <w:ilvl w:val="0"/>
          <w:numId w:val="3"/>
        </w:numPr>
        <w:spacing w:line="600" w:lineRule="exact"/>
        <w:ind w:firstLine="640"/>
        <w:outlineLvl w:val="1"/>
        <w:rPr>
          <w:rStyle w:val="25"/>
          <w:rFonts w:ascii="黑体" w:hAnsi="黑体" w:eastAsia="黑体"/>
          <w:b w:val="0"/>
          <w:highlight w:val="none"/>
        </w:rPr>
      </w:pPr>
      <w:bookmarkStart w:id="76" w:name="_Toc15377219"/>
      <w:bookmarkStart w:id="77" w:name="_Toc11115_WPSOffice_Level2"/>
      <w:bookmarkStart w:id="78" w:name="_Toc15396611"/>
      <w:r>
        <w:rPr>
          <w:rStyle w:val="25"/>
          <w:rFonts w:hint="eastAsia" w:ascii="黑体" w:hAnsi="黑体" w:eastAsia="黑体"/>
          <w:b w:val="0"/>
          <w:highlight w:val="none"/>
        </w:rPr>
        <w:t>国有资本经营预算支出决算情况说明</w:t>
      </w:r>
      <w:bookmarkEnd w:id="76"/>
      <w:bookmarkEnd w:id="77"/>
      <w:bookmarkEnd w:id="78"/>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2022年国有资本经营预算财政拨款支出0万元。</w:t>
      </w:r>
    </w:p>
    <w:p>
      <w:pPr>
        <w:numPr>
          <w:ilvl w:val="0"/>
          <w:numId w:val="3"/>
        </w:numPr>
        <w:spacing w:line="600" w:lineRule="exact"/>
        <w:ind w:firstLine="640"/>
        <w:outlineLvl w:val="1"/>
        <w:rPr>
          <w:rStyle w:val="25"/>
          <w:rFonts w:ascii="黑体" w:hAnsi="黑体" w:eastAsia="黑体"/>
          <w:b w:val="0"/>
          <w:highlight w:val="none"/>
        </w:rPr>
      </w:pPr>
      <w:bookmarkStart w:id="79" w:name="_Toc15377221"/>
      <w:bookmarkStart w:id="80" w:name="_Toc15396612"/>
      <w:bookmarkStart w:id="81" w:name="_Toc20434_WPSOffice_Level2"/>
      <w:r>
        <w:rPr>
          <w:rStyle w:val="25"/>
          <w:rFonts w:hint="eastAsia" w:ascii="黑体" w:hAnsi="黑体" w:eastAsia="黑体"/>
          <w:b w:val="0"/>
          <w:highlight w:val="none"/>
        </w:rPr>
        <w:t>其他重要事项的情况说明</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sz w:val="32"/>
          <w:szCs w:val="32"/>
          <w:highlight w:val="none"/>
        </w:rPr>
      </w:pPr>
      <w:bookmarkStart w:id="82" w:name="_Toc15377222"/>
      <w:r>
        <w:rPr>
          <w:rFonts w:hint="eastAsia" w:ascii="仿宋" w:hAnsi="仿宋" w:eastAsia="仿宋"/>
          <w:b/>
          <w:sz w:val="32"/>
          <w:szCs w:val="32"/>
          <w:highlight w:val="none"/>
        </w:rPr>
        <w:t>（一）机关运行经费支出情况</w:t>
      </w:r>
      <w:bookmarkEnd w:id="82"/>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2022年，峨眉山市城乡建设保障服务中心机关运行经费支出0万元，比2021年增加0万元，增长0%。</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83" w:name="_Toc15377223"/>
      <w:r>
        <w:rPr>
          <w:rFonts w:hint="eastAsia" w:ascii="仿宋" w:hAnsi="仿宋" w:eastAsia="仿宋"/>
          <w:b/>
          <w:sz w:val="32"/>
          <w:szCs w:val="32"/>
          <w:highlight w:val="none"/>
        </w:rPr>
        <w:t>（二）政府采购支出情况</w:t>
      </w:r>
      <w:bookmarkEnd w:id="83"/>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2022年，峨眉山市城乡建设保障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84" w:name="_Toc15377224"/>
      <w:r>
        <w:rPr>
          <w:rFonts w:hint="eastAsia" w:ascii="仿宋" w:hAnsi="仿宋" w:eastAsia="仿宋"/>
          <w:b/>
          <w:sz w:val="32"/>
          <w:szCs w:val="32"/>
          <w:highlight w:val="none"/>
        </w:rPr>
        <w:t>（三）国有资产占有使用情况</w:t>
      </w:r>
      <w:bookmarkEnd w:id="84"/>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截至2022年12月31日，峨眉山市城乡建设保障服务中心共有车辆116辆，其中：主要领导干部用车0辆、机要通信用车0辆、应急保障用车0辆、其他用车116辆，其他用车主要是用于</w:t>
      </w:r>
      <w:r>
        <w:rPr>
          <w:rFonts w:hint="eastAsia" w:ascii="仿宋_GB2312" w:hAnsi="Times New Roman" w:eastAsia="仿宋_GB2312" w:cs="Times New Roman"/>
          <w:kern w:val="2"/>
          <w:sz w:val="32"/>
          <w:szCs w:val="32"/>
          <w:highlight w:val="none"/>
          <w:lang w:val="zh-CN" w:eastAsia="zh-CN" w:bidi="ar-SA"/>
        </w:rPr>
        <w:t>城市建设、市政基础设施管理、城市绿化亮化提升、城乡环境卫生治理</w:t>
      </w:r>
      <w:r>
        <w:rPr>
          <w:rFonts w:hint="eastAsia" w:ascii="仿宋_GB2312" w:hAnsi="Times New Roman" w:eastAsia="仿宋_GB2312" w:cs="Times New Roman"/>
          <w:kern w:val="2"/>
          <w:sz w:val="32"/>
          <w:szCs w:val="32"/>
          <w:highlight w:val="none"/>
          <w:lang w:val="en-US" w:eastAsia="zh-CN" w:bidi="ar-SA"/>
        </w:rPr>
        <w:t>。单价100万元以上专用设备0台（套）。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pStyle w:val="2"/>
        <w:spacing w:before="93"/>
        <w:ind w:firstLine="640" w:firstLineChars="200"/>
        <w:rPr>
          <w:rFonts w:ascii="仿宋_GB2312" w:eastAsia="仿宋_GB2312"/>
          <w:b/>
          <w:sz w:val="32"/>
          <w:szCs w:val="32"/>
          <w:highlight w:val="none"/>
        </w:rPr>
      </w:pPr>
      <w:r>
        <w:rPr>
          <w:rFonts w:hint="eastAsia" w:ascii="仿宋_GB2312" w:hAnsi="Times New Roman" w:eastAsia="仿宋_GB2312" w:cs="Times New Roman"/>
          <w:kern w:val="2"/>
          <w:sz w:val="32"/>
          <w:szCs w:val="32"/>
          <w:highlight w:val="none"/>
          <w:lang w:val="en-US" w:eastAsia="zh-CN" w:bidi="ar-SA"/>
        </w:rPr>
        <w:t>根据预算绩效管理要求，单位在2022年度预算编制阶段，组织对峨秀湖公园物业管理费，洒水车水费，全市城乡路灯电费，路灯维护费，环卫专用车辆水费，环卫设施设备等维护费，生活垃圾处理费，城区道路景点绿化维护费，峨秀湖景区保安服务费，峨秀湖公园大坝栈道及观景平台维修工程，市政车辆燃油保险及修理费，春节期间已完工项目工程支付库（城建、环卫、绿保），峨秀湖环湖绿道工程，解放军某部库外输油管线线路走向调整工程，药博园菜场安置点二期B区天然气安装工程，城东（新平片区）垃圾中转站项目人防费，2022年春节氛围营造亮化提升及悬挂灯笼工程，峨眉河堤防及四座拦河坝建设工程监理项目，峨眉山市老年养护院（I）项目峨沙天然气管迁改，峨眉山市老年养老院（I）项目10KV夏胜迁改工程，药博园菜场安置点二期B区供电安装项目，药博园菜场安置点二期B区配套管网建设工程，安川临河道路提升改造项目，秀湖大道南延线项目，2022年城北片区、峨秀湖片区市政道路建设项目划拨地价等</w:t>
      </w:r>
      <w:r>
        <w:rPr>
          <w:rFonts w:hint="eastAsia" w:cs="Times New Roman"/>
          <w:kern w:val="2"/>
          <w:sz w:val="32"/>
          <w:szCs w:val="32"/>
          <w:highlight w:val="none"/>
          <w:lang w:val="en-US" w:eastAsia="zh-CN" w:bidi="ar-SA"/>
        </w:rPr>
        <w:t>25</w:t>
      </w:r>
      <w:r>
        <w:rPr>
          <w:rFonts w:hint="eastAsia" w:ascii="仿宋_GB2312" w:hAnsi="Times New Roman" w:eastAsia="仿宋_GB2312" w:cs="Times New Roman"/>
          <w:kern w:val="2"/>
          <w:sz w:val="32"/>
          <w:szCs w:val="32"/>
          <w:highlight w:val="none"/>
          <w:lang w:val="en-US" w:eastAsia="zh-CN" w:bidi="ar-SA"/>
        </w:rPr>
        <w:t>个项目开展了预算事前绩效评估，对</w:t>
      </w:r>
      <w:r>
        <w:rPr>
          <w:rFonts w:hint="eastAsia" w:cs="Times New Roman"/>
          <w:kern w:val="2"/>
          <w:sz w:val="32"/>
          <w:szCs w:val="32"/>
          <w:highlight w:val="none"/>
          <w:lang w:val="en-US" w:eastAsia="zh-CN" w:bidi="ar-SA"/>
        </w:rPr>
        <w:t>25</w:t>
      </w:r>
      <w:r>
        <w:rPr>
          <w:rFonts w:hint="eastAsia" w:ascii="仿宋_GB2312" w:hAnsi="Times New Roman" w:eastAsia="仿宋_GB2312" w:cs="Times New Roman"/>
          <w:kern w:val="2"/>
          <w:sz w:val="32"/>
          <w:szCs w:val="32"/>
          <w:highlight w:val="none"/>
          <w:lang w:val="en-US" w:eastAsia="zh-CN" w:bidi="ar-SA"/>
        </w:rPr>
        <w:t>个项目编制了绩效目标，预算执行过程中，对</w:t>
      </w:r>
      <w:r>
        <w:rPr>
          <w:rFonts w:hint="eastAsia" w:cs="Times New Roman"/>
          <w:kern w:val="2"/>
          <w:sz w:val="32"/>
          <w:szCs w:val="32"/>
          <w:highlight w:val="none"/>
          <w:lang w:val="en-US" w:eastAsia="zh-CN" w:bidi="ar-SA"/>
        </w:rPr>
        <w:t>25</w:t>
      </w:r>
      <w:r>
        <w:rPr>
          <w:rFonts w:hint="eastAsia" w:ascii="仿宋_GB2312" w:hAnsi="Times New Roman" w:eastAsia="仿宋_GB2312" w:cs="Times New Roman"/>
          <w:kern w:val="2"/>
          <w:sz w:val="32"/>
          <w:szCs w:val="32"/>
          <w:highlight w:val="none"/>
          <w:lang w:val="en-US" w:eastAsia="zh-CN" w:bidi="ar-SA"/>
        </w:rPr>
        <w:t>个项目开展绩效监控，组织开展绩效自评，绩效自评表详见第四部分附件。</w:t>
      </w:r>
      <w:r>
        <w:rPr>
          <w:rFonts w:hint="eastAsia" w:ascii="仿宋_GB2312" w:hAnsi="Times New Roman" w:eastAsia="仿宋_GB2312" w:cs="Times New Roman"/>
          <w:kern w:val="2"/>
          <w:sz w:val="32"/>
          <w:szCs w:val="32"/>
          <w:highlight w:val="none"/>
          <w:lang w:val="en-US" w:eastAsia="zh-CN" w:bidi="ar-SA"/>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60" w:firstLineChars="150"/>
        <w:jc w:val="center"/>
        <w:textAlignment w:val="auto"/>
        <w:outlineLvl w:val="0"/>
        <w:rPr>
          <w:rStyle w:val="24"/>
          <w:rFonts w:ascii="黑体" w:hAnsi="黑体" w:eastAsia="黑体"/>
          <w:b w:val="0"/>
          <w:highlight w:val="none"/>
        </w:rPr>
      </w:pPr>
      <w:bookmarkStart w:id="85" w:name="_Toc15377225"/>
      <w:bookmarkStart w:id="86" w:name="_Toc15396613"/>
      <w:bookmarkStart w:id="87" w:name="_Toc10267_WPSOffice_Level1"/>
      <w:bookmarkStart w:id="88" w:name="_Toc21810_WPSOffice_Level1"/>
      <w:r>
        <w:rPr>
          <w:rFonts w:hint="eastAsia" w:ascii="黑体" w:hAnsi="黑体" w:eastAsia="黑体"/>
          <w:sz w:val="44"/>
          <w:szCs w:val="44"/>
          <w:highlight w:val="none"/>
        </w:rPr>
        <w:t>名</w:t>
      </w:r>
      <w:r>
        <w:rPr>
          <w:rStyle w:val="24"/>
          <w:rFonts w:hint="eastAsia" w:ascii="黑体" w:hAnsi="黑体" w:eastAsia="黑体"/>
          <w:b w:val="0"/>
          <w:highlight w:val="none"/>
        </w:rPr>
        <w:t>词解释</w:t>
      </w:r>
      <w:bookmarkEnd w:id="85"/>
      <w:bookmarkEnd w:id="86"/>
      <w:bookmarkEnd w:id="87"/>
      <w:bookmarkEnd w:id="88"/>
    </w:p>
    <w:p>
      <w:pPr>
        <w:spacing w:line="600" w:lineRule="exact"/>
        <w:jc w:val="left"/>
        <w:rPr>
          <w:rFonts w:ascii="宋体"/>
          <w:b/>
          <w:sz w:val="44"/>
          <w:szCs w:val="44"/>
          <w:highlight w:val="none"/>
        </w:rPr>
      </w:pP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1.财政拨款收入：指单位从同级财政部门取得的财政预算资金。</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2.事业收入：指事业单位开展专业业务活动及辅助活动取得的收入。</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3.经营收入：指事业单位在专业业务活动及其辅助活动之外开展非独立核算经营活动取得的收入。</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4.其他收入：指单位取得的除上述收入以外的各项收入。</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 xml:space="preserve">5.使用非财政拨款结余：指事业单位使用以前年度积累的非财政拨款结余弥补当年收支差额的金额。 </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 xml:space="preserve">6.年初结转和结余：指以前年度尚未完成、结转到本年按有关规定继续使用的资金。 </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7.结余分配：指事业单位按照会计制度规定缴纳的所得税、提取的专用结余以及转入非财政拨款结余的金额等。</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8.年末结转和结余：指单位按有关规定结转到下年或以后年度继续使用的资金。</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9.国防支出（类）国防动员（款）人民防空（项）: 指用于人民防空工程建设、宣传等方面的支出。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10.社会保障和就业支出（类）行政事业单位养老支出（款）机关事业单位基本养老保险缴费支出（项）:指机关事业单位实施养老保险制度由单位缴纳的基本养老保险费支出。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11.社会保障和就业支出（类）行政事业单位养老支出（款）机关事业单位职业年金缴费支出（项）:指机关事业单位实施养老保险制度由单位实际缴纳的职业年金支出。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12.社会保障和就业支出（类）抚恤（款）死亡抚恤（项）:指按规定用于烈士和牺牲、病故人员家属的一次性和定期抚恤金、丧葬补助费以及烈士褒扬金。</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13.社会保障和就业支出（类）抚恤（款）其他优抚支出（项）: 指除死亡抚恤，伤残抚恤，在乡复员、退伍军人生活补助，义务兵优待，农村籍退役士兵老年生活补助，光荣院。烈士纪念设施管理维护项目以外其他用于优抚方面的支出，包括向优抚对象发放的价格临时补贴等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14.社会保障和就业支出（类）其他社会保障和就业支出（款）其他社会保障和就业支出（项）: 指除上述项目外其他用于社会保障和就业方面的支出。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15.卫生健康支出（类）行政事业单位医疗（款）事业单位医疗（项）: 指财政部门安排的事业单位基本医疗保险缴费经费，未参加医疗保险的事业单位的公费医疗经费，按国家规定享受离休人员待遇的医疗经费。</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16.城乡社区支出（类）城乡社区公共设施（款）其他城乡社区公共设施支出（项）: 指除小镇道路、气、水、电等基础建设项目以外的其他用于城乡社区公共设施方面的支出。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17.城乡社区支出（类）城乡社区环境卫生（款）城乡社区环境卫生（项）: 指城乡社区道路清扫、垃圾清运与处理、公厕建设与维护、园林绿化等方面的支出。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18.住房保障支出（类）住房改革支出（款）住房公积金（项）: 指行政事业单位按人力资源和社会保障部、财政部规定的基本工资和津贴补贴以及规定比例为职工缴纳的住房公积金。</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19.基本支出：指为保障机构正常运转、完成日常工作任务而发生的人员支出和公用支出。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 xml:space="preserve">20.项目支出：指在基本支出之外为完成特定行政任务和事业发展目标所发生的支出。 </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21.经营支出：指事业单位在专业业务活动及其辅助活动之外开展非独立核算经营活动发生的支出。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before="93"/>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Style w:val="24"/>
          <w:rFonts w:ascii="黑体" w:hAnsi="黑体" w:eastAsia="黑体"/>
          <w:b w:val="0"/>
          <w:highlight w:val="none"/>
        </w:rPr>
      </w:pPr>
      <w:bookmarkStart w:id="89" w:name="_Toc15377226"/>
      <w:r>
        <w:rPr>
          <w:rFonts w:ascii="宋体"/>
          <w:b/>
          <w:sz w:val="44"/>
          <w:szCs w:val="44"/>
          <w:highlight w:val="none"/>
        </w:rPr>
        <w:br w:type="page"/>
      </w:r>
      <w:bookmarkStart w:id="90" w:name="_Toc30620_WPSOffice_Level1"/>
      <w:bookmarkStart w:id="91" w:name="_Toc15396614"/>
      <w:bookmarkStart w:id="92" w:name="_Toc28475_WPSOffice_Level1"/>
      <w:r>
        <w:rPr>
          <w:rFonts w:hint="eastAsia" w:ascii="黑体" w:hAnsi="黑体" w:eastAsia="黑体"/>
          <w:sz w:val="44"/>
          <w:szCs w:val="44"/>
          <w:highlight w:val="none"/>
        </w:rPr>
        <w:t>第</w:t>
      </w:r>
      <w:r>
        <w:rPr>
          <w:rStyle w:val="24"/>
          <w:rFonts w:hint="eastAsia" w:ascii="黑体" w:hAnsi="黑体" w:eastAsia="黑体"/>
          <w:b w:val="0"/>
          <w:highlight w:val="none"/>
        </w:rPr>
        <w:t>四部分 附件</w:t>
      </w:r>
      <w:bookmarkEnd w:id="90"/>
      <w:bookmarkEnd w:id="91"/>
      <w:bookmarkEnd w:id="92"/>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b/>
          <w:sz w:val="44"/>
          <w:szCs w:val="44"/>
          <w:highlight w:val="none"/>
        </w:rPr>
      </w:pPr>
      <w:bookmarkStart w:id="93" w:name="_Toc8310_WPSOffice_Level2"/>
      <w:bookmarkStart w:id="94" w:name="_Toc25187_WPSOffice_Level2"/>
      <w:r>
        <w:rPr>
          <w:rFonts w:hint="eastAsia" w:ascii="宋体" w:hAnsi="宋体" w:cs="宋体"/>
          <w:b/>
          <w:sz w:val="44"/>
          <w:szCs w:val="44"/>
          <w:highlight w:val="none"/>
        </w:rPr>
        <w:t>部门预算项目支出绩效自评表（2022年度）</w:t>
      </w:r>
      <w:bookmarkEnd w:id="93"/>
      <w:bookmarkEnd w:id="94"/>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highlight w:val="none"/>
        </w:rPr>
      </w:pPr>
      <w:bookmarkStart w:id="95" w:name="_Toc17073_WPSOffice_Level2"/>
      <w:bookmarkStart w:id="96" w:name="_Toc13032_WPSOffice_Level2"/>
      <w:r>
        <w:rPr>
          <w:rFonts w:hint="eastAsia" w:ascii="仿宋_GB2312" w:hAnsi="宋体" w:eastAsia="仿宋_GB2312" w:cs="宋体"/>
          <w:color w:val="000000"/>
          <w:kern w:val="0"/>
          <w:sz w:val="32"/>
          <w:szCs w:val="32"/>
          <w:highlight w:val="none"/>
          <w:shd w:val="clear" w:color="auto" w:fill="FFFFFF"/>
          <w:lang w:val="en-US" w:eastAsia="zh-CN"/>
        </w:rPr>
        <w:t>全市城乡路灯电费</w:t>
      </w:r>
      <w:bookmarkEnd w:id="95"/>
      <w:bookmarkEnd w:id="96"/>
    </w:p>
    <w:tbl>
      <w:tblPr>
        <w:tblStyle w:val="1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6"/>
        <w:gridCol w:w="1020"/>
        <w:gridCol w:w="1103"/>
        <w:gridCol w:w="1252"/>
        <w:gridCol w:w="930"/>
        <w:gridCol w:w="578"/>
        <w:gridCol w:w="697"/>
        <w:gridCol w:w="540"/>
        <w:gridCol w:w="420"/>
        <w:gridCol w:w="465"/>
        <w:gridCol w:w="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0"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bookmarkStart w:id="97" w:name="_Toc15396618"/>
            <w:r>
              <w:rPr>
                <w:rFonts w:hint="eastAsia" w:ascii="仿宋" w:hAnsi="仿宋" w:eastAsia="仿宋" w:cs="仿宋"/>
                <w:i w:val="0"/>
                <w:color w:val="000000"/>
                <w:kern w:val="0"/>
                <w:sz w:val="24"/>
                <w:szCs w:val="24"/>
                <w:highlight w:val="none"/>
                <w:u w:val="none"/>
                <w:lang w:val="en-US" w:eastAsia="zh-CN" w:bidi="ar"/>
              </w:rPr>
              <w:t>项目名称</w:t>
            </w:r>
          </w:p>
        </w:tc>
        <w:tc>
          <w:tcPr>
            <w:tcW w:w="6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51118122T000000366039-全市城乡路灯电费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127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2"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3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3"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保证城区及各乡镇路灯正常运行。</w:t>
            </w:r>
          </w:p>
        </w:tc>
        <w:tc>
          <w:tcPr>
            <w:tcW w:w="3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保证城区及各乡镇路灯正常运行。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eastAsia="zh-CN"/>
              </w:rPr>
              <w:t>积极对接供电部门，切实保障路灯用电，同时主动对接财政部门，及时上报当月路灯电费预算，争取财政资金及时拨付到位。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1600.00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1284.30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1284.30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10</w:t>
            </w:r>
          </w:p>
        </w:tc>
        <w:tc>
          <w:tcPr>
            <w:tcW w:w="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1600.00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1284.30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1284.30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w:t>
            </w:r>
          </w:p>
        </w:tc>
        <w:tc>
          <w:tcPr>
            <w:tcW w:w="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路灯数量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20000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个（套）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bidi="ar"/>
              </w:rPr>
              <w:t>20000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路灯亮灯保障率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按时缴纳当月电费率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日耗电量约6.6万度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66000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千瓦时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66000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每月电费控制数超标率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方便群众出行率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可持续影响指标</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群众夜间安全出行时间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365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5" w:hRule="atLeast"/>
        </w:trPr>
        <w:tc>
          <w:tcPr>
            <w:tcW w:w="102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lef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11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25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群众满意</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95</w:t>
            </w:r>
          </w:p>
        </w:tc>
        <w:tc>
          <w:tcPr>
            <w:tcW w:w="69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714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合计</w:t>
            </w:r>
          </w:p>
        </w:tc>
        <w:tc>
          <w:tcPr>
            <w:tcW w:w="4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100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lang w:val="en-US"/>
              </w:rPr>
            </w:pPr>
            <w:r>
              <w:rPr>
                <w:rFonts w:hint="eastAsia" w:ascii="仿宋" w:hAnsi="仿宋" w:eastAsia="仿宋" w:cs="仿宋"/>
                <w:sz w:val="24"/>
                <w:szCs w:val="24"/>
                <w:highlight w:val="none"/>
                <w:lang w:eastAsia="zh-CN"/>
              </w:rPr>
              <w:t>完成全市城乡20000余套路灯正常使用</w:t>
            </w:r>
            <w:r>
              <w:rPr>
                <w:rFonts w:hint="eastAsia" w:ascii="仿宋" w:hAnsi="仿宋" w:eastAsia="仿宋" w:cs="仿宋"/>
                <w:i w:val="0"/>
                <w:color w:val="000000"/>
                <w:kern w:val="0"/>
                <w:sz w:val="24"/>
                <w:szCs w:val="24"/>
                <w:highlight w:val="none"/>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lang w:eastAsia="zh-CN"/>
              </w:rPr>
            </w:pPr>
          </w:p>
        </w:tc>
      </w:tr>
    </w:tbl>
    <w:p>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i w:val="0"/>
          <w:color w:val="000000"/>
          <w:kern w:val="0"/>
          <w:sz w:val="32"/>
          <w:szCs w:val="32"/>
          <w:highlight w:val="none"/>
          <w:u w:val="none"/>
          <w:lang w:val="en-US" w:eastAsia="zh-CN" w:bidi="ar"/>
        </w:rPr>
      </w:pPr>
      <w:bookmarkStart w:id="98" w:name="_Toc30325_WPSOffice_Level2"/>
      <w:bookmarkStart w:id="99" w:name="_Toc14929_WPSOffice_Level2"/>
      <w:r>
        <w:rPr>
          <w:rFonts w:hint="eastAsia" w:ascii="仿宋" w:hAnsi="仿宋" w:eastAsia="仿宋" w:cs="仿宋"/>
          <w:i w:val="0"/>
          <w:color w:val="000000"/>
          <w:kern w:val="0"/>
          <w:sz w:val="32"/>
          <w:szCs w:val="32"/>
          <w:highlight w:val="none"/>
          <w:u w:val="none"/>
          <w:lang w:val="en-US" w:eastAsia="zh-CN" w:bidi="ar"/>
        </w:rPr>
        <w:t>路灯维护费</w:t>
      </w:r>
      <w:bookmarkEnd w:id="98"/>
      <w:bookmarkEnd w:id="99"/>
    </w:p>
    <w:tbl>
      <w:tblPr>
        <w:tblStyle w:val="15"/>
        <w:tblW w:w="8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1"/>
        <w:gridCol w:w="1125"/>
        <w:gridCol w:w="990"/>
        <w:gridCol w:w="1995"/>
        <w:gridCol w:w="405"/>
        <w:gridCol w:w="390"/>
        <w:gridCol w:w="660"/>
        <w:gridCol w:w="465"/>
        <w:gridCol w:w="480"/>
        <w:gridCol w:w="450"/>
        <w:gridCol w:w="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1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51118122T000000366055-路灯维护费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112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2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4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城区及各乡镇路灯及景观亮化正常运行。</w:t>
            </w:r>
          </w:p>
        </w:tc>
        <w:tc>
          <w:tcPr>
            <w:tcW w:w="24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城区及各乡镇路灯及景观亮化正常运行。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1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为保障</w:t>
            </w:r>
            <w:r>
              <w:rPr>
                <w:rFonts w:hint="eastAsia" w:ascii="仿宋" w:hAnsi="仿宋" w:eastAsia="仿宋" w:cs="仿宋"/>
                <w:i w:val="0"/>
                <w:color w:val="000000"/>
                <w:kern w:val="0"/>
                <w:sz w:val="24"/>
                <w:szCs w:val="24"/>
                <w:highlight w:val="none"/>
                <w:u w:val="none"/>
                <w:lang w:val="en-US" w:eastAsia="zh-CN" w:bidi="ar"/>
              </w:rPr>
              <w:t>城区及各乡镇路灯及景观亮化正常运行，我单位</w:t>
            </w:r>
            <w:r>
              <w:rPr>
                <w:rFonts w:hint="eastAsia" w:ascii="仿宋" w:hAnsi="仿宋" w:eastAsia="仿宋" w:cs="仿宋"/>
                <w:i w:val="0"/>
                <w:color w:val="000000"/>
                <w:sz w:val="24"/>
                <w:szCs w:val="24"/>
                <w:highlight w:val="none"/>
                <w:u w:val="none"/>
              </w:rPr>
              <w:t>按量完成</w:t>
            </w:r>
            <w:r>
              <w:rPr>
                <w:rFonts w:hint="eastAsia" w:ascii="仿宋" w:hAnsi="仿宋" w:eastAsia="仿宋" w:cs="仿宋"/>
                <w:i w:val="0"/>
                <w:color w:val="000000"/>
                <w:sz w:val="24"/>
                <w:szCs w:val="24"/>
                <w:highlight w:val="none"/>
                <w:u w:val="none"/>
                <w:lang w:eastAsia="zh-CN"/>
              </w:rPr>
              <w:t>路灯维修</w:t>
            </w:r>
            <w:r>
              <w:rPr>
                <w:rFonts w:hint="eastAsia" w:ascii="仿宋" w:hAnsi="仿宋" w:eastAsia="仿宋" w:cs="仿宋"/>
                <w:i w:val="0"/>
                <w:color w:val="000000"/>
                <w:sz w:val="24"/>
                <w:szCs w:val="24"/>
                <w:highlight w:val="none"/>
                <w:u w:val="none"/>
              </w:rPr>
              <w:t>工作</w:t>
            </w:r>
            <w:r>
              <w:rPr>
                <w:rFonts w:hint="eastAsia" w:ascii="仿宋" w:hAnsi="仿宋" w:eastAsia="仿宋" w:cs="仿宋"/>
                <w:i w:val="0"/>
                <w:color w:val="000000"/>
                <w:sz w:val="24"/>
                <w:szCs w:val="24"/>
                <w:highlight w:val="none"/>
                <w:u w:val="none"/>
                <w:lang w:eastAsia="zh-CN"/>
              </w:rPr>
              <w:t>，按计划完成路灯保洁清洗</w:t>
            </w:r>
            <w:r>
              <w:rPr>
                <w:rFonts w:hint="eastAsia" w:ascii="仿宋" w:hAnsi="仿宋" w:eastAsia="仿宋" w:cs="仿宋"/>
                <w:i w:val="0"/>
                <w:color w:val="000000"/>
                <w:sz w:val="24"/>
                <w:szCs w:val="24"/>
                <w:highlight w:val="none"/>
                <w:u w:val="none"/>
              </w:rPr>
              <w:t>工作</w:t>
            </w:r>
            <w:r>
              <w:rPr>
                <w:rFonts w:hint="eastAsia" w:ascii="仿宋" w:hAnsi="仿宋" w:eastAsia="仿宋" w:cs="仿宋"/>
                <w:i w:val="0"/>
                <w:color w:val="000000"/>
                <w:sz w:val="24"/>
                <w:szCs w:val="24"/>
                <w:highlight w:val="none"/>
                <w:u w:val="none"/>
                <w:lang w:eastAsia="zh-CN"/>
              </w:rPr>
              <w:t>，</w:t>
            </w:r>
            <w:r>
              <w:rPr>
                <w:rFonts w:hint="eastAsia" w:ascii="仿宋" w:hAnsi="仿宋" w:eastAsia="仿宋" w:cs="仿宋"/>
                <w:i w:val="0"/>
                <w:color w:val="000000"/>
                <w:sz w:val="24"/>
                <w:szCs w:val="24"/>
                <w:highlight w:val="none"/>
                <w:u w:val="none"/>
              </w:rPr>
              <w:t>对城区</w:t>
            </w:r>
            <w:r>
              <w:rPr>
                <w:rFonts w:hint="eastAsia" w:ascii="仿宋" w:hAnsi="仿宋" w:eastAsia="仿宋" w:cs="仿宋"/>
                <w:i w:val="0"/>
                <w:color w:val="000000"/>
                <w:sz w:val="24"/>
                <w:szCs w:val="24"/>
                <w:highlight w:val="none"/>
                <w:u w:val="none"/>
                <w:lang w:eastAsia="zh-CN"/>
              </w:rPr>
              <w:t>及乡镇路灯</w:t>
            </w:r>
            <w:r>
              <w:rPr>
                <w:rFonts w:hint="eastAsia" w:ascii="仿宋" w:hAnsi="仿宋" w:eastAsia="仿宋" w:cs="仿宋"/>
                <w:i w:val="0"/>
                <w:color w:val="000000"/>
                <w:sz w:val="24"/>
                <w:szCs w:val="24"/>
                <w:highlight w:val="none"/>
                <w:u w:val="none"/>
              </w:rPr>
              <w:t>进行较好的管理维护，创造良好的投资环境</w:t>
            </w:r>
            <w:r>
              <w:rPr>
                <w:rFonts w:hint="eastAsia" w:ascii="仿宋" w:hAnsi="仿宋" w:eastAsia="仿宋" w:cs="仿宋"/>
                <w:i w:val="0"/>
                <w:color w:val="000000"/>
                <w:sz w:val="24"/>
                <w:szCs w:val="24"/>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路灯数量</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路灯亮灯率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及时对路灯及亮化设施进行维修率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路灯维护费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保障路灯维修成本控制率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保障群众出行安全率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可持续影响指标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城乡群众夜间出行亮化保障时间</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群众满意</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 w:hRule="atLeast"/>
        </w:trPr>
        <w:tc>
          <w:tcPr>
            <w:tcW w:w="704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color w:val="000000"/>
                <w:sz w:val="24"/>
                <w:szCs w:val="24"/>
                <w:highlight w:val="none"/>
                <w:u w:val="none"/>
                <w:lang w:val="en-US"/>
              </w:rPr>
            </w:pPr>
            <w:r>
              <w:rPr>
                <w:rFonts w:hint="eastAsia" w:ascii="仿宋" w:hAnsi="仿宋" w:eastAsia="仿宋" w:cs="仿宋"/>
                <w:sz w:val="24"/>
                <w:szCs w:val="24"/>
                <w:highlight w:val="none"/>
                <w:lang w:eastAsia="zh-CN"/>
              </w:rPr>
              <w:t>完成全市城乡20000余套路灯维护工作，</w:t>
            </w:r>
            <w:r>
              <w:rPr>
                <w:rFonts w:hint="eastAsia" w:ascii="仿宋" w:hAnsi="仿宋" w:eastAsia="仿宋" w:cs="仿宋"/>
                <w:i w:val="0"/>
                <w:color w:val="000000"/>
                <w:kern w:val="0"/>
                <w:sz w:val="24"/>
                <w:szCs w:val="24"/>
                <w:highlight w:val="none"/>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rPr>
            </w:pPr>
          </w:p>
        </w:tc>
      </w:tr>
    </w:tbl>
    <w:p>
      <w:pPr>
        <w:pStyle w:val="2"/>
        <w:keepNext w:val="0"/>
        <w:keepLines w:val="0"/>
        <w:pageBreakBefore w:val="0"/>
        <w:widowControl w:val="0"/>
        <w:kinsoku/>
        <w:wordWrap/>
        <w:overflowPunct/>
        <w:topLinePunct w:val="0"/>
        <w:autoSpaceDE/>
        <w:autoSpaceDN/>
        <w:bidi w:val="0"/>
        <w:adjustRightInd/>
        <w:snapToGrid/>
        <w:spacing w:before="93"/>
        <w:jc w:val="center"/>
        <w:textAlignment w:val="auto"/>
        <w:rPr>
          <w:rFonts w:hint="eastAsia" w:ascii="仿宋" w:hAnsi="仿宋" w:eastAsia="仿宋" w:cs="仿宋"/>
          <w:sz w:val="32"/>
          <w:szCs w:val="32"/>
          <w:highlight w:val="none"/>
        </w:rPr>
      </w:pPr>
      <w:bookmarkStart w:id="100" w:name="_Toc18171_WPSOffice_Level2"/>
      <w:bookmarkStart w:id="101" w:name="_Toc23192_WPSOffice_Level2"/>
      <w:r>
        <w:rPr>
          <w:rFonts w:hint="eastAsia" w:ascii="仿宋" w:hAnsi="仿宋" w:eastAsia="仿宋" w:cs="仿宋"/>
          <w:i w:val="0"/>
          <w:color w:val="000000"/>
          <w:kern w:val="0"/>
          <w:sz w:val="32"/>
          <w:szCs w:val="32"/>
          <w:highlight w:val="none"/>
          <w:u w:val="none"/>
          <w:lang w:val="en-US" w:eastAsia="zh-CN" w:bidi="ar"/>
        </w:rPr>
        <w:t>生活垃圾处理费</w:t>
      </w:r>
      <w:bookmarkEnd w:id="100"/>
      <w:bookmarkEnd w:id="101"/>
    </w:p>
    <w:tbl>
      <w:tblPr>
        <w:tblStyle w:val="1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01"/>
        <w:gridCol w:w="1050"/>
        <w:gridCol w:w="870"/>
        <w:gridCol w:w="1155"/>
        <w:gridCol w:w="525"/>
        <w:gridCol w:w="585"/>
        <w:gridCol w:w="540"/>
        <w:gridCol w:w="585"/>
        <w:gridCol w:w="585"/>
        <w:gridCol w:w="570"/>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1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51118122T000000374409-生活垃圾处理费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1125"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3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加强生活垃圾无害化处理工作，积极做好峨胜集团水泥窑协同处置生活垃圾项目运行中的相关环保转运工作。</w:t>
            </w:r>
          </w:p>
        </w:tc>
        <w:tc>
          <w:tcPr>
            <w:tcW w:w="3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完成生活垃圾无害化处理工作，完成峨胜集团水泥窑协同处置生活垃圾项目运行中的相关环保转运工作。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1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eastAsia="zh-CN"/>
              </w:rPr>
              <w:t>我单位通过与各相关部门密切协作和配合，保证</w:t>
            </w:r>
            <w:r>
              <w:rPr>
                <w:rFonts w:hint="eastAsia" w:ascii="仿宋" w:hAnsi="仿宋" w:eastAsia="仿宋" w:cs="仿宋"/>
                <w:i w:val="0"/>
                <w:color w:val="000000"/>
                <w:kern w:val="0"/>
                <w:sz w:val="24"/>
                <w:szCs w:val="24"/>
                <w:highlight w:val="none"/>
                <w:u w:val="none"/>
                <w:lang w:val="en-US" w:eastAsia="zh-CN" w:bidi="ar"/>
              </w:rPr>
              <w:t>生活垃圾无害化处理工作</w:t>
            </w:r>
            <w:r>
              <w:rPr>
                <w:rFonts w:hint="eastAsia" w:ascii="仿宋" w:hAnsi="仿宋" w:eastAsia="仿宋" w:cs="仿宋"/>
                <w:i w:val="0"/>
                <w:color w:val="000000"/>
                <w:sz w:val="24"/>
                <w:szCs w:val="24"/>
                <w:highlight w:val="none"/>
                <w:u w:val="none"/>
                <w:lang w:eastAsia="zh-CN"/>
              </w:rPr>
              <w:t>正常开展，切实履行环境卫生维护职能，</w:t>
            </w:r>
            <w:r>
              <w:rPr>
                <w:rFonts w:hint="eastAsia" w:ascii="仿宋" w:hAnsi="仿宋" w:eastAsia="仿宋" w:cs="仿宋"/>
                <w:i w:val="0"/>
                <w:color w:val="000000"/>
                <w:kern w:val="0"/>
                <w:sz w:val="24"/>
                <w:szCs w:val="24"/>
                <w:highlight w:val="none"/>
                <w:u w:val="none"/>
                <w:lang w:val="en-US" w:eastAsia="zh-CN" w:bidi="ar"/>
              </w:rPr>
              <w:t>及时支付全市生活垃圾处理费用。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2300.00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sz w:val="24"/>
                <w:szCs w:val="24"/>
                <w:highlight w:val="none"/>
                <w:lang w:val="en-US" w:eastAsia="zh-CN"/>
              </w:rPr>
            </w:pPr>
            <w:r>
              <w:rPr>
                <w:rFonts w:hint="eastAsia" w:ascii="仿宋" w:hAnsi="仿宋" w:eastAsia="仿宋" w:cs="仿宋"/>
                <w:i w:val="0"/>
                <w:color w:val="000000"/>
                <w:sz w:val="24"/>
                <w:szCs w:val="24"/>
                <w:highlight w:val="none"/>
                <w:u w:val="none"/>
                <w:lang w:val="en-US" w:eastAsia="zh-CN"/>
              </w:rPr>
              <w:t>1000.00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2300.00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1000.00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val="en-US" w:eastAsia="zh-CN"/>
              </w:rPr>
              <w:t>1000.00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二级指标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度量单位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生活垃圾年处理量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无害化生活垃圾处理运行质量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时效指标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2022年费用按季度支付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成本控制数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减量化、资源化利用率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社会效益指标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有效解决城市生活垃圾处理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生态效益指标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保障了良好人居生活环境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服务对象满意度指标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调查了解城市居民满意度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 w:hRule="atLeast"/>
        </w:trPr>
        <w:tc>
          <w:tcPr>
            <w:tcW w:w="64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color w:val="000000"/>
                <w:sz w:val="24"/>
                <w:szCs w:val="24"/>
                <w:highlight w:val="none"/>
                <w:u w:val="none"/>
                <w:lang w:eastAsia="zh-CN"/>
              </w:rPr>
              <w:t>生活垃圾年处理量达</w:t>
            </w:r>
            <w:r>
              <w:rPr>
                <w:rFonts w:hint="eastAsia" w:ascii="仿宋" w:hAnsi="仿宋" w:eastAsia="仿宋" w:cs="仿宋"/>
                <w:i w:val="0"/>
                <w:color w:val="000000"/>
                <w:sz w:val="24"/>
                <w:szCs w:val="24"/>
                <w:highlight w:val="none"/>
                <w:u w:val="none"/>
                <w:lang w:val="en-US" w:eastAsia="zh-CN"/>
              </w:rPr>
              <w:t>13万吨，</w:t>
            </w:r>
            <w:r>
              <w:rPr>
                <w:rFonts w:hint="eastAsia" w:ascii="仿宋" w:hAnsi="仿宋" w:eastAsia="仿宋" w:cs="仿宋"/>
                <w:i w:val="0"/>
                <w:color w:val="000000"/>
                <w:kern w:val="0"/>
                <w:sz w:val="24"/>
                <w:szCs w:val="24"/>
                <w:highlight w:val="none"/>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color w:val="000000"/>
                <w:sz w:val="24"/>
                <w:szCs w:val="24"/>
                <w:highlight w:val="none"/>
                <w:u w:val="none"/>
              </w:rPr>
            </w:pPr>
          </w:p>
        </w:tc>
      </w:tr>
    </w:tbl>
    <w:p>
      <w:pPr>
        <w:pStyle w:val="2"/>
        <w:keepNext w:val="0"/>
        <w:keepLines w:val="0"/>
        <w:pageBreakBefore w:val="0"/>
        <w:widowControl w:val="0"/>
        <w:kinsoku/>
        <w:wordWrap/>
        <w:overflowPunct/>
        <w:topLinePunct w:val="0"/>
        <w:autoSpaceDE/>
        <w:autoSpaceDN/>
        <w:bidi w:val="0"/>
        <w:adjustRightInd/>
        <w:snapToGrid/>
        <w:spacing w:before="93"/>
        <w:jc w:val="center"/>
        <w:textAlignment w:val="auto"/>
        <w:rPr>
          <w:rFonts w:hint="eastAsia" w:ascii="仿宋" w:hAnsi="仿宋" w:eastAsia="仿宋" w:cs="仿宋"/>
          <w:sz w:val="32"/>
          <w:szCs w:val="32"/>
          <w:highlight w:val="none"/>
        </w:rPr>
      </w:pPr>
      <w:bookmarkStart w:id="102" w:name="_Toc12779_WPSOffice_Level2"/>
      <w:bookmarkStart w:id="103" w:name="_Toc8295_WPSOffice_Level2"/>
      <w:r>
        <w:rPr>
          <w:rFonts w:hint="eastAsia" w:ascii="仿宋" w:hAnsi="仿宋" w:eastAsia="仿宋" w:cs="仿宋"/>
          <w:i w:val="0"/>
          <w:color w:val="000000"/>
          <w:kern w:val="0"/>
          <w:sz w:val="32"/>
          <w:szCs w:val="32"/>
          <w:highlight w:val="none"/>
          <w:u w:val="none"/>
          <w:lang w:val="en-US" w:eastAsia="zh-CN" w:bidi="ar"/>
        </w:rPr>
        <w:t>城区道路景点绿化维护费</w:t>
      </w:r>
      <w:bookmarkEnd w:id="102"/>
      <w:bookmarkEnd w:id="103"/>
    </w:p>
    <w:tbl>
      <w:tblPr>
        <w:tblStyle w:val="15"/>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6"/>
        <w:gridCol w:w="1155"/>
        <w:gridCol w:w="780"/>
        <w:gridCol w:w="1800"/>
        <w:gridCol w:w="390"/>
        <w:gridCol w:w="555"/>
        <w:gridCol w:w="585"/>
        <w:gridCol w:w="585"/>
        <w:gridCol w:w="480"/>
        <w:gridCol w:w="435"/>
        <w:gridCol w:w="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0" w:hRule="atLeast"/>
        </w:trPr>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0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51118122T000000393576-城区道路景点绿化维护费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23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117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3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做好城市建成区道路、公园、广场的园林绿化、树木花草、园林设施的管理维护；抓好苗圃生产；完成市委市政府交办的绿化任务。</w:t>
            </w:r>
          </w:p>
        </w:tc>
        <w:tc>
          <w:tcPr>
            <w:tcW w:w="2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完成城市建成区道路、公园、广场园林绿化、树木花草、园林设施管理维护；完成苗圃生产。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0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我单位积极开展城区</w:t>
            </w:r>
            <w:r>
              <w:rPr>
                <w:rFonts w:hint="eastAsia" w:ascii="仿宋" w:hAnsi="仿宋" w:eastAsia="仿宋" w:cs="仿宋"/>
                <w:i w:val="0"/>
                <w:color w:val="000000"/>
                <w:kern w:val="0"/>
                <w:sz w:val="24"/>
                <w:szCs w:val="24"/>
                <w:highlight w:val="none"/>
                <w:u w:val="none"/>
                <w:lang w:val="en-US" w:eastAsia="zh-CN" w:bidi="ar"/>
              </w:rPr>
              <w:t>道路、公园、广场的园林绿化、树木花草、园林设施的管理维护工作</w:t>
            </w:r>
            <w:r>
              <w:rPr>
                <w:rFonts w:hint="eastAsia" w:ascii="仿宋" w:hAnsi="仿宋" w:eastAsia="仿宋" w:cs="仿宋"/>
                <w:i w:val="0"/>
                <w:iCs w:val="0"/>
                <w:color w:val="000000"/>
                <w:kern w:val="0"/>
                <w:sz w:val="24"/>
                <w:szCs w:val="24"/>
                <w:highlight w:val="none"/>
                <w:u w:val="none"/>
                <w:lang w:val="en-US" w:eastAsia="zh-CN" w:bidi="ar"/>
              </w:rPr>
              <w:t>，每月支付绿化维护费用，</w:t>
            </w:r>
            <w:r>
              <w:rPr>
                <w:rFonts w:hint="eastAsia" w:ascii="仿宋" w:hAnsi="仿宋" w:eastAsia="仿宋" w:cs="仿宋"/>
                <w:i w:val="0"/>
                <w:color w:val="000000"/>
                <w:kern w:val="0"/>
                <w:sz w:val="24"/>
                <w:szCs w:val="24"/>
                <w:highlight w:val="none"/>
                <w:u w:val="none"/>
                <w:lang w:val="en-US" w:eastAsia="zh-CN" w:bidi="ar"/>
              </w:rPr>
              <w:t>对城区绿地有力较好地管理维护，创造良好城区绿地环境。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521.48</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521.48</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521.48</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521.48</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绩效指标（90分）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二级指标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三级指标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指标性质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度量单位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得分</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按量完成修剪施肥工作</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次/年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按量完成修剪、除草、病虫害防治工作</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2900000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2900000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按时完成绿化维护、苗圃生产工作</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效果指标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确保鲜花摆放500万盆</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5000000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人工喷药（乔木+灌木+绿地）12次</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社会效益指标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对城区绿地有力较好地管理维护，提升市民幸福指数</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月</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生态效益指标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创造良好的城区绿地环境</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优良中低差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满意度指标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服务对象满意度指标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调查了解城市居民对城区公共绿地养护满意程度</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69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评价结论</w:t>
            </w:r>
          </w:p>
        </w:tc>
        <w:tc>
          <w:tcPr>
            <w:tcW w:w="71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创造良好的城区绿地环境，自评得分100分。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存在问题</w:t>
            </w:r>
          </w:p>
        </w:tc>
        <w:tc>
          <w:tcPr>
            <w:tcW w:w="71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改进措施</w:t>
            </w:r>
          </w:p>
        </w:tc>
        <w:tc>
          <w:tcPr>
            <w:tcW w:w="71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p>
        </w:tc>
      </w:tr>
    </w:tbl>
    <w:p>
      <w:pPr>
        <w:pStyle w:val="2"/>
        <w:spacing w:before="93"/>
        <w:jc w:val="center"/>
        <w:rPr>
          <w:rFonts w:hAnsi="Calibri" w:cs="仿宋"/>
          <w:sz w:val="32"/>
          <w:szCs w:val="32"/>
          <w:highlight w:val="none"/>
        </w:rPr>
      </w:pPr>
      <w:bookmarkStart w:id="104" w:name="_Toc18395_WPSOffice_Level2"/>
      <w:bookmarkStart w:id="105" w:name="_Toc12398_WPSOffice_Level2"/>
      <w:r>
        <w:rPr>
          <w:rFonts w:hint="eastAsia" w:hAnsi="Calibri" w:cs="仿宋"/>
          <w:sz w:val="32"/>
          <w:szCs w:val="32"/>
          <w:highlight w:val="none"/>
        </w:rPr>
        <w:t>峨秀湖公园物业管理费</w:t>
      </w:r>
      <w:bookmarkEnd w:id="104"/>
      <w:bookmarkEnd w:id="105"/>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41"/>
        <w:gridCol w:w="1155"/>
        <w:gridCol w:w="795"/>
        <w:gridCol w:w="1800"/>
        <w:gridCol w:w="270"/>
        <w:gridCol w:w="720"/>
        <w:gridCol w:w="420"/>
        <w:gridCol w:w="870"/>
        <w:gridCol w:w="420"/>
        <w:gridCol w:w="405"/>
        <w:gridCol w:w="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1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51118121T000000064472-峨秀湖公园物业管理费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4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8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2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4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做好城市建成区公园的环境卫生管理维护。</w:t>
            </w:r>
          </w:p>
        </w:tc>
        <w:tc>
          <w:tcPr>
            <w:tcW w:w="2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做好峨秀湖的环境卫生管理维护。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1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维护峨秀湖公园</w:t>
            </w:r>
            <w:r>
              <w:rPr>
                <w:rFonts w:hint="eastAsia" w:ascii="仿宋" w:hAnsi="仿宋" w:eastAsia="仿宋" w:cs="仿宋"/>
                <w:i w:val="0"/>
                <w:color w:val="000000"/>
                <w:kern w:val="0"/>
                <w:sz w:val="24"/>
                <w:szCs w:val="24"/>
                <w:highlight w:val="none"/>
                <w:u w:val="none"/>
                <w:lang w:val="en-US" w:eastAsia="zh-CN" w:bidi="ar"/>
              </w:rPr>
              <w:t>景区道路、建筑、停车场等卫生保洁工作。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1-12月景区道路、建筑、停车场等卫生保洁</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1-12月景区道路、建筑、停车场等卫生保洁</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平方公里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1-12月景区道路、建筑、停车场等卫生保洁</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效果指标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1-12月景区道路、建筑、停车场等卫生保洁</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1-12月景区道路、建筑、停车场等卫生保洁</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创造良好生态环境</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显著</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高中低</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调查了解城市居民对峨秀湖的卫生维护满意程度</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1" w:hRule="atLeast"/>
        </w:trPr>
        <w:tc>
          <w:tcPr>
            <w:tcW w:w="70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sz w:val="24"/>
                <w:szCs w:val="24"/>
                <w:highlight w:val="none"/>
                <w:u w:val="none"/>
                <w:lang w:eastAsia="zh-CN"/>
              </w:rPr>
              <w:t>维护峨秀湖公园</w:t>
            </w:r>
            <w:r>
              <w:rPr>
                <w:rFonts w:hint="eastAsia" w:ascii="仿宋" w:hAnsi="仿宋" w:eastAsia="仿宋" w:cs="仿宋"/>
                <w:i w:val="0"/>
                <w:color w:val="000000"/>
                <w:kern w:val="0"/>
                <w:sz w:val="24"/>
                <w:szCs w:val="24"/>
                <w:highlight w:val="none"/>
                <w:u w:val="none"/>
                <w:lang w:val="en-US" w:eastAsia="zh-CN" w:bidi="ar"/>
              </w:rPr>
              <w:t>道路、建筑、停车场等卫生保洁，自评得分100分。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06" w:name="_Toc24734_WPSOffice_Level2"/>
      <w:bookmarkStart w:id="107" w:name="_Toc14406_WPSOffice_Level2"/>
      <w:r>
        <w:rPr>
          <w:rFonts w:hint="eastAsia"/>
          <w:sz w:val="32"/>
          <w:szCs w:val="28"/>
          <w:highlight w:val="none"/>
        </w:rPr>
        <w:t>洒水车水费</w:t>
      </w:r>
      <w:bookmarkEnd w:id="106"/>
      <w:bookmarkEnd w:id="107"/>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01"/>
        <w:gridCol w:w="1020"/>
        <w:gridCol w:w="915"/>
        <w:gridCol w:w="1830"/>
        <w:gridCol w:w="405"/>
        <w:gridCol w:w="570"/>
        <w:gridCol w:w="330"/>
        <w:gridCol w:w="930"/>
        <w:gridCol w:w="390"/>
        <w:gridCol w:w="435"/>
        <w:gridCol w:w="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51118122T000000361522-洒水车水费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4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做好城区绿化管护工作洒水车辆专用供水。</w:t>
            </w:r>
          </w:p>
        </w:tc>
        <w:tc>
          <w:tcPr>
            <w:tcW w:w="2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保障城区绿化管护工作洒水车辆专用供水。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对11辆洒水车按规范调度使用，保障城区绿化管护工作洒水车辆专用供水。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6.07</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6.07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6.07</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6.07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5-10月11辆洒水车防倒伏抗旱</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5-10月浇水抗旱</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5-10月按时浇水</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效果指标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保证城区绿地的良好维护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对11辆洒水车按规范调度使用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高中低</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对城区绿地进行较好的管理维护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保证绿化的良好维护，创造优良的生态环境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了解城市居民对公共绿地养护满意程度</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对11辆洒水车按规范调度使用，自评得分100分。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08" w:name="_Toc27867_WPSOffice_Level2"/>
      <w:bookmarkStart w:id="109" w:name="_Toc24912_WPSOffice_Level2"/>
      <w:r>
        <w:rPr>
          <w:rFonts w:hint="eastAsia"/>
          <w:sz w:val="32"/>
          <w:szCs w:val="28"/>
          <w:highlight w:val="none"/>
        </w:rPr>
        <w:t>环卫专用车辆水费</w:t>
      </w:r>
      <w:bookmarkEnd w:id="108"/>
      <w:bookmarkEnd w:id="109"/>
    </w:p>
    <w:tbl>
      <w:tblPr>
        <w:tblStyle w:val="15"/>
        <w:tblW w:w="8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6"/>
        <w:gridCol w:w="1006"/>
        <w:gridCol w:w="750"/>
        <w:gridCol w:w="1919"/>
        <w:gridCol w:w="360"/>
        <w:gridCol w:w="555"/>
        <w:gridCol w:w="555"/>
        <w:gridCol w:w="915"/>
        <w:gridCol w:w="450"/>
        <w:gridCol w:w="405"/>
        <w:gridCol w:w="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51118122T000000374223-环卫专用车辆水费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4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4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车辆共计25辆，城区道路作业面积约298万平方米，据实据效完成全市道路洗扫、降尘作业工作任务。</w:t>
            </w:r>
          </w:p>
        </w:tc>
        <w:tc>
          <w:tcPr>
            <w:tcW w:w="2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据实据效完成全市道路洗扫、降尘作业工作任务。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道路洗扫、降尘覆盖面积298万平方米，据实据效完成全市道路洗扫、降尘作业工作任务，保障城市环境卫生。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11.10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11.10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洗扫车、抑尘车数量</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道路洗扫、降尘覆盖面积</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2980000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平方米</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2980000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每月按实缴纳水费</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成本控制数</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11.1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减少扬尘污染，保障道路洁净度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提高城市环境及空气质量，助力旅游产业发展</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减少环境污染，保障优良人居环境</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调查城市居民满意度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 w:hRule="atLeast"/>
        </w:trPr>
        <w:tc>
          <w:tcPr>
            <w:tcW w:w="70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道路洗扫、降尘覆盖面积298万平方米，自评得分100分。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b/>
          <w:bCs/>
          <w:sz w:val="44"/>
          <w:szCs w:val="44"/>
          <w:highlight w:val="none"/>
        </w:rPr>
      </w:pPr>
    </w:p>
    <w:p>
      <w:pPr>
        <w:pStyle w:val="2"/>
        <w:jc w:val="center"/>
        <w:rPr>
          <w:rFonts w:hint="eastAsia"/>
          <w:sz w:val="32"/>
          <w:szCs w:val="28"/>
          <w:highlight w:val="none"/>
        </w:rPr>
      </w:pPr>
      <w:bookmarkStart w:id="110" w:name="_Toc11815_WPSOffice_Level2"/>
      <w:bookmarkStart w:id="111" w:name="_Toc20235_WPSOffice_Level2"/>
      <w:r>
        <w:rPr>
          <w:rFonts w:hint="eastAsia"/>
          <w:sz w:val="32"/>
          <w:szCs w:val="28"/>
          <w:highlight w:val="none"/>
        </w:rPr>
        <w:t>环卫设施设备等维护费</w:t>
      </w:r>
      <w:bookmarkEnd w:id="110"/>
      <w:bookmarkEnd w:id="111"/>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8"/>
        <w:gridCol w:w="1049"/>
        <w:gridCol w:w="927"/>
        <w:gridCol w:w="1108"/>
        <w:gridCol w:w="405"/>
        <w:gridCol w:w="548"/>
        <w:gridCol w:w="867"/>
        <w:gridCol w:w="960"/>
        <w:gridCol w:w="510"/>
        <w:gridCol w:w="519"/>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51118122T000000374327-环卫设施设备等维护费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9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26"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38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加大环卫基础设施维护，进一步加强环卫设施设备的维护与管理，确保安全高效运转，提高设备使用效率。2022年力争完成目标：1、48座公厕：水电费及日常维修费；2、8座垃圾中转站11台压缩设备(其中4台老化超年限使用，维修成本高）水电及日常维修费；3、88辆电动清运车维修费及蓄电池更换；4、按双创和人居农村环境整治要求逐步淘汰铁皮垃圾桶置换更新环保垃圾桶、四分类垃圾桶及配套垃圾袋；5、聘用人员清扫工具费；6、高速路口2座旅游公厕和东湖湿地公园3座公厕地面受损维修及墙体防水处理；7、老旧公厕线路老化需提升改造；8、2座天下名山公厕和1座峨眉站前广场公厕需按星级标准提升改造；9、环卫设施设备购置尾款。</w:t>
            </w:r>
          </w:p>
        </w:tc>
        <w:tc>
          <w:tcPr>
            <w:tcW w:w="2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保障环卫基础设施维护与管理，</w:t>
            </w:r>
            <w:r>
              <w:rPr>
                <w:rFonts w:hint="eastAsia" w:ascii="仿宋" w:hAnsi="仿宋" w:eastAsia="仿宋" w:cs="仿宋"/>
                <w:i w:val="0"/>
                <w:color w:val="000000"/>
                <w:kern w:val="0"/>
                <w:sz w:val="24"/>
                <w:szCs w:val="24"/>
                <w:highlight w:val="none"/>
                <w:u w:val="none"/>
                <w:lang w:val="en-US" w:eastAsia="zh-CN" w:bidi="ar"/>
              </w:rPr>
              <w:t>确保安全高效运转，提高设备使用效率。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40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sz w:val="24"/>
                <w:szCs w:val="24"/>
                <w:highlight w:val="none"/>
                <w:u w:val="none"/>
                <w:lang w:eastAsia="zh-CN"/>
              </w:rPr>
              <w:t>保障环卫基础设施维护与管理，</w:t>
            </w:r>
            <w:r>
              <w:rPr>
                <w:rFonts w:hint="eastAsia" w:ascii="仿宋" w:hAnsi="仿宋" w:eastAsia="仿宋" w:cs="仿宋"/>
                <w:i w:val="0"/>
                <w:color w:val="000000"/>
                <w:kern w:val="0"/>
                <w:sz w:val="24"/>
                <w:szCs w:val="24"/>
                <w:highlight w:val="none"/>
                <w:u w:val="none"/>
                <w:lang w:val="en-US" w:eastAsia="zh-CN" w:bidi="ar"/>
              </w:rPr>
              <w:t>提高城市环境生态质量。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300.00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203.73</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203.73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300.00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203.73</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203.73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设施设备数量</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个（台、套、件、辆）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155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环卫设施设备运行质量</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及时维修率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成本控制数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395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203.73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提高使用率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为城市生产生活基础保障</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提高城市环境生态质量</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调查群众满意度</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trPr>
        <w:tc>
          <w:tcPr>
            <w:tcW w:w="67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4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成本控制数203.73万元，设施设备155个（台、套、件、辆），</w:t>
            </w:r>
            <w:r>
              <w:rPr>
                <w:rFonts w:hint="eastAsia" w:ascii="仿宋" w:hAnsi="仿宋" w:eastAsia="仿宋" w:cs="仿宋"/>
                <w:i w:val="0"/>
                <w:color w:val="000000"/>
                <w:sz w:val="24"/>
                <w:szCs w:val="24"/>
                <w:highlight w:val="none"/>
                <w:u w:val="none"/>
                <w:lang w:eastAsia="zh-CN"/>
              </w:rPr>
              <w:t>保障环卫基础设施维护与管理</w:t>
            </w:r>
            <w:r>
              <w:rPr>
                <w:rFonts w:hint="eastAsia" w:ascii="仿宋" w:hAnsi="仿宋" w:eastAsia="仿宋" w:cs="仿宋"/>
                <w:i w:val="0"/>
                <w:color w:val="000000"/>
                <w:kern w:val="0"/>
                <w:sz w:val="24"/>
                <w:szCs w:val="24"/>
                <w:highlight w:val="none"/>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4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4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bl>
    <w:p>
      <w:pPr>
        <w:pStyle w:val="2"/>
        <w:rPr>
          <w:rFonts w:hint="eastAsia" w:ascii="黑体" w:hAnsi="黑体" w:eastAsia="黑体"/>
          <w:b/>
          <w:bCs/>
          <w:sz w:val="44"/>
          <w:szCs w:val="44"/>
          <w:highlight w:val="none"/>
        </w:rPr>
      </w:pPr>
    </w:p>
    <w:p>
      <w:pPr>
        <w:pStyle w:val="2"/>
        <w:rPr>
          <w:rFonts w:hint="eastAsia" w:ascii="黑体" w:hAnsi="黑体" w:eastAsia="黑体"/>
          <w:b/>
          <w:bCs/>
          <w:sz w:val="44"/>
          <w:szCs w:val="44"/>
          <w:highlight w:val="none"/>
        </w:rPr>
      </w:pPr>
    </w:p>
    <w:p>
      <w:pPr>
        <w:pStyle w:val="2"/>
        <w:rPr>
          <w:rFonts w:hint="eastAsia" w:ascii="黑体" w:hAnsi="黑体" w:eastAsia="黑体"/>
          <w:b/>
          <w:bCs/>
          <w:sz w:val="44"/>
          <w:szCs w:val="44"/>
          <w:highlight w:val="none"/>
        </w:rPr>
      </w:pPr>
    </w:p>
    <w:p>
      <w:pPr>
        <w:pStyle w:val="2"/>
        <w:rPr>
          <w:rFonts w:hint="eastAsia" w:ascii="黑体" w:hAnsi="黑体" w:eastAsia="黑体"/>
          <w:b/>
          <w:bCs/>
          <w:sz w:val="44"/>
          <w:szCs w:val="44"/>
          <w:highlight w:val="none"/>
        </w:rPr>
      </w:pPr>
    </w:p>
    <w:p>
      <w:pPr>
        <w:pStyle w:val="2"/>
        <w:rPr>
          <w:rFonts w:hint="eastAsia" w:ascii="黑体" w:hAnsi="黑体" w:eastAsia="黑体"/>
          <w:b/>
          <w:bCs/>
          <w:sz w:val="44"/>
          <w:szCs w:val="44"/>
          <w:highlight w:val="none"/>
        </w:rPr>
      </w:pPr>
    </w:p>
    <w:p>
      <w:pPr>
        <w:pStyle w:val="2"/>
        <w:rPr>
          <w:rFonts w:hint="eastAsia" w:ascii="黑体" w:hAnsi="黑体" w:eastAsia="黑体"/>
          <w:b/>
          <w:bCs/>
          <w:sz w:val="44"/>
          <w:szCs w:val="44"/>
          <w:highlight w:val="none"/>
        </w:rPr>
      </w:pPr>
    </w:p>
    <w:p>
      <w:pPr>
        <w:pStyle w:val="2"/>
        <w:jc w:val="both"/>
        <w:rPr>
          <w:rFonts w:hint="eastAsia"/>
          <w:sz w:val="32"/>
          <w:szCs w:val="28"/>
          <w:highlight w:val="none"/>
        </w:rPr>
      </w:pPr>
    </w:p>
    <w:p>
      <w:pPr>
        <w:pStyle w:val="2"/>
        <w:jc w:val="center"/>
        <w:rPr>
          <w:rFonts w:hint="eastAsia"/>
          <w:sz w:val="32"/>
          <w:szCs w:val="28"/>
          <w:highlight w:val="none"/>
        </w:rPr>
      </w:pPr>
    </w:p>
    <w:p>
      <w:pPr>
        <w:pStyle w:val="2"/>
        <w:jc w:val="center"/>
        <w:rPr>
          <w:rFonts w:hint="eastAsia"/>
          <w:sz w:val="32"/>
          <w:szCs w:val="28"/>
          <w:highlight w:val="none"/>
        </w:rPr>
      </w:pPr>
    </w:p>
    <w:p>
      <w:pPr>
        <w:pStyle w:val="2"/>
        <w:jc w:val="center"/>
        <w:rPr>
          <w:rFonts w:hint="eastAsia"/>
          <w:sz w:val="32"/>
          <w:szCs w:val="28"/>
          <w:highlight w:val="none"/>
        </w:rPr>
      </w:pPr>
    </w:p>
    <w:p>
      <w:pPr>
        <w:pStyle w:val="2"/>
        <w:jc w:val="center"/>
        <w:rPr>
          <w:rFonts w:hint="eastAsia"/>
          <w:sz w:val="32"/>
          <w:szCs w:val="28"/>
          <w:highlight w:val="none"/>
        </w:rPr>
      </w:pPr>
    </w:p>
    <w:p>
      <w:pPr>
        <w:pStyle w:val="2"/>
        <w:jc w:val="center"/>
        <w:rPr>
          <w:rFonts w:hint="eastAsia"/>
          <w:sz w:val="32"/>
          <w:szCs w:val="28"/>
          <w:highlight w:val="none"/>
        </w:rPr>
      </w:pPr>
      <w:bookmarkStart w:id="112" w:name="_Toc13405_WPSOffice_Level2"/>
      <w:bookmarkStart w:id="113" w:name="_Toc4810_WPSOffice_Level2"/>
      <w:r>
        <w:rPr>
          <w:rFonts w:hint="eastAsia"/>
          <w:sz w:val="32"/>
          <w:szCs w:val="28"/>
          <w:highlight w:val="none"/>
        </w:rPr>
        <w:t>峨秀湖景区保安服务费</w:t>
      </w:r>
      <w:bookmarkEnd w:id="112"/>
      <w:bookmarkEnd w:id="113"/>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2"/>
        <w:gridCol w:w="990"/>
        <w:gridCol w:w="705"/>
        <w:gridCol w:w="1329"/>
        <w:gridCol w:w="81"/>
        <w:gridCol w:w="589"/>
        <w:gridCol w:w="596"/>
        <w:gridCol w:w="540"/>
        <w:gridCol w:w="341"/>
        <w:gridCol w:w="529"/>
        <w:gridCol w:w="585"/>
        <w:gridCol w:w="448"/>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3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51118122T000000396536-峨秀湖景区保安服务费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2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实施单位</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做好峨秀湖公园的管理维护工作。</w:t>
            </w:r>
          </w:p>
        </w:tc>
        <w:tc>
          <w:tcPr>
            <w:tcW w:w="2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保障峨秀湖公园的管理维护工作。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32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全年保障峨秀湖景区的正常运行，做好峨秀湖度假区的安全、秩序管理。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5"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99.22</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49.61</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49.61</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99.22</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49.61</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49.61</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保安管理人员30人</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保障峨秀湖度假区秩序正常</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平方公里</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全年保障峨秀湖景区的正常运行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效果指标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峨秀湖景区良好环境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以合理的市场价格保障景区管理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992160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元/年</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992160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方便市民生活需要</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做好峨秀湖度假区的安全、秩序管理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处</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调查了解居民对峨秀湖度假区秩序的满意程度</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1" w:hRule="atLeast"/>
        </w:trPr>
        <w:tc>
          <w:tcPr>
            <w:tcW w:w="67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kern w:val="0"/>
                <w:sz w:val="24"/>
                <w:szCs w:val="24"/>
                <w:highlight w:val="none"/>
                <w:u w:val="none"/>
                <w:lang w:val="en-US" w:eastAsia="zh-CN" w:bidi="ar"/>
              </w:rPr>
              <w:t>全年保障峨秀湖景区的正常运行，自评得分100分。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14" w:name="_Toc7065_WPSOffice_Level2"/>
      <w:bookmarkStart w:id="115" w:name="_Toc32177_WPSOffice_Level2"/>
      <w:r>
        <w:rPr>
          <w:rFonts w:hint="eastAsia"/>
          <w:sz w:val="32"/>
          <w:szCs w:val="28"/>
          <w:highlight w:val="none"/>
        </w:rPr>
        <w:t>峨秀湖公园大坝栈道及观景平台维修工程</w:t>
      </w:r>
      <w:bookmarkEnd w:id="114"/>
      <w:bookmarkEnd w:id="115"/>
    </w:p>
    <w:tbl>
      <w:tblPr>
        <w:tblStyle w:val="15"/>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2"/>
        <w:gridCol w:w="1009"/>
        <w:gridCol w:w="1061"/>
        <w:gridCol w:w="945"/>
        <w:gridCol w:w="585"/>
        <w:gridCol w:w="420"/>
        <w:gridCol w:w="60"/>
        <w:gridCol w:w="525"/>
        <w:gridCol w:w="585"/>
        <w:gridCol w:w="885"/>
        <w:gridCol w:w="465"/>
        <w:gridCol w:w="420"/>
        <w:gridCol w:w="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0"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51118122T000000400422-峨秀湖公园大坝栈道及观景平台维修工程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1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实施单位</w:t>
            </w:r>
          </w:p>
        </w:tc>
        <w:tc>
          <w:tcPr>
            <w:tcW w:w="33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1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41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峨秀湖大坝下方栈道和上方观景平台加固维修。</w:t>
            </w:r>
          </w:p>
        </w:tc>
        <w:tc>
          <w:tcPr>
            <w:tcW w:w="2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保障峨秀湖大坝栈道观景平台加固维修。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保障峨秀湖大坝下方栈道和上方观景平台加固维修。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86.83</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65.85</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65.85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86.83</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65.85</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65.85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对峨秀湖现栈道次梁、面板、护栏维修</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1285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平方米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1285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对峨秀湖现栈道次梁、面板、护栏维修</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558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558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按时完成对峨秀湖现栈道次梁、面板、护栏维修</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效果指标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对峨秀湖现栈道次梁、面板、护栏维修</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招标采购价格完成维修加固</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做好峨秀湖公园栈道、观景平台的管理维护工作</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创造良好的峨秀湖生态环境</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调查了解居民对峨秀湖公园的满意程度</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处</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90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99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4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保障峨秀湖大坝下方栈道和上方观景平台加固维修，自评得分100分。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4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41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16" w:name="_Toc21622_WPSOffice_Level2"/>
      <w:bookmarkStart w:id="117" w:name="_Toc7949_WPSOffice_Level2"/>
      <w:r>
        <w:rPr>
          <w:rFonts w:hint="eastAsia"/>
          <w:sz w:val="32"/>
          <w:szCs w:val="28"/>
          <w:highlight w:val="none"/>
        </w:rPr>
        <w:t>春节期间已完工项目工程支付库（城建、环卫、绿保）</w:t>
      </w:r>
      <w:bookmarkEnd w:id="116"/>
      <w:bookmarkEnd w:id="117"/>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6"/>
        <w:gridCol w:w="1111"/>
        <w:gridCol w:w="691"/>
        <w:gridCol w:w="1940"/>
        <w:gridCol w:w="399"/>
        <w:gridCol w:w="632"/>
        <w:gridCol w:w="399"/>
        <w:gridCol w:w="889"/>
        <w:gridCol w:w="447"/>
        <w:gridCol w:w="438"/>
        <w:gridCol w:w="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3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51118122T000005734996-春节期间已完工项目工程支付库（城建、环卫、绿保）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4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88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40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春节期间已完工未支付项目按计划逐步兑付。</w:t>
            </w:r>
          </w:p>
        </w:tc>
        <w:tc>
          <w:tcPr>
            <w:tcW w:w="22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按照财政拨付资金支付春节期间已完工未支付项目。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3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按照财政拨付资金支付春节期间已完工未支付项目。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3056.57</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3056.57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3056.57</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3056.57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按计划完成各类市政工程，在质量保质期内保证设施完好</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在规定的时间内完成计划工程</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工程总金额控制在25571万元以内</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25571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3056.57</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按照结算评审、公开招标采购金额进行支付</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25571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3056.57</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按照公开招标采购结果确定施工方</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25571</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3056.57</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 服务对象满意度指标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调查城市居民对城乡环境满意度</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trPr>
        <w:tc>
          <w:tcPr>
            <w:tcW w:w="6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4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按照财政拨付资金支付，自评得分100分。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4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改进措施</w:t>
            </w:r>
          </w:p>
        </w:tc>
        <w:tc>
          <w:tcPr>
            <w:tcW w:w="745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18" w:name="_Toc18276_WPSOffice_Level2"/>
      <w:bookmarkStart w:id="119" w:name="_Toc2478_WPSOffice_Level2"/>
      <w:r>
        <w:rPr>
          <w:rFonts w:hint="eastAsia"/>
          <w:sz w:val="32"/>
          <w:szCs w:val="28"/>
          <w:highlight w:val="none"/>
        </w:rPr>
        <w:t>峨秀湖环湖绿道工程</w:t>
      </w:r>
      <w:bookmarkEnd w:id="118"/>
      <w:bookmarkEnd w:id="119"/>
    </w:p>
    <w:tbl>
      <w:tblPr>
        <w:tblStyle w:val="15"/>
        <w:tblW w:w="8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41"/>
        <w:gridCol w:w="1155"/>
        <w:gridCol w:w="795"/>
        <w:gridCol w:w="1249"/>
        <w:gridCol w:w="281"/>
        <w:gridCol w:w="240"/>
        <w:gridCol w:w="525"/>
        <w:gridCol w:w="540"/>
        <w:gridCol w:w="1005"/>
        <w:gridCol w:w="480"/>
        <w:gridCol w:w="450"/>
        <w:gridCol w:w="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1" w:hRule="atLeast"/>
        </w:trPr>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1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51118122T000006331479-峨秀湖环湖绿道工程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2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1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实施单位</w:t>
            </w:r>
          </w:p>
        </w:tc>
        <w:tc>
          <w:tcPr>
            <w:tcW w:w="3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36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改造彩色路面4.3km、休息座椅、环卫、绿化、亮化等</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改造彩色路面4.3km、休息座椅、环卫设、绿化、亮化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1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改造彩色路面4.3km、休息座椅、环卫设施、绿化、亮化等。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29.00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29.00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29.00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29.00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按照规定的施工日期完成项目施工</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70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符合国家及地方政府工程项目有关规定</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路灯电缆</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3796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3796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彩色沥青混凝土路面</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4.3</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公里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工程成本控制在预算造价以内</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362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29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保护好峨秀湖公园的生态环境</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创造峨秀湖公园良好的环境</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调查市民对峨秀湖公园基础设施维护的满意度</w:t>
            </w: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改造峨秀湖环湖绿道工程，自评得分100分。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20" w:name="_Toc23495_WPSOffice_Level2"/>
      <w:bookmarkStart w:id="121" w:name="_Toc32135_WPSOffice_Level2"/>
      <w:r>
        <w:rPr>
          <w:rFonts w:hint="eastAsia"/>
          <w:sz w:val="32"/>
          <w:szCs w:val="28"/>
          <w:highlight w:val="none"/>
        </w:rPr>
        <w:t>解放军某部库外输油管线线路走向调整工程</w:t>
      </w:r>
      <w:bookmarkEnd w:id="120"/>
      <w:bookmarkEnd w:id="121"/>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6"/>
        <w:gridCol w:w="1020"/>
        <w:gridCol w:w="870"/>
        <w:gridCol w:w="1230"/>
        <w:gridCol w:w="435"/>
        <w:gridCol w:w="765"/>
        <w:gridCol w:w="548"/>
        <w:gridCol w:w="891"/>
        <w:gridCol w:w="451"/>
        <w:gridCol w:w="451"/>
        <w:gridCol w:w="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51118122T000006582411-解放军某部库外输油管线线路走向调整工程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89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38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新建输油管线约13KM。</w:t>
            </w:r>
          </w:p>
        </w:tc>
        <w:tc>
          <w:tcPr>
            <w:tcW w:w="2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新建输油管线约13KM。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5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新建输油管线约13KM。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306.00</w:t>
            </w:r>
          </w:p>
        </w:tc>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306.00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306.00</w:t>
            </w:r>
          </w:p>
        </w:tc>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306.00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总造价控制在1800万元以内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17972036</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3060000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工期为2年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管线长度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公里</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采用直径159*6mm20#无缝钢管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13000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13000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安全指标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新建管道已通过有关部门安全验收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好坏</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好</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创造良好的投资环境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可持续发展指标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有利于地方规划和建设发展</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防止输油管线受损破坏引发安全事故</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新建输油管线约13KM，有利于地方规划和建设发展，自评得分100分。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22" w:name="_Toc7763_WPSOffice_Level2"/>
      <w:bookmarkStart w:id="123" w:name="_Toc3758_WPSOffice_Level2"/>
      <w:r>
        <w:rPr>
          <w:rFonts w:hint="eastAsia"/>
          <w:sz w:val="32"/>
          <w:szCs w:val="28"/>
          <w:highlight w:val="none"/>
        </w:rPr>
        <w:t>药博园菜场安置点二期B区天然气安装工程</w:t>
      </w:r>
      <w:bookmarkEnd w:id="122"/>
      <w:bookmarkEnd w:id="123"/>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6"/>
        <w:gridCol w:w="1020"/>
        <w:gridCol w:w="765"/>
        <w:gridCol w:w="1755"/>
        <w:gridCol w:w="345"/>
        <w:gridCol w:w="585"/>
        <w:gridCol w:w="495"/>
        <w:gridCol w:w="930"/>
        <w:gridCol w:w="420"/>
        <w:gridCol w:w="405"/>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51118122T000006696528-药博园菜场安置点二期B区天然气安装工程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3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2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9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药博园菜场安置点二期B区拆迁户供气配套设施安装、建设、开户</w:t>
            </w:r>
          </w:p>
        </w:tc>
        <w:tc>
          <w:tcPr>
            <w:tcW w:w="22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完成1022户拆迁户天然气工程安装及开户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药博园菜场安置点二期B区1000余户拆迁户供气配套设施安装、建设、开户。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229.01</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229.01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229.01</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229.01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1022户拆迁户天然气工程安装及开户</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1022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1022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工程质量符合设计及规范要求</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按照合同约定的时间完成安装工程</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工程总价不超过合同约定价格</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2290060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2290060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本项目按棚改一期项目标准执行，安置户自行承担1000元</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完善安置点拆迁户相关配套设施建设，方便装修入住</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方便居民使用天然气，保护城乡居住环境</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调查安置拆迁户对拆迁安置工作满意度</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69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1022户拆迁户天然气工程安装及开户，自评得分100分。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24" w:name="_Toc8131_WPSOffice_Level2"/>
      <w:bookmarkStart w:id="125" w:name="_Toc741_WPSOffice_Level2"/>
      <w:bookmarkStart w:id="126" w:name="_Toc24473_WPSOffice_Level2"/>
      <w:r>
        <w:rPr>
          <w:rFonts w:hint="eastAsia"/>
          <w:sz w:val="32"/>
          <w:szCs w:val="28"/>
          <w:highlight w:val="none"/>
        </w:rPr>
        <w:t>城东（新平片区）垃圾中转站项目人防费</w:t>
      </w:r>
      <w:bookmarkEnd w:id="124"/>
      <w:bookmarkEnd w:id="125"/>
      <w:bookmarkEnd w:id="126"/>
    </w:p>
    <w:tbl>
      <w:tblPr>
        <w:tblStyle w:val="15"/>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6"/>
        <w:gridCol w:w="990"/>
        <w:gridCol w:w="855"/>
        <w:gridCol w:w="1530"/>
        <w:gridCol w:w="405"/>
        <w:gridCol w:w="630"/>
        <w:gridCol w:w="555"/>
        <w:gridCol w:w="900"/>
        <w:gridCol w:w="420"/>
        <w:gridCol w:w="405"/>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51118122T000006780281-城东（新平片区）垃圾中转站项目人防费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9"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解决城市东部生活垃圾和胜利镇红星月南村等农村生活垃圾压缩中转需要</w:t>
            </w:r>
          </w:p>
        </w:tc>
        <w:tc>
          <w:tcPr>
            <w:tcW w:w="22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及时缴纳人防费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城东（新平片区）垃圾中转站项目建筑工程所需缴纳人防费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3.41</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3.41</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3.41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按相关计划建成并投入使用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符合国家各项强制性标准和各类技术规范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完成建筑面积974平方米</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974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974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该项目预计需缴纳人防费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34090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34090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解决成昆线东侧等城市东部生活垃圾和胜利镇红星、月南村等农村生活垃圾压缩中转需要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该项目属省环保重点工程，符合国家各项强制性标准，进一步改善周边环境</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调查居民对该项目满意度</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1" w:hRule="atLeast"/>
        </w:trPr>
        <w:tc>
          <w:tcPr>
            <w:tcW w:w="69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缴纳人防费3.41万元，自评得分100分。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27" w:name="_Toc10153_WPSOffice_Level2"/>
      <w:bookmarkStart w:id="128" w:name="_Toc16485_WPSOffice_Level2"/>
      <w:bookmarkStart w:id="129" w:name="_Toc30849_WPSOffice_Level2"/>
      <w:r>
        <w:rPr>
          <w:rFonts w:hint="eastAsia"/>
          <w:sz w:val="32"/>
          <w:szCs w:val="28"/>
          <w:highlight w:val="none"/>
        </w:rPr>
        <w:t>2022年春节氛围营造亮化提升及悬挂灯笼工程</w:t>
      </w:r>
      <w:bookmarkEnd w:id="127"/>
      <w:bookmarkEnd w:id="128"/>
      <w:bookmarkEnd w:id="129"/>
    </w:p>
    <w:tbl>
      <w:tblPr>
        <w:tblStyle w:val="15"/>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6"/>
        <w:gridCol w:w="1035"/>
        <w:gridCol w:w="615"/>
        <w:gridCol w:w="1785"/>
        <w:gridCol w:w="375"/>
        <w:gridCol w:w="555"/>
        <w:gridCol w:w="360"/>
        <w:gridCol w:w="900"/>
        <w:gridCol w:w="495"/>
        <w:gridCol w:w="484"/>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51118122T000006786267-2022年春节氛围营造亮化提升及悬挂灯笼工程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6"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旅游干道悬挂灯笼1750组，在广场及重要节点进行景观提升。</w:t>
            </w:r>
          </w:p>
        </w:tc>
        <w:tc>
          <w:tcPr>
            <w:tcW w:w="2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悬挂灯笼1750组，16处重要节点亮化提升。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旅游干道悬挂灯笼1750组，车站、广场、公园及重要节点亮化提升。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9.00</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9.00</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重要节点亮化提升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按合同约定期限交付使用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符合国家有关规定及相关行业标准及甲方招标文件要求、技术指标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悬挂灯笼1750组</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1750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1750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按政府采购招标价格实施该项目工程</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2045635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2045635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合同报价包含主材、运输、安装、调试等所有费用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为市民和游客营造节日氛围</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调查市民游客对该项目的满意度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7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悬挂灯笼1750组，16处重要节点亮化提升，自评得分100分。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5" w:hRule="atLeast"/>
        </w:trPr>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30" w:name="_Toc190_WPSOffice_Level2"/>
      <w:bookmarkStart w:id="131" w:name="_Toc11015_WPSOffice_Level2"/>
      <w:bookmarkStart w:id="132" w:name="_Toc15111_WPSOffice_Level2"/>
      <w:r>
        <w:rPr>
          <w:rFonts w:hint="eastAsia"/>
          <w:sz w:val="32"/>
          <w:szCs w:val="28"/>
          <w:highlight w:val="none"/>
        </w:rPr>
        <w:t>峨眉河堤防及四座拦河坝建设工程监理项目</w:t>
      </w:r>
      <w:bookmarkEnd w:id="130"/>
      <w:bookmarkEnd w:id="131"/>
      <w:bookmarkEnd w:id="132"/>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1"/>
        <w:gridCol w:w="1065"/>
        <w:gridCol w:w="750"/>
        <w:gridCol w:w="1545"/>
        <w:gridCol w:w="285"/>
        <w:gridCol w:w="630"/>
        <w:gridCol w:w="540"/>
        <w:gridCol w:w="970"/>
        <w:gridCol w:w="455"/>
        <w:gridCol w:w="435"/>
        <w:gridCol w:w="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1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51118122T000006902229-峨眉河堤防及四座拦河坝建设工程监理项目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峨眉河堤防及四座拦河坝建设工程监理费。</w:t>
            </w:r>
          </w:p>
        </w:tc>
        <w:tc>
          <w:tcPr>
            <w:tcW w:w="23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峨眉河堤防及四座拦河坝建设工程监理费。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10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支付峨眉河堤防及四座拦河坝建设工程监理费。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8.38</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8.38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8.38</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8.38</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5"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川主段拦河坝及黄湾乡四座拦河坝建设工程监理费</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座（处）</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按国家及行业规定验收合格</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按合同及法院判决书及时支付</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日</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法院执行通知书的金额支付监理费尾款</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83800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83800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政府公开招标采购确定中标金额的比例增加部分工程监理费</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0.86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0.86</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5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效果指标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保证建设工程建设质量</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50"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进一步加强峨眉河防洪抗旱能力</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6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监理方执行结果满意度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9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峨眉河堤防及四座拦河坝建设监理费8.38万元，自评得分100分。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5"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5"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1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33" w:name="_Toc26118_WPSOffice_Level2"/>
      <w:bookmarkStart w:id="134" w:name="_Toc18205_WPSOffice_Level2"/>
      <w:bookmarkStart w:id="135" w:name="_Toc22877_WPSOffice_Level2"/>
      <w:r>
        <w:rPr>
          <w:rFonts w:hint="eastAsia"/>
          <w:sz w:val="32"/>
          <w:szCs w:val="28"/>
          <w:highlight w:val="none"/>
        </w:rPr>
        <w:t>峨眉山市老年养护院（I）项目峨沙天然气管迁改</w:t>
      </w:r>
      <w:bookmarkEnd w:id="133"/>
      <w:bookmarkEnd w:id="134"/>
      <w:bookmarkEnd w:id="135"/>
    </w:p>
    <w:tbl>
      <w:tblPr>
        <w:tblStyle w:val="15"/>
        <w:tblW w:w="8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1"/>
        <w:gridCol w:w="990"/>
        <w:gridCol w:w="585"/>
        <w:gridCol w:w="1740"/>
        <w:gridCol w:w="345"/>
        <w:gridCol w:w="795"/>
        <w:gridCol w:w="293"/>
        <w:gridCol w:w="990"/>
        <w:gridCol w:w="488"/>
        <w:gridCol w:w="488"/>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3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51118122T000006962819-峨眉山市老年养护院（I）项目峨沙天然气管迁改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6"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峨眉山市老年养护院天然气管道迁改330米及相关防腐、土建等配套。</w:t>
            </w:r>
          </w:p>
        </w:tc>
        <w:tc>
          <w:tcPr>
            <w:tcW w:w="2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天然气管道迁改330米及相关防腐、土建等配套。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3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峨眉山市老年养护院天然气管道迁改330米及相关防腐、土建等配套工程。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20.00</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20.00</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天然气管道330米</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330</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330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比照被迁改线路原功能标准设计，按照最新的相关技术标准和要求进行施工</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45天内完成还建线路建设</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45</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迁改费用控制在财评预算评审价482292元以内</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482292</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200000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创造良好的投资环境</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可持续发展指标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有利于地方规划和建设发展</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解决项目管线合理性率</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为城市建设项目提升方便率</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7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峨眉山市老年养护院天然气管道迁改330米，自评得分100分。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36" w:name="_Toc5771_WPSOffice_Level2"/>
      <w:bookmarkStart w:id="137" w:name="_Toc13877_WPSOffice_Level2"/>
      <w:bookmarkStart w:id="138" w:name="_Toc13298_WPSOffice_Level2"/>
      <w:r>
        <w:rPr>
          <w:rFonts w:hint="eastAsia"/>
          <w:sz w:val="32"/>
          <w:szCs w:val="28"/>
          <w:highlight w:val="none"/>
        </w:rPr>
        <w:t>峨眉山市老年养老院（I）项目10KV夏胜迁改工程</w:t>
      </w:r>
      <w:bookmarkEnd w:id="136"/>
      <w:bookmarkEnd w:id="137"/>
      <w:bookmarkEnd w:id="138"/>
    </w:p>
    <w:tbl>
      <w:tblPr>
        <w:tblStyle w:val="15"/>
        <w:tblW w:w="8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1"/>
        <w:gridCol w:w="1005"/>
        <w:gridCol w:w="825"/>
        <w:gridCol w:w="1916"/>
        <w:gridCol w:w="326"/>
        <w:gridCol w:w="788"/>
        <w:gridCol w:w="375"/>
        <w:gridCol w:w="945"/>
        <w:gridCol w:w="420"/>
        <w:gridCol w:w="405"/>
        <w:gridCol w:w="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5" w:hRule="atLeast"/>
        </w:trPr>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3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51118122T000006963198-峨眉山市老年养老院（I）项目10KV夏胜迁改工程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完成乐电10KV夏胜线迁改。</w:t>
            </w:r>
          </w:p>
        </w:tc>
        <w:tc>
          <w:tcPr>
            <w:tcW w:w="2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完成乐电10KV夏胜线迁改。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3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完成乐电10KV夏胜线迁改。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16.00</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16.00</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30天内完成还建线路建设工作</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还建线路应比照被迁改线路原功能标准进行设计和施工</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新建YJLV22-8.7/15KV-3*400电缆180米</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迁建费用控制在财评预算评审价384410元以内</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384410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160000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解决项目管线合理性率</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可持续发展指标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有利于地方规划和建设发展</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创造良好的投资环境</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经济效益指标</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为城市建设项目提升方便率</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9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完成乐电10KV夏胜线迁改，自评得分100分。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39" w:name="_Toc6797_WPSOffice_Level2"/>
      <w:bookmarkStart w:id="140" w:name="_Toc22115_WPSOffice_Level2"/>
      <w:bookmarkStart w:id="141" w:name="_Toc29840_WPSOffice_Level2"/>
      <w:r>
        <w:rPr>
          <w:rFonts w:hint="eastAsia"/>
          <w:sz w:val="32"/>
          <w:szCs w:val="28"/>
          <w:highlight w:val="none"/>
        </w:rPr>
        <w:t>药博园菜场安置点二期B区供电安装项目</w:t>
      </w:r>
      <w:bookmarkEnd w:id="139"/>
      <w:bookmarkEnd w:id="140"/>
      <w:bookmarkEnd w:id="141"/>
    </w:p>
    <w:tbl>
      <w:tblPr>
        <w:tblStyle w:val="15"/>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1"/>
        <w:gridCol w:w="1080"/>
        <w:gridCol w:w="795"/>
        <w:gridCol w:w="1725"/>
        <w:gridCol w:w="420"/>
        <w:gridCol w:w="705"/>
        <w:gridCol w:w="330"/>
        <w:gridCol w:w="960"/>
        <w:gridCol w:w="390"/>
        <w:gridCol w:w="450"/>
        <w:gridCol w:w="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51118122T000007047470-药博园菜场安置点二期B区供电安装项目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1"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9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药博园菜场安置点二期B区供电安装，10KV电力电缆1459米</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药博园菜场安置点二期B区供电安装，10KV电力电缆1459米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药博园菜场安置点二期B区供电安装。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4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10KV电力电缆</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1459</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1459</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电表箱107面，智能电表1147只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1254</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符合或优于国家（行业）质量标准</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施工日期为签订合同日期后4个月</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保证药博园菜场安置点二期B区住户正常用电</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可持续发展指标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为峨眉山市创造良好的投资环境</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优良中低差</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调查安置点住户对该项目的满意度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经济成本指标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项目成本控制在公开招标的价格以内</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576</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576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0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安装电缆1459米，保证住户正常用电，自评得分100分。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42" w:name="_Toc8101_WPSOffice_Level2"/>
      <w:bookmarkStart w:id="143" w:name="_Toc21896_WPSOffice_Level2"/>
      <w:bookmarkStart w:id="144" w:name="_Toc27095_WPSOffice_Level2"/>
      <w:r>
        <w:rPr>
          <w:rFonts w:hint="eastAsia"/>
          <w:sz w:val="32"/>
          <w:szCs w:val="28"/>
          <w:highlight w:val="none"/>
        </w:rPr>
        <w:t>药博园菜场安置点二期B区配套管网建设工程</w:t>
      </w:r>
      <w:bookmarkEnd w:id="142"/>
      <w:bookmarkEnd w:id="143"/>
      <w:bookmarkEnd w:id="144"/>
    </w:p>
    <w:tbl>
      <w:tblPr>
        <w:tblStyle w:val="15"/>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01"/>
        <w:gridCol w:w="1020"/>
        <w:gridCol w:w="780"/>
        <w:gridCol w:w="2025"/>
        <w:gridCol w:w="300"/>
        <w:gridCol w:w="405"/>
        <w:gridCol w:w="300"/>
        <w:gridCol w:w="904"/>
        <w:gridCol w:w="491"/>
        <w:gridCol w:w="435"/>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51118122T000007330748-药博园菜场安置点二期B区配套管网建设工程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完成药博园菜场安置点二期B区配套管网建设工程。</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完成药博园菜场安置点二期B区配套管网建设工程。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完成药博园菜场安置点二期B区配套管网建设工程。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3.78</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3.78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3.78</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3.78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新建电力井12座</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座</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完成排管1*2、1*3、1*4、1*5、1*6合计长度480.9米</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480.9</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480.9</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该建设工程符合国家及部门行业相关验收标准</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在合同约定的施工期限内完成该建设工程</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可持续发展指标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符合峨眉山市整体规划建设，有利于我市经济长期发展</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该建设项目为新建安置点附属配套设施，具备良好的生态效益</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调查该安置点住户对该建设工程的满意度</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经济成本指标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该建设工程成本控制在财评结算备案价格以内</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179578</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37800</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新建电力井12座，完成排管480.9米，自评得分100分。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45" w:name="_Toc59_WPSOffice_Level2"/>
      <w:bookmarkStart w:id="146" w:name="_Toc25019_WPSOffice_Level2"/>
      <w:bookmarkStart w:id="147" w:name="_Toc29326_WPSOffice_Level2"/>
      <w:r>
        <w:rPr>
          <w:rFonts w:hint="eastAsia"/>
          <w:sz w:val="32"/>
          <w:szCs w:val="28"/>
          <w:highlight w:val="none"/>
        </w:rPr>
        <w:t>安川临河道路提升改造项目</w:t>
      </w:r>
      <w:bookmarkEnd w:id="145"/>
      <w:bookmarkEnd w:id="146"/>
      <w:bookmarkEnd w:id="147"/>
    </w:p>
    <w:tbl>
      <w:tblPr>
        <w:tblStyle w:val="15"/>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6"/>
        <w:gridCol w:w="1035"/>
        <w:gridCol w:w="660"/>
        <w:gridCol w:w="2250"/>
        <w:gridCol w:w="270"/>
        <w:gridCol w:w="630"/>
        <w:gridCol w:w="360"/>
        <w:gridCol w:w="930"/>
        <w:gridCol w:w="435"/>
        <w:gridCol w:w="390"/>
        <w:gridCol w:w="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51118122T000007483035-安川临河道路提升改造项目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41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建设长2295米、宽3.5米彩色混凝土路面及110米栈桥，并配套休息座椅、环卫、亮化设施。</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建设长2295米、宽3.5米彩色混凝土路面及110米栈桥，并配套休息座椅、环卫、亮化设施。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建设长2295米、宽3.5米彩色混凝土路面及110米栈桥，并配套休息座椅、环卫、亮化设施。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39.00</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39.00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39.00</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39.00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建设彩色混凝土路面2295米</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2295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工程建设工期120天</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建设110米栈桥</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符合国家、行业现行施工质量验收标准</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建设彩色混凝土路面宽3.5米</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该建设项目为峨眉山市广大市民出行提供良好的环境，方便了人民群众</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生态效益指标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该项目为市民创造了良好的生态环境</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经济成本指标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建设工程总造价控制在预算评审价格以内</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4462515.47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390000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1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建设彩色混凝土路面2295米，建设110米栈桥，自评得分100分。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0"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48" w:name="_Toc27763_WPSOffice_Level2"/>
      <w:bookmarkStart w:id="149" w:name="_Toc26177_WPSOffice_Level2"/>
      <w:bookmarkStart w:id="150" w:name="_Toc11708_WPSOffice_Level2"/>
      <w:r>
        <w:rPr>
          <w:rFonts w:hint="eastAsia"/>
          <w:sz w:val="32"/>
          <w:szCs w:val="28"/>
          <w:highlight w:val="none"/>
        </w:rPr>
        <w:t>秀湖大道南延线项目</w:t>
      </w:r>
      <w:bookmarkEnd w:id="148"/>
      <w:bookmarkEnd w:id="149"/>
      <w:bookmarkEnd w:id="150"/>
    </w:p>
    <w:tbl>
      <w:tblPr>
        <w:tblStyle w:val="15"/>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6"/>
        <w:gridCol w:w="1005"/>
        <w:gridCol w:w="765"/>
        <w:gridCol w:w="2250"/>
        <w:gridCol w:w="285"/>
        <w:gridCol w:w="435"/>
        <w:gridCol w:w="300"/>
        <w:gridCol w:w="990"/>
        <w:gridCol w:w="420"/>
        <w:gridCol w:w="435"/>
        <w:gridCol w:w="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51118123T000007511259-秀湖大道南延线项目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实施单位 </w:t>
            </w:r>
          </w:p>
        </w:tc>
        <w:tc>
          <w:tcPr>
            <w:tcW w:w="1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1"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40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道路A段约长640米，宽32米，沥青砼路面；道路B段长646米，宽20米，沥青砼路面。</w:t>
            </w:r>
          </w:p>
        </w:tc>
        <w:tc>
          <w:tcPr>
            <w:tcW w:w="22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道路A段约长640米，宽32米；道路B段长646米，宽20米，沥青砼路面。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30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新建沥青砼道路两条及雨污水管网、强弱电管网、绿化亮化等配套附属设施。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150.00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150.00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道路A段长640米，宽32米，沥青砼路</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640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640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道路B段长646米，宽20米，沥青砼路</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646</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646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施工图设计文件所要求的达到的质量功能要求和国家现行质量验收规范合格标准</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施工期限为180天</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该项目的建设满足城市居民的生活出行</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可持续发展指标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项目符合峨眉山市城市发展总体规划，创造良好的投资环境</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调查市民对该建设项目的满意度</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经济成本指标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工程造价控制在立项报告及合同价格以内</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18612447</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1500000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6" w:hRule="atLeast"/>
        </w:trPr>
        <w:tc>
          <w:tcPr>
            <w:tcW w:w="70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3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新建秀湖大道南延线，满足城市居民的生活出行，自评得分100分。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3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3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bl>
    <w:p>
      <w:pPr>
        <w:pStyle w:val="2"/>
        <w:jc w:val="center"/>
        <w:rPr>
          <w:rFonts w:hint="eastAsia"/>
          <w:sz w:val="32"/>
          <w:szCs w:val="28"/>
          <w:highlight w:val="none"/>
        </w:rPr>
      </w:pPr>
      <w:bookmarkStart w:id="151" w:name="_Toc6876_WPSOffice_Level2"/>
      <w:bookmarkStart w:id="152" w:name="_Toc31232_WPSOffice_Level2"/>
      <w:bookmarkStart w:id="153" w:name="_Toc27349_WPSOffice_Level2"/>
      <w:r>
        <w:rPr>
          <w:rFonts w:hint="eastAsia"/>
          <w:sz w:val="32"/>
          <w:szCs w:val="28"/>
          <w:highlight w:val="none"/>
        </w:rPr>
        <w:t>2022年城北片区、峨秀湖片区市政道路建设项目划拨地价</w:t>
      </w:r>
      <w:bookmarkEnd w:id="151"/>
      <w:bookmarkEnd w:id="152"/>
      <w:bookmarkEnd w:id="153"/>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41"/>
        <w:gridCol w:w="990"/>
        <w:gridCol w:w="975"/>
        <w:gridCol w:w="1124"/>
        <w:gridCol w:w="586"/>
        <w:gridCol w:w="300"/>
        <w:gridCol w:w="75"/>
        <w:gridCol w:w="585"/>
        <w:gridCol w:w="525"/>
        <w:gridCol w:w="900"/>
        <w:gridCol w:w="450"/>
        <w:gridCol w:w="435"/>
        <w:gridCol w:w="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0" w:hRule="atLeast"/>
        </w:trPr>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项目名称</w:t>
            </w:r>
          </w:p>
        </w:tc>
        <w:tc>
          <w:tcPr>
            <w:tcW w:w="62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51118123T000008589173-2022年城北片区、峨秀湖片区市政道路建设项目划拨地价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主管部门</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kern w:val="0"/>
                <w:sz w:val="24"/>
                <w:szCs w:val="24"/>
                <w:highlight w:val="none"/>
                <w:u w:val="none"/>
                <w:lang w:val="en-US" w:eastAsia="zh-CN" w:bidi="ar"/>
              </w:rPr>
              <w:t>住房和城乡建设局</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lang w:eastAsia="zh-CN"/>
              </w:rPr>
            </w:pPr>
            <w:r>
              <w:rPr>
                <w:rFonts w:hint="eastAsia" w:ascii="仿宋" w:hAnsi="仿宋" w:eastAsia="仿宋" w:cs="仿宋"/>
                <w:i w:val="0"/>
                <w:color w:val="000000"/>
                <w:sz w:val="24"/>
                <w:szCs w:val="24"/>
                <w:highlight w:val="none"/>
                <w:u w:val="none"/>
                <w:lang w:eastAsia="zh-CN"/>
              </w:rPr>
              <w:t>实施单位</w:t>
            </w:r>
          </w:p>
        </w:tc>
        <w:tc>
          <w:tcPr>
            <w:tcW w:w="32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1.项目年度目标完成情况</w:t>
            </w:r>
          </w:p>
        </w:tc>
        <w:tc>
          <w:tcPr>
            <w:tcW w:w="4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项目年度目标</w:t>
            </w:r>
          </w:p>
        </w:tc>
        <w:tc>
          <w:tcPr>
            <w:tcW w:w="2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41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2022年城北片区、峨秀湖片区市政道路建设所需土地的划拨地价4055万元相关缴纳手续</w:t>
            </w:r>
          </w:p>
        </w:tc>
        <w:tc>
          <w:tcPr>
            <w:tcW w:w="2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完成2022年城北片区、峨秀湖片区市政道路建设所需土地的划拨地价4055万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2.项目实施内容及过程概述</w:t>
            </w:r>
          </w:p>
        </w:tc>
        <w:tc>
          <w:tcPr>
            <w:tcW w:w="62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2022年城北片区、峨秀湖片区市政道路建设所需土地的划拨地价4055万元相关缴纳手续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年度预算数（万元）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年初预算</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调整后预算数</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预算执行率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总额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4,055.00</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4,055.00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10</w:t>
            </w:r>
          </w:p>
        </w:tc>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其中：财政资金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4,055.00</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4,055.00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5"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财政专户管理资金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单位资金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二级指标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三级指标</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指标性质</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完成值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得分</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产出指标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有偿划拨土地面积</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135183.78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135183.78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时效指标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资金支付完成时间</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数量指标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控制有偿划拨土地数量</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质量指标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相关市政道路建设用地符合国家有关要求标准</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可持续影响指标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保障城市建设用地可持续发展</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可持续发展指标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促进城北片区、峨秀湖片区的持续长远发展</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定性</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其他</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优</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服务对象满意度指标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社会满意度</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经济成本指标</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三宗土地有偿划拨资金在预算内</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4055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4055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trPr>
        <w:tc>
          <w:tcPr>
            <w:tcW w:w="71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评价结论</w:t>
            </w:r>
          </w:p>
        </w:tc>
        <w:tc>
          <w:tcPr>
            <w:tcW w:w="72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三宗土地有偿划拨资金控制在预算4055万元，自评得分100分。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0"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存在问题</w:t>
            </w:r>
          </w:p>
        </w:tc>
        <w:tc>
          <w:tcPr>
            <w:tcW w:w="72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改进措施</w:t>
            </w:r>
          </w:p>
        </w:tc>
        <w:tc>
          <w:tcPr>
            <w:tcW w:w="72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 w:hAnsi="仿宋" w:eastAsia="仿宋" w:cs="仿宋"/>
                <w:i w:val="0"/>
                <w:color w:val="000000"/>
                <w:sz w:val="24"/>
                <w:szCs w:val="24"/>
                <w:highlight w:val="none"/>
                <w:u w:val="none"/>
              </w:rPr>
            </w:pPr>
          </w:p>
        </w:tc>
      </w:tr>
    </w:tbl>
    <w:tbl>
      <w:tblPr>
        <w:tblStyle w:val="15"/>
        <w:tblpPr w:leftFromText="180" w:rightFromText="180" w:vertAnchor="text" w:horzAnchor="page" w:tblpX="1782" w:tblpY="622"/>
        <w:tblOverlap w:val="neve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2"/>
        <w:gridCol w:w="1109"/>
        <w:gridCol w:w="1005"/>
        <w:gridCol w:w="1245"/>
        <w:gridCol w:w="510"/>
        <w:gridCol w:w="510"/>
        <w:gridCol w:w="540"/>
        <w:gridCol w:w="915"/>
        <w:gridCol w:w="525"/>
        <w:gridCol w:w="525"/>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trPr>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6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51118</w:t>
            </w:r>
            <w:r>
              <w:rPr>
                <w:rFonts w:hint="eastAsia" w:ascii="仿宋" w:hAnsi="仿宋" w:eastAsia="仿宋" w:cs="仿宋"/>
                <w:i w:val="0"/>
                <w:color w:val="000000"/>
                <w:kern w:val="0"/>
                <w:sz w:val="24"/>
                <w:szCs w:val="24"/>
                <w:highlight w:val="none"/>
                <w:u w:val="none"/>
                <w:lang w:val="en-US" w:eastAsia="zh-CN" w:bidi="ar"/>
              </w:rPr>
              <w:t>122T000005185071-市政车辆燃油</w:t>
            </w:r>
            <w:r>
              <w:rPr>
                <w:rFonts w:hint="eastAsia" w:ascii="仿宋" w:hAnsi="仿宋" w:eastAsia="仿宋" w:cs="仿宋"/>
                <w:i w:val="0"/>
                <w:iCs w:val="0"/>
                <w:color w:val="000000"/>
                <w:kern w:val="0"/>
                <w:sz w:val="24"/>
                <w:szCs w:val="24"/>
                <w:highlight w:val="none"/>
                <w:u w:val="none"/>
                <w:lang w:val="en-US" w:eastAsia="zh-CN" w:bidi="ar"/>
              </w:rPr>
              <w:t>保险及修理费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主管部门</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住房和城乡建设局</w:t>
            </w:r>
          </w:p>
        </w:tc>
        <w:tc>
          <w:tcPr>
            <w:tcW w:w="9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实施单位 </w:t>
            </w:r>
          </w:p>
        </w:tc>
        <w:tc>
          <w:tcPr>
            <w:tcW w:w="1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峨眉山市城乡建设保障服务中心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5"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项目基本情况</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1.项目年度目标完成情况</w:t>
            </w: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项目年度目标</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iCs w:val="0"/>
                <w:color w:val="000000"/>
                <w:sz w:val="24"/>
                <w:szCs w:val="24"/>
                <w:highlight w:val="none"/>
                <w:u w:val="none"/>
              </w:rPr>
            </w:pPr>
          </w:p>
        </w:tc>
        <w:tc>
          <w:tcPr>
            <w:tcW w:w="38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2022年确保亮化、绿化、环卫车辆正常高效运转。</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亮化、绿化、环卫车辆正常高效运转。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2.项目实施内容及过程概述</w:t>
            </w:r>
          </w:p>
        </w:tc>
        <w:tc>
          <w:tcPr>
            <w:tcW w:w="6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保证工作车、专业车、洒水车等各类车辆全年正常运行，保证城市环卫、园林绿化、亮化、市政维护等工作的正常开展。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预算执行情况（10分）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年度预算数（万元）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年初预算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调整后预算数</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预算执行数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预算执行率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得分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462.21</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462.21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其中：财政资金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462.21</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462.21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财政专户管理资金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其他资金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绩效指标（90分）</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二级指标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三级指标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指标性质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指标值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度量单位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完成值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得分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未完成原因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市政车辆数量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运行质量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5"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时效指标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2022年完成工作任务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成本控制在500万元以内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462.21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经济效益指标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提高作业效率，降低车辆故障率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社会效益指标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保证城市市政设施正常运行及环境整洁卫生</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生态效益指标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保护城市及周边环境优美良好</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定性</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优良中低差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服务对象满意度指标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调查城市居民满意度</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66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合计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评价结论</w:t>
            </w:r>
          </w:p>
        </w:tc>
        <w:tc>
          <w:tcPr>
            <w:tcW w:w="7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color w:val="000000"/>
                <w:sz w:val="24"/>
                <w:szCs w:val="24"/>
                <w:highlight w:val="none"/>
                <w:u w:val="none"/>
                <w:lang w:eastAsia="zh-CN"/>
              </w:rPr>
              <w:t>保证</w:t>
            </w:r>
            <w:r>
              <w:rPr>
                <w:rFonts w:hint="eastAsia" w:ascii="仿宋" w:hAnsi="仿宋" w:eastAsia="仿宋" w:cs="仿宋"/>
                <w:i w:val="0"/>
                <w:iCs w:val="0"/>
                <w:color w:val="000000"/>
                <w:kern w:val="0"/>
                <w:sz w:val="24"/>
                <w:szCs w:val="24"/>
                <w:highlight w:val="none"/>
                <w:u w:val="none"/>
                <w:lang w:val="en-US" w:eastAsia="zh-CN" w:bidi="ar"/>
              </w:rPr>
              <w:t>2022年亮化、绿化、环卫车辆正常高效运转</w:t>
            </w:r>
            <w:r>
              <w:rPr>
                <w:rFonts w:hint="eastAsia" w:ascii="仿宋" w:hAnsi="仿宋" w:eastAsia="仿宋" w:cs="仿宋"/>
                <w:i w:val="0"/>
                <w:color w:val="000000"/>
                <w:sz w:val="24"/>
                <w:szCs w:val="24"/>
                <w:highlight w:val="none"/>
                <w:u w:val="none"/>
                <w:lang w:eastAsia="zh-CN"/>
              </w:rPr>
              <w:t>，</w:t>
            </w:r>
            <w:r>
              <w:rPr>
                <w:rFonts w:hint="eastAsia" w:ascii="仿宋" w:hAnsi="仿宋" w:eastAsia="仿宋" w:cs="仿宋"/>
                <w:i w:val="0"/>
                <w:color w:val="000000"/>
                <w:kern w:val="0"/>
                <w:sz w:val="24"/>
                <w:szCs w:val="24"/>
                <w:highlight w:val="none"/>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存在问题</w:t>
            </w:r>
          </w:p>
        </w:tc>
        <w:tc>
          <w:tcPr>
            <w:tcW w:w="7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改进措施</w:t>
            </w:r>
          </w:p>
        </w:tc>
        <w:tc>
          <w:tcPr>
            <w:tcW w:w="75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 w:hAnsi="仿宋" w:eastAsia="仿宋" w:cs="仿宋"/>
                <w:i w:val="0"/>
                <w:iCs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sz w:val="32"/>
          <w:szCs w:val="32"/>
          <w:highlight w:val="none"/>
        </w:rPr>
      </w:pPr>
      <w:bookmarkStart w:id="154" w:name="_Toc17598_WPSOffice_Level2"/>
      <w:bookmarkStart w:id="155" w:name="_Toc8112_WPSOffice_Level2"/>
      <w:bookmarkStart w:id="156" w:name="_Toc23420_WPSOffice_Level2"/>
      <w:r>
        <w:rPr>
          <w:rFonts w:hint="eastAsia" w:ascii="仿宋" w:hAnsi="仿宋" w:eastAsia="仿宋" w:cs="仿宋"/>
          <w:i w:val="0"/>
          <w:color w:val="000000"/>
          <w:kern w:val="0"/>
          <w:sz w:val="32"/>
          <w:szCs w:val="32"/>
          <w:highlight w:val="none"/>
          <w:u w:val="none"/>
          <w:lang w:val="en-US" w:eastAsia="zh-CN" w:bidi="ar"/>
        </w:rPr>
        <w:t>市政车辆燃油</w:t>
      </w:r>
      <w:r>
        <w:rPr>
          <w:rFonts w:hint="eastAsia" w:ascii="仿宋" w:hAnsi="仿宋" w:eastAsia="仿宋" w:cs="仿宋"/>
          <w:i w:val="0"/>
          <w:iCs w:val="0"/>
          <w:color w:val="000000"/>
          <w:kern w:val="0"/>
          <w:sz w:val="32"/>
          <w:szCs w:val="32"/>
          <w:highlight w:val="none"/>
          <w:u w:val="none"/>
          <w:lang w:val="en-US" w:eastAsia="zh-CN" w:bidi="ar"/>
        </w:rPr>
        <w:t>保险及修理费</w:t>
      </w:r>
      <w:bookmarkEnd w:id="154"/>
      <w:bookmarkEnd w:id="155"/>
      <w:bookmarkEnd w:id="156"/>
    </w:p>
    <w:p>
      <w:pPr>
        <w:spacing w:line="600" w:lineRule="exact"/>
        <w:jc w:val="center"/>
        <w:outlineLvl w:val="0"/>
        <w:rPr>
          <w:rFonts w:ascii="仿宋" w:hAnsi="仿宋" w:eastAsia="仿宋"/>
          <w:highlight w:val="none"/>
        </w:rPr>
      </w:pPr>
      <w:bookmarkStart w:id="157" w:name="_Toc3662_WPSOffice_Level1"/>
      <w:bookmarkStart w:id="158" w:name="_Toc9887_WPSOffice_Level1"/>
      <w:bookmarkStart w:id="159" w:name="_Toc16748_WPSOffice_Level1"/>
      <w:r>
        <w:rPr>
          <w:rFonts w:hint="eastAsia" w:ascii="黑体" w:hAnsi="黑体" w:eastAsia="黑体"/>
          <w:sz w:val="44"/>
          <w:szCs w:val="44"/>
          <w:highlight w:val="none"/>
        </w:rPr>
        <w:t>第</w:t>
      </w:r>
      <w:r>
        <w:rPr>
          <w:rStyle w:val="24"/>
          <w:rFonts w:hint="eastAsia" w:ascii="黑体" w:hAnsi="黑体" w:eastAsia="黑体"/>
          <w:b w:val="0"/>
          <w:highlight w:val="none"/>
        </w:rPr>
        <w:t>五部分 附表</w:t>
      </w:r>
      <w:bookmarkEnd w:id="89"/>
      <w:bookmarkEnd w:id="97"/>
      <w:bookmarkEnd w:id="157"/>
      <w:bookmarkEnd w:id="158"/>
      <w:bookmarkEnd w:id="159"/>
      <w:bookmarkStart w:id="160" w:name="_Toc15396619"/>
    </w:p>
    <w:p>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highlight w:val="none"/>
        </w:rPr>
      </w:pPr>
      <w:bookmarkStart w:id="161" w:name="_Toc21699_WPSOffice_Level2"/>
      <w:bookmarkStart w:id="162" w:name="_Toc1743_WPSOffice_Level2"/>
      <w:r>
        <w:rPr>
          <w:rFonts w:hint="eastAsia" w:ascii="仿宋" w:hAnsi="仿宋" w:eastAsia="仿宋"/>
          <w:b w:val="0"/>
          <w:highlight w:val="none"/>
        </w:rPr>
        <w:t>一、收</w:t>
      </w:r>
      <w:r>
        <w:rPr>
          <w:rStyle w:val="25"/>
          <w:rFonts w:hint="eastAsia" w:ascii="仿宋" w:hAnsi="仿宋" w:eastAsia="仿宋"/>
          <w:b w:val="0"/>
          <w:bCs w:val="0"/>
          <w:highlight w:val="none"/>
        </w:rPr>
        <w:t>入支出决算总表</w:t>
      </w:r>
      <w:bookmarkEnd w:id="160"/>
      <w:bookmarkEnd w:id="161"/>
      <w:bookmarkEnd w:id="162"/>
    </w:p>
    <w:p>
      <w:pPr>
        <w:pStyle w:val="4"/>
        <w:rPr>
          <w:rFonts w:ascii="仿宋" w:hAnsi="仿宋" w:eastAsia="仿宋"/>
          <w:highlight w:val="none"/>
        </w:rPr>
      </w:pPr>
      <w:bookmarkStart w:id="163" w:name="_Toc15396620"/>
      <w:bookmarkStart w:id="164" w:name="_Toc3431_WPSOffice_Level2"/>
      <w:bookmarkStart w:id="165" w:name="_Toc28082_WPSOffice_Level2"/>
      <w:r>
        <w:rPr>
          <w:rFonts w:hint="eastAsia" w:ascii="仿宋" w:hAnsi="仿宋" w:eastAsia="仿宋"/>
          <w:b w:val="0"/>
          <w:highlight w:val="none"/>
        </w:rPr>
        <w:t>二、收</w:t>
      </w:r>
      <w:r>
        <w:rPr>
          <w:rStyle w:val="25"/>
          <w:rFonts w:hint="eastAsia" w:ascii="仿宋" w:hAnsi="仿宋" w:eastAsia="仿宋"/>
          <w:b w:val="0"/>
          <w:bCs w:val="0"/>
          <w:highlight w:val="none"/>
        </w:rPr>
        <w:t>入决算表</w:t>
      </w:r>
      <w:bookmarkEnd w:id="163"/>
      <w:bookmarkEnd w:id="164"/>
      <w:bookmarkEnd w:id="165"/>
    </w:p>
    <w:p>
      <w:pPr>
        <w:pStyle w:val="4"/>
        <w:rPr>
          <w:rFonts w:ascii="仿宋" w:hAnsi="仿宋" w:eastAsia="仿宋"/>
          <w:highlight w:val="none"/>
        </w:rPr>
      </w:pPr>
      <w:bookmarkStart w:id="166" w:name="_Toc15396621"/>
      <w:bookmarkStart w:id="167" w:name="_Toc15638_WPSOffice_Level2"/>
      <w:bookmarkStart w:id="168" w:name="_Toc11556_WPSOffice_Level2"/>
      <w:r>
        <w:rPr>
          <w:rStyle w:val="25"/>
          <w:rFonts w:hint="eastAsia" w:ascii="仿宋" w:hAnsi="仿宋" w:eastAsia="仿宋"/>
          <w:b w:val="0"/>
          <w:bCs w:val="0"/>
          <w:highlight w:val="none"/>
        </w:rPr>
        <w:t>三、</w:t>
      </w:r>
      <w:r>
        <w:rPr>
          <w:rFonts w:hint="eastAsia" w:ascii="仿宋" w:hAnsi="仿宋" w:eastAsia="仿宋"/>
          <w:b w:val="0"/>
          <w:highlight w:val="none"/>
        </w:rPr>
        <w:t>支</w:t>
      </w:r>
      <w:r>
        <w:rPr>
          <w:rStyle w:val="25"/>
          <w:rFonts w:hint="eastAsia" w:ascii="仿宋" w:hAnsi="仿宋" w:eastAsia="仿宋"/>
          <w:b w:val="0"/>
          <w:bCs w:val="0"/>
          <w:highlight w:val="none"/>
        </w:rPr>
        <w:t>出决算表</w:t>
      </w:r>
      <w:bookmarkEnd w:id="166"/>
      <w:bookmarkEnd w:id="167"/>
      <w:bookmarkEnd w:id="168"/>
    </w:p>
    <w:p>
      <w:pPr>
        <w:pStyle w:val="4"/>
        <w:rPr>
          <w:rFonts w:ascii="仿宋" w:hAnsi="仿宋" w:eastAsia="仿宋"/>
          <w:b w:val="0"/>
          <w:highlight w:val="none"/>
        </w:rPr>
      </w:pPr>
      <w:bookmarkStart w:id="169" w:name="_Toc15396622"/>
      <w:bookmarkStart w:id="170" w:name="_Toc9763_WPSOffice_Level2"/>
      <w:bookmarkStart w:id="171" w:name="_Toc18026_WPSOffice_Level2"/>
      <w:r>
        <w:rPr>
          <w:rStyle w:val="25"/>
          <w:rFonts w:hint="eastAsia" w:ascii="仿宋" w:hAnsi="仿宋" w:eastAsia="仿宋"/>
          <w:b w:val="0"/>
          <w:bCs w:val="0"/>
          <w:highlight w:val="none"/>
        </w:rPr>
        <w:t>四、</w:t>
      </w:r>
      <w:r>
        <w:rPr>
          <w:rFonts w:hint="eastAsia" w:ascii="仿宋" w:hAnsi="仿宋" w:eastAsia="仿宋"/>
          <w:b w:val="0"/>
          <w:highlight w:val="none"/>
        </w:rPr>
        <w:t>财</w:t>
      </w:r>
      <w:r>
        <w:rPr>
          <w:rStyle w:val="25"/>
          <w:rFonts w:hint="eastAsia" w:ascii="仿宋" w:hAnsi="仿宋" w:eastAsia="仿宋"/>
          <w:b w:val="0"/>
          <w:bCs w:val="0"/>
          <w:highlight w:val="none"/>
        </w:rPr>
        <w:t>政拨款收入支出决算总表</w:t>
      </w:r>
      <w:bookmarkEnd w:id="169"/>
      <w:bookmarkEnd w:id="170"/>
      <w:bookmarkEnd w:id="171"/>
    </w:p>
    <w:p>
      <w:pPr>
        <w:pStyle w:val="4"/>
        <w:rPr>
          <w:rStyle w:val="25"/>
          <w:rFonts w:ascii="仿宋" w:hAnsi="仿宋" w:eastAsia="仿宋"/>
          <w:b w:val="0"/>
          <w:bCs w:val="0"/>
          <w:highlight w:val="none"/>
        </w:rPr>
      </w:pPr>
      <w:bookmarkStart w:id="172" w:name="_Toc6134_WPSOffice_Level2"/>
      <w:bookmarkStart w:id="173" w:name="_Toc13277_WPSOffice_Level2"/>
      <w:bookmarkStart w:id="174" w:name="_Toc15396623"/>
      <w:r>
        <w:rPr>
          <w:rStyle w:val="25"/>
          <w:rFonts w:hint="eastAsia" w:ascii="仿宋" w:hAnsi="仿宋" w:eastAsia="仿宋"/>
          <w:b w:val="0"/>
          <w:bCs w:val="0"/>
          <w:highlight w:val="none"/>
        </w:rPr>
        <w:t>五、</w:t>
      </w:r>
      <w:r>
        <w:rPr>
          <w:rFonts w:hint="eastAsia" w:ascii="仿宋" w:hAnsi="仿宋" w:eastAsia="仿宋"/>
          <w:b w:val="0"/>
          <w:highlight w:val="none"/>
        </w:rPr>
        <w:t>财</w:t>
      </w:r>
      <w:r>
        <w:rPr>
          <w:rStyle w:val="25"/>
          <w:rFonts w:hint="eastAsia" w:ascii="仿宋" w:hAnsi="仿宋" w:eastAsia="仿宋"/>
          <w:b w:val="0"/>
          <w:bCs w:val="0"/>
          <w:highlight w:val="none"/>
        </w:rPr>
        <w:t>政拨款支出决算明细表</w:t>
      </w:r>
      <w:bookmarkEnd w:id="172"/>
      <w:bookmarkEnd w:id="173"/>
      <w:bookmarkEnd w:id="174"/>
      <w:bookmarkStart w:id="175" w:name="_Toc15396624"/>
    </w:p>
    <w:p>
      <w:pPr>
        <w:pStyle w:val="4"/>
        <w:rPr>
          <w:rFonts w:ascii="仿宋" w:hAnsi="仿宋" w:eastAsia="仿宋"/>
          <w:highlight w:val="none"/>
        </w:rPr>
      </w:pPr>
      <w:bookmarkStart w:id="176" w:name="_Toc7849_WPSOffice_Level2"/>
      <w:bookmarkStart w:id="177" w:name="_Toc23677_WPSOffice_Level2"/>
      <w:r>
        <w:rPr>
          <w:rStyle w:val="25"/>
          <w:rFonts w:hint="eastAsia" w:ascii="仿宋" w:hAnsi="仿宋" w:eastAsia="仿宋"/>
          <w:b w:val="0"/>
          <w:bCs w:val="0"/>
          <w:highlight w:val="none"/>
        </w:rPr>
        <w:t>六、</w:t>
      </w:r>
      <w:r>
        <w:rPr>
          <w:rFonts w:hint="eastAsia" w:ascii="仿宋" w:hAnsi="仿宋" w:eastAsia="仿宋"/>
          <w:b w:val="0"/>
          <w:highlight w:val="none"/>
        </w:rPr>
        <w:t>一</w:t>
      </w:r>
      <w:r>
        <w:rPr>
          <w:rStyle w:val="25"/>
          <w:rFonts w:hint="eastAsia" w:ascii="仿宋" w:hAnsi="仿宋" w:eastAsia="仿宋"/>
          <w:b w:val="0"/>
          <w:bCs w:val="0"/>
          <w:highlight w:val="none"/>
        </w:rPr>
        <w:t>般公共预算财政拨款支出决算表</w:t>
      </w:r>
      <w:bookmarkEnd w:id="175"/>
      <w:bookmarkEnd w:id="176"/>
      <w:bookmarkEnd w:id="177"/>
    </w:p>
    <w:p>
      <w:pPr>
        <w:pStyle w:val="4"/>
        <w:rPr>
          <w:rFonts w:ascii="仿宋" w:hAnsi="仿宋" w:eastAsia="仿宋"/>
          <w:highlight w:val="none"/>
        </w:rPr>
      </w:pPr>
      <w:bookmarkStart w:id="178" w:name="_Toc15396625"/>
      <w:bookmarkStart w:id="179" w:name="_Toc10209_WPSOffice_Level2"/>
      <w:bookmarkStart w:id="180" w:name="_Toc24127_WPSOffice_Level2"/>
      <w:r>
        <w:rPr>
          <w:rStyle w:val="25"/>
          <w:rFonts w:hint="eastAsia" w:ascii="仿宋" w:hAnsi="仿宋" w:eastAsia="仿宋"/>
          <w:b w:val="0"/>
          <w:bCs w:val="0"/>
          <w:highlight w:val="none"/>
        </w:rPr>
        <w:t>七、</w:t>
      </w:r>
      <w:r>
        <w:rPr>
          <w:rFonts w:hint="eastAsia" w:ascii="仿宋" w:hAnsi="仿宋" w:eastAsia="仿宋"/>
          <w:b w:val="0"/>
          <w:highlight w:val="none"/>
        </w:rPr>
        <w:t>一</w:t>
      </w:r>
      <w:r>
        <w:rPr>
          <w:rStyle w:val="25"/>
          <w:rFonts w:hint="eastAsia" w:ascii="仿宋" w:hAnsi="仿宋" w:eastAsia="仿宋"/>
          <w:b w:val="0"/>
          <w:bCs w:val="0"/>
          <w:highlight w:val="none"/>
        </w:rPr>
        <w:t>般公共预算财政拨款支出决算明细表</w:t>
      </w:r>
      <w:bookmarkEnd w:id="178"/>
      <w:bookmarkEnd w:id="179"/>
      <w:bookmarkEnd w:id="180"/>
    </w:p>
    <w:p>
      <w:pPr>
        <w:pStyle w:val="4"/>
        <w:rPr>
          <w:rFonts w:ascii="仿宋" w:hAnsi="仿宋" w:eastAsia="仿宋"/>
          <w:highlight w:val="none"/>
        </w:rPr>
      </w:pPr>
      <w:bookmarkStart w:id="181" w:name="_Toc15396626"/>
      <w:bookmarkStart w:id="182" w:name="_Toc1499_WPSOffice_Level2"/>
      <w:bookmarkStart w:id="183" w:name="_Toc4958_WPSOffice_Level2"/>
      <w:r>
        <w:rPr>
          <w:rStyle w:val="25"/>
          <w:rFonts w:hint="eastAsia" w:ascii="仿宋" w:hAnsi="仿宋" w:eastAsia="仿宋"/>
          <w:b w:val="0"/>
          <w:bCs w:val="0"/>
          <w:highlight w:val="none"/>
        </w:rPr>
        <w:t>八、</w:t>
      </w:r>
      <w:r>
        <w:rPr>
          <w:rFonts w:hint="eastAsia" w:ascii="仿宋" w:hAnsi="仿宋" w:eastAsia="仿宋"/>
          <w:b w:val="0"/>
          <w:highlight w:val="none"/>
        </w:rPr>
        <w:t>一</w:t>
      </w:r>
      <w:r>
        <w:rPr>
          <w:rStyle w:val="25"/>
          <w:rFonts w:hint="eastAsia" w:ascii="仿宋" w:hAnsi="仿宋" w:eastAsia="仿宋"/>
          <w:b w:val="0"/>
          <w:bCs w:val="0"/>
          <w:highlight w:val="none"/>
        </w:rPr>
        <w:t>般公共预算财政拨款基本支出决算表</w:t>
      </w:r>
      <w:bookmarkEnd w:id="181"/>
      <w:bookmarkEnd w:id="182"/>
      <w:bookmarkEnd w:id="183"/>
    </w:p>
    <w:p>
      <w:pPr>
        <w:pStyle w:val="4"/>
        <w:rPr>
          <w:rFonts w:ascii="仿宋" w:hAnsi="仿宋" w:eastAsia="仿宋"/>
          <w:highlight w:val="none"/>
        </w:rPr>
      </w:pPr>
      <w:bookmarkStart w:id="184" w:name="_Toc15396627"/>
      <w:bookmarkStart w:id="185" w:name="_Toc15276_WPSOffice_Level2"/>
      <w:bookmarkStart w:id="186" w:name="_Toc2952_WPSOffice_Level2"/>
      <w:r>
        <w:rPr>
          <w:rStyle w:val="25"/>
          <w:rFonts w:hint="eastAsia" w:ascii="仿宋" w:hAnsi="仿宋" w:eastAsia="仿宋"/>
          <w:b w:val="0"/>
          <w:bCs w:val="0"/>
          <w:highlight w:val="none"/>
        </w:rPr>
        <w:t>九、</w:t>
      </w:r>
      <w:r>
        <w:rPr>
          <w:rFonts w:hint="eastAsia" w:ascii="仿宋" w:hAnsi="仿宋" w:eastAsia="仿宋"/>
          <w:b w:val="0"/>
          <w:highlight w:val="none"/>
        </w:rPr>
        <w:t>一</w:t>
      </w:r>
      <w:r>
        <w:rPr>
          <w:rStyle w:val="25"/>
          <w:rFonts w:hint="eastAsia" w:ascii="仿宋" w:hAnsi="仿宋" w:eastAsia="仿宋"/>
          <w:b w:val="0"/>
          <w:bCs w:val="0"/>
          <w:highlight w:val="none"/>
        </w:rPr>
        <w:t>般公共预算财政拨款项目支出决算表</w:t>
      </w:r>
      <w:bookmarkEnd w:id="184"/>
      <w:bookmarkEnd w:id="185"/>
      <w:bookmarkEnd w:id="186"/>
    </w:p>
    <w:p>
      <w:pPr>
        <w:pStyle w:val="4"/>
        <w:rPr>
          <w:rFonts w:ascii="仿宋" w:hAnsi="仿宋" w:eastAsia="仿宋"/>
          <w:highlight w:val="none"/>
        </w:rPr>
      </w:pPr>
      <w:bookmarkStart w:id="187" w:name="_Toc15396628"/>
      <w:bookmarkStart w:id="188" w:name="_Toc14960_WPSOffice_Level2"/>
      <w:bookmarkStart w:id="189" w:name="_Toc17127_WPSOffice_Level2"/>
      <w:r>
        <w:rPr>
          <w:rStyle w:val="25"/>
          <w:rFonts w:hint="eastAsia" w:ascii="仿宋" w:hAnsi="仿宋" w:eastAsia="仿宋"/>
          <w:b w:val="0"/>
          <w:bCs w:val="0"/>
          <w:highlight w:val="none"/>
        </w:rPr>
        <w:t>十、</w:t>
      </w:r>
      <w:bookmarkEnd w:id="187"/>
      <w:r>
        <w:rPr>
          <w:rFonts w:hint="eastAsia" w:ascii="仿宋" w:hAnsi="仿宋" w:eastAsia="仿宋"/>
          <w:b w:val="0"/>
          <w:highlight w:val="none"/>
        </w:rPr>
        <w:t>政</w:t>
      </w:r>
      <w:r>
        <w:rPr>
          <w:rStyle w:val="25"/>
          <w:rFonts w:hint="eastAsia" w:ascii="仿宋" w:hAnsi="仿宋" w:eastAsia="仿宋"/>
          <w:b w:val="0"/>
          <w:bCs w:val="0"/>
          <w:highlight w:val="none"/>
        </w:rPr>
        <w:t>府性基金预算财政拨款收入支出决算表</w:t>
      </w:r>
      <w:bookmarkEnd w:id="188"/>
      <w:bookmarkEnd w:id="189"/>
    </w:p>
    <w:p>
      <w:pPr>
        <w:pStyle w:val="4"/>
        <w:rPr>
          <w:rFonts w:ascii="仿宋" w:hAnsi="仿宋" w:eastAsia="仿宋"/>
          <w:highlight w:val="none"/>
        </w:rPr>
      </w:pPr>
      <w:bookmarkStart w:id="190" w:name="_Toc15396629"/>
      <w:bookmarkStart w:id="191" w:name="_Toc28458_WPSOffice_Level2"/>
      <w:bookmarkStart w:id="192" w:name="_Toc18920_WPSOffice_Level2"/>
      <w:r>
        <w:rPr>
          <w:rStyle w:val="25"/>
          <w:rFonts w:hint="eastAsia" w:ascii="仿宋" w:hAnsi="仿宋" w:eastAsia="仿宋"/>
          <w:b w:val="0"/>
          <w:bCs w:val="0"/>
          <w:highlight w:val="none"/>
        </w:rPr>
        <w:t>十一、</w:t>
      </w:r>
      <w:bookmarkEnd w:id="190"/>
      <w:r>
        <w:rPr>
          <w:rFonts w:hint="eastAsia" w:ascii="仿宋" w:hAnsi="仿宋" w:eastAsia="仿宋"/>
          <w:b w:val="0"/>
          <w:highlight w:val="none"/>
        </w:rPr>
        <w:t>国</w:t>
      </w:r>
      <w:r>
        <w:rPr>
          <w:rStyle w:val="25"/>
          <w:rFonts w:hint="eastAsia" w:ascii="仿宋" w:hAnsi="仿宋" w:eastAsia="仿宋"/>
          <w:b w:val="0"/>
          <w:bCs w:val="0"/>
          <w:highlight w:val="none"/>
        </w:rPr>
        <w:t>有资本经营预算财政拨款收入支出决算表</w:t>
      </w:r>
      <w:bookmarkEnd w:id="191"/>
      <w:bookmarkEnd w:id="192"/>
    </w:p>
    <w:p>
      <w:pPr>
        <w:pStyle w:val="4"/>
        <w:rPr>
          <w:rFonts w:ascii="仿宋" w:hAnsi="仿宋" w:eastAsia="仿宋"/>
          <w:highlight w:val="none"/>
        </w:rPr>
      </w:pPr>
      <w:bookmarkStart w:id="193" w:name="_Toc15396630"/>
      <w:bookmarkStart w:id="194" w:name="_Toc18651_WPSOffice_Level2"/>
      <w:bookmarkStart w:id="195" w:name="_Toc18299_WPSOffice_Level2"/>
      <w:r>
        <w:rPr>
          <w:rStyle w:val="25"/>
          <w:rFonts w:hint="eastAsia" w:ascii="仿宋" w:hAnsi="仿宋" w:eastAsia="仿宋"/>
          <w:b w:val="0"/>
          <w:bCs w:val="0"/>
          <w:highlight w:val="none"/>
        </w:rPr>
        <w:t>十二、</w:t>
      </w:r>
      <w:bookmarkEnd w:id="193"/>
      <w:r>
        <w:rPr>
          <w:rStyle w:val="25"/>
          <w:rFonts w:hint="eastAsia" w:ascii="仿宋" w:hAnsi="仿宋" w:eastAsia="仿宋"/>
          <w:b w:val="0"/>
          <w:bCs w:val="0"/>
          <w:highlight w:val="none"/>
        </w:rPr>
        <w:t>国有资本经营预算财政拨款支出决算表</w:t>
      </w:r>
      <w:bookmarkEnd w:id="194"/>
      <w:bookmarkEnd w:id="195"/>
    </w:p>
    <w:p>
      <w:pPr>
        <w:pStyle w:val="4"/>
        <w:rPr>
          <w:rFonts w:eastAsia="仿宋"/>
          <w:highlight w:val="none"/>
        </w:rPr>
      </w:pPr>
      <w:bookmarkStart w:id="196" w:name="_Toc15396631"/>
      <w:bookmarkStart w:id="197" w:name="_Toc2349_WPSOffice_Level2"/>
      <w:bookmarkStart w:id="198" w:name="_Toc29532_WPSOffice_Level2"/>
      <w:r>
        <w:rPr>
          <w:rStyle w:val="25"/>
          <w:rFonts w:hint="eastAsia" w:ascii="仿宋" w:hAnsi="仿宋" w:eastAsia="仿宋"/>
          <w:b w:val="0"/>
          <w:bCs w:val="0"/>
          <w:highlight w:val="none"/>
        </w:rPr>
        <w:t>十三、</w:t>
      </w:r>
      <w:bookmarkEnd w:id="196"/>
      <w:r>
        <w:rPr>
          <w:rStyle w:val="25"/>
          <w:rFonts w:hint="eastAsia" w:ascii="仿宋" w:hAnsi="仿宋" w:eastAsia="仿宋"/>
          <w:b w:val="0"/>
          <w:bCs w:val="0"/>
          <w:highlight w:val="none"/>
        </w:rPr>
        <w:t>财政拨款“三公”经费支出决算表</w:t>
      </w:r>
      <w:bookmarkEnd w:id="197"/>
      <w:bookmarkEnd w:id="198"/>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8"/>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1"/>
                    </w:sdtPr>
                    <w:sdtContent>
                      <w:p>
                        <w:pPr>
                          <w:pStyle w:val="8"/>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8</w:t>
                        </w:r>
                        <w:r>
                          <w:rPr>
                            <w:rFonts w:hint="eastAsia" w:asciiTheme="minorEastAsia" w:hAnsiTheme="minorEastAsia" w:eastAsiaTheme="minorEastAsia" w:cstheme="minorEastAsia"/>
                            <w:sz w:val="28"/>
                            <w:szCs w:val="28"/>
                          </w:rP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A0740"/>
    <w:multiLevelType w:val="singleLevel"/>
    <w:tmpl w:val="92FA0740"/>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369075F"/>
    <w:rsid w:val="04500717"/>
    <w:rsid w:val="04D773E7"/>
    <w:rsid w:val="053A62B5"/>
    <w:rsid w:val="062B3C75"/>
    <w:rsid w:val="07082648"/>
    <w:rsid w:val="07E601DE"/>
    <w:rsid w:val="09EA55B2"/>
    <w:rsid w:val="0A2032A3"/>
    <w:rsid w:val="0A50660B"/>
    <w:rsid w:val="0B275DD1"/>
    <w:rsid w:val="0B8A37D8"/>
    <w:rsid w:val="0B991D01"/>
    <w:rsid w:val="0C054809"/>
    <w:rsid w:val="0D4B5729"/>
    <w:rsid w:val="0DA755AB"/>
    <w:rsid w:val="0F3E2988"/>
    <w:rsid w:val="10C055FF"/>
    <w:rsid w:val="118107EC"/>
    <w:rsid w:val="11967322"/>
    <w:rsid w:val="11DD6519"/>
    <w:rsid w:val="1589178C"/>
    <w:rsid w:val="15A96E2B"/>
    <w:rsid w:val="16BB723D"/>
    <w:rsid w:val="18015F3F"/>
    <w:rsid w:val="18236F87"/>
    <w:rsid w:val="19537A00"/>
    <w:rsid w:val="1BE8440E"/>
    <w:rsid w:val="1D155CEE"/>
    <w:rsid w:val="20F57F95"/>
    <w:rsid w:val="21630B4E"/>
    <w:rsid w:val="21A8062D"/>
    <w:rsid w:val="21D64672"/>
    <w:rsid w:val="240371BF"/>
    <w:rsid w:val="256D2292"/>
    <w:rsid w:val="25711CC6"/>
    <w:rsid w:val="25C741E6"/>
    <w:rsid w:val="27842671"/>
    <w:rsid w:val="29AF7F1F"/>
    <w:rsid w:val="29FD04D3"/>
    <w:rsid w:val="2ABE7A3E"/>
    <w:rsid w:val="2CA234A8"/>
    <w:rsid w:val="2EFA178C"/>
    <w:rsid w:val="30B46D73"/>
    <w:rsid w:val="319F7F4E"/>
    <w:rsid w:val="32826CA1"/>
    <w:rsid w:val="32881FF7"/>
    <w:rsid w:val="32A97892"/>
    <w:rsid w:val="34494443"/>
    <w:rsid w:val="35D31B3C"/>
    <w:rsid w:val="36785E04"/>
    <w:rsid w:val="37590EA9"/>
    <w:rsid w:val="37EF714D"/>
    <w:rsid w:val="383D272C"/>
    <w:rsid w:val="39AE70AB"/>
    <w:rsid w:val="3C0C0783"/>
    <w:rsid w:val="3CE47FF9"/>
    <w:rsid w:val="3F9F3A96"/>
    <w:rsid w:val="3FEB36E0"/>
    <w:rsid w:val="40271B21"/>
    <w:rsid w:val="40650297"/>
    <w:rsid w:val="43D279D0"/>
    <w:rsid w:val="459B50EE"/>
    <w:rsid w:val="488D7DB2"/>
    <w:rsid w:val="48BF60AB"/>
    <w:rsid w:val="493C27E9"/>
    <w:rsid w:val="496F39ED"/>
    <w:rsid w:val="49FF41D3"/>
    <w:rsid w:val="4A8A5B38"/>
    <w:rsid w:val="4BE068DB"/>
    <w:rsid w:val="4BF6002B"/>
    <w:rsid w:val="4D1B5925"/>
    <w:rsid w:val="4DC9536D"/>
    <w:rsid w:val="4ECE2238"/>
    <w:rsid w:val="500433FC"/>
    <w:rsid w:val="513DD22D"/>
    <w:rsid w:val="51706037"/>
    <w:rsid w:val="51DB4B86"/>
    <w:rsid w:val="52BB1876"/>
    <w:rsid w:val="54784C84"/>
    <w:rsid w:val="54C1237D"/>
    <w:rsid w:val="55333C3E"/>
    <w:rsid w:val="567FF94C"/>
    <w:rsid w:val="56E36974"/>
    <w:rsid w:val="58FF3D37"/>
    <w:rsid w:val="59812C16"/>
    <w:rsid w:val="59840821"/>
    <w:rsid w:val="5A250AC5"/>
    <w:rsid w:val="5B1327A1"/>
    <w:rsid w:val="5CDF4595"/>
    <w:rsid w:val="5F81473D"/>
    <w:rsid w:val="5F927D23"/>
    <w:rsid w:val="5FC53938"/>
    <w:rsid w:val="60390468"/>
    <w:rsid w:val="605B0E82"/>
    <w:rsid w:val="618A6B47"/>
    <w:rsid w:val="64CA39A1"/>
    <w:rsid w:val="6513705D"/>
    <w:rsid w:val="65DD2E90"/>
    <w:rsid w:val="66C44127"/>
    <w:rsid w:val="67005FB3"/>
    <w:rsid w:val="674113CD"/>
    <w:rsid w:val="685C719C"/>
    <w:rsid w:val="69630ADE"/>
    <w:rsid w:val="6C3252C0"/>
    <w:rsid w:val="6C4A05C8"/>
    <w:rsid w:val="6D2050F5"/>
    <w:rsid w:val="6D3B1A89"/>
    <w:rsid w:val="6EC22D41"/>
    <w:rsid w:val="713F3528"/>
    <w:rsid w:val="718102DB"/>
    <w:rsid w:val="71BF4EC2"/>
    <w:rsid w:val="72734D90"/>
    <w:rsid w:val="7412278C"/>
    <w:rsid w:val="74CE25FC"/>
    <w:rsid w:val="756D7FE9"/>
    <w:rsid w:val="77396170"/>
    <w:rsid w:val="77D46017"/>
    <w:rsid w:val="78B1329E"/>
    <w:rsid w:val="78BD4302"/>
    <w:rsid w:val="79E7B28D"/>
    <w:rsid w:val="7B622B8C"/>
    <w:rsid w:val="7EF405C4"/>
    <w:rsid w:val="7F530E11"/>
    <w:rsid w:val="7F651D11"/>
    <w:rsid w:val="7F9F20EE"/>
    <w:rsid w:val="7FC12366"/>
    <w:rsid w:val="9E3A10E2"/>
    <w:rsid w:val="DF6FEE78"/>
    <w:rsid w:val="F2E1F9D4"/>
    <w:rsid w:val="F777D9CC"/>
    <w:rsid w:val="F7880819"/>
    <w:rsid w:val="FFFB1F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Header Char"/>
    <w:basedOn w:val="12"/>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2"/>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2"/>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2"/>
    <w:link w:val="3"/>
    <w:qFormat/>
    <w:uiPriority w:val="9"/>
    <w:rPr>
      <w:rFonts w:ascii="Times New Roman" w:hAnsi="Times New Roman"/>
      <w:b/>
      <w:bCs/>
      <w:kern w:val="44"/>
      <w:sz w:val="44"/>
      <w:szCs w:val="44"/>
    </w:rPr>
  </w:style>
  <w:style w:type="character" w:customStyle="1" w:styleId="25">
    <w:name w:val="标题 2 字符"/>
    <w:basedOn w:val="12"/>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2"/>
    <w:link w:val="7"/>
    <w:semiHidden/>
    <w:qFormat/>
    <w:uiPriority w:val="99"/>
    <w:rPr>
      <w:rFonts w:ascii="Times New Roman" w:hAnsi="Times New Roman"/>
      <w:kern w:val="2"/>
      <w:sz w:val="18"/>
      <w:szCs w:val="18"/>
    </w:rPr>
  </w:style>
  <w:style w:type="character" w:customStyle="1" w:styleId="28">
    <w:name w:val="标题 3 字符"/>
    <w:basedOn w:val="12"/>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62b9ec-5822-4f15-986d-4b70c6e663a5}"/>
        <w:style w:val=""/>
        <w:category>
          <w:name w:val="常规"/>
          <w:gallery w:val="placeholder"/>
        </w:category>
        <w:types>
          <w:type w:val="bbPlcHdr"/>
        </w:types>
        <w:behaviors>
          <w:behavior w:val="content"/>
        </w:behaviors>
        <w:description w:val=""/>
        <w:guid w:val="{f862b9ec-5822-4f15-986d-4b70c6e663a5}"/>
      </w:docPartPr>
      <w:docPartBody>
        <w:p>
          <w:r>
            <w:rPr>
              <w:color w:val="808080"/>
            </w:rPr>
            <w:t>单击此处输入文字。</w:t>
          </w:r>
        </w:p>
      </w:docPartBody>
    </w:docPart>
    <w:docPart>
      <w:docPartPr>
        <w:name w:val="{bb9c332b-a4d6-4775-bca9-836e9f648c41}"/>
        <w:style w:val=""/>
        <w:category>
          <w:name w:val="常规"/>
          <w:gallery w:val="placeholder"/>
        </w:category>
        <w:types>
          <w:type w:val="bbPlcHdr"/>
        </w:types>
        <w:behaviors>
          <w:behavior w:val="content"/>
        </w:behaviors>
        <w:description w:val=""/>
        <w:guid w:val="{bb9c332b-a4d6-4775-bca9-836e9f648c41}"/>
      </w:docPartPr>
      <w:docPartBody>
        <w:p>
          <w:r>
            <w:rPr>
              <w:color w:val="808080"/>
            </w:rPr>
            <w:t>单击此处输入文字。</w:t>
          </w:r>
        </w:p>
      </w:docPartBody>
    </w:docPart>
    <w:docPart>
      <w:docPartPr>
        <w:name w:val="{2fa6b4d5-3336-47ff-ab52-d9a69aeaf4ee}"/>
        <w:style w:val=""/>
        <w:category>
          <w:name w:val="常规"/>
          <w:gallery w:val="placeholder"/>
        </w:category>
        <w:types>
          <w:type w:val="bbPlcHdr"/>
        </w:types>
        <w:behaviors>
          <w:behavior w:val="content"/>
        </w:behaviors>
        <w:description w:val=""/>
        <w:guid w:val="{2fa6b4d5-3336-47ff-ab52-d9a69aeaf4ee}"/>
      </w:docPartPr>
      <w:docPartBody>
        <w:p>
          <w:r>
            <w:rPr>
              <w:color w:val="808080"/>
            </w:rPr>
            <w:t>单击此处输入文字。</w:t>
          </w:r>
        </w:p>
      </w:docPartBody>
    </w:docPart>
    <w:docPart>
      <w:docPartPr>
        <w:name w:val="{163b72aa-4e24-49bd-9112-b4b99bfd1ede}"/>
        <w:style w:val=""/>
        <w:category>
          <w:name w:val="常规"/>
          <w:gallery w:val="placeholder"/>
        </w:category>
        <w:types>
          <w:type w:val="bbPlcHdr"/>
        </w:types>
        <w:behaviors>
          <w:behavior w:val="content"/>
        </w:behaviors>
        <w:description w:val=""/>
        <w:guid w:val="{163b72aa-4e24-49bd-9112-b4b99bfd1ede}"/>
      </w:docPartPr>
      <w:docPartBody>
        <w:p>
          <w:r>
            <w:rPr>
              <w:color w:val="808080"/>
            </w:rPr>
            <w:t>单击此处输入文字。</w:t>
          </w:r>
        </w:p>
      </w:docPartBody>
    </w:docPart>
    <w:docPart>
      <w:docPartPr>
        <w:name w:val="{6312c327-113f-4286-b388-168c05569402}"/>
        <w:style w:val=""/>
        <w:category>
          <w:name w:val="常规"/>
          <w:gallery w:val="placeholder"/>
        </w:category>
        <w:types>
          <w:type w:val="bbPlcHdr"/>
        </w:types>
        <w:behaviors>
          <w:behavior w:val="content"/>
        </w:behaviors>
        <w:description w:val=""/>
        <w:guid w:val="{6312c327-113f-4286-b388-168c05569402}"/>
      </w:docPartPr>
      <w:docPartBody>
        <w:p>
          <w:r>
            <w:rPr>
              <w:color w:val="808080"/>
            </w:rPr>
            <w:t>单击此处输入文字。</w:t>
          </w:r>
        </w:p>
      </w:docPartBody>
    </w:docPart>
    <w:docPart>
      <w:docPartPr>
        <w:name w:val="{0910245c-7c7d-48a9-b4eb-0d70939c231d}"/>
        <w:style w:val=""/>
        <w:category>
          <w:name w:val="常规"/>
          <w:gallery w:val="placeholder"/>
        </w:category>
        <w:types>
          <w:type w:val="bbPlcHdr"/>
        </w:types>
        <w:behaviors>
          <w:behavior w:val="content"/>
        </w:behaviors>
        <w:description w:val=""/>
        <w:guid w:val="{0910245c-7c7d-48a9-b4eb-0d70939c231d}"/>
      </w:docPartPr>
      <w:docPartBody>
        <w:p>
          <w:r>
            <w:rPr>
              <w:color w:val="808080"/>
            </w:rPr>
            <w:t>单击此处输入文字。</w:t>
          </w:r>
        </w:p>
      </w:docPartBody>
    </w:docPart>
    <w:docPart>
      <w:docPartPr>
        <w:name w:val="{fd522db0-dae9-4fc3-9abb-f65f8bb4f6a9}"/>
        <w:style w:val=""/>
        <w:category>
          <w:name w:val="常规"/>
          <w:gallery w:val="placeholder"/>
        </w:category>
        <w:types>
          <w:type w:val="bbPlcHdr"/>
        </w:types>
        <w:behaviors>
          <w:behavior w:val="content"/>
        </w:behaviors>
        <w:description w:val=""/>
        <w:guid w:val="{fd522db0-dae9-4fc3-9abb-f65f8bb4f6a9}"/>
      </w:docPartPr>
      <w:docPartBody>
        <w:p>
          <w:r>
            <w:rPr>
              <w:color w:val="808080"/>
            </w:rPr>
            <w:t>单击此处输入文字。</w:t>
          </w:r>
        </w:p>
      </w:docPartBody>
    </w:docPart>
    <w:docPart>
      <w:docPartPr>
        <w:name w:val="{abed8639-62db-45dd-9be9-adc52480d112}"/>
        <w:style w:val=""/>
        <w:category>
          <w:name w:val="常规"/>
          <w:gallery w:val="placeholder"/>
        </w:category>
        <w:types>
          <w:type w:val="bbPlcHdr"/>
        </w:types>
        <w:behaviors>
          <w:behavior w:val="content"/>
        </w:behaviors>
        <w:description w:val=""/>
        <w:guid w:val="{abed8639-62db-45dd-9be9-adc52480d112}"/>
      </w:docPartPr>
      <w:docPartBody>
        <w:p>
          <w:r>
            <w:rPr>
              <w:color w:val="808080"/>
            </w:rPr>
            <w:t>单击此处输入文字。</w:t>
          </w:r>
        </w:p>
      </w:docPartBody>
    </w:docPart>
    <w:docPart>
      <w:docPartPr>
        <w:name w:val="{b4626f5f-def0-4382-8b88-01bd396382f1}"/>
        <w:style w:val=""/>
        <w:category>
          <w:name w:val="常规"/>
          <w:gallery w:val="placeholder"/>
        </w:category>
        <w:types>
          <w:type w:val="bbPlcHdr"/>
        </w:types>
        <w:behaviors>
          <w:behavior w:val="content"/>
        </w:behaviors>
        <w:description w:val=""/>
        <w:guid w:val="{b4626f5f-def0-4382-8b88-01bd396382f1}"/>
      </w:docPartPr>
      <w:docPartBody>
        <w:p>
          <w:r>
            <w:rPr>
              <w:color w:val="808080"/>
            </w:rPr>
            <w:t>单击此处输入文字。</w:t>
          </w:r>
        </w:p>
      </w:docPartBody>
    </w:docPart>
    <w:docPart>
      <w:docPartPr>
        <w:name w:val="{5034f6c4-e42d-4a34-a813-fa5395c9120f}"/>
        <w:style w:val=""/>
        <w:category>
          <w:name w:val="常规"/>
          <w:gallery w:val="placeholder"/>
        </w:category>
        <w:types>
          <w:type w:val="bbPlcHdr"/>
        </w:types>
        <w:behaviors>
          <w:behavior w:val="content"/>
        </w:behaviors>
        <w:description w:val=""/>
        <w:guid w:val="{5034f6c4-e42d-4a34-a813-fa5395c9120f}"/>
      </w:docPartPr>
      <w:docPartBody>
        <w:p>
          <w:r>
            <w:rPr>
              <w:color w:val="808080"/>
            </w:rPr>
            <w:t>单击此处输入文字。</w:t>
          </w:r>
        </w:p>
      </w:docPartBody>
    </w:docPart>
    <w:docPart>
      <w:docPartPr>
        <w:name w:val="{8c350e3b-fd27-49e6-89a9-adfad5dc5822}"/>
        <w:style w:val=""/>
        <w:category>
          <w:name w:val="常规"/>
          <w:gallery w:val="placeholder"/>
        </w:category>
        <w:types>
          <w:type w:val="bbPlcHdr"/>
        </w:types>
        <w:behaviors>
          <w:behavior w:val="content"/>
        </w:behaviors>
        <w:description w:val=""/>
        <w:guid w:val="{8c350e3b-fd27-49e6-89a9-adfad5dc5822}"/>
      </w:docPartPr>
      <w:docPartBody>
        <w:p>
          <w:r>
            <w:rPr>
              <w:color w:val="808080"/>
            </w:rPr>
            <w:t>单击此处输入文字。</w:t>
          </w:r>
        </w:p>
      </w:docPartBody>
    </w:docPart>
    <w:docPart>
      <w:docPartPr>
        <w:name w:val="{d11be73f-b860-4cee-8287-fc9f3940a0d3}"/>
        <w:style w:val=""/>
        <w:category>
          <w:name w:val="常规"/>
          <w:gallery w:val="placeholder"/>
        </w:category>
        <w:types>
          <w:type w:val="bbPlcHdr"/>
        </w:types>
        <w:behaviors>
          <w:behavior w:val="content"/>
        </w:behaviors>
        <w:description w:val=""/>
        <w:guid w:val="{d11be73f-b860-4cee-8287-fc9f3940a0d3}"/>
      </w:docPartPr>
      <w:docPartBody>
        <w:p>
          <w:r>
            <w:rPr>
              <w:color w:val="808080"/>
            </w:rPr>
            <w:t>单击此处输入文字。</w:t>
          </w:r>
        </w:p>
      </w:docPartBody>
    </w:docPart>
    <w:docPart>
      <w:docPartPr>
        <w:name w:val="{007edabc-32d4-4fce-8214-9c60a399fedf}"/>
        <w:style w:val=""/>
        <w:category>
          <w:name w:val="常规"/>
          <w:gallery w:val="placeholder"/>
        </w:category>
        <w:types>
          <w:type w:val="bbPlcHdr"/>
        </w:types>
        <w:behaviors>
          <w:behavior w:val="content"/>
        </w:behaviors>
        <w:description w:val=""/>
        <w:guid w:val="{007edabc-32d4-4fce-8214-9c60a399fedf}"/>
      </w:docPartPr>
      <w:docPartBody>
        <w:p>
          <w:r>
            <w:rPr>
              <w:color w:val="808080"/>
            </w:rPr>
            <w:t>单击此处输入文字。</w:t>
          </w:r>
        </w:p>
      </w:docPartBody>
    </w:docPart>
    <w:docPart>
      <w:docPartPr>
        <w:name w:val="{4e538a55-ca96-4e6f-975b-3f434f904634}"/>
        <w:style w:val=""/>
        <w:category>
          <w:name w:val="常规"/>
          <w:gallery w:val="placeholder"/>
        </w:category>
        <w:types>
          <w:type w:val="bbPlcHdr"/>
        </w:types>
        <w:behaviors>
          <w:behavior w:val="content"/>
        </w:behaviors>
        <w:description w:val=""/>
        <w:guid w:val="{4e538a55-ca96-4e6f-975b-3f434f904634}"/>
      </w:docPartPr>
      <w:docPartBody>
        <w:p>
          <w:r>
            <w:rPr>
              <w:color w:val="808080"/>
            </w:rPr>
            <w:t>单击此处输入文字。</w:t>
          </w:r>
        </w:p>
      </w:docPartBody>
    </w:docPart>
    <w:docPart>
      <w:docPartPr>
        <w:name w:val="{dc9e45f1-dfcf-434f-bcca-0fdac0ad48b2}"/>
        <w:style w:val=""/>
        <w:category>
          <w:name w:val="常规"/>
          <w:gallery w:val="placeholder"/>
        </w:category>
        <w:types>
          <w:type w:val="bbPlcHdr"/>
        </w:types>
        <w:behaviors>
          <w:behavior w:val="content"/>
        </w:behaviors>
        <w:description w:val=""/>
        <w:guid w:val="{dc9e45f1-dfcf-434f-bcca-0fdac0ad48b2}"/>
      </w:docPartPr>
      <w:docPartBody>
        <w:p>
          <w:r>
            <w:rPr>
              <w:color w:val="808080"/>
            </w:rPr>
            <w:t>单击此处输入文字。</w:t>
          </w:r>
        </w:p>
      </w:docPartBody>
    </w:docPart>
    <w:docPart>
      <w:docPartPr>
        <w:name w:val="{b31542a1-bcc8-48db-ae0b-4207a3e31ee5}"/>
        <w:style w:val=""/>
        <w:category>
          <w:name w:val="常规"/>
          <w:gallery w:val="placeholder"/>
        </w:category>
        <w:types>
          <w:type w:val="bbPlcHdr"/>
        </w:types>
        <w:behaviors>
          <w:behavior w:val="content"/>
        </w:behaviors>
        <w:description w:val=""/>
        <w:guid w:val="{b31542a1-bcc8-48db-ae0b-4207a3e31ee5}"/>
      </w:docPartPr>
      <w:docPartBody>
        <w:p>
          <w:r>
            <w:rPr>
              <w:color w:val="808080"/>
            </w:rPr>
            <w:t>单击此处输入文字。</w:t>
          </w:r>
        </w:p>
      </w:docPartBody>
    </w:docPart>
    <w:docPart>
      <w:docPartPr>
        <w:name w:val="{7963830b-1579-4522-94a8-fec568a593b9}"/>
        <w:style w:val=""/>
        <w:category>
          <w:name w:val="常规"/>
          <w:gallery w:val="placeholder"/>
        </w:category>
        <w:types>
          <w:type w:val="bbPlcHdr"/>
        </w:types>
        <w:behaviors>
          <w:behavior w:val="content"/>
        </w:behaviors>
        <w:description w:val=""/>
        <w:guid w:val="{7963830b-1579-4522-94a8-fec568a593b9}"/>
      </w:docPartPr>
      <w:docPartBody>
        <w:p>
          <w:r>
            <w:rPr>
              <w:color w:val="808080"/>
            </w:rPr>
            <w:t>单击此处输入文字。</w:t>
          </w:r>
        </w:p>
      </w:docPartBody>
    </w:docPart>
    <w:docPart>
      <w:docPartPr>
        <w:name w:val="{89c0530d-894e-4aea-a13f-aa467462e4b2}"/>
        <w:style w:val=""/>
        <w:category>
          <w:name w:val="常规"/>
          <w:gallery w:val="placeholder"/>
        </w:category>
        <w:types>
          <w:type w:val="bbPlcHdr"/>
        </w:types>
        <w:behaviors>
          <w:behavior w:val="content"/>
        </w:behaviors>
        <w:description w:val=""/>
        <w:guid w:val="{89c0530d-894e-4aea-a13f-aa467462e4b2}"/>
      </w:docPartPr>
      <w:docPartBody>
        <w:p>
          <w:r>
            <w:rPr>
              <w:color w:val="808080"/>
            </w:rPr>
            <w:t>单击此处输入文字。</w:t>
          </w:r>
        </w:p>
      </w:docPartBody>
    </w:docPart>
    <w:docPart>
      <w:docPartPr>
        <w:name w:val="{5412eb09-94c0-4c86-8b06-0646860d5d80}"/>
        <w:style w:val=""/>
        <w:category>
          <w:name w:val="常规"/>
          <w:gallery w:val="placeholder"/>
        </w:category>
        <w:types>
          <w:type w:val="bbPlcHdr"/>
        </w:types>
        <w:behaviors>
          <w:behavior w:val="content"/>
        </w:behaviors>
        <w:description w:val=""/>
        <w:guid w:val="{5412eb09-94c0-4c86-8b06-0646860d5d80}"/>
      </w:docPartPr>
      <w:docPartBody>
        <w:p>
          <w:r>
            <w:rPr>
              <w:color w:val="808080"/>
            </w:rPr>
            <w:t>单击此处输入文字。</w:t>
          </w:r>
        </w:p>
      </w:docPartBody>
    </w:docPart>
    <w:docPart>
      <w:docPartPr>
        <w:name w:val="{baff68a5-2b27-4e95-af31-2b4426e45688}"/>
        <w:style w:val=""/>
        <w:category>
          <w:name w:val="常规"/>
          <w:gallery w:val="placeholder"/>
        </w:category>
        <w:types>
          <w:type w:val="bbPlcHdr"/>
        </w:types>
        <w:behaviors>
          <w:behavior w:val="content"/>
        </w:behaviors>
        <w:description w:val=""/>
        <w:guid w:val="{baff68a5-2b27-4e95-af31-2b4426e45688}"/>
      </w:docPartPr>
      <w:docPartBody>
        <w:p>
          <w:r>
            <w:rPr>
              <w:color w:val="808080"/>
            </w:rPr>
            <w:t>单击此处输入文字。</w:t>
          </w:r>
        </w:p>
      </w:docPartBody>
    </w:docPart>
    <w:docPart>
      <w:docPartPr>
        <w:name w:val="{965be378-fe04-4c27-be6a-18cbcf16c73a}"/>
        <w:style w:val=""/>
        <w:category>
          <w:name w:val="常规"/>
          <w:gallery w:val="placeholder"/>
        </w:category>
        <w:types>
          <w:type w:val="bbPlcHdr"/>
        </w:types>
        <w:behaviors>
          <w:behavior w:val="content"/>
        </w:behaviors>
        <w:description w:val=""/>
        <w:guid w:val="{965be378-fe04-4c27-be6a-18cbcf16c73a}"/>
      </w:docPartPr>
      <w:docPartBody>
        <w:p>
          <w:r>
            <w:rPr>
              <w:color w:val="808080"/>
            </w:rPr>
            <w:t>单击此处输入文字。</w:t>
          </w:r>
        </w:p>
      </w:docPartBody>
    </w:docPart>
    <w:docPart>
      <w:docPartPr>
        <w:name w:val="{7eefbee2-90b0-4dc0-ba90-77dd5f8375aa}"/>
        <w:style w:val=""/>
        <w:category>
          <w:name w:val="常规"/>
          <w:gallery w:val="placeholder"/>
        </w:category>
        <w:types>
          <w:type w:val="bbPlcHdr"/>
        </w:types>
        <w:behaviors>
          <w:behavior w:val="content"/>
        </w:behaviors>
        <w:description w:val=""/>
        <w:guid w:val="{7eefbee2-90b0-4dc0-ba90-77dd5f8375aa}"/>
      </w:docPartPr>
      <w:docPartBody>
        <w:p>
          <w:r>
            <w:rPr>
              <w:color w:val="808080"/>
            </w:rPr>
            <w:t>单击此处输入文字。</w:t>
          </w:r>
        </w:p>
      </w:docPartBody>
    </w:docPart>
    <w:docPart>
      <w:docPartPr>
        <w:name w:val="{9e45215b-0278-4ced-9fb3-84bf5d2de1dd}"/>
        <w:style w:val=""/>
        <w:category>
          <w:name w:val="常规"/>
          <w:gallery w:val="placeholder"/>
        </w:category>
        <w:types>
          <w:type w:val="bbPlcHdr"/>
        </w:types>
        <w:behaviors>
          <w:behavior w:val="content"/>
        </w:behaviors>
        <w:description w:val=""/>
        <w:guid w:val="{9e45215b-0278-4ced-9fb3-84bf5d2de1dd}"/>
      </w:docPartPr>
      <w:docPartBody>
        <w:p>
          <w:r>
            <w:rPr>
              <w:color w:val="808080"/>
            </w:rPr>
            <w:t>单击此处输入文字。</w:t>
          </w:r>
        </w:p>
      </w:docPartBody>
    </w:docPart>
    <w:docPart>
      <w:docPartPr>
        <w:name w:val="{05496998-bc40-4927-9e57-1370dde66ae0}"/>
        <w:style w:val=""/>
        <w:category>
          <w:name w:val="常规"/>
          <w:gallery w:val="placeholder"/>
        </w:category>
        <w:types>
          <w:type w:val="bbPlcHdr"/>
        </w:types>
        <w:behaviors>
          <w:behavior w:val="content"/>
        </w:behaviors>
        <w:description w:val=""/>
        <w:guid w:val="{05496998-bc40-4927-9e57-1370dde66ae0}"/>
      </w:docPartPr>
      <w:docPartBody>
        <w:p>
          <w:r>
            <w:rPr>
              <w:color w:val="808080"/>
            </w:rPr>
            <w:t>单击此处输入文字。</w:t>
          </w:r>
        </w:p>
      </w:docPartBody>
    </w:docPart>
    <w:docPart>
      <w:docPartPr>
        <w:name w:val="{2a72d7fb-5e0c-4244-94c0-9438042544a8}"/>
        <w:style w:val=""/>
        <w:category>
          <w:name w:val="常规"/>
          <w:gallery w:val="placeholder"/>
        </w:category>
        <w:types>
          <w:type w:val="bbPlcHdr"/>
        </w:types>
        <w:behaviors>
          <w:behavior w:val="content"/>
        </w:behaviors>
        <w:description w:val=""/>
        <w:guid w:val="{2a72d7fb-5e0c-4244-94c0-9438042544a8}"/>
      </w:docPartPr>
      <w:docPartBody>
        <w:p>
          <w:r>
            <w:rPr>
              <w:color w:val="808080"/>
            </w:rPr>
            <w:t>单击此处输入文字。</w:t>
          </w:r>
        </w:p>
      </w:docPartBody>
    </w:docPart>
    <w:docPart>
      <w:docPartPr>
        <w:name w:val="{ebb291ef-ab67-4f8a-b167-adedb4529833}"/>
        <w:style w:val=""/>
        <w:category>
          <w:name w:val="常规"/>
          <w:gallery w:val="placeholder"/>
        </w:category>
        <w:types>
          <w:type w:val="bbPlcHdr"/>
        </w:types>
        <w:behaviors>
          <w:behavior w:val="content"/>
        </w:behaviors>
        <w:description w:val=""/>
        <w:guid w:val="{ebb291ef-ab67-4f8a-b167-adedb4529833}"/>
      </w:docPartPr>
      <w:docPartBody>
        <w:p>
          <w:r>
            <w:rPr>
              <w:color w:val="808080"/>
            </w:rPr>
            <w:t>单击此处输入文字。</w:t>
          </w:r>
        </w:p>
      </w:docPartBody>
    </w:docPart>
    <w:docPart>
      <w:docPartPr>
        <w:name w:val="{cd43b8a6-0d5c-4269-9f46-c8df42a1aeee}"/>
        <w:style w:val=""/>
        <w:category>
          <w:name w:val="常规"/>
          <w:gallery w:val="placeholder"/>
        </w:category>
        <w:types>
          <w:type w:val="bbPlcHdr"/>
        </w:types>
        <w:behaviors>
          <w:behavior w:val="content"/>
        </w:behaviors>
        <w:description w:val=""/>
        <w:guid w:val="{cd43b8a6-0d5c-4269-9f46-c8df42a1aeee}"/>
      </w:docPartPr>
      <w:docPartBody>
        <w:p>
          <w:r>
            <w:rPr>
              <w:color w:val="808080"/>
            </w:rPr>
            <w:t>单击此处输入文字。</w:t>
          </w:r>
        </w:p>
      </w:docPartBody>
    </w:docPart>
    <w:docPart>
      <w:docPartPr>
        <w:name w:val="{2831cfa8-c001-447d-8a6a-1203eade5bb6}"/>
        <w:style w:val=""/>
        <w:category>
          <w:name w:val="常规"/>
          <w:gallery w:val="placeholder"/>
        </w:category>
        <w:types>
          <w:type w:val="bbPlcHdr"/>
        </w:types>
        <w:behaviors>
          <w:behavior w:val="content"/>
        </w:behaviors>
        <w:description w:val=""/>
        <w:guid w:val="{2831cfa8-c001-447d-8a6a-1203eade5bb6}"/>
      </w:docPartPr>
      <w:docPartBody>
        <w:p>
          <w:r>
            <w:rPr>
              <w:color w:val="808080"/>
            </w:rPr>
            <w:t>单击此处输入文字。</w:t>
          </w:r>
        </w:p>
      </w:docPartBody>
    </w:docPart>
    <w:docPart>
      <w:docPartPr>
        <w:name w:val="{0e88ba11-fe07-4ffe-9225-5065c55ae9f7}"/>
        <w:style w:val=""/>
        <w:category>
          <w:name w:val="常规"/>
          <w:gallery w:val="placeholder"/>
        </w:category>
        <w:types>
          <w:type w:val="bbPlcHdr"/>
        </w:types>
        <w:behaviors>
          <w:behavior w:val="content"/>
        </w:behaviors>
        <w:description w:val=""/>
        <w:guid w:val="{0e88ba11-fe07-4ffe-9225-5065c55ae9f7}"/>
      </w:docPartPr>
      <w:docPartBody>
        <w:p>
          <w:r>
            <w:rPr>
              <w:color w:val="808080"/>
            </w:rPr>
            <w:t>单击此处输入文字。</w:t>
          </w:r>
        </w:p>
      </w:docPartBody>
    </w:docPart>
    <w:docPart>
      <w:docPartPr>
        <w:name w:val="{c959fc45-b34d-420b-b24b-d8d14f6a6b8e}"/>
        <w:style w:val=""/>
        <w:category>
          <w:name w:val="常规"/>
          <w:gallery w:val="placeholder"/>
        </w:category>
        <w:types>
          <w:type w:val="bbPlcHdr"/>
        </w:types>
        <w:behaviors>
          <w:behavior w:val="content"/>
        </w:behaviors>
        <w:description w:val=""/>
        <w:guid w:val="{c959fc45-b34d-420b-b24b-d8d14f6a6b8e}"/>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22181</Words>
  <Characters>26616</Characters>
  <Lines>71</Lines>
  <Paragraphs>20</Paragraphs>
  <TotalTime>973</TotalTime>
  <ScaleCrop>false</ScaleCrop>
  <LinksUpToDate>false</LinksUpToDate>
  <CharactersWithSpaces>26668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Administrator</cp:lastModifiedBy>
  <cp:lastPrinted>2023-11-29T19:25:00Z</cp:lastPrinted>
  <dcterms:modified xsi:type="dcterms:W3CDTF">2023-12-13T02:02:59Z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972423F0C48D6E7733FD6765CD1D3B55</vt:lpwstr>
  </property>
</Properties>
</file>