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96475"/>
      <w:bookmarkStart w:id="2" w:name="_Toc15396597"/>
      <w:bookmarkStart w:id="3" w:name="_Toc15377193"/>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78442"/>
      <w:bookmarkStart w:id="8" w:name="_Toc15377426"/>
      <w:bookmarkStart w:id="9" w:name="_Toc15396598"/>
      <w:bookmarkStart w:id="10" w:name="_Toc1539647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eastAsia="zh-CN"/>
        </w:rPr>
        <w:t>峨眉山市住房和城乡建设局</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rPr>
          <w:rFonts w:hint="eastAsia" w:ascii="宋体" w:hAnsi="宋体" w:eastAsia="宋体" w:cs="宋体"/>
          <w:sz w:val="32"/>
          <w:szCs w:val="32"/>
        </w:rPr>
      </w:pPr>
      <w:r>
        <w:rPr>
          <w:rFonts w:hint="eastAsia" w:ascii="宋体" w:hAnsi="宋体" w:eastAsia="宋体" w:cs="宋体"/>
          <w:sz w:val="32"/>
          <w:szCs w:val="32"/>
        </w:rPr>
        <w:t>公开时间：2023年</w:t>
      </w:r>
      <w:r>
        <w:rPr>
          <w:rFonts w:hint="eastAsia" w:ascii="宋体" w:hAnsi="宋体" w:eastAsia="宋体" w:cs="宋体"/>
          <w:sz w:val="32"/>
          <w:szCs w:val="32"/>
          <w:lang w:val="en-US" w:eastAsia="zh-CN"/>
        </w:rPr>
        <w:t>12</w:t>
      </w:r>
      <w:r>
        <w:rPr>
          <w:rFonts w:hint="eastAsia" w:ascii="宋体" w:hAnsi="宋体" w:eastAsia="宋体" w:cs="宋体"/>
          <w:sz w:val="32"/>
          <w:szCs w:val="32"/>
        </w:rPr>
        <w:t>月</w:t>
      </w:r>
      <w:r>
        <w:rPr>
          <w:rFonts w:hint="eastAsia" w:ascii="宋体" w:hAnsi="宋体" w:eastAsia="宋体" w:cs="宋体"/>
          <w:sz w:val="32"/>
          <w:szCs w:val="32"/>
          <w:lang w:val="en-US" w:eastAsia="zh-CN"/>
        </w:rPr>
        <w:t>1</w:t>
      </w:r>
      <w:r>
        <w:rPr>
          <w:rFonts w:hint="eastAsia" w:ascii="宋体" w:hAnsi="宋体" w:eastAsia="宋体" w:cs="宋体"/>
          <w:sz w:val="32"/>
          <w:szCs w:val="32"/>
        </w:rPr>
        <w:t>日</w:t>
      </w:r>
    </w:p>
    <w:p/>
    <w:p>
      <w:pPr>
        <w:pStyle w:val="11"/>
        <w:adjustRightInd w:val="0"/>
        <w:snapToGrid w:val="0"/>
        <w:spacing w:before="0" w:line="440" w:lineRule="exact"/>
        <w:jc w:val="left"/>
        <w:rPr>
          <w:rFonts w:hint="eastAsia" w:ascii="黑体" w:hAnsi="黑体" w:eastAsia="黑体" w:cs="黑体"/>
          <w:sz w:val="32"/>
          <w:szCs w:val="32"/>
        </w:rPr>
      </w:pPr>
      <w:r>
        <w:rPr>
          <w:rFonts w:hint="eastAsia" w:ascii="黑体" w:hAnsi="黑体" w:eastAsia="黑体" w:cs="黑体"/>
          <w:sz w:val="32"/>
          <w:szCs w:val="32"/>
        </w:rPr>
        <w:t>第一部分 部门概况</w:t>
      </w:r>
    </w:p>
    <w:p>
      <w:pPr>
        <w:pStyle w:val="12"/>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一、部门职责..................................4</w:t>
      </w:r>
    </w:p>
    <w:p>
      <w:pPr>
        <w:pStyle w:val="12"/>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二、机构设置..................................4</w:t>
      </w:r>
    </w:p>
    <w:p>
      <w:pPr>
        <w:pStyle w:val="11"/>
        <w:adjustRightInd w:val="0"/>
        <w:snapToGrid w:val="0"/>
        <w:spacing w:before="0" w:line="44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第二部分 2022年度部门决算情况说明</w:t>
      </w:r>
      <w:r>
        <w:rPr>
          <w:rFonts w:hint="eastAsia" w:ascii="黑体" w:hAnsi="黑体" w:eastAsia="黑体" w:cs="黑体"/>
          <w:sz w:val="32"/>
          <w:szCs w:val="32"/>
          <w:lang w:val="en-US" w:eastAsia="zh-CN"/>
        </w:rPr>
        <w:t>...............5</w:t>
      </w:r>
    </w:p>
    <w:p>
      <w:pPr>
        <w:pStyle w:val="12"/>
        <w:adjustRightInd w:val="0"/>
        <w:snapToGrid w:val="0"/>
        <w:spacing w:line="44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一、收入支出决算总体情况说明..................5</w:t>
      </w:r>
    </w:p>
    <w:p>
      <w:pPr>
        <w:pStyle w:val="12"/>
        <w:adjustRightInd w:val="0"/>
        <w:snapToGrid w:val="0"/>
        <w:spacing w:line="44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二、收入决算情况说明..........................5</w:t>
      </w:r>
    </w:p>
    <w:p>
      <w:pPr>
        <w:pStyle w:val="12"/>
        <w:adjustRightInd w:val="0"/>
        <w:snapToGrid w:val="0"/>
        <w:spacing w:line="44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三、支出决算情况说明..........................6</w:t>
      </w:r>
    </w:p>
    <w:p>
      <w:pPr>
        <w:pStyle w:val="12"/>
        <w:adjustRightInd w:val="0"/>
        <w:snapToGrid w:val="0"/>
        <w:spacing w:line="44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四、财政拨款收入支出决算总体情况说明..........7</w:t>
      </w:r>
    </w:p>
    <w:p>
      <w:pPr>
        <w:pStyle w:val="12"/>
        <w:adjustRightInd w:val="0"/>
        <w:snapToGrid w:val="0"/>
        <w:spacing w:line="44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五、一般公共预算财政拨款支出决算情况说明......7</w:t>
      </w:r>
    </w:p>
    <w:p>
      <w:pPr>
        <w:pStyle w:val="12"/>
        <w:adjustRightInd w:val="0"/>
        <w:snapToGrid w:val="0"/>
        <w:spacing w:line="44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六、一般公共预算财政拨款基本支出决算情况说明..12</w:t>
      </w:r>
    </w:p>
    <w:p>
      <w:pPr>
        <w:pStyle w:val="12"/>
        <w:adjustRightInd w:val="0"/>
        <w:snapToGrid w:val="0"/>
        <w:spacing w:line="44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七、财政拨款“三公”经费支出决算情况说明......12</w:t>
      </w:r>
    </w:p>
    <w:p>
      <w:pPr>
        <w:pStyle w:val="12"/>
        <w:adjustRightInd w:val="0"/>
        <w:snapToGrid w:val="0"/>
        <w:spacing w:line="44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八、政府性基金预算支出决算情况说明............15</w:t>
      </w:r>
    </w:p>
    <w:p>
      <w:pPr>
        <w:pStyle w:val="12"/>
        <w:adjustRightInd w:val="0"/>
        <w:snapToGrid w:val="0"/>
        <w:spacing w:line="44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九、国有资本经营预算支出决算情况说明..........15</w:t>
      </w:r>
    </w:p>
    <w:p>
      <w:pPr>
        <w:pStyle w:val="12"/>
        <w:adjustRightInd w:val="0"/>
        <w:snapToGrid w:val="0"/>
        <w:spacing w:line="440"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十、其他重要事项的情况说明....................15</w:t>
      </w:r>
    </w:p>
    <w:p>
      <w:pPr>
        <w:pStyle w:val="11"/>
        <w:adjustRightInd w:val="0"/>
        <w:snapToGrid w:val="0"/>
        <w:spacing w:before="0" w:line="44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................................18</w:t>
      </w:r>
    </w:p>
    <w:p>
      <w:pPr>
        <w:pStyle w:val="11"/>
        <w:adjustRightInd w:val="0"/>
        <w:snapToGrid w:val="0"/>
        <w:spacing w:before="0" w:line="44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....................................26</w:t>
      </w:r>
    </w:p>
    <w:p>
      <w:pPr>
        <w:pStyle w:val="11"/>
        <w:adjustRightInd w:val="0"/>
        <w:snapToGrid w:val="0"/>
        <w:spacing w:before="0" w:line="44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第五部分 附表</w:t>
      </w:r>
      <w:r>
        <w:rPr>
          <w:rFonts w:hint="eastAsia" w:ascii="黑体" w:hAnsi="黑体" w:eastAsia="黑体" w:cs="黑体"/>
          <w:sz w:val="32"/>
          <w:szCs w:val="32"/>
          <w:lang w:val="en-US" w:eastAsia="zh-CN"/>
        </w:rPr>
        <w:t>....................................53</w:t>
      </w:r>
      <w:bookmarkStart w:id="67" w:name="_GoBack"/>
      <w:bookmarkEnd w:id="67"/>
    </w:p>
    <w:p>
      <w:pPr>
        <w:pStyle w:val="12"/>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一、收入支出决算总表</w:t>
      </w:r>
    </w:p>
    <w:p>
      <w:pPr>
        <w:pStyle w:val="12"/>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二、收入决算表</w:t>
      </w:r>
    </w:p>
    <w:p>
      <w:pPr>
        <w:pStyle w:val="12"/>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三、支出决算表</w:t>
      </w:r>
    </w:p>
    <w:p>
      <w:pPr>
        <w:pStyle w:val="12"/>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四、财政拨款收入支出决算总表</w:t>
      </w:r>
    </w:p>
    <w:p>
      <w:pPr>
        <w:pStyle w:val="12"/>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五、财政拨款支出决算明细表</w:t>
      </w:r>
    </w:p>
    <w:p>
      <w:pPr>
        <w:pStyle w:val="12"/>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六、一般公共预算财政拨款支出决算表</w:t>
      </w:r>
    </w:p>
    <w:p>
      <w:pPr>
        <w:pStyle w:val="12"/>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七、一般公共预算财政拨款支出决算明细表</w:t>
      </w:r>
    </w:p>
    <w:p>
      <w:pPr>
        <w:pStyle w:val="12"/>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八、一般公共预算财政拨款基本支出决算明细表</w:t>
      </w:r>
    </w:p>
    <w:p>
      <w:pPr>
        <w:pStyle w:val="12"/>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九、一般公共预算财政拨款项目支出决算表</w:t>
      </w:r>
    </w:p>
    <w:p>
      <w:pPr>
        <w:pStyle w:val="12"/>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十、政府性基金预算财政拨款收入支出决算表</w:t>
      </w:r>
    </w:p>
    <w:p>
      <w:pPr>
        <w:pStyle w:val="12"/>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十一、国有资本经营预算财政拨款收入支出决算表</w:t>
      </w:r>
    </w:p>
    <w:p>
      <w:pPr>
        <w:pStyle w:val="12"/>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十二、国有资本经营预算财政拨款支出决算表</w:t>
      </w:r>
    </w:p>
    <w:p>
      <w:pPr>
        <w:pStyle w:val="12"/>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十三、财政拨款“三公”经费支出决算表</w:t>
      </w:r>
    </w:p>
    <w:p>
      <w:pPr>
        <w:pStyle w:val="12"/>
        <w:adjustRightInd w:val="0"/>
        <w:snapToGrid w:val="0"/>
        <w:spacing w:line="440" w:lineRule="exact"/>
        <w:jc w:val="left"/>
        <w:rPr>
          <w:rFonts w:hint="eastAsia" w:ascii="仿宋_GB2312" w:hAnsi="仿宋_GB2312" w:eastAsia="仿宋_GB2312" w:cs="仿宋_GB2312"/>
          <w:kern w:val="2"/>
          <w:sz w:val="32"/>
          <w:szCs w:val="32"/>
          <w:lang w:val="en-US" w:eastAsia="zh-CN" w:bidi="ar-SA"/>
        </w:rPr>
      </w:pPr>
      <w:bookmarkStart w:id="12" w:name="_Toc15377196"/>
      <w:bookmarkStart w:id="13" w:name="_Toc15396599"/>
      <w:r>
        <w:rPr>
          <w:rFonts w:hint="eastAsia" w:ascii="仿宋_GB2312" w:hAnsi="仿宋_GB2312" w:eastAsia="仿宋_GB2312" w:cs="仿宋_GB2312"/>
          <w:kern w:val="2"/>
          <w:sz w:val="32"/>
          <w:szCs w:val="32"/>
          <w:lang w:val="en-US" w:eastAsia="zh-CN" w:bidi="ar-SA"/>
        </w:rPr>
        <w:br w:type="page"/>
      </w:r>
    </w:p>
    <w:p>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1"/>
        </w:numPr>
        <w:rPr>
          <w:rFonts w:hint="eastAsia" w:ascii="黑体" w:hAnsi="黑体" w:eastAsia="黑体"/>
          <w:b w:val="0"/>
        </w:rPr>
      </w:pPr>
      <w:r>
        <w:rPr>
          <w:rFonts w:hint="eastAsia" w:ascii="黑体" w:hAnsi="黑体" w:eastAsia="黑体"/>
          <w:b w:val="0"/>
        </w:rPr>
        <w:t>部门职责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w:t>
      </w:r>
      <w:r>
        <w:rPr>
          <w:rFonts w:hint="eastAsia" w:ascii="仿宋_GB2312" w:hAnsi="仿宋_GB2312" w:eastAsia="仿宋_GB2312" w:cs="仿宋_GB2312"/>
          <w:sz w:val="32"/>
          <w:szCs w:val="32"/>
          <w:lang w:eastAsia="zh-CN"/>
        </w:rPr>
        <w:t>住房和城乡建设局</w:t>
      </w:r>
      <w:r>
        <w:rPr>
          <w:rFonts w:hint="eastAsia" w:ascii="仿宋_GB2312" w:hAnsi="仿宋_GB2312" w:eastAsia="仿宋_GB2312" w:cs="仿宋_GB2312"/>
          <w:sz w:val="32"/>
          <w:szCs w:val="32"/>
        </w:rPr>
        <w:t xml:space="preserve">的基本职能:贯彻国家、省住房和城乡建设的法律、法规、方针、政策，研究拟定全市住房保障、工程建设、建筑业、房屋装饰装修业、住宅与房地产业、市政公用事业、环境卫生、风景名胜与园林绿化事业的有关规定及相关发展战略；负责基本建设（含重点建设）项目的实施。 </w:t>
      </w:r>
    </w:p>
    <w:p>
      <w:pPr>
        <w:spacing w:line="600" w:lineRule="exact"/>
        <w:ind w:firstLine="640" w:firstLineChars="200"/>
        <w:rPr>
          <w:rFonts w:hint="eastAsia"/>
        </w:rPr>
      </w:pPr>
      <w:r>
        <w:rPr>
          <w:rFonts w:hint="eastAsia" w:ascii="仿宋_GB2312" w:hAnsi="仿宋_GB2312" w:eastAsia="仿宋_GB2312" w:cs="仿宋_GB2312"/>
          <w:sz w:val="32"/>
          <w:szCs w:val="32"/>
        </w:rPr>
        <w:t>承办市委市政府交办的其他事项。</w:t>
      </w:r>
    </w:p>
    <w:p>
      <w:pPr>
        <w:pStyle w:val="4"/>
        <w:rPr>
          <w:rStyle w:val="29"/>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4"/>
      <w:bookmarkEnd w:id="15"/>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峨眉山市</w:t>
      </w:r>
      <w:r>
        <w:rPr>
          <w:rFonts w:hint="eastAsia" w:ascii="仿宋_GB2312" w:hAnsi="仿宋_GB2312" w:eastAsia="仿宋_GB2312" w:cs="仿宋_GB2312"/>
          <w:sz w:val="32"/>
          <w:szCs w:val="32"/>
          <w:lang w:eastAsia="zh-CN"/>
        </w:rPr>
        <w:t>住房和城乡建设局</w:t>
      </w:r>
      <w:r>
        <w:rPr>
          <w:rFonts w:hint="eastAsia" w:ascii="仿宋_GB2312" w:hAnsi="仿宋_GB2312" w:eastAsia="仿宋_GB2312" w:cs="仿宋_GB2312"/>
          <w:sz w:val="32"/>
          <w:szCs w:val="32"/>
        </w:rPr>
        <w:t>下属二级预算单位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纳入峨眉山市</w:t>
      </w:r>
      <w:r>
        <w:rPr>
          <w:rFonts w:hint="eastAsia" w:ascii="仿宋_GB2312" w:hAnsi="仿宋_GB2312" w:eastAsia="仿宋_GB2312" w:cs="仿宋_GB2312"/>
          <w:sz w:val="32"/>
          <w:szCs w:val="32"/>
          <w:lang w:eastAsia="zh-CN"/>
        </w:rPr>
        <w:t>住房和城乡建设局</w:t>
      </w:r>
      <w:r>
        <w:rPr>
          <w:rFonts w:hint="eastAsia" w:ascii="仿宋_GB2312" w:hAnsi="仿宋_GB2312" w:eastAsia="仿宋_GB2312" w:cs="仿宋_GB2312"/>
          <w:sz w:val="32"/>
          <w:szCs w:val="32"/>
        </w:rPr>
        <w:t>2022年度部门决算编制范围的二级预算单位包括：</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峨眉山市住房和城乡建设局（本级）</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峨眉山市城乡建设保障服务中心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峨眉山市住房保障和房地产事务中心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峨眉山市建设工程质量安全中心</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8"/>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8"/>
          <w:rFonts w:hint="eastAsia" w:ascii="黑体" w:hAnsi="黑体" w:eastAsia="黑体"/>
          <w:b w:val="0"/>
          <w:bCs/>
        </w:rPr>
        <w:t>部门决算情况说明</w:t>
      </w:r>
      <w:bookmarkEnd w:id="16"/>
      <w:bookmarkEnd w:id="17"/>
    </w:p>
    <w:p/>
    <w:p>
      <w:pPr>
        <w:pStyle w:val="27"/>
        <w:numPr>
          <w:ilvl w:val="0"/>
          <w:numId w:val="2"/>
        </w:numPr>
        <w:spacing w:line="600" w:lineRule="exact"/>
        <w:ind w:firstLineChars="0"/>
        <w:outlineLvl w:val="1"/>
        <w:rPr>
          <w:rStyle w:val="29"/>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2022年度收、支总计</w:t>
      </w:r>
      <w:r>
        <w:rPr>
          <w:rFonts w:hint="eastAsia" w:ascii="仿宋_GB2312" w:hAnsi="仿宋_GB2312" w:eastAsia="仿宋_GB2312" w:cs="仿宋_GB2312"/>
          <w:sz w:val="32"/>
          <w:szCs w:val="32"/>
          <w:lang w:val="en-US" w:eastAsia="zh-CN"/>
        </w:rPr>
        <w:t>113388.93</w:t>
      </w:r>
      <w:r>
        <w:rPr>
          <w:rFonts w:hint="eastAsia" w:ascii="仿宋_GB2312" w:hAnsi="仿宋_GB2312" w:eastAsia="仿宋_GB2312" w:cs="仿宋_GB2312"/>
          <w:sz w:val="32"/>
          <w:szCs w:val="32"/>
        </w:rPr>
        <w:t>万元。与2021年相比，收、支总计各增加</w:t>
      </w:r>
      <w:r>
        <w:rPr>
          <w:rFonts w:hint="eastAsia" w:ascii="仿宋_GB2312" w:hAnsi="仿宋_GB2312" w:eastAsia="仿宋_GB2312" w:cs="仿宋_GB2312"/>
          <w:sz w:val="32"/>
          <w:szCs w:val="32"/>
          <w:lang w:val="en-US" w:eastAsia="zh-CN"/>
        </w:rPr>
        <w:t>17243.04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18.32</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财政下拨存量资金、老旧小区改造项目、棚户区改造项目、农村危房改造补助资金等项目增加</w:t>
      </w:r>
      <w:r>
        <w:rPr>
          <w:rFonts w:hint="eastAsia" w:ascii="仿宋_GB2312" w:hAnsi="仿宋_GB2312" w:eastAsia="仿宋_GB2312" w:cs="仿宋_GB2312"/>
          <w:sz w:val="32"/>
          <w:szCs w:val="32"/>
        </w:rPr>
        <w:t>。（图1：收、支决算总计变动情况图）（柱状图）</w:t>
      </w:r>
    </w:p>
    <w:p>
      <w:pPr>
        <w:pStyle w:val="2"/>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
      </w:pPr>
    </w:p>
    <w:p>
      <w:pPr>
        <w:pStyle w:val="27"/>
        <w:numPr>
          <w:ilvl w:val="0"/>
          <w:numId w:val="2"/>
        </w:numPr>
        <w:spacing w:line="600" w:lineRule="exact"/>
        <w:ind w:firstLineChars="0"/>
        <w:outlineLvl w:val="1"/>
        <w:rPr>
          <w:rStyle w:val="29"/>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2022年本年收入合计</w:t>
      </w:r>
      <w:r>
        <w:rPr>
          <w:rFonts w:hint="eastAsia" w:ascii="仿宋_GB2312" w:hAnsi="仿宋_GB2312" w:eastAsia="仿宋_GB2312" w:cs="仿宋_GB2312"/>
          <w:sz w:val="32"/>
          <w:szCs w:val="32"/>
          <w:lang w:val="en-US" w:eastAsia="zh-CN"/>
        </w:rPr>
        <w:t>61123.03</w:t>
      </w:r>
      <w:r>
        <w:rPr>
          <w:rFonts w:hint="eastAsia" w:ascii="仿宋_GB2312" w:hAnsi="仿宋_GB2312" w:eastAsia="仿宋_GB2312" w:cs="仿宋_GB2312"/>
          <w:sz w:val="32"/>
          <w:szCs w:val="32"/>
          <w:lang w:eastAsia="zh-CN"/>
        </w:rPr>
        <w:t>万元，其中：一般公共预算财政拨款收入</w:t>
      </w:r>
      <w:r>
        <w:rPr>
          <w:rFonts w:hint="eastAsia" w:ascii="仿宋_GB2312" w:hAnsi="仿宋_GB2312" w:eastAsia="仿宋_GB2312" w:cs="仿宋_GB2312"/>
          <w:sz w:val="32"/>
          <w:szCs w:val="32"/>
          <w:lang w:val="en-US" w:eastAsia="zh-CN"/>
        </w:rPr>
        <w:t>25879.41</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42.34</w:t>
      </w:r>
      <w:r>
        <w:rPr>
          <w:rFonts w:hint="eastAsia" w:ascii="仿宋_GB2312" w:hAnsi="仿宋_GB2312" w:eastAsia="仿宋_GB2312" w:cs="仿宋_GB2312"/>
          <w:sz w:val="32"/>
          <w:szCs w:val="32"/>
          <w:lang w:eastAsia="zh-CN"/>
        </w:rPr>
        <w:t>%；政府性基金预算财政拨款收入</w:t>
      </w:r>
      <w:r>
        <w:rPr>
          <w:rFonts w:hint="eastAsia" w:ascii="仿宋_GB2312" w:hAnsi="仿宋_GB2312" w:eastAsia="仿宋_GB2312" w:cs="仿宋_GB2312"/>
          <w:sz w:val="32"/>
          <w:szCs w:val="32"/>
          <w:lang w:val="en-US" w:eastAsia="zh-CN"/>
        </w:rPr>
        <w:t>35243.62</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57.66</w:t>
      </w:r>
      <w:r>
        <w:rPr>
          <w:rFonts w:hint="eastAsia" w:ascii="仿宋_GB2312" w:hAnsi="仿宋_GB2312" w:eastAsia="仿宋_GB2312" w:cs="仿宋_GB2312"/>
          <w:sz w:val="32"/>
          <w:szCs w:val="32"/>
          <w:lang w:eastAsia="zh-CN"/>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p>
    <w:p>
      <w:pPr>
        <w:spacing w:line="600" w:lineRule="exact"/>
        <w:rPr>
          <w:rFonts w:ascii="仿宋_GB2312" w:eastAsia="仿宋_GB2312"/>
          <w:sz w:val="32"/>
          <w:szCs w:val="32"/>
        </w:rPr>
      </w:pPr>
      <w:r>
        <w:rPr>
          <w:rFonts w:hint="eastAsia" w:ascii="仿宋_GB2312" w:hAnsi="仿宋_GB2312" w:eastAsia="仿宋_GB2312" w:cs="仿宋_GB2312"/>
          <w:sz w:val="32"/>
          <w:szCs w:val="32"/>
          <w:lang w:eastAsia="zh-CN"/>
        </w:rPr>
        <w:t>（图2：收入决算结构图）（饼状图）</w:t>
      </w:r>
    </w:p>
    <w:p>
      <w:pPr>
        <w:pStyle w:val="2"/>
        <w:rPr>
          <w:rFonts w:ascii="仿宋_GB2312" w:eastAsia="仿宋_GB2312"/>
          <w:sz w:val="32"/>
          <w:szCs w:val="32"/>
        </w:rPr>
      </w:pPr>
      <w:r>
        <w:drawing>
          <wp:inline distT="0" distB="0" distL="114300" distR="114300">
            <wp:extent cx="5271135" cy="2686685"/>
            <wp:effectExtent l="4445" t="4445" r="20320" b="1397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rPr>
          <w:rFonts w:ascii="仿宋_GB2312" w:eastAsia="仿宋_GB2312"/>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spacing w:line="600" w:lineRule="exact"/>
        <w:ind w:firstLine="640" w:firstLineChars="200"/>
        <w:rPr>
          <w:rFonts w:ascii="仿宋" w:hAnsi="仿宋" w:eastAsia="仿宋"/>
          <w:sz w:val="32"/>
          <w:szCs w:val="32"/>
        </w:rPr>
      </w:pPr>
      <w:r>
        <w:rPr>
          <w:rFonts w:hint="eastAsia" w:ascii="仿宋_GB2312" w:hAnsi="仿宋_GB2312" w:eastAsia="仿宋_GB2312" w:cs="仿宋_GB2312"/>
          <w:sz w:val="32"/>
          <w:szCs w:val="32"/>
          <w:lang w:eastAsia="zh-CN"/>
        </w:rPr>
        <w:t>2022年本年支出合计</w:t>
      </w:r>
      <w:r>
        <w:rPr>
          <w:rFonts w:hint="eastAsia" w:ascii="仿宋_GB2312" w:hAnsi="仿宋_GB2312" w:eastAsia="仿宋_GB2312" w:cs="仿宋_GB2312"/>
          <w:sz w:val="32"/>
          <w:szCs w:val="32"/>
          <w:lang w:val="en-US" w:eastAsia="zh-CN"/>
        </w:rPr>
        <w:t>79918.93</w:t>
      </w:r>
      <w:r>
        <w:rPr>
          <w:rFonts w:hint="eastAsia" w:ascii="仿宋_GB2312" w:hAnsi="仿宋_GB2312" w:eastAsia="仿宋_GB2312" w:cs="仿宋_GB2312"/>
          <w:sz w:val="32"/>
          <w:szCs w:val="32"/>
          <w:lang w:eastAsia="zh-CN"/>
        </w:rPr>
        <w:t>万元，其中：基本支出</w:t>
      </w:r>
      <w:r>
        <w:rPr>
          <w:rFonts w:hint="eastAsia" w:ascii="仿宋_GB2312" w:hAnsi="仿宋_GB2312" w:eastAsia="仿宋_GB2312" w:cs="仿宋_GB2312"/>
          <w:sz w:val="32"/>
          <w:szCs w:val="32"/>
          <w:lang w:val="en-US" w:eastAsia="zh-CN"/>
        </w:rPr>
        <w:t>7839.94</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9.81</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72078.99</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90.19</w:t>
      </w:r>
      <w:r>
        <w:rPr>
          <w:rFonts w:hint="eastAsia" w:ascii="仿宋_GB2312" w:hAnsi="仿宋_GB2312" w:eastAsia="仿宋_GB2312" w:cs="仿宋_GB2312"/>
          <w:sz w:val="32"/>
          <w:szCs w:val="32"/>
          <w:lang w:eastAsia="zh-CN"/>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%。（图3：支出决算结构图）（饼状图）</w:t>
      </w:r>
    </w:p>
    <w:p>
      <w:pPr>
        <w:pStyle w:val="2"/>
        <w:rPr>
          <w:rFonts w:ascii="仿宋_GB2312" w:eastAsia="仿宋_GB2312"/>
          <w:sz w:val="32"/>
          <w:szCs w:val="32"/>
        </w:rPr>
      </w:pPr>
      <w:r>
        <w:drawing>
          <wp:inline distT="0" distB="0" distL="114300" distR="114300">
            <wp:extent cx="5109210" cy="2190750"/>
            <wp:effectExtent l="4445" t="4445" r="1079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9"/>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2022年财政拨款收、支总计</w:t>
      </w:r>
      <w:r>
        <w:rPr>
          <w:rFonts w:hint="eastAsia" w:ascii="仿宋_GB2312" w:hAnsi="仿宋_GB2312" w:eastAsia="仿宋_GB2312" w:cs="仿宋_GB2312"/>
          <w:sz w:val="32"/>
          <w:szCs w:val="32"/>
          <w:lang w:val="en-US" w:eastAsia="zh-CN"/>
        </w:rPr>
        <w:t>112967.31</w:t>
      </w:r>
      <w:r>
        <w:rPr>
          <w:rFonts w:hint="eastAsia" w:ascii="仿宋_GB2312" w:hAnsi="仿宋_GB2312" w:eastAsia="仿宋_GB2312" w:cs="仿宋_GB2312"/>
          <w:sz w:val="32"/>
          <w:szCs w:val="32"/>
          <w:lang w:eastAsia="zh-CN"/>
        </w:rPr>
        <w:t>万元。与2021年相比，财政拨款收、支总计各增加</w:t>
      </w:r>
      <w:r>
        <w:rPr>
          <w:rFonts w:hint="eastAsia" w:ascii="仿宋_GB2312" w:hAnsi="仿宋_GB2312" w:eastAsia="仿宋_GB2312" w:cs="仿宋_GB2312"/>
          <w:sz w:val="32"/>
          <w:szCs w:val="32"/>
          <w:lang w:val="en-US" w:eastAsia="zh-CN"/>
        </w:rPr>
        <w:t>17243.04</w:t>
      </w:r>
      <w:r>
        <w:rPr>
          <w:rFonts w:hint="eastAsia" w:ascii="仿宋_GB2312" w:hAnsi="仿宋_GB2312" w:eastAsia="仿宋_GB2312" w:cs="仿宋_GB2312"/>
          <w:sz w:val="32"/>
          <w:szCs w:val="32"/>
          <w:lang w:eastAsia="zh-CN"/>
        </w:rPr>
        <w:t>元，增长</w:t>
      </w:r>
      <w:r>
        <w:rPr>
          <w:rFonts w:hint="eastAsia" w:ascii="仿宋_GB2312" w:hAnsi="仿宋_GB2312" w:eastAsia="仿宋_GB2312" w:cs="仿宋_GB2312"/>
          <w:sz w:val="32"/>
          <w:szCs w:val="32"/>
          <w:lang w:val="en-US" w:eastAsia="zh-CN"/>
        </w:rPr>
        <w:t>18.02</w:t>
      </w:r>
      <w:r>
        <w:rPr>
          <w:rFonts w:hint="eastAsia" w:ascii="仿宋_GB2312" w:hAnsi="仿宋_GB2312" w:eastAsia="仿宋_GB2312" w:cs="仿宋_GB2312"/>
          <w:sz w:val="32"/>
          <w:szCs w:val="32"/>
          <w:lang w:eastAsia="zh-CN"/>
        </w:rPr>
        <w:t>%。主要变动原因是财政下拨存量资金、老旧小区改造项目、棚户区改造项目、农村危房改造补助资金等项目增加。（图4：财政拨款收、支决算总计变动情况）（柱状图）</w:t>
      </w:r>
    </w:p>
    <w:p>
      <w:pPr>
        <w:spacing w:line="600" w:lineRule="exact"/>
        <w:ind w:firstLine="640"/>
        <w:rPr>
          <w:rFonts w:ascii="仿宋" w:hAnsi="仿宋" w:eastAsia="仿宋"/>
          <w:b/>
          <w:sz w:val="32"/>
          <w:szCs w:val="32"/>
        </w:rPr>
      </w:pPr>
    </w:p>
    <w:p>
      <w:pPr>
        <w:pStyle w:val="2"/>
        <w:rPr>
          <w:rFonts w:ascii="仿宋" w:hAnsi="仿宋" w:eastAsia="仿宋"/>
          <w:b/>
          <w:sz w:val="32"/>
          <w:szCs w:val="32"/>
        </w:rPr>
      </w:pPr>
      <w:r>
        <w:drawing>
          <wp:inline distT="0" distB="0" distL="114300" distR="114300">
            <wp:extent cx="5271135" cy="3136265"/>
            <wp:effectExtent l="4445" t="4445" r="20320" b="2159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rPr>
          <w:rFonts w:ascii="仿宋" w:hAnsi="仿宋" w:eastAsia="仿宋"/>
          <w:b/>
          <w:sz w:val="32"/>
          <w:szCs w:val="32"/>
        </w:rPr>
      </w:pPr>
    </w:p>
    <w:p>
      <w:pPr>
        <w:spacing w:line="600" w:lineRule="exact"/>
        <w:ind w:firstLine="960" w:firstLineChars="300"/>
        <w:outlineLvl w:val="1"/>
        <w:rPr>
          <w:rStyle w:val="29"/>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2022年一般公共预算财政拨款支出</w:t>
      </w:r>
      <w:r>
        <w:rPr>
          <w:rFonts w:hint="eastAsia" w:ascii="仿宋_GB2312" w:hAnsi="仿宋_GB2312" w:eastAsia="仿宋_GB2312" w:cs="仿宋_GB2312"/>
          <w:sz w:val="32"/>
          <w:szCs w:val="32"/>
          <w:lang w:val="en-US" w:eastAsia="zh-CN"/>
        </w:rPr>
        <w:t>39154.87</w:t>
      </w:r>
      <w:r>
        <w:rPr>
          <w:rFonts w:hint="eastAsia" w:ascii="仿宋_GB2312" w:hAnsi="仿宋_GB2312" w:eastAsia="仿宋_GB2312" w:cs="仿宋_GB2312"/>
          <w:sz w:val="32"/>
          <w:szCs w:val="32"/>
          <w:lang w:eastAsia="zh-CN"/>
        </w:rPr>
        <w:t>万元，占本年支出合计的</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lang w:eastAsia="zh-CN"/>
        </w:rPr>
        <w:t>%。与2021年相比，一般公共预算财政拨款支出减少</w:t>
      </w:r>
      <w:r>
        <w:rPr>
          <w:rFonts w:hint="eastAsia" w:ascii="仿宋_GB2312" w:hAnsi="仿宋_GB2312" w:eastAsia="仿宋_GB2312" w:cs="仿宋_GB2312"/>
          <w:sz w:val="32"/>
          <w:szCs w:val="32"/>
          <w:lang w:val="en-US" w:eastAsia="zh-CN"/>
        </w:rPr>
        <w:t>19231.93</w:t>
      </w:r>
      <w:r>
        <w:rPr>
          <w:rFonts w:hint="eastAsia" w:ascii="仿宋_GB2312" w:hAnsi="仿宋_GB2312" w:eastAsia="仿宋_GB2312" w:cs="仿宋_GB2312"/>
          <w:sz w:val="32"/>
          <w:szCs w:val="32"/>
          <w:lang w:eastAsia="zh-CN"/>
        </w:rPr>
        <w:t>万元，下降</w:t>
      </w:r>
      <w:r>
        <w:rPr>
          <w:rFonts w:hint="eastAsia" w:ascii="仿宋_GB2312" w:hAnsi="仿宋_GB2312" w:eastAsia="仿宋_GB2312" w:cs="仿宋_GB2312"/>
          <w:sz w:val="32"/>
          <w:szCs w:val="32"/>
          <w:lang w:val="en-US" w:eastAsia="zh-CN"/>
        </w:rPr>
        <w:t>32.94</w:t>
      </w:r>
      <w:r>
        <w:rPr>
          <w:rFonts w:hint="eastAsia" w:ascii="仿宋_GB2312" w:hAnsi="仿宋_GB2312" w:eastAsia="仿宋_GB2312" w:cs="仿宋_GB2312"/>
          <w:sz w:val="32"/>
          <w:szCs w:val="32"/>
          <w:lang w:eastAsia="zh-CN"/>
        </w:rPr>
        <w:t>%。主要变动原因是工程项目减少。（图5：一般公共预算财政拨款支出决算变动情况）（柱状图）</w:t>
      </w:r>
    </w:p>
    <w:p>
      <w:pPr>
        <w:pStyle w:val="2"/>
        <w:rPr>
          <w:rFonts w:ascii="仿宋" w:hAnsi="仿宋" w:eastAsia="仿宋"/>
          <w:sz w:val="32"/>
          <w:szCs w:val="32"/>
        </w:rPr>
      </w:pPr>
      <w:r>
        <w:drawing>
          <wp:inline distT="0" distB="0" distL="114300" distR="114300">
            <wp:extent cx="4800600" cy="276225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2022年一般公共预算财政拨款支出</w:t>
      </w:r>
      <w:r>
        <w:rPr>
          <w:rFonts w:hint="eastAsia" w:ascii="仿宋_GB2312" w:hAnsi="仿宋_GB2312" w:eastAsia="仿宋_GB2312" w:cs="仿宋_GB2312"/>
          <w:sz w:val="32"/>
          <w:szCs w:val="32"/>
          <w:lang w:val="en-US" w:eastAsia="zh-CN"/>
        </w:rPr>
        <w:t>39154.87</w:t>
      </w:r>
      <w:r>
        <w:rPr>
          <w:rFonts w:hint="eastAsia" w:ascii="仿宋_GB2312" w:hAnsi="仿宋_GB2312" w:eastAsia="仿宋_GB2312" w:cs="仿宋_GB2312"/>
          <w:sz w:val="32"/>
          <w:szCs w:val="32"/>
          <w:lang w:eastAsia="zh-CN"/>
        </w:rPr>
        <w:t>万元，主要用于以下方面:</w:t>
      </w:r>
      <w:r>
        <w:rPr>
          <w:rFonts w:hint="eastAsia" w:ascii="仿宋_GB2312" w:hAnsi="仿宋_GB2312" w:eastAsia="仿宋_GB2312" w:cs="仿宋_GB2312"/>
          <w:b/>
          <w:bCs/>
          <w:sz w:val="32"/>
          <w:szCs w:val="32"/>
          <w:lang w:eastAsia="zh-CN"/>
        </w:rPr>
        <w:t>国防支出</w:t>
      </w:r>
      <w:r>
        <w:rPr>
          <w:rFonts w:hint="eastAsia" w:ascii="仿宋_GB2312" w:hAnsi="仿宋_GB2312" w:eastAsia="仿宋_GB2312" w:cs="仿宋_GB2312"/>
          <w:sz w:val="32"/>
          <w:szCs w:val="32"/>
          <w:lang w:val="en-US" w:eastAsia="zh-CN"/>
        </w:rPr>
        <w:t>44.73</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社会保障和就业支出</w:t>
      </w:r>
      <w:r>
        <w:rPr>
          <w:rFonts w:hint="eastAsia" w:ascii="仿宋_GB2312" w:hAnsi="仿宋_GB2312" w:eastAsia="仿宋_GB2312" w:cs="仿宋_GB2312"/>
          <w:sz w:val="32"/>
          <w:szCs w:val="32"/>
          <w:lang w:val="en-US" w:eastAsia="zh-CN"/>
        </w:rPr>
        <w:t>237.62</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0.61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卫生健康支出</w:t>
      </w:r>
      <w:r>
        <w:rPr>
          <w:rFonts w:hint="eastAsia" w:ascii="仿宋_GB2312" w:hAnsi="仿宋_GB2312" w:eastAsia="仿宋_GB2312" w:cs="仿宋_GB2312"/>
          <w:sz w:val="32"/>
          <w:szCs w:val="32"/>
          <w:lang w:val="en-US" w:eastAsia="zh-CN"/>
        </w:rPr>
        <w:t>59.08</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0.15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节能环保支出</w:t>
      </w:r>
      <w:r>
        <w:rPr>
          <w:rFonts w:hint="eastAsia" w:ascii="仿宋_GB2312" w:hAnsi="仿宋_GB2312" w:eastAsia="仿宋_GB2312" w:cs="仿宋_GB2312"/>
          <w:sz w:val="32"/>
          <w:szCs w:val="32"/>
          <w:lang w:val="en-US" w:eastAsia="zh-CN"/>
        </w:rPr>
        <w:t>200万元，占0.51%；</w:t>
      </w:r>
      <w:r>
        <w:rPr>
          <w:rFonts w:hint="eastAsia" w:ascii="仿宋_GB2312" w:hAnsi="仿宋_GB2312" w:eastAsia="仿宋_GB2312" w:cs="仿宋_GB2312"/>
          <w:b/>
          <w:bCs/>
          <w:sz w:val="32"/>
          <w:szCs w:val="32"/>
          <w:lang w:val="en-US" w:eastAsia="zh-CN"/>
        </w:rPr>
        <w:t>城乡社区支出</w:t>
      </w:r>
      <w:r>
        <w:rPr>
          <w:rFonts w:hint="eastAsia" w:ascii="仿宋_GB2312" w:hAnsi="仿宋_GB2312" w:eastAsia="仿宋_GB2312" w:cs="仿宋_GB2312"/>
          <w:sz w:val="32"/>
          <w:szCs w:val="32"/>
          <w:lang w:val="en-US" w:eastAsia="zh-CN"/>
        </w:rPr>
        <w:t>20191.34万元，占51.57%；</w:t>
      </w:r>
      <w:r>
        <w:rPr>
          <w:rFonts w:hint="eastAsia" w:ascii="仿宋_GB2312" w:hAnsi="仿宋_GB2312" w:eastAsia="仿宋_GB2312" w:cs="仿宋_GB2312"/>
          <w:b/>
          <w:bCs/>
          <w:sz w:val="32"/>
          <w:szCs w:val="32"/>
          <w:lang w:eastAsia="zh-CN"/>
        </w:rPr>
        <w:t>住房保障支出</w:t>
      </w:r>
      <w:r>
        <w:rPr>
          <w:rFonts w:hint="eastAsia" w:ascii="仿宋_GB2312" w:hAnsi="仿宋_GB2312" w:eastAsia="仿宋_GB2312" w:cs="仿宋_GB2312"/>
          <w:sz w:val="32"/>
          <w:szCs w:val="32"/>
          <w:lang w:val="en-US" w:eastAsia="zh-CN"/>
        </w:rPr>
        <w:t>18412.10</w:t>
      </w:r>
      <w:r>
        <w:rPr>
          <w:rFonts w:hint="eastAsia" w:ascii="仿宋_GB2312" w:hAnsi="仿宋_GB2312" w:eastAsia="仿宋_GB2312" w:cs="仿宋_GB2312"/>
          <w:sz w:val="32"/>
          <w:szCs w:val="32"/>
          <w:lang w:eastAsia="zh-CN"/>
        </w:rPr>
        <w:t>万元，占</w:t>
      </w:r>
      <w:r>
        <w:rPr>
          <w:rFonts w:hint="eastAsia" w:ascii="仿宋_GB2312" w:hAnsi="仿宋_GB2312" w:eastAsia="仿宋_GB2312" w:cs="仿宋_GB2312"/>
          <w:sz w:val="32"/>
          <w:szCs w:val="32"/>
          <w:lang w:val="en-US" w:eastAsia="zh-CN"/>
        </w:rPr>
        <w:t>47.02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灾害防治及应急管理支出</w:t>
      </w:r>
      <w:r>
        <w:rPr>
          <w:rFonts w:hint="eastAsia" w:ascii="仿宋_GB2312" w:hAnsi="仿宋_GB2312" w:eastAsia="仿宋_GB2312" w:cs="仿宋_GB2312"/>
          <w:sz w:val="32"/>
          <w:szCs w:val="32"/>
          <w:lang w:val="en-US" w:eastAsia="zh-CN"/>
        </w:rPr>
        <w:t>10万元，占0.03%</w:t>
      </w:r>
      <w:r>
        <w:rPr>
          <w:rFonts w:hint="eastAsia" w:ascii="仿宋_GB2312" w:hAnsi="仿宋_GB2312" w:eastAsia="仿宋_GB2312" w:cs="仿宋_GB2312"/>
          <w:sz w:val="32"/>
          <w:szCs w:val="32"/>
          <w:lang w:eastAsia="zh-CN"/>
        </w:rPr>
        <w:t>。（图6：一般公共预算财政拨款支出决算结构）（饼状图）</w:t>
      </w:r>
    </w:p>
    <w:p>
      <w:pPr>
        <w:spacing w:line="600" w:lineRule="exact"/>
        <w:ind w:firstLine="640" w:firstLineChars="200"/>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r>
        <w:drawing>
          <wp:inline distT="0" distB="0" distL="114300" distR="114300">
            <wp:extent cx="5273040" cy="3797300"/>
            <wp:effectExtent l="4445" t="4445" r="18415" b="825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rPr>
          <w:rFonts w:hint="eastAsia" w:ascii="仿宋_GB2312" w:hAnsi="仿宋_GB2312" w:eastAsia="仿宋_GB2312" w:cs="仿宋_GB2312"/>
          <w:b/>
          <w:bCs/>
          <w:sz w:val="32"/>
          <w:szCs w:val="32"/>
          <w:lang w:eastAsia="zh-CN"/>
        </w:rPr>
      </w:pPr>
      <w:bookmarkStart w:id="31" w:name="_Toc15378460"/>
      <w:bookmarkStart w:id="32" w:name="_Toc15377213"/>
      <w:bookmarkStart w:id="33" w:name="_Toc15377444"/>
      <w:r>
        <w:rPr>
          <w:rFonts w:hint="eastAsia" w:ascii="仿宋_GB2312" w:hAnsi="仿宋_GB2312" w:eastAsia="仿宋_GB2312" w:cs="仿宋_GB2312"/>
          <w:b/>
          <w:bCs/>
          <w:sz w:val="32"/>
          <w:szCs w:val="32"/>
          <w:lang w:eastAsia="zh-CN"/>
        </w:rPr>
        <w:t>2022年一般公共预算支出决算数为</w:t>
      </w:r>
      <w:r>
        <w:rPr>
          <w:rFonts w:hint="eastAsia" w:ascii="仿宋_GB2312" w:hAnsi="仿宋_GB2312" w:eastAsia="仿宋_GB2312" w:cs="仿宋_GB2312"/>
          <w:b/>
          <w:bCs/>
          <w:sz w:val="32"/>
          <w:szCs w:val="32"/>
          <w:lang w:val="en-US" w:eastAsia="zh-CN"/>
        </w:rPr>
        <w:t>39154.87</w:t>
      </w:r>
      <w:r>
        <w:rPr>
          <w:rFonts w:hint="eastAsia" w:ascii="仿宋_GB2312" w:hAnsi="仿宋_GB2312" w:eastAsia="仿宋_GB2312" w:cs="仿宋_GB2312"/>
          <w:b/>
          <w:bCs/>
          <w:sz w:val="32"/>
          <w:szCs w:val="32"/>
          <w:lang w:eastAsia="zh-CN"/>
        </w:rPr>
        <w:t>，完成预算</w:t>
      </w:r>
      <w:r>
        <w:rPr>
          <w:rFonts w:hint="eastAsia" w:ascii="仿宋_GB2312" w:hAnsi="仿宋_GB2312" w:eastAsia="仿宋_GB2312" w:cs="仿宋_GB2312"/>
          <w:b/>
          <w:bCs/>
          <w:sz w:val="32"/>
          <w:szCs w:val="32"/>
          <w:lang w:val="en-US" w:eastAsia="zh-CN"/>
        </w:rPr>
        <w:t>100</w:t>
      </w:r>
      <w:r>
        <w:rPr>
          <w:rFonts w:hint="eastAsia" w:ascii="仿宋_GB2312" w:hAnsi="仿宋_GB2312" w:eastAsia="仿宋_GB2312" w:cs="仿宋_GB2312"/>
          <w:b/>
          <w:bCs/>
          <w:sz w:val="32"/>
          <w:szCs w:val="32"/>
          <w:lang w:eastAsia="zh-CN"/>
        </w:rPr>
        <w:t>%。其中：</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Cs/>
          <w:sz w:val="32"/>
          <w:szCs w:val="32"/>
        </w:rPr>
      </w:pPr>
      <w:r>
        <w:rPr>
          <w:rStyle w:val="17"/>
          <w:rFonts w:hint="eastAsia" w:ascii="仿宋_GB2312" w:hAnsi="仿宋_GB2312" w:eastAsia="仿宋_GB2312" w:cs="仿宋_GB2312"/>
          <w:b/>
          <w:bCs w:val="0"/>
          <w:sz w:val="32"/>
          <w:szCs w:val="32"/>
          <w:lang w:val="en-US" w:eastAsia="zh-CN"/>
        </w:rPr>
        <w:t>1</w:t>
      </w:r>
      <w:r>
        <w:rPr>
          <w:rStyle w:val="17"/>
          <w:rFonts w:hint="eastAsia" w:ascii="仿宋_GB2312" w:hAnsi="仿宋_GB2312" w:eastAsia="仿宋_GB2312" w:cs="仿宋_GB2312"/>
          <w:b/>
          <w:bCs w:val="0"/>
          <w:sz w:val="32"/>
          <w:szCs w:val="32"/>
        </w:rPr>
        <w:t>.</w:t>
      </w:r>
      <w:r>
        <w:rPr>
          <w:rFonts w:hint="eastAsia" w:ascii="仿宋_GB2312" w:eastAsia="仿宋_GB2312"/>
          <w:b/>
          <w:bCs w:val="0"/>
          <w:sz w:val="32"/>
          <w:szCs w:val="32"/>
        </w:rPr>
        <w:t>国防支出(类)国防动员(款)人民防空(项)</w:t>
      </w:r>
      <w:r>
        <w:rPr>
          <w:rStyle w:val="17"/>
          <w:rFonts w:hint="eastAsia" w:ascii="仿宋_GB2312" w:hAnsi="仿宋_GB2312" w:eastAsia="仿宋_GB2312" w:cs="仿宋_GB2312"/>
          <w:b/>
          <w:bCs w:val="0"/>
          <w:sz w:val="32"/>
          <w:szCs w:val="32"/>
        </w:rPr>
        <w:t>:</w:t>
      </w:r>
      <w:r>
        <w:rPr>
          <w:rStyle w:val="17"/>
          <w:rFonts w:hint="eastAsia" w:ascii="仿宋_GB2312" w:hAnsi="仿宋_GB2312" w:eastAsia="仿宋_GB2312" w:cs="仿宋_GB2312"/>
          <w:b w:val="0"/>
          <w:bCs/>
          <w:sz w:val="32"/>
          <w:szCs w:val="32"/>
        </w:rPr>
        <w:t xml:space="preserve"> 支出决算为</w:t>
      </w:r>
      <w:r>
        <w:rPr>
          <w:rStyle w:val="17"/>
          <w:rFonts w:hint="eastAsia" w:ascii="仿宋_GB2312" w:hAnsi="仿宋_GB2312" w:eastAsia="仿宋_GB2312" w:cs="仿宋_GB2312"/>
          <w:b w:val="0"/>
          <w:bCs/>
          <w:sz w:val="32"/>
          <w:szCs w:val="32"/>
          <w:lang w:val="en-US" w:eastAsia="zh-CN"/>
        </w:rPr>
        <w:t>44.73</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Cs/>
          <w:sz w:val="32"/>
          <w:szCs w:val="32"/>
        </w:rPr>
      </w:pPr>
      <w:r>
        <w:rPr>
          <w:rStyle w:val="17"/>
          <w:rFonts w:hint="eastAsia" w:ascii="仿宋_GB2312" w:hAnsi="仿宋_GB2312" w:eastAsia="仿宋_GB2312" w:cs="仿宋_GB2312"/>
          <w:b/>
          <w:bCs w:val="0"/>
          <w:sz w:val="32"/>
          <w:szCs w:val="32"/>
          <w:lang w:val="en-US" w:eastAsia="zh-CN"/>
        </w:rPr>
        <w:t>2</w:t>
      </w:r>
      <w:r>
        <w:rPr>
          <w:rStyle w:val="17"/>
          <w:rFonts w:hint="eastAsia" w:ascii="仿宋_GB2312" w:hAnsi="仿宋_GB2312" w:eastAsia="仿宋_GB2312" w:cs="仿宋_GB2312"/>
          <w:b/>
          <w:bCs w:val="0"/>
          <w:sz w:val="32"/>
          <w:szCs w:val="32"/>
        </w:rPr>
        <w:t>.</w:t>
      </w:r>
      <w:r>
        <w:rPr>
          <w:rFonts w:hint="eastAsia" w:ascii="仿宋_GB2312" w:hAnsi="Calibri" w:eastAsia="仿宋_GB2312" w:cs="仿宋"/>
          <w:b/>
          <w:bCs w:val="0"/>
          <w:kern w:val="0"/>
          <w:sz w:val="32"/>
          <w:szCs w:val="32"/>
        </w:rPr>
        <w:t>社会保障和就业支出(类)行政事业单位养老支出(款)机关事业单位基本养老保险缴费支出(项)</w:t>
      </w:r>
      <w:r>
        <w:rPr>
          <w:rStyle w:val="17"/>
          <w:rFonts w:hint="eastAsia" w:ascii="仿宋_GB2312" w:hAnsi="仿宋_GB2312" w:eastAsia="仿宋_GB2312" w:cs="仿宋_GB2312"/>
          <w:b/>
          <w:bCs w:val="0"/>
          <w:sz w:val="32"/>
          <w:szCs w:val="32"/>
        </w:rPr>
        <w:t>:</w:t>
      </w:r>
      <w:r>
        <w:rPr>
          <w:rStyle w:val="17"/>
          <w:rFonts w:hint="eastAsia" w:ascii="仿宋_GB2312" w:hAnsi="仿宋_GB2312" w:eastAsia="仿宋_GB2312" w:cs="仿宋_GB2312"/>
          <w:b w:val="0"/>
          <w:bCs/>
          <w:sz w:val="32"/>
          <w:szCs w:val="32"/>
        </w:rPr>
        <w:t xml:space="preserve"> 支出决算为</w:t>
      </w:r>
      <w:r>
        <w:rPr>
          <w:rStyle w:val="17"/>
          <w:rFonts w:hint="eastAsia" w:ascii="仿宋_GB2312" w:hAnsi="仿宋_GB2312" w:eastAsia="仿宋_GB2312" w:cs="仿宋_GB2312"/>
          <w:b w:val="0"/>
          <w:bCs/>
          <w:sz w:val="32"/>
          <w:szCs w:val="32"/>
          <w:lang w:val="en-US" w:eastAsia="zh-CN"/>
        </w:rPr>
        <w:t>135.43</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Cs/>
          <w:sz w:val="32"/>
          <w:szCs w:val="32"/>
        </w:rPr>
      </w:pPr>
      <w:r>
        <w:rPr>
          <w:rStyle w:val="17"/>
          <w:rFonts w:hint="eastAsia" w:ascii="仿宋_GB2312" w:hAnsi="仿宋_GB2312" w:eastAsia="仿宋_GB2312" w:cs="仿宋_GB2312"/>
          <w:b/>
          <w:bCs w:val="0"/>
          <w:sz w:val="32"/>
          <w:szCs w:val="32"/>
          <w:lang w:val="en-US" w:eastAsia="zh-CN"/>
        </w:rPr>
        <w:t>3</w:t>
      </w:r>
      <w:r>
        <w:rPr>
          <w:rStyle w:val="17"/>
          <w:rFonts w:hint="eastAsia" w:ascii="仿宋_GB2312" w:hAnsi="仿宋_GB2312" w:eastAsia="仿宋_GB2312" w:cs="仿宋_GB2312"/>
          <w:b/>
          <w:bCs w:val="0"/>
          <w:sz w:val="32"/>
          <w:szCs w:val="32"/>
        </w:rPr>
        <w:t>.</w:t>
      </w:r>
      <w:r>
        <w:rPr>
          <w:rFonts w:hint="eastAsia" w:ascii="仿宋_GB2312" w:hAnsi="Calibri" w:eastAsia="仿宋_GB2312" w:cs="仿宋"/>
          <w:b/>
          <w:bCs w:val="0"/>
          <w:kern w:val="0"/>
          <w:sz w:val="32"/>
          <w:szCs w:val="32"/>
        </w:rPr>
        <w:t>社会保障和就业支出(类)行政事业单位养老支出(款)机关事业单位职业年金缴费支出(项)</w:t>
      </w:r>
      <w:r>
        <w:rPr>
          <w:rStyle w:val="17"/>
          <w:rFonts w:hint="eastAsia" w:ascii="仿宋_GB2312" w:hAnsi="仿宋_GB2312" w:eastAsia="仿宋_GB2312" w:cs="仿宋_GB2312"/>
          <w:b/>
          <w:bCs w:val="0"/>
          <w:sz w:val="32"/>
          <w:szCs w:val="32"/>
        </w:rPr>
        <w:t>:</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67.62</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Cs/>
          <w:sz w:val="32"/>
          <w:szCs w:val="32"/>
        </w:rPr>
      </w:pPr>
      <w:r>
        <w:rPr>
          <w:rFonts w:hint="eastAsia" w:ascii="仿宋_GB2312" w:hAnsi="Calibri" w:eastAsia="仿宋_GB2312" w:cs="仿宋"/>
          <w:b/>
          <w:bCs/>
          <w:kern w:val="0"/>
          <w:sz w:val="32"/>
          <w:szCs w:val="32"/>
          <w:lang w:val="en-US" w:eastAsia="zh-CN"/>
        </w:rPr>
        <w:t>4</w:t>
      </w:r>
      <w:r>
        <w:rPr>
          <w:rFonts w:hint="eastAsia" w:ascii="仿宋_GB2312" w:hAnsi="Calibri" w:eastAsia="仿宋_GB2312" w:cs="仿宋"/>
          <w:b/>
          <w:bCs/>
          <w:kern w:val="0"/>
          <w:sz w:val="32"/>
          <w:szCs w:val="32"/>
        </w:rPr>
        <w:t>.社会保障和就业支出(类)抚恤(款)死亡抚恤(项)</w:t>
      </w:r>
      <w:r>
        <w:rPr>
          <w:rFonts w:hint="eastAsia" w:ascii="仿宋_GB2312" w:hAnsi="Calibri" w:eastAsia="仿宋_GB2312" w:cs="仿宋"/>
          <w:kern w:val="0"/>
          <w:sz w:val="32"/>
          <w:szCs w:val="32"/>
        </w:rPr>
        <w:t>:</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24.97</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Cs/>
          <w:sz w:val="32"/>
          <w:szCs w:val="32"/>
        </w:rPr>
      </w:pPr>
      <w:r>
        <w:rPr>
          <w:rFonts w:hint="eastAsia" w:ascii="仿宋_GB2312" w:hAnsi="Calibri" w:eastAsia="仿宋_GB2312" w:cs="仿宋"/>
          <w:b/>
          <w:bCs/>
          <w:kern w:val="0"/>
          <w:sz w:val="32"/>
          <w:szCs w:val="32"/>
          <w:lang w:val="en-US" w:eastAsia="zh-CN"/>
        </w:rPr>
        <w:t>5</w:t>
      </w:r>
      <w:r>
        <w:rPr>
          <w:rFonts w:hint="eastAsia" w:ascii="仿宋_GB2312" w:hAnsi="Calibri" w:eastAsia="仿宋_GB2312" w:cs="仿宋"/>
          <w:b/>
          <w:bCs/>
          <w:kern w:val="0"/>
          <w:sz w:val="32"/>
          <w:szCs w:val="32"/>
        </w:rPr>
        <w:t>.社会保障和就业支出(类)抚恤(款)其他优抚支出(项):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2.90</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Cs/>
          <w:sz w:val="32"/>
          <w:szCs w:val="32"/>
        </w:rPr>
      </w:pPr>
      <w:r>
        <w:rPr>
          <w:rFonts w:hint="eastAsia" w:ascii="仿宋_GB2312" w:hAnsi="Calibri" w:eastAsia="仿宋_GB2312" w:cs="仿宋"/>
          <w:b/>
          <w:bCs/>
          <w:kern w:val="0"/>
          <w:sz w:val="32"/>
          <w:szCs w:val="32"/>
          <w:lang w:val="en-US" w:eastAsia="zh-CN"/>
        </w:rPr>
        <w:t>6</w:t>
      </w:r>
      <w:r>
        <w:rPr>
          <w:rFonts w:hint="eastAsia" w:ascii="仿宋_GB2312" w:hAnsi="Calibri" w:eastAsia="仿宋_GB2312" w:cs="仿宋"/>
          <w:b/>
          <w:bCs/>
          <w:kern w:val="0"/>
          <w:sz w:val="32"/>
          <w:szCs w:val="32"/>
        </w:rPr>
        <w:t>.社会保障和就业支出(类)其他社会保障和就业支出(款)其他社会保障和就业支出（项）：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6.70</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Cs/>
          <w:sz w:val="32"/>
          <w:szCs w:val="32"/>
        </w:rPr>
      </w:pPr>
      <w:r>
        <w:rPr>
          <w:rFonts w:hint="eastAsia" w:ascii="仿宋_GB2312" w:hAnsi="Calibri" w:eastAsia="仿宋_GB2312" w:cs="仿宋"/>
          <w:b/>
          <w:bCs/>
          <w:kern w:val="0"/>
          <w:sz w:val="32"/>
          <w:szCs w:val="32"/>
          <w:lang w:val="en-US" w:eastAsia="zh-CN"/>
        </w:rPr>
        <w:t>7</w:t>
      </w:r>
      <w:r>
        <w:rPr>
          <w:rFonts w:hint="eastAsia" w:ascii="仿宋_GB2312" w:hAnsi="Calibri" w:eastAsia="仿宋_GB2312" w:cs="仿宋"/>
          <w:b/>
          <w:bCs/>
          <w:kern w:val="0"/>
          <w:sz w:val="32"/>
          <w:szCs w:val="32"/>
        </w:rPr>
        <w:t>.卫生健康支出(类)行政事业单位医疗(款)行政单位医疗(项):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9.22</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7"/>
          <w:rFonts w:hint="eastAsia" w:ascii="仿宋_GB2312" w:hAnsi="仿宋_GB2312" w:eastAsia="仿宋_GB2312" w:cs="仿宋_GB2312"/>
          <w:b w:val="0"/>
          <w:bCs/>
          <w:sz w:val="32"/>
          <w:szCs w:val="32"/>
        </w:rPr>
      </w:pPr>
      <w:r>
        <w:rPr>
          <w:rFonts w:hint="eastAsia" w:ascii="仿宋_GB2312" w:hAnsi="Calibri" w:eastAsia="仿宋_GB2312" w:cs="仿宋"/>
          <w:b/>
          <w:bCs/>
          <w:kern w:val="0"/>
          <w:sz w:val="32"/>
          <w:szCs w:val="32"/>
          <w:lang w:val="en-US" w:eastAsia="zh-CN"/>
        </w:rPr>
        <w:t>8</w:t>
      </w:r>
      <w:r>
        <w:rPr>
          <w:rFonts w:hint="eastAsia" w:ascii="仿宋_GB2312" w:hAnsi="Calibri" w:eastAsia="仿宋_GB2312" w:cs="仿宋"/>
          <w:b/>
          <w:bCs/>
          <w:kern w:val="0"/>
          <w:sz w:val="32"/>
          <w:szCs w:val="32"/>
        </w:rPr>
        <w:t>.卫生健康支出(类)行政事业单位医疗(款)事业单位医疗(项):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43.71</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7"/>
          <w:rFonts w:ascii="仿宋_GB2312" w:hAnsi="仿宋_GB2312" w:eastAsia="仿宋_GB2312" w:cs="仿宋_GB2312"/>
          <w:b w:val="0"/>
          <w:bCs/>
          <w:sz w:val="32"/>
          <w:szCs w:val="32"/>
        </w:rPr>
      </w:pPr>
      <w:r>
        <w:rPr>
          <w:rFonts w:hint="eastAsia" w:ascii="仿宋_GB2312" w:hAnsi="Calibri" w:eastAsia="仿宋_GB2312" w:cs="仿宋"/>
          <w:b/>
          <w:bCs/>
          <w:kern w:val="0"/>
          <w:sz w:val="32"/>
          <w:szCs w:val="32"/>
          <w:lang w:val="en-US" w:eastAsia="zh-CN"/>
        </w:rPr>
        <w:t>9</w:t>
      </w:r>
      <w:r>
        <w:rPr>
          <w:rFonts w:hint="eastAsia" w:ascii="仿宋_GB2312" w:hAnsi="Calibri" w:eastAsia="仿宋_GB2312" w:cs="仿宋"/>
          <w:b/>
          <w:bCs/>
          <w:kern w:val="0"/>
          <w:sz w:val="32"/>
          <w:szCs w:val="32"/>
        </w:rPr>
        <w:t>.卫生健康支出(类)行政事业单位医疗(款)</w:t>
      </w:r>
      <w:r>
        <w:rPr>
          <w:rFonts w:hint="eastAsia" w:ascii="仿宋_GB2312" w:hAnsi="Calibri" w:eastAsia="仿宋_GB2312" w:cs="仿宋"/>
          <w:b/>
          <w:bCs/>
          <w:kern w:val="0"/>
          <w:sz w:val="32"/>
          <w:szCs w:val="32"/>
          <w:lang w:eastAsia="zh-CN"/>
        </w:rPr>
        <w:t>公务员医疗补助</w:t>
      </w:r>
      <w:r>
        <w:rPr>
          <w:rFonts w:hint="eastAsia" w:ascii="仿宋_GB2312" w:hAnsi="Calibri" w:eastAsia="仿宋_GB2312" w:cs="仿宋"/>
          <w:b/>
          <w:bCs/>
          <w:kern w:val="0"/>
          <w:sz w:val="32"/>
          <w:szCs w:val="32"/>
        </w:rPr>
        <w:t>(项):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6.15</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7"/>
          <w:rFonts w:hint="default" w:ascii="仿宋_GB2312" w:hAnsi="仿宋_GB2312" w:eastAsia="仿宋_GB2312" w:cs="仿宋_GB2312"/>
          <w:b w:val="0"/>
          <w:bCs/>
          <w:sz w:val="32"/>
          <w:szCs w:val="32"/>
          <w:lang w:val="en-US" w:eastAsia="zh-CN"/>
        </w:rPr>
      </w:pPr>
      <w:r>
        <w:rPr>
          <w:rStyle w:val="17"/>
          <w:rFonts w:hint="eastAsia" w:ascii="仿宋_GB2312" w:hAnsi="仿宋_GB2312" w:eastAsia="仿宋_GB2312" w:cs="仿宋_GB2312"/>
          <w:b/>
          <w:bCs w:val="0"/>
          <w:sz w:val="32"/>
          <w:szCs w:val="32"/>
          <w:lang w:val="en-US" w:eastAsia="zh-CN"/>
        </w:rPr>
        <w:t>10.节能环保支出（类）污染防治（款）水体（项）：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200</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Cs/>
          <w:sz w:val="32"/>
          <w:szCs w:val="32"/>
        </w:rPr>
      </w:pPr>
      <w:r>
        <w:rPr>
          <w:rFonts w:hint="eastAsia" w:ascii="仿宋_GB2312" w:hAnsi="Calibri" w:eastAsia="仿宋_GB2312" w:cs="仿宋"/>
          <w:b/>
          <w:bCs/>
          <w:kern w:val="0"/>
          <w:sz w:val="32"/>
          <w:szCs w:val="32"/>
        </w:rPr>
        <w:t>11.城乡社区支出(类)城乡社区管理事务(款)行政运行(项):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454.94</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Cs/>
          <w:sz w:val="32"/>
          <w:szCs w:val="32"/>
        </w:rPr>
      </w:pPr>
      <w:r>
        <w:rPr>
          <w:rFonts w:hint="eastAsia" w:ascii="仿宋_GB2312" w:hAnsi="Calibri" w:eastAsia="仿宋_GB2312" w:cs="仿宋"/>
          <w:b/>
          <w:bCs/>
          <w:kern w:val="0"/>
          <w:sz w:val="32"/>
          <w:szCs w:val="32"/>
        </w:rPr>
        <w:t>12.城乡社区支出(类)城乡社区管理事务(款)一般行政管理事务(项):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39.23</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Cs/>
          <w:sz w:val="32"/>
          <w:szCs w:val="32"/>
        </w:rPr>
      </w:pPr>
      <w:r>
        <w:rPr>
          <w:rFonts w:hint="eastAsia" w:ascii="仿宋_GB2312" w:hAnsi="Calibri" w:eastAsia="仿宋_GB2312" w:cs="仿宋"/>
          <w:b/>
          <w:bCs/>
          <w:kern w:val="0"/>
          <w:sz w:val="32"/>
          <w:szCs w:val="32"/>
        </w:rPr>
        <w:t>13.城乡社区支出(类)城乡社区管理事务(款)住宅建设与房地产市场监管(项):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421.78</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7"/>
          <w:rFonts w:hint="eastAsia" w:ascii="仿宋_GB2312" w:hAnsi="仿宋_GB2312" w:eastAsia="仿宋_GB2312" w:cs="仿宋_GB2312"/>
          <w:b w:val="0"/>
          <w:bCs/>
          <w:sz w:val="32"/>
          <w:szCs w:val="32"/>
        </w:rPr>
      </w:pPr>
      <w:r>
        <w:rPr>
          <w:rFonts w:hint="eastAsia" w:ascii="仿宋_GB2312" w:hAnsi="Calibri" w:eastAsia="仿宋_GB2312" w:cs="仿宋"/>
          <w:b/>
          <w:bCs/>
          <w:kern w:val="0"/>
          <w:sz w:val="32"/>
          <w:szCs w:val="32"/>
        </w:rPr>
        <w:t>14.城乡社区支出(类)城乡社区管理事务(款)其他城乡社区管理事务支出(项):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39.43</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eastAsia="仿宋_GB2312"/>
          <w:lang w:val="en-US" w:eastAsia="zh-CN"/>
        </w:rPr>
      </w:pPr>
      <w:r>
        <w:rPr>
          <w:rStyle w:val="17"/>
          <w:rFonts w:hint="eastAsia" w:hAnsi="仿宋_GB2312" w:cs="仿宋_GB2312"/>
          <w:b/>
          <w:bCs w:val="0"/>
          <w:sz w:val="32"/>
          <w:szCs w:val="32"/>
          <w:lang w:val="en-US" w:eastAsia="zh-CN"/>
        </w:rPr>
        <w:t>15.</w:t>
      </w:r>
      <w:r>
        <w:rPr>
          <w:rFonts w:hint="eastAsia" w:ascii="仿宋_GB2312" w:hAnsi="Calibri" w:eastAsia="仿宋_GB2312" w:cs="仿宋"/>
          <w:b/>
          <w:bCs w:val="0"/>
          <w:kern w:val="0"/>
          <w:sz w:val="32"/>
          <w:szCs w:val="32"/>
        </w:rPr>
        <w:t>城乡社区支出(类)城乡社区</w:t>
      </w:r>
      <w:r>
        <w:rPr>
          <w:rFonts w:hint="eastAsia" w:ascii="仿宋_GB2312" w:hAnsi="Calibri" w:eastAsia="仿宋_GB2312" w:cs="仿宋"/>
          <w:b/>
          <w:bCs w:val="0"/>
          <w:kern w:val="0"/>
          <w:sz w:val="32"/>
          <w:szCs w:val="32"/>
          <w:lang w:eastAsia="zh-CN"/>
        </w:rPr>
        <w:t>公共设施</w:t>
      </w:r>
      <w:r>
        <w:rPr>
          <w:rFonts w:hint="eastAsia" w:ascii="仿宋_GB2312" w:hAnsi="Calibri" w:eastAsia="仿宋_GB2312" w:cs="仿宋"/>
          <w:b/>
          <w:bCs w:val="0"/>
          <w:kern w:val="0"/>
          <w:sz w:val="32"/>
          <w:szCs w:val="32"/>
        </w:rPr>
        <w:t>(款)其他城乡社区</w:t>
      </w:r>
      <w:r>
        <w:rPr>
          <w:rFonts w:hint="eastAsia" w:ascii="仿宋_GB2312" w:hAnsi="Calibri" w:eastAsia="仿宋_GB2312" w:cs="仿宋"/>
          <w:b/>
          <w:bCs w:val="0"/>
          <w:kern w:val="0"/>
          <w:sz w:val="32"/>
          <w:szCs w:val="32"/>
          <w:lang w:eastAsia="zh-CN"/>
        </w:rPr>
        <w:t>公共设施</w:t>
      </w:r>
      <w:r>
        <w:rPr>
          <w:rFonts w:hint="eastAsia" w:ascii="仿宋_GB2312" w:hAnsi="Calibri" w:eastAsia="仿宋_GB2312" w:cs="仿宋"/>
          <w:b/>
          <w:bCs w:val="0"/>
          <w:kern w:val="0"/>
          <w:sz w:val="32"/>
          <w:szCs w:val="32"/>
        </w:rPr>
        <w:t>支出(项):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165</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Cs/>
          <w:sz w:val="32"/>
          <w:szCs w:val="32"/>
        </w:rPr>
      </w:pPr>
      <w:r>
        <w:rPr>
          <w:rFonts w:hint="eastAsia" w:ascii="仿宋_GB2312" w:hAnsi="Calibri" w:eastAsia="仿宋_GB2312" w:cs="仿宋"/>
          <w:b/>
          <w:bCs/>
          <w:kern w:val="0"/>
          <w:sz w:val="32"/>
          <w:szCs w:val="32"/>
        </w:rPr>
        <w:t>1</w:t>
      </w:r>
      <w:r>
        <w:rPr>
          <w:rFonts w:hint="eastAsia" w:ascii="仿宋_GB2312" w:hAnsi="Calibri" w:eastAsia="仿宋_GB2312" w:cs="仿宋"/>
          <w:b/>
          <w:bCs/>
          <w:kern w:val="0"/>
          <w:sz w:val="32"/>
          <w:szCs w:val="32"/>
          <w:lang w:val="en-US" w:eastAsia="zh-CN"/>
        </w:rPr>
        <w:t>6</w:t>
      </w:r>
      <w:r>
        <w:rPr>
          <w:rFonts w:hint="eastAsia" w:ascii="仿宋_GB2312" w:hAnsi="Calibri" w:eastAsia="仿宋_GB2312" w:cs="仿宋"/>
          <w:b/>
          <w:bCs/>
          <w:kern w:val="0"/>
          <w:sz w:val="32"/>
          <w:szCs w:val="32"/>
        </w:rPr>
        <w:t>.城乡社区支出(类)城乡社区环境卫生(款)城乡社区环境卫生（项):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6354.55</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7"/>
          <w:rFonts w:ascii="仿宋_GB2312" w:hAnsi="仿宋_GB2312" w:eastAsia="仿宋_GB2312" w:cs="仿宋_GB2312"/>
          <w:b w:val="0"/>
          <w:bCs/>
          <w:sz w:val="32"/>
          <w:szCs w:val="32"/>
        </w:rPr>
      </w:pPr>
      <w:r>
        <w:rPr>
          <w:rFonts w:hint="eastAsia" w:ascii="仿宋_GB2312" w:hAnsi="Calibri" w:eastAsia="仿宋_GB2312" w:cs="仿宋"/>
          <w:b/>
          <w:bCs/>
          <w:kern w:val="0"/>
          <w:sz w:val="32"/>
          <w:szCs w:val="32"/>
        </w:rPr>
        <w:t>1</w:t>
      </w:r>
      <w:r>
        <w:rPr>
          <w:rFonts w:hint="eastAsia" w:ascii="仿宋_GB2312" w:hAnsi="Calibri" w:eastAsia="仿宋_GB2312" w:cs="仿宋"/>
          <w:b/>
          <w:bCs/>
          <w:kern w:val="0"/>
          <w:sz w:val="32"/>
          <w:szCs w:val="32"/>
          <w:lang w:val="en-US" w:eastAsia="zh-CN"/>
        </w:rPr>
        <w:t>7</w:t>
      </w:r>
      <w:r>
        <w:rPr>
          <w:rFonts w:hint="eastAsia" w:ascii="仿宋_GB2312" w:hAnsi="Calibri" w:eastAsia="仿宋_GB2312" w:cs="仿宋"/>
          <w:b/>
          <w:bCs/>
          <w:kern w:val="0"/>
          <w:sz w:val="32"/>
          <w:szCs w:val="32"/>
        </w:rPr>
        <w:t>.城乡社区支出（类）建设市场管理与监督（款）建设市场管理与监督（项）：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170.07</w:t>
      </w:r>
      <w:r>
        <w:rPr>
          <w:rStyle w:val="17"/>
          <w:rFonts w:hint="eastAsia" w:ascii="仿宋_GB2312" w:hAnsi="仿宋_GB2312" w:eastAsia="仿宋_GB2312" w:cs="仿宋_GB2312"/>
          <w:b w:val="0"/>
          <w:bCs/>
          <w:sz w:val="32"/>
          <w:szCs w:val="32"/>
        </w:rPr>
        <w:t xml:space="preserve">万元，完成预算100%。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Cs/>
          <w:sz w:val="32"/>
          <w:szCs w:val="32"/>
        </w:rPr>
      </w:pPr>
      <w:r>
        <w:rPr>
          <w:rStyle w:val="17"/>
          <w:rFonts w:hint="eastAsia" w:ascii="仿宋_GB2312" w:hAnsi="仿宋_GB2312" w:eastAsia="仿宋_GB2312" w:cs="仿宋_GB2312"/>
          <w:b/>
          <w:bCs w:val="0"/>
          <w:sz w:val="32"/>
          <w:szCs w:val="32"/>
          <w:lang w:val="en-US" w:eastAsia="zh-CN"/>
        </w:rPr>
        <w:t>18</w:t>
      </w:r>
      <w:r>
        <w:rPr>
          <w:rStyle w:val="17"/>
          <w:rFonts w:hint="eastAsia" w:ascii="仿宋_GB2312" w:hAnsi="仿宋_GB2312" w:eastAsia="仿宋_GB2312" w:cs="仿宋_GB2312"/>
          <w:b/>
          <w:bCs w:val="0"/>
          <w:sz w:val="32"/>
          <w:szCs w:val="32"/>
        </w:rPr>
        <w:t>.城乡社区</w:t>
      </w:r>
      <w:r>
        <w:rPr>
          <w:rFonts w:hint="eastAsia" w:ascii="仿宋_GB2312" w:hAnsi="Calibri" w:eastAsia="仿宋_GB2312" w:cs="仿宋"/>
          <w:b/>
          <w:bCs w:val="0"/>
          <w:kern w:val="0"/>
          <w:sz w:val="32"/>
          <w:szCs w:val="32"/>
        </w:rPr>
        <w:t>支出(类)其他城乡社区支出（款）其他城乡社区支出（项）: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12546.34</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7"/>
          <w:rFonts w:hint="eastAsia" w:ascii="仿宋_GB2312" w:hAnsi="仿宋_GB2312" w:eastAsia="仿宋_GB2312" w:cs="仿宋_GB2312"/>
          <w:b w:val="0"/>
          <w:bCs/>
          <w:sz w:val="32"/>
          <w:szCs w:val="32"/>
        </w:rPr>
      </w:pPr>
      <w:r>
        <w:rPr>
          <w:rFonts w:hint="eastAsia" w:ascii="仿宋_GB2312" w:hAnsi="Calibri" w:eastAsia="仿宋_GB2312" w:cs="仿宋"/>
          <w:b/>
          <w:bCs/>
          <w:kern w:val="0"/>
          <w:sz w:val="32"/>
          <w:szCs w:val="32"/>
          <w:lang w:val="en-US" w:eastAsia="zh-CN"/>
        </w:rPr>
        <w:t>19</w:t>
      </w:r>
      <w:r>
        <w:rPr>
          <w:rFonts w:hint="eastAsia" w:ascii="仿宋_GB2312" w:hAnsi="Calibri" w:eastAsia="仿宋_GB2312" w:cs="仿宋"/>
          <w:b/>
          <w:bCs/>
          <w:kern w:val="0"/>
          <w:sz w:val="32"/>
          <w:szCs w:val="32"/>
        </w:rPr>
        <w:t>.住房保障支出(类)保障性安居工程支出(款)</w:t>
      </w:r>
      <w:r>
        <w:rPr>
          <w:rFonts w:hint="eastAsia" w:ascii="仿宋_GB2312" w:hAnsi="Calibri" w:eastAsia="仿宋_GB2312" w:cs="仿宋"/>
          <w:b/>
          <w:bCs/>
          <w:kern w:val="0"/>
          <w:sz w:val="32"/>
          <w:szCs w:val="32"/>
          <w:lang w:eastAsia="zh-CN"/>
        </w:rPr>
        <w:t>棚户区</w:t>
      </w:r>
      <w:r>
        <w:rPr>
          <w:rFonts w:hint="eastAsia" w:ascii="仿宋_GB2312" w:hAnsi="Calibri" w:eastAsia="仿宋_GB2312" w:cs="仿宋"/>
          <w:b/>
          <w:bCs/>
          <w:kern w:val="0"/>
          <w:sz w:val="32"/>
          <w:szCs w:val="32"/>
        </w:rPr>
        <w:t>改造(项):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12079.41</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cs="仿宋"/>
          <w:kern w:val="0"/>
          <w:sz w:val="32"/>
          <w:szCs w:val="32"/>
        </w:rPr>
      </w:pPr>
      <w:r>
        <w:rPr>
          <w:rFonts w:hint="eastAsia" w:ascii="仿宋_GB2312" w:hAnsi="Calibri" w:eastAsia="仿宋_GB2312" w:cs="仿宋"/>
          <w:b/>
          <w:bCs/>
          <w:kern w:val="0"/>
          <w:sz w:val="32"/>
          <w:szCs w:val="32"/>
        </w:rPr>
        <w:t>20.住房保障支出(类)保障性安居工程支出(款)农村危房改造(项):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199.64</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Cs/>
          <w:sz w:val="32"/>
          <w:szCs w:val="32"/>
        </w:rPr>
      </w:pPr>
      <w:r>
        <w:rPr>
          <w:rFonts w:hint="eastAsia" w:ascii="仿宋_GB2312" w:hAnsi="Calibri" w:eastAsia="仿宋_GB2312" w:cs="仿宋"/>
          <w:b/>
          <w:bCs/>
          <w:kern w:val="0"/>
          <w:sz w:val="32"/>
          <w:szCs w:val="32"/>
        </w:rPr>
        <w:t>21.住房保障支出(类)保障性安居工程支出(款)保障性住房租金补贴(项):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8.74</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Cs/>
          <w:sz w:val="32"/>
          <w:szCs w:val="32"/>
        </w:rPr>
      </w:pPr>
      <w:r>
        <w:rPr>
          <w:rFonts w:hint="eastAsia" w:ascii="仿宋_GB2312" w:hAnsi="Calibri" w:eastAsia="仿宋_GB2312" w:cs="仿宋"/>
          <w:b/>
          <w:bCs/>
          <w:kern w:val="0"/>
          <w:sz w:val="32"/>
          <w:szCs w:val="32"/>
        </w:rPr>
        <w:t>22.住房保障支出(类)保障性安居工程支出(款)老旧小区改造(项):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5486.97</w:t>
      </w:r>
      <w:r>
        <w:rPr>
          <w:rStyle w:val="17"/>
          <w:rFonts w:hint="eastAsia" w:ascii="仿宋_GB2312" w:hAnsi="仿宋_GB2312" w:eastAsia="仿宋_GB2312" w:cs="仿宋_GB2312"/>
          <w:b w:val="0"/>
          <w:bCs/>
          <w:sz w:val="32"/>
          <w:szCs w:val="32"/>
        </w:rPr>
        <w:t>万元，完成预算100%。</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w:t>
      </w:r>
      <w:r>
        <w:rPr>
          <w:rFonts w:hint="eastAsia" w:ascii="仿宋_GB2312" w:hAnsi="Calibri" w:eastAsia="仿宋_GB2312" w:cs="仿宋"/>
          <w:b/>
          <w:bCs/>
          <w:kern w:val="0"/>
          <w:sz w:val="32"/>
          <w:szCs w:val="32"/>
        </w:rPr>
        <w:t xml:space="preserve"> 23.住房保障支出(类)保障性安居工程支出(款)其他保障性安居工程支出(项):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472.24</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cs="仿宋"/>
          <w:kern w:val="0"/>
          <w:sz w:val="32"/>
          <w:szCs w:val="32"/>
        </w:rPr>
      </w:pPr>
      <w:r>
        <w:rPr>
          <w:rFonts w:hint="eastAsia" w:ascii="仿宋_GB2312" w:hAnsi="Calibri" w:eastAsia="仿宋_GB2312" w:cs="仿宋"/>
          <w:b/>
          <w:bCs/>
          <w:kern w:val="0"/>
          <w:sz w:val="32"/>
          <w:szCs w:val="32"/>
        </w:rPr>
        <w:t>24.住房保障支出(类)住房改革支出(款)住房公积金(项):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165.10</w:t>
      </w:r>
      <w:r>
        <w:rPr>
          <w:rStyle w:val="17"/>
          <w:rFonts w:hint="eastAsia" w:ascii="仿宋_GB2312" w:hAnsi="仿宋_GB2312" w:eastAsia="仿宋_GB2312" w:cs="仿宋_GB2312"/>
          <w:b w:val="0"/>
          <w:bCs/>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Calibri" w:eastAsia="仿宋_GB2312" w:cs="仿宋"/>
          <w:kern w:val="0"/>
          <w:sz w:val="32"/>
          <w:szCs w:val="32"/>
        </w:rPr>
      </w:pPr>
      <w:r>
        <w:rPr>
          <w:rFonts w:hint="eastAsia" w:ascii="仿宋_GB2312" w:hAnsi="Calibri" w:eastAsia="仿宋_GB2312" w:cs="仿宋"/>
          <w:b/>
          <w:bCs/>
          <w:kern w:val="0"/>
          <w:sz w:val="32"/>
          <w:szCs w:val="32"/>
        </w:rPr>
        <w:t>25.灾害防治及应急管理支出（类）</w:t>
      </w:r>
      <w:r>
        <w:rPr>
          <w:rFonts w:hint="eastAsia" w:ascii="仿宋_GB2312" w:hAnsi="Calibri" w:eastAsia="仿宋_GB2312" w:cs="仿宋"/>
          <w:b/>
          <w:bCs/>
          <w:kern w:val="0"/>
          <w:sz w:val="32"/>
          <w:szCs w:val="32"/>
          <w:lang w:eastAsia="zh-CN"/>
        </w:rPr>
        <w:t>消防救援</w:t>
      </w:r>
      <w:r>
        <w:rPr>
          <w:rFonts w:hint="eastAsia" w:ascii="仿宋_GB2312" w:hAnsi="Calibri" w:eastAsia="仿宋_GB2312" w:cs="仿宋"/>
          <w:b/>
          <w:bCs/>
          <w:kern w:val="0"/>
          <w:sz w:val="32"/>
          <w:szCs w:val="32"/>
        </w:rPr>
        <w:t>事务（款）其他消防</w:t>
      </w:r>
      <w:r>
        <w:rPr>
          <w:rFonts w:hint="eastAsia" w:ascii="仿宋_GB2312" w:hAnsi="Calibri" w:eastAsia="仿宋_GB2312" w:cs="仿宋"/>
          <w:b/>
          <w:bCs/>
          <w:kern w:val="0"/>
          <w:sz w:val="32"/>
          <w:szCs w:val="32"/>
          <w:lang w:eastAsia="zh-CN"/>
        </w:rPr>
        <w:t>救援</w:t>
      </w:r>
      <w:r>
        <w:rPr>
          <w:rFonts w:hint="eastAsia" w:ascii="仿宋_GB2312" w:hAnsi="Calibri" w:eastAsia="仿宋_GB2312" w:cs="仿宋"/>
          <w:b/>
          <w:bCs/>
          <w:kern w:val="0"/>
          <w:sz w:val="32"/>
          <w:szCs w:val="32"/>
        </w:rPr>
        <w:t>事务支出（项）:</w:t>
      </w:r>
      <w:r>
        <w:rPr>
          <w:rStyle w:val="17"/>
          <w:rFonts w:hint="eastAsia" w:ascii="仿宋_GB2312" w:hAnsi="仿宋_GB2312" w:eastAsia="仿宋_GB2312" w:cs="仿宋_GB2312"/>
          <w:b w:val="0"/>
          <w:bCs/>
          <w:sz w:val="32"/>
          <w:szCs w:val="32"/>
        </w:rPr>
        <w:t>支出决算为</w:t>
      </w:r>
      <w:r>
        <w:rPr>
          <w:rStyle w:val="17"/>
          <w:rFonts w:hint="eastAsia" w:ascii="仿宋_GB2312" w:hAnsi="仿宋_GB2312" w:eastAsia="仿宋_GB2312" w:cs="仿宋_GB2312"/>
          <w:b w:val="0"/>
          <w:bCs/>
          <w:sz w:val="32"/>
          <w:szCs w:val="32"/>
          <w:lang w:val="en-US" w:eastAsia="zh-CN"/>
        </w:rPr>
        <w:t>10</w:t>
      </w:r>
      <w:r>
        <w:rPr>
          <w:rStyle w:val="17"/>
          <w:rFonts w:hint="eastAsia" w:ascii="仿宋_GB2312" w:hAnsi="仿宋_GB2312" w:eastAsia="仿宋_GB2312" w:cs="仿宋_GB2312"/>
          <w:b w:val="0"/>
          <w:bCs/>
          <w:sz w:val="32"/>
          <w:szCs w:val="32"/>
        </w:rPr>
        <w:t>万元，完成预算100%。</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9"/>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7839.94</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3793.14</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4046.80</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29"/>
          <w:rFonts w:ascii="黑体" w:hAnsi="黑体" w:eastAsia="黑体"/>
          <w:b w:val="0"/>
        </w:rPr>
      </w:pPr>
      <w:bookmarkStart w:id="36" w:name="_Toc15377215"/>
      <w:bookmarkStart w:id="37"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hint="eastAsia" w:ascii="仿宋_GB2312" w:eastAsia="仿宋_GB2312"/>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9.07</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27.78</w:t>
      </w:r>
      <w:r>
        <w:rPr>
          <w:rFonts w:hint="eastAsia" w:ascii="仿宋" w:hAnsi="仿宋" w:eastAsia="仿宋"/>
          <w:sz w:val="32"/>
          <w:szCs w:val="32"/>
        </w:rPr>
        <w:t>万元，下降</w:t>
      </w:r>
      <w:r>
        <w:rPr>
          <w:rFonts w:hint="eastAsia" w:ascii="仿宋" w:hAnsi="仿宋" w:eastAsia="仿宋"/>
          <w:sz w:val="32"/>
          <w:szCs w:val="32"/>
          <w:lang w:val="en-US" w:eastAsia="zh-CN"/>
        </w:rPr>
        <w:t>75.39</w:t>
      </w:r>
      <w:r>
        <w:rPr>
          <w:rFonts w:hint="eastAsia" w:ascii="仿宋" w:hAnsi="仿宋" w:eastAsia="仿宋"/>
          <w:sz w:val="32"/>
          <w:szCs w:val="32"/>
        </w:rPr>
        <w:t>%。</w:t>
      </w:r>
      <w:r>
        <w:rPr>
          <w:rFonts w:hint="eastAsia" w:ascii="仿宋_GB2312" w:eastAsia="仿宋_GB2312"/>
          <w:sz w:val="32"/>
          <w:szCs w:val="32"/>
        </w:rPr>
        <w:t>决算数与预算数持平的主要原因是规范公务用车、公务接待管理制度，强化节约意识，严格按制度执行。</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8.96</w:t>
      </w:r>
      <w:r>
        <w:rPr>
          <w:rFonts w:hint="eastAsia" w:ascii="仿宋" w:hAnsi="仿宋" w:eastAsia="仿宋"/>
          <w:sz w:val="32"/>
          <w:szCs w:val="32"/>
        </w:rPr>
        <w:t>万元，占</w:t>
      </w:r>
      <w:r>
        <w:rPr>
          <w:rFonts w:hint="eastAsia" w:ascii="仿宋" w:hAnsi="仿宋" w:eastAsia="仿宋"/>
          <w:sz w:val="32"/>
          <w:szCs w:val="32"/>
          <w:lang w:val="en-US" w:eastAsia="zh-CN"/>
        </w:rPr>
        <w:t>98.78</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0.11</w:t>
      </w:r>
      <w:r>
        <w:rPr>
          <w:rFonts w:hint="eastAsia" w:ascii="仿宋" w:hAnsi="仿宋" w:eastAsia="仿宋"/>
          <w:sz w:val="32"/>
          <w:szCs w:val="32"/>
        </w:rPr>
        <w:t>万元，占</w:t>
      </w:r>
      <w:r>
        <w:rPr>
          <w:rFonts w:hint="eastAsia" w:ascii="仿宋" w:hAnsi="仿宋" w:eastAsia="仿宋"/>
          <w:sz w:val="32"/>
          <w:szCs w:val="32"/>
          <w:lang w:val="en-US" w:eastAsia="zh-CN"/>
        </w:rPr>
        <w:t>1.22</w:t>
      </w:r>
      <w:r>
        <w:rPr>
          <w:rFonts w:ascii="仿宋" w:hAnsi="仿宋" w:eastAsia="仿宋"/>
          <w:sz w:val="32"/>
          <w:szCs w:val="32"/>
        </w:rPr>
        <w:t>%</w:t>
      </w:r>
      <w:r>
        <w:rPr>
          <w:rFonts w:hint="eastAsia" w:ascii="仿宋" w:hAnsi="仿宋" w:eastAsia="仿宋"/>
          <w:sz w:val="32"/>
          <w:szCs w:val="32"/>
        </w:rPr>
        <w:t>。具体情况如下：（图7：“三公”经费财政拨款支出结构）（饼状图）</w:t>
      </w:r>
    </w:p>
    <w:p>
      <w:pPr>
        <w:pStyle w:val="2"/>
        <w:rPr>
          <w:rFonts w:hint="eastAsia" w:ascii="仿宋" w:hAnsi="仿宋" w:eastAsia="仿宋"/>
          <w:sz w:val="32"/>
          <w:szCs w:val="32"/>
        </w:rPr>
      </w:pPr>
      <w:r>
        <w:drawing>
          <wp:inline distT="0" distB="0" distL="114300" distR="114300">
            <wp:extent cx="5269865" cy="2686050"/>
            <wp:effectExtent l="4445" t="4445" r="21590"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8.96</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26.62</w:t>
      </w:r>
      <w:r>
        <w:rPr>
          <w:rFonts w:hint="eastAsia" w:ascii="仿宋_GB2312" w:eastAsia="仿宋_GB2312"/>
          <w:sz w:val="32"/>
          <w:szCs w:val="32"/>
        </w:rPr>
        <w:t>万元，下降</w:t>
      </w:r>
      <w:r>
        <w:rPr>
          <w:rFonts w:hint="eastAsia" w:ascii="仿宋_GB2312" w:eastAsia="仿宋_GB2312"/>
          <w:sz w:val="32"/>
          <w:szCs w:val="32"/>
          <w:lang w:val="en-US" w:eastAsia="zh-CN"/>
        </w:rPr>
        <w:t>74.82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2022年无公务用车购置，</w:t>
      </w:r>
      <w:r>
        <w:rPr>
          <w:rFonts w:hint="eastAsia" w:ascii="仿宋_GB2312" w:eastAsia="仿宋_GB2312"/>
          <w:sz w:val="32"/>
          <w:szCs w:val="32"/>
        </w:rPr>
        <w:t>严格按制度执行</w:t>
      </w:r>
      <w:r>
        <w:rPr>
          <w:rFonts w:hint="eastAsia" w:ascii="仿宋_GB2312" w:eastAsia="仿宋_GB2312"/>
          <w:sz w:val="32"/>
          <w:szCs w:val="32"/>
          <w:lang w:eastAsia="zh-CN"/>
        </w:rPr>
        <w:t>、</w:t>
      </w:r>
      <w:r>
        <w:rPr>
          <w:rFonts w:hint="eastAsia" w:ascii="仿宋_GB2312" w:eastAsia="仿宋_GB2312"/>
          <w:sz w:val="32"/>
          <w:szCs w:val="32"/>
        </w:rPr>
        <w:t>规范公务用车</w:t>
      </w:r>
      <w:r>
        <w:rPr>
          <w:rFonts w:hint="eastAsia" w:ascii="仿宋_GB2312" w:eastAsia="仿宋_GB2312"/>
          <w:sz w:val="32"/>
          <w:szCs w:val="32"/>
          <w:lang w:eastAsia="zh-CN"/>
        </w:rPr>
        <w:t>、</w:t>
      </w:r>
      <w:r>
        <w:rPr>
          <w:rFonts w:hint="eastAsia" w:ascii="仿宋_GB2312" w:eastAsia="仿宋_GB2312"/>
          <w:sz w:val="32"/>
          <w:szCs w:val="32"/>
        </w:rPr>
        <w:t>强化节约意识。</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8</w:t>
      </w:r>
      <w:r>
        <w:rPr>
          <w:rFonts w:hint="eastAsia" w:ascii="仿宋_GB2312" w:eastAsia="仿宋_GB2312"/>
          <w:sz w:val="32"/>
          <w:szCs w:val="32"/>
        </w:rPr>
        <w:t>辆，其中：轿车</w:t>
      </w:r>
      <w:r>
        <w:rPr>
          <w:rFonts w:hint="eastAsia" w:ascii="仿宋_GB2312" w:eastAsia="仿宋_GB2312"/>
          <w:sz w:val="32"/>
          <w:szCs w:val="32"/>
          <w:lang w:val="en-US" w:eastAsia="zh-CN"/>
        </w:rPr>
        <w:t>7</w:t>
      </w:r>
      <w:r>
        <w:rPr>
          <w:rFonts w:hint="eastAsia" w:ascii="仿宋_GB2312" w:eastAsia="仿宋_GB2312"/>
          <w:sz w:val="32"/>
          <w:szCs w:val="32"/>
        </w:rPr>
        <w:t>辆、越野车</w:t>
      </w:r>
      <w:r>
        <w:rPr>
          <w:rFonts w:hint="eastAsia" w:ascii="仿宋_GB2312" w:eastAsia="仿宋_GB2312"/>
          <w:sz w:val="32"/>
          <w:szCs w:val="32"/>
          <w:lang w:val="en-US" w:eastAsia="zh-CN"/>
        </w:rPr>
        <w:t>1</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8.96</w:t>
      </w:r>
      <w:r>
        <w:rPr>
          <w:rFonts w:hint="eastAsia" w:ascii="仿宋_GB2312" w:eastAsia="仿宋_GB2312"/>
          <w:sz w:val="32"/>
          <w:szCs w:val="32"/>
        </w:rPr>
        <w:t>万元。</w:t>
      </w:r>
      <w:r>
        <w:rPr>
          <w:rFonts w:hint="eastAsia" w:ascii="仿宋" w:hAnsi="仿宋" w:eastAsia="仿宋" w:cs="仿宋"/>
          <w:color w:val="000000"/>
          <w:sz w:val="32"/>
          <w:szCs w:val="32"/>
        </w:rPr>
        <w:t>主</w:t>
      </w:r>
      <w:r>
        <w:rPr>
          <w:rFonts w:hint="eastAsia" w:ascii="仿宋_GB2312" w:hAnsi="仿宋_GB2312" w:eastAsia="仿宋_GB2312" w:cs="仿宋_GB2312"/>
          <w:sz w:val="32"/>
          <w:szCs w:val="32"/>
        </w:rPr>
        <w:t>要用于市政基础设施建设、绿化亮化工程、建筑施工监管业务、农房危房业务、保障性住房建设、风景区违规建房监管等管理所需的公务用车燃料费、维修（护）费、过路过桥费、保险费等支出。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0.11</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1.16</w:t>
      </w:r>
      <w:r>
        <w:rPr>
          <w:rFonts w:hint="eastAsia" w:ascii="仿宋_GB2312" w:eastAsia="仿宋_GB2312"/>
          <w:sz w:val="32"/>
          <w:szCs w:val="32"/>
        </w:rPr>
        <w:t>万元，下降</w:t>
      </w:r>
      <w:r>
        <w:rPr>
          <w:rFonts w:hint="eastAsia" w:ascii="仿宋_GB2312" w:eastAsia="仿宋_GB2312"/>
          <w:sz w:val="32"/>
          <w:szCs w:val="32"/>
          <w:lang w:val="en-US" w:eastAsia="zh-CN"/>
        </w:rPr>
        <w:t>91.33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严控开支，厉行勤俭节约</w:t>
      </w:r>
      <w:r>
        <w:rPr>
          <w:rFonts w:hint="eastAsia" w:ascii="仿宋_GB2312" w:eastAsia="仿宋_GB2312"/>
          <w:sz w:val="32"/>
          <w:szCs w:val="32"/>
        </w:rPr>
        <w:t>。其中：</w:t>
      </w:r>
    </w:p>
    <w:p>
      <w:pPr>
        <w:spacing w:line="600" w:lineRule="exact"/>
        <w:ind w:firstLine="640"/>
        <w:rPr>
          <w:rFonts w:ascii="仿宋_GB2312" w:eastAsia="仿宋_GB2312"/>
          <w:sz w:val="32"/>
          <w:szCs w:val="32"/>
          <w:highlight w:val="yellow"/>
        </w:rPr>
      </w:pPr>
      <w:bookmarkStart w:id="40" w:name="_Toc15396610"/>
      <w:bookmarkStart w:id="41" w:name="_Toc15377218"/>
      <w:r>
        <w:rPr>
          <w:rFonts w:hint="eastAsia" w:ascii="仿宋" w:hAnsi="仿宋" w:eastAsia="仿宋"/>
          <w:b/>
          <w:sz w:val="32"/>
          <w:szCs w:val="32"/>
        </w:rPr>
        <w:t>国内公务接待支出</w:t>
      </w:r>
      <w:r>
        <w:rPr>
          <w:rFonts w:hint="eastAsia" w:ascii="仿宋" w:hAnsi="仿宋" w:eastAsia="仿宋"/>
          <w:sz w:val="32"/>
          <w:szCs w:val="32"/>
          <w:lang w:val="en-US" w:eastAsia="zh-CN"/>
        </w:rPr>
        <w:t>0.11</w:t>
      </w:r>
      <w:r>
        <w:rPr>
          <w:rFonts w:hint="eastAsia" w:ascii="仿宋_GB2312" w:eastAsia="仿宋_GB2312"/>
          <w:sz w:val="32"/>
          <w:szCs w:val="32"/>
        </w:rPr>
        <w:t>万元，主要用于</w:t>
      </w:r>
      <w:r>
        <w:rPr>
          <w:rFonts w:hint="eastAsia" w:ascii="仿宋_GB2312" w:hAnsi="仿宋_GB2312" w:eastAsia="仿宋_GB2312" w:cs="仿宋_GB2312"/>
          <w:bCs/>
          <w:sz w:val="32"/>
          <w:szCs w:val="32"/>
        </w:rPr>
        <w:t>执行公务、开展业务活动开支的用餐费等。</w:t>
      </w:r>
      <w:r>
        <w:rPr>
          <w:rFonts w:hint="eastAsia" w:ascii="仿宋_GB2312" w:eastAsia="仿宋_GB2312"/>
          <w:sz w:val="32"/>
          <w:szCs w:val="32"/>
        </w:rPr>
        <w:t>国内公务接待</w:t>
      </w:r>
      <w:r>
        <w:rPr>
          <w:rFonts w:hint="eastAsia" w:ascii="仿宋_GB2312" w:eastAsia="仿宋_GB2312"/>
          <w:sz w:val="32"/>
          <w:szCs w:val="32"/>
          <w:lang w:val="en-US" w:eastAsia="zh-CN"/>
        </w:rPr>
        <w:t>2</w:t>
      </w:r>
      <w:r>
        <w:rPr>
          <w:rFonts w:hint="eastAsia" w:ascii="仿宋_GB2312" w:eastAsia="仿宋_GB2312"/>
          <w:sz w:val="32"/>
          <w:szCs w:val="32"/>
        </w:rPr>
        <w:t>批次，</w:t>
      </w:r>
      <w:r>
        <w:rPr>
          <w:rFonts w:hint="eastAsia" w:ascii="仿宋_GB2312" w:eastAsia="仿宋_GB2312"/>
          <w:sz w:val="32"/>
          <w:szCs w:val="32"/>
          <w:lang w:val="en-US" w:eastAsia="zh-CN"/>
        </w:rPr>
        <w:t>14</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0.11</w:t>
      </w:r>
      <w:r>
        <w:rPr>
          <w:rFonts w:hint="eastAsia" w:ascii="仿宋_GB2312" w:eastAsia="仿宋_GB2312"/>
          <w:sz w:val="32"/>
          <w:szCs w:val="32"/>
        </w:rPr>
        <w:t>万元，</w:t>
      </w:r>
      <w:r>
        <w:rPr>
          <w:rFonts w:hint="eastAsia" w:ascii="仿宋_GB2312" w:eastAsia="仿宋_GB2312"/>
          <w:sz w:val="32"/>
          <w:szCs w:val="32"/>
          <w:highlight w:val="none"/>
        </w:rPr>
        <w:t>具体内容包括：</w:t>
      </w:r>
      <w:r>
        <w:rPr>
          <w:rFonts w:hint="eastAsia" w:ascii="仿宋_GB2312" w:eastAsia="仿宋_GB2312"/>
          <w:sz w:val="32"/>
          <w:szCs w:val="32"/>
          <w:highlight w:val="none"/>
          <w:lang w:eastAsia="zh-CN"/>
        </w:rPr>
        <w:t>金口河区住建局赴我市学习问题楼盘处置、城镇老旧小区相关工作，金额</w:t>
      </w:r>
      <w:r>
        <w:rPr>
          <w:rFonts w:hint="eastAsia" w:ascii="仿宋_GB2312" w:eastAsia="仿宋_GB2312"/>
          <w:sz w:val="32"/>
          <w:szCs w:val="32"/>
          <w:highlight w:val="none"/>
          <w:lang w:val="en-US" w:eastAsia="zh-CN"/>
        </w:rPr>
        <w:t>0.03万元；犍为县住建局赴我市学习城镇老旧小区改造先进工作做法和典型经验，金额0.08万元</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0</w:t>
      </w:r>
      <w:r>
        <w:rPr>
          <w:rFonts w:hint="eastAsia" w:ascii="仿宋_GB2312" w:eastAsia="仿宋_GB2312"/>
          <w:sz w:val="32"/>
          <w:szCs w:val="32"/>
        </w:rPr>
        <w:t>。外事接待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40764.06</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9"/>
          <w:rFonts w:ascii="黑体" w:hAnsi="黑体" w:eastAsia="黑体"/>
          <w:b w:val="0"/>
        </w:rPr>
      </w:pPr>
      <w:bookmarkStart w:id="42" w:name="_Toc15377219"/>
      <w:bookmarkStart w:id="43" w:name="_Toc15396611"/>
      <w:r>
        <w:rPr>
          <w:rStyle w:val="29"/>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9"/>
          <w:rFonts w:ascii="黑体" w:hAnsi="黑体" w:eastAsia="黑体"/>
          <w:b w:val="0"/>
        </w:rPr>
      </w:pPr>
      <w:bookmarkStart w:id="44" w:name="_Toc15396612"/>
      <w:bookmarkStart w:id="45" w:name="_Toc15377221"/>
      <w:r>
        <w:rPr>
          <w:rStyle w:val="29"/>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hAnsi="仿宋_GB2312" w:eastAsia="仿宋_GB2312" w:cs="仿宋_GB2312"/>
          <w:sz w:val="32"/>
          <w:szCs w:val="32"/>
        </w:rPr>
        <w:t>峨眉山市住房和城乡建设局</w:t>
      </w:r>
      <w:r>
        <w:rPr>
          <w:rFonts w:hint="eastAsia" w:ascii="仿宋_GB2312" w:hAnsi="仿宋_GB2312" w:eastAsia="仿宋_GB2312" w:cs="仿宋_GB2312"/>
          <w:sz w:val="32"/>
          <w:szCs w:val="32"/>
          <w:lang w:eastAsia="zh-CN"/>
        </w:rPr>
        <w:t>部门</w:t>
      </w:r>
      <w:r>
        <w:rPr>
          <w:rFonts w:hint="eastAsia" w:ascii="仿宋_GB2312" w:eastAsia="仿宋_GB2312"/>
          <w:sz w:val="32"/>
          <w:szCs w:val="32"/>
        </w:rPr>
        <w:t>机关运行经费支出</w:t>
      </w:r>
      <w:r>
        <w:rPr>
          <w:rFonts w:hint="eastAsia" w:ascii="仿宋_GB2312" w:eastAsia="仿宋_GB2312"/>
          <w:sz w:val="32"/>
          <w:szCs w:val="32"/>
          <w:lang w:val="en-US" w:eastAsia="zh-CN"/>
        </w:rPr>
        <w:t>164.40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96.37</w:t>
      </w:r>
      <w:r>
        <w:rPr>
          <w:rFonts w:hint="eastAsia" w:ascii="仿宋_GB2312" w:eastAsia="仿宋_GB2312"/>
          <w:sz w:val="32"/>
          <w:szCs w:val="32"/>
        </w:rPr>
        <w:t>万元，增长</w:t>
      </w:r>
      <w:r>
        <w:rPr>
          <w:rFonts w:hint="eastAsia" w:ascii="仿宋_GB2312" w:eastAsia="仿宋_GB2312"/>
          <w:sz w:val="32"/>
          <w:szCs w:val="32"/>
          <w:lang w:val="en-US" w:eastAsia="zh-CN"/>
        </w:rPr>
        <w:t>141.66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人员增加。</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hAnsi="仿宋_GB2312" w:eastAsia="仿宋_GB2312" w:cs="仿宋_GB2312"/>
          <w:sz w:val="32"/>
          <w:szCs w:val="32"/>
        </w:rPr>
        <w:t>峨眉山市住房和城乡建设局</w:t>
      </w:r>
      <w:r>
        <w:rPr>
          <w:rFonts w:hint="eastAsia" w:ascii="仿宋_GB2312" w:hAnsi="仿宋_GB2312" w:eastAsia="仿宋_GB2312" w:cs="仿宋_GB2312"/>
          <w:sz w:val="32"/>
          <w:szCs w:val="32"/>
          <w:lang w:eastAsia="zh-CN"/>
        </w:rPr>
        <w:t>部门</w:t>
      </w:r>
      <w:r>
        <w:rPr>
          <w:rFonts w:hint="eastAsia" w:ascii="仿宋_GB2312" w:eastAsia="仿宋_GB2312"/>
          <w:sz w:val="32"/>
          <w:szCs w:val="32"/>
        </w:rPr>
        <w:t>政府采购支出总额</w:t>
      </w:r>
      <w:r>
        <w:rPr>
          <w:rFonts w:hint="eastAsia" w:ascii="仿宋_GB2312" w:eastAsia="仿宋_GB2312"/>
          <w:sz w:val="32"/>
          <w:szCs w:val="32"/>
          <w:lang w:val="en-US" w:eastAsia="zh-CN"/>
        </w:rPr>
        <w:t>956.30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51.47</w:t>
      </w:r>
      <w:r>
        <w:rPr>
          <w:rFonts w:hint="eastAsia" w:ascii="仿宋_GB2312" w:eastAsia="仿宋_GB2312"/>
          <w:sz w:val="32"/>
          <w:szCs w:val="32"/>
        </w:rPr>
        <w:t>万元、政府采购工程支出</w:t>
      </w:r>
      <w:r>
        <w:rPr>
          <w:rFonts w:hint="eastAsia" w:ascii="仿宋_GB2312" w:eastAsia="仿宋_GB2312"/>
          <w:sz w:val="32"/>
          <w:szCs w:val="32"/>
          <w:lang w:val="en-US" w:eastAsia="zh-CN"/>
        </w:rPr>
        <w:t>904.83</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hint="eastAsia" w:ascii="仿宋_GB2312" w:hAnsi="仿宋_GB2312" w:eastAsia="仿宋_GB2312" w:cs="仿宋_GB2312"/>
          <w:sz w:val="32"/>
          <w:szCs w:val="32"/>
        </w:rPr>
        <w:t>主要用于</w:t>
      </w:r>
      <w:r>
        <w:rPr>
          <w:rFonts w:hint="eastAsia" w:ascii="仿宋_GB2312" w:hAnsi="仿宋" w:eastAsia="仿宋_GB2312" w:cs="仿宋"/>
          <w:bCs/>
          <w:color w:val="000000"/>
          <w:sz w:val="32"/>
          <w:szCs w:val="32"/>
          <w:lang w:eastAsia="zh-CN"/>
        </w:rPr>
        <w:t>市政零星工程项目</w:t>
      </w:r>
      <w:r>
        <w:rPr>
          <w:rFonts w:hint="eastAsia" w:ascii="仿宋_GB2312" w:hAnsi="仿宋" w:eastAsia="仿宋_GB2312" w:cs="仿宋"/>
          <w:bCs/>
          <w:color w:val="000000"/>
          <w:sz w:val="32"/>
          <w:szCs w:val="32"/>
        </w:rPr>
        <w:t>、</w:t>
      </w:r>
      <w:r>
        <w:rPr>
          <w:rFonts w:hint="eastAsia" w:ascii="仿宋_GB2312" w:hAnsi="仿宋" w:eastAsia="仿宋_GB2312" w:cs="仿宋"/>
          <w:bCs/>
          <w:color w:val="000000"/>
          <w:sz w:val="32"/>
          <w:szCs w:val="32"/>
          <w:lang w:eastAsia="zh-CN"/>
        </w:rPr>
        <w:t>市政管网维修工程项目、城市内涝饿涝堰截洪分流整治工程</w:t>
      </w:r>
      <w:r>
        <w:rPr>
          <w:rFonts w:hint="eastAsia" w:ascii="仿宋_GB2312" w:hAnsi="仿宋" w:eastAsia="仿宋_GB2312" w:cs="仿宋"/>
          <w:bCs/>
          <w:color w:val="000000"/>
          <w:sz w:val="32"/>
          <w:szCs w:val="32"/>
        </w:rPr>
        <w:t>、城区雨污分流改造工程</w:t>
      </w:r>
      <w:r>
        <w:rPr>
          <w:rFonts w:hint="eastAsia" w:ascii="仿宋_GB2312" w:hAnsi="仿宋" w:eastAsia="仿宋_GB2312" w:cs="仿宋"/>
          <w:bCs/>
          <w:color w:val="000000"/>
          <w:sz w:val="32"/>
          <w:szCs w:val="32"/>
          <w:lang w:eastAsia="zh-CN"/>
        </w:rPr>
        <w:t>、</w:t>
      </w:r>
      <w:r>
        <w:rPr>
          <w:rFonts w:hint="eastAsia" w:ascii="仿宋_GB2312" w:hAnsi="仿宋" w:eastAsia="仿宋_GB2312" w:cs="仿宋"/>
          <w:bCs/>
          <w:color w:val="000000"/>
          <w:sz w:val="32"/>
          <w:szCs w:val="32"/>
        </w:rPr>
        <w:t>城区道路</w:t>
      </w:r>
      <w:r>
        <w:rPr>
          <w:rFonts w:hint="eastAsia" w:ascii="仿宋_GB2312" w:hAnsi="仿宋" w:eastAsia="仿宋_GB2312" w:cs="仿宋"/>
          <w:bCs/>
          <w:color w:val="000000"/>
          <w:sz w:val="32"/>
          <w:szCs w:val="32"/>
          <w:lang w:eastAsia="zh-CN"/>
        </w:rPr>
        <w:t>交通标线施划工程</w:t>
      </w:r>
      <w:r>
        <w:rPr>
          <w:rFonts w:hint="eastAsia" w:ascii="仿宋_GB2312" w:hAnsi="仿宋" w:eastAsia="仿宋_GB2312" w:cs="仿宋"/>
          <w:bCs/>
          <w:color w:val="000000"/>
          <w:sz w:val="32"/>
          <w:szCs w:val="32"/>
        </w:rPr>
        <w:t>、省道103线亮化项目等</w:t>
      </w:r>
      <w:r>
        <w:rPr>
          <w:rFonts w:hint="eastAsia" w:ascii="仿宋_GB2312" w:hAnsi="仿宋_GB2312" w:eastAsia="仿宋_GB2312" w:cs="仿宋_GB2312"/>
          <w:sz w:val="32"/>
          <w:szCs w:val="32"/>
        </w:rPr>
        <w:t>。</w:t>
      </w:r>
      <w:r>
        <w:rPr>
          <w:rFonts w:hint="eastAsia" w:ascii="仿宋_GB2312" w:eastAsia="仿宋_GB2312"/>
          <w:sz w:val="32"/>
          <w:szCs w:val="32"/>
        </w:rPr>
        <w:t>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hAnsi="仿宋_GB2312" w:eastAsia="仿宋_GB2312" w:cs="仿宋_GB2312"/>
          <w:sz w:val="32"/>
          <w:szCs w:val="32"/>
        </w:rPr>
        <w:t>峨眉山市住房和城乡建设局</w:t>
      </w:r>
      <w:r>
        <w:rPr>
          <w:rFonts w:hint="eastAsia" w:ascii="仿宋_GB2312" w:hAnsi="仿宋_GB2312" w:eastAsia="仿宋_GB2312" w:cs="仿宋_GB2312"/>
          <w:sz w:val="32"/>
          <w:szCs w:val="32"/>
          <w:lang w:eastAsia="zh-CN"/>
        </w:rPr>
        <w:t>部门</w:t>
      </w:r>
      <w:r>
        <w:rPr>
          <w:rFonts w:hint="eastAsia" w:ascii="仿宋_GB2312" w:eastAsia="仿宋_GB2312"/>
          <w:sz w:val="32"/>
          <w:szCs w:val="32"/>
        </w:rPr>
        <w:t>共有车辆</w:t>
      </w:r>
      <w:r>
        <w:rPr>
          <w:rFonts w:hint="eastAsia" w:ascii="仿宋_GB2312" w:eastAsia="仿宋_GB2312"/>
          <w:sz w:val="32"/>
          <w:szCs w:val="32"/>
          <w:lang w:val="en-US" w:eastAsia="zh-CN"/>
        </w:rPr>
        <w:t>123</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2</w:t>
      </w:r>
      <w:r>
        <w:rPr>
          <w:rFonts w:hint="eastAsia" w:ascii="仿宋_GB2312" w:eastAsia="仿宋_GB2312"/>
          <w:sz w:val="32"/>
          <w:szCs w:val="32"/>
        </w:rPr>
        <w:t>辆、其他用车</w:t>
      </w:r>
      <w:r>
        <w:rPr>
          <w:rFonts w:hint="eastAsia" w:ascii="仿宋_GB2312" w:eastAsia="仿宋_GB2312"/>
          <w:sz w:val="32"/>
          <w:szCs w:val="32"/>
          <w:lang w:val="en-US" w:eastAsia="zh-CN"/>
        </w:rPr>
        <w:t>121</w:t>
      </w:r>
      <w:r>
        <w:rPr>
          <w:rFonts w:hint="eastAsia" w:ascii="仿宋_GB2312" w:eastAsia="仿宋_GB2312"/>
          <w:sz w:val="32"/>
          <w:szCs w:val="32"/>
        </w:rPr>
        <w:t>辆，</w:t>
      </w:r>
      <w:r>
        <w:rPr>
          <w:rFonts w:hint="eastAsia" w:ascii="仿宋" w:hAnsi="仿宋" w:eastAsia="仿宋" w:cs="仿宋"/>
          <w:color w:val="000000"/>
          <w:sz w:val="32"/>
          <w:szCs w:val="32"/>
        </w:rPr>
        <w:t>其他用车主要是市政基础设施管理、房地产业务管理、绿化亮化提升管理业务、城区环境卫生管理等。单价50万元以上通用设备0台（套），单价100万元以上专用设备0台（套）。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根据预算绩效管理要求，峨眉山市住房和城乡建设局</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在2022年度预算编制阶段，组织对</w:t>
      </w:r>
      <w:r>
        <w:rPr>
          <w:rFonts w:hint="eastAsia" w:ascii="仿宋_GB2312" w:hAnsi="仿宋_GB2312" w:eastAsia="仿宋_GB2312" w:cs="仿宋_GB2312"/>
          <w:sz w:val="32"/>
          <w:szCs w:val="32"/>
          <w:lang w:val="en-US" w:eastAsia="zh-CN"/>
        </w:rPr>
        <w:t>人员类经费、公用经费、老旧小区改造项目、棚户区（一期）改造项目、聘用人员经费、全市城乡路灯电费、白蚁防治经费、公共租赁住房租金补贴</w:t>
      </w:r>
      <w:r>
        <w:rPr>
          <w:rFonts w:hint="eastAsia" w:ascii="仿宋_GB2312" w:hAnsi="仿宋_GB2312" w:eastAsia="仿宋_GB2312" w:cs="仿宋_GB2312"/>
          <w:sz w:val="32"/>
          <w:szCs w:val="32"/>
        </w:rPr>
        <w:t>项目等</w:t>
      </w:r>
      <w:r>
        <w:rPr>
          <w:rFonts w:hint="eastAsia" w:ascii="仿宋_GB2312" w:hAnsi="仿宋_GB2312" w:eastAsia="仿宋_GB2312" w:cs="仿宋_GB2312"/>
          <w:sz w:val="32"/>
          <w:szCs w:val="32"/>
          <w:lang w:val="en-US" w:eastAsia="zh-CN"/>
        </w:rPr>
        <w:t>108</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107</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107</w:t>
      </w:r>
      <w:r>
        <w:rPr>
          <w:rFonts w:hint="eastAsia" w:ascii="仿宋_GB2312" w:hAnsi="仿宋_GB2312" w:eastAsia="仿宋_GB2312" w:cs="仿宋_GB2312"/>
          <w:sz w:val="32"/>
          <w:szCs w:val="32"/>
        </w:rPr>
        <w:t>个项目开展绩效监控。</w:t>
      </w:r>
    </w:p>
    <w:p>
      <w:pPr>
        <w:pStyle w:val="2"/>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组织对2022年度一般公共预算、政府性基金预算、国有资本经营预算、社会保险基金预算以及资本资产、债券资金等全面开展绩效自评，形成峨眉山市住房和城乡建设局</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整体（含部门预算项目）绩效自评报告、</w:t>
      </w:r>
      <w:r>
        <w:rPr>
          <w:rFonts w:hint="eastAsia" w:ascii="仿宋_GB2312" w:hAnsi="仿宋_GB2312" w:eastAsia="仿宋_GB2312" w:cs="仿宋_GB2312"/>
          <w:sz w:val="32"/>
          <w:szCs w:val="32"/>
          <w:lang w:val="en-US" w:eastAsia="zh-CN"/>
        </w:rPr>
        <w:t>2022年老旧小区改造项目、2022年公共租赁住房租金补贴</w:t>
      </w:r>
      <w:r>
        <w:rPr>
          <w:rFonts w:hint="eastAsia" w:ascii="仿宋_GB2312" w:hAnsi="仿宋_GB2312" w:eastAsia="仿宋_GB2312" w:cs="仿宋_GB2312"/>
          <w:sz w:val="32"/>
          <w:szCs w:val="32"/>
        </w:rPr>
        <w:t>等专项预算项目绩效自评报告，其中，峨眉山市住房和城乡建设局</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整体（含部门预算项目）绩效自评得分为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kern w:val="0"/>
          <w:sz w:val="32"/>
          <w:szCs w:val="32"/>
          <w:shd w:val="clear" w:color="auto" w:fill="FFFFFF"/>
          <w:lang w:val="zh-CN" w:eastAsia="zh-CN"/>
        </w:rPr>
        <w:t>202</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eastAsia="zh-CN"/>
        </w:rPr>
        <w:t>年峨眉山市住房和城乡建设局部门严格按照绩效目标的要求，合理安排使用资金，严格控制资金的计划、审批和使用，并按照进度要求及时与财政部门对接，发挥各项资金的最大绩效。</w:t>
      </w:r>
      <w:r>
        <w:rPr>
          <w:rFonts w:hint="eastAsia" w:ascii="仿宋_GB2312" w:hAnsi="仿宋_GB2312" w:eastAsia="仿宋_GB2312" w:cs="仿宋_GB2312"/>
          <w:sz w:val="32"/>
          <w:szCs w:val="32"/>
          <w:lang w:val="en-US" w:eastAsia="zh-CN"/>
        </w:rPr>
        <w:t>2022年老旧小区改造项目</w:t>
      </w:r>
      <w:r>
        <w:rPr>
          <w:rFonts w:hint="eastAsia" w:ascii="仿宋_GB2312" w:hAnsi="仿宋_GB2312" w:eastAsia="仿宋_GB2312" w:cs="仿宋_GB2312"/>
          <w:sz w:val="32"/>
          <w:szCs w:val="32"/>
        </w:rPr>
        <w:t>专项预算项目绩效自评得分为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编制了《</w:t>
      </w:r>
      <w:r>
        <w:rPr>
          <w:rFonts w:hint="eastAsia" w:ascii="仿宋_GB2312" w:hAnsi="仿宋_GB2312" w:eastAsia="仿宋_GB2312" w:cs="仿宋_GB2312"/>
          <w:color w:val="000000" w:themeColor="text1"/>
          <w:sz w:val="32"/>
          <w:szCs w:val="32"/>
          <w:lang w:eastAsia="zh-CN"/>
          <w14:textFill>
            <w14:solidFill>
              <w14:schemeClr w14:val="tx1"/>
            </w14:solidFill>
          </w14:textFill>
        </w:rPr>
        <w:t>峨眉山市城镇老旧小区改造专项资金管理暂行办法</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》、《预算执行、绩效监控机制》等资金管理办法，从资金筹集、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资金的拨付和管理、资金的使用、资金监督和管理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等方面进一步规范和加强城我市城镇老旧居住小区改造专项资金管理，提高资金使用效益，保障城镇老旧小区改造项目的顺利实施。</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对照项目资金管理办法，老旧小区改造项目严格执行财务管理制度、财务处理及时、会计核算规范。</w:t>
      </w:r>
      <w:r>
        <w:rPr>
          <w:rFonts w:hint="eastAsia" w:ascii="仿宋_GB2312" w:hAnsi="仿宋_GB2312" w:eastAsia="仿宋_GB2312" w:cs="仿宋_GB2312"/>
          <w:sz w:val="32"/>
          <w:szCs w:val="32"/>
          <w:lang w:val="en-US" w:eastAsia="zh-CN"/>
        </w:rPr>
        <w:t>2022年公共租赁住房租金补贴</w:t>
      </w:r>
      <w:r>
        <w:rPr>
          <w:rFonts w:hint="eastAsia" w:ascii="仿宋_GB2312" w:hAnsi="仿宋_GB2312" w:eastAsia="仿宋_GB2312" w:cs="仿宋_GB2312"/>
          <w:sz w:val="32"/>
          <w:szCs w:val="32"/>
        </w:rPr>
        <w:t>专项预算项目绩效自评得分为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按照项目资金管理办法，严格执行财务管理制度，财务处理及时，会计核算规范，确保项目资金专款专用，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完成2022年51户住房保障家庭租赁补贴发放。</w:t>
      </w:r>
      <w:r>
        <w:rPr>
          <w:rFonts w:hint="eastAsia" w:ascii="仿宋_GB2312" w:hAnsi="仿宋_GB2312" w:eastAsia="仿宋_GB2312" w:cs="仿宋_GB2312"/>
          <w:sz w:val="32"/>
          <w:szCs w:val="32"/>
        </w:rPr>
        <w:t>绩效自评报告详见附件。</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rPr>
      </w:pPr>
    </w:p>
    <w:p>
      <w:pPr>
        <w:pStyle w:val="2"/>
      </w:pPr>
    </w:p>
    <w:p>
      <w:pPr>
        <w:numPr>
          <w:ilvl w:val="0"/>
          <w:numId w:val="4"/>
        </w:numPr>
        <w:spacing w:line="600" w:lineRule="exact"/>
        <w:ind w:firstLine="660" w:firstLineChars="150"/>
        <w:jc w:val="center"/>
        <w:outlineLvl w:val="0"/>
        <w:rPr>
          <w:rStyle w:val="28"/>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8"/>
          <w:rFonts w:hint="eastAsia" w:ascii="黑体" w:hAnsi="黑体" w:eastAsia="黑体"/>
          <w:b w:val="0"/>
        </w:rPr>
        <w:t>词解释</w:t>
      </w:r>
      <w:bookmarkEnd w:id="49"/>
      <w:bookmarkEnd w:id="50"/>
    </w:p>
    <w:p>
      <w:pPr>
        <w:spacing w:line="600" w:lineRule="exact"/>
        <w:jc w:val="left"/>
        <w:rPr>
          <w:rFonts w:ascii="宋体"/>
          <w:b/>
          <w:sz w:val="44"/>
          <w:szCs w:val="44"/>
        </w:rPr>
      </w:pP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hAnsi="Calibri" w:cs="仿宋"/>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国防支出(类)国防动员(款)人民防空(项): 指反映人民防空工程建设、宣传等方面支出。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10.</w:t>
      </w:r>
      <w:r>
        <w:rPr>
          <w:rFonts w:hint="eastAsia" w:ascii="仿宋_GB2312" w:hAnsi="Calibri" w:eastAsia="仿宋_GB2312" w:cs="仿宋"/>
          <w:kern w:val="0"/>
          <w:sz w:val="32"/>
          <w:szCs w:val="32"/>
        </w:rPr>
        <w:t>社会保障和就业支出(类)行政事业单位养老支出(款)机关事业单位基本养老保险缴费支出(项):指反映机关事业单位实施养老保险制度由单位缴纳的基本养老保险费支出。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11.</w:t>
      </w:r>
      <w:r>
        <w:rPr>
          <w:rFonts w:hint="eastAsia" w:ascii="仿宋_GB2312" w:hAnsi="Calibri" w:eastAsia="仿宋_GB2312" w:cs="仿宋"/>
          <w:kern w:val="0"/>
          <w:sz w:val="32"/>
          <w:szCs w:val="32"/>
        </w:rPr>
        <w:t>社会保障和就业支出(类)行政事业单位养老支出(款)机关事业单位职业年金缴费支出(项):指反映机关事业单位实施养老保险制度由单位实际缴纳的职业年金支出。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12.</w:t>
      </w:r>
      <w:r>
        <w:rPr>
          <w:rFonts w:hint="eastAsia" w:ascii="仿宋_GB2312" w:hAnsi="Calibri" w:eastAsia="仿宋_GB2312" w:cs="仿宋"/>
          <w:kern w:val="0"/>
          <w:sz w:val="32"/>
          <w:szCs w:val="32"/>
        </w:rPr>
        <w:t>社会保障和就业支出(类)抚恤(款)死亡抚恤(项):指反映按规定用于烈士和牺牲、病故人员家属的一次性和定期抚恤金以及丧葬补助费。</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w:t>
      </w:r>
      <w:r>
        <w:rPr>
          <w:rFonts w:hint="eastAsia" w:ascii="仿宋_GB2312" w:hAnsi="Calibri" w:eastAsia="仿宋_GB2312" w:cs="仿宋"/>
          <w:kern w:val="0"/>
          <w:sz w:val="32"/>
          <w:szCs w:val="32"/>
          <w:lang w:val="en-US" w:eastAsia="zh-CN"/>
        </w:rPr>
        <w:t>13.</w:t>
      </w:r>
      <w:r>
        <w:rPr>
          <w:rFonts w:hint="eastAsia" w:ascii="仿宋_GB2312" w:hAnsi="Calibri" w:eastAsia="仿宋_GB2312" w:cs="仿宋"/>
          <w:kern w:val="0"/>
          <w:sz w:val="32"/>
          <w:szCs w:val="32"/>
        </w:rPr>
        <w:t>社会保障和就业支出(类)抚恤(款)其他优抚支出(项):指反映除上述项目以外其他用于优抚方面的支出。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14.</w:t>
      </w:r>
      <w:r>
        <w:rPr>
          <w:rFonts w:hint="eastAsia" w:ascii="仿宋_GB2312" w:hAnsi="Calibri" w:eastAsia="仿宋_GB2312" w:cs="仿宋"/>
          <w:kern w:val="0"/>
          <w:sz w:val="32"/>
          <w:szCs w:val="32"/>
        </w:rPr>
        <w:t>社会保障和就业支出(类)其他社会保障和就业支出(款)其他社会保障和就业支出（项）：指反映上述项目以外其他用于社会保障和就业方面的支出。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w:t>
      </w:r>
      <w:r>
        <w:rPr>
          <w:rFonts w:hint="eastAsia" w:ascii="仿宋_GB2312" w:hAnsi="Calibri" w:eastAsia="仿宋_GB2312" w:cs="仿宋"/>
          <w:kern w:val="0"/>
          <w:sz w:val="32"/>
          <w:szCs w:val="32"/>
          <w:lang w:val="en-US" w:eastAsia="zh-CN"/>
        </w:rPr>
        <w:t>15.</w:t>
      </w:r>
      <w:r>
        <w:rPr>
          <w:rFonts w:hint="eastAsia" w:ascii="仿宋_GB2312" w:hAnsi="Calibri" w:eastAsia="仿宋_GB2312" w:cs="仿宋"/>
          <w:kern w:val="0"/>
          <w:sz w:val="32"/>
          <w:szCs w:val="32"/>
        </w:rPr>
        <w:t>卫生健康支出(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w:t>
      </w:r>
      <w:r>
        <w:rPr>
          <w:rFonts w:hint="eastAsia" w:ascii="仿宋_GB2312" w:hAnsi="Calibri" w:eastAsia="仿宋_GB2312" w:cs="仿宋"/>
          <w:kern w:val="0"/>
          <w:sz w:val="32"/>
          <w:szCs w:val="32"/>
          <w:lang w:val="en-US" w:eastAsia="zh-CN"/>
        </w:rPr>
        <w:t xml:space="preserve"> </w:t>
      </w:r>
      <w:r>
        <w:rPr>
          <w:rFonts w:hint="eastAsia" w:ascii="仿宋_GB2312" w:hAnsi="Calibri" w:eastAsia="仿宋_GB2312" w:cs="仿宋"/>
          <w:kern w:val="0"/>
          <w:sz w:val="32"/>
          <w:szCs w:val="32"/>
        </w:rPr>
        <w:t xml:space="preserve"> </w:t>
      </w:r>
      <w:r>
        <w:rPr>
          <w:rFonts w:hint="eastAsia" w:ascii="仿宋_GB2312" w:hAnsi="Calibri" w:eastAsia="仿宋_GB2312" w:cs="仿宋"/>
          <w:kern w:val="0"/>
          <w:sz w:val="32"/>
          <w:szCs w:val="32"/>
          <w:lang w:val="en-US" w:eastAsia="zh-CN"/>
        </w:rPr>
        <w:t>16.</w:t>
      </w:r>
      <w:r>
        <w:rPr>
          <w:rFonts w:hint="eastAsia" w:ascii="仿宋_GB2312" w:hAnsi="Calibri" w:eastAsia="仿宋_GB2312" w:cs="仿宋"/>
          <w:kern w:val="0"/>
          <w:sz w:val="32"/>
          <w:szCs w:val="32"/>
        </w:rPr>
        <w:t>卫生健康支出(类)行政事业单位医疗(款)事业单位医疗(项):指反映财政部门安排的事业单位基本医疗保险缴费经费,未参加医疗保险的事业单位的公费医疗经费,按国家规定享受离休人员待遇人员的医疗经费。</w:t>
      </w:r>
    </w:p>
    <w:p>
      <w:pPr>
        <w:keepNext w:val="0"/>
        <w:keepLines w:val="0"/>
        <w:pageBreakBefore w:val="0"/>
        <w:widowControl w:val="0"/>
        <w:kinsoku/>
        <w:wordWrap/>
        <w:overflowPunct/>
        <w:topLinePunct w:val="0"/>
        <w:bidi w:val="0"/>
        <w:snapToGrid/>
        <w:spacing w:line="600" w:lineRule="exact"/>
        <w:ind w:firstLine="640" w:firstLineChars="200"/>
        <w:textAlignment w:val="auto"/>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17.</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卫生健康（类）行政事业单位医疗（款）</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公务员医疗补助</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（项）:指反映财政部门安排的</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公务员医疗补助经费。</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Calibri" w:eastAsia="仿宋_GB2312" w:cs="仿宋"/>
          <w:kern w:val="0"/>
          <w:sz w:val="32"/>
          <w:szCs w:val="32"/>
        </w:rPr>
      </w:pPr>
      <w:r>
        <w:rPr>
          <w:rStyle w:val="17"/>
          <w:rFonts w:hint="eastAsia" w:hAnsi="仿宋_GB2312" w:cs="仿宋_GB2312"/>
          <w:b w:val="0"/>
          <w:bCs/>
          <w:color w:val="000000" w:themeColor="text1"/>
          <w:kern w:val="2"/>
          <w:sz w:val="32"/>
          <w:szCs w:val="32"/>
          <w:lang w:val="en-US" w:eastAsia="zh-CN" w:bidi="ar-SA"/>
          <w14:textFill>
            <w14:solidFill>
              <w14:schemeClr w14:val="tx1"/>
            </w14:solidFill>
          </w14:textFill>
        </w:rPr>
        <w:t>18.</w:t>
      </w:r>
      <w:r>
        <w:rPr>
          <w:rStyle w:val="17"/>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节能环保支出（类）污染防治（款）水体（项）:</w:t>
      </w:r>
      <w:r>
        <w:rPr>
          <w:rStyle w:val="17"/>
          <w:rFonts w:hint="eastAsia" w:hAnsi="仿宋_GB2312" w:cs="仿宋_GB2312"/>
          <w:b w:val="0"/>
          <w:bCs/>
          <w:color w:val="000000" w:themeColor="text1"/>
          <w:kern w:val="2"/>
          <w:sz w:val="32"/>
          <w:szCs w:val="32"/>
          <w:lang w:val="en-US" w:eastAsia="zh-CN" w:bidi="ar-SA"/>
          <w14:textFill>
            <w14:solidFill>
              <w14:schemeClr w14:val="tx1"/>
            </w14:solidFill>
          </w14:textFill>
        </w:rPr>
        <w:t>指反映政府在排水、污水处理、水污染防治、湖库生态环境保护、水源地保护、国土江河综合整治、河流治理与保护、地下水修复与保护等方面的支出。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w:t>
      </w:r>
      <w:r>
        <w:rPr>
          <w:rFonts w:hint="eastAsia" w:hAnsi="Calibri" w:cs="仿宋"/>
          <w:kern w:val="0"/>
          <w:sz w:val="32"/>
          <w:szCs w:val="32"/>
          <w:lang w:val="en-US" w:eastAsia="zh-CN"/>
        </w:rPr>
        <w:t xml:space="preserve"> 19.</w:t>
      </w:r>
      <w:r>
        <w:rPr>
          <w:rFonts w:hint="eastAsia" w:ascii="仿宋_GB2312" w:hAnsi="Calibri" w:eastAsia="仿宋_GB2312" w:cs="仿宋"/>
          <w:kern w:val="0"/>
          <w:sz w:val="32"/>
          <w:szCs w:val="32"/>
        </w:rPr>
        <w:t>城乡社区支出(类)城乡社区管理事务(款)行政运行(项):指反映行政单位(包括实行公务员管理的事业单位)的基本支出。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w:t>
      </w:r>
      <w:r>
        <w:rPr>
          <w:rFonts w:hint="eastAsia" w:hAnsi="Calibri" w:cs="仿宋"/>
          <w:kern w:val="0"/>
          <w:sz w:val="32"/>
          <w:szCs w:val="32"/>
          <w:lang w:val="en-US" w:eastAsia="zh-CN"/>
        </w:rPr>
        <w:t xml:space="preserve">  </w:t>
      </w:r>
      <w:r>
        <w:rPr>
          <w:rFonts w:hint="eastAsia" w:ascii="仿宋_GB2312" w:hAnsi="Calibri" w:eastAsia="仿宋_GB2312" w:cs="仿宋"/>
          <w:kern w:val="0"/>
          <w:sz w:val="32"/>
          <w:szCs w:val="32"/>
        </w:rPr>
        <w:t xml:space="preserve"> </w:t>
      </w:r>
      <w:r>
        <w:rPr>
          <w:rFonts w:hint="eastAsia" w:hAnsi="Calibri" w:cs="仿宋"/>
          <w:kern w:val="0"/>
          <w:sz w:val="32"/>
          <w:szCs w:val="32"/>
          <w:lang w:val="en-US" w:eastAsia="zh-CN"/>
        </w:rPr>
        <w:t>20.</w:t>
      </w:r>
      <w:r>
        <w:rPr>
          <w:rFonts w:hint="eastAsia" w:ascii="仿宋_GB2312" w:hAnsi="Calibri" w:eastAsia="仿宋_GB2312" w:cs="仿宋"/>
          <w:kern w:val="0"/>
          <w:sz w:val="32"/>
          <w:szCs w:val="32"/>
        </w:rPr>
        <w:t>城乡社区支出(类)城乡社区管理事务(款)一般行政管理事务(项):指反映行政单位(包括实行公务员管理的事业单位)未单独设置项级科目的其他项目支出。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w:t>
      </w:r>
      <w:r>
        <w:rPr>
          <w:rFonts w:hint="eastAsia" w:hAnsi="Calibri" w:cs="仿宋"/>
          <w:kern w:val="0"/>
          <w:sz w:val="32"/>
          <w:szCs w:val="32"/>
          <w:lang w:val="en-US" w:eastAsia="zh-CN"/>
        </w:rPr>
        <w:t xml:space="preserve"> </w:t>
      </w:r>
      <w:r>
        <w:rPr>
          <w:rFonts w:hint="eastAsia" w:ascii="仿宋_GB2312" w:hAnsi="Calibri" w:eastAsia="仿宋_GB2312" w:cs="仿宋"/>
          <w:kern w:val="0"/>
          <w:sz w:val="32"/>
          <w:szCs w:val="32"/>
        </w:rPr>
        <w:t xml:space="preserve"> </w:t>
      </w:r>
      <w:r>
        <w:rPr>
          <w:rFonts w:hint="eastAsia" w:hAnsi="Calibri" w:cs="仿宋"/>
          <w:kern w:val="0"/>
          <w:sz w:val="32"/>
          <w:szCs w:val="32"/>
          <w:lang w:val="en-US" w:eastAsia="zh-CN"/>
        </w:rPr>
        <w:t>21.</w:t>
      </w:r>
      <w:r>
        <w:rPr>
          <w:rFonts w:hint="eastAsia" w:ascii="仿宋_GB2312" w:hAnsi="Calibri" w:eastAsia="仿宋_GB2312" w:cs="仿宋"/>
          <w:kern w:val="0"/>
          <w:sz w:val="32"/>
          <w:szCs w:val="32"/>
        </w:rPr>
        <w:t>城乡社区支出(类)城乡社区管理事务(款)住宅建设与房地产市场监管(项):指反映调控房地产市场运行、研究拟定城镇住房制度改革法规、对住房公积金和其他房改资金进行政策指导并监督使用等方面的支出。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w:t>
      </w:r>
      <w:r>
        <w:rPr>
          <w:rFonts w:hint="eastAsia" w:hAnsi="Calibri" w:cs="仿宋"/>
          <w:kern w:val="0"/>
          <w:sz w:val="32"/>
          <w:szCs w:val="32"/>
          <w:lang w:val="en-US" w:eastAsia="zh-CN"/>
        </w:rPr>
        <w:t xml:space="preserve">  22.</w:t>
      </w:r>
      <w:r>
        <w:rPr>
          <w:rFonts w:hint="eastAsia" w:ascii="仿宋_GB2312" w:hAnsi="Calibri" w:eastAsia="仿宋_GB2312" w:cs="仿宋"/>
          <w:kern w:val="0"/>
          <w:sz w:val="32"/>
          <w:szCs w:val="32"/>
        </w:rPr>
        <w:t>城乡社区支出(类)城乡社区管理事务(款)其他城乡社区管理事务支出(项):指反映除上述项目以外其他用于其他城乡社区管理事务方面的支出。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23.</w:t>
      </w:r>
      <w:r>
        <w:rPr>
          <w:rFonts w:hint="eastAsia" w:ascii="仿宋_GB2312" w:hAnsi="Calibri" w:eastAsia="仿宋_GB2312" w:cs="仿宋"/>
          <w:kern w:val="0"/>
          <w:sz w:val="32"/>
          <w:szCs w:val="32"/>
        </w:rPr>
        <w:t xml:space="preserve">城乡社区支出(类)城乡社区公共设施(款)其他城乡社区公共设施支出(项):指反映除上述项目以外其他用于城乡公共设施方面的支出。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24.</w:t>
      </w:r>
      <w:r>
        <w:rPr>
          <w:rFonts w:hint="eastAsia" w:ascii="仿宋_GB2312" w:hAnsi="Calibri" w:eastAsia="仿宋_GB2312" w:cs="仿宋"/>
          <w:kern w:val="0"/>
          <w:sz w:val="32"/>
          <w:szCs w:val="32"/>
        </w:rPr>
        <w:t>城乡社区支出(类)城乡社区环境卫生(款)城乡社区环境卫生（项):指反映除城乡社区道路清扫、垃圾清运与处理、公厕建设与维护、园林绿化等方面的支出。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25.</w:t>
      </w:r>
      <w:r>
        <w:rPr>
          <w:rFonts w:hint="eastAsia" w:ascii="仿宋_GB2312" w:hAnsi="Calibri" w:eastAsia="仿宋_GB2312" w:cs="仿宋"/>
          <w:kern w:val="0"/>
          <w:sz w:val="32"/>
          <w:szCs w:val="32"/>
        </w:rPr>
        <w:t>城乡社区支出（类）建设市场管理与监督（款）建设市场管理与监督（项）：指反映各类建筑工程强制性和推荐性标准及规范的制定与修改、建筑工程招投标等市场管理、建筑工程质量与安全监督等方面的支出。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Calibri" w:eastAsia="仿宋_GB2312" w:cs="仿宋"/>
          <w:kern w:val="0"/>
          <w:sz w:val="32"/>
          <w:szCs w:val="32"/>
          <w:lang w:eastAsia="zh-CN"/>
        </w:rPr>
      </w:pPr>
      <w:r>
        <w:rPr>
          <w:rFonts w:hint="eastAsia" w:ascii="仿宋_GB2312" w:hAnsi="Calibri" w:eastAsia="仿宋_GB2312" w:cs="仿宋"/>
          <w:kern w:val="0"/>
          <w:sz w:val="32"/>
          <w:szCs w:val="32"/>
          <w:lang w:val="en-US" w:eastAsia="zh-CN"/>
        </w:rPr>
        <w:t>26.</w:t>
      </w:r>
      <w:r>
        <w:rPr>
          <w:rFonts w:hint="eastAsia" w:ascii="仿宋_GB2312" w:hAnsi="Calibri" w:eastAsia="仿宋_GB2312" w:cs="仿宋"/>
          <w:kern w:val="0"/>
          <w:sz w:val="32"/>
          <w:szCs w:val="32"/>
        </w:rPr>
        <w:t>城乡社区支出(类)国有土地使用权出让收入安排的支出(款)</w:t>
      </w:r>
      <w:r>
        <w:rPr>
          <w:rFonts w:hint="eastAsia" w:ascii="仿宋_GB2312" w:hAnsi="Calibri" w:eastAsia="仿宋_GB2312" w:cs="仿宋"/>
          <w:kern w:val="0"/>
          <w:sz w:val="32"/>
          <w:szCs w:val="32"/>
          <w:lang w:eastAsia="zh-CN"/>
        </w:rPr>
        <w:t>征地和拆迁补偿支出</w:t>
      </w:r>
      <w:r>
        <w:rPr>
          <w:rFonts w:hint="eastAsia" w:ascii="仿宋_GB2312" w:hAnsi="Calibri" w:eastAsia="仿宋_GB2312" w:cs="仿宋"/>
          <w:kern w:val="0"/>
          <w:sz w:val="32"/>
          <w:szCs w:val="32"/>
        </w:rPr>
        <w:t>(项):指反映</w:t>
      </w:r>
      <w:r>
        <w:rPr>
          <w:rFonts w:hint="eastAsia" w:ascii="仿宋_GB2312" w:hAnsi="Calibri" w:eastAsia="仿宋_GB2312" w:cs="仿宋"/>
          <w:kern w:val="0"/>
          <w:sz w:val="32"/>
          <w:szCs w:val="32"/>
          <w:lang w:eastAsia="zh-CN"/>
        </w:rPr>
        <w:t>新疆生产建设兵团和地方政府在征地和收购土地过程中支付的土地补偿费、安置补助费、地上附着和青苗补偿费、拆迁补偿费支出。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27.</w:t>
      </w:r>
      <w:r>
        <w:rPr>
          <w:rFonts w:hint="eastAsia" w:ascii="仿宋_GB2312" w:hAnsi="Calibri" w:eastAsia="仿宋_GB2312" w:cs="仿宋"/>
          <w:kern w:val="0"/>
          <w:sz w:val="32"/>
          <w:szCs w:val="32"/>
        </w:rPr>
        <w:t>城乡社区支出(类)国有土地使用权出让收入安排的支出(款)土地开发支出(项):指反映新疆建设兵团和地方政府用于前期土地开发性支出以及前期土地开发相关的费用等支出。</w:t>
      </w:r>
    </w:p>
    <w:p>
      <w:pPr>
        <w:keepNext w:val="0"/>
        <w:keepLines w:val="0"/>
        <w:pageBreakBefore w:val="0"/>
        <w:widowControl w:val="0"/>
        <w:kinsoku/>
        <w:wordWrap/>
        <w:overflowPunct/>
        <w:topLinePunct w:val="0"/>
        <w:bidi w:val="0"/>
        <w:snapToGrid/>
        <w:spacing w:line="600" w:lineRule="exact"/>
        <w:ind w:firstLine="640" w:firstLineChars="200"/>
        <w:textAlignment w:val="auto"/>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Calibri" w:eastAsia="仿宋_GB2312" w:cs="仿宋"/>
          <w:kern w:val="0"/>
          <w:sz w:val="32"/>
          <w:szCs w:val="32"/>
          <w:lang w:val="en-US" w:eastAsia="zh-CN"/>
        </w:rPr>
        <w:t>28.</w:t>
      </w:r>
      <w:r>
        <w:rPr>
          <w:rFonts w:hint="eastAsia" w:ascii="仿宋_GB2312" w:hAnsi="Calibri" w:eastAsia="仿宋_GB2312" w:cs="仿宋"/>
          <w:kern w:val="0"/>
          <w:sz w:val="32"/>
          <w:szCs w:val="32"/>
        </w:rPr>
        <w:t>城乡社区支出(类)国有土地使用权出让收入安排的支出(款)城市建设支出(项):指反映土地出让收入用于完善国有土地使用功能的配套设施建设和城市基础设施建设支出。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w:t>
      </w:r>
      <w:r>
        <w:rPr>
          <w:rFonts w:hint="eastAsia" w:ascii="仿宋_GB2312" w:hAnsi="Calibri" w:eastAsia="仿宋_GB2312" w:cs="仿宋"/>
          <w:kern w:val="0"/>
          <w:sz w:val="32"/>
          <w:szCs w:val="32"/>
          <w:lang w:val="en-US" w:eastAsia="zh-CN"/>
        </w:rPr>
        <w:t xml:space="preserve">  29.</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城乡社区支出(类)国有土地使用权出让收入安排的支出(款)</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农村基础设施建设支出</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(项):指反映</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土地出让收入用于农村供水保障、村庄公共设施建设和管护以及与农业农村直接相关的以工代赈等方面的支出。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Style w:val="1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7"/>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30.</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城乡社区支出(类)国有土地使用权出让收入安排的支出(款)棚户区改造支出(项):指反映土地出让收入按规定用于城市和国有工矿棚户区改造的支出。</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lang w:eastAsia="zh-CN"/>
        </w:rPr>
      </w:pPr>
      <w:r>
        <w:rPr>
          <w:rStyle w:val="17"/>
          <w:rFonts w:hint="eastAsia" w:hAnsi="仿宋_GB2312" w:cs="仿宋_GB2312"/>
          <w:b w:val="0"/>
          <w:bCs/>
          <w:color w:val="000000" w:themeColor="text1"/>
          <w:kern w:val="2"/>
          <w:sz w:val="32"/>
          <w:szCs w:val="32"/>
          <w:lang w:val="en-US" w:eastAsia="zh-CN" w:bidi="ar-SA"/>
          <w14:textFill>
            <w14:solidFill>
              <w14:schemeClr w14:val="tx1"/>
            </w14:solidFill>
          </w14:textFill>
        </w:rPr>
        <w:t>31.</w:t>
      </w:r>
      <w:r>
        <w:rPr>
          <w:rStyle w:val="17"/>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城乡社区支出(类)国有土地使用权出让收入安排的支出(款)农业农村生态环境支出(项):指反映土地出让收入用于农村人居环境整治、与农业农村直接相关的山水林田湖草生态保护修复等方面的支出。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32.</w:t>
      </w:r>
      <w:r>
        <w:rPr>
          <w:rFonts w:hint="eastAsia" w:ascii="仿宋_GB2312" w:hAnsi="Calibri" w:eastAsia="仿宋_GB2312" w:cs="仿宋"/>
          <w:kern w:val="0"/>
          <w:sz w:val="32"/>
          <w:szCs w:val="32"/>
        </w:rPr>
        <w:t>城乡社区支出(类)国有土地使用权出让收入安排的支出(款)其他国有土地使用权出让收入安排的支出(项):指反映土地出让收入用于其他方面的支出。不包括市县级政府当年按规定用土地出让收入向中央和省级政府缴纳的新增建设用地土地有偿使用费的支出。</w:t>
      </w:r>
    </w:p>
    <w:p>
      <w:pPr>
        <w:pStyle w:val="2"/>
        <w:keepNext w:val="0"/>
        <w:keepLines w:val="0"/>
        <w:pageBreakBefore w:val="0"/>
        <w:widowControl w:val="0"/>
        <w:kinsoku/>
        <w:wordWrap/>
        <w:overflowPunct/>
        <w:topLinePunct w:val="0"/>
        <w:bidi w:val="0"/>
        <w:snapToGrid/>
        <w:spacing w:before="93" w:line="600" w:lineRule="exact"/>
        <w:ind w:firstLine="640" w:firstLineChars="200"/>
        <w:textAlignment w:val="auto"/>
        <w:rPr>
          <w:rFonts w:hAnsi="Calibri" w:cs="仿宋"/>
          <w:sz w:val="32"/>
          <w:szCs w:val="32"/>
        </w:rPr>
      </w:pPr>
      <w:r>
        <w:rPr>
          <w:rFonts w:hint="eastAsia" w:hAnsi="Calibri" w:cs="仿宋"/>
          <w:sz w:val="32"/>
          <w:szCs w:val="32"/>
          <w:lang w:val="en-US" w:eastAsia="zh-CN"/>
        </w:rPr>
        <w:t>33.</w:t>
      </w:r>
      <w:r>
        <w:rPr>
          <w:rFonts w:hint="eastAsia" w:hAnsi="Calibri" w:cs="仿宋"/>
          <w:sz w:val="32"/>
          <w:szCs w:val="32"/>
        </w:rPr>
        <w:t>城乡社区支出(类)国有土地收益基金安排的支出(款)其他国有土地收益基金安排的支出(项):指反映从国有土地收益基金安排用于其他支出。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34.</w:t>
      </w:r>
      <w:r>
        <w:rPr>
          <w:rFonts w:hint="eastAsia" w:ascii="仿宋_GB2312" w:hAnsi="Calibri" w:eastAsia="仿宋_GB2312" w:cs="仿宋"/>
          <w:kern w:val="0"/>
          <w:sz w:val="32"/>
          <w:szCs w:val="32"/>
        </w:rPr>
        <w:t>城乡社区支出(类)城市基础设施配套费安排的支出(款)城市公共设施(项):指反映城市基础设施配套费安排用于城市道路、桥涵、公共交通、道路照明、供排水、燃气、供热等公共设施维护、建设和管理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35.</w:t>
      </w:r>
      <w:r>
        <w:rPr>
          <w:rFonts w:hint="eastAsia" w:ascii="仿宋_GB2312" w:hAnsi="Calibri" w:eastAsia="仿宋_GB2312" w:cs="仿宋"/>
          <w:kern w:val="0"/>
          <w:sz w:val="32"/>
          <w:szCs w:val="32"/>
        </w:rPr>
        <w:t>城乡社区支出(类)城市基础设施配套费安排的支出(款)城市环境卫生(项):指反映城市基础设施配套费安排用于道路清扫、垃圾清运与处理、污水处理、园林绿化等方面的支出。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w:t>
      </w:r>
      <w:r>
        <w:rPr>
          <w:rFonts w:hint="eastAsia" w:ascii="仿宋_GB2312" w:hAnsi="Calibri" w:eastAsia="仿宋_GB2312" w:cs="仿宋"/>
          <w:kern w:val="0"/>
          <w:sz w:val="32"/>
          <w:szCs w:val="32"/>
          <w:lang w:val="en-US" w:eastAsia="zh-CN"/>
        </w:rPr>
        <w:t xml:space="preserve"> 36.</w:t>
      </w:r>
      <w:r>
        <w:rPr>
          <w:rFonts w:hint="eastAsia" w:ascii="仿宋_GB2312" w:hAnsi="Calibri" w:eastAsia="仿宋_GB2312" w:cs="仿宋"/>
          <w:kern w:val="0"/>
          <w:sz w:val="32"/>
          <w:szCs w:val="32"/>
        </w:rPr>
        <w:t>城乡社区支出(类)城市基础设施配套费安排的支出(款)其他城市基础设施配套费安排的支出(项):指反映上述项目以外的城市基础设施配套费支出。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w:t>
      </w:r>
      <w:r>
        <w:rPr>
          <w:rFonts w:hint="eastAsia" w:ascii="仿宋_GB2312" w:hAnsi="Calibri" w:eastAsia="仿宋_GB2312" w:cs="仿宋"/>
          <w:kern w:val="0"/>
          <w:sz w:val="32"/>
          <w:szCs w:val="32"/>
          <w:lang w:val="en-US" w:eastAsia="zh-CN"/>
        </w:rPr>
        <w:t>37.</w:t>
      </w:r>
      <w:r>
        <w:rPr>
          <w:rFonts w:hint="eastAsia" w:ascii="仿宋_GB2312" w:hAnsi="Calibri" w:eastAsia="仿宋_GB2312" w:cs="仿宋"/>
          <w:kern w:val="0"/>
          <w:sz w:val="32"/>
          <w:szCs w:val="32"/>
        </w:rPr>
        <w:t>城乡社区支出(类)污水处理费安排的支出(款)污水处理</w:t>
      </w:r>
      <w:r>
        <w:rPr>
          <w:rFonts w:hint="eastAsia" w:ascii="仿宋_GB2312" w:hAnsi="Calibri" w:eastAsia="仿宋_GB2312" w:cs="仿宋"/>
          <w:kern w:val="0"/>
          <w:sz w:val="32"/>
          <w:szCs w:val="32"/>
          <w:lang w:eastAsia="zh-CN"/>
        </w:rPr>
        <w:t>设施建设和运营</w:t>
      </w:r>
      <w:r>
        <w:rPr>
          <w:rFonts w:hint="eastAsia" w:ascii="仿宋_GB2312" w:hAnsi="Calibri" w:eastAsia="仿宋_GB2312" w:cs="仿宋"/>
          <w:kern w:val="0"/>
          <w:sz w:val="32"/>
          <w:szCs w:val="32"/>
        </w:rPr>
        <w:t>(项):指反映用污水处理费安排的用于污水处理设施建设和运营方面的支出。</w:t>
      </w:r>
    </w:p>
    <w:p>
      <w:pPr>
        <w:pStyle w:val="2"/>
        <w:keepNext w:val="0"/>
        <w:keepLines w:val="0"/>
        <w:pageBreakBefore w:val="0"/>
        <w:widowControl w:val="0"/>
        <w:kinsoku/>
        <w:wordWrap/>
        <w:overflowPunct/>
        <w:topLinePunct w:val="0"/>
        <w:bidi w:val="0"/>
        <w:snapToGrid/>
        <w:spacing w:before="93" w:line="600" w:lineRule="exact"/>
        <w:ind w:firstLine="640" w:firstLineChars="200"/>
        <w:textAlignment w:val="auto"/>
        <w:rPr>
          <w:rFonts w:hint="eastAsia" w:hAnsi="Calibri" w:cs="仿宋"/>
          <w:sz w:val="32"/>
          <w:szCs w:val="32"/>
        </w:rPr>
      </w:pPr>
      <w:r>
        <w:rPr>
          <w:rFonts w:hint="eastAsia" w:hAnsi="Calibri" w:cs="仿宋"/>
          <w:sz w:val="32"/>
          <w:szCs w:val="32"/>
          <w:lang w:val="en-US" w:eastAsia="zh-CN"/>
        </w:rPr>
        <w:t>38.</w:t>
      </w:r>
      <w:r>
        <w:rPr>
          <w:rFonts w:hint="eastAsia" w:hAnsi="Calibri" w:cs="仿宋"/>
          <w:sz w:val="32"/>
          <w:szCs w:val="32"/>
        </w:rPr>
        <w:t>城乡社区支出(类)其他城乡社区支出（款）其他城乡社区支出（项）:指反映上述项目以外其他用于城乡社区方面的支出。</w:t>
      </w:r>
    </w:p>
    <w:p>
      <w:pPr>
        <w:pStyle w:val="2"/>
        <w:keepNext w:val="0"/>
        <w:keepLines w:val="0"/>
        <w:pageBreakBefore w:val="0"/>
        <w:widowControl w:val="0"/>
        <w:kinsoku/>
        <w:wordWrap/>
        <w:overflowPunct/>
        <w:topLinePunct w:val="0"/>
        <w:bidi w:val="0"/>
        <w:snapToGrid/>
        <w:spacing w:before="93" w:line="600" w:lineRule="exact"/>
        <w:ind w:firstLine="640" w:firstLineChars="200"/>
        <w:textAlignment w:val="auto"/>
        <w:rPr>
          <w:rFonts w:hint="eastAsia" w:hAnsi="Calibri" w:cs="仿宋"/>
          <w:sz w:val="32"/>
          <w:szCs w:val="32"/>
        </w:rPr>
      </w:pPr>
      <w:r>
        <w:rPr>
          <w:rStyle w:val="17"/>
          <w:rFonts w:hint="eastAsia" w:hAnsi="仿宋_GB2312" w:cs="仿宋_GB2312"/>
          <w:b w:val="0"/>
          <w:bCs/>
          <w:color w:val="000000" w:themeColor="text1"/>
          <w:sz w:val="32"/>
          <w:szCs w:val="32"/>
          <w:lang w:val="en-US" w:eastAsia="zh-CN"/>
          <w14:textFill>
            <w14:solidFill>
              <w14:schemeClr w14:val="tx1"/>
            </w14:solidFill>
          </w14:textFill>
        </w:rPr>
        <w:t>39.</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住房保障支出（类）保障性安居工程支出（款）</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棚户区</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改造（项）:指反映用于</w:t>
      </w:r>
      <w:r>
        <w:rPr>
          <w:rStyle w:val="17"/>
          <w:rFonts w:hint="eastAsia" w:ascii="仿宋_GB2312" w:hAnsi="仿宋_GB2312" w:eastAsia="仿宋_GB2312" w:cs="仿宋_GB2312"/>
          <w:b w:val="0"/>
          <w:bCs/>
          <w:color w:val="000000" w:themeColor="text1"/>
          <w:sz w:val="32"/>
          <w:szCs w:val="32"/>
          <w:lang w:eastAsia="zh-CN"/>
          <w14:textFill>
            <w14:solidFill>
              <w14:schemeClr w14:val="tx1"/>
            </w14:solidFill>
          </w14:textFill>
        </w:rPr>
        <w:t>棚户区</w:t>
      </w:r>
      <w:r>
        <w:rPr>
          <w:rStyle w:val="17"/>
          <w:rFonts w:hint="eastAsia" w:ascii="仿宋_GB2312" w:hAnsi="仿宋_GB2312" w:eastAsia="仿宋_GB2312" w:cs="仿宋_GB2312"/>
          <w:b w:val="0"/>
          <w:bCs/>
          <w:color w:val="000000" w:themeColor="text1"/>
          <w:sz w:val="32"/>
          <w:szCs w:val="32"/>
          <w14:textFill>
            <w14:solidFill>
              <w14:schemeClr w14:val="tx1"/>
            </w14:solidFill>
          </w14:textFill>
        </w:rPr>
        <w:t>改造方面的支出。</w:t>
      </w:r>
    </w:p>
    <w:p>
      <w:pPr>
        <w:pStyle w:val="2"/>
        <w:keepNext w:val="0"/>
        <w:keepLines w:val="0"/>
        <w:pageBreakBefore w:val="0"/>
        <w:widowControl w:val="0"/>
        <w:kinsoku/>
        <w:wordWrap/>
        <w:overflowPunct/>
        <w:topLinePunct w:val="0"/>
        <w:bidi w:val="0"/>
        <w:snapToGrid/>
        <w:spacing w:before="93" w:line="600" w:lineRule="exact"/>
        <w:ind w:firstLine="640" w:firstLineChars="200"/>
        <w:textAlignment w:val="auto"/>
        <w:rPr>
          <w:rFonts w:ascii="仿宋_GB2312" w:hAnsi="Calibri" w:eastAsia="仿宋_GB2312" w:cs="仿宋"/>
          <w:kern w:val="0"/>
          <w:sz w:val="32"/>
          <w:szCs w:val="32"/>
        </w:rPr>
      </w:pPr>
      <w:r>
        <w:rPr>
          <w:rFonts w:hint="eastAsia" w:hAnsi="Calibri" w:cs="仿宋"/>
          <w:kern w:val="0"/>
          <w:sz w:val="32"/>
          <w:szCs w:val="32"/>
          <w:lang w:val="en-US" w:eastAsia="zh-CN"/>
        </w:rPr>
        <w:t>40.</w:t>
      </w:r>
      <w:r>
        <w:rPr>
          <w:rFonts w:hint="eastAsia" w:ascii="仿宋_GB2312" w:hAnsi="Calibri" w:eastAsia="仿宋_GB2312" w:cs="仿宋"/>
          <w:kern w:val="0"/>
          <w:sz w:val="32"/>
          <w:szCs w:val="32"/>
        </w:rPr>
        <w:t>住房保障支出(类)保障性安居工程支出(款)农村危房改造(项):指反映用于农村危房改造方面的支出。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41.</w:t>
      </w:r>
      <w:r>
        <w:rPr>
          <w:rFonts w:hint="eastAsia" w:ascii="仿宋_GB2312" w:hAnsi="Calibri" w:eastAsia="仿宋_GB2312" w:cs="仿宋"/>
          <w:kern w:val="0"/>
          <w:sz w:val="32"/>
          <w:szCs w:val="32"/>
        </w:rPr>
        <w:t>住房保障支出(类)保障性安居工程支出(款)保障性住房租金补贴(项):指反映用于各级政府向低收入住房保障家庭发放的住房租赁补贴支出。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42.</w:t>
      </w:r>
      <w:r>
        <w:rPr>
          <w:rFonts w:hint="eastAsia" w:ascii="仿宋_GB2312" w:hAnsi="Calibri" w:eastAsia="仿宋_GB2312" w:cs="仿宋"/>
          <w:kern w:val="0"/>
          <w:sz w:val="32"/>
          <w:szCs w:val="32"/>
        </w:rPr>
        <w:t>住房保障支出(类)保障性安居工程支出(款)老旧小区改造(项):指反映用于老旧小区改造方面的支出。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w:t>
      </w:r>
      <w:r>
        <w:rPr>
          <w:rFonts w:hint="eastAsia" w:ascii="仿宋_GB2312" w:hAnsi="Calibri" w:eastAsia="仿宋_GB2312" w:cs="仿宋"/>
          <w:kern w:val="0"/>
          <w:sz w:val="32"/>
          <w:szCs w:val="32"/>
          <w:lang w:val="en-US" w:eastAsia="zh-CN"/>
        </w:rPr>
        <w:t xml:space="preserve"> 43.</w:t>
      </w:r>
      <w:r>
        <w:rPr>
          <w:rFonts w:hint="eastAsia" w:ascii="仿宋_GB2312" w:hAnsi="Calibri" w:eastAsia="仿宋_GB2312" w:cs="仿宋"/>
          <w:kern w:val="0"/>
          <w:sz w:val="32"/>
          <w:szCs w:val="32"/>
        </w:rPr>
        <w:t>住房保障支出(类)保障性安居工程支出(款)其他保障性安居工程支出(项):指反映除上述项目以外其他用于保障性住房方面的支出。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w:t>
      </w:r>
      <w:r>
        <w:rPr>
          <w:rFonts w:hint="eastAsia" w:ascii="仿宋_GB2312" w:hAnsi="Calibri" w:eastAsia="仿宋_GB2312" w:cs="仿宋"/>
          <w:kern w:val="0"/>
          <w:sz w:val="32"/>
          <w:szCs w:val="32"/>
          <w:lang w:val="en-US" w:eastAsia="zh-CN"/>
        </w:rPr>
        <w:t xml:space="preserve">   44.</w:t>
      </w:r>
      <w:r>
        <w:rPr>
          <w:rFonts w:hint="eastAsia" w:ascii="仿宋_GB2312" w:hAnsi="Calibri" w:eastAsia="仿宋_GB2312" w:cs="仿宋"/>
          <w:kern w:val="0"/>
          <w:sz w:val="32"/>
          <w:szCs w:val="32"/>
        </w:rPr>
        <w:t>住房保障支出(类)住房改革支出(款)住房公积金(项):指反映行政事业单位按人力资源和社会保障部、财政部规定的基本工资和津贴补贴以及规定比例为职工缴纳的住房公积金。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45.</w:t>
      </w:r>
      <w:r>
        <w:rPr>
          <w:rFonts w:hint="eastAsia" w:ascii="仿宋_GB2312" w:hAnsi="Calibri" w:eastAsia="仿宋_GB2312" w:cs="仿宋"/>
          <w:kern w:val="0"/>
          <w:sz w:val="32"/>
          <w:szCs w:val="32"/>
        </w:rPr>
        <w:t>灾害防治及应急管理支出（类）消防</w:t>
      </w:r>
      <w:r>
        <w:rPr>
          <w:rFonts w:hint="eastAsia" w:ascii="仿宋_GB2312" w:hAnsi="Calibri" w:eastAsia="仿宋_GB2312" w:cs="仿宋"/>
          <w:kern w:val="0"/>
          <w:sz w:val="32"/>
          <w:szCs w:val="32"/>
          <w:lang w:eastAsia="zh-CN"/>
        </w:rPr>
        <w:t>救援</w:t>
      </w:r>
      <w:r>
        <w:rPr>
          <w:rFonts w:hint="eastAsia" w:ascii="仿宋_GB2312" w:hAnsi="Calibri" w:eastAsia="仿宋_GB2312" w:cs="仿宋"/>
          <w:kern w:val="0"/>
          <w:sz w:val="32"/>
          <w:szCs w:val="32"/>
        </w:rPr>
        <w:t>事务（款）其他消防</w:t>
      </w:r>
      <w:r>
        <w:rPr>
          <w:rFonts w:hint="eastAsia" w:ascii="仿宋_GB2312" w:hAnsi="Calibri" w:eastAsia="仿宋_GB2312" w:cs="仿宋"/>
          <w:kern w:val="0"/>
          <w:sz w:val="32"/>
          <w:szCs w:val="32"/>
          <w:lang w:eastAsia="zh-CN"/>
        </w:rPr>
        <w:t>救援</w:t>
      </w:r>
      <w:r>
        <w:rPr>
          <w:rFonts w:hint="eastAsia" w:ascii="仿宋_GB2312" w:hAnsi="Calibri" w:eastAsia="仿宋_GB2312" w:cs="仿宋"/>
          <w:kern w:val="0"/>
          <w:sz w:val="32"/>
          <w:szCs w:val="32"/>
        </w:rPr>
        <w:t>事务支出（项）:指反映除上述项目以外其他用于消防</w:t>
      </w:r>
      <w:r>
        <w:rPr>
          <w:rFonts w:hint="eastAsia" w:ascii="仿宋_GB2312" w:hAnsi="Calibri" w:eastAsia="仿宋_GB2312" w:cs="仿宋"/>
          <w:kern w:val="0"/>
          <w:sz w:val="32"/>
          <w:szCs w:val="32"/>
          <w:lang w:eastAsia="zh-CN"/>
        </w:rPr>
        <w:t>救援</w:t>
      </w:r>
      <w:r>
        <w:rPr>
          <w:rFonts w:hint="eastAsia" w:ascii="仿宋_GB2312" w:hAnsi="Calibri" w:eastAsia="仿宋_GB2312" w:cs="仿宋"/>
          <w:kern w:val="0"/>
          <w:sz w:val="32"/>
          <w:szCs w:val="32"/>
        </w:rPr>
        <w:t>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46.</w:t>
      </w:r>
      <w:r>
        <w:rPr>
          <w:rFonts w:hint="eastAsia" w:ascii="仿宋_GB2312" w:hAnsi="Calibri" w:eastAsia="仿宋_GB2312" w:cs="仿宋"/>
          <w:kern w:val="0"/>
          <w:sz w:val="32"/>
          <w:szCs w:val="32"/>
        </w:rPr>
        <w:t>其他支出（类）其他政府性基金及对应专项债务收入安排的支出（款）其他地方自行试点项目收益专项债券收入安排的支出（项）：指其他地方自行试点项目收益专项债券收入安排的支出。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47.</w:t>
      </w:r>
      <w:r>
        <w:rPr>
          <w:rFonts w:hint="eastAsia" w:ascii="仿宋_GB2312" w:eastAsia="仿宋_GB2312"/>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49.</w:t>
      </w:r>
      <w:r>
        <w:rPr>
          <w:rFonts w:hint="eastAsia" w:ascii="仿宋_GB2312" w:eastAsia="仿宋_GB2312"/>
          <w:sz w:val="32"/>
          <w:szCs w:val="32"/>
        </w:rPr>
        <w:t>经营支出：指事业单位在专业业务活动及其辅助活动之外开展非独立核算经营活动发生的支出。</w:t>
      </w: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50.</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51.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s="黑体"/>
          <w:color w:val="auto"/>
          <w:sz w:val="32"/>
          <w:szCs w:val="32"/>
        </w:rPr>
      </w:pPr>
    </w:p>
    <w:p>
      <w:pPr>
        <w:spacing w:line="600" w:lineRule="exact"/>
        <w:jc w:val="center"/>
        <w:outlineLvl w:val="0"/>
        <w:rPr>
          <w:rFonts w:hint="eastAsia" w:ascii="黑体" w:hAnsi="黑体" w:eastAsia="黑体"/>
          <w:sz w:val="44"/>
          <w:szCs w:val="44"/>
        </w:rPr>
      </w:pPr>
      <w:bookmarkStart w:id="51" w:name="_Toc15396614"/>
      <w:bookmarkStart w:id="52" w:name="_Toc15377226"/>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Style w:val="28"/>
          <w:rFonts w:ascii="黑体" w:hAnsi="黑体" w:eastAsia="黑体"/>
          <w:b w:val="0"/>
        </w:rPr>
      </w:pPr>
      <w:r>
        <w:rPr>
          <w:rFonts w:hint="eastAsia" w:ascii="黑体" w:hAnsi="黑体" w:eastAsia="黑体"/>
          <w:sz w:val="44"/>
          <w:szCs w:val="44"/>
        </w:rPr>
        <w:t>第</w:t>
      </w:r>
      <w:r>
        <w:rPr>
          <w:rStyle w:val="28"/>
          <w:rFonts w:hint="eastAsia" w:ascii="黑体" w:hAnsi="黑体" w:eastAsia="黑体"/>
          <w:b w:val="0"/>
        </w:rPr>
        <w:t>四部分 附件</w:t>
      </w:r>
      <w:bookmarkEnd w:id="51"/>
    </w:p>
    <w:p>
      <w:pPr>
        <w:spacing w:line="572" w:lineRule="exact"/>
        <w:jc w:val="left"/>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widowControl/>
        <w:spacing w:line="560" w:lineRule="exact"/>
        <w:contextualSpacing/>
        <w:jc w:val="center"/>
        <w:rPr>
          <w:rFonts w:hint="eastAsia" w:ascii="方正小标宋简体" w:hAnsi="方正小标宋简体" w:eastAsia="方正小标宋简体" w:cs="方正小标宋简体"/>
          <w:b/>
          <w:bCs w:val="0"/>
          <w:sz w:val="32"/>
          <w:szCs w:val="32"/>
          <w:shd w:val="clear" w:color="auto" w:fill="FFFFFF"/>
        </w:rPr>
      </w:pPr>
      <w:r>
        <w:rPr>
          <w:rFonts w:hint="eastAsia" w:ascii="方正小标宋简体" w:hAnsi="方正小标宋简体" w:eastAsia="方正小标宋简体" w:cs="方正小标宋简体"/>
          <w:b/>
          <w:bCs w:val="0"/>
          <w:sz w:val="32"/>
          <w:szCs w:val="32"/>
          <w:shd w:val="clear" w:color="auto" w:fill="FFFFFF"/>
        </w:rPr>
        <w:t>202</w:t>
      </w:r>
      <w:r>
        <w:rPr>
          <w:rFonts w:hint="eastAsia" w:ascii="方正小标宋简体" w:hAnsi="方正小标宋简体" w:eastAsia="方正小标宋简体" w:cs="方正小标宋简体"/>
          <w:b/>
          <w:bCs w:val="0"/>
          <w:sz w:val="32"/>
          <w:szCs w:val="32"/>
          <w:shd w:val="clear" w:color="auto" w:fill="FFFFFF"/>
          <w:lang w:val="en-US" w:eastAsia="zh-CN"/>
        </w:rPr>
        <w:t>2</w:t>
      </w:r>
      <w:r>
        <w:rPr>
          <w:rFonts w:hint="eastAsia" w:ascii="方正小标宋简体" w:hAnsi="方正小标宋简体" w:eastAsia="方正小标宋简体" w:cs="方正小标宋简体"/>
          <w:b/>
          <w:bCs w:val="0"/>
          <w:sz w:val="32"/>
          <w:szCs w:val="32"/>
          <w:shd w:val="clear" w:color="auto" w:fill="FFFFFF"/>
        </w:rPr>
        <w:t>年</w:t>
      </w:r>
      <w:r>
        <w:rPr>
          <w:rFonts w:hint="eastAsia" w:ascii="方正小标宋简体" w:hAnsi="方正小标宋简体" w:eastAsia="方正小标宋简体" w:cs="方正小标宋简体"/>
          <w:b/>
          <w:bCs w:val="0"/>
          <w:sz w:val="32"/>
          <w:szCs w:val="32"/>
          <w:shd w:val="clear" w:color="auto" w:fill="FFFFFF"/>
          <w:lang w:eastAsia="zh-CN"/>
        </w:rPr>
        <w:t>峨眉山市住房和城乡建设局</w:t>
      </w:r>
      <w:r>
        <w:rPr>
          <w:rFonts w:hint="eastAsia" w:ascii="方正小标宋简体" w:hAnsi="方正小标宋简体" w:eastAsia="方正小标宋简体" w:cs="方正小标宋简体"/>
          <w:b/>
          <w:bCs w:val="0"/>
          <w:sz w:val="32"/>
          <w:szCs w:val="32"/>
          <w:shd w:val="clear" w:color="auto" w:fill="FFFFFF"/>
        </w:rPr>
        <w:t>部门</w:t>
      </w:r>
    </w:p>
    <w:p>
      <w:pPr>
        <w:widowControl/>
        <w:spacing w:line="560" w:lineRule="exact"/>
        <w:contextualSpacing/>
        <w:jc w:val="center"/>
        <w:rPr>
          <w:rFonts w:hint="eastAsia" w:ascii="方正小标宋简体" w:hAnsi="方正小标宋简体" w:eastAsia="方正小标宋简体" w:cs="方正小标宋简体"/>
          <w:b/>
          <w:sz w:val="32"/>
          <w:szCs w:val="32"/>
          <w:shd w:val="clear" w:color="auto" w:fill="FFFFFF"/>
        </w:rPr>
      </w:pPr>
      <w:r>
        <w:rPr>
          <w:rFonts w:hint="eastAsia" w:ascii="方正小标宋简体" w:hAnsi="方正小标宋简体" w:eastAsia="方正小标宋简体" w:cs="方正小标宋简体"/>
          <w:b/>
          <w:bCs w:val="0"/>
          <w:sz w:val="32"/>
          <w:szCs w:val="32"/>
          <w:shd w:val="clear" w:color="auto" w:fill="FFFFFF"/>
        </w:rPr>
        <w:t>整体绩效评价报告</w:t>
      </w:r>
    </w:p>
    <w:p>
      <w:pPr>
        <w:widowControl/>
        <w:spacing w:line="560" w:lineRule="exact"/>
        <w:contextualSpacing/>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（报告范围包括机关和下属单位）</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5"/>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widowControl/>
        <w:numPr>
          <w:ilvl w:val="0"/>
          <w:numId w:val="6"/>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jc w:val="left"/>
        <w:textAlignment w:val="auto"/>
        <w:rPr>
          <w:lang w:val="zh-CN"/>
        </w:rPr>
      </w:pP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lang w:eastAsia="zh-CN"/>
        </w:rPr>
        <w:t>峨眉山市住房和城乡建设局部门包括独立核算机构</w:t>
      </w:r>
      <w:r>
        <w:rPr>
          <w:rFonts w:hint="eastAsia" w:ascii="仿宋_GB2312" w:hAnsi="仿宋_GB2312" w:eastAsia="仿宋_GB2312" w:cs="仿宋_GB2312"/>
          <w:sz w:val="32"/>
          <w:szCs w:val="32"/>
          <w:shd w:val="clear" w:color="auto" w:fill="FFFFFF"/>
          <w:lang w:val="en-US" w:eastAsia="zh-CN"/>
        </w:rPr>
        <w:t>4个，住建局（本级）局机关、峨眉山市城乡建设保障服务中心、峨眉山市住房保障和房地产事务中心、峨眉山市建设工程质量安全中心。</w:t>
      </w:r>
    </w:p>
    <w:p>
      <w:pPr>
        <w:widowControl/>
        <w:numPr>
          <w:ilvl w:val="0"/>
          <w:numId w:val="6"/>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机构职能和人员概况。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jc w:val="left"/>
        <w:textAlignment w:val="auto"/>
        <w:rPr>
          <w:rFonts w:hint="eastAsia" w:ascii="仿宋_GB2312" w:hAnsi="仿宋_GB2312" w:eastAsia="仿宋_GB2312" w:cs="仿宋_GB2312"/>
          <w:sz w:val="32"/>
          <w:szCs w:val="32"/>
          <w:shd w:val="clear" w:color="auto" w:fill="FFFFFF"/>
          <w:lang w:val="zh-CN" w:eastAsia="zh-CN"/>
        </w:rPr>
      </w:pPr>
      <w:r>
        <w:rPr>
          <w:rFonts w:hint="eastAsia" w:ascii="仿宋_GB2312" w:hAnsi="仿宋_GB2312" w:eastAsia="仿宋_GB2312" w:cs="仿宋_GB2312"/>
          <w:sz w:val="32"/>
          <w:szCs w:val="32"/>
          <w:shd w:val="clear" w:color="auto" w:fill="FFFFFF"/>
          <w:lang w:val="en-US" w:eastAsia="zh-CN"/>
        </w:rPr>
        <w:t>峨眉山市住房和城乡建设局部门的基本职能:贯彻国家、省住房和城乡建设的法律、法规、方针、政策，研究拟定全市住房保障、工程建设、建筑业、房屋装饰装修业、住宅与房地产业、市政公用事业、环境卫生、风景名胜与园林绿化事业的有关规定及相关发展战略；负责基本建设（含重点建设）项目的实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jc w:val="left"/>
        <w:textAlignment w:val="auto"/>
        <w:rPr>
          <w:rFonts w:hint="eastAsia"/>
          <w:lang w:val="zh-CN"/>
        </w:rPr>
      </w:pPr>
      <w:r>
        <w:rPr>
          <w:rFonts w:hint="eastAsia" w:ascii="仿宋_GB2312" w:hAnsi="仿宋_GB2312" w:eastAsia="仿宋_GB2312" w:cs="仿宋_GB2312"/>
          <w:sz w:val="32"/>
          <w:szCs w:val="32"/>
          <w:shd w:val="clear" w:color="auto" w:fill="FFFFFF"/>
          <w:lang w:val="zh-CN" w:eastAsia="zh-CN"/>
        </w:rPr>
        <w:tab/>
      </w:r>
      <w:r>
        <w:rPr>
          <w:rFonts w:hint="eastAsia" w:ascii="仿宋_GB2312" w:hAnsi="仿宋_GB2312" w:eastAsia="仿宋_GB2312" w:cs="仿宋_GB2312"/>
          <w:sz w:val="32"/>
          <w:szCs w:val="32"/>
          <w:shd w:val="clear" w:color="auto" w:fill="FFFFFF"/>
          <w:lang w:val="en-US" w:eastAsia="zh-CN"/>
        </w:rPr>
        <w:t>峨眉山市住房和城乡建设局部门行政编制人数21个，年末实有数20人，事业实有人数96人。</w:t>
      </w:r>
    </w:p>
    <w:p>
      <w:pPr>
        <w:widowControl/>
        <w:numPr>
          <w:ilvl w:val="0"/>
          <w:numId w:val="6"/>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年度主要工作任务。</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eastAsia="zh-CN"/>
        </w:rPr>
        <w:t>主要经济数据</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2022年，实现固定资产投资47亿元；</w:t>
      </w:r>
      <w:r>
        <w:rPr>
          <w:rFonts w:hint="eastAsia" w:ascii="仿宋_GB2312" w:hAnsi="仿宋" w:eastAsia="仿宋_GB2312" w:cs="Times New Roman"/>
          <w:sz w:val="32"/>
          <w:szCs w:val="32"/>
          <w:lang w:eastAsia="zh-CN"/>
        </w:rPr>
        <w:t>完成</w:t>
      </w:r>
      <w:r>
        <w:rPr>
          <w:rFonts w:hint="eastAsia" w:ascii="仿宋_GB2312" w:hAnsi="仿宋" w:eastAsia="仿宋_GB2312" w:cs="Times New Roman"/>
          <w:sz w:val="32"/>
          <w:szCs w:val="32"/>
          <w:lang w:val="en-US" w:eastAsia="zh-CN"/>
        </w:rPr>
        <w:t>建筑业产值</w:t>
      </w:r>
      <w:r>
        <w:rPr>
          <w:rFonts w:hint="eastAsia" w:ascii="仿宋_GB2312" w:hAnsi="仿宋" w:eastAsia="仿宋_GB2312" w:cs="Times New Roman"/>
          <w:sz w:val="32"/>
          <w:szCs w:val="32"/>
          <w:lang w:eastAsia="zh-CN"/>
        </w:rPr>
        <w:t>产值</w:t>
      </w:r>
      <w:r>
        <w:rPr>
          <w:rFonts w:hint="eastAsia" w:ascii="仿宋_GB2312" w:hAnsi="仿宋" w:eastAsia="仿宋_GB2312" w:cs="Times New Roman"/>
          <w:sz w:val="32"/>
          <w:szCs w:val="32"/>
          <w:lang w:val="en-US" w:eastAsia="zh-CN"/>
        </w:rPr>
        <w:t>31.16亿元；完成商品房销售面积40万平方米；城镇基础设施项目投资8.08亿元。</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城乡建设工作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一）城市建设。安置房维修，配合市安置工作小组，做好太泉、城西等安置点的维修工作，解决约600个问题，清理安置房应办未办证项目22个。项目建设，城市内涝治理饿涝堰截洪分流整治工程已完成60%；绥山镇安川村临河道路提升改造项目（一期）工程已完成30%；2022年城市燃气管道、污水管道老化更新改造建设项目预计年底开工建设；指导峨发展推进峨秀湖片区“两横三纵”道路建设工程和佛手广场改建项目。老旧小区改造，正实施2022年城镇老旧小区改造项目及2020—2021年城镇老旧小区改造配套基础设施建设项目；2022年城镇老旧小区改造配套基础设施建设项目预计年底开工建设。</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（二）集镇建设。符溪镇是四川省首批“省级百强中心镇”，高桥镇是乐山“市级中心镇”；共排查</w:t>
      </w:r>
      <w:r>
        <w:rPr>
          <w:rFonts w:hint="default" w:ascii="仿宋_GB2312" w:hAnsi="仿宋" w:eastAsia="仿宋_GB2312" w:cs="Times New Roman"/>
          <w:sz w:val="32"/>
          <w:szCs w:val="32"/>
          <w:lang w:val="en-US" w:eastAsia="zh-CN"/>
        </w:rPr>
        <w:t>62211</w:t>
      </w:r>
      <w:r>
        <w:rPr>
          <w:rFonts w:hint="eastAsia" w:ascii="仿宋_GB2312" w:hAnsi="仿宋" w:eastAsia="仿宋_GB2312" w:cs="Times New Roman"/>
          <w:sz w:val="32"/>
          <w:szCs w:val="32"/>
          <w:lang w:val="en-US" w:eastAsia="zh-CN"/>
        </w:rPr>
        <w:t>户农村既有房屋，其中</w:t>
      </w:r>
      <w:r>
        <w:rPr>
          <w:rFonts w:hint="default" w:ascii="仿宋_GB2312" w:hAnsi="仿宋" w:eastAsia="仿宋_GB2312" w:cs="Times New Roman"/>
          <w:sz w:val="32"/>
          <w:szCs w:val="32"/>
          <w:lang w:val="en-US" w:eastAsia="zh-CN"/>
        </w:rPr>
        <w:t>763</w:t>
      </w:r>
      <w:r>
        <w:rPr>
          <w:rFonts w:hint="eastAsia" w:ascii="仿宋_GB2312" w:hAnsi="仿宋" w:eastAsia="仿宋_GB2312" w:cs="Times New Roman"/>
          <w:sz w:val="32"/>
          <w:szCs w:val="32"/>
          <w:lang w:val="en-US" w:eastAsia="zh-CN"/>
        </w:rPr>
        <w:t>户存在安全隐患，已采取相关措施整治；</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为4户低收入人群的C、D级房屋申请危房改造补助9.7万元；配合乡镇（街道）开展“场镇提升行动”和“五清行动”。</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四</w:t>
      </w:r>
      <w:r>
        <w:rPr>
          <w:rFonts w:hint="eastAsia" w:ascii="仿宋_GB2312" w:hAnsi="仿宋" w:eastAsia="仿宋_GB2312" w:cs="Times New Roman"/>
          <w:sz w:val="32"/>
          <w:szCs w:val="32"/>
        </w:rPr>
        <w:t>）杆管线迁改。</w:t>
      </w:r>
      <w:r>
        <w:rPr>
          <w:rFonts w:hint="eastAsia" w:ascii="仿宋_GB2312" w:hAnsi="仿宋" w:eastAsia="仿宋_GB2312" w:cs="Times New Roman"/>
          <w:sz w:val="32"/>
          <w:szCs w:val="32"/>
          <w:lang w:val="en-US" w:eastAsia="zh-CN"/>
        </w:rPr>
        <w:t>承担了9个项目杆管线迁改工作和1个项目用电接入工作，现已完成峨眉山市老年养护院（Ι期）项目、华西康养项目和2020-61、62号地块（除110KV电力线路外）杆管线迁改工作，其余工作正在按期推进。</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五）绿化亮化提升。绿化工作，补植城区主要街道行道树130余株；配合佛光南路与光明大道交通组织优化工程，移植树木100余株，灌木1500平方米；补植草坪1000平方米；恢复零星区域共3000平方米的绿地；修剪存在安全隐患的树木；营造节假日氛围更换花卉100万盆；督查指导各责任单位名木古树安全隐患排查；报建项目绿化方案审批19家，绿化验收9家，绿化验收备案8家。城市亮化工作，实施太泉莲花广场改造、新二小周边道路亮化、城区路灯节能改造、山与湖连接道路新建、迎春节氛围营造亮化等项目，完成西环路亮化。对全市路灯、景观亮化和配电设施进行日常巡查、维修和管理。</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管理工作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（一）公共租赁住房管理。</w:t>
      </w:r>
      <w:r>
        <w:rPr>
          <w:rFonts w:hint="eastAsia" w:ascii="仿宋_GB2312" w:hAnsi="仿宋" w:eastAsia="仿宋_GB2312" w:cs="Times New Roman"/>
          <w:sz w:val="32"/>
          <w:szCs w:val="32"/>
          <w:lang w:eastAsia="zh-CN"/>
        </w:rPr>
        <w:t>完成</w:t>
      </w:r>
      <w:r>
        <w:rPr>
          <w:rFonts w:hint="eastAsia" w:ascii="仿宋_GB2312" w:hAnsi="仿宋" w:eastAsia="仿宋_GB2312" w:cs="Times New Roman"/>
          <w:sz w:val="32"/>
          <w:szCs w:val="32"/>
          <w:lang w:val="en-US" w:eastAsia="zh-CN"/>
        </w:rPr>
        <w:t>36</w:t>
      </w:r>
      <w:r>
        <w:rPr>
          <w:rFonts w:hint="eastAsia" w:ascii="仿宋_GB2312" w:hAnsi="仿宋" w:eastAsia="仿宋_GB2312" w:cs="Times New Roman"/>
          <w:sz w:val="32"/>
          <w:szCs w:val="32"/>
        </w:rPr>
        <w:t>户公共租赁住房分配工作</w:t>
      </w:r>
      <w:r>
        <w:rPr>
          <w:rFonts w:hint="eastAsia" w:ascii="仿宋_GB2312" w:hAnsi="仿宋" w:eastAsia="仿宋_GB2312" w:cs="Times New Roman"/>
          <w:sz w:val="32"/>
          <w:szCs w:val="32"/>
          <w:lang w:eastAsia="zh-CN"/>
        </w:rPr>
        <w:t>和</w:t>
      </w:r>
      <w:r>
        <w:rPr>
          <w:rFonts w:hint="eastAsia" w:ascii="仿宋_GB2312" w:hAnsi="仿宋" w:eastAsia="仿宋_GB2312" w:cs="Times New Roman"/>
          <w:sz w:val="32"/>
          <w:szCs w:val="32"/>
        </w:rPr>
        <w:t>5</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户低收入住房困难家庭租金补贴审核工作</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收取公共租赁住房租金</w:t>
      </w:r>
      <w:r>
        <w:rPr>
          <w:rFonts w:hint="eastAsia" w:ascii="仿宋_GB2312" w:hAnsi="仿宋" w:eastAsia="仿宋_GB2312" w:cs="Times New Roman"/>
          <w:sz w:val="32"/>
          <w:szCs w:val="32"/>
          <w:lang w:val="en-US" w:eastAsia="zh-CN"/>
        </w:rPr>
        <w:t>276</w:t>
      </w:r>
      <w:r>
        <w:rPr>
          <w:rFonts w:hint="eastAsia" w:ascii="仿宋_GB2312" w:hAnsi="仿宋" w:eastAsia="仿宋_GB2312" w:cs="Times New Roman"/>
          <w:sz w:val="32"/>
          <w:szCs w:val="32"/>
        </w:rPr>
        <w:t>万余元</w:t>
      </w:r>
      <w:r>
        <w:rPr>
          <w:rFonts w:hint="eastAsia" w:ascii="仿宋_GB2312" w:hAnsi="仿宋" w:eastAsia="仿宋_GB2312" w:cs="Times New Roman"/>
          <w:sz w:val="32"/>
          <w:szCs w:val="32"/>
          <w:lang w:val="en-US" w:eastAsia="zh-CN"/>
        </w:rPr>
        <w:t>；</w:t>
      </w:r>
      <w:r>
        <w:rPr>
          <w:rFonts w:hint="eastAsia" w:ascii="仿宋_GB2312" w:hAnsi="仿宋" w:eastAsia="仿宋_GB2312" w:cs="Times New Roman"/>
          <w:sz w:val="32"/>
          <w:szCs w:val="32"/>
        </w:rPr>
        <w:t>公共租赁住房物业管理及社会管理的工作</w:t>
      </w:r>
      <w:r>
        <w:rPr>
          <w:rFonts w:hint="eastAsia" w:ascii="仿宋_GB2312" w:hAnsi="仿宋" w:eastAsia="仿宋_GB2312" w:cs="Times New Roman"/>
          <w:sz w:val="32"/>
          <w:szCs w:val="32"/>
          <w:lang w:val="en-US" w:eastAsia="zh-CN"/>
        </w:rPr>
        <w:t>于5月30日</w:t>
      </w:r>
      <w:r>
        <w:rPr>
          <w:rFonts w:hint="eastAsia" w:ascii="仿宋_GB2312" w:hAnsi="仿宋" w:eastAsia="仿宋_GB2312" w:cs="Times New Roman"/>
          <w:sz w:val="32"/>
          <w:szCs w:val="32"/>
        </w:rPr>
        <w:t>移交镇乡（街道）</w:t>
      </w:r>
      <w:r>
        <w:rPr>
          <w:rFonts w:hint="eastAsia" w:ascii="仿宋_GB2312" w:hAnsi="仿宋" w:eastAsia="仿宋_GB2312" w:cs="Times New Roman"/>
          <w:sz w:val="32"/>
          <w:szCs w:val="32"/>
          <w:lang w:val="en-US" w:eastAsia="zh-CN"/>
        </w:rPr>
        <w:t>。</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（二）行业管理。房地产</w:t>
      </w:r>
      <w:r>
        <w:rPr>
          <w:rFonts w:hint="eastAsia" w:ascii="仿宋_GB2312" w:hAnsi="仿宋" w:eastAsia="仿宋_GB2312" w:cs="Times New Roman"/>
          <w:sz w:val="32"/>
          <w:szCs w:val="32"/>
          <w:lang w:eastAsia="zh-CN"/>
        </w:rPr>
        <w:t>业</w:t>
      </w:r>
      <w:r>
        <w:rPr>
          <w:rFonts w:hint="eastAsia" w:ascii="仿宋_GB2312" w:hAnsi="仿宋" w:eastAsia="仿宋_GB2312" w:cs="Times New Roman"/>
          <w:sz w:val="32"/>
          <w:szCs w:val="32"/>
        </w:rPr>
        <w:t>管理</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“问题楼盘”其中3个项目已销号，4个项目已复工，1</w:t>
      </w:r>
      <w:r>
        <w:rPr>
          <w:rFonts w:hint="eastAsia" w:ascii="仿宋_GB2312" w:hAnsi="仿宋" w:eastAsia="仿宋_GB2312" w:cs="Times New Roman"/>
          <w:sz w:val="32"/>
          <w:szCs w:val="32"/>
        </w:rPr>
        <w:t>个</w:t>
      </w:r>
      <w:r>
        <w:rPr>
          <w:rFonts w:hint="eastAsia" w:ascii="仿宋_GB2312" w:hAnsi="仿宋" w:eastAsia="仿宋_GB2312" w:cs="Times New Roman"/>
          <w:sz w:val="32"/>
          <w:szCs w:val="32"/>
          <w:lang w:eastAsia="zh-CN"/>
        </w:rPr>
        <w:t>项目</w:t>
      </w:r>
      <w:r>
        <w:rPr>
          <w:rFonts w:hint="eastAsia" w:ascii="仿宋_GB2312" w:hAnsi="仿宋" w:eastAsia="仿宋_GB2312" w:cs="Times New Roman"/>
          <w:sz w:val="32"/>
          <w:szCs w:val="32"/>
        </w:rPr>
        <w:t>纳入“关注楼盘”</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其余项目正在持续推进处置中</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234户享受安家补助，约773余万元。“峨眉山金卡”线下申请已受理11户，线上申请系统已上线测试；2022年</w:t>
      </w:r>
      <w:r>
        <w:rPr>
          <w:rFonts w:hint="eastAsia" w:ascii="仿宋_GB2312" w:hAnsi="仿宋" w:eastAsia="仿宋_GB2312" w:cs="Times New Roman"/>
          <w:sz w:val="32"/>
          <w:szCs w:val="32"/>
        </w:rPr>
        <w:t>共收缴维修资金</w:t>
      </w:r>
      <w:r>
        <w:rPr>
          <w:rFonts w:hint="eastAsia" w:ascii="仿宋_GB2312" w:hAnsi="仿宋" w:eastAsia="仿宋_GB2312" w:cs="Times New Roman"/>
          <w:sz w:val="32"/>
          <w:szCs w:val="32"/>
          <w:lang w:val="en-US" w:eastAsia="zh-CN"/>
        </w:rPr>
        <w:t>2307.64</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eastAsia="zh-CN"/>
        </w:rPr>
        <w:t>，现累计</w:t>
      </w:r>
      <w:r>
        <w:rPr>
          <w:rFonts w:hint="eastAsia" w:ascii="仿宋_GB2312" w:hAnsi="仿宋" w:eastAsia="仿宋_GB2312" w:cs="Times New Roman"/>
          <w:sz w:val="32"/>
          <w:szCs w:val="32"/>
          <w:lang w:val="en-US" w:eastAsia="zh-CN"/>
        </w:rPr>
        <w:t>余额35409.56</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3个小区已正常使用安置房维修资金；</w:t>
      </w:r>
      <w:r>
        <w:rPr>
          <w:rFonts w:hint="eastAsia" w:ascii="仿宋_GB2312" w:hAnsi="仿宋" w:eastAsia="仿宋_GB2312" w:cs="Times New Roman"/>
          <w:sz w:val="32"/>
          <w:szCs w:val="32"/>
        </w:rPr>
        <w:t>纳入商品房预售资金监管项目</w:t>
      </w:r>
      <w:r>
        <w:rPr>
          <w:rFonts w:hint="eastAsia" w:ascii="仿宋_GB2312" w:hAnsi="仿宋" w:eastAsia="仿宋_GB2312" w:cs="Times New Roman"/>
          <w:sz w:val="32"/>
          <w:szCs w:val="32"/>
          <w:lang w:val="en-US" w:eastAsia="zh-CN"/>
        </w:rPr>
        <w:t>39</w:t>
      </w:r>
      <w:r>
        <w:rPr>
          <w:rFonts w:hint="eastAsia" w:ascii="仿宋_GB2312" w:hAnsi="仿宋" w:eastAsia="仿宋_GB2312" w:cs="Times New Roman"/>
          <w:sz w:val="32"/>
          <w:szCs w:val="32"/>
        </w:rPr>
        <w:t>个</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2022年入账7.2亿元，余额约2.5亿元；顺利</w:t>
      </w:r>
      <w:r>
        <w:rPr>
          <w:rFonts w:hint="eastAsia" w:ascii="仿宋_GB2312" w:hAnsi="仿宋" w:eastAsia="仿宋_GB2312" w:cs="Times New Roman"/>
          <w:sz w:val="32"/>
          <w:szCs w:val="32"/>
        </w:rPr>
        <w:t>交房</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个项目</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配合行政审批局进行房屋预售许可现场勘察27次、配合乐山住建局进行房地产企业业绩核查10个。</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建筑业管理，</w:t>
      </w:r>
      <w:r>
        <w:rPr>
          <w:rFonts w:hint="default" w:ascii="仿宋_GB2312" w:hAnsi="仿宋" w:eastAsia="仿宋_GB2312" w:cs="Times New Roman"/>
          <w:sz w:val="32"/>
          <w:szCs w:val="32"/>
          <w:lang w:val="en-US" w:eastAsia="zh-CN"/>
        </w:rPr>
        <w:t>全市共有建筑企业</w:t>
      </w:r>
      <w:r>
        <w:rPr>
          <w:rFonts w:hint="eastAsia" w:ascii="仿宋_GB2312" w:hAnsi="仿宋" w:eastAsia="仿宋_GB2312" w:cs="Times New Roman"/>
          <w:sz w:val="32"/>
          <w:szCs w:val="32"/>
          <w:lang w:val="en-US" w:eastAsia="zh-CN"/>
        </w:rPr>
        <w:t>171</w:t>
      </w:r>
      <w:r>
        <w:rPr>
          <w:rFonts w:hint="default" w:ascii="仿宋_GB2312" w:hAnsi="仿宋" w:eastAsia="仿宋_GB2312" w:cs="Times New Roman"/>
          <w:sz w:val="32"/>
          <w:szCs w:val="32"/>
          <w:lang w:val="en-US" w:eastAsia="zh-CN"/>
        </w:rPr>
        <w:t>家，其中总承包企业</w:t>
      </w:r>
      <w:r>
        <w:rPr>
          <w:rFonts w:hint="eastAsia" w:ascii="仿宋_GB2312" w:hAnsi="仿宋" w:eastAsia="仿宋_GB2312" w:cs="Times New Roman"/>
          <w:sz w:val="32"/>
          <w:szCs w:val="32"/>
          <w:lang w:val="en-US" w:eastAsia="zh-CN"/>
        </w:rPr>
        <w:t>51</w:t>
      </w:r>
      <w:r>
        <w:rPr>
          <w:rFonts w:hint="default" w:ascii="仿宋_GB2312" w:hAnsi="仿宋" w:eastAsia="仿宋_GB2312" w:cs="Times New Roman"/>
          <w:sz w:val="32"/>
          <w:szCs w:val="32"/>
          <w:lang w:val="en-US" w:eastAsia="zh-CN"/>
        </w:rPr>
        <w:t>家，专业承包企业</w:t>
      </w:r>
      <w:r>
        <w:rPr>
          <w:rFonts w:hint="eastAsia" w:ascii="仿宋_GB2312" w:hAnsi="仿宋" w:eastAsia="仿宋_GB2312" w:cs="Times New Roman"/>
          <w:sz w:val="32"/>
          <w:szCs w:val="32"/>
          <w:lang w:val="en-US" w:eastAsia="zh-CN"/>
        </w:rPr>
        <w:t>19</w:t>
      </w:r>
      <w:r>
        <w:rPr>
          <w:rFonts w:hint="default" w:ascii="仿宋_GB2312" w:hAnsi="仿宋" w:eastAsia="仿宋_GB2312" w:cs="Times New Roman"/>
          <w:sz w:val="32"/>
          <w:szCs w:val="32"/>
          <w:lang w:val="en-US" w:eastAsia="zh-CN"/>
        </w:rPr>
        <w:t>家，劳务企业</w:t>
      </w:r>
      <w:r>
        <w:rPr>
          <w:rFonts w:hint="eastAsia" w:ascii="仿宋_GB2312" w:hAnsi="仿宋" w:eastAsia="仿宋_GB2312" w:cs="Times New Roman"/>
          <w:sz w:val="32"/>
          <w:szCs w:val="32"/>
          <w:lang w:val="en-US" w:eastAsia="zh-CN"/>
        </w:rPr>
        <w:t>101</w:t>
      </w:r>
      <w:r>
        <w:rPr>
          <w:rFonts w:hint="default" w:ascii="仿宋_GB2312" w:hAnsi="仿宋" w:eastAsia="仿宋_GB2312" w:cs="Times New Roman"/>
          <w:sz w:val="32"/>
          <w:szCs w:val="32"/>
          <w:lang w:val="en-US" w:eastAsia="zh-CN"/>
        </w:rPr>
        <w:t>家</w:t>
      </w:r>
      <w:r>
        <w:rPr>
          <w:rFonts w:hint="eastAsia" w:ascii="仿宋_GB2312" w:hAnsi="仿宋" w:eastAsia="仿宋_GB2312" w:cs="Times New Roman"/>
          <w:sz w:val="32"/>
          <w:szCs w:val="32"/>
          <w:lang w:val="en-US" w:eastAsia="zh-CN"/>
        </w:rPr>
        <w:t>；</w:t>
      </w:r>
      <w:r>
        <w:rPr>
          <w:rFonts w:hint="eastAsia" w:ascii="仿宋_GB2312" w:hAnsi="仿宋" w:eastAsia="仿宋_GB2312" w:cs="Times New Roman"/>
          <w:sz w:val="32"/>
          <w:szCs w:val="32"/>
        </w:rPr>
        <w:t>完成</w:t>
      </w:r>
      <w:r>
        <w:rPr>
          <w:rFonts w:hint="eastAsia" w:ascii="仿宋_GB2312" w:hAnsi="仿宋" w:eastAsia="仿宋_GB2312" w:cs="Times New Roman"/>
          <w:sz w:val="32"/>
          <w:szCs w:val="32"/>
          <w:lang w:val="en-US" w:eastAsia="zh-CN"/>
        </w:rPr>
        <w:t>56</w:t>
      </w:r>
      <w:r>
        <w:rPr>
          <w:rFonts w:hint="eastAsia" w:ascii="仿宋_GB2312" w:hAnsi="仿宋" w:eastAsia="仿宋_GB2312" w:cs="Times New Roman"/>
          <w:sz w:val="32"/>
          <w:szCs w:val="32"/>
        </w:rPr>
        <w:t>个项目的施工图审查</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21</w:t>
      </w:r>
      <w:r>
        <w:rPr>
          <w:rFonts w:hint="eastAsia" w:ascii="仿宋_GB2312" w:hAnsi="仿宋" w:eastAsia="仿宋_GB2312" w:cs="Times New Roman"/>
          <w:sz w:val="32"/>
          <w:szCs w:val="32"/>
        </w:rPr>
        <w:t>个项目的招标备案管理</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14</w:t>
      </w:r>
      <w:r>
        <w:rPr>
          <w:rFonts w:hint="eastAsia" w:ascii="仿宋_GB2312" w:hAnsi="仿宋" w:eastAsia="仿宋_GB2312" w:cs="Times New Roman"/>
          <w:sz w:val="32"/>
          <w:szCs w:val="32"/>
        </w:rPr>
        <w:t>个项目的招标备案管理</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13</w:t>
      </w:r>
      <w:r>
        <w:rPr>
          <w:rFonts w:hint="eastAsia" w:ascii="仿宋_GB2312" w:hAnsi="仿宋" w:eastAsia="仿宋_GB2312" w:cs="Times New Roman"/>
          <w:sz w:val="32"/>
          <w:szCs w:val="32"/>
          <w:lang w:eastAsia="zh-CN"/>
        </w:rPr>
        <w:t>个项目的安全文明施工测评、</w:t>
      </w:r>
      <w:r>
        <w:rPr>
          <w:rFonts w:hint="eastAsia" w:ascii="仿宋_GB2312" w:hAnsi="仿宋" w:eastAsia="仿宋_GB2312" w:cs="Times New Roman"/>
          <w:sz w:val="32"/>
          <w:szCs w:val="32"/>
          <w:lang w:val="en-US" w:eastAsia="zh-CN"/>
        </w:rPr>
        <w:t>20</w:t>
      </w:r>
      <w:r>
        <w:rPr>
          <w:rFonts w:hint="eastAsia" w:ascii="仿宋_GB2312" w:hAnsi="仿宋" w:eastAsia="仿宋_GB2312" w:cs="Times New Roman"/>
          <w:sz w:val="32"/>
          <w:szCs w:val="32"/>
          <w:lang w:eastAsia="zh-CN"/>
        </w:rPr>
        <w:t>个项目的工程竣工结算备案、</w:t>
      </w:r>
      <w:r>
        <w:rPr>
          <w:rFonts w:hint="eastAsia" w:ascii="仿宋_GB2312" w:hAnsi="仿宋" w:eastAsia="仿宋_GB2312" w:cs="Times New Roman"/>
          <w:sz w:val="32"/>
          <w:szCs w:val="32"/>
          <w:lang w:val="en-US" w:eastAsia="zh-CN"/>
        </w:rPr>
        <w:t>9个消防设计审查、1个新型墙改基金的退还；58个</w:t>
      </w:r>
      <w:r>
        <w:rPr>
          <w:rFonts w:hint="eastAsia" w:ascii="仿宋_GB2312" w:hAnsi="仿宋" w:eastAsia="仿宋_GB2312" w:cs="Times New Roman"/>
          <w:sz w:val="32"/>
          <w:szCs w:val="32"/>
          <w:lang w:eastAsia="zh-CN"/>
        </w:rPr>
        <w:t>房屋市政在建项目，</w:t>
      </w:r>
      <w:r>
        <w:rPr>
          <w:rFonts w:hint="eastAsia" w:ascii="仿宋_GB2312" w:hAnsi="仿宋" w:eastAsia="仿宋_GB2312" w:cs="Times New Roman"/>
          <w:sz w:val="32"/>
          <w:szCs w:val="32"/>
          <w:lang w:val="en-US" w:eastAsia="zh-CN"/>
        </w:rPr>
        <w:t>开设民工工资专户57个（其中1个涉密项目未设置），新办民工工资卡1800余张，通过专户发放民工工资4.2亿元，安装门禁考勤系统32个。共受理民工工资投诉368件，涉及金额达760万元，绝大部分都清欠到位。</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物业管理，既有住宅增设电梯工作已申请20台，完成电梯加装9台，正在施工7台；成立3个物业企业党支部；对105个物业小区，47家物业服务企业，检查400余次，约谈40次，整改20余处；对5家违反该办法的物业服务企业进行了信用积分扣分处理。</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人防管理，检查人防在建工程35次，出具是否修建人防工程咨询函12份，追缴回6个项目人防费376万元；发出23份追缴文书，对公司注销、吊销、无法找到公司信息的项目，将对法人和股东进行追缴；编制峨眉山市住建局地震预案，建立防震组织指挥体系和职责人工，完成5.12防空警报试鸣。</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市政管理，修复城区路面7400平方米；划交通标线、城市摊位线、非机动车位线共15000平方米；修复城区雨污水井盖及雨篦子共307个；清理城区建筑垃圾1600立方米；处理风貌改造安全隐患8处；修复城区交通护栏325米；安装交通设施隔离桩80米、护栏400米；修建交通信号灯1处；拆除路沿违规接坡235处。</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三）安全管理。燃气安全，完成134320户居民燃气入户安检工作，专项排查燃气重点场所687家、专项整治燃气经营隐患167个、专项检查燃气具市场181家、强化检查燃气经营企业14家；全市2124家非居民用户中，燃气装报警装置安装完成率84%。</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城市防汛，建立汛期24小时值班制度，组建物业、燃气、建筑工地、城市内涝、城市保障5支防洪抢险队伍，做好了防汛物资准备；整治城市主要内涝隐患点</w:t>
      </w:r>
      <w:r>
        <w:rPr>
          <w:rFonts w:hint="eastAsia" w:ascii="仿宋_GB2312" w:hAnsi="仿宋" w:eastAsia="仿宋_GB2312" w:cs="Times New Roman"/>
          <w:sz w:val="32"/>
          <w:szCs w:val="32"/>
        </w:rPr>
        <w:t>饿涝堰</w:t>
      </w:r>
      <w:r>
        <w:rPr>
          <w:rFonts w:hint="eastAsia" w:ascii="仿宋_GB2312" w:hAnsi="仿宋" w:eastAsia="仿宋_GB2312" w:cs="Times New Roman"/>
          <w:sz w:val="32"/>
          <w:szCs w:val="32"/>
          <w:lang w:eastAsia="zh-CN"/>
        </w:rPr>
        <w:t>；加大城区雨天易积水点巡查工作；对全市市政设施进行全面安全隐患排查整治工作；指导督促镇乡做好城乡危房排查整治和避险工作。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在建工地，</w:t>
      </w:r>
      <w:r>
        <w:rPr>
          <w:rFonts w:hint="eastAsia" w:ascii="仿宋_GB2312" w:hAnsi="仿宋" w:eastAsia="仿宋_GB2312" w:cs="Times New Roman"/>
          <w:sz w:val="32"/>
          <w:szCs w:val="32"/>
        </w:rPr>
        <w:t>在建</w:t>
      </w:r>
      <w:r>
        <w:rPr>
          <w:rFonts w:hint="eastAsia" w:ascii="仿宋_GB2312" w:hAnsi="仿宋" w:eastAsia="仿宋_GB2312" w:cs="Times New Roman"/>
          <w:sz w:val="32"/>
          <w:szCs w:val="32"/>
          <w:lang w:eastAsia="zh-CN"/>
        </w:rPr>
        <w:t>项目</w:t>
      </w:r>
      <w:r>
        <w:rPr>
          <w:rFonts w:hint="eastAsia" w:ascii="仿宋_GB2312" w:hAnsi="仿宋" w:eastAsia="仿宋_GB2312" w:cs="Times New Roman"/>
          <w:sz w:val="32"/>
          <w:szCs w:val="32"/>
          <w:lang w:val="en-US" w:eastAsia="zh-CN"/>
        </w:rPr>
        <w:t>60</w:t>
      </w:r>
      <w:r>
        <w:rPr>
          <w:rFonts w:hint="eastAsia" w:ascii="仿宋_GB2312" w:hAnsi="仿宋" w:eastAsia="仿宋_GB2312" w:cs="Times New Roman"/>
          <w:sz w:val="32"/>
          <w:szCs w:val="32"/>
        </w:rPr>
        <w:t>个，工程质量监督覆盖率达100%</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开展</w:t>
      </w:r>
      <w:r>
        <w:rPr>
          <w:rFonts w:hint="eastAsia" w:ascii="仿宋_GB2312" w:hAnsi="仿宋" w:eastAsia="仿宋_GB2312" w:cs="Times New Roman"/>
          <w:sz w:val="32"/>
          <w:szCs w:val="32"/>
          <w:lang w:val="en-US" w:eastAsia="zh-CN"/>
        </w:rPr>
        <w:t>6次</w:t>
      </w:r>
      <w:r>
        <w:rPr>
          <w:rFonts w:hint="eastAsia" w:ascii="仿宋_GB2312" w:hAnsi="仿宋" w:eastAsia="仿宋_GB2312" w:cs="Times New Roman"/>
          <w:sz w:val="32"/>
          <w:szCs w:val="32"/>
        </w:rPr>
        <w:t>质量</w:t>
      </w:r>
      <w:r>
        <w:rPr>
          <w:rFonts w:hint="eastAsia" w:ascii="仿宋_GB2312" w:hAnsi="仿宋" w:eastAsia="仿宋_GB2312" w:cs="Times New Roman"/>
          <w:sz w:val="32"/>
          <w:szCs w:val="32"/>
          <w:lang w:eastAsia="zh-CN"/>
        </w:rPr>
        <w:t>安全</w:t>
      </w:r>
      <w:r>
        <w:rPr>
          <w:rFonts w:hint="eastAsia" w:ascii="仿宋_GB2312" w:hAnsi="仿宋" w:eastAsia="仿宋_GB2312" w:cs="Times New Roman"/>
          <w:sz w:val="32"/>
          <w:szCs w:val="32"/>
        </w:rPr>
        <w:t>专项检查</w:t>
      </w:r>
      <w:r>
        <w:rPr>
          <w:rFonts w:hint="eastAsia" w:ascii="仿宋_GB2312" w:hAnsi="仿宋" w:eastAsia="仿宋_GB2312" w:cs="Times New Roman"/>
          <w:sz w:val="32"/>
          <w:szCs w:val="32"/>
          <w:lang w:eastAsia="zh-CN"/>
        </w:rPr>
        <w:t>，下达</w:t>
      </w:r>
      <w:r>
        <w:rPr>
          <w:rFonts w:hint="eastAsia" w:ascii="仿宋_GB2312" w:hAnsi="仿宋" w:eastAsia="仿宋_GB2312" w:cs="Times New Roman"/>
          <w:sz w:val="32"/>
          <w:szCs w:val="32"/>
        </w:rPr>
        <w:t>整改通知单</w:t>
      </w:r>
      <w:r>
        <w:rPr>
          <w:rFonts w:hint="eastAsia" w:ascii="仿宋_GB2312" w:hAnsi="仿宋" w:eastAsia="仿宋_GB2312" w:cs="Times New Roman"/>
          <w:sz w:val="32"/>
          <w:szCs w:val="32"/>
          <w:lang w:val="en-US" w:eastAsia="zh-CN"/>
        </w:rPr>
        <w:t>40</w:t>
      </w:r>
      <w:r>
        <w:rPr>
          <w:rFonts w:hint="eastAsia" w:ascii="仿宋_GB2312" w:hAnsi="仿宋" w:eastAsia="仿宋_GB2312" w:cs="Times New Roman"/>
          <w:sz w:val="32"/>
          <w:szCs w:val="32"/>
        </w:rPr>
        <w:t>余份</w:t>
      </w:r>
      <w:r>
        <w:rPr>
          <w:rFonts w:hint="eastAsia" w:ascii="仿宋_GB2312" w:hAnsi="仿宋" w:eastAsia="仿宋_GB2312" w:cs="Times New Roman"/>
          <w:sz w:val="32"/>
          <w:szCs w:val="32"/>
          <w:lang w:eastAsia="zh-CN"/>
        </w:rPr>
        <w:t>；开展</w:t>
      </w:r>
      <w:r>
        <w:rPr>
          <w:rFonts w:hint="eastAsia" w:ascii="仿宋_GB2312" w:hAnsi="仿宋" w:eastAsia="仿宋_GB2312" w:cs="Times New Roman"/>
          <w:sz w:val="32"/>
          <w:szCs w:val="32"/>
          <w:lang w:val="en-US" w:eastAsia="zh-CN"/>
        </w:rPr>
        <w:t>全市建设工程标准化建设工作，2个项目获</w:t>
      </w:r>
      <w:r>
        <w:rPr>
          <w:rFonts w:hint="eastAsia" w:ascii="仿宋_GB2312" w:hAnsi="仿宋" w:eastAsia="仿宋_GB2312" w:cs="Times New Roman"/>
          <w:sz w:val="32"/>
          <w:szCs w:val="32"/>
          <w:lang w:eastAsia="zh-CN"/>
        </w:rPr>
        <w:t>天府杯银奖荣誉、</w:t>
      </w:r>
      <w:r>
        <w:rPr>
          <w:rFonts w:hint="eastAsia" w:ascii="仿宋_GB2312" w:hAnsi="仿宋" w:eastAsia="仿宋_GB2312" w:cs="Times New Roman"/>
          <w:sz w:val="32"/>
          <w:szCs w:val="32"/>
          <w:lang w:val="en-US" w:eastAsia="zh-CN"/>
        </w:rPr>
        <w:t>2个项目获</w:t>
      </w:r>
      <w:r>
        <w:rPr>
          <w:rFonts w:hint="eastAsia" w:ascii="仿宋_GB2312" w:hAnsi="仿宋" w:eastAsia="仿宋_GB2312" w:cs="Times New Roman"/>
          <w:sz w:val="32"/>
          <w:szCs w:val="32"/>
        </w:rPr>
        <w:t>乐山市级标准化文明施工工地荣誉</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3个项目正在申报</w:t>
      </w:r>
      <w:r>
        <w:rPr>
          <w:rFonts w:hint="eastAsia" w:ascii="仿宋_GB2312" w:hAnsi="仿宋" w:eastAsia="仿宋_GB2312" w:cs="Times New Roman"/>
          <w:sz w:val="32"/>
          <w:szCs w:val="32"/>
        </w:rPr>
        <w:t>乐山市级标准化文明施工工地</w:t>
      </w:r>
      <w:r>
        <w:rPr>
          <w:rFonts w:hint="eastAsia" w:ascii="仿宋_GB2312" w:hAnsi="仿宋" w:eastAsia="仿宋_GB2312" w:cs="Times New Roman"/>
          <w:sz w:val="32"/>
          <w:szCs w:val="32"/>
          <w:lang w:eastAsia="zh-CN"/>
        </w:rPr>
        <w:t>；对</w:t>
      </w:r>
      <w:r>
        <w:rPr>
          <w:rFonts w:hint="eastAsia" w:ascii="仿宋_GB2312" w:hAnsi="仿宋" w:eastAsia="仿宋_GB2312" w:cs="Times New Roman"/>
          <w:sz w:val="32"/>
          <w:szCs w:val="32"/>
          <w:lang w:val="en-US" w:eastAsia="zh-CN"/>
        </w:rPr>
        <w:t>4家预拌混凝土生产企业进行检查，并抽查4个在建工地</w:t>
      </w:r>
      <w:r>
        <w:rPr>
          <w:rFonts w:hint="eastAsia" w:ascii="仿宋_GB2312" w:hAnsi="仿宋" w:eastAsia="仿宋_GB2312" w:cs="Times New Roman"/>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危房排查，完成全市城镇既有房屋安全风险隐患排查、录入城镇共9382栋，其中115栋存在结构安全隐患房屋已整改；已录入国有土地自建房2395栋，对9栋存在安全隐患的采取整治或应急管控措施。</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行政执法，细化“账图模式”；完善了“一网通办”、“跨省通办”等平台建设；行政处罚3个未批先建项目和1个出借公司资质给自然人承揽工程项目。</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rPr>
        <w:t>环境保护工作</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一）城市卫生。我市城乡生活垃圾三推项目已完工4个，另5个正按期推进；开展城乡环境综合治理，整治问题196起；《关于成立峨眉山市生活垃圾分类和处置工作领导小组的通知》已报市政府审核。城北片区清扫收运市场化运作项目9月1日落地落实。</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（二）污水设施。我市污水三推项目已完成总工程量的87%；</w:t>
      </w:r>
      <w:r>
        <w:rPr>
          <w:rFonts w:hint="eastAsia" w:ascii="仿宋_GB2312" w:hAnsi="仿宋" w:eastAsia="仿宋_GB2312" w:cs="Times New Roman"/>
          <w:sz w:val="32"/>
          <w:szCs w:val="32"/>
        </w:rPr>
        <w:t>管网日常排查次数60次，排查问题共计80个，已解决41个，剩余39个正在抓紧整改中</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城市污水处理厂生活污水集中处理率为95.3%，5座乡镇污水处理厂（站）生活污水集中处理率为67.94%</w:t>
      </w:r>
      <w:r>
        <w:rPr>
          <w:rFonts w:hint="eastAsia" w:ascii="仿宋_GB2312" w:hAnsi="仿宋" w:eastAsia="仿宋_GB2312" w:cs="Times New Roman"/>
          <w:sz w:val="32"/>
          <w:szCs w:val="32"/>
          <w:lang w:eastAsia="zh-CN"/>
        </w:rPr>
        <w:t>；我市</w:t>
      </w:r>
      <w:r>
        <w:rPr>
          <w:rFonts w:hint="eastAsia" w:ascii="仿宋_GB2312" w:hAnsi="仿宋" w:eastAsia="仿宋_GB2312" w:cs="Times New Roman"/>
          <w:sz w:val="32"/>
          <w:szCs w:val="32"/>
        </w:rPr>
        <w:t>城区、13个镇乡场镇及130个行政村产生的生活垃圾无害化处理率达100%。</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（三）河长工作。</w:t>
      </w:r>
      <w:r>
        <w:rPr>
          <w:rFonts w:hint="eastAsia" w:ascii="仿宋_GB2312" w:hAnsi="仿宋" w:eastAsia="仿宋_GB2312" w:cs="Times New Roman"/>
          <w:sz w:val="32"/>
          <w:szCs w:val="32"/>
        </w:rPr>
        <w:t>成立了皂角堰及瓢耳井水库河（湖）长制工作领导小组，</w:t>
      </w:r>
      <w:r>
        <w:rPr>
          <w:rFonts w:hint="eastAsia" w:ascii="仿宋_GB2312" w:hAnsi="仿宋" w:eastAsia="仿宋_GB2312" w:cs="Times New Roman"/>
          <w:sz w:val="32"/>
          <w:szCs w:val="32"/>
          <w:lang w:eastAsia="zh-CN"/>
        </w:rPr>
        <w:t>明确责任、目标任务；</w:t>
      </w:r>
      <w:r>
        <w:rPr>
          <w:rFonts w:hint="eastAsia" w:ascii="仿宋_GB2312" w:hAnsi="仿宋" w:eastAsia="仿宋_GB2312" w:cs="Times New Roman"/>
          <w:sz w:val="32"/>
          <w:szCs w:val="32"/>
        </w:rPr>
        <w:t>督促镇、村河（湖）段长严格按照要求开展巡查，</w:t>
      </w:r>
      <w:r>
        <w:rPr>
          <w:rFonts w:hint="eastAsia" w:ascii="仿宋_GB2312" w:hAnsi="仿宋" w:eastAsia="仿宋_GB2312" w:cs="Times New Roman"/>
          <w:sz w:val="32"/>
          <w:szCs w:val="32"/>
          <w:lang w:eastAsia="zh-CN"/>
        </w:rPr>
        <w:t>做到</w:t>
      </w:r>
      <w:r>
        <w:rPr>
          <w:rFonts w:hint="eastAsia" w:ascii="仿宋_GB2312" w:hAnsi="仿宋" w:eastAsia="仿宋_GB2312" w:cs="Times New Roman"/>
          <w:sz w:val="32"/>
          <w:szCs w:val="32"/>
        </w:rPr>
        <w:t>“无缝衔接”，同步建立问题台账，逐项整改销账</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共巡查</w:t>
      </w:r>
      <w:r>
        <w:rPr>
          <w:rFonts w:hint="eastAsia" w:ascii="仿宋_GB2312" w:hAnsi="仿宋" w:eastAsia="仿宋_GB2312" w:cs="Times New Roman"/>
          <w:sz w:val="32"/>
          <w:szCs w:val="32"/>
          <w:lang w:val="en-US" w:eastAsia="zh-CN"/>
        </w:rPr>
        <w:t>20</w:t>
      </w:r>
      <w:r>
        <w:rPr>
          <w:rFonts w:hint="eastAsia" w:ascii="仿宋_GB2312" w:hAnsi="仿宋" w:eastAsia="仿宋_GB2312" w:cs="Times New Roman"/>
          <w:sz w:val="32"/>
          <w:szCs w:val="32"/>
        </w:rPr>
        <w:t>次，向责任镇乡反馈</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个问题，均得到有效处理。</w:t>
      </w:r>
    </w:p>
    <w:p>
      <w:pPr>
        <w:keepNext w:val="0"/>
        <w:keepLines w:val="0"/>
        <w:pageBreakBefore w:val="0"/>
        <w:kinsoku/>
        <w:wordWrap/>
        <w:overflowPunct/>
        <w:topLinePunct w:val="0"/>
        <w:autoSpaceDE/>
        <w:autoSpaceDN/>
        <w:bidi w:val="0"/>
        <w:spacing w:line="600" w:lineRule="exact"/>
        <w:ind w:firstLine="640" w:firstLineChars="200"/>
        <w:jc w:val="both"/>
        <w:textAlignment w:val="auto"/>
        <w:rPr>
          <w:lang w:val="zh-CN"/>
        </w:rPr>
      </w:pPr>
      <w:r>
        <w:rPr>
          <w:rFonts w:hint="eastAsia" w:ascii="仿宋_GB2312" w:hAnsi="仿宋" w:eastAsia="仿宋_GB2312" w:cs="Times New Roman"/>
          <w:sz w:val="32"/>
          <w:szCs w:val="32"/>
          <w:lang w:val="en-US" w:eastAsia="zh-CN"/>
        </w:rPr>
        <w:t>（四）扬尘治理工作。</w:t>
      </w:r>
      <w:r>
        <w:rPr>
          <w:rFonts w:hint="eastAsia" w:ascii="仿宋_GB2312" w:hAnsi="仿宋" w:eastAsia="仿宋_GB2312" w:cs="Times New Roman"/>
          <w:sz w:val="32"/>
          <w:szCs w:val="32"/>
          <w:lang w:eastAsia="zh-CN"/>
        </w:rPr>
        <w:t>严格按照扬尘治理规定，</w:t>
      </w:r>
      <w:r>
        <w:rPr>
          <w:rFonts w:hint="eastAsia" w:ascii="仿宋_GB2312" w:hAnsi="仿宋" w:eastAsia="仿宋_GB2312" w:cs="Times New Roman"/>
          <w:sz w:val="32"/>
          <w:szCs w:val="32"/>
          <w:lang w:val="en-US" w:eastAsia="zh-CN"/>
        </w:rPr>
        <w:t>各在建工地全部实行围挡封闭施工，建筑工地出入口全部做到硬化处理并配备车辆冲洗设备，工地渣土、建筑垃圾全部进行清运。</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（四）部门整体支出绩效目标。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我局制定部门预算项目绩效总体目标为：按市委、市政府安排，完成城市建设有关项目建设工作，继续开展安置房项目的建设和维修工作，推进符溪、高桥等集镇建设工作，开展农村房屋安全隐患排查整治工作，完成杆管线迁改工作，对维护全市绿化亮化设施，提升绿化亮化水平。加强房地产行业、建筑业、物业行业、市政设施、人防工作、行政执法工作的管理。落实公共租赁住房管理工作。做好污水处理设施的建设、运营、和维护工作。加强建筑施工领域扬尘治理、环境卫生治理工作。开展市政设施零星维修工作，保障739厂老生活区稳定，继续开展峨秀湖景区的管理维护工作和城建档案管理工作。保障白蚁防治和消防设计审查工作开展。污水处理、垃圾处理、城市绿化、亮化工作持续有效开展，服务群众满意度≥90%。</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2022年我局部门总体绩效目标</w:t>
      </w:r>
      <w:r>
        <w:rPr>
          <w:rFonts w:hint="eastAsia" w:ascii="仿宋_GB2312" w:hAnsi="仿宋_GB2312" w:eastAsia="仿宋_GB2312" w:cs="仿宋_GB2312"/>
          <w:kern w:val="0"/>
          <w:sz w:val="32"/>
          <w:szCs w:val="32"/>
          <w:shd w:val="clear" w:color="auto" w:fill="FFFFFF"/>
          <w:lang w:val="zh-CN" w:eastAsia="zh-CN"/>
        </w:rPr>
        <w:t>包括：</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val="zh-CN" w:eastAsia="zh-CN"/>
        </w:rPr>
        <w:t>数量指标</w:t>
      </w: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val="zh-CN" w:eastAsia="zh-CN"/>
        </w:rPr>
        <w:t>：保障房物业管理费</w:t>
      </w:r>
      <w:r>
        <w:rPr>
          <w:rFonts w:hint="eastAsia" w:ascii="仿宋_GB2312" w:hAnsi="仿宋_GB2312" w:eastAsia="仿宋_GB2312" w:cs="仿宋_GB2312"/>
          <w:kern w:val="0"/>
          <w:sz w:val="32"/>
          <w:szCs w:val="32"/>
          <w:shd w:val="clear" w:color="auto" w:fill="FFFFFF"/>
          <w:lang w:val="en-US" w:eastAsia="zh-CN"/>
        </w:rPr>
        <w:t>≤110.5万元。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eastAsia="zh-CN"/>
        </w:rPr>
        <w:t>数量指标</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eastAsia="zh-CN"/>
        </w:rPr>
        <w:t>：新建城市房屋白蚁防治面积</w:t>
      </w:r>
      <w:r>
        <w:rPr>
          <w:rFonts w:hint="eastAsia" w:ascii="仿宋_GB2312" w:hAnsi="仿宋_GB2312" w:eastAsia="仿宋_GB2312" w:cs="仿宋_GB2312"/>
          <w:kern w:val="0"/>
          <w:sz w:val="32"/>
          <w:szCs w:val="32"/>
          <w:shd w:val="clear" w:color="auto" w:fill="FFFFFF"/>
          <w:lang w:val="en-US" w:eastAsia="zh-CN"/>
        </w:rPr>
        <w:t>≥1.5万平方米</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3.质量指标：环卫设施运行有效率≥90%</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eastAsia="zh-CN"/>
        </w:rPr>
        <w:t>时效指标：绿化、亮化、市政设施维修、环卫持续运转</w:t>
      </w:r>
      <w:r>
        <w:rPr>
          <w:rFonts w:hint="eastAsia" w:ascii="仿宋_GB2312" w:hAnsi="仿宋_GB2312" w:eastAsia="仿宋_GB2312" w:cs="仿宋_GB2312"/>
          <w:kern w:val="0"/>
          <w:sz w:val="32"/>
          <w:szCs w:val="32"/>
          <w:shd w:val="clear" w:color="auto" w:fill="FFFFFF"/>
          <w:lang w:val="en-US" w:eastAsia="zh-CN"/>
        </w:rPr>
        <w:t>≥1年</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5.社会效益指标城市绿化亮化环境卫生率≥90%</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6.</w:t>
      </w:r>
      <w:r>
        <w:rPr>
          <w:rFonts w:hint="eastAsia" w:ascii="仿宋_GB2312" w:hAnsi="仿宋_GB2312" w:eastAsia="仿宋_GB2312" w:cs="仿宋_GB2312"/>
          <w:kern w:val="0"/>
          <w:sz w:val="32"/>
          <w:szCs w:val="32"/>
          <w:shd w:val="clear" w:color="auto" w:fill="FFFFFF"/>
          <w:lang w:val="zh-CN" w:eastAsia="zh-CN"/>
        </w:rPr>
        <w:t>生态效益指标</w:t>
      </w:r>
      <w:r>
        <w:rPr>
          <w:rFonts w:hint="eastAsia" w:ascii="仿宋_GB2312" w:hAnsi="仿宋_GB2312" w:eastAsia="仿宋_GB2312" w:cs="仿宋_GB2312"/>
          <w:kern w:val="0"/>
          <w:sz w:val="32"/>
          <w:szCs w:val="32"/>
          <w:shd w:val="clear" w:color="auto" w:fill="FFFFFF"/>
          <w:lang w:val="en-US" w:eastAsia="zh-CN"/>
        </w:rPr>
        <w:t>:生态环境达标率≥90%</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7.</w:t>
      </w:r>
      <w:r>
        <w:rPr>
          <w:rFonts w:hint="eastAsia" w:ascii="仿宋_GB2312" w:hAnsi="仿宋_GB2312" w:eastAsia="仿宋_GB2312" w:cs="仿宋_GB2312"/>
          <w:kern w:val="0"/>
          <w:sz w:val="32"/>
          <w:szCs w:val="32"/>
          <w:shd w:val="clear" w:color="auto" w:fill="FFFFFF"/>
          <w:lang w:val="zh-CN" w:eastAsia="zh-CN"/>
        </w:rPr>
        <w:t>可持续发展指标</w:t>
      </w:r>
      <w:r>
        <w:rPr>
          <w:rFonts w:hint="eastAsia" w:ascii="仿宋_GB2312" w:hAnsi="仿宋_GB2312" w:eastAsia="仿宋_GB2312" w:cs="仿宋_GB2312"/>
          <w:kern w:val="0"/>
          <w:sz w:val="32"/>
          <w:szCs w:val="32"/>
          <w:shd w:val="clear" w:color="auto" w:fill="FFFFFF"/>
          <w:lang w:val="en-US" w:eastAsia="zh-CN"/>
        </w:rPr>
        <w:t>:峨秀湖生态环境持续稳定≥1年</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eastAsia="zh-CN"/>
        </w:rPr>
        <w:t>服务对象满意度指标</w:t>
      </w:r>
      <w:r>
        <w:rPr>
          <w:rFonts w:hint="eastAsia" w:ascii="仿宋_GB2312" w:hAnsi="仿宋_GB2312" w:eastAsia="仿宋_GB2312" w:cs="仿宋_GB2312"/>
          <w:kern w:val="0"/>
          <w:sz w:val="32"/>
          <w:szCs w:val="32"/>
          <w:shd w:val="clear" w:color="auto" w:fill="FFFFFF"/>
          <w:lang w:val="en-US" w:eastAsia="zh-CN"/>
        </w:rPr>
        <w:t>≥90%</w:t>
      </w:r>
    </w:p>
    <w:p>
      <w:pPr>
        <w:pStyle w:val="2"/>
        <w:keepNext w:val="0"/>
        <w:keepLines w:val="0"/>
        <w:pageBreakBefore w:val="0"/>
        <w:kinsoku/>
        <w:wordWrap/>
        <w:overflowPunct/>
        <w:topLinePunct w:val="0"/>
        <w:autoSpaceDE/>
        <w:autoSpaceDN/>
        <w:bidi w:val="0"/>
        <w:spacing w:line="600" w:lineRule="exact"/>
        <w:ind w:firstLine="600" w:firstLineChars="200"/>
        <w:textAlignment w:val="auto"/>
        <w:rPr>
          <w:lang w:val="zh-CN"/>
        </w:rPr>
      </w:pP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住建局部门</w:t>
      </w:r>
      <w:r>
        <w:rPr>
          <w:rFonts w:hint="eastAsia" w:ascii="仿宋_GB2312" w:hAnsi="仿宋_GB2312" w:eastAsia="仿宋_GB2312" w:cs="仿宋_GB2312"/>
          <w:kern w:val="0"/>
          <w:sz w:val="32"/>
          <w:szCs w:val="32"/>
          <w:shd w:val="clear" w:color="auto" w:fill="FFFFFF"/>
          <w:lang w:val="en-US" w:eastAsia="zh-CN"/>
        </w:rPr>
        <w:t>2022年财政资金</w:t>
      </w:r>
      <w:r>
        <w:rPr>
          <w:rFonts w:hint="eastAsia" w:ascii="仿宋_GB2312" w:hAnsi="仿宋_GB2312" w:eastAsia="仿宋_GB2312" w:cs="仿宋_GB2312"/>
          <w:kern w:val="0"/>
          <w:sz w:val="32"/>
          <w:szCs w:val="32"/>
          <w:shd w:val="clear" w:color="auto" w:fill="FFFFFF"/>
        </w:rPr>
        <w:t>收入</w:t>
      </w:r>
      <w:r>
        <w:rPr>
          <w:rFonts w:hint="eastAsia" w:ascii="仿宋_GB2312" w:hAnsi="仿宋_GB2312" w:eastAsia="仿宋_GB2312" w:cs="仿宋_GB2312"/>
          <w:kern w:val="0"/>
          <w:sz w:val="32"/>
          <w:szCs w:val="32"/>
          <w:shd w:val="clear" w:color="auto" w:fill="FFFFFF"/>
          <w:lang w:val="en-US" w:eastAsia="zh-CN"/>
        </w:rPr>
        <w:t>61123.03万元</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其中：一般公共预算财政拨款收入</w:t>
      </w:r>
      <w:r>
        <w:rPr>
          <w:rFonts w:hint="eastAsia" w:ascii="仿宋_GB2312" w:hAnsi="仿宋_GB2312" w:eastAsia="仿宋_GB2312" w:cs="仿宋_GB2312"/>
          <w:kern w:val="0"/>
          <w:sz w:val="32"/>
          <w:szCs w:val="32"/>
          <w:shd w:val="clear" w:color="auto" w:fill="FFFFFF"/>
          <w:lang w:val="en-US" w:eastAsia="zh-CN"/>
        </w:rPr>
        <w:t>25879.42</w:t>
      </w:r>
      <w:r>
        <w:rPr>
          <w:rFonts w:hint="eastAsia" w:ascii="仿宋_GB2312" w:hAnsi="仿宋_GB2312" w:eastAsia="仿宋_GB2312" w:cs="仿宋_GB2312"/>
          <w:kern w:val="0"/>
          <w:sz w:val="32"/>
          <w:szCs w:val="32"/>
          <w:shd w:val="clear" w:color="auto" w:fill="FFFFFF"/>
        </w:rPr>
        <w:t>万元，占</w:t>
      </w:r>
      <w:r>
        <w:rPr>
          <w:rFonts w:hint="eastAsia" w:ascii="仿宋_GB2312" w:hAnsi="仿宋_GB2312" w:eastAsia="仿宋_GB2312" w:cs="仿宋_GB2312"/>
          <w:kern w:val="0"/>
          <w:sz w:val="32"/>
          <w:szCs w:val="32"/>
          <w:shd w:val="clear" w:color="auto" w:fill="FFFFFF"/>
          <w:lang w:val="en-US" w:eastAsia="zh-CN"/>
        </w:rPr>
        <w:t>42.34</w:t>
      </w:r>
      <w:r>
        <w:rPr>
          <w:rFonts w:hint="eastAsia" w:ascii="仿宋_GB2312" w:hAnsi="仿宋_GB2312" w:eastAsia="仿宋_GB2312" w:cs="仿宋_GB2312"/>
          <w:kern w:val="0"/>
          <w:sz w:val="32"/>
          <w:szCs w:val="32"/>
          <w:shd w:val="clear" w:color="auto" w:fill="FFFFFF"/>
        </w:rPr>
        <w:t>%；政府性基金预算财政拨款收入</w:t>
      </w:r>
      <w:r>
        <w:rPr>
          <w:rFonts w:hint="eastAsia" w:ascii="仿宋_GB2312" w:hAnsi="仿宋_GB2312" w:eastAsia="仿宋_GB2312" w:cs="仿宋_GB2312"/>
          <w:kern w:val="0"/>
          <w:sz w:val="32"/>
          <w:szCs w:val="32"/>
          <w:shd w:val="clear" w:color="auto" w:fill="FFFFFF"/>
          <w:lang w:val="en-US" w:eastAsia="zh-CN"/>
        </w:rPr>
        <w:t>35243.62</w:t>
      </w:r>
      <w:r>
        <w:rPr>
          <w:rFonts w:hint="eastAsia" w:ascii="仿宋_GB2312" w:hAnsi="仿宋_GB2312" w:eastAsia="仿宋_GB2312" w:cs="仿宋_GB2312"/>
          <w:kern w:val="0"/>
          <w:sz w:val="32"/>
          <w:szCs w:val="32"/>
          <w:shd w:val="clear" w:color="auto" w:fill="FFFFFF"/>
        </w:rPr>
        <w:t>万元，占</w:t>
      </w:r>
      <w:r>
        <w:rPr>
          <w:rFonts w:hint="eastAsia" w:ascii="仿宋_GB2312" w:hAnsi="仿宋_GB2312" w:eastAsia="仿宋_GB2312" w:cs="仿宋_GB2312"/>
          <w:kern w:val="0"/>
          <w:sz w:val="32"/>
          <w:szCs w:val="32"/>
          <w:shd w:val="clear" w:color="auto" w:fill="FFFFFF"/>
          <w:lang w:val="en-US" w:eastAsia="zh-CN"/>
        </w:rPr>
        <w:t>57.66</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w:t>
      </w:r>
    </w:p>
    <w:p>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部门总体支出情况</w:t>
      </w:r>
    </w:p>
    <w:p>
      <w:pPr>
        <w:pStyle w:val="2"/>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住建局部门 2022年财政资金支出支出79918.93万元。其中：基本支出7839.94万元，占9.81%；项目支出72078.98万元，占90.19%。</w:t>
      </w:r>
    </w:p>
    <w:p>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部门总体结转结余情况</w:t>
      </w:r>
    </w:p>
    <w:p>
      <w:pPr>
        <w:keepNext w:val="0"/>
        <w:keepLines w:val="0"/>
        <w:pageBreakBefore w:val="0"/>
        <w:kinsoku/>
        <w:wordWrap/>
        <w:overflowPunct/>
        <w:topLinePunct w:val="0"/>
        <w:autoSpaceDE/>
        <w:autoSpaceDN/>
        <w:bidi w:val="0"/>
        <w:snapToGrid w:val="0"/>
        <w:spacing w:line="600" w:lineRule="exact"/>
        <w:ind w:firstLine="640" w:firstLineChars="200"/>
        <w:textAlignment w:val="auto"/>
      </w:pPr>
      <w:r>
        <w:rPr>
          <w:rFonts w:hint="eastAsia" w:ascii="仿宋_GB2312" w:hAnsi="仿宋" w:eastAsia="仿宋_GB2312"/>
          <w:sz w:val="32"/>
          <w:szCs w:val="32"/>
          <w:lang w:val="en-US" w:eastAsia="zh-CN"/>
        </w:rPr>
        <w:t>住建局部门2022年</w:t>
      </w:r>
      <w:r>
        <w:rPr>
          <w:rFonts w:hint="eastAsia" w:ascii="仿宋_GB2312" w:hAnsi="仿宋" w:eastAsia="仿宋_GB2312"/>
          <w:sz w:val="32"/>
          <w:szCs w:val="32"/>
        </w:rPr>
        <w:t>财政拨款结转结余</w:t>
      </w:r>
      <w:r>
        <w:rPr>
          <w:rFonts w:hint="eastAsia" w:ascii="仿宋_GB2312" w:hAnsi="仿宋" w:eastAsia="仿宋_GB2312"/>
          <w:sz w:val="32"/>
          <w:szCs w:val="32"/>
          <w:lang w:val="en-US" w:eastAsia="zh-CN"/>
        </w:rPr>
        <w:t>33048.38万元，其中：一般公共预算财政拨款33042.94万元，政府性基金预算财政拨款5.44万元，其中，</w:t>
      </w:r>
      <w:r>
        <w:rPr>
          <w:rFonts w:hint="eastAsia" w:ascii="仿宋_GB2312" w:hAnsi="仿宋" w:eastAsia="仿宋_GB2312"/>
          <w:sz w:val="32"/>
          <w:szCs w:val="32"/>
          <w:highlight w:val="none"/>
          <w:lang w:val="en-US" w:eastAsia="zh-CN"/>
        </w:rPr>
        <w:t>峨眉山市城乡建设保障服务中心</w:t>
      </w:r>
      <w:r>
        <w:rPr>
          <w:rFonts w:hint="eastAsia" w:ascii="仿宋_GB2312" w:hAnsi="仿宋" w:eastAsia="仿宋_GB2312"/>
          <w:sz w:val="32"/>
          <w:szCs w:val="32"/>
          <w:lang w:val="en-US" w:eastAsia="zh-CN"/>
        </w:rPr>
        <w:t>财政拨款结转占住建局部门99.99%。住建局部门2022年</w:t>
      </w:r>
      <w:r>
        <w:rPr>
          <w:rFonts w:hint="eastAsia" w:ascii="仿宋_GB2312" w:hAnsi="仿宋" w:eastAsia="仿宋_GB2312"/>
          <w:sz w:val="32"/>
          <w:szCs w:val="32"/>
        </w:rPr>
        <w:t>非财政拨款结转结余</w:t>
      </w:r>
      <w:r>
        <w:rPr>
          <w:rFonts w:hint="eastAsia" w:ascii="仿宋_GB2312" w:hAnsi="仿宋" w:eastAsia="仿宋_GB2312"/>
          <w:sz w:val="32"/>
          <w:szCs w:val="32"/>
          <w:lang w:val="en-US" w:eastAsia="zh-CN"/>
        </w:rPr>
        <w:t>421.62万元，其中住建局（本级）</w:t>
      </w:r>
      <w:r>
        <w:rPr>
          <w:rFonts w:hint="eastAsia" w:ascii="仿宋_GB2312" w:hAnsi="仿宋" w:eastAsia="仿宋_GB2312"/>
          <w:sz w:val="32"/>
          <w:szCs w:val="32"/>
        </w:rPr>
        <w:t>非财政拨款结转结余</w:t>
      </w:r>
      <w:r>
        <w:rPr>
          <w:rFonts w:hint="eastAsia" w:ascii="仿宋_GB2312" w:hAnsi="仿宋" w:eastAsia="仿宋_GB2312"/>
          <w:sz w:val="32"/>
          <w:szCs w:val="32"/>
          <w:lang w:val="en-US" w:eastAsia="zh-CN"/>
        </w:rPr>
        <w:t>35</w:t>
      </w:r>
      <w:r>
        <w:rPr>
          <w:rFonts w:hint="eastAsia" w:ascii="仿宋_GB2312" w:hAnsi="仿宋" w:eastAsia="仿宋_GB2312"/>
          <w:sz w:val="32"/>
          <w:szCs w:val="32"/>
        </w:rPr>
        <w:t>1．</w:t>
      </w:r>
      <w:r>
        <w:rPr>
          <w:rFonts w:hint="eastAsia" w:ascii="仿宋_GB2312" w:hAnsi="仿宋" w:eastAsia="仿宋_GB2312"/>
          <w:sz w:val="32"/>
          <w:szCs w:val="32"/>
          <w:lang w:val="en-US" w:eastAsia="zh-CN"/>
        </w:rPr>
        <w:t>53万元，占住建部门</w:t>
      </w:r>
      <w:r>
        <w:rPr>
          <w:rFonts w:hint="eastAsia" w:ascii="仿宋_GB2312" w:hAnsi="仿宋" w:eastAsia="仿宋_GB2312"/>
          <w:sz w:val="32"/>
          <w:szCs w:val="32"/>
        </w:rPr>
        <w:t>非财政拨款结转结</w:t>
      </w:r>
      <w:r>
        <w:rPr>
          <w:rFonts w:hint="eastAsia" w:ascii="仿宋_GB2312" w:hAnsi="仿宋" w:eastAsia="仿宋_GB2312"/>
          <w:sz w:val="32"/>
          <w:szCs w:val="32"/>
          <w:lang w:eastAsia="zh-CN"/>
        </w:rPr>
        <w:t>余</w:t>
      </w:r>
      <w:r>
        <w:rPr>
          <w:rFonts w:hint="eastAsia" w:ascii="仿宋_GB2312" w:hAnsi="仿宋" w:eastAsia="仿宋_GB2312"/>
          <w:sz w:val="32"/>
          <w:szCs w:val="32"/>
          <w:lang w:val="en-US" w:eastAsia="zh-CN"/>
        </w:rPr>
        <w:t>83.38%。主要原因是往年结转结余，及清理历年往来款转入结转结余。</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keepNext w:val="0"/>
        <w:keepLines w:val="0"/>
        <w:pageBreakBefore w:val="0"/>
        <w:kinsoku/>
        <w:wordWrap/>
        <w:overflowPunct/>
        <w:topLinePunct w:val="0"/>
        <w:autoSpaceDE/>
        <w:autoSpaceDN/>
        <w:bidi w:val="0"/>
        <w:snapToGrid w:val="0"/>
        <w:spacing w:line="600" w:lineRule="exact"/>
        <w:ind w:firstLine="640" w:firstLineChars="200"/>
        <w:textAlignment w:val="auto"/>
      </w:pPr>
      <w:r>
        <w:rPr>
          <w:rFonts w:hint="eastAsia" w:ascii="仿宋_GB2312" w:hAnsi="仿宋" w:eastAsia="仿宋_GB2312" w:cs="仿宋"/>
          <w:color w:val="000000"/>
          <w:sz w:val="32"/>
          <w:szCs w:val="32"/>
          <w:lang w:val="en-US" w:eastAsia="zh-CN"/>
        </w:rPr>
        <w:t>住建局部门2022年财政拨款收入61123.03万元。</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部门财政拨款支出情况</w:t>
      </w:r>
    </w:p>
    <w:p>
      <w:pPr>
        <w:keepNext w:val="0"/>
        <w:keepLines w:val="0"/>
        <w:pageBreakBefore w:val="0"/>
        <w:kinsoku/>
        <w:wordWrap/>
        <w:overflowPunct/>
        <w:topLinePunct w:val="0"/>
        <w:autoSpaceDE/>
        <w:autoSpaceDN/>
        <w:bidi w:val="0"/>
        <w:snapToGrid w:val="0"/>
        <w:spacing w:line="600" w:lineRule="exact"/>
        <w:ind w:firstLine="640" w:firstLineChars="200"/>
        <w:textAlignment w:val="auto"/>
      </w:pPr>
      <w:r>
        <w:rPr>
          <w:rFonts w:hint="eastAsia" w:ascii="仿宋_GB2312" w:hAnsi="仿宋" w:eastAsia="仿宋_GB2312" w:cs="仿宋"/>
          <w:color w:val="000000"/>
          <w:sz w:val="32"/>
          <w:szCs w:val="32"/>
          <w:lang w:val="en-US" w:eastAsia="zh-CN"/>
        </w:rPr>
        <w:t>财政拨款支出79918.93万元，其中：基本支出7839.94万元，项目支出72078.99万元。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Times New Roman" w:hAnsi="Times New Roman" w:eastAsia="宋体" w:cs="Times New Roman"/>
          <w:kern w:val="2"/>
          <w:sz w:val="21"/>
          <w:szCs w:val="24"/>
          <w:lang w:val="en-US" w:eastAsia="zh-CN" w:bidi="ar-SA"/>
        </w:rPr>
      </w:pPr>
      <w:r>
        <w:rPr>
          <w:rFonts w:hint="eastAsia" w:ascii="仿宋_GB2312" w:hAnsi="仿宋_GB2312" w:eastAsia="仿宋_GB2312" w:cs="仿宋_GB2312"/>
          <w:kern w:val="0"/>
          <w:sz w:val="32"/>
          <w:szCs w:val="32"/>
          <w:shd w:val="clear" w:color="auto" w:fill="FFFFFF"/>
        </w:rPr>
        <w:t>3.部门财政拨款结转结余情况</w:t>
      </w:r>
    </w:p>
    <w:p>
      <w:pPr>
        <w:keepNext w:val="0"/>
        <w:keepLines w:val="0"/>
        <w:pageBreakBefore w:val="0"/>
        <w:tabs>
          <w:tab w:val="left" w:pos="636"/>
        </w:tabs>
        <w:kinsoku/>
        <w:wordWrap/>
        <w:overflowPunct/>
        <w:topLinePunct w:val="0"/>
        <w:autoSpaceDE/>
        <w:autoSpaceDN/>
        <w:bidi w:val="0"/>
        <w:spacing w:line="600" w:lineRule="exact"/>
        <w:ind w:firstLine="420" w:firstLineChars="200"/>
        <w:jc w:val="left"/>
        <w:textAlignment w:val="auto"/>
        <w:rPr>
          <w:lang w:val="en-US" w:eastAsia="zh-CN"/>
        </w:rPr>
      </w:pPr>
      <w:r>
        <w:rPr>
          <w:rFonts w:hint="eastAsia"/>
          <w:lang w:val="en-US" w:eastAsia="zh-CN"/>
        </w:rPr>
        <w:tab/>
      </w:r>
      <w:r>
        <w:rPr>
          <w:rFonts w:hint="eastAsia" w:ascii="仿宋_GB2312" w:hAnsi="仿宋" w:eastAsia="仿宋_GB2312"/>
          <w:sz w:val="32"/>
          <w:szCs w:val="32"/>
          <w:lang w:val="en-US" w:eastAsia="zh-CN"/>
        </w:rPr>
        <w:t>住建局部门2022年</w:t>
      </w:r>
      <w:r>
        <w:rPr>
          <w:rFonts w:hint="eastAsia" w:ascii="仿宋_GB2312" w:hAnsi="仿宋" w:eastAsia="仿宋_GB2312"/>
          <w:sz w:val="32"/>
          <w:szCs w:val="32"/>
        </w:rPr>
        <w:t>财政拨款结转结余</w:t>
      </w:r>
      <w:r>
        <w:rPr>
          <w:rFonts w:hint="eastAsia" w:ascii="仿宋_GB2312" w:hAnsi="仿宋" w:eastAsia="仿宋_GB2312"/>
          <w:sz w:val="32"/>
          <w:szCs w:val="32"/>
          <w:lang w:val="en-US" w:eastAsia="zh-CN"/>
        </w:rPr>
        <w:t>33048.38万元，其中：一般公共预算财政拨款33042.94万元，政府性基金预算财政拨款5.44万元，其中，</w:t>
      </w:r>
      <w:r>
        <w:rPr>
          <w:rFonts w:hint="eastAsia" w:ascii="仿宋_GB2312" w:hAnsi="仿宋" w:eastAsia="仿宋_GB2312"/>
          <w:sz w:val="32"/>
          <w:szCs w:val="32"/>
          <w:highlight w:val="none"/>
          <w:lang w:val="en-US" w:eastAsia="zh-CN"/>
        </w:rPr>
        <w:t>峨眉山市城乡建设保障服务中心</w:t>
      </w:r>
      <w:r>
        <w:rPr>
          <w:rFonts w:hint="eastAsia" w:ascii="仿宋_GB2312" w:hAnsi="仿宋" w:eastAsia="仿宋_GB2312"/>
          <w:sz w:val="32"/>
          <w:szCs w:val="32"/>
          <w:lang w:val="en-US" w:eastAsia="zh-CN"/>
        </w:rPr>
        <w:t>财政拨款结转占住建局部门99.99%。</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人员类经费</w:t>
      </w:r>
      <w:r>
        <w:rPr>
          <w:rFonts w:hint="eastAsia" w:ascii="仿宋_GB2312" w:hAnsi="仿宋_GB2312" w:eastAsia="仿宋_GB2312" w:cs="仿宋_GB2312"/>
          <w:kern w:val="0"/>
          <w:sz w:val="32"/>
          <w:szCs w:val="32"/>
          <w:shd w:val="clear" w:color="auto" w:fill="FFFFFF"/>
          <w:lang w:val="en-US" w:eastAsia="zh-CN"/>
        </w:rPr>
        <w:t>3793.14</w:t>
      </w:r>
      <w:r>
        <w:rPr>
          <w:rFonts w:hint="eastAsia" w:ascii="仿宋_GB2312" w:hAnsi="仿宋_GB2312" w:eastAsia="仿宋_GB2312" w:cs="仿宋_GB2312"/>
          <w:kern w:val="0"/>
          <w:sz w:val="32"/>
          <w:szCs w:val="32"/>
          <w:shd w:val="clear" w:color="auto" w:fill="FFFFFF"/>
          <w:lang w:val="zh-CN"/>
        </w:rPr>
        <w:t>万元，</w:t>
      </w:r>
      <w:r>
        <w:rPr>
          <w:rFonts w:hint="eastAsia" w:ascii="仿宋_GB2312" w:hAnsi="仿宋_GB2312" w:eastAsia="仿宋_GB2312" w:cs="仿宋_GB2312"/>
          <w:kern w:val="0"/>
          <w:sz w:val="32"/>
          <w:szCs w:val="32"/>
          <w:shd w:val="clear" w:color="auto" w:fill="FFFFFF"/>
          <w:lang w:val="en-US" w:eastAsia="zh-CN"/>
        </w:rPr>
        <w:t>财政资金的使用有力</w:t>
      </w:r>
      <w:r>
        <w:rPr>
          <w:rFonts w:hint="eastAsia" w:ascii="仿宋_GB2312" w:hAnsi="仿宋_GB2312" w:eastAsia="仿宋_GB2312" w:cs="仿宋_GB2312"/>
          <w:kern w:val="0"/>
          <w:sz w:val="32"/>
          <w:szCs w:val="32"/>
          <w:shd w:val="clear" w:color="auto" w:fill="FFFFFF"/>
          <w:lang w:val="zh-CN" w:eastAsia="zh-CN"/>
        </w:rPr>
        <w:t>保障住建局机关运转和履行职能职责，</w:t>
      </w:r>
      <w:r>
        <w:rPr>
          <w:rFonts w:hint="eastAsia" w:ascii="仿宋_GB2312" w:hAnsi="仿宋_GB2312" w:eastAsia="仿宋_GB2312" w:cs="仿宋_GB2312"/>
          <w:kern w:val="0"/>
          <w:sz w:val="32"/>
          <w:szCs w:val="32"/>
          <w:shd w:val="clear" w:color="auto" w:fill="FFFFFF"/>
          <w:lang w:val="en-US" w:eastAsia="zh-CN"/>
        </w:rPr>
        <w:t>2022年预算支出资金主要用于机关及下属事业单位人员工资以及为完成特定行政工作任务和事业发展目标而安排的年度项目支出，</w:t>
      </w:r>
      <w:r>
        <w:rPr>
          <w:rFonts w:hint="eastAsia" w:ascii="仿宋_GB2312" w:hAnsi="仿宋_GB2312" w:eastAsia="仿宋_GB2312" w:cs="仿宋_GB2312"/>
          <w:kern w:val="0"/>
          <w:sz w:val="32"/>
          <w:szCs w:val="32"/>
          <w:shd w:val="clear" w:color="auto" w:fill="FFFFFF"/>
          <w:lang w:val="zh-CN"/>
        </w:rPr>
        <w:t>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运转类经费</w:t>
      </w:r>
      <w:r>
        <w:rPr>
          <w:rFonts w:hint="eastAsia" w:ascii="仿宋_GB2312" w:hAnsi="仿宋_GB2312" w:eastAsia="仿宋_GB2312" w:cs="仿宋_GB2312"/>
          <w:kern w:val="0"/>
          <w:sz w:val="32"/>
          <w:szCs w:val="32"/>
          <w:shd w:val="clear" w:color="auto" w:fill="FFFFFF"/>
          <w:lang w:val="en-US" w:eastAsia="zh-CN"/>
        </w:rPr>
        <w:t>4046.80</w:t>
      </w:r>
      <w:r>
        <w:rPr>
          <w:rFonts w:hint="eastAsia" w:ascii="仿宋_GB2312" w:hAnsi="仿宋_GB2312" w:eastAsia="仿宋_GB2312" w:cs="仿宋_GB2312"/>
          <w:kern w:val="0"/>
          <w:sz w:val="32"/>
          <w:szCs w:val="32"/>
          <w:shd w:val="clear" w:color="auto" w:fill="FFFFFF"/>
          <w:lang w:val="zh-CN"/>
        </w:rPr>
        <w:t>万元，</w:t>
      </w:r>
      <w:r>
        <w:rPr>
          <w:rFonts w:hint="eastAsia" w:ascii="仿宋_GB2312" w:hAnsi="仿宋_GB2312" w:eastAsia="仿宋_GB2312" w:cs="仿宋_GB2312"/>
          <w:kern w:val="0"/>
          <w:sz w:val="32"/>
          <w:szCs w:val="32"/>
          <w:shd w:val="clear" w:color="auto" w:fill="FFFFFF"/>
          <w:lang w:val="en-US" w:eastAsia="zh-CN"/>
        </w:rPr>
        <w:t>2022年预算支出资金主要用于机关及下属事业单位日常运转以及为完成特定行政工作任务和事业发展目标而安排的年度项目支出，</w:t>
      </w:r>
      <w:r>
        <w:rPr>
          <w:rFonts w:hint="eastAsia" w:ascii="仿宋_GB2312" w:hAnsi="仿宋_GB2312" w:eastAsia="仿宋_GB2312" w:cs="仿宋_GB2312"/>
          <w:kern w:val="0"/>
          <w:sz w:val="32"/>
          <w:szCs w:val="32"/>
          <w:shd w:val="clear" w:color="auto" w:fill="FFFFFF"/>
          <w:lang w:val="zh-CN"/>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特定目标类项目</w:t>
      </w:r>
      <w:r>
        <w:rPr>
          <w:rFonts w:hint="eastAsia" w:ascii="仿宋_GB2312" w:hAnsi="仿宋_GB2312" w:eastAsia="仿宋_GB2312" w:cs="仿宋_GB2312"/>
          <w:kern w:val="0"/>
          <w:sz w:val="32"/>
          <w:szCs w:val="32"/>
          <w:shd w:val="clear" w:color="auto" w:fill="FFFFFF"/>
          <w:lang w:val="en-US" w:eastAsia="zh-CN"/>
        </w:rPr>
        <w:t>:2022年住建局支付棚户区改造一期项目工程款27917.55万元；支出保障性安居工程等建设项目5486.97万元；支出海天水务污水处理费1235万元；支付地方政府债券项目资金8800万元；支付城市公共设施项目经费2317.93万元；城市环境卫生支出1720.98万元。</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en-US" w:eastAsia="zh-CN"/>
        </w:rPr>
        <w:t>2022年</w:t>
      </w:r>
      <w:r>
        <w:rPr>
          <w:rFonts w:hint="eastAsia" w:ascii="仿宋_GB2312" w:hAnsi="仿宋_GB2312" w:eastAsia="仿宋_GB2312" w:cs="仿宋_GB2312"/>
          <w:kern w:val="0"/>
          <w:sz w:val="32"/>
          <w:szCs w:val="32"/>
          <w:shd w:val="clear" w:color="auto" w:fill="FFFFFF"/>
          <w:lang w:val="zh-CN" w:eastAsia="zh-CN"/>
        </w:rPr>
        <w:t>峨眉山市住房和城乡建设局部门预算编制</w:t>
      </w:r>
      <w:r>
        <w:rPr>
          <w:rFonts w:hint="eastAsia" w:ascii="仿宋_GB2312" w:hAnsi="仿宋_GB2312" w:eastAsia="仿宋_GB2312" w:cs="仿宋_GB2312"/>
          <w:kern w:val="0"/>
          <w:sz w:val="32"/>
          <w:szCs w:val="32"/>
          <w:shd w:val="clear" w:color="auto" w:fill="FFFFFF"/>
          <w:lang w:val="en-US" w:eastAsia="zh-CN"/>
        </w:rPr>
        <w:t>按照预算管理有关规定执行，部门预算的编制实行综合预算制度，即全部收入和支出都反映在预算中。</w:t>
      </w:r>
      <w:r>
        <w:rPr>
          <w:rFonts w:hint="eastAsia" w:ascii="仿宋_GB2312" w:hAnsi="仿宋_GB2312" w:eastAsia="仿宋_GB2312" w:cs="仿宋_GB2312"/>
          <w:kern w:val="0"/>
          <w:sz w:val="32"/>
          <w:szCs w:val="32"/>
          <w:shd w:val="clear" w:color="auto" w:fill="FFFFFF"/>
          <w:lang w:val="zh-CN" w:eastAsia="zh-CN"/>
        </w:rPr>
        <w:t>决算编制严格按照《会计法》、《政府会计准则》等法律法规编制；绩效目标的填报严格按照《预算法》的相关规定合理进行绩效目标填报。</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_GB2312" w:eastAsia="仿宋_GB2312" w:cs="仿宋_GB2312"/>
          <w:kern w:val="0"/>
          <w:sz w:val="32"/>
          <w:szCs w:val="32"/>
          <w:shd w:val="clear" w:color="auto" w:fill="FFFFFF"/>
          <w:lang w:val="zh-CN" w:eastAsia="zh-CN"/>
        </w:rPr>
        <w:t>峨眉山市住房和城乡建设局部门</w:t>
      </w:r>
      <w:r>
        <w:rPr>
          <w:rFonts w:hint="eastAsia" w:ascii="仿宋" w:hAnsi="仿宋" w:eastAsia="仿宋" w:cs="仿宋"/>
          <w:sz w:val="32"/>
          <w:szCs w:val="32"/>
          <w:highlight w:val="none"/>
        </w:rPr>
        <w:t>按要求对</w:t>
      </w: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年部门整体支出开展绩效自评，从评价情况来看</w:t>
      </w:r>
      <w:r>
        <w:rPr>
          <w:rFonts w:hint="eastAsia" w:ascii="仿宋_GB2312" w:hAnsi="仿宋" w:eastAsia="仿宋_GB2312"/>
          <w:sz w:val="32"/>
          <w:szCs w:val="32"/>
        </w:rPr>
        <w:t>完成</w:t>
      </w:r>
      <w:r>
        <w:rPr>
          <w:rFonts w:hint="eastAsia" w:ascii="仿宋_GB2312" w:hAnsi="仿宋" w:eastAsia="仿宋_GB2312"/>
          <w:sz w:val="32"/>
          <w:szCs w:val="32"/>
          <w:lang w:eastAsia="zh-CN"/>
        </w:rPr>
        <w:t>了</w:t>
      </w:r>
      <w:r>
        <w:rPr>
          <w:rFonts w:hint="eastAsia" w:ascii="仿宋_GB2312" w:hAnsi="仿宋" w:eastAsia="仿宋_GB2312"/>
          <w:sz w:val="32"/>
          <w:szCs w:val="32"/>
        </w:rPr>
        <w:t>城市建设有关项目建设工作，安置房项目的建设和维修工作，推进符溪、高桥等集镇建设工作，开展农村房屋安全隐患排查整治工作，完成杆管线迁改工作，对维护全市绿化亮化设施，提升绿化亮化水平。加强房地产行业、建筑业、物业行业、市政设施、人防工作、行政执法工作的管理。落实公共租赁住房管理工作。做好污水处理设施的建设、运营、和维护工作。加强建筑施工领域扬尘治理、环境卫生治理工作。开展市政设施零星维修工作，保障739厂老生活区稳定，继续开展峨秀湖景区的管理维护工作和城建档案管理工作。保障白蚁防治和消防设计审查工作开展。污水处理、垃圾处理、城市绿化、亮化工作持续有效开展，服务群众满意度≥90%。</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kern w:val="0"/>
          <w:sz w:val="32"/>
          <w:szCs w:val="32"/>
          <w:shd w:val="clear" w:color="auto" w:fill="FFFFFF"/>
          <w:lang w:val="zh-CN"/>
        </w:rPr>
      </w:pPr>
      <w:r>
        <w:rPr>
          <w:rFonts w:hint="eastAsia" w:ascii="仿宋" w:hAnsi="仿宋" w:eastAsia="仿宋" w:cs="仿宋"/>
          <w:sz w:val="32"/>
          <w:szCs w:val="32"/>
          <w:highlight w:val="none"/>
          <w:lang w:val="zh-CN"/>
        </w:rPr>
        <w:t>资金使用做到合理可行，有规可依。成本控制达到目标要求，工程质量达标；</w:t>
      </w:r>
      <w:r>
        <w:rPr>
          <w:rFonts w:hint="eastAsia" w:ascii="仿宋" w:hAnsi="仿宋" w:eastAsia="仿宋" w:cs="仿宋"/>
          <w:color w:val="000000"/>
          <w:kern w:val="0"/>
          <w:sz w:val="32"/>
          <w:szCs w:val="32"/>
          <w:highlight w:val="none"/>
          <w:lang w:val="zh-CN"/>
        </w:rPr>
        <w:t>从</w:t>
      </w:r>
      <w:r>
        <w:rPr>
          <w:rFonts w:hint="eastAsia" w:ascii="仿宋" w:hAnsi="仿宋" w:eastAsia="仿宋" w:cs="仿宋"/>
          <w:color w:val="000000"/>
          <w:kern w:val="0"/>
          <w:sz w:val="32"/>
          <w:szCs w:val="32"/>
          <w:highlight w:val="none"/>
          <w:lang w:eastAsia="zh-CN"/>
        </w:rPr>
        <w:t>保障房等建设</w:t>
      </w:r>
      <w:r>
        <w:rPr>
          <w:rFonts w:hint="eastAsia" w:ascii="仿宋" w:hAnsi="仿宋" w:eastAsia="仿宋" w:cs="仿宋"/>
          <w:color w:val="000000"/>
          <w:kern w:val="0"/>
          <w:sz w:val="32"/>
          <w:szCs w:val="32"/>
          <w:highlight w:val="none"/>
        </w:rPr>
        <w:t>项目</w:t>
      </w:r>
      <w:r>
        <w:rPr>
          <w:rFonts w:hint="eastAsia" w:ascii="仿宋" w:hAnsi="仿宋" w:eastAsia="仿宋" w:cs="仿宋"/>
          <w:color w:val="000000"/>
          <w:kern w:val="0"/>
          <w:sz w:val="32"/>
          <w:szCs w:val="32"/>
          <w:highlight w:val="none"/>
          <w:lang w:eastAsia="zh-CN"/>
        </w:rPr>
        <w:t>的实施，有效提升了峨眉山市城区及集镇的基础设施水平，解决了一批农村危房问题，提高了市民的农村居民的生活水平和满意度，为我市打造绿水青山典范城市和世界重要旅游目的地城市提供了有力支撑。</w:t>
      </w:r>
    </w:p>
    <w:p>
      <w:pPr>
        <w:keepNext w:val="0"/>
        <w:keepLines w:val="0"/>
        <w:pageBreakBefore w:val="0"/>
        <w:widowControl/>
        <w:numPr>
          <w:ilvl w:val="0"/>
          <w:numId w:val="8"/>
        </w:numPr>
        <w:kinsoku/>
        <w:wordWrap/>
        <w:overflowPunct/>
        <w:topLinePunct w:val="0"/>
        <w:autoSpaceDE/>
        <w:autoSpaceDN/>
        <w:bidi w:val="0"/>
        <w:adjustRightInd w:val="0"/>
        <w:snapToGrid w:val="0"/>
        <w:spacing w:line="600" w:lineRule="exact"/>
        <w:ind w:firstLine="643" w:firstLineChars="200"/>
        <w:contextualSpacing/>
        <w:jc w:val="left"/>
        <w:textAlignment w:val="auto"/>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eastAsia="zh-CN"/>
        </w:rPr>
        <w:t>202</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eastAsia="zh-CN"/>
        </w:rPr>
        <w:t>年峨眉山市住房和城乡建设局部门严格按照绩效目标的要求，合理安排使用资金，严格控制资金的计划、审批和使用，并按照进度要求及时与财政部门对接，发挥各项资金的最大绩效。经住建局部门自评打分得分</w:t>
      </w:r>
      <w:r>
        <w:rPr>
          <w:rFonts w:hint="eastAsia" w:ascii="仿宋_GB2312" w:hAnsi="仿宋_GB2312" w:eastAsia="仿宋_GB2312" w:cs="仿宋_GB2312"/>
          <w:kern w:val="0"/>
          <w:sz w:val="32"/>
          <w:szCs w:val="32"/>
          <w:shd w:val="clear" w:color="auto" w:fill="FFFFFF"/>
          <w:lang w:val="en-US" w:eastAsia="zh-CN"/>
        </w:rPr>
        <w:t>99分，扣分原因为12月预算执行进度为90.34%，扣1分。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_GB2312" w:hAnsi="宋体" w:cs="宋体"/>
          <w:color w:val="000000"/>
          <w:kern w:val="0"/>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楷体_GB2312" w:eastAsia="楷体_GB2312" w:cs="楷体_GB2312"/>
          <w:b/>
          <w:bCs/>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eastAsia="zh-CN"/>
        </w:rPr>
        <w:t>峨眉山市住房和城乡建设局</w:t>
      </w:r>
      <w:r>
        <w:rPr>
          <w:rFonts w:hint="eastAsia" w:ascii="仿宋_GB2312" w:hAnsi="仿宋_GB2312" w:eastAsia="仿宋_GB2312" w:cs="仿宋_GB2312"/>
          <w:kern w:val="0"/>
          <w:sz w:val="32"/>
          <w:szCs w:val="32"/>
          <w:shd w:val="clear" w:color="auto" w:fill="FFFFFF"/>
        </w:rPr>
        <w:t>部门按要求对</w:t>
      </w:r>
      <w:r>
        <w:rPr>
          <w:rFonts w:hint="eastAsia" w:ascii="仿宋_GB2312" w:hAnsi="仿宋_GB2312" w:eastAsia="仿宋_GB2312" w:cs="仿宋_GB2312"/>
          <w:kern w:val="0"/>
          <w:sz w:val="32"/>
          <w:szCs w:val="32"/>
          <w:shd w:val="clear" w:color="auto" w:fill="FFFFFF"/>
          <w:lang w:eastAsia="zh-CN"/>
        </w:rPr>
        <w:t>202</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年部门整体支出开展绩效自评，从评价情况来看</w:t>
      </w:r>
      <w:r>
        <w:rPr>
          <w:rFonts w:hint="eastAsia" w:ascii="仿宋_GB2312" w:hAnsi="仿宋_GB2312" w:eastAsia="仿宋_GB2312" w:cs="仿宋_GB2312"/>
          <w:kern w:val="0"/>
          <w:sz w:val="32"/>
          <w:szCs w:val="32"/>
          <w:shd w:val="clear" w:color="auto" w:fill="FFFFFF"/>
          <w:lang w:eastAsia="zh-CN"/>
        </w:rPr>
        <w:t>保障房等建设</w:t>
      </w:r>
      <w:r>
        <w:rPr>
          <w:rFonts w:hint="eastAsia" w:ascii="仿宋_GB2312" w:hAnsi="仿宋_GB2312" w:eastAsia="仿宋_GB2312" w:cs="仿宋_GB2312"/>
          <w:kern w:val="0"/>
          <w:sz w:val="32"/>
          <w:szCs w:val="32"/>
          <w:shd w:val="clear" w:color="auto" w:fill="FFFFFF"/>
        </w:rPr>
        <w:t>项目</w:t>
      </w:r>
      <w:r>
        <w:rPr>
          <w:rFonts w:hint="eastAsia" w:ascii="仿宋_GB2312" w:hAnsi="仿宋_GB2312" w:eastAsia="仿宋_GB2312" w:cs="仿宋_GB2312"/>
          <w:kern w:val="0"/>
          <w:sz w:val="32"/>
          <w:szCs w:val="32"/>
          <w:shd w:val="clear" w:color="auto" w:fill="FFFFFF"/>
          <w:lang w:val="zh-CN"/>
        </w:rPr>
        <w:t>按时完成了保障性安居工程建设施工和乡镇污水处理设施项目建设，保障了城市污水处理、垃圾处理、环境卫生清扫、园林绿化工作、市政设施及亮化设施的正常运转，资金使用做到合理可行，有规可依。资金使用规范，成本控制达到目标要求，工程质量达标；从</w:t>
      </w:r>
      <w:r>
        <w:rPr>
          <w:rFonts w:hint="eastAsia" w:ascii="仿宋_GB2312" w:hAnsi="仿宋_GB2312" w:eastAsia="仿宋_GB2312" w:cs="仿宋_GB2312"/>
          <w:kern w:val="0"/>
          <w:sz w:val="32"/>
          <w:szCs w:val="32"/>
          <w:shd w:val="clear" w:color="auto" w:fill="FFFFFF"/>
          <w:lang w:eastAsia="zh-CN"/>
        </w:rPr>
        <w:t>保障性安居工程等建设</w:t>
      </w:r>
      <w:r>
        <w:rPr>
          <w:rFonts w:hint="eastAsia" w:ascii="仿宋_GB2312" w:hAnsi="仿宋_GB2312" w:eastAsia="仿宋_GB2312" w:cs="仿宋_GB2312"/>
          <w:kern w:val="0"/>
          <w:sz w:val="32"/>
          <w:szCs w:val="32"/>
          <w:shd w:val="clear" w:color="auto" w:fill="FFFFFF"/>
        </w:rPr>
        <w:t>项目</w:t>
      </w:r>
      <w:r>
        <w:rPr>
          <w:rFonts w:hint="eastAsia" w:ascii="仿宋_GB2312" w:hAnsi="仿宋_GB2312" w:eastAsia="仿宋_GB2312" w:cs="仿宋_GB2312"/>
          <w:kern w:val="0"/>
          <w:sz w:val="32"/>
          <w:szCs w:val="32"/>
          <w:shd w:val="clear" w:color="auto" w:fill="FFFFFF"/>
          <w:lang w:eastAsia="zh-CN"/>
        </w:rPr>
        <w:t>的实施，有效提升了峨眉山市城区及集镇的基础设施水平，解决了一批城市市政设施不配套引发的问题，有力保障了城市功能的正常运转，提高了市民及农村居民的生活水平和满意度，为我市打造绿水青山典范城市和世界重要旅游目的地城市提供了有力支撑。</w:t>
      </w:r>
    </w:p>
    <w:p>
      <w:pPr>
        <w:keepNext w:val="0"/>
        <w:keepLines w:val="0"/>
        <w:pageBreakBefore w:val="0"/>
        <w:numPr>
          <w:ilvl w:val="0"/>
          <w:numId w:val="9"/>
        </w:numPr>
        <w:kinsoku/>
        <w:wordWrap/>
        <w:overflowPunct/>
        <w:topLinePunct w:val="0"/>
        <w:autoSpaceDE/>
        <w:autoSpaceDN/>
        <w:bidi w:val="0"/>
        <w:spacing w:line="600" w:lineRule="exact"/>
        <w:ind w:firstLine="643" w:firstLineChars="200"/>
        <w:textAlignment w:val="auto"/>
        <w:outlineLvl w:val="1"/>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存在问题。</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1"/>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在预算执行及绩效管理过程中主要存在以下问题：一是预算执行率还有待提高，二是制定的预算绩效管理的具体办法和方案不够全面，有待进一步完善。</w:t>
      </w:r>
    </w:p>
    <w:p>
      <w:pPr>
        <w:keepNext w:val="0"/>
        <w:keepLines w:val="0"/>
        <w:pageBreakBefore w:val="0"/>
        <w:kinsoku/>
        <w:wordWrap/>
        <w:overflowPunct/>
        <w:topLinePunct w:val="0"/>
        <w:autoSpaceDE/>
        <w:autoSpaceDN/>
        <w:bidi w:val="0"/>
        <w:spacing w:line="600" w:lineRule="exact"/>
        <w:ind w:firstLine="640" w:firstLineChars="200"/>
        <w:textAlignment w:val="auto"/>
        <w:rPr>
          <w:rFonts w:ascii="楷体_GB2312" w:hAnsi="楷体_GB2312" w:eastAsia="楷体_GB2312" w:cs="楷体_GB2312"/>
          <w:b/>
          <w:bCs/>
          <w:kern w:val="0"/>
          <w:sz w:val="32"/>
          <w:szCs w:val="32"/>
          <w:shd w:val="clear" w:color="auto" w:fill="FFFFFF"/>
          <w:lang w:val="zh-CN"/>
        </w:rPr>
      </w:pPr>
      <w:r>
        <w:rPr>
          <w:rFonts w:hint="eastAsia" w:ascii="仿宋_GB2312" w:hAnsi="仿宋" w:eastAsia="仿宋_GB2312" w:cs="Times New Roman"/>
          <w:sz w:val="32"/>
          <w:szCs w:val="32"/>
          <w:lang w:val="en-US" w:eastAsia="zh-CN"/>
        </w:rPr>
        <w:t>整改措施：</w:t>
      </w:r>
      <w:r>
        <w:rPr>
          <w:rFonts w:hint="eastAsia" w:ascii="仿宋_GB2312" w:hAnsi="宋体" w:eastAsia="仿宋_GB2312" w:cs="宋体"/>
          <w:color w:val="000000"/>
          <w:kern w:val="0"/>
          <w:sz w:val="32"/>
          <w:szCs w:val="32"/>
          <w:highlight w:val="none"/>
          <w:shd w:val="clear" w:color="auto" w:fill="FFFFFF"/>
          <w:lang w:val="en-US" w:eastAsia="zh-CN"/>
        </w:rPr>
        <w:t>在预算绩效管理的项目实施过程中，要注重</w:t>
      </w:r>
      <w:r>
        <w:rPr>
          <w:rFonts w:hint="eastAsia" w:ascii="仿宋_GB2312" w:hAnsi="宋体" w:eastAsia="仿宋_GB2312" w:cs="宋体"/>
          <w:color w:val="000000"/>
          <w:kern w:val="0"/>
          <w:sz w:val="32"/>
          <w:szCs w:val="32"/>
          <w:highlight w:val="none"/>
          <w:shd w:val="clear" w:color="auto" w:fill="FFFFFF"/>
        </w:rPr>
        <w:t>资金分配合理</w:t>
      </w:r>
      <w:r>
        <w:rPr>
          <w:rFonts w:hint="eastAsia" w:ascii="仿宋_GB2312" w:hAnsi="宋体" w:eastAsia="仿宋_GB2312" w:cs="宋体"/>
          <w:color w:val="000000"/>
          <w:kern w:val="0"/>
          <w:sz w:val="32"/>
          <w:szCs w:val="32"/>
          <w:highlight w:val="none"/>
          <w:shd w:val="clear" w:color="auto" w:fill="FFFFFF"/>
          <w:lang w:eastAsia="zh-CN"/>
        </w:rPr>
        <w:t>，</w:t>
      </w:r>
      <w:r>
        <w:rPr>
          <w:rFonts w:hint="eastAsia" w:ascii="仿宋_GB2312" w:hAnsi="宋体" w:eastAsia="仿宋_GB2312" w:cs="宋体"/>
          <w:color w:val="000000"/>
          <w:kern w:val="0"/>
          <w:sz w:val="32"/>
          <w:szCs w:val="32"/>
          <w:highlight w:val="none"/>
          <w:shd w:val="clear" w:color="auto" w:fill="FFFFFF"/>
        </w:rPr>
        <w:t>健全财务管理制度</w:t>
      </w:r>
      <w:r>
        <w:rPr>
          <w:rFonts w:hint="eastAsia" w:ascii="仿宋_GB2312" w:hAnsi="宋体" w:eastAsia="仿宋_GB2312" w:cs="宋体"/>
          <w:color w:val="000000"/>
          <w:kern w:val="0"/>
          <w:sz w:val="32"/>
          <w:szCs w:val="32"/>
          <w:highlight w:val="none"/>
          <w:shd w:val="clear" w:color="auto" w:fill="FFFFFF"/>
          <w:lang w:eastAsia="zh-CN"/>
        </w:rPr>
        <w:t>，</w:t>
      </w:r>
      <w:r>
        <w:rPr>
          <w:rFonts w:hint="eastAsia" w:ascii="仿宋_GB2312" w:hAnsi="宋体" w:eastAsia="仿宋_GB2312" w:cs="宋体"/>
          <w:color w:val="000000"/>
          <w:kern w:val="0"/>
          <w:sz w:val="32"/>
          <w:szCs w:val="32"/>
          <w:highlight w:val="none"/>
          <w:shd w:val="clear" w:color="auto" w:fill="FFFFFF"/>
        </w:rPr>
        <w:t>规范资金</w:t>
      </w:r>
      <w:r>
        <w:rPr>
          <w:rFonts w:hint="eastAsia" w:ascii="仿宋_GB2312" w:hAnsi="宋体" w:eastAsia="仿宋_GB2312" w:cs="宋体"/>
          <w:color w:val="000000"/>
          <w:kern w:val="0"/>
          <w:sz w:val="32"/>
          <w:szCs w:val="32"/>
          <w:highlight w:val="none"/>
          <w:shd w:val="clear" w:color="auto" w:fill="FFFFFF"/>
          <w:lang w:eastAsia="zh-CN"/>
        </w:rPr>
        <w:t>支付</w:t>
      </w:r>
      <w:r>
        <w:rPr>
          <w:rFonts w:hint="eastAsia" w:ascii="仿宋_GB2312" w:hAnsi="宋体" w:eastAsia="仿宋_GB2312" w:cs="宋体"/>
          <w:color w:val="000000"/>
          <w:kern w:val="0"/>
          <w:sz w:val="32"/>
          <w:szCs w:val="32"/>
          <w:highlight w:val="none"/>
          <w:shd w:val="clear" w:color="auto" w:fill="FFFFFF"/>
        </w:rPr>
        <w:t>使用</w:t>
      </w:r>
      <w:r>
        <w:rPr>
          <w:rFonts w:hint="eastAsia" w:ascii="仿宋_GB2312" w:hAnsi="宋体" w:eastAsia="仿宋_GB2312" w:cs="宋体"/>
          <w:color w:val="000000"/>
          <w:kern w:val="0"/>
          <w:sz w:val="32"/>
          <w:szCs w:val="32"/>
          <w:highlight w:val="none"/>
          <w:shd w:val="clear" w:color="auto" w:fill="FFFFFF"/>
          <w:lang w:eastAsia="zh-CN"/>
        </w:rPr>
        <w:t>流程，规范</w:t>
      </w:r>
      <w:r>
        <w:rPr>
          <w:rFonts w:hint="eastAsia" w:ascii="仿宋_GB2312" w:hAnsi="宋体" w:eastAsia="仿宋_GB2312" w:cs="宋体"/>
          <w:color w:val="000000"/>
          <w:kern w:val="0"/>
          <w:sz w:val="32"/>
          <w:szCs w:val="32"/>
          <w:highlight w:val="none"/>
          <w:shd w:val="clear" w:color="auto" w:fill="FFFFFF"/>
        </w:rPr>
        <w:t>项目验收，保障</w:t>
      </w:r>
      <w:r>
        <w:rPr>
          <w:rFonts w:hint="eastAsia" w:ascii="仿宋_GB2312" w:hAnsi="宋体" w:eastAsia="仿宋_GB2312" w:cs="宋体"/>
          <w:color w:val="000000"/>
          <w:kern w:val="0"/>
          <w:sz w:val="32"/>
          <w:szCs w:val="32"/>
          <w:highlight w:val="none"/>
          <w:shd w:val="clear" w:color="auto" w:fill="FFFFFF"/>
          <w:lang w:eastAsia="zh-CN"/>
        </w:rPr>
        <w:t>各预算</w:t>
      </w:r>
      <w:r>
        <w:rPr>
          <w:rFonts w:hint="eastAsia" w:ascii="仿宋_GB2312" w:hAnsi="宋体" w:eastAsia="仿宋_GB2312" w:cs="宋体"/>
          <w:color w:val="000000"/>
          <w:kern w:val="0"/>
          <w:sz w:val="32"/>
          <w:szCs w:val="32"/>
          <w:highlight w:val="none"/>
          <w:shd w:val="clear" w:color="auto" w:fill="FFFFFF"/>
        </w:rPr>
        <w:t>项目</w:t>
      </w:r>
      <w:r>
        <w:rPr>
          <w:rFonts w:hint="eastAsia" w:ascii="仿宋_GB2312" w:hAnsi="宋体" w:eastAsia="仿宋_GB2312" w:cs="宋体"/>
          <w:color w:val="000000"/>
          <w:kern w:val="0"/>
          <w:sz w:val="32"/>
          <w:szCs w:val="32"/>
          <w:highlight w:val="none"/>
          <w:shd w:val="clear" w:color="auto" w:fill="FFFFFF"/>
          <w:lang w:eastAsia="zh-CN"/>
        </w:rPr>
        <w:t>的</w:t>
      </w:r>
      <w:r>
        <w:rPr>
          <w:rFonts w:hint="eastAsia" w:ascii="仿宋_GB2312" w:hAnsi="宋体" w:eastAsia="仿宋_GB2312" w:cs="宋体"/>
          <w:color w:val="000000"/>
          <w:kern w:val="0"/>
          <w:sz w:val="32"/>
          <w:szCs w:val="32"/>
          <w:highlight w:val="none"/>
          <w:shd w:val="clear" w:color="auto" w:fill="FFFFFF"/>
        </w:rPr>
        <w:t>顺利实施</w:t>
      </w:r>
      <w:r>
        <w:rPr>
          <w:rFonts w:hint="eastAsia" w:ascii="仿宋_GB2312" w:hAnsi="宋体" w:eastAsia="仿宋_GB2312" w:cs="宋体"/>
          <w:color w:val="000000"/>
          <w:kern w:val="0"/>
          <w:sz w:val="32"/>
          <w:szCs w:val="32"/>
          <w:highlight w:val="none"/>
          <w:shd w:val="clear" w:color="auto" w:fill="FFFFFF"/>
          <w:lang w:eastAsia="zh-CN"/>
        </w:rPr>
        <w:t>，项目执行过程中要加强监督和考核，及时提醒项目执行人按时完成项目执行进度</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仿宋" w:eastAsia="仿宋_GB2312" w:cs="Times New Roman"/>
          <w:sz w:val="32"/>
          <w:szCs w:val="32"/>
          <w:lang w:val="en-US" w:eastAsia="zh-CN"/>
        </w:rPr>
        <w:t>进一步完善全面预算管理办法和方案。</w:t>
      </w:r>
    </w:p>
    <w:p>
      <w:pPr>
        <w:pStyle w:val="14"/>
        <w:keepNext w:val="0"/>
        <w:keepLines w:val="0"/>
        <w:pageBreakBefore w:val="0"/>
        <w:kinsoku/>
        <w:wordWrap/>
        <w:overflowPunct/>
        <w:topLinePunct w:val="0"/>
        <w:autoSpaceDE/>
        <w:autoSpaceDN/>
        <w:bidi w:val="0"/>
        <w:spacing w:line="600" w:lineRule="exact"/>
        <w:ind w:left="0" w:leftChars="0" w:firstLine="640" w:firstLineChars="200"/>
        <w:textAlignment w:val="auto"/>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pStyle w:val="14"/>
        <w:spacing w:line="560" w:lineRule="exact"/>
        <w:ind w:left="0" w:leftChars="0" w:firstLine="0" w:firstLineChars="0"/>
        <w:rPr>
          <w:sz w:val="32"/>
          <w:lang w:val="zh-CN"/>
        </w:rPr>
      </w:pPr>
    </w:p>
    <w:p>
      <w:pPr>
        <w:pStyle w:val="2"/>
        <w:spacing w:before="93"/>
        <w:rPr>
          <w:rFonts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rPr>
          <w:rFonts w:hint="eastAsia" w:hAnsi="宋体" w:cs="宋体"/>
          <w:sz w:val="32"/>
          <w:szCs w:val="32"/>
          <w:shd w:val="clear" w:color="auto" w:fill="FFFFFF"/>
          <w:lang w:val="zh-CN"/>
        </w:rPr>
      </w:pPr>
    </w:p>
    <w:p>
      <w:pPr>
        <w:pStyle w:val="2"/>
        <w:rPr>
          <w:rFonts w:hint="eastAsia" w:hAnsi="宋体" w:cs="宋体"/>
          <w:sz w:val="32"/>
          <w:szCs w:val="32"/>
          <w:shd w:val="clear" w:color="auto" w:fill="FFFFFF"/>
          <w:lang w:val="zh-CN"/>
        </w:rPr>
      </w:pPr>
    </w:p>
    <w:p>
      <w:pPr>
        <w:rPr>
          <w:rFonts w:hint="eastAsia"/>
          <w:lang w:val="zh-CN"/>
        </w:rPr>
      </w:pPr>
    </w:p>
    <w:p>
      <w:pPr>
        <w:pStyle w:val="2"/>
        <w:spacing w:before="93"/>
        <w:rPr>
          <w:rFonts w:hint="eastAsia" w:hAnsi="宋体" w:cs="宋体"/>
          <w:sz w:val="32"/>
          <w:szCs w:val="32"/>
          <w:shd w:val="clear" w:color="auto" w:fill="FFFFFF"/>
          <w:lang w:val="zh-CN"/>
        </w:rPr>
      </w:pPr>
    </w:p>
    <w:p>
      <w:pPr>
        <w:rPr>
          <w:rFonts w:hint="eastAsia" w:hAnsi="宋体" w:cs="宋体"/>
          <w:sz w:val="32"/>
          <w:szCs w:val="32"/>
          <w:shd w:val="clear" w:color="auto" w:fill="FFFFFF"/>
          <w:lang w:val="zh-CN"/>
        </w:rPr>
      </w:pPr>
      <w:r>
        <w:rPr>
          <w:rFonts w:hint="eastAsia" w:hAnsi="宋体" w:cs="宋体"/>
          <w:sz w:val="32"/>
          <w:szCs w:val="32"/>
          <w:shd w:val="clear" w:color="auto" w:fill="FFFFFF"/>
          <w:lang w:val="zh-CN"/>
        </w:rPr>
        <w:br w:type="page"/>
      </w:r>
    </w:p>
    <w:p>
      <w:pPr>
        <w:pStyle w:val="2"/>
        <w:spacing w:before="93"/>
        <w:rPr>
          <w:sz w:val="32"/>
          <w:szCs w:val="32"/>
        </w:rPr>
      </w:pPr>
      <w:r>
        <w:rPr>
          <w:rFonts w:hint="eastAsia" w:ascii="黑体" w:hAnsi="黑体" w:eastAsia="黑体" w:cs="黑体"/>
          <w:kern w:val="2"/>
          <w:sz w:val="32"/>
          <w:szCs w:val="32"/>
          <w:lang w:val="zh-CN" w:eastAsia="zh-CN" w:bidi="ar-SA"/>
        </w:rPr>
        <w:t>附件</w:t>
      </w:r>
      <w:r>
        <w:rPr>
          <w:rFonts w:hint="eastAsia" w:ascii="黑体" w:hAnsi="黑体" w:eastAsia="黑体" w:cs="黑体"/>
          <w:kern w:val="2"/>
          <w:sz w:val="32"/>
          <w:szCs w:val="32"/>
          <w:lang w:val="en-US" w:eastAsia="zh-CN" w:bidi="ar-SA"/>
        </w:rPr>
        <w:t>2</w:t>
      </w:r>
    </w:p>
    <w:p>
      <w:pPr>
        <w:pStyle w:val="34"/>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hAnsi="宋体" w:eastAsia="方正小标宋简体"/>
          <w:sz w:val="32"/>
          <w:szCs w:val="32"/>
          <w:lang w:eastAsia="zh-CN"/>
        </w:rPr>
      </w:pPr>
      <w:r>
        <w:rPr>
          <w:rFonts w:hint="eastAsia" w:ascii="方正小标宋简体" w:hAnsi="宋体" w:eastAsia="方正小标宋简体"/>
          <w:sz w:val="32"/>
          <w:szCs w:val="32"/>
          <w:lang w:val="en-US" w:eastAsia="zh-CN"/>
        </w:rPr>
        <w:t>2022年峨眉山市住房和城乡建设局</w:t>
      </w:r>
      <w:r>
        <w:rPr>
          <w:rFonts w:hint="eastAsia" w:ascii="方正小标宋简体" w:hAnsi="宋体" w:eastAsia="方正小标宋简体"/>
          <w:sz w:val="32"/>
          <w:szCs w:val="32"/>
          <w:lang w:eastAsia="zh-CN"/>
        </w:rPr>
        <w:t>老旧小区改造项目</w:t>
      </w:r>
      <w:r>
        <w:rPr>
          <w:rFonts w:hint="eastAsia" w:ascii="方正小标宋简体" w:hAnsi="宋体" w:eastAsia="方正小标宋简体"/>
          <w:sz w:val="32"/>
          <w:szCs w:val="32"/>
          <w:lang w:val="en-US" w:eastAsia="zh-CN"/>
        </w:rPr>
        <w:t xml:space="preserve">    </w:t>
      </w:r>
      <w:r>
        <w:rPr>
          <w:rFonts w:hint="eastAsia" w:ascii="方正小标宋简体" w:hAnsi="宋体" w:eastAsia="方正小标宋简体"/>
          <w:sz w:val="32"/>
          <w:szCs w:val="32"/>
          <w:lang w:eastAsia="zh-CN"/>
        </w:rPr>
        <w:t>专项资金预算项目</w:t>
      </w:r>
      <w:r>
        <w:rPr>
          <w:rFonts w:hint="eastAsia" w:ascii="方正小标宋简体" w:hAnsi="宋体" w:eastAsia="方正小标宋简体"/>
          <w:sz w:val="32"/>
          <w:szCs w:val="32"/>
        </w:rPr>
        <w:t>绩效自评</w:t>
      </w:r>
      <w:r>
        <w:rPr>
          <w:rFonts w:hint="eastAsia" w:ascii="方正小标宋简体" w:hAnsi="宋体" w:eastAsia="方正小标宋简体"/>
          <w:sz w:val="32"/>
          <w:szCs w:val="32"/>
          <w:lang w:eastAsia="zh-CN"/>
        </w:rPr>
        <w:t>报告</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黑体" w:hAnsi="宋体" w:eastAsia="黑体"/>
        </w:rPr>
      </w:pP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（一）项目资金申报及批复情况。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申报获得中央财政老旧小区改造资金、省级财政城镇老旧小区改造资金共计5250万元。其中：2021年根据川财综[2021]30号、川财综[2021]33号资金文件分别提前下达老旧小区改造补助资金3621万元、1468万元；2022年根据川财综[2022]35号、川财综[2022]36号资金文件分别下达老旧小区改造补助资金、177万元、-16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（二）项目绩效目标。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2022年共计改造城镇老旧小区188个，包括胜利街道、绥山镇，共计10091户。</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改造内容以基础类改造为主，个别小区可增加完善类和                                                                                                                                                                                                                                                                                                        提升类内容。基础类改造包括小区内建筑物公共部分维修、小区及小区联系的供水、排水、供电、弱电、道路、供气、消防、安防、生活垃圾分类、移动通信等基础设施，以及光纤入户、架空线规整等。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（三）项目资金申报相符性。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项目申报内容与具体实施内容相符、申报目标合理可行。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二、项目实施及管理情况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（一）资金计划、到位及使用情况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1.项目资金计划到位情况：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lang w:eastAsia="zh-CN"/>
          <w14:textFill>
            <w14:solidFill>
              <w14:schemeClr w14:val="tx1"/>
            </w14:solidFill>
          </w14:textFill>
        </w:rPr>
        <w:t>年度老旧小区改造补助资金到位总额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5250</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万元，其中：中央资金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3798</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万元，省级资金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1452（1252）</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2.项目资金使用情况：20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lang w:eastAsia="zh-CN"/>
          <w14:textFill>
            <w14:solidFill>
              <w14:schemeClr w14:val="tx1"/>
            </w14:solidFill>
          </w14:textFill>
        </w:rPr>
        <w:t>年度支出老旧小区改造补助资金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4150</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万元，其中：中央资金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3798万元，省级资金649万元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3.项目资金管理情况：按照项目资金管理办法，严格执行财务管理制度，财务处理及时，会计核算规范，确保项目资金专款专用，无违规违纪行为。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（二）项目财务管理情况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编制了《</w:t>
      </w:r>
      <w:r>
        <w:rPr>
          <w:rFonts w:hint="eastAsia" w:ascii="仿宋_GB2312" w:hAnsi="仿宋_GB2312" w:eastAsia="仿宋_GB2312" w:cs="仿宋_GB2312"/>
          <w:color w:val="000000" w:themeColor="text1"/>
          <w:sz w:val="32"/>
          <w:szCs w:val="32"/>
          <w:lang w:eastAsia="zh-CN"/>
          <w14:textFill>
            <w14:solidFill>
              <w14:schemeClr w14:val="tx1"/>
            </w14:solidFill>
          </w14:textFill>
        </w:rPr>
        <w:t>峨眉山市城镇老旧小区改造专项资金管理暂行办法</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》、《预算执行、绩效监控机制》等资金管理办法，从资金筹集、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资金的拨付和管理、资金的使用、资金监督和管理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等方面进一步规范和加强城我市城镇老旧居住小区改造专项资金管理，提高资金使用效益，保障城镇老旧小区改造项目的顺利实施。</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对照项目资金管理办法，老旧小区改造项目严格执行财务管理制度、财务处理及时、会计核算规范。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（三）项目组织实施情况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成立</w:t>
      </w:r>
      <w:r>
        <w:rPr>
          <w:rFonts w:hint="eastAsia" w:ascii="仿宋_GB2312" w:hAnsi="仿宋_GB2312" w:eastAsia="仿宋_GB2312" w:cs="仿宋_GB2312"/>
          <w:color w:val="000000" w:themeColor="text1"/>
          <w:sz w:val="32"/>
          <w:szCs w:val="32"/>
          <w:lang w:eastAsia="zh-CN"/>
          <w14:textFill>
            <w14:solidFill>
              <w14:schemeClr w14:val="tx1"/>
            </w14:solidFill>
          </w14:textFill>
        </w:rPr>
        <w:t>峨眉山市城镇老旧小区改造推进小组，明确相关单位和部门的工作职责，编制年度老旧小区改造实施方案、《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峨眉山市城镇老旧小区专项改造规划</w:t>
      </w:r>
      <w:r>
        <w:rPr>
          <w:rFonts w:hint="eastAsia" w:ascii="仿宋_GB2312" w:hAnsi="仿宋_GB2312" w:eastAsia="仿宋_GB2312" w:cs="仿宋_GB2312"/>
          <w:color w:val="000000" w:themeColor="text1"/>
          <w:sz w:val="32"/>
          <w:szCs w:val="32"/>
          <w:lang w:eastAsia="zh-CN"/>
          <w14:textFill>
            <w14:solidFill>
              <w14:schemeClr w14:val="tx1"/>
            </w14:solidFill>
          </w14:textFill>
        </w:rPr>
        <w:t>》、《峨眉山市老旧小区改造工程质量通病防治导则》、《老旧小区改造工程质量管理体系及管理措施》，建立政府统筹、条块协作，各部门齐抓共管的专门工作机制。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2022年通过组织发动、调查摸底、方案审核、项目招标（公开招标）、项目施工、项目验收等程序开展老旧小区改造。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三、项目绩效情况</w:t>
      </w:r>
      <w:r>
        <w:rPr>
          <w:rFonts w:hint="eastAsia" w:ascii="黑体" w:hAnsi="黑体" w:eastAsia="黑体" w:cs="黑体"/>
          <w:color w:val="000000" w:themeColor="text1"/>
          <w:sz w:val="32"/>
          <w:szCs w:val="32"/>
          <w:lang w:val="zh-CN"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（一）项目完成情况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1.数量指标。20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lang w:eastAsia="zh-CN"/>
          <w14:textFill>
            <w14:solidFill>
              <w14:schemeClr w14:val="tx1"/>
            </w14:solidFill>
          </w14:textFill>
        </w:rPr>
        <w:t>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188个小区10091</w:t>
      </w:r>
      <w:r>
        <w:rPr>
          <w:rFonts w:hint="eastAsia" w:ascii="仿宋_GB2312" w:hAnsi="仿宋_GB2312" w:eastAsia="仿宋_GB2312" w:cs="仿宋_GB2312"/>
          <w:color w:val="000000" w:themeColor="text1"/>
          <w:sz w:val="32"/>
          <w:szCs w:val="32"/>
          <w:lang w:eastAsia="zh-CN"/>
          <w14:textFill>
            <w14:solidFill>
              <w14:schemeClr w14:val="tx1"/>
            </w14:solidFill>
          </w14:textFill>
        </w:rPr>
        <w:t>户改造任务。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时效指标。20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lang w:eastAsia="zh-CN"/>
          <w14:textFill>
            <w14:solidFill>
              <w14:schemeClr w14:val="tx1"/>
            </w14:solidFill>
          </w14:textFill>
        </w:rPr>
        <w:t>年老旧小区改造目标完成率100%。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3.质量指标。2022年老旧小区改造验收合格率100%。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4.成本指标。2022年老旧小区改造标准6000元/户。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（二）项目效益情况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1.经济效益指标。资金管理合作率100%，资金到位率100%。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社会效益。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2022年受益家庭户数10091户，群众居住条件有效改善。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3.生态效益指标。老旧小区改造质量合格率100%，雨污，绿化整改率100%。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4.可持续影响指标。老旧小区改造项目适应未来一定时间内对居住环境要求程度明显改善，档案归档和移交率100%。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5.满意度指标。被改造小区居民</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满意度100%。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四、问题及建议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（一）存在的问题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1.改造进度滞后。</w:t>
      </w:r>
      <w:r>
        <w:rPr>
          <w:rFonts w:hint="eastAsia" w:ascii="仿宋_GB2312" w:hAnsi="仿宋_GB2312" w:eastAsia="仿宋_GB2312" w:cs="仿宋_GB2312"/>
          <w:color w:val="000000" w:themeColor="text1"/>
          <w:sz w:val="32"/>
          <w:szCs w:val="32"/>
          <w:lang w:eastAsia="zh-CN"/>
          <w14:textFill>
            <w14:solidFill>
              <w14:schemeClr w14:val="tx1"/>
            </w14:solidFill>
          </w14:textFill>
        </w:rPr>
        <w:t>由于老旧小区改造工作涉及面广量大、群众诉求多元，房屋产权利益关系及住户人员构成复杂，居民诉求不尽相同，少数居民过分关注个人利益，意见难以统一，如增设停车位需要移植或调整绿化布局，没有停车需求的群众会提出反对意见。一些雨污改造涉及部分门市或道路破穿，影响门市经营和居民出行，部分居民持反对意见。此外，在改造过程中，居民经常提出新的要求，也阻碍了小区改造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筹措资金压力大。由于老旧小区改造一般不产生盈利空间，改造内容主要是完善基础设施和功能性设施，经济效益不明显，导致居民出资参与、社会资本参与积极性不高。预算和投入的不足，导致改造方案存在局限，改造实效不够突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（二）相关建议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强化统筹推动，拓宽工作思路。健全联动协调机制，争取政策和居民支持力度，定期通报各相关部门（单位）推进城镇老旧小区改造进展和存在问题，加强督促检查推动。坚持典型引路。及时总结推广各地老旧小区改造的创新成果和典型经验，开展专题培训、调研学习、编印改造案例，促进各地互学互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2.规范项目管理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，提高资金拨付率。老旧小区改造前后，充分做到问需于民、问计于民、问效于民，广泛征求居民意见，科学编制施工方案，争取居民支持，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规范项目现场管理，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避免改造过程中设计变动，提高改造工程施工效率，提高资金拨付率。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争取居民参与，拓宽融资渠道。按照谁投资、谁受益的原则，积极引导居民、社会力量入资参与老旧小区改造，通过新增配电桩、广告栏、再生资源回收等设施有偿使用、落实资产权益等办法，吸引居民、相关专业机构投资参与相关需改造设施的设计、改造、运营。</w:t>
      </w:r>
    </w:p>
    <w:p>
      <w:pPr>
        <w:keepNext w:val="0"/>
        <w:keepLines w:val="0"/>
        <w:pageBreakBefore w:val="0"/>
        <w:widowControl w:val="0"/>
        <w:kinsoku/>
        <w:wordWrap/>
        <w:overflowPunct/>
        <w:topLinePunct w:val="0"/>
        <w:autoSpaceDE/>
        <w:autoSpaceDN/>
        <w:bidi w:val="0"/>
        <w:adjustRightInd w:val="0"/>
        <w:snapToGrid w:val="0"/>
        <w:spacing w:line="580" w:lineRule="exact"/>
        <w:ind w:firstLine="720"/>
        <w:textAlignment w:val="auto"/>
        <w:rPr>
          <w:rFonts w:hint="eastAsia" w:ascii="仿宋_GB2312" w:hAnsi="仿宋_GB2312" w:eastAsia="仿宋_GB2312" w:cs="仿宋_GB2312"/>
        </w:rPr>
      </w:pPr>
    </w:p>
    <w:p>
      <w:pPr>
        <w:spacing w:line="580" w:lineRule="exact"/>
        <w:rPr>
          <w:rStyle w:val="28"/>
          <w:rFonts w:ascii="黑体" w:hAnsi="黑体" w:eastAsia="黑体"/>
          <w:b w:val="0"/>
        </w:rPr>
      </w:pPr>
    </w:p>
    <w:p>
      <w:pPr>
        <w:pStyle w:val="34"/>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hAnsi="宋体" w:eastAsia="方正小标宋简体"/>
          <w:sz w:val="32"/>
          <w:szCs w:val="32"/>
          <w:lang w:val="en-US" w:eastAsia="zh-CN"/>
        </w:rPr>
      </w:pPr>
    </w:p>
    <w:p>
      <w:pPr>
        <w:pStyle w:val="34"/>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hAnsi="宋体" w:eastAsia="方正小标宋简体"/>
          <w:sz w:val="32"/>
          <w:szCs w:val="32"/>
          <w:lang w:val="en-US" w:eastAsia="zh-CN"/>
        </w:rPr>
      </w:pPr>
    </w:p>
    <w:p>
      <w:pPr>
        <w:pStyle w:val="34"/>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hAnsi="宋体" w:eastAsia="方正小标宋简体"/>
          <w:sz w:val="32"/>
          <w:szCs w:val="32"/>
          <w:lang w:val="en-US" w:eastAsia="zh-CN"/>
        </w:rPr>
      </w:pPr>
    </w:p>
    <w:p>
      <w:pPr>
        <w:pStyle w:val="34"/>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hAnsi="宋体" w:eastAsia="方正小标宋简体"/>
          <w:sz w:val="32"/>
          <w:szCs w:val="32"/>
          <w:lang w:val="en-US" w:eastAsia="zh-CN"/>
        </w:rPr>
      </w:pPr>
    </w:p>
    <w:p>
      <w:pPr>
        <w:pStyle w:val="34"/>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hAnsi="宋体" w:eastAsia="方正小标宋简体"/>
          <w:sz w:val="32"/>
          <w:szCs w:val="32"/>
          <w:lang w:val="en-US" w:eastAsia="zh-CN"/>
        </w:rPr>
      </w:pPr>
    </w:p>
    <w:p>
      <w:pPr>
        <w:pStyle w:val="34"/>
        <w:keepNext w:val="0"/>
        <w:keepLines w:val="0"/>
        <w:pageBreakBefore w:val="0"/>
        <w:widowControl w:val="0"/>
        <w:kinsoku/>
        <w:wordWrap/>
        <w:overflowPunct/>
        <w:topLinePunct w:val="0"/>
        <w:autoSpaceDE/>
        <w:autoSpaceDN/>
        <w:bidi w:val="0"/>
        <w:spacing w:line="580" w:lineRule="exact"/>
        <w:jc w:val="both"/>
        <w:textAlignment w:val="auto"/>
        <w:rPr>
          <w:rFonts w:hint="eastAsia" w:ascii="方正小标宋简体" w:hAnsi="宋体" w:eastAsia="方正小标宋简体"/>
          <w:sz w:val="32"/>
          <w:szCs w:val="32"/>
          <w:lang w:val="en-US" w:eastAsia="zh-CN"/>
        </w:rPr>
      </w:pPr>
    </w:p>
    <w:p>
      <w:pPr>
        <w:pStyle w:val="34"/>
        <w:keepNext w:val="0"/>
        <w:keepLines w:val="0"/>
        <w:pageBreakBefore w:val="0"/>
        <w:widowControl w:val="0"/>
        <w:kinsoku/>
        <w:wordWrap/>
        <w:overflowPunct/>
        <w:topLinePunct w:val="0"/>
        <w:autoSpaceDE/>
        <w:autoSpaceDN/>
        <w:bidi w:val="0"/>
        <w:spacing w:line="580" w:lineRule="exact"/>
        <w:jc w:val="both"/>
        <w:textAlignment w:val="auto"/>
        <w:rPr>
          <w:rFonts w:hint="eastAsia" w:ascii="方正小标宋简体" w:hAnsi="宋体" w:eastAsia="方正小标宋简体"/>
          <w:sz w:val="32"/>
          <w:szCs w:val="32"/>
          <w:lang w:val="en-US" w:eastAsia="zh-CN"/>
        </w:rPr>
      </w:pPr>
    </w:p>
    <w:p>
      <w:pPr>
        <w:pStyle w:val="34"/>
        <w:keepNext w:val="0"/>
        <w:keepLines w:val="0"/>
        <w:pageBreakBefore w:val="0"/>
        <w:widowControl w:val="0"/>
        <w:kinsoku/>
        <w:wordWrap/>
        <w:overflowPunct/>
        <w:topLinePunct w:val="0"/>
        <w:autoSpaceDE/>
        <w:autoSpaceDN/>
        <w:bidi w:val="0"/>
        <w:spacing w:line="580" w:lineRule="exact"/>
        <w:jc w:val="both"/>
        <w:textAlignment w:val="auto"/>
        <w:rPr>
          <w:rFonts w:hint="eastAsia" w:ascii="方正小标宋简体" w:hAnsi="宋体" w:eastAsia="方正小标宋简体"/>
          <w:sz w:val="32"/>
          <w:szCs w:val="32"/>
          <w:lang w:val="en-US" w:eastAsia="zh-CN"/>
        </w:rPr>
      </w:pPr>
    </w:p>
    <w:p>
      <w:pPr>
        <w:pStyle w:val="34"/>
        <w:keepNext w:val="0"/>
        <w:keepLines w:val="0"/>
        <w:pageBreakBefore w:val="0"/>
        <w:widowControl w:val="0"/>
        <w:kinsoku/>
        <w:wordWrap/>
        <w:overflowPunct/>
        <w:topLinePunct w:val="0"/>
        <w:autoSpaceDE/>
        <w:autoSpaceDN/>
        <w:bidi w:val="0"/>
        <w:spacing w:line="580" w:lineRule="exact"/>
        <w:jc w:val="both"/>
        <w:textAlignment w:val="auto"/>
        <w:rPr>
          <w:rFonts w:hint="eastAsia" w:ascii="方正小标宋简体" w:hAnsi="宋体" w:eastAsia="方正小标宋简体"/>
          <w:sz w:val="32"/>
          <w:szCs w:val="32"/>
          <w:lang w:val="en-US" w:eastAsia="zh-CN"/>
        </w:rPr>
      </w:pPr>
    </w:p>
    <w:p>
      <w:pPr>
        <w:pStyle w:val="34"/>
        <w:keepNext w:val="0"/>
        <w:keepLines w:val="0"/>
        <w:pageBreakBefore w:val="0"/>
        <w:widowControl w:val="0"/>
        <w:kinsoku/>
        <w:wordWrap/>
        <w:overflowPunct/>
        <w:topLinePunct w:val="0"/>
        <w:autoSpaceDE/>
        <w:autoSpaceDN/>
        <w:bidi w:val="0"/>
        <w:spacing w:line="580" w:lineRule="exact"/>
        <w:jc w:val="both"/>
        <w:textAlignment w:val="auto"/>
        <w:rPr>
          <w:rFonts w:hint="eastAsia" w:ascii="方正小标宋简体" w:hAnsi="宋体" w:eastAsia="方正小标宋简体"/>
          <w:sz w:val="32"/>
          <w:szCs w:val="32"/>
          <w:lang w:val="en-US" w:eastAsia="zh-CN"/>
        </w:rPr>
      </w:pPr>
    </w:p>
    <w:p>
      <w:pPr>
        <w:pStyle w:val="34"/>
        <w:keepNext w:val="0"/>
        <w:keepLines w:val="0"/>
        <w:pageBreakBefore w:val="0"/>
        <w:widowControl w:val="0"/>
        <w:kinsoku/>
        <w:wordWrap/>
        <w:overflowPunct/>
        <w:topLinePunct w:val="0"/>
        <w:autoSpaceDE/>
        <w:autoSpaceDN/>
        <w:bidi w:val="0"/>
        <w:spacing w:line="580" w:lineRule="exact"/>
        <w:jc w:val="both"/>
        <w:textAlignment w:val="auto"/>
        <w:rPr>
          <w:rFonts w:hint="eastAsia" w:ascii="方正小标宋简体" w:hAnsi="宋体" w:eastAsia="方正小标宋简体"/>
          <w:sz w:val="32"/>
          <w:szCs w:val="32"/>
          <w:lang w:val="en-US" w:eastAsia="zh-CN"/>
        </w:rPr>
      </w:pPr>
    </w:p>
    <w:p>
      <w:pPr>
        <w:pStyle w:val="34"/>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hAnsi="宋体" w:eastAsia="方正小标宋简体"/>
          <w:sz w:val="32"/>
          <w:szCs w:val="32"/>
          <w:lang w:val="en-US" w:eastAsia="zh-CN"/>
        </w:rPr>
      </w:pPr>
    </w:p>
    <w:p>
      <w:pPr>
        <w:pStyle w:val="34"/>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hAnsi="宋体" w:eastAsia="方正小标宋简体"/>
          <w:sz w:val="32"/>
          <w:szCs w:val="32"/>
          <w:lang w:val="en-US" w:eastAsia="zh-CN"/>
        </w:rPr>
      </w:pPr>
    </w:p>
    <w:p>
      <w:pPr>
        <w:pStyle w:val="34"/>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hAnsi="宋体" w:eastAsia="方正小标宋简体"/>
          <w:sz w:val="32"/>
          <w:szCs w:val="32"/>
          <w:lang w:val="en-US" w:eastAsia="zh-CN"/>
        </w:rPr>
      </w:pPr>
    </w:p>
    <w:p>
      <w:pPr>
        <w:pStyle w:val="34"/>
        <w:keepNext w:val="0"/>
        <w:keepLines w:val="0"/>
        <w:pageBreakBefore w:val="0"/>
        <w:widowControl w:val="0"/>
        <w:kinsoku/>
        <w:wordWrap/>
        <w:overflowPunct/>
        <w:topLinePunct w:val="0"/>
        <w:autoSpaceDE/>
        <w:autoSpaceDN/>
        <w:bidi w:val="0"/>
        <w:spacing w:line="58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34"/>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hAnsi="宋体" w:eastAsia="方正小标宋简体"/>
          <w:sz w:val="32"/>
          <w:szCs w:val="32"/>
          <w:lang w:val="en-US" w:eastAsia="zh-CN"/>
        </w:rPr>
      </w:pPr>
      <w:r>
        <w:rPr>
          <w:rFonts w:hint="eastAsia" w:ascii="方正小标宋简体" w:hAnsi="宋体" w:eastAsia="方正小标宋简体"/>
          <w:sz w:val="32"/>
          <w:szCs w:val="32"/>
          <w:lang w:val="en-US" w:eastAsia="zh-CN"/>
        </w:rPr>
        <w:t>2022公共租赁住房租金补贴专项资金</w:t>
      </w:r>
    </w:p>
    <w:p>
      <w:pPr>
        <w:pStyle w:val="34"/>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hAnsi="宋体" w:eastAsia="方正小标宋简体"/>
          <w:sz w:val="32"/>
          <w:szCs w:val="32"/>
          <w:lang w:val="en-US" w:eastAsia="zh-CN"/>
        </w:rPr>
      </w:pPr>
      <w:r>
        <w:rPr>
          <w:rFonts w:hint="eastAsia" w:ascii="方正小标宋简体" w:hAnsi="宋体" w:eastAsia="方正小标宋简体"/>
          <w:sz w:val="32"/>
          <w:szCs w:val="32"/>
          <w:lang w:val="en-US" w:eastAsia="zh-CN"/>
        </w:rPr>
        <w:t>绩效自评报告</w:t>
      </w:r>
    </w:p>
    <w:p>
      <w:pPr>
        <w:topLinePunct/>
        <w:spacing w:line="600" w:lineRule="exact"/>
        <w:ind w:firstLine="420" w:firstLineChars="200"/>
        <w:rPr>
          <w:rFonts w:ascii="仿宋_GB2312"/>
          <w:szCs w:val="32"/>
        </w:rPr>
      </w:pPr>
    </w:p>
    <w:p>
      <w:pPr>
        <w:topLinePunct/>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一、绩效目标分解下达情况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中央、省级财政城镇保障性安居工程专项资金根据川财综〔2021〕30号、川财综〔2021〕33号文件分别下达中央租赁补贴资金18万元、省级租赁补贴资金4万元，根据川财综〔2022〕35号、川财综〔2022〕36号分别追减中央租赁补贴资金14万元、省级租赁补贴资金3万元。</w:t>
      </w:r>
    </w:p>
    <w:p>
      <w:pPr>
        <w:topLinePunct/>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二、绩效目标完成情况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（一）资金投入情况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1.项目资金到位情况：2022年度租金补贴资金总额预算8.744万元，其中：中央资金4万元，省级资金1万元，地方资金3.744万元。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2.项目资金执行情况：2022年度支出租金补贴资金8.744万元，其中：中央资金4万元，省级资金1万元，地方资金3.744万元。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3.项目资金管理情况：按照项目资金管理办法，严格执行财务管理制度，财务处理及时，会计核算规范，确保项目资金专款专用，无违规违纪行为。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（二）总体绩效目标完成情况</w:t>
      </w:r>
    </w:p>
    <w:p>
      <w:pPr>
        <w:pStyle w:val="2"/>
        <w:topLinePunct/>
        <w:spacing w:line="600" w:lineRule="exact"/>
        <w:ind w:firstLine="640" w:firstLineChars="200"/>
        <w:rPr>
          <w:rFonts w:ascii="仿宋_GB2312" w:hAnsi="仿宋"/>
          <w:sz w:val="32"/>
          <w:szCs w:val="32"/>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完成2022年51户住房保障家庭租赁补贴发放。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（三）绩效指标完成情况</w:t>
      </w:r>
    </w:p>
    <w:p>
      <w:pPr>
        <w:topLinePunct/>
        <w:spacing w:line="60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1.产出指标完成情况</w:t>
      </w:r>
    </w:p>
    <w:p>
      <w:pPr>
        <w:topLinePunct/>
        <w:spacing w:line="60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（1）数量指标。2022年完成51户住房保障家庭租赁补贴发放。</w:t>
      </w:r>
    </w:p>
    <w:p>
      <w:pPr>
        <w:topLinePunct/>
        <w:spacing w:line="60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（2）时效指标。2022年补贴发放目标完成率100%。</w:t>
      </w:r>
    </w:p>
    <w:p>
      <w:pPr>
        <w:topLinePunct/>
        <w:spacing w:line="60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2.效益指标完成情况</w:t>
      </w:r>
    </w:p>
    <w:p>
      <w:pPr>
        <w:topLinePunct/>
        <w:spacing w:line="60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租金补贴发放率100%；已保家庭户数占应保家庭户数比率100%。</w:t>
      </w:r>
    </w:p>
    <w:p>
      <w:pPr>
        <w:topLinePunct/>
        <w:spacing w:line="60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3.满意度指标完成情况</w:t>
      </w:r>
    </w:p>
    <w:p>
      <w:pPr>
        <w:topLinePunct/>
        <w:spacing w:line="60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城镇低收入住房困难家庭满意度达89%。</w:t>
      </w:r>
    </w:p>
    <w:p>
      <w:pPr>
        <w:pStyle w:val="2"/>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2"/>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2"/>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2"/>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2"/>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2"/>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tbl>
      <w:tblPr>
        <w:tblStyle w:val="15"/>
        <w:tblpPr w:leftFromText="180" w:rightFromText="180" w:vertAnchor="text" w:horzAnchor="page" w:tblpX="736" w:tblpY="493"/>
        <w:tblOverlap w:val="never"/>
        <w:tblW w:w="96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576"/>
        <w:gridCol w:w="576"/>
        <w:gridCol w:w="397"/>
        <w:gridCol w:w="854"/>
        <w:gridCol w:w="3015"/>
        <w:gridCol w:w="477"/>
        <w:gridCol w:w="477"/>
        <w:gridCol w:w="477"/>
        <w:gridCol w:w="477"/>
        <w:gridCol w:w="477"/>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49" w:hRule="atLeast"/>
        </w:trPr>
        <w:tc>
          <w:tcPr>
            <w:tcW w:w="966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b/>
                <w:bCs/>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峨眉山市住房和城乡建设局部门整体支出绩自评表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49" w:hRule="atLeast"/>
        </w:trPr>
        <w:tc>
          <w:tcPr>
            <w:tcW w:w="1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3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计分标准</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评价方式</w:t>
            </w:r>
          </w:p>
        </w:tc>
        <w:tc>
          <w:tcPr>
            <w:tcW w:w="95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评价属性</w:t>
            </w:r>
          </w:p>
        </w:tc>
        <w:tc>
          <w:tcPr>
            <w:tcW w:w="47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打分</w:t>
            </w:r>
          </w:p>
        </w:tc>
        <w:tc>
          <w:tcPr>
            <w:tcW w:w="129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4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b/>
                <w:bCs/>
                <w:i w:val="0"/>
                <w:iCs w:val="0"/>
                <w:color w:val="000000"/>
                <w:sz w:val="18"/>
                <w:szCs w:val="1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b/>
                <w:bCs/>
                <w:i w:val="0"/>
                <w:iCs w:val="0"/>
                <w:color w:val="000000"/>
                <w:sz w:val="18"/>
                <w:szCs w:val="18"/>
                <w:u w:val="none"/>
              </w:rPr>
            </w:pP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b/>
                <w:bCs/>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整体评价</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样本评价</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定性评价</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b/>
                <w:bCs/>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49"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部门预算项目绩效管理（70分）</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目标管理（30分）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评价部门绩效目标是否要素完整、细化量化并集体决策。</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1.绩效目标编制要素完整的，得5分，否则酌情扣分。                                                       2.绩效指标细化量化的，得5分，否则酌情扣分。                  3.评价部门绩效目标纳入部门党组（委）会（办公会）集体决策范围的得5分，否则不得分。                              有项目绩效目标的部门（单位），根据项目绩效目标编制质量打分，无项目绩效目标的部门，根据部门整体支出绩效目标打分。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财政重点绩效评价组评价范围为部门机关及至少2个下属单位的所有纳入绩效目标管理的部门预算项目，部门自评范围为部门所有纳入绩效目标管理的部门预算项目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4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目标实现</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评价部门绩效目标实际实现程度与预期目标的偏离度。</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4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left"/>
              <w:rPr>
                <w:rFonts w:hint="eastAsia" w:ascii="宋体" w:hAnsi="宋体" w:eastAsia="宋体" w:cs="宋体"/>
                <w:i w:val="0"/>
                <w:iCs w:val="0"/>
                <w:color w:val="000000"/>
                <w:sz w:val="18"/>
                <w:szCs w:val="18"/>
                <w:u w:val="none"/>
              </w:rPr>
            </w:pP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动态调整（20分）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支出控制</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部门公用经费及非定额公用支出控制情况。</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计算部门日常公用经费、项目支出中“办公费、印刷费、水费、电费、物业管理费”等科目年初预算数与决算数偏差程度。                                                            预决算偏差程度在10%以内的，得5分。偏差度在10%-20%之间的，得2分，偏差度超过20%的，不得分。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left"/>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left"/>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4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left"/>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及时处置</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评价部门开展绩效运行监控后，将绩效监控结果应用到预算调整的情况。</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left"/>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left"/>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4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left"/>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left"/>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评价部门在6、9、11月的预算执行情况。</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部门预算执行进度在6、9、11月应达到序时进度的80%、90%、90%，即实际支出进度分别达到40%、67.5%、82.5%。                                                     6、9、11月部门预算执行进度达到量化指标的分别得1、2、2分，未达到目标进度的的按其实际进度占目标进度的比重计算得分。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left"/>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left"/>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完成结果（20分）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评价部门预算项目年终预算执行情况。</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部门预算项目12月预算执行进度达到100%的，得10分，未达100%的，按照实际进度量化计算得分。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资金结余率（低效无效率）</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评价部门预算项目年终资金结余情况。</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部门预算项目资金结余率小于0.1的项目数/部门预算项目总数*5。</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nil"/>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违规记录</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根据审计监督、财政检查结果反映部门上一年度部门预算管理是否合规。</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依据评价年度审计监督、财政检查结果，出现部门预算管理方面违纪违规问题的，每个问题扣0.5分，直至扣完。</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绩效结果应用（20分）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内部应用（6分）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预算挂钩</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部门内部绩效结果与预算挂钩情况</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将内设机构和下属单位绩效自评纳入考核体系，建立对内设机构和下属单位预算与绩效挂钩机制的，得6分，否则酌情扣分。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57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信息公开（4分)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自评公开</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评价部门是否按要求将部门整体绩效自评情况和自行组织的评价情况向社会公开。</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按要求将相关绩效信息随同决算公开的，得4分，否则不得分。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整改反馈（10分）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问题整改</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评价部门根据绩效管理结果整改问题、完善政策、改进管理的情况。</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针对绩效管理过程中（包括绩效目标核查、绩效监控核查和重点绩效评价）提出的问题进行整改，得5分，否则酌情扣分。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应用反馈</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评价部门按要求及时向财政部门反馈结果应用情况。</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部门在规定时间内向财政部门反馈应用绩效结果报告的，得5分，否则不得分。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评价部门整体支出自评准确率。</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1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扣分项（10分）</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被评价单位配合评价工作情况。</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重点绩效评价工作开展过程中，评价组发现被评价对象拖延推诿、提交资料不及时等拒不配合评价工作的，经报财政厅复核确认后按0.5分/次予以扣分，最高扣10分（此为财政重点绩效评价计分标准，部门参照该标准对部门及下属单位计分）。</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05"/>
                <w:tab w:val="left" w:pos="105"/>
              </w:tabs>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5"/>
                <w:tab w:val="left" w:pos="105"/>
              </w:tabs>
              <w:jc w:val="center"/>
              <w:rPr>
                <w:rFonts w:hint="eastAsia" w:ascii="宋体" w:hAnsi="宋体" w:eastAsia="宋体" w:cs="宋体"/>
                <w:i w:val="0"/>
                <w:iCs w:val="0"/>
                <w:color w:val="000000"/>
                <w:sz w:val="18"/>
                <w:szCs w:val="18"/>
                <w:u w:val="none"/>
              </w:rPr>
            </w:pPr>
          </w:p>
        </w:tc>
      </w:tr>
    </w:tbl>
    <w:p>
      <w:pPr>
        <w:pStyle w:val="2"/>
        <w:rPr>
          <w:rFonts w:hint="eastAsia"/>
          <w:lang w:val="en-US" w:eastAsia="zh-CN"/>
        </w:rPr>
      </w:pPr>
    </w:p>
    <w:p>
      <w:pPr>
        <w:rPr>
          <w:rFonts w:hint="eastAsia" w:ascii="宋体" w:hAnsi="宋体" w:eastAsia="宋体" w:cs="宋体"/>
          <w:color w:val="000000" w:themeColor="text1"/>
          <w:kern w:val="2"/>
          <w:sz w:val="18"/>
          <w:szCs w:val="18"/>
          <w:lang w:val="en-US" w:eastAsia="zh-CN" w:bidi="ar-SA"/>
          <w14:textFill>
            <w14:solidFill>
              <w14:schemeClr w14:val="tx1"/>
            </w14:solidFill>
          </w14:textFill>
        </w:rPr>
      </w:pPr>
    </w:p>
    <w:p>
      <w:pPr>
        <w:pStyle w:val="2"/>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34"/>
        <w:keepNext w:val="0"/>
        <w:keepLines w:val="0"/>
        <w:pageBreakBefore w:val="0"/>
        <w:widowControl w:val="0"/>
        <w:kinsoku/>
        <w:wordWrap/>
        <w:overflowPunct/>
        <w:topLinePunct w:val="0"/>
        <w:autoSpaceDE/>
        <w:autoSpaceDN/>
        <w:bidi w:val="0"/>
        <w:spacing w:line="580" w:lineRule="exact"/>
        <w:jc w:val="center"/>
        <w:textAlignment w:val="auto"/>
        <w:rPr>
          <w:rFonts w:hint="default" w:ascii="方正小标宋简体" w:hAnsi="宋体" w:eastAsia="方正小标宋简体"/>
          <w:sz w:val="32"/>
          <w:szCs w:val="32"/>
          <w:lang w:val="en-US" w:eastAsia="zh-CN"/>
        </w:rPr>
      </w:pPr>
      <w:r>
        <w:rPr>
          <w:rFonts w:hint="eastAsia" w:ascii="方正小标宋简体" w:hAnsi="宋体" w:eastAsia="方正小标宋简体"/>
          <w:sz w:val="32"/>
          <w:szCs w:val="32"/>
          <w:lang w:val="en-US" w:eastAsia="zh-CN"/>
        </w:rPr>
        <w:t>峨眉山市住房和城乡建设局</w:t>
      </w:r>
      <w:r>
        <w:rPr>
          <w:rFonts w:hint="eastAsia" w:ascii="方正小标宋简体" w:hAnsi="宋体" w:eastAsia="方正小标宋简体"/>
          <w:sz w:val="32"/>
          <w:szCs w:val="32"/>
          <w:lang w:eastAsia="zh-CN"/>
        </w:rPr>
        <w:t>老旧小区改造项目专项资金预算项目</w:t>
      </w:r>
      <w:r>
        <w:rPr>
          <w:rFonts w:hint="eastAsia" w:ascii="方正小标宋简体" w:hAnsi="宋体" w:eastAsia="方正小标宋简体"/>
          <w:sz w:val="32"/>
          <w:szCs w:val="32"/>
        </w:rPr>
        <w:t>绩效自评</w:t>
      </w:r>
      <w:r>
        <w:rPr>
          <w:rFonts w:hint="eastAsia" w:ascii="方正小标宋简体" w:hAnsi="宋体" w:eastAsia="方正小标宋简体"/>
          <w:sz w:val="32"/>
          <w:szCs w:val="32"/>
          <w:lang w:eastAsia="zh-CN"/>
        </w:rPr>
        <w:t>表（</w:t>
      </w:r>
      <w:r>
        <w:rPr>
          <w:rFonts w:hint="eastAsia" w:ascii="方正小标宋简体" w:hAnsi="宋体" w:eastAsia="方正小标宋简体"/>
          <w:sz w:val="32"/>
          <w:szCs w:val="32"/>
          <w:lang w:val="en-US" w:eastAsia="zh-CN"/>
        </w:rPr>
        <w:t>2022年度）</w:t>
      </w:r>
    </w:p>
    <w:tbl>
      <w:tblPr>
        <w:tblStyle w:val="15"/>
        <w:tblpPr w:leftFromText="180" w:rightFromText="180" w:vertAnchor="text" w:horzAnchor="page" w:tblpX="1335" w:tblpY="294"/>
        <w:tblOverlap w:val="never"/>
        <w:tblW w:w="52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2"/>
        <w:gridCol w:w="469"/>
        <w:gridCol w:w="1560"/>
        <w:gridCol w:w="1130"/>
        <w:gridCol w:w="1314"/>
        <w:gridCol w:w="871"/>
        <w:gridCol w:w="1674"/>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5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转移支付（项目）名称</w:t>
            </w:r>
          </w:p>
        </w:tc>
        <w:tc>
          <w:tcPr>
            <w:tcW w:w="34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2022年城镇老旧小区改造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5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资金使用单位</w:t>
            </w:r>
          </w:p>
        </w:tc>
        <w:tc>
          <w:tcPr>
            <w:tcW w:w="34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峨眉山市住房和城乡建设局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55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预算执行率（B/A×100%)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5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5250</w:t>
            </w:r>
          </w:p>
        </w:tc>
        <w:tc>
          <w:tcPr>
            <w:tcW w:w="1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5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6"/>
                <w:rFonts w:hint="eastAsia" w:ascii="宋体" w:hAnsi="宋体" w:eastAsia="宋体" w:cs="宋体"/>
                <w:sz w:val="18"/>
                <w:szCs w:val="18"/>
                <w:lang w:val="en-US" w:eastAsia="zh-CN" w:bidi="ar"/>
              </w:rPr>
              <w:t>其中：中央财政资金</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3798</w:t>
            </w:r>
          </w:p>
        </w:tc>
        <w:tc>
          <w:tcPr>
            <w:tcW w:w="1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5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6"/>
                <w:rFonts w:hint="eastAsia" w:ascii="宋体" w:hAnsi="宋体" w:eastAsia="宋体" w:cs="宋体"/>
                <w:sz w:val="18"/>
                <w:szCs w:val="18"/>
                <w:lang w:val="en-US" w:eastAsia="zh-CN" w:bidi="ar"/>
              </w:rPr>
              <w:t>地方资金</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1452</w:t>
            </w:r>
          </w:p>
        </w:tc>
        <w:tc>
          <w:tcPr>
            <w:tcW w:w="1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5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6"/>
                <w:rFonts w:hint="eastAsia" w:ascii="宋体" w:hAnsi="宋体" w:eastAsia="宋体" w:cs="宋体"/>
                <w:sz w:val="18"/>
                <w:szCs w:val="18"/>
                <w:lang w:val="en-US" w:eastAsia="zh-CN" w:bidi="ar"/>
              </w:rPr>
              <w:t>其他资金</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55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资金管理情况</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情况说明</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5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分配科学性</w:t>
            </w:r>
          </w:p>
        </w:tc>
        <w:tc>
          <w:tcPr>
            <w:tcW w:w="21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严格按照转移支付管理制度以及资金管理办法规定的范围和标准分配资金。</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5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下达及时性</w:t>
            </w:r>
          </w:p>
        </w:tc>
        <w:tc>
          <w:tcPr>
            <w:tcW w:w="21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严格按照预算法及其实施条例、转移支付管理制度规定以及资金管理办法规定的时限要求分解下达。</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5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拨付合规性</w:t>
            </w:r>
          </w:p>
        </w:tc>
        <w:tc>
          <w:tcPr>
            <w:tcW w:w="21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严格按照国库集中支付制度有关规定支付资金，未出现违规将资金从国库转入财政专户或支付到预算单位实有资金账户等问题。</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5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使用规范性</w:t>
            </w:r>
          </w:p>
        </w:tc>
        <w:tc>
          <w:tcPr>
            <w:tcW w:w="21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严格按照下达预算的科目和项目执行，未出现截留、挤占、挪用或擅自调整等问题。</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5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执行准确性</w:t>
            </w:r>
          </w:p>
        </w:tc>
        <w:tc>
          <w:tcPr>
            <w:tcW w:w="21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按照上级下达和本级预算安排的金额执行，不存在执行数偏离预算数较多的问题。</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5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预算绩效管理情况</w:t>
            </w:r>
          </w:p>
        </w:tc>
        <w:tc>
          <w:tcPr>
            <w:tcW w:w="21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在细化下达预算时同步下达绩效目标，将有关资金纳入本级预算或对下转移支付绩效管理，开展绩效监控和绩效评价。</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55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支出责任履行情况</w:t>
            </w:r>
          </w:p>
        </w:tc>
        <w:tc>
          <w:tcPr>
            <w:tcW w:w="21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对共同财政事权转移支付，按照财政事权和支出责任划分有关规定，足额安排资金履行本级支出责任。</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424"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总体目标完成情况</w:t>
            </w:r>
          </w:p>
        </w:tc>
        <w:tc>
          <w:tcPr>
            <w:tcW w:w="2490"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w:t>
            </w:r>
          </w:p>
        </w:tc>
        <w:tc>
          <w:tcPr>
            <w:tcW w:w="20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完成2022年老旧小区改造任务</w:t>
            </w:r>
          </w:p>
        </w:tc>
        <w:tc>
          <w:tcPr>
            <w:tcW w:w="20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完成188个小区的改造任务。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全年实际完成值</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完成老旧小区改造任务</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188户</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188户</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3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老旧小区改造质量达标率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37"/>
                <w:rFonts w:hint="eastAsia" w:ascii="宋体" w:hAnsi="宋体" w:eastAsia="宋体" w:cs="宋体"/>
                <w:sz w:val="18"/>
                <w:szCs w:val="18"/>
                <w:lang w:val="en-US" w:eastAsia="zh-CN" w:bidi="ar"/>
              </w:rPr>
              <w:t>90%</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3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老旧小区改造完成时间</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37"/>
                <w:rFonts w:hint="eastAsia" w:ascii="宋体" w:hAnsi="宋体" w:eastAsia="宋体" w:cs="宋体"/>
                <w:sz w:val="18"/>
                <w:szCs w:val="18"/>
                <w:lang w:val="en-US" w:eastAsia="zh-CN" w:bidi="ar"/>
              </w:rPr>
              <w:t>1年</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3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老旧小区改造资金控制率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37"/>
                <w:rFonts w:hint="eastAsia" w:ascii="宋体" w:hAnsi="宋体" w:eastAsia="宋体" w:cs="宋体"/>
                <w:sz w:val="18"/>
                <w:szCs w:val="18"/>
                <w:lang w:val="en-US" w:eastAsia="zh-CN" w:bidi="ar"/>
              </w:rPr>
              <w:t>90%</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37"/>
                <w:rFonts w:hint="eastAsia" w:ascii="宋体" w:hAnsi="宋体" w:eastAsia="宋体" w:cs="宋体"/>
                <w:sz w:val="18"/>
                <w:szCs w:val="18"/>
                <w:lang w:val="en-US" w:eastAsia="zh-CN" w:bidi="ar"/>
              </w:rPr>
              <w:t>90%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3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小区社会评价提升率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37"/>
                <w:rFonts w:hint="eastAsia" w:ascii="宋体" w:hAnsi="宋体" w:eastAsia="宋体" w:cs="宋体"/>
                <w:sz w:val="18"/>
                <w:szCs w:val="18"/>
                <w:lang w:val="en-US" w:eastAsia="zh-CN" w:bidi="ar"/>
              </w:rPr>
              <w:t>90%</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37"/>
                <w:rFonts w:hint="eastAsia" w:ascii="宋体" w:hAnsi="宋体" w:eastAsia="宋体" w:cs="宋体"/>
                <w:sz w:val="18"/>
                <w:szCs w:val="18"/>
                <w:lang w:val="en-US" w:eastAsia="zh-CN" w:bidi="ar"/>
              </w:rPr>
              <w:t>90%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3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小区环境提升率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37"/>
                <w:rFonts w:hint="eastAsia" w:ascii="宋体" w:hAnsi="宋体" w:eastAsia="宋体" w:cs="宋体"/>
                <w:sz w:val="18"/>
                <w:szCs w:val="18"/>
                <w:lang w:val="en-US" w:eastAsia="zh-CN" w:bidi="ar"/>
              </w:rPr>
              <w:t>90%</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37"/>
                <w:rFonts w:hint="eastAsia" w:ascii="宋体" w:hAnsi="宋体" w:eastAsia="宋体" w:cs="宋体"/>
                <w:sz w:val="18"/>
                <w:szCs w:val="18"/>
                <w:lang w:val="en-US" w:eastAsia="zh-CN" w:bidi="ar"/>
              </w:rPr>
              <w:t>90%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3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改造后小区可持续使用年限</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≧10年</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≧10年</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满意度指标</w:t>
            </w:r>
          </w:p>
        </w:tc>
        <w:tc>
          <w:tcPr>
            <w:tcW w:w="13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rPr>
          <w:rFonts w:hint="eastAsia"/>
          <w:lang w:val="en-US" w:eastAsia="zh-CN"/>
        </w:rPr>
      </w:pPr>
    </w:p>
    <w:p>
      <w:pPr>
        <w:widowControl/>
        <w:jc w:val="left"/>
        <w:rPr>
          <w:rStyle w:val="28"/>
          <w:rFonts w:ascii="黑体" w:hAnsi="黑体" w:eastAsia="黑体"/>
          <w:b w:val="0"/>
        </w:rPr>
      </w:pPr>
    </w:p>
    <w:p>
      <w:pPr>
        <w:rPr>
          <w:rStyle w:val="28"/>
          <w:rFonts w:ascii="黑体" w:hAnsi="黑体" w:eastAsia="黑体"/>
          <w:b w:val="0"/>
        </w:rPr>
      </w:pPr>
      <w:r>
        <w:rPr>
          <w:rStyle w:val="28"/>
          <w:rFonts w:ascii="黑体" w:hAnsi="黑体" w:eastAsia="黑体"/>
          <w:b w:val="0"/>
        </w:rPr>
        <w:br w:type="page"/>
      </w:r>
    </w:p>
    <w:p>
      <w:pPr>
        <w:pStyle w:val="2"/>
      </w:pPr>
    </w:p>
    <w:p>
      <w:pPr>
        <w:pStyle w:val="2"/>
        <w:rPr>
          <w:rStyle w:val="28"/>
          <w:rFonts w:ascii="黑体" w:hAnsi="黑体" w:eastAsia="黑体"/>
          <w:b w:val="0"/>
        </w:rPr>
      </w:pPr>
    </w:p>
    <w:p/>
    <w:p>
      <w:pPr>
        <w:widowControl/>
        <w:jc w:val="left"/>
        <w:rPr>
          <w:rStyle w:val="28"/>
          <w:rFonts w:ascii="黑体" w:hAnsi="黑体" w:eastAsia="黑体"/>
          <w:b w:val="0"/>
        </w:rPr>
      </w:pPr>
    </w:p>
    <w:tbl>
      <w:tblPr>
        <w:tblStyle w:val="15"/>
        <w:tblW w:w="49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077"/>
        <w:gridCol w:w="653"/>
        <w:gridCol w:w="997"/>
        <w:gridCol w:w="618"/>
        <w:gridCol w:w="621"/>
        <w:gridCol w:w="424"/>
        <w:gridCol w:w="854"/>
        <w:gridCol w:w="864"/>
        <w:gridCol w:w="864"/>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30"/>
                <w:szCs w:val="30"/>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公共租赁住房租金补贴专项资金预算项目支出绩效自评表（2022年度）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0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9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住房和城乡建设局</w:t>
            </w:r>
          </w:p>
        </w:tc>
        <w:tc>
          <w:tcPr>
            <w:tcW w:w="50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峨眉山市住房保障和房地产事务中心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19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9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完成公租房租金补贴发放工作。</w:t>
            </w:r>
          </w:p>
        </w:tc>
        <w:tc>
          <w:tcPr>
            <w:tcW w:w="19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完成公租房租金补贴发放工作。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395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因财政安排资金情况变化，年中发生预算调整的调增。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发放补贴户数</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发放补贴差错率小于或等于千分之一</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补贴及时发放率</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补贴成本</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促进房地产租赁市场发展</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解决中低收入家庭的住房困难，保障生活安定</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可持续发展指标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持续解决中低收入家庭的住房困难</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受益群众满意度</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5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5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结合自评情况，项目自评总分95分，项目实施取得的成效或成果1、促进房地产租赁市场发展，2、解决中低收入家庭的住房困难，保障生活安定，3、持续解决中低收入家庭的住房困难。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0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593" w:type="pct"/>
            <w:gridSpan w:val="10"/>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结合自评情况，存在的问题及原因：预算不够精准，预算调剂数较大。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5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下一步改进完善的意见及有关政策性建议：加强预算管理。</w:t>
            </w:r>
          </w:p>
        </w:tc>
      </w:tr>
    </w:tbl>
    <w:p>
      <w:pPr>
        <w:widowControl/>
        <w:jc w:val="left"/>
        <w:rPr>
          <w:rStyle w:val="28"/>
          <w:rFonts w:ascii="黑体" w:hAnsi="黑体" w:eastAsia="黑体"/>
          <w:b w:val="0"/>
        </w:rPr>
      </w:pPr>
    </w:p>
    <w:p>
      <w:pPr>
        <w:widowControl/>
        <w:jc w:val="left"/>
        <w:rPr>
          <w:rStyle w:val="28"/>
          <w:rFonts w:ascii="黑体" w:hAnsi="黑体" w:eastAsia="黑体"/>
          <w:b w:val="0"/>
        </w:rPr>
      </w:pPr>
      <w:r>
        <w:rPr>
          <w:rStyle w:val="28"/>
          <w:rFonts w:ascii="黑体" w:hAnsi="黑体" w:eastAsia="黑体"/>
          <w:b w:val="0"/>
        </w:rPr>
        <w:br w:type="page"/>
      </w:r>
    </w:p>
    <w:p>
      <w:pPr>
        <w:pStyle w:val="2"/>
      </w:pPr>
    </w:p>
    <w:p>
      <w:pPr>
        <w:spacing w:line="600" w:lineRule="exact"/>
        <w:jc w:val="center"/>
        <w:outlineLvl w:val="0"/>
        <w:rPr>
          <w:rFonts w:ascii="仿宋" w:hAnsi="仿宋" w:eastAsia="仿宋"/>
        </w:rPr>
      </w:pPr>
      <w:bookmarkStart w:id="53" w:name="_Toc15396618"/>
      <w:r>
        <w:rPr>
          <w:rFonts w:hint="eastAsia" w:ascii="黑体" w:hAnsi="黑体" w:eastAsia="黑体"/>
          <w:sz w:val="44"/>
          <w:szCs w:val="44"/>
        </w:rPr>
        <w:t>第</w:t>
      </w:r>
      <w:r>
        <w:rPr>
          <w:rStyle w:val="28"/>
          <w:rFonts w:hint="eastAsia" w:ascii="黑体" w:hAnsi="黑体" w:eastAsia="黑体"/>
          <w:b w:val="0"/>
        </w:rPr>
        <w:t>五部分 附表</w:t>
      </w:r>
      <w:bookmarkEnd w:id="52"/>
      <w:bookmarkEnd w:id="53"/>
      <w:bookmarkStart w:id="54"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9"/>
          <w:rFonts w:hint="eastAsia" w:ascii="仿宋" w:hAnsi="仿宋" w:eastAsia="仿宋"/>
          <w:b w:val="0"/>
          <w:bCs w:val="0"/>
        </w:rPr>
        <w:t>入决算表</w:t>
      </w:r>
      <w:bookmarkEnd w:id="55"/>
    </w:p>
    <w:p>
      <w:pPr>
        <w:pStyle w:val="4"/>
        <w:rPr>
          <w:rFonts w:ascii="仿宋" w:hAnsi="仿宋" w:eastAsia="仿宋"/>
        </w:rPr>
      </w:pPr>
      <w:bookmarkStart w:id="56"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7"/>
    </w:p>
    <w:p>
      <w:pPr>
        <w:pStyle w:val="4"/>
        <w:rPr>
          <w:rStyle w:val="29"/>
          <w:rFonts w:ascii="仿宋" w:hAnsi="仿宋" w:eastAsia="仿宋"/>
          <w:b w:val="0"/>
          <w:bCs w:val="0"/>
        </w:rPr>
      </w:pPr>
      <w:bookmarkStart w:id="5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9"/>
          <w:rFonts w:hint="eastAsia" w:ascii="仿宋" w:hAnsi="仿宋" w:eastAsia="仿宋"/>
          <w:b w:val="0"/>
          <w:bCs w:val="0"/>
        </w:rPr>
        <w:t>十、</w:t>
      </w:r>
      <w:bookmarkEnd w:id="63"/>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9"/>
          <w:rFonts w:hint="eastAsia" w:ascii="仿宋" w:hAnsi="仿宋" w:eastAsia="仿宋"/>
          <w:b w:val="0"/>
          <w:bCs w:val="0"/>
        </w:rPr>
        <w:t>十一、</w:t>
      </w:r>
      <w:bookmarkEnd w:id="64"/>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9"/>
          <w:rFonts w:hint="eastAsia" w:ascii="仿宋" w:hAnsi="仿宋" w:eastAsia="仿宋"/>
          <w:b w:val="0"/>
          <w:bCs w:val="0"/>
        </w:rPr>
        <w:t>十二、</w:t>
      </w:r>
      <w:bookmarkEnd w:id="65"/>
      <w:r>
        <w:rPr>
          <w:rStyle w:val="29"/>
          <w:rFonts w:hint="eastAsia" w:ascii="仿宋" w:hAnsi="仿宋" w:eastAsia="仿宋"/>
          <w:b w:val="0"/>
          <w:bCs w:val="0"/>
        </w:rPr>
        <w:t>国有资本经营预算财政拨款支出决算表</w:t>
      </w:r>
    </w:p>
    <w:p>
      <w:pPr>
        <w:pStyle w:val="4"/>
        <w:rPr>
          <w:rFonts w:eastAsia="仿宋"/>
        </w:rPr>
      </w:pPr>
      <w:bookmarkStart w:id="66" w:name="_Toc15396631"/>
      <w:r>
        <w:rPr>
          <w:rStyle w:val="29"/>
          <w:rFonts w:hint="eastAsia" w:ascii="仿宋" w:hAnsi="仿宋" w:eastAsia="仿宋"/>
          <w:b w:val="0"/>
          <w:bCs w:val="0"/>
        </w:rPr>
        <w:t>十三、</w:t>
      </w:r>
      <w:bookmarkEnd w:id="66"/>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B5B0B"/>
    <w:multiLevelType w:val="singleLevel"/>
    <w:tmpl w:val="902B5B0B"/>
    <w:lvl w:ilvl="0" w:tentative="0">
      <w:start w:val="2"/>
      <w:numFmt w:val="decimal"/>
      <w:lvlText w:val="%1."/>
      <w:lvlJc w:val="left"/>
      <w:pPr>
        <w:tabs>
          <w:tab w:val="left" w:pos="312"/>
        </w:tabs>
      </w:pPr>
    </w:lvl>
  </w:abstractNum>
  <w:abstractNum w:abstractNumId="1">
    <w:nsid w:val="917DC8F2"/>
    <w:multiLevelType w:val="singleLevel"/>
    <w:tmpl w:val="917DC8F2"/>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EBEF323"/>
    <w:multiLevelType w:val="singleLevel"/>
    <w:tmpl w:val="DEBEF323"/>
    <w:lvl w:ilvl="0" w:tentative="0">
      <w:start w:val="4"/>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45AE083E"/>
    <w:multiLevelType w:val="singleLevel"/>
    <w:tmpl w:val="45AE083E"/>
    <w:lvl w:ilvl="0" w:tentative="0">
      <w:start w:val="1"/>
      <w:numFmt w:val="chineseCounting"/>
      <w:suff w:val="nothing"/>
      <w:lvlText w:val="（%1）"/>
      <w:lvlJc w:val="left"/>
      <w:rPr>
        <w:rFonts w:hint="eastAsia"/>
      </w:rPr>
    </w:lvl>
  </w:abstractNum>
  <w:abstractNum w:abstractNumId="8">
    <w:nsid w:val="53CD34B2"/>
    <w:multiLevelType w:val="singleLevel"/>
    <w:tmpl w:val="53CD34B2"/>
    <w:lvl w:ilvl="0" w:tentative="0">
      <w:start w:val="1"/>
      <w:numFmt w:val="chineseCounting"/>
      <w:suff w:val="nothing"/>
      <w:lvlText w:val="%1、"/>
      <w:lvlJc w:val="left"/>
      <w:rPr>
        <w:rFonts w:hint="eastAsia"/>
      </w:rPr>
    </w:lvl>
  </w:abstractNum>
  <w:num w:numId="1">
    <w:abstractNumId w:val="8"/>
  </w:num>
  <w:num w:numId="2">
    <w:abstractNumId w:val="6"/>
  </w:num>
  <w:num w:numId="3">
    <w:abstractNumId w:val="2"/>
  </w:num>
  <w:num w:numId="4">
    <w:abstractNumId w:val="4"/>
  </w:num>
  <w:num w:numId="5">
    <w:abstractNumId w:val="5"/>
  </w:num>
  <w:num w:numId="6">
    <w:abstractNumId w:val="7"/>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99"/>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1BAB"/>
    <w:rsid w:val="00380C92"/>
    <w:rsid w:val="0038256A"/>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64A0"/>
    <w:rsid w:val="0066343B"/>
    <w:rsid w:val="00664777"/>
    <w:rsid w:val="006748A4"/>
    <w:rsid w:val="00681A31"/>
    <w:rsid w:val="00683E73"/>
    <w:rsid w:val="0068611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205"/>
    <w:rsid w:val="00F417B1"/>
    <w:rsid w:val="00F45853"/>
    <w:rsid w:val="00F602DF"/>
    <w:rsid w:val="00F754A1"/>
    <w:rsid w:val="00F81FD9"/>
    <w:rsid w:val="00F841AA"/>
    <w:rsid w:val="00F84A94"/>
    <w:rsid w:val="00F87E96"/>
    <w:rsid w:val="00FA23E8"/>
    <w:rsid w:val="00FD3CC1"/>
    <w:rsid w:val="00FF1E02"/>
    <w:rsid w:val="00FF30B4"/>
    <w:rsid w:val="015975B8"/>
    <w:rsid w:val="01E305A8"/>
    <w:rsid w:val="02143E91"/>
    <w:rsid w:val="023B0C37"/>
    <w:rsid w:val="02DF501D"/>
    <w:rsid w:val="03190625"/>
    <w:rsid w:val="042409F4"/>
    <w:rsid w:val="04CD34EE"/>
    <w:rsid w:val="054E4C26"/>
    <w:rsid w:val="05BC4076"/>
    <w:rsid w:val="066E0107"/>
    <w:rsid w:val="07996F6E"/>
    <w:rsid w:val="08C94FF8"/>
    <w:rsid w:val="095161D6"/>
    <w:rsid w:val="095B7DEA"/>
    <w:rsid w:val="0A2032A3"/>
    <w:rsid w:val="0ACD3C04"/>
    <w:rsid w:val="0BF873AE"/>
    <w:rsid w:val="0C9927BA"/>
    <w:rsid w:val="0F98263C"/>
    <w:rsid w:val="0FB748D6"/>
    <w:rsid w:val="101860EC"/>
    <w:rsid w:val="10C055FF"/>
    <w:rsid w:val="114875EB"/>
    <w:rsid w:val="118107EC"/>
    <w:rsid w:val="13D50BC4"/>
    <w:rsid w:val="14110090"/>
    <w:rsid w:val="16BB723D"/>
    <w:rsid w:val="178C6A30"/>
    <w:rsid w:val="18175A3A"/>
    <w:rsid w:val="19F848C0"/>
    <w:rsid w:val="1A585500"/>
    <w:rsid w:val="1A967D24"/>
    <w:rsid w:val="1B7E1280"/>
    <w:rsid w:val="1BE8440E"/>
    <w:rsid w:val="1BFC156A"/>
    <w:rsid w:val="1C7715B3"/>
    <w:rsid w:val="1CA66C16"/>
    <w:rsid w:val="1CD67EDD"/>
    <w:rsid w:val="1D155CEE"/>
    <w:rsid w:val="1FD05947"/>
    <w:rsid w:val="1FF35744"/>
    <w:rsid w:val="209E0592"/>
    <w:rsid w:val="21BE646B"/>
    <w:rsid w:val="23860B96"/>
    <w:rsid w:val="240371BF"/>
    <w:rsid w:val="24940192"/>
    <w:rsid w:val="25E01B57"/>
    <w:rsid w:val="26496725"/>
    <w:rsid w:val="270B7C07"/>
    <w:rsid w:val="297F50EE"/>
    <w:rsid w:val="29C01E72"/>
    <w:rsid w:val="29FD04D3"/>
    <w:rsid w:val="2B95320E"/>
    <w:rsid w:val="2C761602"/>
    <w:rsid w:val="2C8A61B5"/>
    <w:rsid w:val="2DF04E50"/>
    <w:rsid w:val="2E614626"/>
    <w:rsid w:val="2EC02EA1"/>
    <w:rsid w:val="2F040D46"/>
    <w:rsid w:val="2FB617A1"/>
    <w:rsid w:val="30A87D63"/>
    <w:rsid w:val="30DD18A8"/>
    <w:rsid w:val="30E77847"/>
    <w:rsid w:val="319F7F4E"/>
    <w:rsid w:val="320A7852"/>
    <w:rsid w:val="3245592B"/>
    <w:rsid w:val="3304709D"/>
    <w:rsid w:val="341E04FD"/>
    <w:rsid w:val="344714D3"/>
    <w:rsid w:val="357C593D"/>
    <w:rsid w:val="35990E80"/>
    <w:rsid w:val="368F0D33"/>
    <w:rsid w:val="36AA5135"/>
    <w:rsid w:val="36E20E17"/>
    <w:rsid w:val="370130B6"/>
    <w:rsid w:val="376D39B2"/>
    <w:rsid w:val="37E16F03"/>
    <w:rsid w:val="37EA0FB5"/>
    <w:rsid w:val="38373947"/>
    <w:rsid w:val="38893499"/>
    <w:rsid w:val="38D469F0"/>
    <w:rsid w:val="38DF184F"/>
    <w:rsid w:val="398253F3"/>
    <w:rsid w:val="3A250F6C"/>
    <w:rsid w:val="3ACC4C05"/>
    <w:rsid w:val="3BB0080C"/>
    <w:rsid w:val="3C192027"/>
    <w:rsid w:val="3CE81A7C"/>
    <w:rsid w:val="3D5236AA"/>
    <w:rsid w:val="3D98207C"/>
    <w:rsid w:val="3DD52CC5"/>
    <w:rsid w:val="3E78745D"/>
    <w:rsid w:val="3F32613E"/>
    <w:rsid w:val="406477B5"/>
    <w:rsid w:val="40957F84"/>
    <w:rsid w:val="4353542C"/>
    <w:rsid w:val="436A67A8"/>
    <w:rsid w:val="447B13B9"/>
    <w:rsid w:val="448E2B70"/>
    <w:rsid w:val="44A153E0"/>
    <w:rsid w:val="44BF3856"/>
    <w:rsid w:val="44E268DA"/>
    <w:rsid w:val="451B616E"/>
    <w:rsid w:val="463058F6"/>
    <w:rsid w:val="47EB050B"/>
    <w:rsid w:val="48D765A1"/>
    <w:rsid w:val="4A627F82"/>
    <w:rsid w:val="4AB54221"/>
    <w:rsid w:val="4B0E749A"/>
    <w:rsid w:val="4B1E25CC"/>
    <w:rsid w:val="4B3A447A"/>
    <w:rsid w:val="4B4F25DA"/>
    <w:rsid w:val="4BE068DB"/>
    <w:rsid w:val="4D56350C"/>
    <w:rsid w:val="4D577224"/>
    <w:rsid w:val="4E8A47E6"/>
    <w:rsid w:val="4EAB630A"/>
    <w:rsid w:val="4ECE2238"/>
    <w:rsid w:val="4F8D3BE5"/>
    <w:rsid w:val="506143EC"/>
    <w:rsid w:val="50C72252"/>
    <w:rsid w:val="537E6D0A"/>
    <w:rsid w:val="53841AA0"/>
    <w:rsid w:val="54633683"/>
    <w:rsid w:val="55D65E59"/>
    <w:rsid w:val="56874282"/>
    <w:rsid w:val="56B9158F"/>
    <w:rsid w:val="57F57CDB"/>
    <w:rsid w:val="58B53E16"/>
    <w:rsid w:val="59140133"/>
    <w:rsid w:val="5A7B6CCD"/>
    <w:rsid w:val="5AF92295"/>
    <w:rsid w:val="5BD112B1"/>
    <w:rsid w:val="5C227DB6"/>
    <w:rsid w:val="5CD71FC4"/>
    <w:rsid w:val="5DD83C04"/>
    <w:rsid w:val="60B47835"/>
    <w:rsid w:val="624102C0"/>
    <w:rsid w:val="627B391D"/>
    <w:rsid w:val="63E03361"/>
    <w:rsid w:val="65692DF8"/>
    <w:rsid w:val="66533F6E"/>
    <w:rsid w:val="6751640F"/>
    <w:rsid w:val="689B512C"/>
    <w:rsid w:val="69067342"/>
    <w:rsid w:val="69957A28"/>
    <w:rsid w:val="6C4A05C8"/>
    <w:rsid w:val="6D9A775D"/>
    <w:rsid w:val="6E7E3605"/>
    <w:rsid w:val="6EAD1BA4"/>
    <w:rsid w:val="6F534D4C"/>
    <w:rsid w:val="6FCB2945"/>
    <w:rsid w:val="6FF5CC65"/>
    <w:rsid w:val="7004184E"/>
    <w:rsid w:val="710A268A"/>
    <w:rsid w:val="715C0E4B"/>
    <w:rsid w:val="716A4F20"/>
    <w:rsid w:val="716F055B"/>
    <w:rsid w:val="719C0F72"/>
    <w:rsid w:val="71A2507A"/>
    <w:rsid w:val="72734D90"/>
    <w:rsid w:val="72AE7B36"/>
    <w:rsid w:val="72E05D86"/>
    <w:rsid w:val="72F02A85"/>
    <w:rsid w:val="73AD73D5"/>
    <w:rsid w:val="73B6EB34"/>
    <w:rsid w:val="744731E5"/>
    <w:rsid w:val="74E944E4"/>
    <w:rsid w:val="758E02CF"/>
    <w:rsid w:val="760C2A3B"/>
    <w:rsid w:val="76E3355F"/>
    <w:rsid w:val="77253507"/>
    <w:rsid w:val="77547417"/>
    <w:rsid w:val="778769C8"/>
    <w:rsid w:val="77935D3A"/>
    <w:rsid w:val="77EE24D6"/>
    <w:rsid w:val="79EE5BA4"/>
    <w:rsid w:val="7A894339"/>
    <w:rsid w:val="7ADB489D"/>
    <w:rsid w:val="7B76471B"/>
    <w:rsid w:val="7BFE6975"/>
    <w:rsid w:val="7CC349AF"/>
    <w:rsid w:val="7CD41FEC"/>
    <w:rsid w:val="7D927370"/>
    <w:rsid w:val="7E101DE5"/>
    <w:rsid w:val="7E5152D6"/>
    <w:rsid w:val="7E9569D8"/>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NormalCharacter"/>
    <w:semiHidden/>
    <w:qFormat/>
    <w:uiPriority w:val="99"/>
  </w:style>
  <w:style w:type="character" w:customStyle="1" w:styleId="36">
    <w:name w:val="font122"/>
    <w:basedOn w:val="16"/>
    <w:qFormat/>
    <w:uiPriority w:val="0"/>
    <w:rPr>
      <w:rFonts w:hint="eastAsia" w:ascii="宋体" w:hAnsi="宋体" w:eastAsia="宋体" w:cs="宋体"/>
      <w:color w:val="000000"/>
      <w:sz w:val="20"/>
      <w:szCs w:val="20"/>
      <w:u w:val="none"/>
    </w:rPr>
  </w:style>
  <w:style w:type="character" w:customStyle="1" w:styleId="37">
    <w:name w:val="font2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I:\2022&#24180;&#24230;&#20915;&#31639;&#20844;&#24320;&#36164;&#26009;\&#20303;&#24314;&#23616;&#37096;&#38376;&#20915;&#31639;&#20844;&#24320;&#26609;&#2936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I:\2022&#24180;&#24230;&#20915;&#31639;&#20844;&#24320;&#36164;&#26009;\&#20303;&#24314;&#23616;&#37096;&#38376;&#20915;&#31639;&#20844;&#24320;&#26609;&#2936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I:\2022&#24180;&#24230;&#20915;&#31639;&#20844;&#24320;&#36164;&#26009;\&#20303;&#24314;&#23616;&#37096;&#38376;&#20915;&#31639;&#20844;&#24320;&#26609;&#2936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I:\2022&#24180;&#24230;&#20915;&#31639;&#20844;&#24320;&#36164;&#26009;\&#20303;&#24314;&#23616;&#37096;&#38376;&#20915;&#31639;&#20844;&#24320;&#26609;&#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I:\2022&#24180;&#24230;&#20915;&#31639;&#20844;&#24320;&#36164;&#26009;\&#20303;&#24314;&#23616;&#37096;&#38376;&#20915;&#31639;&#20844;&#24320;&#26609;&#2936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I:\2022&#24180;&#24230;&#20915;&#31639;&#20844;&#24320;&#36164;&#26009;\&#20303;&#24314;&#23616;&#37096;&#38376;&#20915;&#31639;&#20844;&#24320;&#26609;&#29366;&#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I:\2022&#24180;&#24230;&#20915;&#31639;&#20844;&#24320;&#36164;&#26009;\&#20303;&#24314;&#23616;&#37096;&#38376;&#20915;&#31639;&#20844;&#24320;&#26609;&#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0" baseline="0">
                <a:solidFill>
                  <a:schemeClr val="tx1">
                    <a:lumMod val="65000"/>
                    <a:lumOff val="35000"/>
                  </a:schemeClr>
                </a:solidFill>
                <a:latin typeface="+mn-lt"/>
                <a:ea typeface="+mn-ea"/>
                <a:cs typeface="+mn-cs"/>
              </a:defRPr>
            </a:pPr>
            <a:r>
              <a:t>2022年度收、支总计变动情况图（万元）</a:t>
            </a:r>
          </a:p>
        </c:rich>
      </c:tx>
      <c:layout/>
      <c:overlay val="0"/>
      <c:spPr>
        <a:noFill/>
        <a:ln>
          <a:noFill/>
        </a:ln>
        <a:effectLst/>
      </c:spPr>
    </c:title>
    <c:autoTitleDeleted val="0"/>
    <c:plotArea>
      <c:layout>
        <c:manualLayout>
          <c:layoutTarget val="inner"/>
          <c:xMode val="edge"/>
          <c:yMode val="edge"/>
          <c:x val="0.103"/>
          <c:y val="0.177083333333333"/>
          <c:w val="0.674361111111111"/>
          <c:h val="0.686666666666667"/>
        </c:manualLayout>
      </c:layout>
      <c:barChart>
        <c:barDir val="col"/>
        <c:grouping val="stacked"/>
        <c:varyColors val="0"/>
        <c:ser>
          <c:idx val="0"/>
          <c:order val="0"/>
          <c:tx>
            <c:strRef>
              <c:f>[住建局部门决算公开柱状图.xlsx]Sheet1!$B$20</c:f>
              <c:strCache>
                <c:ptCount val="1"/>
                <c:pt idx="0">
                  <c:v>2022年度收、支总计（万元）</c:v>
                </c:pt>
              </c:strCache>
            </c:strRef>
          </c:tx>
          <c:spPr>
            <a:solidFill>
              <a:schemeClr val="accent1">
                <a:lumMod val="75000"/>
              </a:schemeClr>
            </a:solidFill>
            <a:ln>
              <a:noFill/>
            </a:ln>
            <a:effectLst/>
          </c:spPr>
          <c:invertIfNegative val="0"/>
          <c:dLbls>
            <c:dLbl>
              <c:idx val="0"/>
              <c:layout>
                <c:manualLayout>
                  <c:x val="-0.00208333333333333"/>
                  <c:y val="-0.35416666666666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35694444444444"/>
                      <c:h val="0.0821759259259259"/>
                    </c:manualLayout>
                  </c15:layout>
                </c:ext>
              </c:extLst>
            </c:dLbl>
            <c:dLbl>
              <c:idx val="1"/>
              <c:layout>
                <c:manualLayout>
                  <c:x val="-0.00416666666666667"/>
                  <c:y val="-0.35416666666666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28194444444444"/>
                      <c:h val="0.0858796296296296"/>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[住建局部门决算公开柱状图.xlsx]Sheet1!$A$21:$A$22</c:f>
              <c:strCache>
                <c:ptCount val="2"/>
                <c:pt idx="0">
                  <c:v>2021年度</c:v>
                </c:pt>
                <c:pt idx="1">
                  <c:v>2022年度</c:v>
                </c:pt>
              </c:strCache>
            </c:strRef>
          </c:cat>
          <c:val>
            <c:numRef>
              <c:f>[住建局部门决算公开柱状图.xlsx]Sheet1!$B$21:$B$22</c:f>
              <c:numCache>
                <c:formatCode>General</c:formatCode>
                <c:ptCount val="2"/>
                <c:pt idx="0">
                  <c:v>96145.89</c:v>
                </c:pt>
                <c:pt idx="1">
                  <c:v>113388.93</c:v>
                </c:pt>
              </c:numCache>
            </c:numRef>
          </c:val>
        </c:ser>
        <c:dLbls>
          <c:showLegendKey val="0"/>
          <c:showVal val="1"/>
          <c:showCatName val="0"/>
          <c:showSerName val="0"/>
          <c:showPercent val="0"/>
          <c:showBubbleSize val="0"/>
        </c:dLbls>
        <c:gapWidth val="150"/>
        <c:overlap val="100"/>
        <c:axId val="957987994"/>
        <c:axId val="414487819"/>
      </c:barChart>
      <c:catAx>
        <c:axId val="957987994"/>
        <c:scaling>
          <c:orientation val="minMax"/>
        </c:scaling>
        <c:delete val="0"/>
        <c:axPos val="b"/>
        <c:majorTickMark val="none"/>
        <c:minorTickMark val="none"/>
        <c:tickLblPos val="nextTo"/>
        <c:spPr>
          <a:noFill/>
          <a:ln w="9525" cap="flat" cmpd="sng" algn="ctr">
            <a:solidFill>
              <a:schemeClr val="bg2">
                <a:lumMod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487819"/>
        <c:crosses val="autoZero"/>
        <c:auto val="1"/>
        <c:lblAlgn val="ctr"/>
        <c:lblOffset val="100"/>
        <c:noMultiLvlLbl val="0"/>
      </c:catAx>
      <c:valAx>
        <c:axId val="414487819"/>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987994"/>
        <c:crosses val="autoZero"/>
        <c:crossBetween val="between"/>
      </c:valAx>
      <c:spPr>
        <a:noFill/>
        <a:ln>
          <a:noFill/>
        </a:ln>
        <a:effectLst/>
      </c:spPr>
    </c:plotArea>
    <c:legend>
      <c:legendPos val="r"/>
      <c:layout>
        <c:manualLayout>
          <c:xMode val="edge"/>
          <c:yMode val="edge"/>
          <c:x val="0.780555555555556"/>
          <c:y val="0.423611111111111"/>
          <c:w val="0.202777777777778"/>
          <c:h val="0.16087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50000"/>
          <a:lumOff val="50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30902777777778"/>
          <c:y val="0.0277777777777778"/>
        </c:manualLayout>
      </c:layout>
      <c:overlay val="0"/>
      <c:spPr>
        <a:noFill/>
        <a:ln>
          <a:noFill/>
        </a:ln>
        <a:effectLst/>
      </c:spPr>
      <c:txPr>
        <a:bodyPr rot="0" spcFirstLastPara="0" vertOverflow="ellipsis" vert="horz" wrap="square" anchor="ctr" anchorCtr="1"/>
        <a:lstStyle/>
        <a:p>
          <a:pPr>
            <a:defRPr lang="zh-CN" sz="160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[住建局部门决算公开柱状图.xlsx]Sheet1!$B$40</c:f>
              <c:strCache>
                <c:ptCount val="1"/>
                <c:pt idx="0">
                  <c:v>2022年收入决算结构图(万元）</c:v>
                </c:pt>
              </c:strCache>
            </c:strRef>
          </c:tx>
          <c:spPr/>
          <c:explosion val="0"/>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0457140908917323"/>
                  <c:y val="-0.24521300625043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49957358917223"/>
                  <c:y val="0.1594563135322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[住建局部门决算公开柱状图.xlsx]Sheet1!$A$41:$A$47</c:f>
              <c:strCache>
                <c:ptCount val="7"/>
                <c:pt idx="0">
                  <c:v>一般公共预算财政拨款收入</c:v>
                </c:pt>
                <c:pt idx="1">
                  <c:v>政府性基金预算财政拨款收入</c:v>
                </c:pt>
              </c:strCache>
            </c:strRef>
          </c:cat>
          <c:val>
            <c:numRef>
              <c:f>[住建局部门决算公开柱状图.xlsx]Sheet1!$B$41:$B$47</c:f>
              <c:numCache>
                <c:formatCode>General</c:formatCode>
                <c:ptCount val="7"/>
                <c:pt idx="0">
                  <c:v>25879.41</c:v>
                </c:pt>
                <c:pt idx="1">
                  <c:v>35243.62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legendEntry>
        <c:idx val="4"/>
        <c:delete val="1"/>
      </c:legendEntry>
      <c:legendEntry>
        <c:idx val="5"/>
        <c:delete val="1"/>
      </c:legendEntry>
      <c:legendEntry>
        <c:idx val="6"/>
        <c:delete val="1"/>
      </c:legendEntry>
      <c:layout>
        <c:manualLayout>
          <c:xMode val="edge"/>
          <c:yMode val="edge"/>
          <c:x val="0.689006466784245"/>
          <c:y val="0.146943483275663"/>
          <c:w val="0.306878306878307"/>
          <c:h val="0.8089965397923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[住建局部门决算公开柱状图.xlsx]Sheet1!$B$49</c:f>
              <c:strCache>
                <c:ptCount val="1"/>
                <c:pt idx="0">
                  <c:v>2022年支出决算结构图(万元）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0272540143076"/>
                  <c:y val="-0.0059147880898551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9541259551886"/>
                  <c:y val="-0.0011774075329645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[住建局部门决算公开柱状图.xlsx]Sheet1!$A$50:$A$54</c:f>
              <c:strCache>
                <c:ptCount val="5"/>
                <c:pt idx="0">
                  <c:v>基本支出</c:v>
                </c:pt>
                <c:pt idx="1">
                  <c:v>项目支出</c:v>
                </c:pt>
              </c:strCache>
            </c:strRef>
          </c:cat>
          <c:val>
            <c:numRef>
              <c:f>[住建局部门决算公开柱状图.xlsx]Sheet1!$B$50:$B$54</c:f>
              <c:numCache>
                <c:formatCode>General</c:formatCode>
                <c:ptCount val="5"/>
                <c:pt idx="0">
                  <c:v>7839.94</c:v>
                </c:pt>
                <c:pt idx="1">
                  <c:v>72078.99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legendEntry>
        <c:idx val="4"/>
        <c:delete val="1"/>
      </c:legendEntry>
      <c:layout>
        <c:manualLayout>
          <c:xMode val="edge"/>
          <c:yMode val="edge"/>
          <c:x val="0.745086902192434"/>
          <c:y val="0.299054373522459"/>
          <c:w val="0.217425877541747"/>
          <c:h val="0.4985815602836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[住建局部门决算公开柱状图.xlsx]Sheet1!$B$67</c:f>
              <c:strCache>
                <c:ptCount val="1"/>
                <c:pt idx="0">
                  <c:v>2022年财政拨款收、支决算总计变动情况（万元）</c:v>
                </c:pt>
              </c:strCache>
            </c:strRef>
          </c:tx>
          <c:spPr>
            <a:solidFill>
              <a:schemeClr val="accent1"/>
            </a:solidFill>
            <a:ln>
              <a:noFill/>
            </a:ln>
            <a:effectLst/>
          </c:spPr>
          <c:invertIfNegative val="0"/>
          <c:dLbls>
            <c:dLbl>
              <c:idx val="0"/>
              <c:layout>
                <c:manualLayout>
                  <c:x val="0"/>
                  <c:y val="-0.328423566878981"/>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08229721728834"/>
                      <c:h val="0.0867834394904459"/>
                    </c:manualLayout>
                  </c15:layout>
                </c:ext>
              </c:extLst>
            </c:dLbl>
            <c:dLbl>
              <c:idx val="1"/>
              <c:layout>
                <c:manualLayout>
                  <c:x val="0.00177619893428064"/>
                  <c:y val="-0.32543789808917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27767910005921"/>
                      <c:h val="0.0312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[住建局部门决算公开柱状图.xlsx]Sheet1!$A$68:$A$69</c:f>
              <c:strCache>
                <c:ptCount val="2"/>
                <c:pt idx="0">
                  <c:v>2021年度</c:v>
                </c:pt>
                <c:pt idx="1">
                  <c:v>2022年度</c:v>
                </c:pt>
              </c:strCache>
            </c:strRef>
          </c:cat>
          <c:val>
            <c:numRef>
              <c:f>[住建局部门决算公开柱状图.xlsx]Sheet1!$B$68:$B$69</c:f>
              <c:numCache>
                <c:formatCode>General</c:formatCode>
                <c:ptCount val="2"/>
                <c:pt idx="0">
                  <c:v>95724.27</c:v>
                </c:pt>
                <c:pt idx="1">
                  <c:v>112967.31</c:v>
                </c:pt>
              </c:numCache>
            </c:numRef>
          </c:val>
        </c:ser>
        <c:dLbls>
          <c:showLegendKey val="0"/>
          <c:showVal val="1"/>
          <c:showCatName val="0"/>
          <c:showSerName val="0"/>
          <c:showPercent val="0"/>
          <c:showBubbleSize val="0"/>
        </c:dLbls>
        <c:gapWidth val="150"/>
        <c:overlap val="100"/>
        <c:axId val="162183282"/>
        <c:axId val="727305534"/>
      </c:barChart>
      <c:catAx>
        <c:axId val="162183282"/>
        <c:scaling>
          <c:orientation val="minMax"/>
        </c:scaling>
        <c:delete val="0"/>
        <c:axPos val="b"/>
        <c:majorTickMark val="none"/>
        <c:minorTickMark val="none"/>
        <c:tickLblPos val="nextTo"/>
        <c:spPr>
          <a:noFill/>
          <a:ln w="9525" cap="flat" cmpd="sng" algn="ctr">
            <a:solidFill>
              <a:schemeClr val="bg2">
                <a:lumMod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7305534"/>
        <c:crosses val="autoZero"/>
        <c:auto val="1"/>
        <c:lblAlgn val="ctr"/>
        <c:lblOffset val="100"/>
        <c:noMultiLvlLbl val="0"/>
      </c:catAx>
      <c:valAx>
        <c:axId val="727305534"/>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183282"/>
        <c:crosses val="autoZero"/>
        <c:crossBetween val="between"/>
      </c:valAx>
      <c:spPr>
        <a:noFill/>
        <a:ln>
          <a:noFill/>
        </a:ln>
        <a:effectLst/>
      </c:spPr>
    </c:plotArea>
    <c:legend>
      <c:legendPos val="r"/>
      <c:layout>
        <c:manualLayout>
          <c:xMode val="edge"/>
          <c:yMode val="edge"/>
          <c:x val="0.7951450562463"/>
          <c:y val="0.385172913646718"/>
          <c:w val="0.190645352279455"/>
          <c:h val="0.26092358666390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2">
          <a:lumMod val="2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32804232804233"/>
          <c:y val="0.366206896551724"/>
          <c:w val="0.69"/>
          <c:h val="0.526068965517241"/>
        </c:manualLayout>
      </c:layout>
      <c:barChart>
        <c:barDir val="col"/>
        <c:grouping val="stacked"/>
        <c:varyColors val="0"/>
        <c:ser>
          <c:idx val="0"/>
          <c:order val="0"/>
          <c:tx>
            <c:strRef>
              <c:f>[住建局部门决算公开柱状图.xlsx]Sheet1!$B$1</c:f>
              <c:strCache>
                <c:ptCount val="1"/>
                <c:pt idx="0">
                  <c:v>一般公共预算财政拨款支出决算变动情况（万元）
</c:v>
                </c:pt>
              </c:strCache>
            </c:strRef>
          </c:tx>
          <c:spPr>
            <a:solidFill>
              <a:schemeClr val="accent1"/>
            </a:solidFill>
            <a:ln>
              <a:noFill/>
            </a:ln>
            <a:effectLst/>
          </c:spPr>
          <c:invertIfNegative val="0"/>
          <c:dLbls>
            <c:dLbl>
              <c:idx val="0"/>
              <c:layout>
                <c:manualLayout>
                  <c:x val="-0.00198412698412698"/>
                  <c:y val="-0.28275862068965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22068965517241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[住建局部门决算公开柱状图.xlsx]Sheet1!$A$2:$A$3</c:f>
              <c:strCache>
                <c:ptCount val="2"/>
                <c:pt idx="0">
                  <c:v>2021年度</c:v>
                </c:pt>
                <c:pt idx="1">
                  <c:v>2022年度</c:v>
                </c:pt>
              </c:strCache>
            </c:strRef>
          </c:cat>
          <c:val>
            <c:numRef>
              <c:f>[住建局部门决算公开柱状图.xlsx]Sheet1!$B$2:$B$3</c:f>
              <c:numCache>
                <c:formatCode>General</c:formatCode>
                <c:ptCount val="2"/>
                <c:pt idx="0">
                  <c:v>58386.8</c:v>
                </c:pt>
                <c:pt idx="1">
                  <c:v>39154.87</c:v>
                </c:pt>
              </c:numCache>
            </c:numRef>
          </c:val>
        </c:ser>
        <c:dLbls>
          <c:showLegendKey val="0"/>
          <c:showVal val="1"/>
          <c:showCatName val="0"/>
          <c:showSerName val="0"/>
          <c:showPercent val="0"/>
          <c:showBubbleSize val="0"/>
        </c:dLbls>
        <c:gapWidth val="150"/>
        <c:overlap val="100"/>
        <c:axId val="80360874"/>
        <c:axId val="156964807"/>
      </c:barChart>
      <c:catAx>
        <c:axId val="80360874"/>
        <c:scaling>
          <c:orientation val="minMax"/>
        </c:scaling>
        <c:delete val="0"/>
        <c:axPos val="b"/>
        <c:majorTickMark val="none"/>
        <c:minorTickMark val="none"/>
        <c:tickLblPos val="nextTo"/>
        <c:spPr>
          <a:noFill/>
          <a:ln w="9525" cap="flat" cmpd="sng" algn="ctr">
            <a:solidFill>
              <a:schemeClr val="bg2">
                <a:lumMod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964807"/>
        <c:crosses val="autoZero"/>
        <c:auto val="1"/>
        <c:lblAlgn val="ctr"/>
        <c:lblOffset val="100"/>
        <c:noMultiLvlLbl val="0"/>
      </c:catAx>
      <c:valAx>
        <c:axId val="156964807"/>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0874"/>
        <c:crosses val="autoZero"/>
        <c:crossBetween val="between"/>
      </c:valAx>
      <c:spPr>
        <a:noFill/>
        <a:ln>
          <a:noFill/>
        </a:ln>
        <a:effectLst/>
      </c:spPr>
    </c:plotArea>
    <c:legend>
      <c:legendPos val="r"/>
      <c:layout>
        <c:manualLayout>
          <c:xMode val="edge"/>
          <c:yMode val="edge"/>
          <c:x val="0.796957671957672"/>
          <c:y val="0.352873563218391"/>
          <c:w val="0.187169312169312"/>
          <c:h val="0.3620689655172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2">
          <a:lumMod val="50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887001241511197"/>
          <c:y val="0.0459442593493561"/>
        </c:manualLayout>
      </c:layout>
      <c:overlay val="0"/>
      <c:spPr>
        <a:noFill/>
        <a:ln>
          <a:noFill/>
        </a:ln>
        <a:effectLst/>
      </c:spPr>
      <c:txPr>
        <a:bodyPr rot="0" spcFirstLastPara="0" vertOverflow="ellipsis" vert="horz" wrap="square" anchor="ctr" anchorCtr="1"/>
        <a:lstStyle/>
        <a:p>
          <a:pPr>
            <a:defRPr lang="zh-CN" sz="1600" b="1"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77561111111111"/>
          <c:y val="0.303458333333333"/>
          <c:w val="0.366544444444444"/>
          <c:h val="0.610907407407407"/>
        </c:manualLayout>
      </c:layout>
      <c:pieChart>
        <c:varyColors val="1"/>
        <c:ser>
          <c:idx val="0"/>
          <c:order val="0"/>
          <c:tx>
            <c:strRef>
              <c:f>[住建局部门决算公开柱状图.xlsx]Sheet1!$B$91</c:f>
              <c:strCache>
                <c:ptCount val="1"/>
                <c:pt idx="0">
                  <c:v>2022年一般公共预算财政拨款支出决算结构（万元）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0"/>
              <c:layout>
                <c:manualLayout>
                  <c:x val="0.0507083085370522"/>
                  <c:y val="-0.07357481089219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4690579024258"/>
                  <c:y val="0.00940468096112592"/>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980151650312221"/>
                      <c:h val="0.0392963540927791"/>
                    </c:manualLayout>
                  </c15:layout>
                </c:ext>
              </c:extLst>
            </c:dLbl>
            <c:dLbl>
              <c:idx val="2"/>
              <c:layout>
                <c:manualLayout>
                  <c:x val="-0.0259550232843067"/>
                  <c:y val="-0.1361368615248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6349470697982"/>
                  <c:y val="-0.0006901263704214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771396523820047"/>
                  <c:y val="0.001367329351600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44629524234941"/>
                  <c:y val="-0.024556531915274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61966224054493"/>
                  <c:y val="-0.0181632164977029"/>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41057091882248"/>
                      <c:h val="0.0959001276776848"/>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[住建局部门决算公开柱状图.xlsx]Sheet1!$A$92:$A$101</c:f>
              <c:strCache>
                <c:ptCount val="10"/>
                <c:pt idx="0">
                  <c:v>国防支出</c:v>
                </c:pt>
                <c:pt idx="1">
                  <c:v>社会保障和就业支出</c:v>
                </c:pt>
                <c:pt idx="2">
                  <c:v>卫生健康支出</c:v>
                </c:pt>
                <c:pt idx="3">
                  <c:v>节能环保支出</c:v>
                </c:pt>
                <c:pt idx="4">
                  <c:v>城乡社区支出</c:v>
                </c:pt>
                <c:pt idx="5">
                  <c:v>住房保障支出</c:v>
                </c:pt>
                <c:pt idx="6">
                  <c:v>灾害防治及应急管理支出</c:v>
                </c:pt>
              </c:strCache>
            </c:strRef>
          </c:cat>
          <c:val>
            <c:numRef>
              <c:f>[住建局部门决算公开柱状图.xlsx]Sheet1!$B$92:$B$101</c:f>
              <c:numCache>
                <c:formatCode>General</c:formatCode>
                <c:ptCount val="10"/>
                <c:pt idx="0">
                  <c:v>44.73</c:v>
                </c:pt>
                <c:pt idx="1">
                  <c:v>237.62</c:v>
                </c:pt>
                <c:pt idx="2">
                  <c:v>59.08</c:v>
                </c:pt>
                <c:pt idx="3">
                  <c:v>200</c:v>
                </c:pt>
                <c:pt idx="4">
                  <c:v>20191.34</c:v>
                </c:pt>
                <c:pt idx="5">
                  <c:v>18412.1</c:v>
                </c:pt>
                <c:pt idx="6">
                  <c:v>10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7"/>
        <c:delete val="1"/>
      </c:legendEntry>
      <c:legendEntry>
        <c:idx val="8"/>
        <c:delete val="1"/>
      </c:legendEntry>
      <c:legendEntry>
        <c:idx val="9"/>
        <c:delete val="1"/>
      </c:legendEntry>
      <c:layout>
        <c:manualLayout>
          <c:xMode val="edge"/>
          <c:yMode val="edge"/>
          <c:x val="0.700833333333333"/>
          <c:y val="0.30787037037037"/>
          <c:w val="0.256805555555556"/>
          <c:h val="0.4907407407407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2">
          <a:lumMod val="50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spc="0" baseline="0">
                <a:solidFill>
                  <a:schemeClr val="tx1">
                    <a:lumMod val="65000"/>
                    <a:lumOff val="35000"/>
                  </a:schemeClr>
                </a:solidFill>
                <a:latin typeface="+mn-lt"/>
                <a:ea typeface="+mn-ea"/>
                <a:cs typeface="+mn-cs"/>
              </a:defRPr>
            </a:pPr>
            <a:r>
              <a:t>202</a:t>
            </a:r>
            <a:r>
              <a:rPr lang="en-US" altLang="zh-CN"/>
              <a:t>2</a:t>
            </a:r>
            <a:r>
              <a:t>年“三公”经费财政拨款支出决算（万元）</a:t>
            </a:r>
          </a:p>
        </c:rich>
      </c:tx>
      <c:layout>
        <c:manualLayout>
          <c:xMode val="edge"/>
          <c:yMode val="edge"/>
          <c:x val="0.137435777673984"/>
          <c:y val="0.0206185567010309"/>
        </c:manualLayout>
      </c:layout>
      <c:overlay val="0"/>
      <c:spPr>
        <a:noFill/>
        <a:ln>
          <a:noFill/>
        </a:ln>
        <a:effectLst/>
      </c:spPr>
    </c:title>
    <c:autoTitleDeleted val="0"/>
    <c:plotArea>
      <c:layout/>
      <c:pieChart>
        <c:varyColors val="1"/>
        <c:ser>
          <c:idx val="0"/>
          <c:order val="0"/>
          <c:tx>
            <c:strRef>
              <c:f>[住建局部门决算公开柱状图.xlsx]Sheet1!$B$121</c:f>
              <c:strCache>
                <c:ptCount val="1"/>
                <c:pt idx="0">
                  <c:v>2021年“三公”经费财政拨款支出决算（万元）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770667912190565"/>
                  <c:y val="0.017182130584192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64350116123727"/>
                  <c:y val="-0.208269231926705"/>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11863615133115"/>
                      <c:h val="0.0455899198167239"/>
                    </c:manualLayout>
                  </c15:layout>
                </c:ext>
              </c:extLst>
            </c:dLbl>
            <c:dLbl>
              <c:idx val="2"/>
              <c:layout>
                <c:manualLayout>
                  <c:x val="0.0591656953771761"/>
                  <c:y val="-0.01590919222203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[住建局部门决算公开柱状图.xlsx]Sheet1!$A$122:$A$124</c:f>
              <c:strCache>
                <c:ptCount val="3"/>
                <c:pt idx="0">
                  <c:v>因公出国（境）费</c:v>
                </c:pt>
                <c:pt idx="1">
                  <c:v>公务用车购置及运行维护费</c:v>
                </c:pt>
                <c:pt idx="2">
                  <c:v>公务接待费</c:v>
                </c:pt>
              </c:strCache>
            </c:strRef>
          </c:cat>
          <c:val>
            <c:numRef>
              <c:f>[住建局部门决算公开柱状图.xlsx]Sheet1!$B$122:$B$124</c:f>
              <c:numCache>
                <c:formatCode>General</c:formatCode>
                <c:ptCount val="3"/>
                <c:pt idx="0">
                  <c:v>0</c:v>
                </c:pt>
                <c:pt idx="1">
                  <c:v>8.96</c:v>
                </c:pt>
                <c:pt idx="2">
                  <c:v>0.11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38136384866885"/>
          <c:y val="0.398625429553265"/>
          <c:w val="0.28654834189631"/>
          <c:h val="0.3530355097365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53</Pages>
  <Words>20704</Words>
  <Characters>22881</Characters>
  <Lines>58</Lines>
  <Paragraphs>16</Paragraphs>
  <TotalTime>10</TotalTime>
  <ScaleCrop>false</ScaleCrop>
  <LinksUpToDate>false</LinksUpToDate>
  <CharactersWithSpaces>23555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史哲</cp:lastModifiedBy>
  <cp:lastPrinted>2023-07-31T02:35:00Z</cp:lastPrinted>
  <dcterms:modified xsi:type="dcterms:W3CDTF">2023-11-30T09:58:45Z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B3D5B2B2E6264F34B2B7D986BD5BAF59</vt:lpwstr>
  </property>
</Properties>
</file>