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8441"/>
      <w:bookmarkStart w:id="1" w:name="_Toc15377425"/>
      <w:bookmarkStart w:id="2" w:name="_Toc15377193"/>
      <w:bookmarkStart w:id="3" w:name="_Toc15396475"/>
      <w:bookmarkStart w:id="4" w:name="_Toc15396597"/>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6" w:name="_Toc15396598"/>
      <w:bookmarkStart w:id="7" w:name="_Toc15377426"/>
      <w:bookmarkStart w:id="8" w:name="_Toc15377194"/>
      <w:bookmarkStart w:id="9" w:name="_Toc15396476"/>
      <w:bookmarkStart w:id="10" w:name="_Toc15378442"/>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lang w:eastAsia="zh-CN"/>
        </w:rPr>
        <w:t>乐山市峨眉山市</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lang w:eastAsia="zh-CN"/>
        </w:rPr>
        <w:t>双福镇人民政府</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公开时间：2023年</w:t>
      </w:r>
      <w:r>
        <w:rPr>
          <w:rFonts w:hint="eastAsia"/>
          <w:lang w:val="en-US" w:eastAsia="zh-CN"/>
        </w:rPr>
        <w:t>11</w:t>
      </w:r>
      <w:r>
        <w:rPr>
          <w:rFonts w:hint="eastAsia"/>
        </w:rPr>
        <w:t>月</w:t>
      </w:r>
      <w:r>
        <w:rPr>
          <w:rFonts w:hint="eastAsia"/>
          <w:lang w:val="en-US" w:eastAsia="zh-CN"/>
        </w:rPr>
        <w:t>30</w:t>
      </w:r>
      <w:r>
        <w:rPr>
          <w:rFonts w:hint="eastAsia"/>
        </w:rPr>
        <w:t>日</w:t>
      </w:r>
    </w:p>
    <w:p/>
    <w:p>
      <w:pPr>
        <w:pStyle w:val="11"/>
        <w:keepNext w:val="0"/>
        <w:keepLines w:val="0"/>
        <w:pageBreakBefore w:val="0"/>
        <w:widowControl w:val="0"/>
        <w:tabs>
          <w:tab w:val="decimal" w:leader="middleDot" w:pos="7980"/>
        </w:tabs>
        <w:kinsoku/>
        <w:wordWrap/>
        <w:overflowPunct/>
        <w:topLinePunct w:val="0"/>
        <w:autoSpaceDE/>
        <w:autoSpaceDN/>
        <w:bidi w:val="0"/>
        <w:adjustRightInd w:val="0"/>
        <w:snapToGrid w:val="0"/>
        <w:spacing w:before="0" w:line="440" w:lineRule="exact"/>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第一部分 部门概况</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4</w:t>
      </w:r>
    </w:p>
    <w:p>
      <w:pPr>
        <w:pStyle w:val="13"/>
        <w:keepNext w:val="0"/>
        <w:keepLines w:val="0"/>
        <w:pageBreakBefore w:val="0"/>
        <w:widowControl w:val="0"/>
        <w:tabs>
          <w:tab w:val="decimal" w:leader="middleDot" w:pos="7980"/>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一、部门职责</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4</w:t>
      </w:r>
    </w:p>
    <w:p>
      <w:pPr>
        <w:pStyle w:val="13"/>
        <w:keepNext w:val="0"/>
        <w:keepLines w:val="0"/>
        <w:pageBreakBefore w:val="0"/>
        <w:widowControl w:val="0"/>
        <w:tabs>
          <w:tab w:val="decimal" w:leader="middleDot" w:pos="7980"/>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二、机构设置</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4</w:t>
      </w:r>
    </w:p>
    <w:p>
      <w:pPr>
        <w:pStyle w:val="11"/>
        <w:keepNext w:val="0"/>
        <w:keepLines w:val="0"/>
        <w:pageBreakBefore w:val="0"/>
        <w:widowControl w:val="0"/>
        <w:tabs>
          <w:tab w:val="decimal" w:leader="middleDot" w:pos="7980"/>
        </w:tabs>
        <w:kinsoku/>
        <w:wordWrap/>
        <w:overflowPunct/>
        <w:topLinePunct w:val="0"/>
        <w:autoSpaceDE/>
        <w:autoSpaceDN/>
        <w:bidi w:val="0"/>
        <w:adjustRightInd w:val="0"/>
        <w:snapToGrid w:val="0"/>
        <w:spacing w:before="0" w:line="440" w:lineRule="exact"/>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第二部分 2022年度部门决算情况说明</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5</w:t>
      </w:r>
    </w:p>
    <w:p>
      <w:pPr>
        <w:pStyle w:val="13"/>
        <w:keepNext w:val="0"/>
        <w:keepLines w:val="0"/>
        <w:pageBreakBefore w:val="0"/>
        <w:widowControl w:val="0"/>
        <w:tabs>
          <w:tab w:val="decimal" w:leader="middleDot" w:pos="7980"/>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一、收入支出决算总体情况说明</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5</w:t>
      </w:r>
    </w:p>
    <w:p>
      <w:pPr>
        <w:pStyle w:val="13"/>
        <w:keepNext w:val="0"/>
        <w:keepLines w:val="0"/>
        <w:pageBreakBefore w:val="0"/>
        <w:widowControl w:val="0"/>
        <w:tabs>
          <w:tab w:val="decimal" w:leader="middleDot" w:pos="7980"/>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二、收入决算情况说明</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6</w:t>
      </w:r>
    </w:p>
    <w:p>
      <w:pPr>
        <w:pStyle w:val="13"/>
        <w:keepNext w:val="0"/>
        <w:keepLines w:val="0"/>
        <w:pageBreakBefore w:val="0"/>
        <w:widowControl w:val="0"/>
        <w:tabs>
          <w:tab w:val="decimal" w:leader="middleDot" w:pos="7980"/>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三、支出决算情况说明</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6</w:t>
      </w:r>
    </w:p>
    <w:p>
      <w:pPr>
        <w:pStyle w:val="13"/>
        <w:keepNext w:val="0"/>
        <w:keepLines w:val="0"/>
        <w:pageBreakBefore w:val="0"/>
        <w:widowControl w:val="0"/>
        <w:tabs>
          <w:tab w:val="decimal" w:leader="middleDot" w:pos="7980"/>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四、财政拨款收入支出决算总体情况说明</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7</w:t>
      </w:r>
    </w:p>
    <w:p>
      <w:pPr>
        <w:pStyle w:val="13"/>
        <w:keepNext w:val="0"/>
        <w:keepLines w:val="0"/>
        <w:pageBreakBefore w:val="0"/>
        <w:widowControl w:val="0"/>
        <w:tabs>
          <w:tab w:val="decimal" w:leader="middleDot" w:pos="7980"/>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五、一般公共预算财政拨款支出决算情况说明</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8</w:t>
      </w:r>
    </w:p>
    <w:p>
      <w:pPr>
        <w:pStyle w:val="13"/>
        <w:keepNext w:val="0"/>
        <w:keepLines w:val="0"/>
        <w:pageBreakBefore w:val="0"/>
        <w:widowControl w:val="0"/>
        <w:tabs>
          <w:tab w:val="decimal" w:leader="middleDot" w:pos="7980"/>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六、一般公共预算财政拨款基本支出决算情况说明</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13</w:t>
      </w:r>
    </w:p>
    <w:p>
      <w:pPr>
        <w:pStyle w:val="13"/>
        <w:keepNext w:val="0"/>
        <w:keepLines w:val="0"/>
        <w:pageBreakBefore w:val="0"/>
        <w:widowControl w:val="0"/>
        <w:tabs>
          <w:tab w:val="decimal" w:leader="middleDot" w:pos="7980"/>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七、财政拨款“三公”经费支出决算情况说明</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13</w:t>
      </w:r>
    </w:p>
    <w:p>
      <w:pPr>
        <w:pStyle w:val="13"/>
        <w:keepNext w:val="0"/>
        <w:keepLines w:val="0"/>
        <w:pageBreakBefore w:val="0"/>
        <w:widowControl w:val="0"/>
        <w:tabs>
          <w:tab w:val="decimal" w:leader="middleDot" w:pos="7980"/>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八、政府性基金预算支出决算情况说明</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15</w:t>
      </w:r>
    </w:p>
    <w:p>
      <w:pPr>
        <w:pStyle w:val="13"/>
        <w:keepNext w:val="0"/>
        <w:keepLines w:val="0"/>
        <w:pageBreakBefore w:val="0"/>
        <w:widowControl w:val="0"/>
        <w:tabs>
          <w:tab w:val="decimal" w:leader="middleDot" w:pos="7980"/>
        </w:tabs>
        <w:kinsoku/>
        <w:wordWrap/>
        <w:overflowPunct/>
        <w:topLinePunct w:val="0"/>
        <w:autoSpaceDE/>
        <w:autoSpaceDN/>
        <w:bidi w:val="0"/>
        <w:adjustRightInd w:val="0"/>
        <w:snapToGrid w:val="0"/>
        <w:spacing w:line="440" w:lineRule="exact"/>
        <w:ind w:leftChars="0"/>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九、国有资本经营预算支出决算情况说明</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15</w:t>
      </w:r>
    </w:p>
    <w:p>
      <w:pPr>
        <w:keepNext w:val="0"/>
        <w:keepLines w:val="0"/>
        <w:pageBreakBefore w:val="0"/>
        <w:widowControl w:val="0"/>
        <w:tabs>
          <w:tab w:val="decimal" w:leader="middleDot" w:pos="7980"/>
          <w:tab w:val="right" w:leader="dot" w:pos="8296"/>
        </w:tabs>
        <w:kinsoku/>
        <w:wordWrap/>
        <w:overflowPunct/>
        <w:topLinePunct w:val="0"/>
        <w:autoSpaceDE/>
        <w:autoSpaceDN/>
        <w:bidi w:val="0"/>
        <w:adjustRightInd w:val="0"/>
        <w:snapToGrid w:val="0"/>
        <w:spacing w:line="440" w:lineRule="exact"/>
        <w:ind w:firstLine="420" w:firstLineChars="175"/>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十、其他重要事项的情况说明</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15</w:t>
      </w:r>
    </w:p>
    <w:p>
      <w:pPr>
        <w:pStyle w:val="11"/>
        <w:keepNext w:val="0"/>
        <w:keepLines w:val="0"/>
        <w:pageBreakBefore w:val="0"/>
        <w:widowControl w:val="0"/>
        <w:tabs>
          <w:tab w:val="decimal" w:leader="middleDot" w:pos="7980"/>
        </w:tabs>
        <w:kinsoku/>
        <w:wordWrap/>
        <w:overflowPunct/>
        <w:topLinePunct w:val="0"/>
        <w:autoSpaceDE/>
        <w:autoSpaceDN/>
        <w:bidi w:val="0"/>
        <w:adjustRightInd w:val="0"/>
        <w:snapToGrid w:val="0"/>
        <w:spacing w:before="0" w:line="440" w:lineRule="exact"/>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第三部分 名词解释</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18</w:t>
      </w:r>
    </w:p>
    <w:p>
      <w:pPr>
        <w:pStyle w:val="11"/>
        <w:keepNext w:val="0"/>
        <w:keepLines w:val="0"/>
        <w:pageBreakBefore w:val="0"/>
        <w:widowControl w:val="0"/>
        <w:tabs>
          <w:tab w:val="decimal" w:leader="middleDot" w:pos="7980"/>
        </w:tabs>
        <w:kinsoku/>
        <w:wordWrap/>
        <w:overflowPunct/>
        <w:topLinePunct w:val="0"/>
        <w:autoSpaceDE/>
        <w:autoSpaceDN/>
        <w:bidi w:val="0"/>
        <w:adjustRightInd w:val="0"/>
        <w:snapToGrid w:val="0"/>
        <w:spacing w:before="0" w:line="440" w:lineRule="exact"/>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第四部分 附件</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23</w:t>
      </w:r>
    </w:p>
    <w:p>
      <w:pPr>
        <w:pStyle w:val="11"/>
        <w:keepNext w:val="0"/>
        <w:keepLines w:val="0"/>
        <w:pageBreakBefore w:val="0"/>
        <w:widowControl w:val="0"/>
        <w:tabs>
          <w:tab w:val="decimal" w:leader="middleDot" w:pos="7980"/>
        </w:tabs>
        <w:kinsoku/>
        <w:wordWrap/>
        <w:overflowPunct/>
        <w:topLinePunct w:val="0"/>
        <w:autoSpaceDE/>
        <w:autoSpaceDN/>
        <w:bidi w:val="0"/>
        <w:adjustRightInd w:val="0"/>
        <w:snapToGrid w:val="0"/>
        <w:spacing w:before="0" w:line="440" w:lineRule="exact"/>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第五部分 附表</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32</w:t>
      </w:r>
    </w:p>
    <w:p>
      <w:pPr>
        <w:pStyle w:val="13"/>
        <w:keepNext w:val="0"/>
        <w:keepLines w:val="0"/>
        <w:pageBreakBefore w:val="0"/>
        <w:widowControl w:val="0"/>
        <w:tabs>
          <w:tab w:val="decimal" w:leader="middleDot" w:pos="7980"/>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一、收入支出决算总表</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32</w:t>
      </w:r>
    </w:p>
    <w:p>
      <w:pPr>
        <w:pStyle w:val="13"/>
        <w:keepNext w:val="0"/>
        <w:keepLines w:val="0"/>
        <w:pageBreakBefore w:val="0"/>
        <w:widowControl w:val="0"/>
        <w:tabs>
          <w:tab w:val="decimal" w:leader="middleDot" w:pos="7980"/>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二、收入决算表</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32</w:t>
      </w:r>
    </w:p>
    <w:p>
      <w:pPr>
        <w:pStyle w:val="13"/>
        <w:keepNext w:val="0"/>
        <w:keepLines w:val="0"/>
        <w:pageBreakBefore w:val="0"/>
        <w:widowControl w:val="0"/>
        <w:tabs>
          <w:tab w:val="decimal" w:leader="middleDot" w:pos="7980"/>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三、支出决算表</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32</w:t>
      </w:r>
    </w:p>
    <w:p>
      <w:pPr>
        <w:pStyle w:val="13"/>
        <w:keepNext w:val="0"/>
        <w:keepLines w:val="0"/>
        <w:pageBreakBefore w:val="0"/>
        <w:widowControl w:val="0"/>
        <w:tabs>
          <w:tab w:val="decimal" w:leader="middleDot" w:pos="7980"/>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四、财政拨款收入支出决算总表</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32</w:t>
      </w:r>
    </w:p>
    <w:p>
      <w:pPr>
        <w:pStyle w:val="13"/>
        <w:keepNext w:val="0"/>
        <w:keepLines w:val="0"/>
        <w:pageBreakBefore w:val="0"/>
        <w:widowControl w:val="0"/>
        <w:tabs>
          <w:tab w:val="decimal" w:leader="middleDot" w:pos="7980"/>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五、财政拨款支出决算明细表</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32</w:t>
      </w:r>
    </w:p>
    <w:p>
      <w:pPr>
        <w:pStyle w:val="13"/>
        <w:keepNext w:val="0"/>
        <w:keepLines w:val="0"/>
        <w:pageBreakBefore w:val="0"/>
        <w:widowControl w:val="0"/>
        <w:tabs>
          <w:tab w:val="decimal" w:leader="middleDot" w:pos="7980"/>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六、一般公共预算财政拨款支出决算表</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32</w:t>
      </w:r>
    </w:p>
    <w:p>
      <w:pPr>
        <w:pStyle w:val="13"/>
        <w:keepNext w:val="0"/>
        <w:keepLines w:val="0"/>
        <w:pageBreakBefore w:val="0"/>
        <w:widowControl w:val="0"/>
        <w:tabs>
          <w:tab w:val="decimal" w:leader="middleDot" w:pos="7980"/>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七、一般公共预算财政拨款支出决算明细表</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32</w:t>
      </w:r>
    </w:p>
    <w:p>
      <w:pPr>
        <w:pStyle w:val="13"/>
        <w:keepNext w:val="0"/>
        <w:keepLines w:val="0"/>
        <w:pageBreakBefore w:val="0"/>
        <w:widowControl w:val="0"/>
        <w:tabs>
          <w:tab w:val="decimal" w:leader="middleDot" w:pos="7980"/>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八、一般公共预算财政拨款基本支出决算明细表</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32</w:t>
      </w:r>
    </w:p>
    <w:p>
      <w:pPr>
        <w:pStyle w:val="13"/>
        <w:keepNext w:val="0"/>
        <w:keepLines w:val="0"/>
        <w:pageBreakBefore w:val="0"/>
        <w:widowControl w:val="0"/>
        <w:tabs>
          <w:tab w:val="decimal" w:leader="middleDot" w:pos="7980"/>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九、一般公共预算财政拨款项目支出决算表</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32</w:t>
      </w:r>
    </w:p>
    <w:p>
      <w:pPr>
        <w:pStyle w:val="13"/>
        <w:keepNext w:val="0"/>
        <w:keepLines w:val="0"/>
        <w:pageBreakBefore w:val="0"/>
        <w:widowControl w:val="0"/>
        <w:tabs>
          <w:tab w:val="decimal" w:leader="middleDot" w:pos="7980"/>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十、政府性基金预算财政拨款收入支出决算表</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32</w:t>
      </w:r>
    </w:p>
    <w:p>
      <w:pPr>
        <w:pStyle w:val="13"/>
        <w:keepNext w:val="0"/>
        <w:keepLines w:val="0"/>
        <w:pageBreakBefore w:val="0"/>
        <w:widowControl w:val="0"/>
        <w:tabs>
          <w:tab w:val="decimal" w:leader="middleDot" w:pos="7980"/>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十一、国有资本经营预算财政拨款收入支出决算表</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32</w:t>
      </w:r>
    </w:p>
    <w:p>
      <w:pPr>
        <w:pStyle w:val="13"/>
        <w:keepNext w:val="0"/>
        <w:keepLines w:val="0"/>
        <w:pageBreakBefore w:val="0"/>
        <w:widowControl w:val="0"/>
        <w:tabs>
          <w:tab w:val="decimal" w:leader="middleDot" w:pos="7980"/>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十二、国有资本经营预算财政拨款支出决算表</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32</w:t>
      </w:r>
    </w:p>
    <w:p>
      <w:pPr>
        <w:pStyle w:val="13"/>
        <w:keepNext w:val="0"/>
        <w:keepLines w:val="0"/>
        <w:pageBreakBefore w:val="0"/>
        <w:widowControl w:val="0"/>
        <w:tabs>
          <w:tab w:val="decimal" w:leader="middleDot" w:pos="7980"/>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十三、财政拨款“三公”经费支出决算表</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32</w:t>
      </w:r>
    </w:p>
    <w:p>
      <w:pPr>
        <w:widowControl/>
        <w:adjustRightInd w:val="0"/>
        <w:snapToGrid w:val="0"/>
        <w:spacing w:line="440" w:lineRule="exact"/>
        <w:ind w:firstLine="1320" w:firstLineChars="550"/>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(注：请部门根据实际注明页码)</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pageBreakBefore w:val="0"/>
        <w:kinsoku/>
        <w:wordWrap/>
        <w:overflowPunct/>
        <w:topLinePunct w:val="0"/>
        <w:bidi w:val="0"/>
        <w:spacing w:before="0" w:after="0" w:line="600" w:lineRule="exact"/>
        <w:jc w:val="center"/>
        <w:textAlignment w:val="auto"/>
        <w:rPr>
          <w:rStyle w:val="29"/>
          <w:rFonts w:ascii="黑体" w:hAnsi="黑体" w:eastAsia="黑体"/>
          <w:b/>
          <w:bCs w:val="0"/>
        </w:rPr>
      </w:pPr>
      <w:r>
        <w:rPr>
          <w:rFonts w:hint="eastAsia" w:ascii="黑体" w:hAnsi="黑体" w:eastAsia="黑体"/>
          <w:b w:val="0"/>
        </w:rPr>
        <w:t xml:space="preserve">第一部分 </w:t>
      </w:r>
      <w:r>
        <w:rPr>
          <w:rStyle w:val="29"/>
          <w:rFonts w:hint="eastAsia" w:ascii="黑体" w:hAnsi="黑体" w:eastAsia="黑体"/>
          <w:b w:val="0"/>
          <w:bCs w:val="0"/>
        </w:rPr>
        <w:t>部门概况</w:t>
      </w:r>
      <w:bookmarkEnd w:id="12"/>
      <w:bookmarkEnd w:id="13"/>
    </w:p>
    <w:p>
      <w:pPr>
        <w:pageBreakBefore w:val="0"/>
        <w:widowControl/>
        <w:kinsoku/>
        <w:wordWrap/>
        <w:overflowPunct/>
        <w:topLinePunct w:val="0"/>
        <w:bidi w:val="0"/>
        <w:spacing w:line="600" w:lineRule="exact"/>
        <w:jc w:val="left"/>
        <w:textAlignment w:val="auto"/>
        <w:rPr>
          <w:rFonts w:ascii="黑体" w:eastAsia="黑体"/>
          <w:sz w:val="32"/>
          <w:szCs w:val="32"/>
        </w:rPr>
      </w:pPr>
    </w:p>
    <w:p>
      <w:pPr>
        <w:pStyle w:val="3"/>
        <w:pageBreakBefore w:val="0"/>
        <w:numPr>
          <w:ilvl w:val="0"/>
          <w:numId w:val="1"/>
        </w:numPr>
        <w:kinsoku/>
        <w:wordWrap/>
        <w:overflowPunct/>
        <w:topLinePunct w:val="0"/>
        <w:bidi w:val="0"/>
        <w:spacing w:before="0" w:after="0" w:line="600" w:lineRule="exact"/>
        <w:textAlignment w:val="auto"/>
        <w:rPr>
          <w:rFonts w:hint="eastAsia" w:ascii="黑体" w:hAnsi="黑体" w:eastAsia="黑体"/>
          <w:b w:val="0"/>
        </w:rPr>
      </w:pPr>
      <w:r>
        <w:rPr>
          <w:rFonts w:hint="eastAsia" w:ascii="黑体" w:hAnsi="黑体" w:eastAsia="黑体"/>
          <w:b w:val="0"/>
        </w:rPr>
        <w:t>部门职责</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落实政策。宣传、落实好党的路线、方针、政策和国家的法律、法规，稳定农村基本经济制度，坚持依法行政，推行政务公开；</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促进发展。科学制定发展规划，营造农村经济发展环境，不断提高社会主义新农村建设水平；</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维护稳定。坚持“立党为公，执政为民”，紧紧围绕实现和维护群众利益开展工作，切实保障农民合法权益，维护农村社会稳定；</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加强管理。加强民政、教育、科技、文化、卫生、计划生育、安全生产、劳动保障和乡村规划等社会管理，做好防灾减灾工作，加强环境保护，努力改善农村人居环境，不断提高农村人口素质和农民生活质量；</w:t>
      </w:r>
    </w:p>
    <w:p>
      <w:pPr>
        <w:keepNext w:val="0"/>
        <w:keepLines w:val="0"/>
        <w:pageBreakBefore w:val="0"/>
        <w:kinsoku/>
        <w:wordWrap/>
        <w:overflowPunct/>
        <w:topLinePunct w:val="0"/>
        <w:bidi w:val="0"/>
        <w:spacing w:line="600" w:lineRule="exact"/>
        <w:ind w:firstLine="640" w:firstLineChars="200"/>
        <w:textAlignment w:val="auto"/>
      </w:pPr>
      <w:r>
        <w:rPr>
          <w:rFonts w:ascii="仿宋_GB2312" w:eastAsia="仿宋_GB2312"/>
          <w:sz w:val="32"/>
          <w:szCs w:val="32"/>
        </w:rPr>
        <w:t>5.</w:t>
      </w:r>
      <w:r>
        <w:rPr>
          <w:rFonts w:hint="eastAsia" w:ascii="仿宋_GB2312" w:eastAsia="仿宋_GB2312"/>
          <w:sz w:val="32"/>
          <w:szCs w:val="32"/>
        </w:rPr>
        <w:t>提供服务。进一步发展和完善农业社会化服务体系，引导各类协会和农村专业合作经济组织发展，充分发挥其作用，发展农村社会公益事业和集体公益事业。</w:t>
      </w:r>
    </w:p>
    <w:p>
      <w:pPr>
        <w:pStyle w:val="3"/>
        <w:pageBreakBefore w:val="0"/>
        <w:kinsoku/>
        <w:wordWrap/>
        <w:overflowPunct/>
        <w:topLinePunct w:val="0"/>
        <w:bidi w:val="0"/>
        <w:spacing w:before="0" w:after="0" w:line="600" w:lineRule="exact"/>
        <w:textAlignment w:val="auto"/>
        <w:rPr>
          <w:rStyle w:val="30"/>
          <w:b w:val="0"/>
          <w:bCs w:val="0"/>
        </w:rPr>
      </w:pPr>
      <w:bookmarkStart w:id="14" w:name="_Toc15377200"/>
      <w:bookmarkStart w:id="15" w:name="_Toc15396601"/>
      <w:r>
        <w:rPr>
          <w:rFonts w:hint="eastAsia" w:ascii="黑体" w:eastAsia="黑体"/>
          <w:b w:val="0"/>
        </w:rPr>
        <w:t>二、</w:t>
      </w:r>
      <w:r>
        <w:rPr>
          <w:rFonts w:hint="eastAsia" w:ascii="黑体" w:hAnsi="黑体" w:eastAsia="黑体"/>
          <w:b w:val="0"/>
        </w:rPr>
        <w:t>机</w:t>
      </w:r>
      <w:r>
        <w:rPr>
          <w:rStyle w:val="30"/>
          <w:rFonts w:hint="eastAsia" w:ascii="黑体" w:hAnsi="黑体" w:eastAsia="黑体"/>
          <w:b w:val="0"/>
          <w:bCs w:val="0"/>
        </w:rPr>
        <w:t>构设置</w:t>
      </w:r>
      <w:bookmarkEnd w:id="14"/>
      <w:bookmarkEnd w:id="15"/>
    </w:p>
    <w:p>
      <w:pPr>
        <w:pStyle w:val="5"/>
        <w:keepNext w:val="0"/>
        <w:keepLines w:val="0"/>
        <w:pageBreakBefore w:val="0"/>
        <w:kinsoku/>
        <w:wordWrap/>
        <w:overflowPunct/>
        <w:topLinePunct w:val="0"/>
        <w:bidi w:val="0"/>
        <w:adjustRightInd w:val="0"/>
        <w:snapToGrid w:val="0"/>
        <w:spacing w:beforeLines="0" w:line="600" w:lineRule="exact"/>
        <w:ind w:firstLine="672" w:firstLineChars="210"/>
        <w:textAlignment w:val="auto"/>
        <w:rPr>
          <w:rFonts w:hint="eastAsia" w:ascii="仿宋_GB2312" w:eastAsia="仿宋_GB2312"/>
          <w:sz w:val="32"/>
          <w:szCs w:val="32"/>
          <w:lang w:val="en-US" w:eastAsia="zh-CN"/>
        </w:rPr>
      </w:pPr>
      <w:bookmarkStart w:id="16" w:name="_Toc15377204"/>
      <w:bookmarkStart w:id="17" w:name="_Toc15396602"/>
      <w:r>
        <w:rPr>
          <w:rFonts w:hint="eastAsia" w:ascii="仿宋_GB2312" w:eastAsia="仿宋_GB2312"/>
          <w:sz w:val="32"/>
          <w:szCs w:val="32"/>
        </w:rPr>
        <w:t>峨眉山市双福镇人民政府属于一级预算单位，下属</w:t>
      </w:r>
      <w:r>
        <w:rPr>
          <w:rFonts w:hint="eastAsia" w:ascii="仿宋_GB2312" w:eastAsia="仿宋_GB2312"/>
          <w:sz w:val="32"/>
          <w:szCs w:val="32"/>
          <w:lang w:eastAsia="zh-CN"/>
        </w:rPr>
        <w:t>公益一类事业机构</w:t>
      </w:r>
      <w:r>
        <w:rPr>
          <w:rFonts w:hint="eastAsia" w:ascii="仿宋_GB2312" w:eastAsia="仿宋_GB2312"/>
          <w:sz w:val="32"/>
          <w:szCs w:val="32"/>
          <w:lang w:val="en-US" w:eastAsia="zh-CN"/>
        </w:rPr>
        <w:t>4个，分别是便民服务中心（退役军人服务站），</w:t>
      </w:r>
      <w:r>
        <w:rPr>
          <w:rFonts w:hint="eastAsia"/>
          <w:sz w:val="32"/>
          <w:szCs w:val="32"/>
          <w:lang w:val="en-US" w:eastAsia="zh-CN"/>
        </w:rPr>
        <w:t>事业编制16人；</w:t>
      </w:r>
      <w:r>
        <w:rPr>
          <w:rFonts w:hint="eastAsia" w:ascii="仿宋_GB2312" w:eastAsia="仿宋_GB2312"/>
          <w:sz w:val="32"/>
          <w:szCs w:val="32"/>
          <w:lang w:val="en-US" w:eastAsia="zh-CN"/>
        </w:rPr>
        <w:t>农业综合服务中心</w:t>
      </w:r>
      <w:r>
        <w:rPr>
          <w:rFonts w:hint="eastAsia"/>
          <w:sz w:val="32"/>
          <w:szCs w:val="32"/>
          <w:lang w:val="en-US" w:eastAsia="zh-CN"/>
        </w:rPr>
        <w:t>，事业编制3人；</w:t>
      </w:r>
      <w:r>
        <w:rPr>
          <w:rFonts w:hint="eastAsia" w:ascii="仿宋_GB2312" w:eastAsia="仿宋_GB2312"/>
          <w:sz w:val="32"/>
          <w:szCs w:val="32"/>
          <w:lang w:val="en-US" w:eastAsia="zh-CN"/>
        </w:rPr>
        <w:t>文化旅游服务中心</w:t>
      </w:r>
      <w:r>
        <w:rPr>
          <w:rFonts w:hint="eastAsia"/>
          <w:sz w:val="32"/>
          <w:szCs w:val="32"/>
          <w:lang w:val="en-US" w:eastAsia="zh-CN"/>
        </w:rPr>
        <w:t>，事业编制3人；</w:t>
      </w:r>
      <w:r>
        <w:rPr>
          <w:rFonts w:hint="eastAsia" w:ascii="仿宋_GB2312" w:eastAsia="仿宋_GB2312"/>
          <w:sz w:val="32"/>
          <w:szCs w:val="32"/>
          <w:lang w:val="en-US" w:eastAsia="zh-CN"/>
        </w:rPr>
        <w:t>农民工服务中心</w:t>
      </w:r>
      <w:r>
        <w:rPr>
          <w:rFonts w:hint="eastAsia"/>
          <w:sz w:val="32"/>
          <w:szCs w:val="32"/>
          <w:lang w:val="en-US" w:eastAsia="zh-CN"/>
        </w:rPr>
        <w:t>，事业编制3人</w:t>
      </w:r>
      <w:r>
        <w:rPr>
          <w:rFonts w:hint="eastAsia" w:ascii="仿宋_GB2312" w:eastAsia="仿宋_GB2312"/>
          <w:sz w:val="32"/>
          <w:szCs w:val="32"/>
          <w:lang w:val="en-US" w:eastAsia="zh-CN"/>
        </w:rPr>
        <w:t>。</w:t>
      </w:r>
    </w:p>
    <w:p>
      <w:pPr>
        <w:pStyle w:val="5"/>
        <w:keepNext w:val="0"/>
        <w:keepLines w:val="0"/>
        <w:pageBreakBefore w:val="0"/>
        <w:kinsoku/>
        <w:wordWrap/>
        <w:overflowPunct/>
        <w:topLinePunct w:val="0"/>
        <w:bidi w:val="0"/>
        <w:adjustRightInd w:val="0"/>
        <w:snapToGrid w:val="0"/>
        <w:spacing w:beforeLines="0" w:line="600" w:lineRule="exact"/>
        <w:ind w:firstLine="672" w:firstLineChars="21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纳入</w:t>
      </w:r>
      <w:r>
        <w:rPr>
          <w:rFonts w:hint="eastAsia" w:hAnsi="仿宋_GB2312" w:cs="仿宋_GB2312"/>
          <w:color w:val="000000"/>
          <w:sz w:val="32"/>
          <w:szCs w:val="32"/>
          <w:lang w:eastAsia="zh-CN"/>
        </w:rPr>
        <w:t>峨眉山市双福镇人民政府</w:t>
      </w:r>
      <w:r>
        <w:rPr>
          <w:rFonts w:hint="eastAsia" w:ascii="仿宋_GB2312" w:hAnsi="仿宋_GB2312" w:eastAsia="仿宋_GB2312" w:cs="仿宋_GB2312"/>
          <w:color w:val="000000"/>
          <w:sz w:val="32"/>
          <w:szCs w:val="32"/>
        </w:rPr>
        <w:t>202</w:t>
      </w:r>
      <w:r>
        <w:rPr>
          <w:rFonts w:hint="eastAsia" w:hAnsi="仿宋_GB2312" w:cs="仿宋_GB2312"/>
          <w:color w:val="000000"/>
          <w:sz w:val="32"/>
          <w:szCs w:val="32"/>
          <w:lang w:val="en-US" w:eastAsia="zh-CN"/>
        </w:rPr>
        <w:t>2</w:t>
      </w:r>
      <w:r>
        <w:rPr>
          <w:rFonts w:hint="eastAsia" w:ascii="仿宋_GB2312" w:hAnsi="仿宋_GB2312" w:eastAsia="仿宋_GB2312" w:cs="仿宋_GB2312"/>
          <w:color w:val="000000"/>
          <w:sz w:val="32"/>
          <w:szCs w:val="32"/>
        </w:rPr>
        <w:t>年度部门决算编制范围的二级预算单位包括：</w:t>
      </w:r>
    </w:p>
    <w:p>
      <w:pPr>
        <w:pStyle w:val="5"/>
        <w:keepNext w:val="0"/>
        <w:keepLines w:val="0"/>
        <w:pageBreakBefore w:val="0"/>
        <w:numPr>
          <w:ilvl w:val="0"/>
          <w:numId w:val="2"/>
        </w:numPr>
        <w:kinsoku/>
        <w:wordWrap/>
        <w:overflowPunct/>
        <w:topLinePunct w:val="0"/>
        <w:bidi w:val="0"/>
        <w:adjustRightInd w:val="0"/>
        <w:snapToGrid w:val="0"/>
        <w:spacing w:beforeLines="0" w:line="600" w:lineRule="exact"/>
        <w:textAlignment w:val="auto"/>
        <w:outlineLvl w:val="2"/>
        <w:rPr>
          <w:rFonts w:hint="eastAsia" w:ascii="仿宋_GB2312" w:hAnsi="仿宋_GB2312" w:eastAsia="仿宋_GB2312" w:cs="仿宋_GB2312"/>
          <w:color w:val="000000"/>
          <w:sz w:val="32"/>
          <w:szCs w:val="32"/>
        </w:rPr>
      </w:pPr>
      <w:bookmarkStart w:id="18" w:name="_Toc15377202"/>
      <w:bookmarkStart w:id="19" w:name="_Toc15378449"/>
      <w:bookmarkStart w:id="20" w:name="_Toc15377433"/>
      <w:bookmarkStart w:id="21" w:name="_Toc15306276"/>
      <w:r>
        <w:rPr>
          <w:rFonts w:hint="eastAsia" w:ascii="仿宋_GB2312" w:eastAsia="仿宋_GB2312"/>
          <w:sz w:val="32"/>
          <w:szCs w:val="32"/>
          <w:lang w:val="en-US" w:eastAsia="zh-CN"/>
        </w:rPr>
        <w:t>便民服务中心（退役军人服务站）</w:t>
      </w:r>
    </w:p>
    <w:bookmarkEnd w:id="18"/>
    <w:bookmarkEnd w:id="19"/>
    <w:bookmarkEnd w:id="20"/>
    <w:bookmarkEnd w:id="21"/>
    <w:p>
      <w:pPr>
        <w:pStyle w:val="5"/>
        <w:keepNext w:val="0"/>
        <w:keepLines w:val="0"/>
        <w:pageBreakBefore w:val="0"/>
        <w:numPr>
          <w:ilvl w:val="0"/>
          <w:numId w:val="2"/>
        </w:numPr>
        <w:kinsoku/>
        <w:wordWrap/>
        <w:overflowPunct/>
        <w:topLinePunct w:val="0"/>
        <w:bidi w:val="0"/>
        <w:adjustRightInd w:val="0"/>
        <w:snapToGrid w:val="0"/>
        <w:spacing w:beforeLines="0" w:line="600" w:lineRule="exact"/>
        <w:textAlignment w:val="auto"/>
        <w:outlineLvl w:val="2"/>
        <w:rPr>
          <w:rFonts w:hint="eastAsia" w:ascii="仿宋_GB2312" w:eastAsia="仿宋_GB2312"/>
          <w:sz w:val="32"/>
          <w:szCs w:val="32"/>
          <w:highlight w:val="none"/>
          <w:lang w:val="en-US" w:eastAsia="zh-CN"/>
        </w:rPr>
      </w:pPr>
      <w:bookmarkStart w:id="22" w:name="_Toc15378450"/>
      <w:bookmarkStart w:id="23" w:name="_Toc15377434"/>
      <w:bookmarkStart w:id="24" w:name="_Toc15377203"/>
      <w:bookmarkStart w:id="25" w:name="_Toc15306277"/>
      <w:r>
        <w:rPr>
          <w:rFonts w:hint="eastAsia" w:ascii="仿宋_GB2312" w:eastAsia="仿宋_GB2312"/>
          <w:sz w:val="32"/>
          <w:szCs w:val="32"/>
          <w:highlight w:val="none"/>
          <w:lang w:val="en-US" w:eastAsia="zh-CN"/>
        </w:rPr>
        <w:t>农业综合服务中心</w:t>
      </w:r>
      <w:bookmarkEnd w:id="22"/>
      <w:bookmarkEnd w:id="23"/>
      <w:bookmarkEnd w:id="24"/>
      <w:bookmarkEnd w:id="25"/>
    </w:p>
    <w:p>
      <w:pPr>
        <w:pStyle w:val="5"/>
        <w:keepNext w:val="0"/>
        <w:keepLines w:val="0"/>
        <w:pageBreakBefore w:val="0"/>
        <w:numPr>
          <w:ilvl w:val="0"/>
          <w:numId w:val="2"/>
        </w:numPr>
        <w:kinsoku/>
        <w:wordWrap/>
        <w:overflowPunct/>
        <w:topLinePunct w:val="0"/>
        <w:bidi w:val="0"/>
        <w:adjustRightInd w:val="0"/>
        <w:snapToGrid w:val="0"/>
        <w:spacing w:beforeLines="0" w:line="600" w:lineRule="exact"/>
        <w:textAlignment w:val="auto"/>
        <w:outlineLvl w:val="2"/>
        <w:rPr>
          <w:rFonts w:hint="eastAsia" w:ascii="仿宋_GB2312" w:eastAsia="仿宋_GB2312"/>
          <w:sz w:val="32"/>
          <w:szCs w:val="32"/>
          <w:highlight w:val="none"/>
          <w:lang w:val="en-US" w:eastAsia="zh-CN"/>
        </w:rPr>
      </w:pPr>
      <w:r>
        <w:rPr>
          <w:rFonts w:hint="eastAsia"/>
          <w:sz w:val="32"/>
          <w:szCs w:val="32"/>
          <w:highlight w:val="none"/>
          <w:lang w:val="en-US" w:eastAsia="zh-CN"/>
        </w:rPr>
        <w:t>文化旅游服务中心</w:t>
      </w:r>
    </w:p>
    <w:p>
      <w:pPr>
        <w:pStyle w:val="5"/>
        <w:keepNext w:val="0"/>
        <w:keepLines w:val="0"/>
        <w:pageBreakBefore w:val="0"/>
        <w:numPr>
          <w:ilvl w:val="0"/>
          <w:numId w:val="2"/>
        </w:numPr>
        <w:kinsoku/>
        <w:wordWrap/>
        <w:overflowPunct/>
        <w:topLinePunct w:val="0"/>
        <w:bidi w:val="0"/>
        <w:adjustRightInd w:val="0"/>
        <w:snapToGrid w:val="0"/>
        <w:spacing w:beforeLines="0" w:line="600" w:lineRule="exact"/>
        <w:textAlignment w:val="auto"/>
        <w:outlineLvl w:val="2"/>
        <w:rPr>
          <w:rFonts w:hint="eastAsia" w:ascii="仿宋_GB2312" w:eastAsia="仿宋_GB2312"/>
          <w:sz w:val="32"/>
          <w:szCs w:val="32"/>
          <w:highlight w:val="none"/>
          <w:lang w:val="en-US" w:eastAsia="zh-CN"/>
        </w:rPr>
      </w:pPr>
      <w:r>
        <w:rPr>
          <w:rFonts w:hint="eastAsia"/>
          <w:sz w:val="32"/>
          <w:szCs w:val="32"/>
          <w:highlight w:val="none"/>
          <w:lang w:val="en-US" w:eastAsia="zh-CN"/>
        </w:rPr>
        <w:t>农民工服务中心</w:t>
      </w:r>
    </w:p>
    <w:p>
      <w:pPr>
        <w:pStyle w:val="2"/>
        <w:pageBreakBefore w:val="0"/>
        <w:kinsoku/>
        <w:wordWrap/>
        <w:overflowPunct/>
        <w:topLinePunct w:val="0"/>
        <w:bidi w:val="0"/>
        <w:spacing w:before="0" w:after="0" w:line="600" w:lineRule="exact"/>
        <w:ind w:right="440"/>
        <w:jc w:val="center"/>
        <w:textAlignment w:val="auto"/>
        <w:rPr>
          <w:rFonts w:hint="eastAsia" w:ascii="黑体" w:hAnsi="黑体" w:eastAsia="黑体"/>
          <w:b w:val="0"/>
        </w:rPr>
      </w:pPr>
    </w:p>
    <w:p>
      <w:pPr>
        <w:pStyle w:val="2"/>
        <w:pageBreakBefore w:val="0"/>
        <w:kinsoku/>
        <w:wordWrap/>
        <w:overflowPunct/>
        <w:topLinePunct w:val="0"/>
        <w:bidi w:val="0"/>
        <w:spacing w:before="0" w:after="0" w:line="600" w:lineRule="exact"/>
        <w:ind w:right="440"/>
        <w:jc w:val="center"/>
        <w:textAlignment w:val="auto"/>
        <w:rPr>
          <w:rStyle w:val="29"/>
          <w:rFonts w:ascii="黑体" w:hAnsi="黑体" w:eastAsia="黑体"/>
          <w:b w:val="0"/>
          <w:bCs/>
        </w:rPr>
      </w:pPr>
      <w:r>
        <w:rPr>
          <w:rFonts w:hint="eastAsia" w:ascii="黑体" w:hAnsi="黑体" w:eastAsia="黑体"/>
          <w:b w:val="0"/>
        </w:rPr>
        <w:t>第二部分 2022年度</w:t>
      </w:r>
      <w:r>
        <w:rPr>
          <w:rStyle w:val="29"/>
          <w:rFonts w:hint="eastAsia" w:ascii="黑体" w:hAnsi="黑体" w:eastAsia="黑体"/>
          <w:b w:val="0"/>
          <w:bCs/>
        </w:rPr>
        <w:t>部门决算情况说明</w:t>
      </w:r>
      <w:bookmarkEnd w:id="16"/>
      <w:bookmarkEnd w:id="17"/>
    </w:p>
    <w:p>
      <w:pPr>
        <w:pageBreakBefore w:val="0"/>
        <w:kinsoku/>
        <w:wordWrap/>
        <w:overflowPunct/>
        <w:topLinePunct w:val="0"/>
        <w:bidi w:val="0"/>
        <w:spacing w:line="600" w:lineRule="exact"/>
        <w:textAlignment w:val="auto"/>
      </w:pPr>
    </w:p>
    <w:p>
      <w:pPr>
        <w:pStyle w:val="28"/>
        <w:pageBreakBefore w:val="0"/>
        <w:numPr>
          <w:ilvl w:val="0"/>
          <w:numId w:val="3"/>
        </w:numPr>
        <w:kinsoku/>
        <w:wordWrap/>
        <w:overflowPunct/>
        <w:topLinePunct w:val="0"/>
        <w:bidi w:val="0"/>
        <w:spacing w:line="600" w:lineRule="exact"/>
        <w:ind w:firstLineChars="0"/>
        <w:textAlignment w:val="auto"/>
        <w:outlineLvl w:val="1"/>
        <w:rPr>
          <w:rStyle w:val="30"/>
          <w:rFonts w:ascii="黑体" w:hAnsi="黑体" w:eastAsia="黑体"/>
          <w:b w:val="0"/>
        </w:rPr>
      </w:pPr>
      <w:bookmarkStart w:id="26" w:name="_Toc15396603"/>
      <w:bookmarkStart w:id="27" w:name="_Toc15377205"/>
      <w:r>
        <w:rPr>
          <w:rFonts w:hint="eastAsia" w:ascii="黑体" w:hAnsi="黑体" w:eastAsia="黑体"/>
          <w:sz w:val="32"/>
          <w:szCs w:val="32"/>
        </w:rPr>
        <w:t>收</w:t>
      </w:r>
      <w:r>
        <w:rPr>
          <w:rStyle w:val="30"/>
          <w:rFonts w:hint="eastAsia" w:ascii="黑体" w:hAnsi="黑体" w:eastAsia="黑体"/>
          <w:b w:val="0"/>
        </w:rPr>
        <w:t>入支出决算总体情况说明</w:t>
      </w:r>
      <w:bookmarkEnd w:id="26"/>
      <w:bookmarkEnd w:id="27"/>
    </w:p>
    <w:p>
      <w:pPr>
        <w:keepNext w:val="0"/>
        <w:keepLines w:val="0"/>
        <w:pageBreakBefore w:val="0"/>
        <w:kinsoku/>
        <w:wordWrap/>
        <w:overflowPunct/>
        <w:topLinePunct w:val="0"/>
        <w:bidi w:val="0"/>
        <w:spacing w:line="600" w:lineRule="exact"/>
        <w:ind w:firstLine="420" w:firstLineChars="200"/>
        <w:textAlignment w:val="auto"/>
        <w:rPr>
          <w:rFonts w:hint="eastAsia" w:ascii="仿宋_GB2312" w:hAnsi="仿宋_GB2312" w:eastAsia="仿宋_GB2312" w:cs="仿宋_GB2312"/>
          <w:sz w:val="32"/>
          <w:szCs w:val="32"/>
          <w:lang w:eastAsia="zh-CN"/>
        </w:rPr>
      </w:pPr>
      <w:r>
        <w:rPr>
          <w:rFonts w:hint="eastAsia" w:eastAsia="仿宋"/>
          <w:lang w:eastAsia="zh-CN"/>
        </w:rPr>
        <w:pict>
          <v:shape id="Object 6" o:spid="_x0000_s1026" o:spt="75" type="#_x0000_t75" style="position:absolute;left:0pt;margin-left:-279.05pt;margin-top:202.8pt;height:187.15pt;width:308.1pt;mso-position-horizontal-relative:page;mso-position-vertical-relative:page;z-index:251659264;mso-width-relative:page;mso-height-relative:page;" o:ole="t" filled="f" o:preferrelative="t" stroked="f" coordsize="21600,21600">
            <v:path/>
            <v:fill on="f" focussize="0,0"/>
            <v:stroke on="f"/>
            <v:imagedata r:id="rId7" o:title=""/>
            <o:lock v:ext="edit" aspectratio="t"/>
          </v:shape>
          <o:OLEObject Type="Embed" ProgID="Excel.Chart.8" ShapeID="Object 6" DrawAspect="Content" ObjectID="_1468075725" r:id="rId6">
            <o:LockedField>false</o:LockedField>
          </o:OLEObject>
        </w:pic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收入总计</w:t>
      </w:r>
      <w:r>
        <w:rPr>
          <w:rFonts w:hint="eastAsia" w:ascii="仿宋_GB2312" w:hAnsi="仿宋_GB2312" w:eastAsia="仿宋_GB2312" w:cs="仿宋_GB2312"/>
          <w:sz w:val="32"/>
          <w:szCs w:val="32"/>
          <w:lang w:val="en-US" w:eastAsia="zh-CN"/>
        </w:rPr>
        <w:t>4743.6万元，</w:t>
      </w:r>
      <w:r>
        <w:rPr>
          <w:rFonts w:hint="eastAsia" w:ascii="仿宋_GB2312" w:hAnsi="仿宋_GB2312" w:eastAsia="仿宋_GB2312" w:cs="仿宋_GB2312"/>
          <w:sz w:val="32"/>
          <w:szCs w:val="32"/>
        </w:rPr>
        <w:t>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年相比</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2064.1万元，增幅77.03%；支出总计4743.6万元，与2021年相比增加2239.98万元，增幅89.47%，</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安排农村农业综合发展示范园建设项目资金</w:t>
      </w:r>
      <w:r>
        <w:rPr>
          <w:rFonts w:hint="eastAsia" w:ascii="仿宋_GB2312" w:hAnsi="仿宋_GB2312" w:eastAsia="仿宋_GB2312" w:cs="仿宋_GB2312"/>
          <w:sz w:val="32"/>
          <w:szCs w:val="32"/>
          <w:lang w:val="en-US" w:eastAsia="zh-CN"/>
        </w:rPr>
        <w:t>2000万元</w:t>
      </w:r>
      <w:r>
        <w:rPr>
          <w:rFonts w:hint="eastAsia" w:ascii="仿宋_GB2312" w:hAnsi="仿宋_GB2312" w:eastAsia="仿宋_GB2312" w:cs="仿宋_GB2312"/>
          <w:sz w:val="32"/>
          <w:szCs w:val="32"/>
          <w:lang w:eastAsia="zh-CN"/>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anchor distT="0" distB="0" distL="114300" distR="114300" simplePos="0" relativeHeight="251660288" behindDoc="0" locked="0" layoutInCell="1" allowOverlap="1">
            <wp:simplePos x="0" y="0"/>
            <wp:positionH relativeFrom="column">
              <wp:posOffset>314325</wp:posOffset>
            </wp:positionH>
            <wp:positionV relativeFrom="paragraph">
              <wp:posOffset>19050</wp:posOffset>
            </wp:positionV>
            <wp:extent cx="4679950" cy="2571750"/>
            <wp:effectExtent l="4445" t="4445" r="20955" b="1460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eastAsia="zh-CN"/>
        </w:rPr>
      </w:pP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eastAsia="zh-CN"/>
        </w:rPr>
      </w:pP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eastAsia="zh-CN"/>
        </w:rPr>
      </w:pP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eastAsia="zh-CN"/>
        </w:rPr>
      </w:pP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eastAsia="zh-CN"/>
        </w:rPr>
      </w:pPr>
    </w:p>
    <w:p>
      <w:pPr>
        <w:pageBreakBefore w:val="0"/>
        <w:kinsoku/>
        <w:wordWrap/>
        <w:overflowPunct/>
        <w:topLinePunct w:val="0"/>
        <w:bidi w:val="0"/>
        <w:spacing w:line="600" w:lineRule="exact"/>
        <w:ind w:firstLine="640" w:firstLineChars="200"/>
        <w:textAlignment w:val="auto"/>
        <w:rPr>
          <w:rFonts w:hint="eastAsia" w:ascii="仿宋" w:hAnsi="仿宋" w:eastAsia="仿宋"/>
          <w:sz w:val="32"/>
          <w:szCs w:val="32"/>
        </w:rPr>
      </w:pPr>
    </w:p>
    <w:p>
      <w:pPr>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8"/>
        <w:pageBreakBefore w:val="0"/>
        <w:numPr>
          <w:ilvl w:val="0"/>
          <w:numId w:val="3"/>
        </w:numPr>
        <w:kinsoku/>
        <w:wordWrap/>
        <w:overflowPunct/>
        <w:topLinePunct w:val="0"/>
        <w:bidi w:val="0"/>
        <w:spacing w:line="600" w:lineRule="exact"/>
        <w:ind w:firstLineChars="0"/>
        <w:textAlignment w:val="auto"/>
        <w:outlineLvl w:val="1"/>
        <w:rPr>
          <w:rStyle w:val="30"/>
          <w:rFonts w:ascii="黑体" w:hAnsi="黑体" w:eastAsia="黑体"/>
          <w:b w:val="0"/>
        </w:rPr>
      </w:pPr>
      <w:bookmarkStart w:id="28" w:name="_Toc15377206"/>
      <w:bookmarkStart w:id="29" w:name="_Toc15396604"/>
      <w:r>
        <w:rPr>
          <w:rFonts w:hint="eastAsia" w:ascii="黑体" w:hAnsi="黑体" w:eastAsia="黑体"/>
          <w:sz w:val="32"/>
          <w:szCs w:val="32"/>
        </w:rPr>
        <w:t>收</w:t>
      </w:r>
      <w:r>
        <w:rPr>
          <w:rStyle w:val="30"/>
          <w:rFonts w:hint="eastAsia" w:ascii="黑体" w:hAnsi="黑体" w:eastAsia="黑体"/>
          <w:b w:val="0"/>
        </w:rPr>
        <w:t>入决算情况说明</w:t>
      </w:r>
      <w:bookmarkEnd w:id="28"/>
      <w:bookmarkEnd w:id="29"/>
    </w:p>
    <w:p>
      <w:pPr>
        <w:pageBreakBefore w:val="0"/>
        <w:kinsoku/>
        <w:wordWrap/>
        <w:overflowPunct/>
        <w:topLinePunct w:val="0"/>
        <w:bidi w:val="0"/>
        <w:spacing w:line="600" w:lineRule="exact"/>
        <w:ind w:firstLine="640" w:firstLineChars="200"/>
        <w:textAlignment w:val="auto"/>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4554.82</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4378.84</w:t>
      </w:r>
      <w:r>
        <w:rPr>
          <w:rFonts w:hint="eastAsia" w:ascii="仿宋" w:hAnsi="仿宋" w:eastAsia="仿宋"/>
          <w:sz w:val="32"/>
          <w:szCs w:val="32"/>
        </w:rPr>
        <w:t>万元，占</w:t>
      </w:r>
      <w:r>
        <w:rPr>
          <w:rFonts w:hint="eastAsia" w:ascii="仿宋" w:hAnsi="仿宋" w:eastAsia="仿宋"/>
          <w:sz w:val="32"/>
          <w:szCs w:val="32"/>
          <w:lang w:val="en-US" w:eastAsia="zh-CN"/>
        </w:rPr>
        <w:t>96.14</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175.98</w:t>
      </w:r>
      <w:r>
        <w:rPr>
          <w:rFonts w:hint="eastAsia" w:ascii="仿宋" w:hAnsi="仿宋" w:eastAsia="仿宋"/>
          <w:sz w:val="32"/>
          <w:szCs w:val="32"/>
        </w:rPr>
        <w:t>万元，占</w:t>
      </w:r>
      <w:r>
        <w:rPr>
          <w:rFonts w:hint="eastAsia" w:ascii="仿宋" w:hAnsi="仿宋" w:eastAsia="仿宋"/>
          <w:sz w:val="32"/>
          <w:szCs w:val="32"/>
          <w:lang w:val="en-US" w:eastAsia="zh-CN"/>
        </w:rPr>
        <w:t>3.86</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ageBreakBefore w:val="0"/>
        <w:kinsoku/>
        <w:wordWrap/>
        <w:overflowPunct/>
        <w:topLinePunct w:val="0"/>
        <w:bidi w:val="0"/>
        <w:spacing w:line="600" w:lineRule="exact"/>
        <w:ind w:firstLine="643" w:firstLineChars="200"/>
        <w:textAlignment w:val="auto"/>
        <w:outlineLvl w:val="1"/>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，仅罗列本部门涉及的收入。</w:t>
      </w:r>
      <w:r>
        <w:rPr>
          <w:rFonts w:ascii="仿宋" w:hAnsi="仿宋" w:eastAsia="仿宋"/>
          <w:b/>
          <w:sz w:val="32"/>
          <w:szCs w:val="32"/>
        </w:rPr>
        <w:t>）</w:t>
      </w:r>
    </w:p>
    <w:p>
      <w:pP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256530" cy="2988310"/>
            <wp:effectExtent l="5080" t="4445" r="1524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ageBreakBefore w:val="0"/>
        <w:kinsoku/>
        <w:wordWrap/>
        <w:overflowPunct/>
        <w:topLinePunct w:val="0"/>
        <w:bidi w:val="0"/>
        <w:spacing w:line="600" w:lineRule="exact"/>
        <w:jc w:val="center"/>
        <w:textAlignment w:val="auto"/>
        <w:rPr>
          <w:rFonts w:hint="eastAsia" w:ascii="仿宋" w:hAnsi="仿宋" w:eastAsia="仿宋"/>
          <w:sz w:val="32"/>
          <w:szCs w:val="32"/>
        </w:rPr>
      </w:pPr>
      <w:r>
        <w:rPr>
          <w:rFonts w:hint="eastAsia" w:ascii="仿宋" w:hAnsi="仿宋" w:eastAsia="仿宋"/>
          <w:sz w:val="32"/>
          <w:szCs w:val="32"/>
        </w:rPr>
        <w:t>（图2：收入决算结构图）（饼状图）</w:t>
      </w:r>
    </w:p>
    <w:p>
      <w:pPr>
        <w:pStyle w:val="14"/>
      </w:pPr>
    </w:p>
    <w:p>
      <w:pPr>
        <w:pStyle w:val="28"/>
        <w:pageBreakBefore w:val="0"/>
        <w:numPr>
          <w:ilvl w:val="0"/>
          <w:numId w:val="3"/>
        </w:numPr>
        <w:kinsoku/>
        <w:wordWrap/>
        <w:overflowPunct/>
        <w:topLinePunct w:val="0"/>
        <w:bidi w:val="0"/>
        <w:spacing w:line="600" w:lineRule="exact"/>
        <w:ind w:firstLineChars="0"/>
        <w:textAlignment w:val="auto"/>
        <w:outlineLvl w:val="1"/>
        <w:rPr>
          <w:rStyle w:val="30"/>
          <w:rFonts w:ascii="黑体" w:hAnsi="黑体" w:eastAsia="黑体"/>
          <w:b w:val="0"/>
        </w:rPr>
      </w:pPr>
      <w:bookmarkStart w:id="30" w:name="_Toc15377207"/>
      <w:bookmarkStart w:id="31" w:name="_Toc15396605"/>
      <w:r>
        <w:rPr>
          <w:rFonts w:hint="eastAsia" w:ascii="黑体" w:hAnsi="黑体" w:eastAsia="黑体"/>
          <w:sz w:val="32"/>
          <w:szCs w:val="32"/>
        </w:rPr>
        <w:t>支</w:t>
      </w:r>
      <w:r>
        <w:rPr>
          <w:rStyle w:val="30"/>
          <w:rFonts w:hint="eastAsia" w:ascii="黑体" w:hAnsi="黑体" w:eastAsia="黑体"/>
          <w:b w:val="0"/>
        </w:rPr>
        <w:t>出决算情况说明</w:t>
      </w:r>
      <w:bookmarkEnd w:id="30"/>
      <w:bookmarkEnd w:id="31"/>
    </w:p>
    <w:p>
      <w:pPr>
        <w:pageBreakBefore w:val="0"/>
        <w:kinsoku/>
        <w:wordWrap/>
        <w:overflowPunct/>
        <w:topLinePunct w:val="0"/>
        <w:bidi w:val="0"/>
        <w:spacing w:line="600" w:lineRule="exact"/>
        <w:ind w:firstLine="640" w:firstLineChars="200"/>
        <w:textAlignment w:val="auto"/>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4738.21</w:t>
      </w:r>
      <w:r>
        <w:rPr>
          <w:rFonts w:hint="eastAsia" w:ascii="仿宋" w:hAnsi="仿宋" w:eastAsia="仿宋"/>
          <w:sz w:val="32"/>
          <w:szCs w:val="32"/>
        </w:rPr>
        <w:t>万元，其中：基本支出</w:t>
      </w:r>
      <w:r>
        <w:rPr>
          <w:rFonts w:hint="eastAsia" w:ascii="仿宋" w:hAnsi="仿宋" w:eastAsia="仿宋"/>
          <w:sz w:val="32"/>
          <w:szCs w:val="32"/>
          <w:lang w:val="en-US" w:eastAsia="zh-CN"/>
        </w:rPr>
        <w:t>1127.91</w:t>
      </w:r>
      <w:r>
        <w:rPr>
          <w:rFonts w:hint="eastAsia" w:ascii="仿宋" w:hAnsi="仿宋" w:eastAsia="仿宋"/>
          <w:sz w:val="32"/>
          <w:szCs w:val="32"/>
        </w:rPr>
        <w:t>万元，占</w:t>
      </w:r>
      <w:r>
        <w:rPr>
          <w:rFonts w:hint="eastAsia" w:ascii="仿宋" w:hAnsi="仿宋" w:eastAsia="仿宋"/>
          <w:sz w:val="32"/>
          <w:szCs w:val="32"/>
          <w:lang w:val="en-US" w:eastAsia="zh-CN"/>
        </w:rPr>
        <w:t>23.8</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3610.3</w:t>
      </w:r>
      <w:r>
        <w:rPr>
          <w:rFonts w:hint="eastAsia" w:ascii="仿宋" w:hAnsi="仿宋" w:eastAsia="仿宋"/>
          <w:sz w:val="32"/>
          <w:szCs w:val="32"/>
        </w:rPr>
        <w:t>万元，占</w:t>
      </w:r>
      <w:r>
        <w:rPr>
          <w:rFonts w:hint="eastAsia" w:ascii="仿宋" w:hAnsi="仿宋" w:eastAsia="仿宋"/>
          <w:sz w:val="32"/>
          <w:szCs w:val="32"/>
          <w:lang w:val="en-US" w:eastAsia="zh-CN"/>
        </w:rPr>
        <w:t>76.2</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ageBreakBefore w:val="0"/>
        <w:kinsoku/>
        <w:wordWrap/>
        <w:overflowPunct/>
        <w:topLinePunct w:val="0"/>
        <w:bidi w:val="0"/>
        <w:spacing w:line="600" w:lineRule="exact"/>
        <w:ind w:firstLine="643" w:firstLineChars="200"/>
        <w:textAlignment w:val="auto"/>
        <w:outlineLvl w:val="1"/>
        <w:rPr>
          <w:rFonts w:ascii="仿宋" w:hAnsi="仿宋" w:eastAsia="仿宋"/>
          <w:sz w:val="32"/>
          <w:szCs w:val="32"/>
          <w:shd w:val="pct10" w:color="auto" w:fill="FFFFFF"/>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表，仅罗列本部门涉及的支出。）</w:t>
      </w:r>
    </w:p>
    <w:p>
      <w:pPr>
        <w:pStyle w:val="14"/>
      </w:pPr>
      <w:r>
        <w:rPr>
          <w:rFonts w:hint="eastAsia" w:ascii="仿宋" w:hAnsi="仿宋" w:eastAsia="仿宋"/>
          <w:sz w:val="32"/>
          <w:szCs w:val="32"/>
          <w:shd w:val="pct10" w:color="auto" w:fill="FFFFFF"/>
          <w:lang w:val="en-US" w:eastAsia="zh-CN"/>
        </w:rPr>
        <w:drawing>
          <wp:inline distT="0" distB="0" distL="114300" distR="114300">
            <wp:extent cx="5256530" cy="2988310"/>
            <wp:effectExtent l="5080" t="4445" r="15240" b="1714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 w:hAnsi="仿宋" w:eastAsia="仿宋"/>
          <w:sz w:val="32"/>
          <w:szCs w:val="32"/>
        </w:rPr>
        <w:t>（图3：支出决算结构图）（饼状图）</w:t>
      </w:r>
    </w:p>
    <w:p>
      <w:pPr>
        <w:pageBreakBefore w:val="0"/>
        <w:kinsoku/>
        <w:wordWrap/>
        <w:overflowPunct/>
        <w:topLinePunct w:val="0"/>
        <w:bidi w:val="0"/>
        <w:spacing w:line="600" w:lineRule="exact"/>
        <w:ind w:firstLine="640" w:firstLineChars="200"/>
        <w:textAlignment w:val="auto"/>
        <w:outlineLvl w:val="1"/>
        <w:rPr>
          <w:rFonts w:hint="eastAsia" w:ascii="黑体" w:hAnsi="黑体" w:eastAsia="黑体"/>
          <w:sz w:val="32"/>
          <w:szCs w:val="32"/>
        </w:rPr>
      </w:pPr>
      <w:bookmarkStart w:id="32" w:name="_Toc15396606"/>
      <w:bookmarkStart w:id="33" w:name="_Toc15377208"/>
    </w:p>
    <w:p>
      <w:pPr>
        <w:pageBreakBefore w:val="0"/>
        <w:kinsoku/>
        <w:wordWrap/>
        <w:overflowPunct/>
        <w:topLinePunct w:val="0"/>
        <w:bidi w:val="0"/>
        <w:spacing w:line="600" w:lineRule="exact"/>
        <w:ind w:firstLine="640" w:firstLineChars="200"/>
        <w:textAlignment w:val="auto"/>
        <w:outlineLvl w:val="1"/>
        <w:rPr>
          <w:rStyle w:val="30"/>
          <w:rFonts w:ascii="黑体" w:hAnsi="黑体" w:eastAsia="黑体"/>
          <w:b w:val="0"/>
        </w:rPr>
      </w:pPr>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32"/>
      <w:bookmarkEnd w:id="33"/>
    </w:p>
    <w:p>
      <w:pPr>
        <w:keepNext w:val="0"/>
        <w:keepLines w:val="0"/>
        <w:pageBreakBefore w:val="0"/>
        <w:kinsoku/>
        <w:wordWrap/>
        <w:overflowPunct/>
        <w:topLinePunct w:val="0"/>
        <w:bidi w:val="0"/>
        <w:spacing w:line="560" w:lineRule="exact"/>
        <w:ind w:firstLine="640" w:firstLineChars="200"/>
        <w:textAlignment w:val="auto"/>
        <w:outlineLvl w:val="1"/>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sz w:val="32"/>
          <w:szCs w:val="32"/>
        </w:rPr>
        <w:t>20</w:t>
      </w:r>
      <w:r>
        <w:rPr>
          <w:rFonts w:hint="eastAsia" w:ascii="仿宋_GB2312" w:hAnsi="仿宋_GB2312" w:eastAsia="仿宋_GB2312" w:cs="仿宋_GB2312"/>
          <w:b w:val="0"/>
          <w:bCs/>
          <w:sz w:val="32"/>
          <w:szCs w:val="32"/>
          <w:lang w:val="en-US" w:eastAsia="zh-CN"/>
        </w:rPr>
        <w:t>22</w:t>
      </w:r>
      <w:r>
        <w:rPr>
          <w:rFonts w:hint="eastAsia" w:ascii="仿宋_GB2312" w:hAnsi="仿宋_GB2312" w:eastAsia="仿宋_GB2312" w:cs="仿宋_GB2312"/>
          <w:b w:val="0"/>
          <w:bCs/>
          <w:sz w:val="32"/>
          <w:szCs w:val="32"/>
        </w:rPr>
        <w:t>年度</w:t>
      </w:r>
      <w:r>
        <w:rPr>
          <w:rFonts w:hint="eastAsia" w:ascii="仿宋_GB2312" w:hAnsi="仿宋_GB2312" w:eastAsia="仿宋_GB2312" w:cs="仿宋_GB2312"/>
          <w:b w:val="0"/>
          <w:bCs/>
          <w:sz w:val="32"/>
          <w:szCs w:val="32"/>
          <w:lang w:eastAsia="zh-CN"/>
        </w:rPr>
        <w:t>财政拨款</w:t>
      </w:r>
      <w:r>
        <w:rPr>
          <w:rFonts w:hint="eastAsia" w:ascii="仿宋_GB2312" w:hAnsi="仿宋_GB2312" w:eastAsia="仿宋_GB2312" w:cs="仿宋_GB2312"/>
          <w:b w:val="0"/>
          <w:bCs/>
          <w:sz w:val="32"/>
          <w:szCs w:val="32"/>
        </w:rPr>
        <w:t>收</w:t>
      </w:r>
      <w:r>
        <w:rPr>
          <w:rFonts w:hint="eastAsia" w:ascii="仿宋_GB2312" w:hAnsi="仿宋_GB2312" w:eastAsia="仿宋_GB2312" w:cs="仿宋_GB2312"/>
          <w:b w:val="0"/>
          <w:bCs/>
          <w:sz w:val="32"/>
          <w:szCs w:val="32"/>
          <w:lang w:eastAsia="zh-CN"/>
        </w:rPr>
        <w:t>入总计</w:t>
      </w:r>
      <w:r>
        <w:rPr>
          <w:rFonts w:hint="eastAsia" w:ascii="仿宋_GB2312" w:hAnsi="仿宋_GB2312" w:eastAsia="仿宋_GB2312" w:cs="仿宋_GB2312"/>
          <w:b w:val="0"/>
          <w:bCs/>
          <w:sz w:val="32"/>
          <w:szCs w:val="32"/>
          <w:lang w:val="en-US" w:eastAsia="zh-CN"/>
        </w:rPr>
        <w:t>4738.21万元，</w:t>
      </w:r>
      <w:r>
        <w:rPr>
          <w:rFonts w:hint="eastAsia" w:ascii="仿宋_GB2312" w:hAnsi="仿宋_GB2312" w:eastAsia="仿宋_GB2312" w:cs="仿宋_GB2312"/>
          <w:b w:val="0"/>
          <w:bCs/>
          <w:sz w:val="32"/>
          <w:szCs w:val="32"/>
        </w:rPr>
        <w:t>与20</w:t>
      </w:r>
      <w:r>
        <w:rPr>
          <w:rFonts w:hint="eastAsia" w:ascii="仿宋_GB2312" w:hAnsi="仿宋_GB2312" w:eastAsia="仿宋_GB2312" w:cs="仿宋_GB2312"/>
          <w:b w:val="0"/>
          <w:bCs/>
          <w:sz w:val="32"/>
          <w:szCs w:val="32"/>
          <w:lang w:val="en-US" w:eastAsia="zh-CN"/>
        </w:rPr>
        <w:t>21</w:t>
      </w:r>
      <w:r>
        <w:rPr>
          <w:rFonts w:hint="eastAsia" w:ascii="仿宋_GB2312" w:hAnsi="仿宋_GB2312" w:eastAsia="仿宋_GB2312" w:cs="仿宋_GB2312"/>
          <w:b w:val="0"/>
          <w:bCs/>
          <w:sz w:val="32"/>
          <w:szCs w:val="32"/>
        </w:rPr>
        <w:t>年相比</w:t>
      </w:r>
      <w:r>
        <w:rPr>
          <w:rFonts w:hint="eastAsia" w:ascii="仿宋_GB2312" w:hAnsi="仿宋_GB2312" w:eastAsia="仿宋_GB2312" w:cs="仿宋_GB2312"/>
          <w:b w:val="0"/>
          <w:bCs/>
          <w:sz w:val="32"/>
          <w:szCs w:val="32"/>
          <w:lang w:eastAsia="zh-CN"/>
        </w:rPr>
        <w:t>增加</w:t>
      </w:r>
      <w:r>
        <w:rPr>
          <w:rFonts w:hint="eastAsia" w:ascii="仿宋_GB2312" w:hAnsi="仿宋_GB2312" w:eastAsia="仿宋_GB2312" w:cs="仿宋_GB2312"/>
          <w:b w:val="0"/>
          <w:bCs/>
          <w:sz w:val="32"/>
          <w:szCs w:val="32"/>
          <w:lang w:val="en-US" w:eastAsia="zh-CN"/>
        </w:rPr>
        <w:t>2196.31万元，增幅86.48%；</w:t>
      </w:r>
      <w:r>
        <w:rPr>
          <w:rFonts w:hint="eastAsia" w:ascii="仿宋_GB2312" w:hAnsi="仿宋_GB2312" w:eastAsia="仿宋_GB2312" w:cs="仿宋_GB2312"/>
          <w:b w:val="0"/>
          <w:bCs/>
          <w:sz w:val="32"/>
          <w:szCs w:val="32"/>
        </w:rPr>
        <w:t>20</w:t>
      </w:r>
      <w:r>
        <w:rPr>
          <w:rFonts w:hint="eastAsia" w:ascii="仿宋_GB2312" w:hAnsi="仿宋_GB2312" w:eastAsia="仿宋_GB2312" w:cs="仿宋_GB2312"/>
          <w:b w:val="0"/>
          <w:bCs/>
          <w:sz w:val="32"/>
          <w:szCs w:val="32"/>
          <w:lang w:val="en-US" w:eastAsia="zh-CN"/>
        </w:rPr>
        <w:t>22</w:t>
      </w:r>
      <w:r>
        <w:rPr>
          <w:rFonts w:hint="eastAsia" w:ascii="仿宋_GB2312" w:hAnsi="仿宋_GB2312" w:eastAsia="仿宋_GB2312" w:cs="仿宋_GB2312"/>
          <w:b w:val="0"/>
          <w:bCs/>
          <w:sz w:val="32"/>
          <w:szCs w:val="32"/>
        </w:rPr>
        <w:t>年度</w:t>
      </w:r>
      <w:r>
        <w:rPr>
          <w:rFonts w:hint="eastAsia" w:ascii="仿宋_GB2312" w:hAnsi="仿宋_GB2312" w:eastAsia="仿宋_GB2312" w:cs="仿宋_GB2312"/>
          <w:b w:val="0"/>
          <w:bCs/>
          <w:sz w:val="32"/>
          <w:szCs w:val="32"/>
          <w:lang w:eastAsia="zh-CN"/>
        </w:rPr>
        <w:t>财政拨款</w:t>
      </w:r>
      <w:r>
        <w:rPr>
          <w:rFonts w:hint="eastAsia" w:ascii="仿宋_GB2312" w:hAnsi="仿宋_GB2312" w:eastAsia="仿宋_GB2312" w:cs="仿宋_GB2312"/>
          <w:b w:val="0"/>
          <w:bCs/>
          <w:sz w:val="32"/>
          <w:szCs w:val="32"/>
        </w:rPr>
        <w:t>支</w:t>
      </w:r>
      <w:r>
        <w:rPr>
          <w:rFonts w:hint="eastAsia" w:ascii="仿宋_GB2312" w:hAnsi="仿宋_GB2312" w:eastAsia="仿宋_GB2312" w:cs="仿宋_GB2312"/>
          <w:b w:val="0"/>
          <w:bCs/>
          <w:sz w:val="32"/>
          <w:szCs w:val="32"/>
          <w:lang w:eastAsia="zh-CN"/>
        </w:rPr>
        <w:t>出总计</w:t>
      </w:r>
      <w:r>
        <w:rPr>
          <w:rFonts w:hint="eastAsia" w:ascii="仿宋_GB2312" w:hAnsi="仿宋_GB2312" w:eastAsia="仿宋_GB2312" w:cs="仿宋_GB2312"/>
          <w:b w:val="0"/>
          <w:bCs/>
          <w:sz w:val="32"/>
          <w:szCs w:val="32"/>
          <w:lang w:val="en-US" w:eastAsia="zh-CN"/>
        </w:rPr>
        <w:t>4738.21</w:t>
      </w:r>
      <w:r>
        <w:rPr>
          <w:rFonts w:hint="eastAsia" w:ascii="仿宋_GB2312" w:hAnsi="仿宋_GB2312" w:eastAsia="仿宋_GB2312" w:cs="仿宋_GB2312"/>
          <w:b w:val="0"/>
          <w:bCs/>
          <w:sz w:val="32"/>
          <w:szCs w:val="32"/>
        </w:rPr>
        <w:t>万元</w:t>
      </w:r>
      <w:r>
        <w:rPr>
          <w:rFonts w:hint="eastAsia" w:ascii="仿宋_GB2312" w:hAnsi="仿宋_GB2312" w:eastAsia="仿宋_GB2312" w:cs="仿宋_GB2312"/>
          <w:b w:val="0"/>
          <w:bCs/>
          <w:sz w:val="32"/>
          <w:szCs w:val="32"/>
          <w:lang w:eastAsia="zh-CN"/>
        </w:rPr>
        <w:t>，与</w:t>
      </w:r>
      <w:r>
        <w:rPr>
          <w:rFonts w:hint="eastAsia" w:ascii="仿宋_GB2312" w:hAnsi="仿宋_GB2312" w:eastAsia="仿宋_GB2312" w:cs="仿宋_GB2312"/>
          <w:b w:val="0"/>
          <w:bCs/>
          <w:sz w:val="32"/>
          <w:szCs w:val="32"/>
          <w:lang w:val="en-US" w:eastAsia="zh-CN"/>
        </w:rPr>
        <w:t>2021年相比增加2234.59万元，增幅89.25%，</w:t>
      </w:r>
      <w:r>
        <w:rPr>
          <w:rFonts w:hint="eastAsia" w:ascii="仿宋_GB2312" w:hAnsi="仿宋_GB2312" w:eastAsia="仿宋_GB2312" w:cs="仿宋_GB2312"/>
          <w:b w:val="0"/>
          <w:bCs/>
          <w:sz w:val="32"/>
          <w:szCs w:val="32"/>
        </w:rPr>
        <w:t>主要变动原因是</w:t>
      </w:r>
      <w:r>
        <w:rPr>
          <w:rFonts w:hint="eastAsia" w:ascii="仿宋_GB2312" w:hAnsi="仿宋_GB2312" w:eastAsia="仿宋_GB2312" w:cs="仿宋_GB2312"/>
          <w:sz w:val="32"/>
          <w:szCs w:val="32"/>
          <w:lang w:eastAsia="zh-CN"/>
        </w:rPr>
        <w:t>安排了农村农业综合发展示范园建设项目资金</w:t>
      </w:r>
      <w:r>
        <w:rPr>
          <w:rFonts w:hint="eastAsia" w:ascii="仿宋_GB2312" w:hAnsi="仿宋_GB2312" w:eastAsia="仿宋_GB2312" w:cs="仿宋_GB2312"/>
          <w:sz w:val="32"/>
          <w:szCs w:val="32"/>
          <w:lang w:val="en-US" w:eastAsia="zh-CN"/>
        </w:rPr>
        <w:t>2000万元</w:t>
      </w:r>
      <w:r>
        <w:rPr>
          <w:rFonts w:hint="eastAsia" w:ascii="仿宋_GB2312" w:hAnsi="仿宋_GB2312" w:eastAsia="仿宋_GB2312" w:cs="仿宋_GB2312"/>
          <w:sz w:val="32"/>
          <w:szCs w:val="32"/>
          <w:lang w:eastAsia="zh-CN"/>
        </w:rPr>
        <w:t>。</w:t>
      </w:r>
    </w:p>
    <w:p>
      <w:pPr>
        <w:pageBreakBefore w:val="0"/>
        <w:kinsoku/>
        <w:wordWrap/>
        <w:overflowPunct/>
        <w:topLinePunct w:val="0"/>
        <w:bidi w:val="0"/>
        <w:spacing w:line="600" w:lineRule="exact"/>
        <w:ind w:firstLine="640"/>
        <w:textAlignment w:val="auto"/>
        <w:rPr>
          <w:rFonts w:hint="default" w:ascii="仿宋" w:hAnsi="仿宋" w:eastAsia="仿宋"/>
          <w:sz w:val="32"/>
          <w:szCs w:val="32"/>
          <w:lang w:val="en-US" w:eastAsia="zh-CN"/>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pStyle w:val="14"/>
      </w:pPr>
      <w:r>
        <w:rPr>
          <w:rFonts w:hint="eastAsia" w:ascii="仿宋" w:hAnsi="仿宋" w:eastAsia="仿宋"/>
          <w:sz w:val="32"/>
          <w:szCs w:val="32"/>
          <w:lang w:eastAsia="zh-CN"/>
        </w:rPr>
        <w:drawing>
          <wp:inline distT="0" distB="0" distL="114300" distR="114300">
            <wp:extent cx="5256530" cy="2988310"/>
            <wp:effectExtent l="5080" t="4445" r="15240" b="1714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kinsoku/>
        <w:wordWrap/>
        <w:overflowPunct/>
        <w:topLinePunct w:val="0"/>
        <w:bidi w:val="0"/>
        <w:spacing w:line="600" w:lineRule="exact"/>
        <w:ind w:firstLine="640" w:firstLineChars="200"/>
        <w:textAlignment w:val="auto"/>
        <w:rPr>
          <w:rFonts w:ascii="仿宋" w:hAnsi="仿宋" w:eastAsia="仿宋"/>
          <w:b/>
          <w:sz w:val="32"/>
          <w:szCs w:val="32"/>
        </w:rPr>
      </w:pPr>
      <w:r>
        <w:rPr>
          <w:rFonts w:hint="eastAsia" w:ascii="仿宋" w:hAnsi="仿宋" w:eastAsia="仿宋"/>
          <w:sz w:val="32"/>
          <w:szCs w:val="32"/>
        </w:rPr>
        <w:t>（图4：财政拨款收、支决算总计变动情况）（柱状图）</w:t>
      </w:r>
    </w:p>
    <w:p>
      <w:pPr>
        <w:pageBreakBefore w:val="0"/>
        <w:kinsoku/>
        <w:wordWrap/>
        <w:overflowPunct/>
        <w:topLinePunct w:val="0"/>
        <w:bidi w:val="0"/>
        <w:spacing w:line="600" w:lineRule="exact"/>
        <w:textAlignment w:val="auto"/>
        <w:outlineLvl w:val="1"/>
        <w:rPr>
          <w:rFonts w:hint="eastAsia" w:ascii="黑体" w:hAnsi="黑体" w:eastAsia="黑体"/>
          <w:sz w:val="32"/>
          <w:szCs w:val="32"/>
        </w:rPr>
      </w:pPr>
      <w:bookmarkStart w:id="34" w:name="_Toc15377209"/>
      <w:bookmarkStart w:id="35" w:name="_Toc15396607"/>
    </w:p>
    <w:p>
      <w:pPr>
        <w:pageBreakBefore w:val="0"/>
        <w:kinsoku/>
        <w:wordWrap/>
        <w:overflowPunct/>
        <w:topLinePunct w:val="0"/>
        <w:bidi w:val="0"/>
        <w:spacing w:line="600" w:lineRule="exact"/>
        <w:ind w:firstLine="640" w:firstLineChars="200"/>
        <w:textAlignment w:val="auto"/>
        <w:outlineLvl w:val="1"/>
        <w:rPr>
          <w:rStyle w:val="30"/>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34"/>
      <w:bookmarkEnd w:id="35"/>
    </w:p>
    <w:p>
      <w:pPr>
        <w:pageBreakBefore w:val="0"/>
        <w:kinsoku/>
        <w:wordWrap/>
        <w:overflowPunct/>
        <w:topLinePunct w:val="0"/>
        <w:bidi w:val="0"/>
        <w:spacing w:line="600" w:lineRule="exact"/>
        <w:ind w:firstLine="643" w:firstLineChars="200"/>
        <w:textAlignment w:val="auto"/>
        <w:outlineLvl w:val="2"/>
        <w:rPr>
          <w:rFonts w:ascii="仿宋" w:hAnsi="仿宋" w:eastAsia="仿宋"/>
          <w:b/>
          <w:sz w:val="32"/>
          <w:szCs w:val="32"/>
        </w:rPr>
      </w:pPr>
      <w:bookmarkStart w:id="36" w:name="_Toc15377210"/>
      <w:r>
        <w:rPr>
          <w:rFonts w:hint="eastAsia" w:ascii="仿宋" w:hAnsi="仿宋" w:eastAsia="仿宋"/>
          <w:b/>
          <w:sz w:val="32"/>
          <w:szCs w:val="32"/>
        </w:rPr>
        <w:t>（一）一般公共预算财政拨款支出决算总体情况</w:t>
      </w:r>
      <w:bookmarkEnd w:id="36"/>
    </w:p>
    <w:p>
      <w:pPr>
        <w:keepNext w:val="0"/>
        <w:keepLines w:val="0"/>
        <w:pageBreakBefore w:val="0"/>
        <w:kinsoku/>
        <w:wordWrap/>
        <w:overflowPunct/>
        <w:topLinePunct w:val="0"/>
        <w:bidi w:val="0"/>
        <w:spacing w:line="560" w:lineRule="exact"/>
        <w:ind w:firstLine="640" w:firstLineChars="200"/>
        <w:textAlignment w:val="auto"/>
        <w:outlineLvl w:val="1"/>
        <w:rPr>
          <w:rFonts w:hint="eastAsia" w:ascii="仿宋_GB2312" w:hAnsi="仿宋_GB2312" w:eastAsia="仿宋_GB2312" w:cs="仿宋_GB2312"/>
          <w:b w:val="0"/>
          <w:bCs w:val="0"/>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4514.23</w:t>
      </w:r>
      <w:r>
        <w:rPr>
          <w:rFonts w:hint="eastAsia" w:ascii="仿宋" w:hAnsi="仿宋" w:eastAsia="仿宋"/>
          <w:sz w:val="32"/>
          <w:szCs w:val="32"/>
        </w:rPr>
        <w:t>万元，占本年支出合计的</w:t>
      </w:r>
      <w:r>
        <w:rPr>
          <w:rFonts w:hint="eastAsia" w:ascii="仿宋" w:hAnsi="仿宋" w:eastAsia="仿宋"/>
          <w:sz w:val="32"/>
          <w:szCs w:val="32"/>
          <w:lang w:val="en-US" w:eastAsia="zh-CN"/>
        </w:rPr>
        <w:t>95.27</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2518.72</w:t>
      </w:r>
      <w:r>
        <w:rPr>
          <w:rFonts w:hint="eastAsia" w:ascii="仿宋" w:hAnsi="仿宋" w:eastAsia="仿宋"/>
          <w:sz w:val="32"/>
          <w:szCs w:val="32"/>
        </w:rPr>
        <w:t>万元，增长</w:t>
      </w:r>
      <w:r>
        <w:rPr>
          <w:rFonts w:hint="eastAsia" w:ascii="仿宋" w:hAnsi="仿宋" w:eastAsia="仿宋"/>
          <w:sz w:val="32"/>
          <w:szCs w:val="32"/>
          <w:lang w:val="en-US" w:eastAsia="zh-CN"/>
        </w:rPr>
        <w:t>126.22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增加了</w:t>
      </w:r>
      <w:r>
        <w:rPr>
          <w:rFonts w:hint="eastAsia" w:ascii="仿宋_GB2312" w:hAnsi="仿宋_GB2312" w:eastAsia="仿宋_GB2312" w:cs="仿宋_GB2312"/>
          <w:sz w:val="32"/>
          <w:szCs w:val="32"/>
          <w:lang w:eastAsia="zh-CN"/>
        </w:rPr>
        <w:t>农村农业综合发展示范园建设项目资金</w:t>
      </w:r>
      <w:r>
        <w:rPr>
          <w:rFonts w:hint="eastAsia" w:ascii="仿宋_GB2312" w:hAnsi="仿宋_GB2312" w:eastAsia="仿宋_GB2312" w:cs="仿宋_GB2312"/>
          <w:sz w:val="32"/>
          <w:szCs w:val="32"/>
          <w:lang w:val="en-US" w:eastAsia="zh-CN"/>
        </w:rPr>
        <w:t>2000万元，现代农业园区建设奖补费用150万元、中央省市扶持发展村集体经济项目资金320万元</w:t>
      </w:r>
      <w:r>
        <w:rPr>
          <w:rFonts w:hint="eastAsia" w:ascii="仿宋_GB2312" w:hAnsi="仿宋_GB2312" w:eastAsia="仿宋_GB2312" w:cs="仿宋_GB2312"/>
          <w:sz w:val="32"/>
          <w:szCs w:val="32"/>
          <w:lang w:eastAsia="zh-CN"/>
        </w:rPr>
        <w:t>。</w:t>
      </w:r>
    </w:p>
    <w:p>
      <w:pPr>
        <w:pageBreakBefore w:val="0"/>
        <w:kinsoku/>
        <w:wordWrap/>
        <w:overflowPunct/>
        <w:topLinePunct w:val="0"/>
        <w:bidi w:val="0"/>
        <w:spacing w:line="600" w:lineRule="exact"/>
        <w:ind w:firstLine="640" w:firstLineChars="200"/>
        <w:textAlignment w:val="auto"/>
        <w:rPr>
          <w:rFonts w:hint="eastAsia" w:ascii="仿宋" w:hAnsi="仿宋" w:eastAsia="仿宋"/>
          <w:sz w:val="32"/>
          <w:szCs w:val="32"/>
          <w:lang w:eastAsia="zh-CN"/>
        </w:rPr>
      </w:pPr>
    </w:p>
    <w:p>
      <w:pPr>
        <w:pStyle w:val="14"/>
        <w:rPr>
          <w:rFonts w:hint="eastAsia"/>
          <w:lang w:eastAsia="zh-CN"/>
        </w:rPr>
      </w:pPr>
    </w:p>
    <w:p>
      <w:pPr>
        <w:pageBreakBefore w:val="0"/>
        <w:kinsoku/>
        <w:wordWrap/>
        <w:overflowPunct/>
        <w:topLinePunct w:val="0"/>
        <w:bidi w:val="0"/>
        <w:spacing w:line="600" w:lineRule="exact"/>
        <w:ind w:firstLine="643" w:firstLineChars="200"/>
        <w:textAlignment w:val="auto"/>
        <w:outlineLvl w:val="2"/>
        <w:rPr>
          <w:rFonts w:hint="eastAsia" w:ascii="仿宋" w:hAnsi="仿宋" w:eastAsia="仿宋"/>
          <w:b/>
          <w:sz w:val="32"/>
          <w:szCs w:val="32"/>
        </w:rPr>
      </w:pPr>
      <w:bookmarkStart w:id="37" w:name="_Toc15377211"/>
    </w:p>
    <w:p>
      <w:pPr>
        <w:pageBreakBefore w:val="0"/>
        <w:kinsoku/>
        <w:wordWrap/>
        <w:overflowPunct/>
        <w:topLinePunct w:val="0"/>
        <w:bidi w:val="0"/>
        <w:spacing w:line="600" w:lineRule="exact"/>
        <w:textAlignment w:val="auto"/>
        <w:outlineLvl w:val="2"/>
        <w:rPr>
          <w:rFonts w:hint="eastAsia" w:ascii="仿宋" w:hAnsi="仿宋" w:eastAsia="仿宋"/>
          <w:b/>
          <w:sz w:val="32"/>
          <w:szCs w:val="32"/>
        </w:rPr>
      </w:pPr>
    </w:p>
    <w:p>
      <w:pPr>
        <w:pageBreakBefore w:val="0"/>
        <w:kinsoku/>
        <w:wordWrap/>
        <w:overflowPunct/>
        <w:topLinePunct w:val="0"/>
        <w:bidi w:val="0"/>
        <w:spacing w:line="600" w:lineRule="exact"/>
        <w:textAlignment w:val="auto"/>
        <w:outlineLvl w:val="2"/>
        <w:rPr>
          <w:rFonts w:hint="eastAsia" w:ascii="仿宋" w:hAnsi="仿宋" w:eastAsia="仿宋"/>
          <w:b/>
          <w:sz w:val="32"/>
          <w:szCs w:val="32"/>
        </w:rPr>
      </w:pPr>
      <w:r>
        <w:rPr>
          <w:rFonts w:hint="eastAsia" w:ascii="仿宋" w:hAnsi="仿宋" w:eastAsia="仿宋"/>
          <w:sz w:val="32"/>
          <w:szCs w:val="32"/>
          <w:lang w:eastAsia="zh-CN"/>
        </w:rPr>
        <w:drawing>
          <wp:anchor distT="0" distB="0" distL="114300" distR="114300" simplePos="0" relativeHeight="251661312" behindDoc="0" locked="0" layoutInCell="1" allowOverlap="1">
            <wp:simplePos x="0" y="0"/>
            <wp:positionH relativeFrom="column">
              <wp:posOffset>106680</wp:posOffset>
            </wp:positionH>
            <wp:positionV relativeFrom="paragraph">
              <wp:posOffset>273050</wp:posOffset>
            </wp:positionV>
            <wp:extent cx="5152390" cy="2846070"/>
            <wp:effectExtent l="4445" t="4445" r="5715" b="6985"/>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14"/>
        <w:rPr>
          <w:rFonts w:hint="eastAsia"/>
        </w:rPr>
      </w:pPr>
    </w:p>
    <w:p>
      <w:pPr>
        <w:pageBreakBefore w:val="0"/>
        <w:kinsoku/>
        <w:wordWrap/>
        <w:overflowPunct/>
        <w:topLinePunct w:val="0"/>
        <w:bidi w:val="0"/>
        <w:spacing w:line="600" w:lineRule="exact"/>
        <w:ind w:firstLine="643" w:firstLineChars="200"/>
        <w:textAlignment w:val="auto"/>
        <w:outlineLvl w:val="2"/>
        <w:rPr>
          <w:rFonts w:hint="eastAsia" w:ascii="仿宋" w:hAnsi="仿宋" w:eastAsia="仿宋"/>
          <w:b/>
          <w:sz w:val="32"/>
          <w:szCs w:val="32"/>
        </w:rPr>
      </w:pPr>
    </w:p>
    <w:p>
      <w:pPr>
        <w:pStyle w:val="14"/>
        <w:rPr>
          <w:rFonts w:hint="eastAsia" w:ascii="仿宋" w:hAnsi="仿宋" w:eastAsia="仿宋"/>
          <w:b/>
          <w:sz w:val="32"/>
          <w:szCs w:val="32"/>
        </w:rPr>
      </w:pPr>
    </w:p>
    <w:p>
      <w:pPr>
        <w:rPr>
          <w:rFonts w:hint="eastAsia" w:ascii="仿宋" w:hAnsi="仿宋" w:eastAsia="仿宋"/>
          <w:b/>
          <w:sz w:val="32"/>
          <w:szCs w:val="32"/>
        </w:rPr>
      </w:pPr>
    </w:p>
    <w:p>
      <w:pPr>
        <w:pStyle w:val="14"/>
        <w:rPr>
          <w:rFonts w:hint="eastAsia" w:ascii="仿宋" w:hAnsi="仿宋" w:eastAsia="仿宋"/>
          <w:b/>
          <w:sz w:val="32"/>
          <w:szCs w:val="32"/>
        </w:rPr>
      </w:pPr>
    </w:p>
    <w:p>
      <w:pPr>
        <w:pageBreakBefore w:val="0"/>
        <w:kinsoku/>
        <w:wordWrap/>
        <w:overflowPunct/>
        <w:topLinePunct w:val="0"/>
        <w:bidi w:val="0"/>
        <w:spacing w:line="600" w:lineRule="exact"/>
        <w:ind w:firstLine="640" w:firstLineChars="200"/>
        <w:textAlignment w:val="auto"/>
        <w:rPr>
          <w:rFonts w:hint="eastAsia" w:ascii="仿宋" w:hAnsi="仿宋" w:eastAsia="仿宋"/>
          <w:sz w:val="32"/>
          <w:szCs w:val="32"/>
        </w:rPr>
      </w:pPr>
    </w:p>
    <w:p>
      <w:pPr>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（图5：一般公共预算财政拨款支出决算变动情况）（柱状图）</w:t>
      </w:r>
    </w:p>
    <w:p>
      <w:pPr>
        <w:pageBreakBefore w:val="0"/>
        <w:kinsoku/>
        <w:wordWrap/>
        <w:overflowPunct/>
        <w:topLinePunct w:val="0"/>
        <w:bidi w:val="0"/>
        <w:spacing w:line="600" w:lineRule="exact"/>
        <w:textAlignment w:val="auto"/>
        <w:outlineLvl w:val="2"/>
        <w:rPr>
          <w:rFonts w:hint="eastAsia" w:ascii="仿宋" w:hAnsi="仿宋" w:eastAsia="仿宋"/>
          <w:b/>
          <w:sz w:val="32"/>
          <w:szCs w:val="32"/>
        </w:rPr>
      </w:pPr>
    </w:p>
    <w:p>
      <w:pPr>
        <w:pageBreakBefore w:val="0"/>
        <w:kinsoku/>
        <w:wordWrap/>
        <w:overflowPunct/>
        <w:topLinePunct w:val="0"/>
        <w:bidi w:val="0"/>
        <w:spacing w:line="600" w:lineRule="exact"/>
        <w:ind w:firstLine="643" w:firstLineChars="200"/>
        <w:textAlignment w:val="auto"/>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37"/>
    </w:p>
    <w:p>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b w:val="0"/>
          <w:bCs w:val="0"/>
          <w:color w:val="000000"/>
          <w:sz w:val="32"/>
          <w:szCs w:val="32"/>
        </w:rPr>
      </w:pPr>
      <w:r>
        <w:rPr>
          <w:rFonts w:ascii="仿宋" w:hAnsi="仿宋" w:eastAsia="仿宋"/>
          <w:sz w:val="32"/>
          <w:szCs w:val="32"/>
        </w:rPr>
        <w:t>20</w:t>
      </w:r>
      <w:r>
        <w:rPr>
          <w:rFonts w:hint="eastAsia" w:ascii="仿宋" w:hAnsi="仿宋" w:eastAsia="仿宋"/>
          <w:sz w:val="32"/>
          <w:szCs w:val="32"/>
        </w:rPr>
        <w:t>22年</w:t>
      </w:r>
      <w:r>
        <w:rPr>
          <w:rFonts w:hint="eastAsia" w:ascii="仿宋_GB2312" w:hAnsi="仿宋_GB2312" w:eastAsia="仿宋_GB2312" w:cs="仿宋_GB2312"/>
          <w:b w:val="0"/>
          <w:bCs w:val="0"/>
          <w:sz w:val="32"/>
          <w:szCs w:val="32"/>
        </w:rPr>
        <w:t>一般公共预算财政拨款支出</w:t>
      </w:r>
      <w:r>
        <w:rPr>
          <w:rFonts w:hint="eastAsia" w:ascii="仿宋_GB2312" w:hAnsi="仿宋_GB2312" w:eastAsia="仿宋_GB2312" w:cs="仿宋_GB2312"/>
          <w:b w:val="0"/>
          <w:bCs w:val="0"/>
          <w:sz w:val="32"/>
          <w:szCs w:val="32"/>
          <w:lang w:val="en-US" w:eastAsia="zh-CN"/>
        </w:rPr>
        <w:t>4514.23</w:t>
      </w:r>
      <w:r>
        <w:rPr>
          <w:rFonts w:hint="eastAsia" w:ascii="仿宋_GB2312" w:hAnsi="仿宋_GB2312" w:eastAsia="仿宋_GB2312" w:cs="仿宋_GB2312"/>
          <w:b w:val="0"/>
          <w:bCs w:val="0"/>
          <w:sz w:val="32"/>
          <w:szCs w:val="32"/>
        </w:rPr>
        <w:t>万元，主要用于以下方面:</w:t>
      </w:r>
      <w:r>
        <w:rPr>
          <w:rFonts w:hint="eastAsia" w:ascii="仿宋_GB2312" w:hAnsi="仿宋_GB2312" w:eastAsia="仿宋_GB2312" w:cs="仿宋_GB2312"/>
          <w:b/>
          <w:bCs/>
          <w:sz w:val="32"/>
          <w:szCs w:val="32"/>
        </w:rPr>
        <w:t>一般公共服务（类）支出</w:t>
      </w:r>
      <w:r>
        <w:rPr>
          <w:rFonts w:hint="eastAsia" w:ascii="仿宋_GB2312" w:hAnsi="仿宋_GB2312" w:eastAsia="仿宋_GB2312" w:cs="仿宋_GB2312"/>
          <w:b w:val="0"/>
          <w:bCs w:val="0"/>
          <w:sz w:val="32"/>
          <w:szCs w:val="32"/>
          <w:lang w:val="en-US" w:eastAsia="zh-CN"/>
        </w:rPr>
        <w:t>627.81</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13.91</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bCs/>
          <w:sz w:val="32"/>
          <w:szCs w:val="32"/>
        </w:rPr>
        <w:t>社会保障和就业（类）支出</w:t>
      </w:r>
      <w:r>
        <w:rPr>
          <w:rFonts w:hint="eastAsia" w:ascii="仿宋_GB2312" w:hAnsi="仿宋_GB2312" w:eastAsia="仿宋_GB2312" w:cs="仿宋_GB2312"/>
          <w:b w:val="0"/>
          <w:bCs w:val="0"/>
          <w:sz w:val="32"/>
          <w:szCs w:val="32"/>
          <w:lang w:val="en-US" w:eastAsia="zh-CN"/>
        </w:rPr>
        <w:t>182.13</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4.03</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bCs/>
          <w:sz w:val="32"/>
          <w:szCs w:val="32"/>
        </w:rPr>
        <w:t>卫生健康</w:t>
      </w:r>
      <w:r>
        <w:rPr>
          <w:rFonts w:hint="eastAsia" w:ascii="仿宋_GB2312" w:hAnsi="仿宋_GB2312" w:eastAsia="仿宋_GB2312" w:cs="仿宋_GB2312"/>
          <w:b/>
          <w:bCs/>
          <w:sz w:val="32"/>
          <w:szCs w:val="32"/>
          <w:lang w:eastAsia="zh-CN"/>
        </w:rPr>
        <w:t>（类）</w:t>
      </w:r>
      <w:r>
        <w:rPr>
          <w:rFonts w:hint="eastAsia" w:ascii="仿宋_GB2312" w:hAnsi="仿宋_GB2312" w:eastAsia="仿宋_GB2312" w:cs="仿宋_GB2312"/>
          <w:b/>
          <w:bCs/>
          <w:sz w:val="32"/>
          <w:szCs w:val="32"/>
        </w:rPr>
        <w:t>支出</w:t>
      </w:r>
      <w:r>
        <w:rPr>
          <w:rFonts w:hint="eastAsia" w:ascii="仿宋_GB2312" w:hAnsi="仿宋_GB2312" w:eastAsia="仿宋_GB2312" w:cs="仿宋_GB2312"/>
          <w:b w:val="0"/>
          <w:bCs w:val="0"/>
          <w:sz w:val="32"/>
          <w:szCs w:val="32"/>
          <w:lang w:val="en-US" w:eastAsia="zh-CN"/>
        </w:rPr>
        <w:t>30.17</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0.67</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bCs/>
          <w:color w:val="000000"/>
          <w:sz w:val="32"/>
          <w:szCs w:val="32"/>
          <w:lang w:eastAsia="zh-CN"/>
        </w:rPr>
        <w:t>城乡社区（类）支出</w:t>
      </w:r>
      <w:r>
        <w:rPr>
          <w:rFonts w:hint="eastAsia" w:ascii="仿宋_GB2312" w:hAnsi="仿宋_GB2312" w:eastAsia="仿宋_GB2312" w:cs="仿宋_GB2312"/>
          <w:b w:val="0"/>
          <w:bCs w:val="0"/>
          <w:color w:val="000000"/>
          <w:sz w:val="32"/>
          <w:szCs w:val="32"/>
          <w:lang w:val="en-US" w:eastAsia="zh-CN"/>
        </w:rPr>
        <w:t>34.53万元，占0.76%；</w:t>
      </w:r>
      <w:r>
        <w:rPr>
          <w:rFonts w:hint="eastAsia" w:ascii="仿宋_GB2312" w:hAnsi="仿宋_GB2312" w:eastAsia="仿宋_GB2312" w:cs="仿宋_GB2312"/>
          <w:b/>
          <w:bCs/>
          <w:color w:val="000000"/>
          <w:sz w:val="32"/>
          <w:szCs w:val="32"/>
          <w:lang w:val="en-US" w:eastAsia="zh-CN"/>
        </w:rPr>
        <w:t>农林水（类）支出</w:t>
      </w:r>
      <w:r>
        <w:rPr>
          <w:rFonts w:hint="eastAsia" w:ascii="仿宋_GB2312" w:hAnsi="仿宋_GB2312" w:eastAsia="仿宋_GB2312" w:cs="仿宋_GB2312"/>
          <w:b w:val="0"/>
          <w:bCs w:val="0"/>
          <w:color w:val="000000"/>
          <w:sz w:val="32"/>
          <w:szCs w:val="32"/>
          <w:lang w:val="en-US" w:eastAsia="zh-CN"/>
        </w:rPr>
        <w:t>3562.91万元，占78.93%；</w:t>
      </w:r>
      <w:r>
        <w:rPr>
          <w:rFonts w:hint="eastAsia" w:ascii="仿宋_GB2312" w:hAnsi="仿宋_GB2312" w:eastAsia="仿宋_GB2312" w:cs="仿宋_GB2312"/>
          <w:b/>
          <w:bCs/>
          <w:color w:val="000000"/>
          <w:sz w:val="32"/>
          <w:szCs w:val="32"/>
        </w:rPr>
        <w:t>住房保障</w:t>
      </w:r>
      <w:r>
        <w:rPr>
          <w:rFonts w:hint="eastAsia" w:ascii="仿宋_GB2312" w:hAnsi="仿宋_GB2312" w:eastAsia="仿宋_GB2312" w:cs="仿宋_GB2312"/>
          <w:b/>
          <w:bCs/>
          <w:color w:val="000000"/>
          <w:sz w:val="32"/>
          <w:szCs w:val="32"/>
          <w:lang w:eastAsia="zh-CN"/>
        </w:rPr>
        <w:t>（类）</w:t>
      </w:r>
      <w:r>
        <w:rPr>
          <w:rFonts w:hint="eastAsia" w:ascii="仿宋_GB2312" w:hAnsi="仿宋_GB2312" w:eastAsia="仿宋_GB2312" w:cs="仿宋_GB2312"/>
          <w:b/>
          <w:bCs/>
          <w:color w:val="000000"/>
          <w:sz w:val="32"/>
          <w:szCs w:val="32"/>
        </w:rPr>
        <w:t>支出</w:t>
      </w:r>
      <w:r>
        <w:rPr>
          <w:rFonts w:hint="eastAsia" w:ascii="仿宋_GB2312" w:hAnsi="仿宋_GB2312" w:eastAsia="仿宋_GB2312" w:cs="仿宋_GB2312"/>
          <w:b w:val="0"/>
          <w:bCs w:val="0"/>
          <w:color w:val="000000"/>
          <w:sz w:val="32"/>
          <w:szCs w:val="32"/>
          <w:lang w:val="en-US" w:eastAsia="zh-CN"/>
        </w:rPr>
        <w:t>76.68</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1.7</w:t>
      </w:r>
      <w:r>
        <w:rPr>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600" w:lineRule="exact"/>
        <w:ind w:firstLine="640"/>
        <w:textAlignment w:val="auto"/>
        <w:rPr>
          <w:rFonts w:ascii="仿宋" w:hAnsi="仿宋" w:eastAsia="仿宋"/>
          <w:b/>
          <w:sz w:val="32"/>
          <w:szCs w:val="32"/>
        </w:rPr>
      </w:pPr>
      <w:r>
        <w:rPr>
          <w:rFonts w:hint="eastAsia" w:ascii="仿宋" w:hAnsi="仿宋" w:eastAsia="仿宋"/>
          <w:b/>
          <w:sz w:val="32"/>
          <w:szCs w:val="32"/>
        </w:rPr>
        <w:t>（注：数据来源于财决01-1表，仅罗列本部门涉及的全部功能分类科目，至类级。）</w:t>
      </w:r>
    </w:p>
    <w:p>
      <w:pPr>
        <w:pageBreakBefore w:val="0"/>
        <w:kinsoku/>
        <w:wordWrap/>
        <w:overflowPunct/>
        <w:topLinePunct w:val="0"/>
        <w:bidi w:val="0"/>
        <w:spacing w:line="600" w:lineRule="exact"/>
        <w:ind w:firstLine="640"/>
        <w:textAlignment w:val="auto"/>
        <w:rPr>
          <w:rFonts w:ascii="仿宋" w:hAnsi="仿宋" w:eastAsia="仿宋"/>
          <w:sz w:val="32"/>
          <w:szCs w:val="32"/>
        </w:rPr>
      </w:pPr>
    </w:p>
    <w:p>
      <w:pPr>
        <w:pStyle w:val="14"/>
        <w:rPr>
          <w:rFonts w:ascii="仿宋" w:hAnsi="仿宋" w:eastAsia="仿宋"/>
          <w:sz w:val="32"/>
          <w:szCs w:val="32"/>
        </w:rPr>
      </w:pPr>
    </w:p>
    <w:p>
      <w:r>
        <w:rPr>
          <w:rFonts w:hint="eastAsia" w:ascii="仿宋" w:hAnsi="仿宋" w:eastAsia="仿宋"/>
          <w:sz w:val="32"/>
          <w:szCs w:val="32"/>
          <w:lang w:eastAsia="zh-CN"/>
        </w:rPr>
        <w:drawing>
          <wp:inline distT="0" distB="0" distL="114300" distR="114300">
            <wp:extent cx="5256530" cy="2988310"/>
            <wp:effectExtent l="5080" t="4445" r="15240" b="1714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ageBreakBefore w:val="0"/>
        <w:kinsoku/>
        <w:wordWrap/>
        <w:overflowPunct/>
        <w:topLinePunct w:val="0"/>
        <w:bidi w:val="0"/>
        <w:spacing w:line="600" w:lineRule="exact"/>
        <w:jc w:val="both"/>
        <w:textAlignment w:val="auto"/>
        <w:rPr>
          <w:rFonts w:ascii="仿宋" w:hAnsi="仿宋" w:eastAsia="仿宋"/>
          <w:sz w:val="32"/>
          <w:szCs w:val="32"/>
        </w:rPr>
      </w:pPr>
      <w:r>
        <w:rPr>
          <w:rFonts w:hint="eastAsia" w:ascii="仿宋" w:hAnsi="仿宋" w:eastAsia="仿宋"/>
          <w:sz w:val="32"/>
          <w:szCs w:val="32"/>
        </w:rPr>
        <w:t>（图6：一般公共预算财政拨款支出决算结构）（饼状图）</w:t>
      </w:r>
    </w:p>
    <w:p>
      <w:pPr>
        <w:pageBreakBefore w:val="0"/>
        <w:kinsoku/>
        <w:wordWrap/>
        <w:overflowPunct/>
        <w:topLinePunct w:val="0"/>
        <w:bidi w:val="0"/>
        <w:spacing w:line="600" w:lineRule="exact"/>
        <w:ind w:firstLine="640" w:firstLineChars="200"/>
        <w:textAlignment w:val="auto"/>
        <w:rPr>
          <w:rFonts w:ascii="仿宋" w:hAnsi="仿宋" w:eastAsia="仿宋"/>
          <w:sz w:val="32"/>
          <w:szCs w:val="32"/>
        </w:rPr>
      </w:pPr>
    </w:p>
    <w:p>
      <w:pPr>
        <w:pageBreakBefore w:val="0"/>
        <w:kinsoku/>
        <w:wordWrap/>
        <w:overflowPunct/>
        <w:topLinePunct w:val="0"/>
        <w:bidi w:val="0"/>
        <w:spacing w:line="600" w:lineRule="exact"/>
        <w:ind w:firstLine="643" w:firstLineChars="200"/>
        <w:textAlignment w:val="auto"/>
        <w:outlineLvl w:val="2"/>
        <w:rPr>
          <w:rFonts w:ascii="仿宋" w:hAnsi="仿宋" w:eastAsia="仿宋"/>
          <w:b/>
          <w:sz w:val="32"/>
          <w:szCs w:val="32"/>
        </w:rPr>
      </w:pPr>
      <w:bookmarkStart w:id="38" w:name="_Toc15377212"/>
      <w:r>
        <w:rPr>
          <w:rFonts w:hint="eastAsia" w:ascii="仿宋" w:hAnsi="仿宋" w:eastAsia="仿宋"/>
          <w:b/>
          <w:sz w:val="32"/>
          <w:szCs w:val="32"/>
        </w:rPr>
        <w:t>（三）一般公共预算财政拨款支出决算具体情况</w:t>
      </w:r>
      <w:bookmarkEnd w:id="38"/>
    </w:p>
    <w:p>
      <w:pPr>
        <w:pageBreakBefore w:val="0"/>
        <w:kinsoku/>
        <w:wordWrap/>
        <w:overflowPunct/>
        <w:topLinePunct w:val="0"/>
        <w:bidi w:val="0"/>
        <w:spacing w:line="600" w:lineRule="exact"/>
        <w:ind w:firstLine="643" w:firstLineChars="200"/>
        <w:textAlignment w:val="auto"/>
        <w:outlineLvl w:val="2"/>
        <w:rPr>
          <w:rFonts w:ascii="仿宋" w:hAnsi="仿宋" w:eastAsia="仿宋"/>
          <w:sz w:val="32"/>
          <w:szCs w:val="32"/>
        </w:rPr>
      </w:pPr>
      <w:bookmarkStart w:id="39" w:name="_Toc15377444"/>
      <w:bookmarkStart w:id="40" w:name="_Toc15377213"/>
      <w:bookmarkStart w:id="41" w:name="_Toc15378460"/>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4378.84万元</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39"/>
      <w:bookmarkEnd w:id="40"/>
      <w:bookmarkEnd w:id="41"/>
    </w:p>
    <w:p>
      <w:pPr>
        <w:pageBreakBefore w:val="0"/>
        <w:kinsoku/>
        <w:wordWrap/>
        <w:overflowPunct/>
        <w:topLinePunct w:val="0"/>
        <w:bidi w:val="0"/>
        <w:spacing w:line="600" w:lineRule="exact"/>
        <w:ind w:firstLine="643" w:firstLineChars="200"/>
        <w:textAlignment w:val="auto"/>
        <w:rPr>
          <w:rFonts w:ascii="仿宋" w:hAnsi="仿宋" w:eastAsia="仿宋"/>
          <w:b/>
          <w:sz w:val="32"/>
          <w:szCs w:val="32"/>
        </w:rPr>
      </w:pPr>
      <w:r>
        <w:rPr>
          <w:rStyle w:val="18"/>
          <w:rFonts w:ascii="仿宋" w:hAnsi="仿宋" w:eastAsia="仿宋"/>
          <w:bCs/>
          <w:sz w:val="32"/>
          <w:szCs w:val="32"/>
        </w:rPr>
        <w:t>1.</w:t>
      </w:r>
      <w:r>
        <w:rPr>
          <w:rStyle w:val="18"/>
          <w:rFonts w:hint="eastAsia" w:ascii="仿宋" w:hAnsi="仿宋" w:eastAsia="仿宋"/>
          <w:bCs/>
          <w:sz w:val="32"/>
          <w:szCs w:val="32"/>
        </w:rPr>
        <w:t>一般公共服务（类）</w:t>
      </w:r>
      <w:r>
        <w:rPr>
          <w:rStyle w:val="18"/>
          <w:rFonts w:hint="eastAsia" w:ascii="仿宋" w:hAnsi="仿宋" w:eastAsia="仿宋"/>
          <w:bCs/>
          <w:sz w:val="32"/>
          <w:szCs w:val="32"/>
          <w:lang w:eastAsia="zh-CN"/>
        </w:rPr>
        <w:t>政府办公厅（室）及相关机构事务</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行政运行</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456.25</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keepNext w:val="0"/>
        <w:keepLines w:val="0"/>
        <w:pageBreakBefore w:val="0"/>
        <w:kinsoku/>
        <w:wordWrap/>
        <w:overflowPunct/>
        <w:topLinePunct w:val="0"/>
        <w:bidi w:val="0"/>
        <w:spacing w:line="560" w:lineRule="exact"/>
        <w:ind w:firstLine="643" w:firstLineChars="200"/>
        <w:textAlignment w:val="auto"/>
        <w:rPr>
          <w:rStyle w:val="18"/>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bCs w:val="0"/>
          <w:color w:val="000000"/>
          <w:sz w:val="32"/>
          <w:szCs w:val="32"/>
          <w:highlight w:val="none"/>
        </w:rPr>
        <w:t>2.一般公共服务（类）政府办公厅（室）及相关机构事务（款）</w:t>
      </w:r>
      <w:r>
        <w:rPr>
          <w:rStyle w:val="18"/>
          <w:rFonts w:hint="eastAsia" w:ascii="仿宋_GB2312" w:hAnsi="仿宋_GB2312" w:eastAsia="仿宋_GB2312" w:cs="仿宋_GB2312"/>
          <w:b/>
          <w:bCs w:val="0"/>
          <w:color w:val="000000"/>
          <w:sz w:val="32"/>
          <w:szCs w:val="32"/>
          <w:highlight w:val="none"/>
          <w:lang w:val="en-US" w:eastAsia="zh-CN"/>
        </w:rPr>
        <w:t>一般行政管理事务</w:t>
      </w:r>
      <w:r>
        <w:rPr>
          <w:rStyle w:val="18"/>
          <w:rFonts w:hint="eastAsia" w:ascii="仿宋_GB2312" w:hAnsi="仿宋_GB2312" w:eastAsia="仿宋_GB2312" w:cs="仿宋_GB2312"/>
          <w:b/>
          <w:bCs w:val="0"/>
          <w:color w:val="000000"/>
          <w:sz w:val="32"/>
          <w:szCs w:val="32"/>
          <w:highlight w:val="none"/>
        </w:rPr>
        <w:t xml:space="preserve">（项）: </w:t>
      </w:r>
      <w:r>
        <w:rPr>
          <w:rStyle w:val="18"/>
          <w:rFonts w:hint="eastAsia" w:ascii="仿宋_GB2312" w:hAnsi="仿宋_GB2312" w:eastAsia="仿宋_GB2312" w:cs="仿宋_GB2312"/>
          <w:b w:val="0"/>
          <w:bCs/>
          <w:color w:val="000000"/>
          <w:sz w:val="32"/>
          <w:szCs w:val="32"/>
          <w:highlight w:val="none"/>
        </w:rPr>
        <w:t>支出决算为</w:t>
      </w:r>
      <w:r>
        <w:rPr>
          <w:rStyle w:val="18"/>
          <w:rFonts w:hint="eastAsia" w:ascii="仿宋_GB2312" w:hAnsi="仿宋_GB2312" w:eastAsia="仿宋_GB2312" w:cs="仿宋_GB2312"/>
          <w:b w:val="0"/>
          <w:bCs/>
          <w:color w:val="000000"/>
          <w:sz w:val="32"/>
          <w:szCs w:val="32"/>
          <w:highlight w:val="none"/>
          <w:lang w:val="en-US" w:eastAsia="zh-CN"/>
        </w:rPr>
        <w:t>1.35</w:t>
      </w:r>
      <w:r>
        <w:rPr>
          <w:rStyle w:val="18"/>
          <w:rFonts w:hint="eastAsia" w:ascii="仿宋_GB2312" w:hAnsi="仿宋_GB2312" w:eastAsia="仿宋_GB2312" w:cs="仿宋_GB2312"/>
          <w:b w:val="0"/>
          <w:bCs/>
          <w:color w:val="000000"/>
          <w:sz w:val="32"/>
          <w:szCs w:val="32"/>
          <w:highlight w:val="none"/>
        </w:rPr>
        <w:t>万元，完成预算100%，决算数等于预算数。</w:t>
      </w:r>
    </w:p>
    <w:p>
      <w:pPr>
        <w:keepNext w:val="0"/>
        <w:keepLines w:val="0"/>
        <w:pageBreakBefore w:val="0"/>
        <w:kinsoku/>
        <w:wordWrap/>
        <w:overflowPunct/>
        <w:topLinePunct w:val="0"/>
        <w:bidi w:val="0"/>
        <w:spacing w:line="560" w:lineRule="exact"/>
        <w:ind w:firstLine="643" w:firstLineChars="200"/>
        <w:textAlignment w:val="auto"/>
        <w:rPr>
          <w:rStyle w:val="18"/>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bCs w:val="0"/>
          <w:color w:val="000000"/>
          <w:sz w:val="32"/>
          <w:szCs w:val="32"/>
          <w:highlight w:val="none"/>
        </w:rPr>
        <w:t>3.一般公共服务（类）政府办公厅（室）及相关机构事务（款）其他政府办公厅（室</w:t>
      </w:r>
      <w:r>
        <w:rPr>
          <w:rStyle w:val="18"/>
          <w:rFonts w:hint="eastAsia" w:ascii="仿宋_GB2312" w:hAnsi="仿宋_GB2312" w:eastAsia="仿宋_GB2312" w:cs="仿宋_GB2312"/>
          <w:b/>
          <w:bCs w:val="0"/>
          <w:color w:val="000000"/>
          <w:sz w:val="32"/>
          <w:szCs w:val="32"/>
          <w:highlight w:val="none"/>
          <w:lang w:eastAsia="zh-CN"/>
        </w:rPr>
        <w:t>）</w:t>
      </w:r>
      <w:r>
        <w:rPr>
          <w:rStyle w:val="18"/>
          <w:rFonts w:hint="eastAsia" w:ascii="仿宋_GB2312" w:hAnsi="仿宋_GB2312" w:eastAsia="仿宋_GB2312" w:cs="仿宋_GB2312"/>
          <w:b/>
          <w:bCs w:val="0"/>
          <w:color w:val="000000"/>
          <w:sz w:val="32"/>
          <w:szCs w:val="32"/>
          <w:highlight w:val="none"/>
        </w:rPr>
        <w:t>及相关机构事务（项）:</w:t>
      </w:r>
      <w:r>
        <w:rPr>
          <w:rStyle w:val="18"/>
          <w:rFonts w:hint="eastAsia" w:ascii="仿宋_GB2312" w:hAnsi="仿宋_GB2312" w:eastAsia="仿宋_GB2312" w:cs="仿宋_GB2312"/>
          <w:b w:val="0"/>
          <w:bCs/>
          <w:color w:val="000000"/>
          <w:sz w:val="32"/>
          <w:szCs w:val="32"/>
          <w:highlight w:val="none"/>
        </w:rPr>
        <w:t xml:space="preserve"> 支出决算为</w:t>
      </w:r>
      <w:r>
        <w:rPr>
          <w:rStyle w:val="18"/>
          <w:rFonts w:hint="eastAsia" w:ascii="仿宋_GB2312" w:hAnsi="仿宋_GB2312" w:eastAsia="仿宋_GB2312" w:cs="仿宋_GB2312"/>
          <w:b w:val="0"/>
          <w:bCs/>
          <w:color w:val="000000"/>
          <w:sz w:val="32"/>
          <w:szCs w:val="32"/>
          <w:highlight w:val="none"/>
          <w:lang w:val="en-US" w:eastAsia="zh-CN"/>
        </w:rPr>
        <w:t>170.21</w:t>
      </w:r>
      <w:r>
        <w:rPr>
          <w:rStyle w:val="18"/>
          <w:rFonts w:hint="eastAsia" w:ascii="仿宋_GB2312" w:hAnsi="仿宋_GB2312" w:eastAsia="仿宋_GB2312" w:cs="仿宋_GB2312"/>
          <w:b w:val="0"/>
          <w:bCs/>
          <w:color w:val="000000"/>
          <w:sz w:val="32"/>
          <w:szCs w:val="32"/>
          <w:highlight w:val="none"/>
        </w:rPr>
        <w:t>万元，完成预算</w:t>
      </w:r>
      <w:r>
        <w:rPr>
          <w:rStyle w:val="18"/>
          <w:rFonts w:hint="eastAsia" w:ascii="仿宋_GB2312" w:hAnsi="仿宋_GB2312" w:eastAsia="仿宋_GB2312" w:cs="仿宋_GB2312"/>
          <w:b w:val="0"/>
          <w:bCs/>
          <w:color w:val="000000"/>
          <w:sz w:val="32"/>
          <w:szCs w:val="32"/>
          <w:highlight w:val="none"/>
          <w:lang w:val="en-US" w:eastAsia="zh-CN"/>
        </w:rPr>
        <w:t>100%</w:t>
      </w:r>
      <w:r>
        <w:rPr>
          <w:rStyle w:val="18"/>
          <w:rFonts w:hint="eastAsia" w:ascii="仿宋_GB2312" w:hAnsi="仿宋_GB2312" w:eastAsia="仿宋_GB2312" w:cs="仿宋_GB2312"/>
          <w:b w:val="0"/>
          <w:bCs/>
          <w:color w:val="000000"/>
          <w:sz w:val="32"/>
          <w:szCs w:val="32"/>
          <w:highlight w:val="none"/>
        </w:rPr>
        <w:t>，决算数</w:t>
      </w:r>
      <w:r>
        <w:rPr>
          <w:rStyle w:val="18"/>
          <w:rFonts w:hint="eastAsia" w:ascii="仿宋_GB2312" w:hAnsi="仿宋_GB2312" w:eastAsia="仿宋_GB2312" w:cs="仿宋_GB2312"/>
          <w:b w:val="0"/>
          <w:bCs/>
          <w:color w:val="000000"/>
          <w:sz w:val="32"/>
          <w:szCs w:val="32"/>
          <w:highlight w:val="none"/>
          <w:lang w:eastAsia="zh-CN"/>
        </w:rPr>
        <w:t>等于</w:t>
      </w:r>
      <w:r>
        <w:rPr>
          <w:rStyle w:val="18"/>
          <w:rFonts w:hint="eastAsia" w:ascii="仿宋_GB2312" w:hAnsi="仿宋_GB2312" w:eastAsia="仿宋_GB2312" w:cs="仿宋_GB2312"/>
          <w:b w:val="0"/>
          <w:bCs/>
          <w:color w:val="000000"/>
          <w:sz w:val="32"/>
          <w:szCs w:val="32"/>
          <w:highlight w:val="none"/>
        </w:rPr>
        <w:t>预算数。</w:t>
      </w:r>
    </w:p>
    <w:p>
      <w:pPr>
        <w:keepNext w:val="0"/>
        <w:keepLines w:val="0"/>
        <w:pageBreakBefore w:val="0"/>
        <w:kinsoku/>
        <w:wordWrap/>
        <w:overflowPunct/>
        <w:topLinePunct w:val="0"/>
        <w:bidi w:val="0"/>
        <w:spacing w:line="560" w:lineRule="exact"/>
        <w:ind w:firstLine="643" w:firstLineChars="200"/>
        <w:textAlignment w:val="auto"/>
        <w:rPr>
          <w:rStyle w:val="18"/>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bCs w:val="0"/>
          <w:color w:val="000000"/>
          <w:sz w:val="32"/>
          <w:szCs w:val="32"/>
          <w:highlight w:val="none"/>
          <w:lang w:val="en-US" w:eastAsia="zh-CN"/>
        </w:rPr>
        <w:t>4</w:t>
      </w:r>
      <w:r>
        <w:rPr>
          <w:rStyle w:val="18"/>
          <w:rFonts w:hint="eastAsia" w:ascii="仿宋_GB2312" w:hAnsi="仿宋_GB2312" w:eastAsia="仿宋_GB2312" w:cs="仿宋_GB2312"/>
          <w:b/>
          <w:bCs w:val="0"/>
          <w:color w:val="000000"/>
          <w:sz w:val="32"/>
          <w:szCs w:val="32"/>
          <w:highlight w:val="none"/>
        </w:rPr>
        <w:t>.社会保障和就业（类）民政管理事务（款）基层政权和社区</w:t>
      </w:r>
      <w:r>
        <w:rPr>
          <w:rStyle w:val="18"/>
          <w:rFonts w:hint="eastAsia" w:ascii="仿宋_GB2312" w:hAnsi="仿宋_GB2312" w:eastAsia="仿宋_GB2312" w:cs="仿宋_GB2312"/>
          <w:b/>
          <w:bCs w:val="0"/>
          <w:color w:val="000000"/>
          <w:sz w:val="32"/>
          <w:szCs w:val="32"/>
          <w:highlight w:val="none"/>
          <w:lang w:eastAsia="zh-CN"/>
        </w:rPr>
        <w:t>治理</w:t>
      </w:r>
      <w:r>
        <w:rPr>
          <w:rStyle w:val="18"/>
          <w:rFonts w:hint="eastAsia" w:ascii="仿宋_GB2312" w:hAnsi="仿宋_GB2312" w:eastAsia="仿宋_GB2312" w:cs="仿宋_GB2312"/>
          <w:b/>
          <w:bCs w:val="0"/>
          <w:color w:val="000000"/>
          <w:sz w:val="32"/>
          <w:szCs w:val="32"/>
          <w:highlight w:val="none"/>
        </w:rPr>
        <w:t>（项）：</w:t>
      </w:r>
      <w:r>
        <w:rPr>
          <w:rStyle w:val="18"/>
          <w:rFonts w:hint="eastAsia" w:ascii="仿宋_GB2312" w:hAnsi="仿宋_GB2312" w:eastAsia="仿宋_GB2312" w:cs="仿宋_GB2312"/>
          <w:b w:val="0"/>
          <w:bCs/>
          <w:color w:val="000000"/>
          <w:sz w:val="32"/>
          <w:szCs w:val="32"/>
          <w:highlight w:val="none"/>
        </w:rPr>
        <w:t>支出决算为</w:t>
      </w:r>
      <w:r>
        <w:rPr>
          <w:rStyle w:val="18"/>
          <w:rFonts w:hint="eastAsia" w:ascii="仿宋_GB2312" w:hAnsi="仿宋_GB2312" w:eastAsia="仿宋_GB2312" w:cs="仿宋_GB2312"/>
          <w:b w:val="0"/>
          <w:bCs/>
          <w:color w:val="000000"/>
          <w:sz w:val="32"/>
          <w:szCs w:val="32"/>
          <w:highlight w:val="none"/>
          <w:lang w:val="en-US" w:eastAsia="zh-CN"/>
        </w:rPr>
        <w:t>39.83</w:t>
      </w:r>
      <w:r>
        <w:rPr>
          <w:rStyle w:val="18"/>
          <w:rFonts w:hint="eastAsia" w:ascii="仿宋_GB2312" w:hAnsi="仿宋_GB2312" w:eastAsia="仿宋_GB2312" w:cs="仿宋_GB2312"/>
          <w:b w:val="0"/>
          <w:bCs/>
          <w:color w:val="000000"/>
          <w:sz w:val="32"/>
          <w:szCs w:val="32"/>
          <w:highlight w:val="none"/>
        </w:rPr>
        <w:t>万元，完成预算100%，决算数等于预算数。</w:t>
      </w:r>
    </w:p>
    <w:p>
      <w:pPr>
        <w:keepNext w:val="0"/>
        <w:keepLines w:val="0"/>
        <w:pageBreakBefore w:val="0"/>
        <w:kinsoku/>
        <w:wordWrap/>
        <w:overflowPunct/>
        <w:topLinePunct w:val="0"/>
        <w:bidi w:val="0"/>
        <w:spacing w:line="560" w:lineRule="exact"/>
        <w:ind w:firstLine="643" w:firstLineChars="200"/>
        <w:textAlignment w:val="auto"/>
        <w:rPr>
          <w:rStyle w:val="18"/>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bCs w:val="0"/>
          <w:color w:val="000000"/>
          <w:sz w:val="32"/>
          <w:szCs w:val="32"/>
          <w:highlight w:val="none"/>
          <w:lang w:val="en-US" w:eastAsia="zh-CN"/>
        </w:rPr>
        <w:t>5</w:t>
      </w:r>
      <w:r>
        <w:rPr>
          <w:rStyle w:val="18"/>
          <w:rFonts w:hint="eastAsia" w:ascii="仿宋_GB2312" w:hAnsi="仿宋_GB2312" w:eastAsia="仿宋_GB2312" w:cs="仿宋_GB2312"/>
          <w:b/>
          <w:bCs w:val="0"/>
          <w:color w:val="000000"/>
          <w:sz w:val="32"/>
          <w:szCs w:val="32"/>
          <w:highlight w:val="none"/>
        </w:rPr>
        <w:t>.社会保障和就业（类）行政</w:t>
      </w:r>
      <w:r>
        <w:rPr>
          <w:rStyle w:val="18"/>
          <w:rFonts w:hint="eastAsia" w:ascii="仿宋_GB2312" w:hAnsi="仿宋_GB2312" w:eastAsia="仿宋_GB2312" w:cs="仿宋_GB2312"/>
          <w:b/>
          <w:bCs w:val="0"/>
          <w:color w:val="000000"/>
          <w:sz w:val="32"/>
          <w:szCs w:val="32"/>
          <w:highlight w:val="none"/>
          <w:lang w:eastAsia="zh-CN"/>
        </w:rPr>
        <w:t>单位养老支出</w:t>
      </w:r>
      <w:r>
        <w:rPr>
          <w:rStyle w:val="18"/>
          <w:rFonts w:hint="eastAsia" w:ascii="仿宋_GB2312" w:hAnsi="仿宋_GB2312" w:eastAsia="仿宋_GB2312" w:cs="仿宋_GB2312"/>
          <w:b/>
          <w:bCs w:val="0"/>
          <w:color w:val="000000"/>
          <w:sz w:val="32"/>
          <w:szCs w:val="32"/>
          <w:highlight w:val="none"/>
        </w:rPr>
        <w:t>（款）机关事业单位基本养老保险缴费支出（项）：</w:t>
      </w:r>
      <w:r>
        <w:rPr>
          <w:rStyle w:val="18"/>
          <w:rFonts w:hint="eastAsia" w:ascii="仿宋_GB2312" w:hAnsi="仿宋_GB2312" w:eastAsia="仿宋_GB2312" w:cs="仿宋_GB2312"/>
          <w:b w:val="0"/>
          <w:bCs/>
          <w:color w:val="000000"/>
          <w:sz w:val="32"/>
          <w:szCs w:val="32"/>
          <w:highlight w:val="none"/>
        </w:rPr>
        <w:t>支出决算为</w:t>
      </w:r>
      <w:r>
        <w:rPr>
          <w:rStyle w:val="18"/>
          <w:rFonts w:hint="eastAsia" w:ascii="仿宋_GB2312" w:hAnsi="仿宋_GB2312" w:eastAsia="仿宋_GB2312" w:cs="仿宋_GB2312"/>
          <w:b w:val="0"/>
          <w:bCs/>
          <w:color w:val="000000"/>
          <w:sz w:val="32"/>
          <w:szCs w:val="32"/>
          <w:highlight w:val="none"/>
          <w:lang w:val="en-US" w:eastAsia="zh-CN"/>
        </w:rPr>
        <w:t>56.24</w:t>
      </w:r>
      <w:r>
        <w:rPr>
          <w:rStyle w:val="18"/>
          <w:rFonts w:hint="eastAsia" w:ascii="仿宋_GB2312" w:hAnsi="仿宋_GB2312" w:eastAsia="仿宋_GB2312" w:cs="仿宋_GB2312"/>
          <w:b w:val="0"/>
          <w:bCs/>
          <w:color w:val="000000"/>
          <w:sz w:val="32"/>
          <w:szCs w:val="32"/>
          <w:highlight w:val="none"/>
        </w:rPr>
        <w:t>万元，完成预算100%，决算数等于预算数。</w:t>
      </w:r>
    </w:p>
    <w:p>
      <w:pPr>
        <w:keepNext w:val="0"/>
        <w:keepLines w:val="0"/>
        <w:pageBreakBefore w:val="0"/>
        <w:kinsoku/>
        <w:wordWrap/>
        <w:overflowPunct/>
        <w:topLinePunct w:val="0"/>
        <w:bidi w:val="0"/>
        <w:spacing w:line="560" w:lineRule="exact"/>
        <w:ind w:firstLine="643" w:firstLineChars="200"/>
        <w:textAlignment w:val="auto"/>
        <w:rPr>
          <w:rStyle w:val="18"/>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bCs w:val="0"/>
          <w:color w:val="000000"/>
          <w:sz w:val="32"/>
          <w:szCs w:val="32"/>
          <w:highlight w:val="none"/>
          <w:lang w:val="en-US" w:eastAsia="zh-CN"/>
        </w:rPr>
        <w:t>6.</w:t>
      </w:r>
      <w:r>
        <w:rPr>
          <w:rStyle w:val="18"/>
          <w:rFonts w:hint="eastAsia" w:ascii="仿宋_GB2312" w:hAnsi="仿宋_GB2312" w:eastAsia="仿宋_GB2312" w:cs="仿宋_GB2312"/>
          <w:b/>
          <w:bCs w:val="0"/>
          <w:color w:val="000000"/>
          <w:sz w:val="32"/>
          <w:szCs w:val="32"/>
          <w:highlight w:val="none"/>
        </w:rPr>
        <w:t>社会保障和就业（类）行政</w:t>
      </w:r>
      <w:r>
        <w:rPr>
          <w:rStyle w:val="18"/>
          <w:rFonts w:hint="eastAsia" w:ascii="仿宋_GB2312" w:hAnsi="仿宋_GB2312" w:eastAsia="仿宋_GB2312" w:cs="仿宋_GB2312"/>
          <w:b/>
          <w:bCs w:val="0"/>
          <w:color w:val="000000"/>
          <w:sz w:val="32"/>
          <w:szCs w:val="32"/>
          <w:highlight w:val="none"/>
          <w:lang w:eastAsia="zh-CN"/>
        </w:rPr>
        <w:t>单位养老支出</w:t>
      </w:r>
      <w:r>
        <w:rPr>
          <w:rStyle w:val="18"/>
          <w:rFonts w:hint="eastAsia" w:ascii="仿宋_GB2312" w:hAnsi="仿宋_GB2312" w:eastAsia="仿宋_GB2312" w:cs="仿宋_GB2312"/>
          <w:b/>
          <w:bCs w:val="0"/>
          <w:color w:val="000000"/>
          <w:sz w:val="32"/>
          <w:szCs w:val="32"/>
          <w:highlight w:val="none"/>
        </w:rPr>
        <w:t>（款）机关事业单位职业年金缴费支出（项）：</w:t>
      </w:r>
      <w:r>
        <w:rPr>
          <w:rStyle w:val="18"/>
          <w:rFonts w:hint="eastAsia" w:ascii="仿宋_GB2312" w:hAnsi="仿宋_GB2312" w:eastAsia="仿宋_GB2312" w:cs="仿宋_GB2312"/>
          <w:b w:val="0"/>
          <w:bCs/>
          <w:color w:val="000000"/>
          <w:sz w:val="32"/>
          <w:szCs w:val="32"/>
          <w:highlight w:val="none"/>
        </w:rPr>
        <w:t>支出决算为</w:t>
      </w:r>
      <w:r>
        <w:rPr>
          <w:rStyle w:val="18"/>
          <w:rFonts w:hint="eastAsia" w:ascii="仿宋_GB2312" w:hAnsi="仿宋_GB2312" w:eastAsia="仿宋_GB2312" w:cs="仿宋_GB2312"/>
          <w:b w:val="0"/>
          <w:bCs/>
          <w:color w:val="000000"/>
          <w:sz w:val="32"/>
          <w:szCs w:val="32"/>
          <w:highlight w:val="none"/>
          <w:lang w:val="en-US" w:eastAsia="zh-CN"/>
        </w:rPr>
        <w:t>29.26</w:t>
      </w:r>
      <w:r>
        <w:rPr>
          <w:rStyle w:val="18"/>
          <w:rFonts w:hint="eastAsia" w:ascii="仿宋_GB2312" w:hAnsi="仿宋_GB2312" w:eastAsia="仿宋_GB2312" w:cs="仿宋_GB2312"/>
          <w:b w:val="0"/>
          <w:bCs/>
          <w:color w:val="000000"/>
          <w:sz w:val="32"/>
          <w:szCs w:val="32"/>
          <w:highlight w:val="none"/>
        </w:rPr>
        <w:t>万元，完成预算100%，决算数等于预算数。</w:t>
      </w:r>
    </w:p>
    <w:p>
      <w:pPr>
        <w:keepNext w:val="0"/>
        <w:keepLines w:val="0"/>
        <w:pageBreakBefore w:val="0"/>
        <w:kinsoku/>
        <w:wordWrap/>
        <w:overflowPunct/>
        <w:topLinePunct w:val="0"/>
        <w:bidi w:val="0"/>
        <w:spacing w:line="560" w:lineRule="exact"/>
        <w:ind w:firstLine="643" w:firstLineChars="200"/>
        <w:textAlignment w:val="auto"/>
        <w:rPr>
          <w:rStyle w:val="18"/>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bCs w:val="0"/>
          <w:color w:val="000000"/>
          <w:sz w:val="32"/>
          <w:szCs w:val="32"/>
          <w:highlight w:val="none"/>
          <w:lang w:val="en-US" w:eastAsia="zh-CN"/>
        </w:rPr>
        <w:t>7</w:t>
      </w:r>
      <w:r>
        <w:rPr>
          <w:rStyle w:val="18"/>
          <w:rFonts w:hint="eastAsia" w:ascii="仿宋_GB2312" w:hAnsi="仿宋_GB2312" w:eastAsia="仿宋_GB2312" w:cs="仿宋_GB2312"/>
          <w:b/>
          <w:bCs w:val="0"/>
          <w:color w:val="000000"/>
          <w:sz w:val="32"/>
          <w:szCs w:val="32"/>
          <w:highlight w:val="none"/>
        </w:rPr>
        <w:t>.社会保障和就业（类）抚恤（款）</w:t>
      </w:r>
      <w:r>
        <w:rPr>
          <w:rStyle w:val="18"/>
          <w:rFonts w:hint="eastAsia" w:ascii="仿宋_GB2312" w:hAnsi="仿宋_GB2312" w:eastAsia="仿宋_GB2312" w:cs="仿宋_GB2312"/>
          <w:b/>
          <w:bCs w:val="0"/>
          <w:color w:val="000000"/>
          <w:sz w:val="32"/>
          <w:szCs w:val="32"/>
          <w:highlight w:val="none"/>
          <w:lang w:val="en-US" w:eastAsia="zh-CN"/>
        </w:rPr>
        <w:t>死亡抚恤</w:t>
      </w:r>
      <w:r>
        <w:rPr>
          <w:rStyle w:val="18"/>
          <w:rFonts w:hint="eastAsia" w:ascii="仿宋_GB2312" w:hAnsi="仿宋_GB2312" w:eastAsia="仿宋_GB2312" w:cs="仿宋_GB2312"/>
          <w:b/>
          <w:bCs w:val="0"/>
          <w:color w:val="000000"/>
          <w:sz w:val="32"/>
          <w:szCs w:val="32"/>
          <w:highlight w:val="none"/>
        </w:rPr>
        <w:t>（项）：</w:t>
      </w:r>
      <w:r>
        <w:rPr>
          <w:rStyle w:val="18"/>
          <w:rFonts w:hint="eastAsia" w:ascii="仿宋_GB2312" w:hAnsi="仿宋_GB2312" w:eastAsia="仿宋_GB2312" w:cs="仿宋_GB2312"/>
          <w:b w:val="0"/>
          <w:bCs/>
          <w:color w:val="000000"/>
          <w:sz w:val="32"/>
          <w:szCs w:val="32"/>
          <w:highlight w:val="none"/>
        </w:rPr>
        <w:t>支出决算为</w:t>
      </w:r>
      <w:r>
        <w:rPr>
          <w:rStyle w:val="18"/>
          <w:rFonts w:hint="eastAsia" w:ascii="仿宋_GB2312" w:hAnsi="仿宋_GB2312" w:eastAsia="仿宋_GB2312" w:cs="仿宋_GB2312"/>
          <w:b w:val="0"/>
          <w:bCs/>
          <w:color w:val="000000"/>
          <w:sz w:val="32"/>
          <w:szCs w:val="32"/>
          <w:highlight w:val="none"/>
          <w:lang w:val="en-US" w:eastAsia="zh-CN"/>
        </w:rPr>
        <w:t>37.47</w:t>
      </w:r>
      <w:r>
        <w:rPr>
          <w:rStyle w:val="18"/>
          <w:rFonts w:hint="eastAsia" w:ascii="仿宋_GB2312" w:hAnsi="仿宋_GB2312" w:eastAsia="仿宋_GB2312" w:cs="仿宋_GB2312"/>
          <w:b w:val="0"/>
          <w:bCs/>
          <w:color w:val="000000"/>
          <w:sz w:val="32"/>
          <w:szCs w:val="32"/>
          <w:highlight w:val="none"/>
        </w:rPr>
        <w:t>万元，完成预算100%，决算数等于预算数。</w:t>
      </w:r>
    </w:p>
    <w:p>
      <w:pPr>
        <w:keepNext w:val="0"/>
        <w:keepLines w:val="0"/>
        <w:pageBreakBefore w:val="0"/>
        <w:kinsoku/>
        <w:wordWrap/>
        <w:overflowPunct/>
        <w:topLinePunct w:val="0"/>
        <w:bidi w:val="0"/>
        <w:spacing w:line="560" w:lineRule="exact"/>
        <w:ind w:firstLine="643" w:firstLineChars="200"/>
        <w:textAlignment w:val="auto"/>
        <w:rPr>
          <w:rStyle w:val="18"/>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bCs w:val="0"/>
          <w:color w:val="000000"/>
          <w:sz w:val="32"/>
          <w:szCs w:val="32"/>
          <w:highlight w:val="none"/>
          <w:lang w:val="en-US" w:eastAsia="zh-CN"/>
        </w:rPr>
        <w:t>8</w:t>
      </w:r>
      <w:r>
        <w:rPr>
          <w:rStyle w:val="18"/>
          <w:rFonts w:hint="eastAsia" w:ascii="仿宋_GB2312" w:hAnsi="仿宋_GB2312" w:eastAsia="仿宋_GB2312" w:cs="仿宋_GB2312"/>
          <w:b/>
          <w:bCs w:val="0"/>
          <w:color w:val="000000"/>
          <w:sz w:val="32"/>
          <w:szCs w:val="32"/>
          <w:highlight w:val="none"/>
        </w:rPr>
        <w:t>.社会保障和就业（类）抚恤（款）</w:t>
      </w:r>
      <w:r>
        <w:rPr>
          <w:rStyle w:val="18"/>
          <w:rFonts w:hint="eastAsia" w:ascii="仿宋_GB2312" w:hAnsi="仿宋_GB2312" w:eastAsia="仿宋_GB2312" w:cs="仿宋_GB2312"/>
          <w:b/>
          <w:bCs w:val="0"/>
          <w:color w:val="000000"/>
          <w:sz w:val="32"/>
          <w:szCs w:val="32"/>
          <w:highlight w:val="none"/>
          <w:lang w:eastAsia="zh-CN"/>
        </w:rPr>
        <w:t>其他优抚支出</w:t>
      </w:r>
      <w:r>
        <w:rPr>
          <w:rStyle w:val="18"/>
          <w:rFonts w:hint="eastAsia" w:ascii="仿宋_GB2312" w:hAnsi="仿宋_GB2312" w:eastAsia="仿宋_GB2312" w:cs="仿宋_GB2312"/>
          <w:b/>
          <w:bCs w:val="0"/>
          <w:color w:val="000000"/>
          <w:sz w:val="32"/>
          <w:szCs w:val="32"/>
          <w:highlight w:val="none"/>
        </w:rPr>
        <w:t>（项）：</w:t>
      </w:r>
      <w:r>
        <w:rPr>
          <w:rStyle w:val="18"/>
          <w:rFonts w:hint="eastAsia" w:ascii="仿宋_GB2312" w:hAnsi="仿宋_GB2312" w:eastAsia="仿宋_GB2312" w:cs="仿宋_GB2312"/>
          <w:b w:val="0"/>
          <w:bCs/>
          <w:color w:val="000000"/>
          <w:sz w:val="32"/>
          <w:szCs w:val="32"/>
          <w:highlight w:val="none"/>
        </w:rPr>
        <w:t>支出决算为</w:t>
      </w:r>
      <w:r>
        <w:rPr>
          <w:rStyle w:val="18"/>
          <w:rFonts w:hint="eastAsia" w:ascii="仿宋_GB2312" w:hAnsi="仿宋_GB2312" w:eastAsia="仿宋_GB2312" w:cs="仿宋_GB2312"/>
          <w:b w:val="0"/>
          <w:bCs/>
          <w:color w:val="000000"/>
          <w:sz w:val="32"/>
          <w:szCs w:val="32"/>
          <w:highlight w:val="none"/>
          <w:lang w:val="en-US" w:eastAsia="zh-CN"/>
        </w:rPr>
        <w:t>7.93</w:t>
      </w:r>
      <w:r>
        <w:rPr>
          <w:rStyle w:val="18"/>
          <w:rFonts w:hint="eastAsia" w:ascii="仿宋_GB2312" w:hAnsi="仿宋_GB2312" w:eastAsia="仿宋_GB2312" w:cs="仿宋_GB2312"/>
          <w:b w:val="0"/>
          <w:bCs/>
          <w:color w:val="000000"/>
          <w:sz w:val="32"/>
          <w:szCs w:val="32"/>
          <w:highlight w:val="none"/>
        </w:rPr>
        <w:t>万元，完成预算100%，决算数等于预算数。</w:t>
      </w:r>
    </w:p>
    <w:p>
      <w:pPr>
        <w:keepNext w:val="0"/>
        <w:keepLines w:val="0"/>
        <w:pageBreakBefore w:val="0"/>
        <w:kinsoku/>
        <w:wordWrap/>
        <w:overflowPunct/>
        <w:topLinePunct w:val="0"/>
        <w:bidi w:val="0"/>
        <w:spacing w:line="560" w:lineRule="exact"/>
        <w:ind w:firstLine="643" w:firstLineChars="200"/>
        <w:textAlignment w:val="auto"/>
        <w:rPr>
          <w:rStyle w:val="18"/>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bCs w:val="0"/>
          <w:color w:val="000000"/>
          <w:sz w:val="32"/>
          <w:szCs w:val="32"/>
          <w:highlight w:val="none"/>
          <w:lang w:val="en-US" w:eastAsia="zh-CN"/>
        </w:rPr>
        <w:t>9</w:t>
      </w:r>
      <w:r>
        <w:rPr>
          <w:rStyle w:val="18"/>
          <w:rFonts w:hint="eastAsia" w:ascii="仿宋_GB2312" w:hAnsi="仿宋_GB2312" w:eastAsia="仿宋_GB2312" w:cs="仿宋_GB2312"/>
          <w:b/>
          <w:bCs w:val="0"/>
          <w:color w:val="000000"/>
          <w:sz w:val="32"/>
          <w:szCs w:val="32"/>
          <w:highlight w:val="none"/>
        </w:rPr>
        <w:t>.社会保障和就业（类）</w:t>
      </w:r>
      <w:r>
        <w:rPr>
          <w:rStyle w:val="18"/>
          <w:rFonts w:hint="eastAsia" w:ascii="仿宋_GB2312" w:hAnsi="仿宋_GB2312" w:eastAsia="仿宋_GB2312" w:cs="仿宋_GB2312"/>
          <w:b/>
          <w:bCs w:val="0"/>
          <w:color w:val="000000"/>
          <w:sz w:val="32"/>
          <w:szCs w:val="32"/>
          <w:highlight w:val="none"/>
          <w:lang w:eastAsia="zh-CN"/>
        </w:rPr>
        <w:t>其他社会保障和就业支出</w:t>
      </w:r>
      <w:r>
        <w:rPr>
          <w:rStyle w:val="18"/>
          <w:rFonts w:hint="eastAsia" w:ascii="仿宋_GB2312" w:hAnsi="仿宋_GB2312" w:eastAsia="仿宋_GB2312" w:cs="仿宋_GB2312"/>
          <w:b/>
          <w:bCs w:val="0"/>
          <w:color w:val="000000"/>
          <w:sz w:val="32"/>
          <w:szCs w:val="32"/>
          <w:highlight w:val="none"/>
        </w:rPr>
        <w:t>（款）</w:t>
      </w:r>
      <w:r>
        <w:rPr>
          <w:rStyle w:val="18"/>
          <w:rFonts w:hint="eastAsia" w:ascii="仿宋_GB2312" w:hAnsi="仿宋_GB2312" w:eastAsia="仿宋_GB2312" w:cs="仿宋_GB2312"/>
          <w:b/>
          <w:bCs w:val="0"/>
          <w:color w:val="000000"/>
          <w:sz w:val="32"/>
          <w:szCs w:val="32"/>
          <w:highlight w:val="none"/>
          <w:lang w:eastAsia="zh-CN"/>
        </w:rPr>
        <w:t>其他社会保障和就业支出</w:t>
      </w:r>
      <w:r>
        <w:rPr>
          <w:rStyle w:val="18"/>
          <w:rFonts w:hint="eastAsia" w:ascii="仿宋_GB2312" w:hAnsi="仿宋_GB2312" w:eastAsia="仿宋_GB2312" w:cs="仿宋_GB2312"/>
          <w:b/>
          <w:bCs w:val="0"/>
          <w:color w:val="000000"/>
          <w:sz w:val="32"/>
          <w:szCs w:val="32"/>
          <w:highlight w:val="none"/>
        </w:rPr>
        <w:t>（项）：</w:t>
      </w:r>
      <w:r>
        <w:rPr>
          <w:rStyle w:val="18"/>
          <w:rFonts w:hint="eastAsia" w:ascii="仿宋_GB2312" w:hAnsi="仿宋_GB2312" w:eastAsia="仿宋_GB2312" w:cs="仿宋_GB2312"/>
          <w:b w:val="0"/>
          <w:bCs/>
          <w:color w:val="000000"/>
          <w:sz w:val="32"/>
          <w:szCs w:val="32"/>
          <w:highlight w:val="none"/>
        </w:rPr>
        <w:t>支出决算为</w:t>
      </w:r>
      <w:r>
        <w:rPr>
          <w:rStyle w:val="18"/>
          <w:rFonts w:hint="eastAsia" w:ascii="仿宋_GB2312" w:hAnsi="仿宋_GB2312" w:eastAsia="仿宋_GB2312" w:cs="仿宋_GB2312"/>
          <w:b w:val="0"/>
          <w:bCs/>
          <w:color w:val="000000"/>
          <w:sz w:val="32"/>
          <w:szCs w:val="32"/>
          <w:highlight w:val="none"/>
          <w:lang w:val="en-US" w:eastAsia="zh-CN"/>
        </w:rPr>
        <w:t>11.4</w:t>
      </w:r>
      <w:r>
        <w:rPr>
          <w:rStyle w:val="18"/>
          <w:rFonts w:hint="eastAsia" w:ascii="仿宋_GB2312" w:hAnsi="仿宋_GB2312" w:eastAsia="仿宋_GB2312" w:cs="仿宋_GB2312"/>
          <w:b w:val="0"/>
          <w:bCs/>
          <w:color w:val="000000"/>
          <w:sz w:val="32"/>
          <w:szCs w:val="32"/>
          <w:highlight w:val="none"/>
        </w:rPr>
        <w:t>万元，完成预算100%，决算数等于预算数。</w:t>
      </w:r>
    </w:p>
    <w:p>
      <w:pPr>
        <w:keepNext w:val="0"/>
        <w:keepLines w:val="0"/>
        <w:pageBreakBefore w:val="0"/>
        <w:kinsoku/>
        <w:wordWrap/>
        <w:overflowPunct/>
        <w:topLinePunct w:val="0"/>
        <w:bidi w:val="0"/>
        <w:spacing w:line="560" w:lineRule="exact"/>
        <w:ind w:firstLine="643" w:firstLineChars="200"/>
        <w:textAlignment w:val="auto"/>
        <w:rPr>
          <w:rStyle w:val="18"/>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bCs w:val="0"/>
          <w:color w:val="000000"/>
          <w:sz w:val="32"/>
          <w:szCs w:val="32"/>
          <w:highlight w:val="none"/>
          <w:lang w:val="en-US" w:eastAsia="zh-CN"/>
        </w:rPr>
        <w:t>10</w:t>
      </w:r>
      <w:r>
        <w:rPr>
          <w:rStyle w:val="18"/>
          <w:rFonts w:hint="eastAsia" w:ascii="仿宋_GB2312" w:hAnsi="仿宋_GB2312" w:eastAsia="仿宋_GB2312" w:cs="仿宋_GB2312"/>
          <w:b/>
          <w:bCs w:val="0"/>
          <w:color w:val="000000"/>
          <w:sz w:val="32"/>
          <w:szCs w:val="32"/>
          <w:highlight w:val="none"/>
        </w:rPr>
        <w:t>.卫生健康（类）行政事业单位医疗（款）行政单位医疗（项）：</w:t>
      </w:r>
      <w:r>
        <w:rPr>
          <w:rStyle w:val="18"/>
          <w:rFonts w:hint="eastAsia" w:ascii="仿宋_GB2312" w:hAnsi="仿宋_GB2312" w:eastAsia="仿宋_GB2312" w:cs="仿宋_GB2312"/>
          <w:b w:val="0"/>
          <w:bCs/>
          <w:color w:val="000000"/>
          <w:sz w:val="32"/>
          <w:szCs w:val="32"/>
          <w:highlight w:val="none"/>
        </w:rPr>
        <w:t>支出决算为</w:t>
      </w:r>
      <w:r>
        <w:rPr>
          <w:rStyle w:val="18"/>
          <w:rFonts w:hint="eastAsia" w:ascii="仿宋_GB2312" w:hAnsi="仿宋_GB2312" w:eastAsia="仿宋_GB2312" w:cs="仿宋_GB2312"/>
          <w:b w:val="0"/>
          <w:bCs/>
          <w:color w:val="000000"/>
          <w:sz w:val="32"/>
          <w:szCs w:val="32"/>
          <w:highlight w:val="none"/>
          <w:lang w:val="en-US" w:eastAsia="zh-CN"/>
        </w:rPr>
        <w:t>23.27</w:t>
      </w:r>
      <w:r>
        <w:rPr>
          <w:rStyle w:val="18"/>
          <w:rFonts w:hint="eastAsia" w:ascii="仿宋_GB2312" w:hAnsi="仿宋_GB2312" w:eastAsia="仿宋_GB2312" w:cs="仿宋_GB2312"/>
          <w:b w:val="0"/>
          <w:bCs/>
          <w:color w:val="000000"/>
          <w:sz w:val="32"/>
          <w:szCs w:val="32"/>
          <w:highlight w:val="none"/>
        </w:rPr>
        <w:t>万元，完成预算100%，决算数等于预算数。</w:t>
      </w:r>
    </w:p>
    <w:p>
      <w:pPr>
        <w:keepNext w:val="0"/>
        <w:keepLines w:val="0"/>
        <w:pageBreakBefore w:val="0"/>
        <w:kinsoku/>
        <w:wordWrap/>
        <w:overflowPunct/>
        <w:topLinePunct w:val="0"/>
        <w:bidi w:val="0"/>
        <w:spacing w:line="560" w:lineRule="exact"/>
        <w:ind w:firstLine="643" w:firstLineChars="200"/>
        <w:textAlignment w:val="auto"/>
        <w:rPr>
          <w:rStyle w:val="18"/>
          <w:rFonts w:hint="eastAsia" w:ascii="仿宋_GB2312" w:hAnsi="仿宋_GB2312" w:eastAsia="仿宋_GB2312" w:cs="仿宋_GB2312"/>
          <w:b/>
          <w:bCs w:val="0"/>
          <w:color w:val="000000"/>
          <w:sz w:val="32"/>
          <w:szCs w:val="32"/>
          <w:highlight w:val="none"/>
        </w:rPr>
      </w:pPr>
      <w:r>
        <w:rPr>
          <w:rStyle w:val="18"/>
          <w:rFonts w:hint="eastAsia" w:ascii="仿宋_GB2312" w:hAnsi="仿宋_GB2312" w:eastAsia="仿宋_GB2312" w:cs="仿宋_GB2312"/>
          <w:b/>
          <w:bCs w:val="0"/>
          <w:color w:val="000000"/>
          <w:sz w:val="32"/>
          <w:szCs w:val="32"/>
          <w:highlight w:val="none"/>
        </w:rPr>
        <w:t>1</w:t>
      </w:r>
      <w:r>
        <w:rPr>
          <w:rStyle w:val="18"/>
          <w:rFonts w:hint="eastAsia" w:ascii="仿宋_GB2312" w:hAnsi="仿宋_GB2312" w:eastAsia="仿宋_GB2312" w:cs="仿宋_GB2312"/>
          <w:b/>
          <w:bCs w:val="0"/>
          <w:color w:val="000000"/>
          <w:sz w:val="32"/>
          <w:szCs w:val="32"/>
          <w:highlight w:val="none"/>
          <w:lang w:val="en-US" w:eastAsia="zh-CN"/>
        </w:rPr>
        <w:t>1</w:t>
      </w:r>
      <w:r>
        <w:rPr>
          <w:rStyle w:val="18"/>
          <w:rFonts w:hint="eastAsia" w:ascii="仿宋_GB2312" w:hAnsi="仿宋_GB2312" w:eastAsia="仿宋_GB2312" w:cs="仿宋_GB2312"/>
          <w:b/>
          <w:bCs w:val="0"/>
          <w:color w:val="000000"/>
          <w:sz w:val="32"/>
          <w:szCs w:val="32"/>
          <w:highlight w:val="none"/>
        </w:rPr>
        <w:t>.卫生健康（类）行政事业单位医疗（款）</w:t>
      </w:r>
      <w:r>
        <w:rPr>
          <w:rStyle w:val="18"/>
          <w:rFonts w:hint="eastAsia" w:ascii="仿宋_GB2312" w:hAnsi="仿宋_GB2312" w:eastAsia="仿宋_GB2312" w:cs="仿宋_GB2312"/>
          <w:b/>
          <w:bCs w:val="0"/>
          <w:color w:val="000000"/>
          <w:sz w:val="32"/>
          <w:szCs w:val="32"/>
          <w:highlight w:val="none"/>
          <w:lang w:eastAsia="zh-CN"/>
        </w:rPr>
        <w:t>公务员医疗补助</w:t>
      </w:r>
      <w:r>
        <w:rPr>
          <w:rStyle w:val="18"/>
          <w:rFonts w:hint="eastAsia" w:ascii="仿宋_GB2312" w:hAnsi="仿宋_GB2312" w:eastAsia="仿宋_GB2312" w:cs="仿宋_GB2312"/>
          <w:b/>
          <w:bCs w:val="0"/>
          <w:color w:val="000000"/>
          <w:sz w:val="32"/>
          <w:szCs w:val="32"/>
          <w:highlight w:val="none"/>
        </w:rPr>
        <w:t>（项）：</w:t>
      </w:r>
      <w:r>
        <w:rPr>
          <w:rStyle w:val="18"/>
          <w:rFonts w:hint="eastAsia" w:ascii="仿宋_GB2312" w:hAnsi="仿宋_GB2312" w:eastAsia="仿宋_GB2312" w:cs="仿宋_GB2312"/>
          <w:b w:val="0"/>
          <w:bCs/>
          <w:color w:val="000000"/>
          <w:sz w:val="32"/>
          <w:szCs w:val="32"/>
          <w:highlight w:val="none"/>
        </w:rPr>
        <w:t>支出决算为</w:t>
      </w:r>
      <w:r>
        <w:rPr>
          <w:rStyle w:val="18"/>
          <w:rFonts w:hint="eastAsia" w:ascii="仿宋_GB2312" w:hAnsi="仿宋_GB2312" w:eastAsia="仿宋_GB2312" w:cs="仿宋_GB2312"/>
          <w:b w:val="0"/>
          <w:bCs/>
          <w:color w:val="000000"/>
          <w:sz w:val="32"/>
          <w:szCs w:val="32"/>
          <w:highlight w:val="none"/>
          <w:lang w:val="en-US" w:eastAsia="zh-CN"/>
        </w:rPr>
        <w:t>6.9</w:t>
      </w:r>
      <w:r>
        <w:rPr>
          <w:rStyle w:val="18"/>
          <w:rFonts w:hint="eastAsia" w:ascii="仿宋_GB2312" w:hAnsi="仿宋_GB2312" w:eastAsia="仿宋_GB2312" w:cs="仿宋_GB2312"/>
          <w:b w:val="0"/>
          <w:bCs/>
          <w:color w:val="000000"/>
          <w:sz w:val="32"/>
          <w:szCs w:val="32"/>
          <w:highlight w:val="none"/>
        </w:rPr>
        <w:t>万元，完成预算100%，决算数等于预算数。</w:t>
      </w:r>
    </w:p>
    <w:p>
      <w:pPr>
        <w:keepNext w:val="0"/>
        <w:keepLines w:val="0"/>
        <w:pageBreakBefore w:val="0"/>
        <w:kinsoku/>
        <w:wordWrap/>
        <w:overflowPunct/>
        <w:topLinePunct w:val="0"/>
        <w:bidi w:val="0"/>
        <w:spacing w:line="560" w:lineRule="exact"/>
        <w:ind w:firstLine="643" w:firstLineChars="200"/>
        <w:textAlignment w:val="auto"/>
        <w:rPr>
          <w:rStyle w:val="18"/>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bCs w:val="0"/>
          <w:color w:val="000000"/>
          <w:sz w:val="32"/>
          <w:szCs w:val="32"/>
          <w:highlight w:val="none"/>
          <w:lang w:val="en-US" w:eastAsia="zh-CN"/>
        </w:rPr>
        <w:t>12.</w:t>
      </w:r>
      <w:r>
        <w:rPr>
          <w:rStyle w:val="18"/>
          <w:rFonts w:hint="eastAsia" w:ascii="仿宋_GB2312" w:hAnsi="仿宋_GB2312" w:eastAsia="仿宋_GB2312" w:cs="仿宋_GB2312"/>
          <w:b/>
          <w:bCs w:val="0"/>
          <w:color w:val="000000"/>
          <w:sz w:val="32"/>
          <w:szCs w:val="32"/>
          <w:highlight w:val="none"/>
        </w:rPr>
        <w:t>城乡社区支出（类）城乡社区环境卫生（款）城乡社区环境卫生（项）：</w:t>
      </w:r>
      <w:r>
        <w:rPr>
          <w:rStyle w:val="18"/>
          <w:rFonts w:hint="eastAsia" w:ascii="仿宋_GB2312" w:hAnsi="仿宋_GB2312" w:eastAsia="仿宋_GB2312" w:cs="仿宋_GB2312"/>
          <w:b w:val="0"/>
          <w:bCs/>
          <w:color w:val="000000"/>
          <w:sz w:val="32"/>
          <w:szCs w:val="32"/>
          <w:highlight w:val="none"/>
        </w:rPr>
        <w:t>支出决算</w:t>
      </w:r>
      <w:r>
        <w:rPr>
          <w:rStyle w:val="18"/>
          <w:rFonts w:hint="eastAsia" w:ascii="仿宋_GB2312" w:hAnsi="仿宋_GB2312" w:eastAsia="仿宋_GB2312" w:cs="仿宋_GB2312"/>
          <w:b w:val="0"/>
          <w:bCs/>
          <w:color w:val="000000"/>
          <w:sz w:val="32"/>
          <w:szCs w:val="32"/>
          <w:highlight w:val="none"/>
          <w:lang w:val="en-US" w:eastAsia="zh-CN"/>
        </w:rPr>
        <w:t>34.53</w:t>
      </w:r>
      <w:r>
        <w:rPr>
          <w:rStyle w:val="18"/>
          <w:rFonts w:hint="eastAsia" w:ascii="仿宋_GB2312" w:hAnsi="仿宋_GB2312" w:eastAsia="仿宋_GB2312" w:cs="仿宋_GB2312"/>
          <w:b w:val="0"/>
          <w:bCs/>
          <w:color w:val="000000"/>
          <w:sz w:val="32"/>
          <w:szCs w:val="32"/>
          <w:highlight w:val="none"/>
        </w:rPr>
        <w:t>万元，完成预算100%，决算数等于预算数。</w:t>
      </w:r>
    </w:p>
    <w:p>
      <w:pPr>
        <w:keepNext w:val="0"/>
        <w:keepLines w:val="0"/>
        <w:pageBreakBefore w:val="0"/>
        <w:kinsoku/>
        <w:wordWrap/>
        <w:overflowPunct/>
        <w:topLinePunct w:val="0"/>
        <w:bidi w:val="0"/>
        <w:spacing w:line="560" w:lineRule="exact"/>
        <w:ind w:firstLine="643" w:firstLineChars="200"/>
        <w:textAlignment w:val="auto"/>
        <w:rPr>
          <w:rStyle w:val="18"/>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bCs w:val="0"/>
          <w:color w:val="000000"/>
          <w:sz w:val="32"/>
          <w:szCs w:val="32"/>
          <w:highlight w:val="none"/>
          <w:lang w:val="en-US" w:eastAsia="zh-CN"/>
        </w:rPr>
        <w:t>13</w:t>
      </w:r>
      <w:r>
        <w:rPr>
          <w:rStyle w:val="18"/>
          <w:rFonts w:hint="eastAsia" w:ascii="仿宋_GB2312" w:hAnsi="仿宋_GB2312" w:eastAsia="仿宋_GB2312" w:cs="仿宋_GB2312"/>
          <w:b/>
          <w:bCs w:val="0"/>
          <w:color w:val="000000"/>
          <w:sz w:val="32"/>
          <w:szCs w:val="32"/>
          <w:highlight w:val="none"/>
        </w:rPr>
        <w:t>.农林水</w:t>
      </w:r>
      <w:r>
        <w:rPr>
          <w:rStyle w:val="18"/>
          <w:rFonts w:hint="eastAsia" w:ascii="仿宋_GB2312" w:hAnsi="仿宋_GB2312" w:eastAsia="仿宋_GB2312" w:cs="仿宋_GB2312"/>
          <w:b/>
          <w:bCs w:val="0"/>
          <w:color w:val="000000"/>
          <w:sz w:val="32"/>
          <w:szCs w:val="32"/>
          <w:highlight w:val="none"/>
          <w:lang w:eastAsia="zh-CN"/>
        </w:rPr>
        <w:t>支出</w:t>
      </w:r>
      <w:r>
        <w:rPr>
          <w:rStyle w:val="18"/>
          <w:rFonts w:hint="eastAsia" w:ascii="仿宋_GB2312" w:hAnsi="仿宋_GB2312" w:eastAsia="仿宋_GB2312" w:cs="仿宋_GB2312"/>
          <w:b/>
          <w:bCs w:val="0"/>
          <w:color w:val="000000"/>
          <w:sz w:val="32"/>
          <w:szCs w:val="32"/>
          <w:highlight w:val="none"/>
        </w:rPr>
        <w:t>（类）农业</w:t>
      </w:r>
      <w:r>
        <w:rPr>
          <w:rStyle w:val="18"/>
          <w:rFonts w:hint="eastAsia" w:ascii="仿宋_GB2312" w:hAnsi="仿宋_GB2312" w:eastAsia="仿宋_GB2312" w:cs="仿宋_GB2312"/>
          <w:b/>
          <w:bCs w:val="0"/>
          <w:color w:val="000000"/>
          <w:sz w:val="32"/>
          <w:szCs w:val="32"/>
          <w:highlight w:val="none"/>
          <w:lang w:eastAsia="zh-CN"/>
        </w:rPr>
        <w:t>农村</w:t>
      </w:r>
      <w:r>
        <w:rPr>
          <w:rStyle w:val="18"/>
          <w:rFonts w:hint="eastAsia" w:ascii="仿宋_GB2312" w:hAnsi="仿宋_GB2312" w:eastAsia="仿宋_GB2312" w:cs="仿宋_GB2312"/>
          <w:b/>
          <w:bCs w:val="0"/>
          <w:color w:val="000000"/>
          <w:sz w:val="32"/>
          <w:szCs w:val="32"/>
          <w:highlight w:val="none"/>
        </w:rPr>
        <w:t>（款）事业运行（项）：</w:t>
      </w:r>
      <w:r>
        <w:rPr>
          <w:rStyle w:val="18"/>
          <w:rFonts w:hint="eastAsia" w:ascii="仿宋_GB2312" w:hAnsi="仿宋_GB2312" w:eastAsia="仿宋_GB2312" w:cs="仿宋_GB2312"/>
          <w:b w:val="0"/>
          <w:bCs/>
          <w:color w:val="000000"/>
          <w:sz w:val="32"/>
          <w:szCs w:val="32"/>
          <w:highlight w:val="none"/>
        </w:rPr>
        <w:t>支出决算为</w:t>
      </w:r>
      <w:r>
        <w:rPr>
          <w:rStyle w:val="18"/>
          <w:rFonts w:hint="eastAsia" w:ascii="仿宋_GB2312" w:hAnsi="仿宋_GB2312" w:eastAsia="仿宋_GB2312" w:cs="仿宋_GB2312"/>
          <w:b w:val="0"/>
          <w:bCs/>
          <w:color w:val="000000"/>
          <w:sz w:val="32"/>
          <w:szCs w:val="32"/>
          <w:highlight w:val="none"/>
          <w:lang w:val="en-US" w:eastAsia="zh-CN"/>
        </w:rPr>
        <w:t>422.5</w:t>
      </w:r>
      <w:r>
        <w:rPr>
          <w:rStyle w:val="18"/>
          <w:rFonts w:hint="eastAsia" w:ascii="仿宋_GB2312" w:hAnsi="仿宋_GB2312" w:eastAsia="仿宋_GB2312" w:cs="仿宋_GB2312"/>
          <w:b w:val="0"/>
          <w:bCs/>
          <w:color w:val="000000"/>
          <w:sz w:val="32"/>
          <w:szCs w:val="32"/>
          <w:highlight w:val="none"/>
        </w:rPr>
        <w:t>万元，完成预算100%，决算数等于预算数。</w:t>
      </w:r>
    </w:p>
    <w:p>
      <w:pPr>
        <w:keepNext w:val="0"/>
        <w:keepLines w:val="0"/>
        <w:pageBreakBefore w:val="0"/>
        <w:kinsoku/>
        <w:wordWrap/>
        <w:overflowPunct/>
        <w:topLinePunct w:val="0"/>
        <w:bidi w:val="0"/>
        <w:spacing w:line="560" w:lineRule="exact"/>
        <w:ind w:firstLine="640" w:firstLineChars="200"/>
        <w:textAlignment w:val="auto"/>
        <w:rPr>
          <w:rStyle w:val="18"/>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val="0"/>
          <w:bCs/>
          <w:color w:val="000000"/>
          <w:sz w:val="32"/>
          <w:szCs w:val="32"/>
          <w:highlight w:val="none"/>
        </w:rPr>
        <w:t>1</w:t>
      </w:r>
      <w:r>
        <w:rPr>
          <w:rStyle w:val="18"/>
          <w:rFonts w:hint="eastAsia" w:ascii="仿宋_GB2312" w:hAnsi="仿宋_GB2312" w:eastAsia="仿宋_GB2312" w:cs="仿宋_GB2312"/>
          <w:b w:val="0"/>
          <w:bCs/>
          <w:color w:val="000000"/>
          <w:sz w:val="32"/>
          <w:szCs w:val="32"/>
          <w:highlight w:val="none"/>
          <w:lang w:val="en-US" w:eastAsia="zh-CN"/>
        </w:rPr>
        <w:t>4</w:t>
      </w:r>
      <w:r>
        <w:rPr>
          <w:rStyle w:val="18"/>
          <w:rFonts w:hint="eastAsia" w:ascii="仿宋_GB2312" w:hAnsi="仿宋_GB2312" w:eastAsia="仿宋_GB2312" w:cs="仿宋_GB2312"/>
          <w:b w:val="0"/>
          <w:bCs/>
          <w:color w:val="000000"/>
          <w:sz w:val="32"/>
          <w:szCs w:val="32"/>
          <w:highlight w:val="none"/>
        </w:rPr>
        <w:t>.</w:t>
      </w:r>
      <w:r>
        <w:rPr>
          <w:rStyle w:val="18"/>
          <w:rFonts w:hint="eastAsia" w:ascii="仿宋_GB2312" w:hAnsi="仿宋_GB2312" w:eastAsia="仿宋_GB2312" w:cs="仿宋_GB2312"/>
          <w:b/>
          <w:bCs w:val="0"/>
          <w:color w:val="000000"/>
          <w:sz w:val="32"/>
          <w:szCs w:val="32"/>
          <w:highlight w:val="none"/>
        </w:rPr>
        <w:t>农林水</w:t>
      </w:r>
      <w:r>
        <w:rPr>
          <w:rStyle w:val="18"/>
          <w:rFonts w:hint="eastAsia" w:ascii="仿宋_GB2312" w:hAnsi="仿宋_GB2312" w:eastAsia="仿宋_GB2312" w:cs="仿宋_GB2312"/>
          <w:b/>
          <w:bCs w:val="0"/>
          <w:color w:val="000000"/>
          <w:sz w:val="32"/>
          <w:szCs w:val="32"/>
          <w:highlight w:val="none"/>
          <w:lang w:eastAsia="zh-CN"/>
        </w:rPr>
        <w:t>支出</w:t>
      </w:r>
      <w:r>
        <w:rPr>
          <w:rStyle w:val="18"/>
          <w:rFonts w:hint="eastAsia" w:ascii="仿宋_GB2312" w:hAnsi="仿宋_GB2312" w:eastAsia="仿宋_GB2312" w:cs="仿宋_GB2312"/>
          <w:b/>
          <w:bCs w:val="0"/>
          <w:color w:val="000000"/>
          <w:sz w:val="32"/>
          <w:szCs w:val="32"/>
          <w:highlight w:val="none"/>
        </w:rPr>
        <w:t>（类）农业</w:t>
      </w:r>
      <w:r>
        <w:rPr>
          <w:rStyle w:val="18"/>
          <w:rFonts w:hint="eastAsia" w:ascii="仿宋_GB2312" w:hAnsi="仿宋_GB2312" w:eastAsia="仿宋_GB2312" w:cs="仿宋_GB2312"/>
          <w:b/>
          <w:bCs w:val="0"/>
          <w:color w:val="000000"/>
          <w:sz w:val="32"/>
          <w:szCs w:val="32"/>
          <w:highlight w:val="none"/>
          <w:lang w:eastAsia="zh-CN"/>
        </w:rPr>
        <w:t>农村</w:t>
      </w:r>
      <w:r>
        <w:rPr>
          <w:rStyle w:val="18"/>
          <w:rFonts w:hint="eastAsia" w:ascii="仿宋_GB2312" w:hAnsi="仿宋_GB2312" w:eastAsia="仿宋_GB2312" w:cs="仿宋_GB2312"/>
          <w:b/>
          <w:bCs w:val="0"/>
          <w:color w:val="000000"/>
          <w:sz w:val="32"/>
          <w:szCs w:val="32"/>
          <w:highlight w:val="none"/>
        </w:rPr>
        <w:t>（款）</w:t>
      </w:r>
      <w:r>
        <w:rPr>
          <w:rStyle w:val="18"/>
          <w:rFonts w:hint="eastAsia" w:ascii="仿宋_GB2312" w:hAnsi="仿宋_GB2312" w:eastAsia="仿宋_GB2312" w:cs="仿宋_GB2312"/>
          <w:b/>
          <w:bCs w:val="0"/>
          <w:color w:val="000000"/>
          <w:sz w:val="32"/>
          <w:szCs w:val="32"/>
          <w:highlight w:val="none"/>
          <w:lang w:eastAsia="zh-CN"/>
        </w:rPr>
        <w:t>农业生产发展</w:t>
      </w:r>
      <w:r>
        <w:rPr>
          <w:rStyle w:val="18"/>
          <w:rFonts w:hint="eastAsia" w:ascii="仿宋_GB2312" w:hAnsi="仿宋_GB2312" w:eastAsia="仿宋_GB2312" w:cs="仿宋_GB2312"/>
          <w:b/>
          <w:bCs w:val="0"/>
          <w:color w:val="000000"/>
          <w:sz w:val="32"/>
          <w:szCs w:val="32"/>
          <w:highlight w:val="none"/>
        </w:rPr>
        <w:t>（项）</w:t>
      </w:r>
      <w:r>
        <w:rPr>
          <w:rStyle w:val="18"/>
          <w:rFonts w:hint="eastAsia" w:ascii="仿宋_GB2312" w:hAnsi="仿宋_GB2312" w:eastAsia="仿宋_GB2312" w:cs="仿宋_GB2312"/>
          <w:b w:val="0"/>
          <w:bCs/>
          <w:color w:val="000000"/>
          <w:sz w:val="32"/>
          <w:szCs w:val="32"/>
          <w:highlight w:val="none"/>
        </w:rPr>
        <w:t>：支出决算</w:t>
      </w:r>
      <w:r>
        <w:rPr>
          <w:rStyle w:val="18"/>
          <w:rFonts w:hint="eastAsia" w:ascii="仿宋_GB2312" w:hAnsi="仿宋_GB2312" w:eastAsia="仿宋_GB2312" w:cs="仿宋_GB2312"/>
          <w:b w:val="0"/>
          <w:bCs/>
          <w:color w:val="000000"/>
          <w:sz w:val="32"/>
          <w:szCs w:val="32"/>
          <w:highlight w:val="none"/>
          <w:lang w:val="en-US" w:eastAsia="zh-CN"/>
        </w:rPr>
        <w:t>2000</w:t>
      </w:r>
      <w:r>
        <w:rPr>
          <w:rStyle w:val="18"/>
          <w:rFonts w:hint="eastAsia" w:ascii="仿宋_GB2312" w:hAnsi="仿宋_GB2312" w:eastAsia="仿宋_GB2312" w:cs="仿宋_GB2312"/>
          <w:b w:val="0"/>
          <w:bCs/>
          <w:color w:val="000000"/>
          <w:sz w:val="32"/>
          <w:szCs w:val="32"/>
          <w:highlight w:val="none"/>
        </w:rPr>
        <w:t>万元，完成预算100%，决算数等于预算数。</w:t>
      </w:r>
    </w:p>
    <w:p>
      <w:pPr>
        <w:keepNext w:val="0"/>
        <w:keepLines w:val="0"/>
        <w:pageBreakBefore w:val="0"/>
        <w:kinsoku/>
        <w:wordWrap/>
        <w:overflowPunct/>
        <w:topLinePunct w:val="0"/>
        <w:bidi w:val="0"/>
        <w:spacing w:line="560" w:lineRule="exact"/>
        <w:ind w:firstLine="640" w:firstLineChars="200"/>
        <w:textAlignment w:val="auto"/>
        <w:rPr>
          <w:rStyle w:val="18"/>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val="0"/>
          <w:bCs/>
          <w:color w:val="000000"/>
          <w:sz w:val="32"/>
          <w:szCs w:val="32"/>
          <w:highlight w:val="none"/>
        </w:rPr>
        <w:t>1</w:t>
      </w:r>
      <w:r>
        <w:rPr>
          <w:rStyle w:val="18"/>
          <w:rFonts w:hint="eastAsia" w:ascii="仿宋_GB2312" w:hAnsi="仿宋_GB2312" w:eastAsia="仿宋_GB2312" w:cs="仿宋_GB2312"/>
          <w:b w:val="0"/>
          <w:bCs/>
          <w:color w:val="000000"/>
          <w:sz w:val="32"/>
          <w:szCs w:val="32"/>
          <w:highlight w:val="none"/>
          <w:lang w:val="en-US" w:eastAsia="zh-CN"/>
        </w:rPr>
        <w:t>5</w:t>
      </w:r>
      <w:r>
        <w:rPr>
          <w:rStyle w:val="18"/>
          <w:rFonts w:hint="eastAsia" w:ascii="仿宋_GB2312" w:hAnsi="仿宋_GB2312" w:eastAsia="仿宋_GB2312" w:cs="仿宋_GB2312"/>
          <w:b w:val="0"/>
          <w:bCs/>
          <w:color w:val="000000"/>
          <w:sz w:val="32"/>
          <w:szCs w:val="32"/>
          <w:highlight w:val="none"/>
        </w:rPr>
        <w:t>.</w:t>
      </w:r>
      <w:r>
        <w:rPr>
          <w:rStyle w:val="18"/>
          <w:rFonts w:hint="eastAsia" w:ascii="仿宋_GB2312" w:hAnsi="仿宋_GB2312" w:eastAsia="仿宋_GB2312" w:cs="仿宋_GB2312"/>
          <w:b/>
          <w:bCs w:val="0"/>
          <w:color w:val="000000"/>
          <w:sz w:val="32"/>
          <w:szCs w:val="32"/>
          <w:highlight w:val="none"/>
        </w:rPr>
        <w:t>农林水</w:t>
      </w:r>
      <w:r>
        <w:rPr>
          <w:rStyle w:val="18"/>
          <w:rFonts w:hint="eastAsia" w:ascii="仿宋_GB2312" w:hAnsi="仿宋_GB2312" w:eastAsia="仿宋_GB2312" w:cs="仿宋_GB2312"/>
          <w:b/>
          <w:bCs w:val="0"/>
          <w:color w:val="000000"/>
          <w:sz w:val="32"/>
          <w:szCs w:val="32"/>
          <w:highlight w:val="none"/>
          <w:lang w:eastAsia="zh-CN"/>
        </w:rPr>
        <w:t>支出</w:t>
      </w:r>
      <w:r>
        <w:rPr>
          <w:rStyle w:val="18"/>
          <w:rFonts w:hint="eastAsia" w:ascii="仿宋_GB2312" w:hAnsi="仿宋_GB2312" w:eastAsia="仿宋_GB2312" w:cs="仿宋_GB2312"/>
          <w:b/>
          <w:bCs w:val="0"/>
          <w:color w:val="000000"/>
          <w:sz w:val="32"/>
          <w:szCs w:val="32"/>
          <w:highlight w:val="none"/>
        </w:rPr>
        <w:t>（类）农业</w:t>
      </w:r>
      <w:r>
        <w:rPr>
          <w:rStyle w:val="18"/>
          <w:rFonts w:hint="eastAsia" w:ascii="仿宋_GB2312" w:hAnsi="仿宋_GB2312" w:eastAsia="仿宋_GB2312" w:cs="仿宋_GB2312"/>
          <w:b/>
          <w:bCs w:val="0"/>
          <w:color w:val="000000"/>
          <w:sz w:val="32"/>
          <w:szCs w:val="32"/>
          <w:highlight w:val="none"/>
          <w:lang w:eastAsia="zh-CN"/>
        </w:rPr>
        <w:t>农村</w:t>
      </w:r>
      <w:r>
        <w:rPr>
          <w:rStyle w:val="18"/>
          <w:rFonts w:hint="eastAsia" w:ascii="仿宋_GB2312" w:hAnsi="仿宋_GB2312" w:eastAsia="仿宋_GB2312" w:cs="仿宋_GB2312"/>
          <w:b/>
          <w:bCs w:val="0"/>
          <w:color w:val="000000"/>
          <w:sz w:val="32"/>
          <w:szCs w:val="32"/>
          <w:highlight w:val="none"/>
        </w:rPr>
        <w:t>（款）</w:t>
      </w:r>
      <w:r>
        <w:rPr>
          <w:rStyle w:val="18"/>
          <w:rFonts w:hint="eastAsia" w:ascii="仿宋_GB2312" w:hAnsi="仿宋_GB2312" w:eastAsia="仿宋_GB2312" w:cs="仿宋_GB2312"/>
          <w:b/>
          <w:bCs w:val="0"/>
          <w:color w:val="000000"/>
          <w:sz w:val="32"/>
          <w:szCs w:val="32"/>
          <w:highlight w:val="none"/>
          <w:lang w:eastAsia="zh-CN"/>
        </w:rPr>
        <w:t>其他农业农村支出</w:t>
      </w:r>
      <w:r>
        <w:rPr>
          <w:rStyle w:val="18"/>
          <w:rFonts w:hint="eastAsia" w:ascii="仿宋_GB2312" w:hAnsi="仿宋_GB2312" w:eastAsia="仿宋_GB2312" w:cs="仿宋_GB2312"/>
          <w:b/>
          <w:bCs w:val="0"/>
          <w:color w:val="000000"/>
          <w:sz w:val="32"/>
          <w:szCs w:val="32"/>
          <w:highlight w:val="none"/>
        </w:rPr>
        <w:t>（项）：</w:t>
      </w:r>
      <w:r>
        <w:rPr>
          <w:rStyle w:val="18"/>
          <w:rFonts w:hint="eastAsia" w:ascii="仿宋_GB2312" w:hAnsi="仿宋_GB2312" w:eastAsia="仿宋_GB2312" w:cs="仿宋_GB2312"/>
          <w:b w:val="0"/>
          <w:bCs/>
          <w:color w:val="000000"/>
          <w:sz w:val="32"/>
          <w:szCs w:val="32"/>
          <w:highlight w:val="none"/>
        </w:rPr>
        <w:t>支出决算为</w:t>
      </w:r>
      <w:r>
        <w:rPr>
          <w:rStyle w:val="18"/>
          <w:rFonts w:hint="eastAsia" w:ascii="仿宋_GB2312" w:hAnsi="仿宋_GB2312" w:eastAsia="仿宋_GB2312" w:cs="仿宋_GB2312"/>
          <w:b w:val="0"/>
          <w:bCs/>
          <w:color w:val="000000"/>
          <w:sz w:val="32"/>
          <w:szCs w:val="32"/>
          <w:highlight w:val="none"/>
          <w:lang w:val="en-US" w:eastAsia="zh-CN"/>
        </w:rPr>
        <w:t>53.42</w:t>
      </w:r>
      <w:r>
        <w:rPr>
          <w:rStyle w:val="18"/>
          <w:rFonts w:hint="eastAsia" w:ascii="仿宋_GB2312" w:hAnsi="仿宋_GB2312" w:eastAsia="仿宋_GB2312" w:cs="仿宋_GB2312"/>
          <w:b w:val="0"/>
          <w:bCs/>
          <w:color w:val="000000"/>
          <w:sz w:val="32"/>
          <w:szCs w:val="32"/>
          <w:highlight w:val="none"/>
        </w:rPr>
        <w:t>万元，完成预算</w:t>
      </w:r>
      <w:r>
        <w:rPr>
          <w:rStyle w:val="18"/>
          <w:rFonts w:hint="eastAsia" w:ascii="仿宋_GB2312" w:hAnsi="仿宋_GB2312" w:eastAsia="仿宋_GB2312" w:cs="仿宋_GB2312"/>
          <w:b w:val="0"/>
          <w:bCs/>
          <w:color w:val="000000"/>
          <w:sz w:val="32"/>
          <w:szCs w:val="32"/>
          <w:highlight w:val="none"/>
          <w:lang w:val="en-US" w:eastAsia="zh-CN"/>
        </w:rPr>
        <w:t>100</w:t>
      </w:r>
      <w:r>
        <w:rPr>
          <w:rStyle w:val="18"/>
          <w:rFonts w:hint="eastAsia" w:ascii="仿宋_GB2312" w:hAnsi="仿宋_GB2312" w:eastAsia="仿宋_GB2312" w:cs="仿宋_GB2312"/>
          <w:b w:val="0"/>
          <w:bCs/>
          <w:color w:val="000000"/>
          <w:sz w:val="32"/>
          <w:szCs w:val="32"/>
          <w:highlight w:val="none"/>
        </w:rPr>
        <w:t>%，决算数</w:t>
      </w:r>
      <w:r>
        <w:rPr>
          <w:rStyle w:val="18"/>
          <w:rFonts w:hint="eastAsia" w:ascii="仿宋_GB2312" w:hAnsi="仿宋_GB2312" w:eastAsia="仿宋_GB2312" w:cs="仿宋_GB2312"/>
          <w:b w:val="0"/>
          <w:bCs/>
          <w:color w:val="000000"/>
          <w:sz w:val="32"/>
          <w:szCs w:val="32"/>
          <w:highlight w:val="none"/>
          <w:lang w:eastAsia="zh-CN"/>
        </w:rPr>
        <w:t>等于</w:t>
      </w:r>
      <w:r>
        <w:rPr>
          <w:rStyle w:val="18"/>
          <w:rFonts w:hint="eastAsia" w:ascii="仿宋_GB2312" w:hAnsi="仿宋_GB2312" w:eastAsia="仿宋_GB2312" w:cs="仿宋_GB2312"/>
          <w:b w:val="0"/>
          <w:bCs/>
          <w:color w:val="000000"/>
          <w:sz w:val="32"/>
          <w:szCs w:val="32"/>
          <w:highlight w:val="none"/>
        </w:rPr>
        <w:t>预算数。</w:t>
      </w:r>
    </w:p>
    <w:p>
      <w:pPr>
        <w:keepNext w:val="0"/>
        <w:keepLines w:val="0"/>
        <w:pageBreakBefore w:val="0"/>
        <w:kinsoku/>
        <w:wordWrap/>
        <w:overflowPunct/>
        <w:topLinePunct w:val="0"/>
        <w:bidi w:val="0"/>
        <w:spacing w:line="560" w:lineRule="exact"/>
        <w:ind w:firstLine="643" w:firstLineChars="200"/>
        <w:textAlignment w:val="auto"/>
        <w:rPr>
          <w:rStyle w:val="18"/>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bCs w:val="0"/>
          <w:color w:val="000000"/>
          <w:sz w:val="32"/>
          <w:szCs w:val="32"/>
          <w:highlight w:val="none"/>
        </w:rPr>
        <w:t>1</w:t>
      </w:r>
      <w:r>
        <w:rPr>
          <w:rStyle w:val="18"/>
          <w:rFonts w:hint="eastAsia" w:ascii="仿宋_GB2312" w:hAnsi="仿宋_GB2312" w:eastAsia="仿宋_GB2312" w:cs="仿宋_GB2312"/>
          <w:b/>
          <w:bCs w:val="0"/>
          <w:color w:val="000000"/>
          <w:sz w:val="32"/>
          <w:szCs w:val="32"/>
          <w:highlight w:val="none"/>
          <w:lang w:val="en-US" w:eastAsia="zh-CN"/>
        </w:rPr>
        <w:t>6</w:t>
      </w:r>
      <w:r>
        <w:rPr>
          <w:rStyle w:val="18"/>
          <w:rFonts w:hint="eastAsia" w:ascii="仿宋_GB2312" w:hAnsi="仿宋_GB2312" w:eastAsia="仿宋_GB2312" w:cs="仿宋_GB2312"/>
          <w:b/>
          <w:bCs w:val="0"/>
          <w:color w:val="000000"/>
          <w:sz w:val="32"/>
          <w:szCs w:val="32"/>
          <w:highlight w:val="none"/>
        </w:rPr>
        <w:t>.农林水（类）</w:t>
      </w:r>
      <w:r>
        <w:rPr>
          <w:rStyle w:val="18"/>
          <w:rFonts w:hint="eastAsia" w:ascii="仿宋_GB2312" w:hAnsi="仿宋_GB2312" w:eastAsia="仿宋_GB2312" w:cs="仿宋_GB2312"/>
          <w:b/>
          <w:bCs w:val="0"/>
          <w:color w:val="000000"/>
          <w:sz w:val="32"/>
          <w:szCs w:val="32"/>
          <w:highlight w:val="none"/>
          <w:lang w:eastAsia="zh-CN"/>
        </w:rPr>
        <w:t>巩固脱贫衔接乡村振兴</w:t>
      </w:r>
      <w:r>
        <w:rPr>
          <w:rStyle w:val="18"/>
          <w:rFonts w:hint="eastAsia" w:ascii="仿宋_GB2312" w:hAnsi="仿宋_GB2312" w:eastAsia="仿宋_GB2312" w:cs="仿宋_GB2312"/>
          <w:b/>
          <w:bCs w:val="0"/>
          <w:color w:val="000000"/>
          <w:sz w:val="32"/>
          <w:szCs w:val="32"/>
          <w:highlight w:val="none"/>
        </w:rPr>
        <w:t>（款）</w:t>
      </w:r>
      <w:r>
        <w:rPr>
          <w:rStyle w:val="18"/>
          <w:rFonts w:hint="eastAsia" w:ascii="仿宋_GB2312" w:hAnsi="仿宋_GB2312" w:eastAsia="仿宋_GB2312" w:cs="仿宋_GB2312"/>
          <w:b/>
          <w:bCs w:val="0"/>
          <w:color w:val="000000"/>
          <w:sz w:val="32"/>
          <w:szCs w:val="32"/>
          <w:highlight w:val="none"/>
          <w:lang w:eastAsia="zh-CN"/>
        </w:rPr>
        <w:t>其他巩固脱贫衔接乡村振兴</w:t>
      </w:r>
      <w:r>
        <w:rPr>
          <w:rStyle w:val="18"/>
          <w:rFonts w:hint="eastAsia" w:ascii="仿宋_GB2312" w:hAnsi="仿宋_GB2312" w:eastAsia="仿宋_GB2312" w:cs="仿宋_GB2312"/>
          <w:b/>
          <w:bCs w:val="0"/>
          <w:color w:val="000000"/>
          <w:sz w:val="32"/>
          <w:szCs w:val="32"/>
          <w:highlight w:val="none"/>
        </w:rPr>
        <w:t>（项）：</w:t>
      </w:r>
      <w:r>
        <w:rPr>
          <w:rStyle w:val="18"/>
          <w:rFonts w:hint="eastAsia" w:ascii="仿宋_GB2312" w:hAnsi="仿宋_GB2312" w:eastAsia="仿宋_GB2312" w:cs="仿宋_GB2312"/>
          <w:b w:val="0"/>
          <w:bCs/>
          <w:color w:val="000000"/>
          <w:sz w:val="32"/>
          <w:szCs w:val="32"/>
          <w:highlight w:val="none"/>
        </w:rPr>
        <w:t>支出决算为</w:t>
      </w:r>
      <w:r>
        <w:rPr>
          <w:rStyle w:val="18"/>
          <w:rFonts w:hint="eastAsia" w:ascii="仿宋_GB2312" w:hAnsi="仿宋_GB2312" w:eastAsia="仿宋_GB2312" w:cs="仿宋_GB2312"/>
          <w:b w:val="0"/>
          <w:bCs/>
          <w:color w:val="000000"/>
          <w:sz w:val="32"/>
          <w:szCs w:val="32"/>
          <w:highlight w:val="none"/>
          <w:lang w:val="en-US" w:eastAsia="zh-CN"/>
        </w:rPr>
        <w:t>150</w:t>
      </w:r>
      <w:r>
        <w:rPr>
          <w:rStyle w:val="18"/>
          <w:rFonts w:hint="eastAsia" w:ascii="仿宋_GB2312" w:hAnsi="仿宋_GB2312" w:eastAsia="仿宋_GB2312" w:cs="仿宋_GB2312"/>
          <w:b w:val="0"/>
          <w:bCs/>
          <w:color w:val="000000"/>
          <w:sz w:val="32"/>
          <w:szCs w:val="32"/>
          <w:highlight w:val="none"/>
        </w:rPr>
        <w:t>万元，完成预算</w:t>
      </w:r>
      <w:r>
        <w:rPr>
          <w:rStyle w:val="18"/>
          <w:rFonts w:hint="eastAsia" w:ascii="仿宋_GB2312" w:hAnsi="仿宋_GB2312" w:eastAsia="仿宋_GB2312" w:cs="仿宋_GB2312"/>
          <w:b w:val="0"/>
          <w:bCs/>
          <w:color w:val="000000"/>
          <w:sz w:val="32"/>
          <w:szCs w:val="32"/>
          <w:highlight w:val="none"/>
          <w:lang w:val="en-US" w:eastAsia="zh-CN"/>
        </w:rPr>
        <w:t>100</w:t>
      </w:r>
      <w:r>
        <w:rPr>
          <w:rStyle w:val="18"/>
          <w:rFonts w:hint="eastAsia" w:ascii="仿宋_GB2312" w:hAnsi="仿宋_GB2312" w:eastAsia="仿宋_GB2312" w:cs="仿宋_GB2312"/>
          <w:b w:val="0"/>
          <w:bCs/>
          <w:color w:val="000000"/>
          <w:sz w:val="32"/>
          <w:szCs w:val="32"/>
          <w:highlight w:val="none"/>
        </w:rPr>
        <w:t>%，决算数</w:t>
      </w:r>
      <w:r>
        <w:rPr>
          <w:rStyle w:val="18"/>
          <w:rFonts w:hint="eastAsia" w:ascii="仿宋_GB2312" w:hAnsi="仿宋_GB2312" w:eastAsia="仿宋_GB2312" w:cs="仿宋_GB2312"/>
          <w:b w:val="0"/>
          <w:bCs/>
          <w:color w:val="000000"/>
          <w:sz w:val="32"/>
          <w:szCs w:val="32"/>
          <w:highlight w:val="none"/>
          <w:lang w:eastAsia="zh-CN"/>
        </w:rPr>
        <w:t>等于</w:t>
      </w:r>
      <w:r>
        <w:rPr>
          <w:rStyle w:val="18"/>
          <w:rFonts w:hint="eastAsia" w:ascii="仿宋_GB2312" w:hAnsi="仿宋_GB2312" w:eastAsia="仿宋_GB2312" w:cs="仿宋_GB2312"/>
          <w:b w:val="0"/>
          <w:bCs/>
          <w:color w:val="000000"/>
          <w:sz w:val="32"/>
          <w:szCs w:val="32"/>
          <w:highlight w:val="none"/>
        </w:rPr>
        <w:t>预算数。</w:t>
      </w:r>
    </w:p>
    <w:p>
      <w:pPr>
        <w:keepNext w:val="0"/>
        <w:keepLines w:val="0"/>
        <w:pageBreakBefore w:val="0"/>
        <w:kinsoku/>
        <w:wordWrap/>
        <w:overflowPunct/>
        <w:topLinePunct w:val="0"/>
        <w:bidi w:val="0"/>
        <w:spacing w:line="560" w:lineRule="exact"/>
        <w:ind w:firstLine="643" w:firstLineChars="200"/>
        <w:textAlignment w:val="auto"/>
        <w:rPr>
          <w:rStyle w:val="18"/>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bCs w:val="0"/>
          <w:color w:val="000000"/>
          <w:sz w:val="32"/>
          <w:szCs w:val="32"/>
          <w:highlight w:val="none"/>
          <w:lang w:val="en-US" w:eastAsia="zh-CN"/>
        </w:rPr>
        <w:t>17.</w:t>
      </w:r>
      <w:r>
        <w:rPr>
          <w:rStyle w:val="18"/>
          <w:rFonts w:hint="eastAsia" w:ascii="仿宋_GB2312" w:hAnsi="仿宋_GB2312" w:eastAsia="仿宋_GB2312" w:cs="仿宋_GB2312"/>
          <w:b/>
          <w:bCs w:val="0"/>
          <w:color w:val="000000"/>
          <w:sz w:val="32"/>
          <w:szCs w:val="32"/>
          <w:highlight w:val="none"/>
        </w:rPr>
        <w:t>农林水（类）</w:t>
      </w:r>
      <w:r>
        <w:rPr>
          <w:rStyle w:val="18"/>
          <w:rFonts w:hint="eastAsia" w:ascii="仿宋_GB2312" w:hAnsi="仿宋_GB2312" w:eastAsia="仿宋_GB2312" w:cs="仿宋_GB2312"/>
          <w:b/>
          <w:bCs w:val="0"/>
          <w:color w:val="000000"/>
          <w:sz w:val="32"/>
          <w:szCs w:val="32"/>
          <w:highlight w:val="none"/>
          <w:lang w:eastAsia="zh-CN"/>
        </w:rPr>
        <w:t>农村综合改革</w:t>
      </w:r>
      <w:r>
        <w:rPr>
          <w:rStyle w:val="18"/>
          <w:rFonts w:hint="eastAsia" w:ascii="仿宋_GB2312" w:hAnsi="仿宋_GB2312" w:eastAsia="仿宋_GB2312" w:cs="仿宋_GB2312"/>
          <w:b/>
          <w:bCs w:val="0"/>
          <w:color w:val="000000"/>
          <w:sz w:val="32"/>
          <w:szCs w:val="32"/>
          <w:highlight w:val="none"/>
        </w:rPr>
        <w:t>（款）</w:t>
      </w:r>
      <w:r>
        <w:rPr>
          <w:rStyle w:val="18"/>
          <w:rFonts w:hint="eastAsia" w:ascii="仿宋_GB2312" w:hAnsi="仿宋_GB2312" w:eastAsia="仿宋_GB2312" w:cs="仿宋_GB2312"/>
          <w:b/>
          <w:bCs w:val="0"/>
          <w:color w:val="000000"/>
          <w:sz w:val="32"/>
          <w:szCs w:val="32"/>
          <w:highlight w:val="none"/>
          <w:lang w:eastAsia="zh-CN"/>
        </w:rPr>
        <w:t>对村民委员会和村党支部的补助（</w:t>
      </w:r>
      <w:r>
        <w:rPr>
          <w:rStyle w:val="18"/>
          <w:rFonts w:hint="eastAsia" w:ascii="仿宋_GB2312" w:hAnsi="仿宋_GB2312" w:eastAsia="仿宋_GB2312" w:cs="仿宋_GB2312"/>
          <w:b/>
          <w:bCs w:val="0"/>
          <w:color w:val="000000"/>
          <w:sz w:val="32"/>
          <w:szCs w:val="32"/>
          <w:highlight w:val="none"/>
        </w:rPr>
        <w:t>项）：</w:t>
      </w:r>
      <w:r>
        <w:rPr>
          <w:rStyle w:val="18"/>
          <w:rFonts w:hint="eastAsia" w:ascii="仿宋_GB2312" w:hAnsi="仿宋_GB2312" w:eastAsia="仿宋_GB2312" w:cs="仿宋_GB2312"/>
          <w:b w:val="0"/>
          <w:bCs/>
          <w:color w:val="000000"/>
          <w:sz w:val="32"/>
          <w:szCs w:val="32"/>
          <w:highlight w:val="none"/>
        </w:rPr>
        <w:t>支出决算为</w:t>
      </w:r>
      <w:r>
        <w:rPr>
          <w:rStyle w:val="18"/>
          <w:rFonts w:hint="eastAsia" w:ascii="仿宋_GB2312" w:hAnsi="仿宋_GB2312" w:eastAsia="仿宋_GB2312" w:cs="仿宋_GB2312"/>
          <w:b w:val="0"/>
          <w:bCs/>
          <w:color w:val="000000"/>
          <w:sz w:val="32"/>
          <w:szCs w:val="32"/>
          <w:highlight w:val="none"/>
          <w:lang w:val="en-US" w:eastAsia="zh-CN"/>
        </w:rPr>
        <w:t>816.98</w:t>
      </w:r>
      <w:r>
        <w:rPr>
          <w:rStyle w:val="18"/>
          <w:rFonts w:hint="eastAsia" w:ascii="仿宋_GB2312" w:hAnsi="仿宋_GB2312" w:eastAsia="仿宋_GB2312" w:cs="仿宋_GB2312"/>
          <w:b w:val="0"/>
          <w:bCs/>
          <w:color w:val="000000"/>
          <w:sz w:val="32"/>
          <w:szCs w:val="32"/>
          <w:highlight w:val="none"/>
        </w:rPr>
        <w:t>万元，完成预算</w:t>
      </w:r>
      <w:r>
        <w:rPr>
          <w:rStyle w:val="18"/>
          <w:rFonts w:hint="eastAsia" w:ascii="仿宋_GB2312" w:hAnsi="仿宋_GB2312" w:eastAsia="仿宋_GB2312" w:cs="仿宋_GB2312"/>
          <w:b w:val="0"/>
          <w:bCs/>
          <w:color w:val="000000"/>
          <w:sz w:val="32"/>
          <w:szCs w:val="32"/>
          <w:highlight w:val="none"/>
          <w:lang w:val="en-US" w:eastAsia="zh-CN"/>
        </w:rPr>
        <w:t>100</w:t>
      </w:r>
      <w:r>
        <w:rPr>
          <w:rStyle w:val="18"/>
          <w:rFonts w:hint="eastAsia" w:ascii="仿宋_GB2312" w:hAnsi="仿宋_GB2312" w:eastAsia="仿宋_GB2312" w:cs="仿宋_GB2312"/>
          <w:b w:val="0"/>
          <w:bCs/>
          <w:color w:val="000000"/>
          <w:sz w:val="32"/>
          <w:szCs w:val="32"/>
          <w:highlight w:val="none"/>
        </w:rPr>
        <w:t>%，决算数</w:t>
      </w:r>
      <w:r>
        <w:rPr>
          <w:rStyle w:val="18"/>
          <w:rFonts w:hint="eastAsia" w:ascii="仿宋_GB2312" w:hAnsi="仿宋_GB2312" w:eastAsia="仿宋_GB2312" w:cs="仿宋_GB2312"/>
          <w:b w:val="0"/>
          <w:bCs/>
          <w:color w:val="000000"/>
          <w:sz w:val="32"/>
          <w:szCs w:val="32"/>
          <w:highlight w:val="none"/>
          <w:lang w:eastAsia="zh-CN"/>
        </w:rPr>
        <w:t>等于</w:t>
      </w:r>
      <w:r>
        <w:rPr>
          <w:rStyle w:val="18"/>
          <w:rFonts w:hint="eastAsia" w:ascii="仿宋_GB2312" w:hAnsi="仿宋_GB2312" w:eastAsia="仿宋_GB2312" w:cs="仿宋_GB2312"/>
          <w:b w:val="0"/>
          <w:bCs/>
          <w:color w:val="000000"/>
          <w:sz w:val="32"/>
          <w:szCs w:val="32"/>
          <w:highlight w:val="none"/>
        </w:rPr>
        <w:t>预算数。</w:t>
      </w:r>
    </w:p>
    <w:p>
      <w:pPr>
        <w:keepNext w:val="0"/>
        <w:keepLines w:val="0"/>
        <w:pageBreakBefore w:val="0"/>
        <w:kinsoku/>
        <w:wordWrap/>
        <w:overflowPunct/>
        <w:topLinePunct w:val="0"/>
        <w:bidi w:val="0"/>
        <w:spacing w:line="560" w:lineRule="exact"/>
        <w:ind w:firstLine="643" w:firstLineChars="200"/>
        <w:textAlignment w:val="auto"/>
        <w:rPr>
          <w:rStyle w:val="18"/>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
          <w:bCs w:val="0"/>
          <w:color w:val="000000"/>
          <w:sz w:val="32"/>
          <w:szCs w:val="32"/>
          <w:highlight w:val="none"/>
          <w:lang w:val="en-US" w:eastAsia="zh-CN"/>
        </w:rPr>
        <w:t>18.</w:t>
      </w:r>
      <w:r>
        <w:rPr>
          <w:rStyle w:val="18"/>
          <w:rFonts w:hint="eastAsia" w:ascii="仿宋_GB2312" w:hAnsi="仿宋_GB2312" w:eastAsia="仿宋_GB2312" w:cs="仿宋_GB2312"/>
          <w:b/>
          <w:bCs w:val="0"/>
          <w:color w:val="000000"/>
          <w:sz w:val="32"/>
          <w:szCs w:val="32"/>
          <w:highlight w:val="none"/>
        </w:rPr>
        <w:t>农林水（类）</w:t>
      </w:r>
      <w:r>
        <w:rPr>
          <w:rStyle w:val="18"/>
          <w:rFonts w:hint="eastAsia" w:ascii="仿宋_GB2312" w:hAnsi="仿宋_GB2312" w:eastAsia="仿宋_GB2312" w:cs="仿宋_GB2312"/>
          <w:b/>
          <w:bCs w:val="0"/>
          <w:color w:val="000000"/>
          <w:sz w:val="32"/>
          <w:szCs w:val="32"/>
          <w:highlight w:val="none"/>
          <w:lang w:eastAsia="zh-CN"/>
        </w:rPr>
        <w:t>农村综合改革</w:t>
      </w:r>
      <w:r>
        <w:rPr>
          <w:rStyle w:val="18"/>
          <w:rFonts w:hint="eastAsia" w:ascii="仿宋_GB2312" w:hAnsi="仿宋_GB2312" w:eastAsia="仿宋_GB2312" w:cs="仿宋_GB2312"/>
          <w:b/>
          <w:bCs w:val="0"/>
          <w:color w:val="000000"/>
          <w:sz w:val="32"/>
          <w:szCs w:val="32"/>
          <w:highlight w:val="none"/>
        </w:rPr>
        <w:t>（款）</w:t>
      </w:r>
      <w:r>
        <w:rPr>
          <w:rStyle w:val="18"/>
          <w:rFonts w:hint="eastAsia" w:ascii="仿宋_GB2312" w:hAnsi="仿宋_GB2312" w:eastAsia="仿宋_GB2312" w:cs="仿宋_GB2312"/>
          <w:b/>
          <w:bCs w:val="0"/>
          <w:color w:val="000000"/>
          <w:sz w:val="32"/>
          <w:szCs w:val="32"/>
          <w:highlight w:val="none"/>
          <w:lang w:eastAsia="zh-CN"/>
        </w:rPr>
        <w:t>对村集体经济组织的补助（</w:t>
      </w:r>
      <w:r>
        <w:rPr>
          <w:rStyle w:val="18"/>
          <w:rFonts w:hint="eastAsia" w:ascii="仿宋_GB2312" w:hAnsi="仿宋_GB2312" w:eastAsia="仿宋_GB2312" w:cs="仿宋_GB2312"/>
          <w:b/>
          <w:bCs w:val="0"/>
          <w:color w:val="000000"/>
          <w:sz w:val="32"/>
          <w:szCs w:val="32"/>
          <w:highlight w:val="none"/>
        </w:rPr>
        <w:t>项）：</w:t>
      </w:r>
      <w:r>
        <w:rPr>
          <w:rStyle w:val="18"/>
          <w:rFonts w:hint="eastAsia" w:ascii="仿宋_GB2312" w:hAnsi="仿宋_GB2312" w:eastAsia="仿宋_GB2312" w:cs="仿宋_GB2312"/>
          <w:b w:val="0"/>
          <w:bCs/>
          <w:color w:val="000000"/>
          <w:sz w:val="32"/>
          <w:szCs w:val="32"/>
          <w:highlight w:val="none"/>
        </w:rPr>
        <w:t>支出决算为</w:t>
      </w:r>
      <w:r>
        <w:rPr>
          <w:rStyle w:val="18"/>
          <w:rFonts w:hint="eastAsia" w:ascii="仿宋_GB2312" w:hAnsi="仿宋_GB2312" w:eastAsia="仿宋_GB2312" w:cs="仿宋_GB2312"/>
          <w:b w:val="0"/>
          <w:bCs/>
          <w:color w:val="000000"/>
          <w:sz w:val="32"/>
          <w:szCs w:val="32"/>
          <w:highlight w:val="none"/>
          <w:lang w:val="en-US" w:eastAsia="zh-CN"/>
        </w:rPr>
        <w:t>120</w:t>
      </w:r>
      <w:r>
        <w:rPr>
          <w:rStyle w:val="18"/>
          <w:rFonts w:hint="eastAsia" w:ascii="仿宋_GB2312" w:hAnsi="仿宋_GB2312" w:eastAsia="仿宋_GB2312" w:cs="仿宋_GB2312"/>
          <w:b w:val="0"/>
          <w:bCs/>
          <w:color w:val="000000"/>
          <w:sz w:val="32"/>
          <w:szCs w:val="32"/>
          <w:highlight w:val="none"/>
        </w:rPr>
        <w:t>万元，完成预算</w:t>
      </w:r>
      <w:r>
        <w:rPr>
          <w:rStyle w:val="18"/>
          <w:rFonts w:hint="eastAsia" w:ascii="仿宋_GB2312" w:hAnsi="仿宋_GB2312" w:eastAsia="仿宋_GB2312" w:cs="仿宋_GB2312"/>
          <w:b w:val="0"/>
          <w:bCs/>
          <w:color w:val="000000"/>
          <w:sz w:val="32"/>
          <w:szCs w:val="32"/>
          <w:highlight w:val="none"/>
          <w:lang w:val="en-US" w:eastAsia="zh-CN"/>
        </w:rPr>
        <w:t>100</w:t>
      </w:r>
      <w:r>
        <w:rPr>
          <w:rStyle w:val="18"/>
          <w:rFonts w:hint="eastAsia" w:ascii="仿宋_GB2312" w:hAnsi="仿宋_GB2312" w:eastAsia="仿宋_GB2312" w:cs="仿宋_GB2312"/>
          <w:b w:val="0"/>
          <w:bCs/>
          <w:color w:val="000000"/>
          <w:sz w:val="32"/>
          <w:szCs w:val="32"/>
          <w:highlight w:val="none"/>
        </w:rPr>
        <w:t>%，决算数</w:t>
      </w:r>
      <w:r>
        <w:rPr>
          <w:rStyle w:val="18"/>
          <w:rFonts w:hint="eastAsia" w:ascii="仿宋_GB2312" w:hAnsi="仿宋_GB2312" w:eastAsia="仿宋_GB2312" w:cs="仿宋_GB2312"/>
          <w:b w:val="0"/>
          <w:bCs/>
          <w:color w:val="000000"/>
          <w:sz w:val="32"/>
          <w:szCs w:val="32"/>
          <w:highlight w:val="none"/>
          <w:lang w:eastAsia="zh-CN"/>
        </w:rPr>
        <w:t>等于</w:t>
      </w:r>
      <w:r>
        <w:rPr>
          <w:rStyle w:val="18"/>
          <w:rFonts w:hint="eastAsia" w:ascii="仿宋_GB2312" w:hAnsi="仿宋_GB2312" w:eastAsia="仿宋_GB2312" w:cs="仿宋_GB2312"/>
          <w:b w:val="0"/>
          <w:bCs/>
          <w:color w:val="000000"/>
          <w:sz w:val="32"/>
          <w:szCs w:val="32"/>
          <w:highlight w:val="none"/>
        </w:rPr>
        <w:t>预算数。</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b w:val="0"/>
          <w:bCs/>
          <w:sz w:val="32"/>
          <w:szCs w:val="32"/>
        </w:rPr>
      </w:pPr>
      <w:r>
        <w:rPr>
          <w:rStyle w:val="18"/>
          <w:rFonts w:hint="eastAsia" w:ascii="仿宋_GB2312" w:hAnsi="仿宋_GB2312" w:eastAsia="仿宋_GB2312" w:cs="仿宋_GB2312"/>
          <w:b/>
          <w:bCs w:val="0"/>
          <w:color w:val="000000"/>
          <w:sz w:val="32"/>
          <w:szCs w:val="32"/>
          <w:highlight w:val="none"/>
          <w:lang w:val="en-US" w:eastAsia="zh-CN"/>
        </w:rPr>
        <w:t>19</w:t>
      </w:r>
      <w:r>
        <w:rPr>
          <w:rStyle w:val="18"/>
          <w:rFonts w:hint="eastAsia" w:ascii="仿宋_GB2312" w:hAnsi="仿宋_GB2312" w:eastAsia="仿宋_GB2312" w:cs="仿宋_GB2312"/>
          <w:b/>
          <w:bCs w:val="0"/>
          <w:color w:val="000000"/>
          <w:sz w:val="32"/>
          <w:szCs w:val="32"/>
          <w:highlight w:val="none"/>
        </w:rPr>
        <w:t>.住房保障支出（类）住房改革支出（款）住房公积金（项）：</w:t>
      </w:r>
      <w:r>
        <w:rPr>
          <w:rStyle w:val="18"/>
          <w:rFonts w:hint="eastAsia" w:ascii="仿宋_GB2312" w:hAnsi="仿宋_GB2312" w:eastAsia="仿宋_GB2312" w:cs="仿宋_GB2312"/>
          <w:b w:val="0"/>
          <w:bCs/>
          <w:color w:val="000000"/>
          <w:sz w:val="32"/>
          <w:szCs w:val="32"/>
          <w:highlight w:val="none"/>
        </w:rPr>
        <w:t>支出决算为</w:t>
      </w:r>
      <w:r>
        <w:rPr>
          <w:rStyle w:val="18"/>
          <w:rFonts w:hint="eastAsia" w:ascii="仿宋_GB2312" w:hAnsi="仿宋_GB2312" w:eastAsia="仿宋_GB2312" w:cs="仿宋_GB2312"/>
          <w:b w:val="0"/>
          <w:bCs/>
          <w:color w:val="000000"/>
          <w:sz w:val="32"/>
          <w:szCs w:val="32"/>
          <w:highlight w:val="none"/>
          <w:lang w:val="en-US" w:eastAsia="zh-CN"/>
        </w:rPr>
        <w:t>76.68</w:t>
      </w:r>
      <w:r>
        <w:rPr>
          <w:rStyle w:val="18"/>
          <w:rFonts w:hint="eastAsia" w:ascii="仿宋_GB2312" w:hAnsi="仿宋_GB2312" w:eastAsia="仿宋_GB2312" w:cs="仿宋_GB2312"/>
          <w:b w:val="0"/>
          <w:bCs/>
          <w:color w:val="000000"/>
          <w:sz w:val="32"/>
          <w:szCs w:val="32"/>
          <w:highlight w:val="none"/>
        </w:rPr>
        <w:t>万元，完成预算100%，决算数等于预算数。</w:t>
      </w:r>
    </w:p>
    <w:p>
      <w:pPr>
        <w:pageBreakBefore w:val="0"/>
        <w:kinsoku/>
        <w:wordWrap/>
        <w:overflowPunct/>
        <w:topLinePunct w:val="0"/>
        <w:bidi w:val="0"/>
        <w:spacing w:line="600" w:lineRule="exact"/>
        <w:ind w:firstLine="643" w:firstLineChars="200"/>
        <w:textAlignment w:val="auto"/>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1-1表和财决08表，仅罗列本部门涉及的全部功能分类科目，至项级。上述“预算”口径为全年预算数。增减变动原因为决算数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和全年预算数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pPr>
        <w:pageBreakBefore w:val="0"/>
        <w:kinsoku/>
        <w:wordWrap/>
        <w:overflowPunct/>
        <w:topLinePunct w:val="0"/>
        <w:bidi w:val="0"/>
        <w:spacing w:line="600" w:lineRule="exact"/>
        <w:ind w:firstLine="640"/>
        <w:textAlignment w:val="auto"/>
        <w:rPr>
          <w:rFonts w:ascii="仿宋" w:hAnsi="仿宋" w:eastAsia="仿宋"/>
          <w:b/>
          <w:sz w:val="32"/>
          <w:szCs w:val="32"/>
        </w:rPr>
      </w:pPr>
    </w:p>
    <w:p>
      <w:pPr>
        <w:pageBreakBefore w:val="0"/>
        <w:tabs>
          <w:tab w:val="right" w:pos="8306"/>
        </w:tabs>
        <w:kinsoku/>
        <w:wordWrap/>
        <w:overflowPunct/>
        <w:topLinePunct w:val="0"/>
        <w:bidi w:val="0"/>
        <w:spacing w:line="600" w:lineRule="exact"/>
        <w:ind w:firstLine="640"/>
        <w:textAlignment w:val="auto"/>
        <w:outlineLvl w:val="1"/>
        <w:rPr>
          <w:rStyle w:val="30"/>
          <w:highlight w:val="none"/>
        </w:rPr>
      </w:pPr>
      <w:bookmarkStart w:id="42" w:name="_Toc15396608"/>
      <w:bookmarkStart w:id="43" w:name="_Toc15377214"/>
      <w:r>
        <w:rPr>
          <w:rFonts w:hint="eastAsia" w:ascii="黑体" w:eastAsia="黑体"/>
          <w:sz w:val="32"/>
          <w:szCs w:val="32"/>
          <w:highlight w:val="none"/>
        </w:rPr>
        <w:t>六</w:t>
      </w:r>
      <w:r>
        <w:rPr>
          <w:rFonts w:hint="eastAsia" w:ascii="黑体" w:eastAsia="黑体"/>
          <w:b/>
          <w:sz w:val="32"/>
          <w:szCs w:val="32"/>
          <w:highlight w:val="none"/>
        </w:rPr>
        <w:t>、</w:t>
      </w:r>
      <w:r>
        <w:rPr>
          <w:rFonts w:hint="eastAsia" w:ascii="黑体" w:hAnsi="黑体" w:eastAsia="黑体"/>
          <w:b/>
          <w:sz w:val="32"/>
          <w:szCs w:val="32"/>
          <w:highlight w:val="none"/>
        </w:rPr>
        <w:t>一</w:t>
      </w:r>
      <w:r>
        <w:rPr>
          <w:rStyle w:val="30"/>
          <w:rFonts w:hint="eastAsia" w:ascii="黑体" w:hAnsi="黑体" w:eastAsia="黑体"/>
          <w:b w:val="0"/>
          <w:highlight w:val="none"/>
        </w:rPr>
        <w:t>般公共预算财政拨款基本支出决算情况说明</w:t>
      </w:r>
      <w:bookmarkEnd w:id="42"/>
      <w:bookmarkEnd w:id="43"/>
      <w:r>
        <w:rPr>
          <w:rStyle w:val="30"/>
          <w:rFonts w:ascii="黑体" w:hAnsi="黑体" w:eastAsia="黑体"/>
          <w:b w:val="0"/>
          <w:highlight w:val="none"/>
        </w:rPr>
        <w:tab/>
      </w:r>
    </w:p>
    <w:p>
      <w:pPr>
        <w:pageBreakBefore w:val="0"/>
        <w:kinsoku/>
        <w:wordWrap/>
        <w:overflowPunct/>
        <w:topLinePunct w:val="0"/>
        <w:bidi w:val="0"/>
        <w:spacing w:line="600" w:lineRule="exact"/>
        <w:ind w:firstLine="645"/>
        <w:textAlignment w:val="auto"/>
        <w:rPr>
          <w:rFonts w:ascii="仿宋" w:hAnsi="仿宋" w:eastAsia="仿宋"/>
          <w:sz w:val="32"/>
          <w:szCs w:val="32"/>
          <w:highlight w:val="none"/>
        </w:rPr>
      </w:pPr>
      <w:r>
        <w:rPr>
          <w:rFonts w:ascii="仿宋" w:hAnsi="仿宋" w:eastAsia="仿宋"/>
          <w:sz w:val="32"/>
          <w:szCs w:val="32"/>
          <w:highlight w:val="none"/>
        </w:rPr>
        <w:t>20</w:t>
      </w:r>
      <w:r>
        <w:rPr>
          <w:rFonts w:hint="eastAsia" w:ascii="仿宋" w:hAnsi="仿宋" w:eastAsia="仿宋"/>
          <w:sz w:val="32"/>
          <w:szCs w:val="32"/>
          <w:highlight w:val="none"/>
        </w:rPr>
        <w:t>22年一般公共预算财政拨款基本支出</w:t>
      </w:r>
      <w:r>
        <w:rPr>
          <w:rFonts w:hint="eastAsia" w:ascii="仿宋" w:hAnsi="仿宋" w:eastAsia="仿宋"/>
          <w:sz w:val="32"/>
          <w:szCs w:val="32"/>
          <w:highlight w:val="none"/>
          <w:lang w:val="en-US" w:eastAsia="zh-CN"/>
        </w:rPr>
        <w:t>1127.91</w:t>
      </w:r>
      <w:r>
        <w:rPr>
          <w:rFonts w:hint="eastAsia" w:ascii="仿宋" w:hAnsi="仿宋" w:eastAsia="仿宋"/>
          <w:sz w:val="32"/>
          <w:szCs w:val="32"/>
          <w:highlight w:val="none"/>
        </w:rPr>
        <w:t>万元，其中：</w:t>
      </w:r>
    </w:p>
    <w:p>
      <w:pPr>
        <w:pageBreakBefore w:val="0"/>
        <w:kinsoku/>
        <w:wordWrap/>
        <w:overflowPunct/>
        <w:topLinePunct w:val="0"/>
        <w:bidi w:val="0"/>
        <w:spacing w:line="600" w:lineRule="exact"/>
        <w:ind w:firstLine="645"/>
        <w:textAlignment w:val="auto"/>
        <w:rPr>
          <w:rFonts w:ascii="仿宋" w:hAnsi="仿宋" w:eastAsia="仿宋"/>
          <w:sz w:val="32"/>
          <w:szCs w:val="32"/>
        </w:rPr>
      </w:pPr>
      <w:r>
        <w:rPr>
          <w:rFonts w:hint="eastAsia" w:ascii="仿宋" w:hAnsi="仿宋" w:eastAsia="仿宋"/>
          <w:sz w:val="32"/>
          <w:szCs w:val="32"/>
          <w:highlight w:val="none"/>
        </w:rPr>
        <w:t>人员经费</w:t>
      </w:r>
      <w:r>
        <w:rPr>
          <w:rFonts w:hint="eastAsia" w:ascii="仿宋" w:hAnsi="仿宋" w:eastAsia="仿宋"/>
          <w:sz w:val="32"/>
          <w:szCs w:val="32"/>
          <w:highlight w:val="none"/>
          <w:lang w:val="en-US" w:eastAsia="zh-CN"/>
        </w:rPr>
        <w:t>963.22</w:t>
      </w:r>
      <w:r>
        <w:rPr>
          <w:rFonts w:hint="eastAsia" w:ascii="仿宋" w:hAnsi="仿宋" w:eastAsia="仿宋"/>
          <w:sz w:val="32"/>
          <w:szCs w:val="32"/>
          <w:highlight w:val="none"/>
        </w:rPr>
        <w:t>万元，主要包括：基本工资、津贴补贴、奖金、伙食补助费、绩效工资、机关事业单位基本养老保险缴费、职业年金缴费、</w:t>
      </w:r>
      <w:r>
        <w:rPr>
          <w:rFonts w:hint="eastAsia" w:ascii="仿宋" w:hAnsi="仿宋" w:eastAsia="仿宋"/>
          <w:sz w:val="32"/>
          <w:szCs w:val="32"/>
          <w:highlight w:val="none"/>
          <w:lang w:eastAsia="zh-CN"/>
        </w:rPr>
        <w:t>职工基本医疗保险缴费、公务员医疗补助缴费、</w:t>
      </w:r>
      <w:r>
        <w:rPr>
          <w:rFonts w:hint="eastAsia" w:ascii="仿宋" w:hAnsi="仿宋" w:eastAsia="仿宋"/>
          <w:sz w:val="32"/>
          <w:szCs w:val="32"/>
          <w:highlight w:val="none"/>
        </w:rPr>
        <w:t>其他社会保障缴费、抚恤金、生活补助、医疗费补助、奖励金、住房公积金等。</w:t>
      </w:r>
      <w:r>
        <w:rPr>
          <w:rFonts w:ascii="仿宋" w:hAnsi="仿宋" w:eastAsia="仿宋"/>
          <w:sz w:val="32"/>
          <w:szCs w:val="32"/>
          <w:highlight w:val="none"/>
        </w:rPr>
        <w:br w:type="textWrapping"/>
      </w:r>
      <w:r>
        <w:rPr>
          <w:rFonts w:hint="eastAsia" w:ascii="仿宋" w:hAnsi="仿宋" w:eastAsia="仿宋"/>
          <w:sz w:val="32"/>
          <w:szCs w:val="32"/>
          <w:highlight w:val="none"/>
        </w:rPr>
        <w:t>　　公用经费</w:t>
      </w:r>
      <w:r>
        <w:rPr>
          <w:rFonts w:hint="eastAsia" w:ascii="仿宋" w:hAnsi="仿宋" w:eastAsia="仿宋"/>
          <w:sz w:val="32"/>
          <w:szCs w:val="32"/>
          <w:highlight w:val="none"/>
          <w:lang w:val="en-US" w:eastAsia="zh-CN"/>
        </w:rPr>
        <w:t>164.68</w:t>
      </w:r>
      <w:r>
        <w:rPr>
          <w:rFonts w:hint="eastAsia" w:ascii="仿宋" w:hAnsi="仿宋" w:eastAsia="仿宋"/>
          <w:sz w:val="32"/>
          <w:szCs w:val="32"/>
          <w:highlight w:val="none"/>
        </w:rPr>
        <w:t>万元，主要包括：办公费、水费、电费、邮电费、差旅费、维修（护）费、</w:t>
      </w:r>
      <w:r>
        <w:rPr>
          <w:rFonts w:hint="eastAsia" w:ascii="仿宋" w:hAnsi="仿宋" w:eastAsia="仿宋"/>
          <w:sz w:val="32"/>
          <w:szCs w:val="32"/>
        </w:rPr>
        <w:t>劳务费、工会经费、公务用车运行维护费、其他交通费</w:t>
      </w:r>
      <w:r>
        <w:rPr>
          <w:rFonts w:hint="eastAsia" w:ascii="仿宋" w:hAnsi="仿宋" w:eastAsia="仿宋"/>
          <w:sz w:val="32"/>
          <w:szCs w:val="32"/>
          <w:lang w:eastAsia="zh-CN"/>
        </w:rPr>
        <w:t>、</w:t>
      </w:r>
      <w:r>
        <w:rPr>
          <w:rFonts w:hint="eastAsia" w:ascii="仿宋" w:hAnsi="仿宋" w:eastAsia="仿宋"/>
          <w:sz w:val="32"/>
          <w:szCs w:val="32"/>
        </w:rPr>
        <w:t>其他商品和服务支出等。</w:t>
      </w:r>
    </w:p>
    <w:p>
      <w:pPr>
        <w:pageBreakBefore w:val="0"/>
        <w:kinsoku/>
        <w:wordWrap/>
        <w:overflowPunct/>
        <w:topLinePunct w:val="0"/>
        <w:bidi w:val="0"/>
        <w:spacing w:line="600" w:lineRule="exact"/>
        <w:ind w:firstLine="645"/>
        <w:textAlignment w:val="auto"/>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7表和财决08-1表，仅罗列本部门实际支出涉及的经济分类科目。）</w:t>
      </w:r>
    </w:p>
    <w:p>
      <w:pPr>
        <w:pageBreakBefore w:val="0"/>
        <w:kinsoku/>
        <w:wordWrap/>
        <w:overflowPunct/>
        <w:topLinePunct w:val="0"/>
        <w:bidi w:val="0"/>
        <w:spacing w:line="600" w:lineRule="exact"/>
        <w:ind w:firstLine="640"/>
        <w:textAlignment w:val="auto"/>
        <w:rPr>
          <w:rFonts w:ascii="仿宋" w:hAnsi="仿宋" w:eastAsia="仿宋"/>
          <w:b/>
          <w:sz w:val="32"/>
          <w:szCs w:val="32"/>
        </w:rPr>
      </w:pPr>
    </w:p>
    <w:p>
      <w:pPr>
        <w:pageBreakBefore w:val="0"/>
        <w:kinsoku/>
        <w:wordWrap/>
        <w:overflowPunct/>
        <w:topLinePunct w:val="0"/>
        <w:bidi w:val="0"/>
        <w:spacing w:line="600" w:lineRule="exact"/>
        <w:ind w:firstLine="640"/>
        <w:textAlignment w:val="auto"/>
        <w:outlineLvl w:val="1"/>
        <w:rPr>
          <w:rStyle w:val="30"/>
          <w:rFonts w:ascii="黑体" w:hAnsi="黑体" w:eastAsia="黑体"/>
          <w:b w:val="0"/>
        </w:rPr>
      </w:pPr>
      <w:bookmarkStart w:id="44" w:name="_Toc15377215"/>
      <w:bookmarkStart w:id="45" w:name="_Toc15396609"/>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44"/>
      <w:bookmarkEnd w:id="45"/>
    </w:p>
    <w:p>
      <w:pPr>
        <w:pageBreakBefore w:val="0"/>
        <w:kinsoku/>
        <w:wordWrap/>
        <w:overflowPunct/>
        <w:topLinePunct w:val="0"/>
        <w:bidi w:val="0"/>
        <w:spacing w:line="600" w:lineRule="exact"/>
        <w:ind w:firstLine="640"/>
        <w:textAlignment w:val="auto"/>
        <w:outlineLvl w:val="2"/>
        <w:rPr>
          <w:rFonts w:ascii="仿宋" w:hAnsi="仿宋" w:eastAsia="仿宋"/>
          <w:b/>
          <w:sz w:val="32"/>
          <w:szCs w:val="32"/>
        </w:rPr>
      </w:pPr>
      <w:bookmarkStart w:id="46" w:name="_Toc15377216"/>
      <w:r>
        <w:rPr>
          <w:rFonts w:hint="eastAsia" w:ascii="仿宋" w:hAnsi="仿宋" w:eastAsia="仿宋"/>
          <w:b/>
          <w:sz w:val="32"/>
          <w:szCs w:val="32"/>
        </w:rPr>
        <w:t>（一）“三公”经费财政拨款支出决算总体情况说明</w:t>
      </w:r>
      <w:bookmarkEnd w:id="46"/>
    </w:p>
    <w:p>
      <w:pPr>
        <w:pageBreakBefore w:val="0"/>
        <w:kinsoku/>
        <w:wordWrap/>
        <w:overflowPunct/>
        <w:topLinePunct w:val="0"/>
        <w:bidi w:val="0"/>
        <w:spacing w:line="600" w:lineRule="exact"/>
        <w:ind w:firstLine="640"/>
        <w:textAlignment w:val="auto"/>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12.38</w:t>
      </w:r>
      <w:r>
        <w:rPr>
          <w:rFonts w:hint="eastAsia" w:ascii="仿宋" w:hAnsi="仿宋" w:eastAsia="仿宋"/>
          <w:sz w:val="32"/>
          <w:szCs w:val="32"/>
        </w:rPr>
        <w:t>万元，完成预算</w:t>
      </w:r>
      <w:r>
        <w:rPr>
          <w:rFonts w:hint="eastAsia" w:ascii="仿宋" w:hAnsi="仿宋" w:eastAsia="仿宋"/>
          <w:sz w:val="32"/>
          <w:szCs w:val="32"/>
          <w:lang w:val="en-US" w:eastAsia="zh-CN"/>
        </w:rPr>
        <w:t>82.53</w:t>
      </w:r>
      <w:r>
        <w:rPr>
          <w:rFonts w:ascii="仿宋" w:hAnsi="仿宋" w:eastAsia="仿宋"/>
          <w:sz w:val="32"/>
          <w:szCs w:val="32"/>
        </w:rPr>
        <w:t>%</w:t>
      </w:r>
      <w:r>
        <w:rPr>
          <w:rFonts w:hint="eastAsia" w:ascii="仿宋" w:hAnsi="仿宋" w:eastAsia="仿宋"/>
          <w:sz w:val="32"/>
          <w:szCs w:val="32"/>
        </w:rPr>
        <w:t>，较上年</w:t>
      </w:r>
      <w:r>
        <w:rPr>
          <w:rFonts w:hint="eastAsia" w:ascii="仿宋" w:hAnsi="仿宋" w:eastAsia="仿宋"/>
          <w:sz w:val="32"/>
          <w:szCs w:val="32"/>
          <w:lang w:eastAsia="zh-CN"/>
        </w:rPr>
        <w:t>减少</w:t>
      </w:r>
      <w:r>
        <w:rPr>
          <w:rFonts w:hint="eastAsia" w:ascii="仿宋" w:hAnsi="仿宋" w:eastAsia="仿宋"/>
          <w:sz w:val="32"/>
          <w:szCs w:val="32"/>
          <w:lang w:val="en-US" w:eastAsia="zh-CN"/>
        </w:rPr>
        <w:t>11.77</w:t>
      </w:r>
      <w:r>
        <w:rPr>
          <w:rFonts w:hint="eastAsia" w:ascii="仿宋" w:hAnsi="仿宋" w:eastAsia="仿宋"/>
          <w:sz w:val="32"/>
          <w:szCs w:val="32"/>
        </w:rPr>
        <w:t>万元，下降</w:t>
      </w:r>
      <w:r>
        <w:rPr>
          <w:rFonts w:hint="eastAsia" w:ascii="仿宋" w:hAnsi="仿宋" w:eastAsia="仿宋"/>
          <w:sz w:val="32"/>
          <w:szCs w:val="32"/>
          <w:lang w:val="en-US" w:eastAsia="zh-CN"/>
        </w:rPr>
        <w:t>48.74</w:t>
      </w:r>
      <w:r>
        <w:rPr>
          <w:rFonts w:hint="eastAsia" w:ascii="仿宋" w:hAnsi="仿宋" w:eastAsia="仿宋"/>
          <w:sz w:val="32"/>
          <w:szCs w:val="32"/>
        </w:rPr>
        <w:t>%。决算数小于预算数的主要原因是</w:t>
      </w:r>
      <w:r>
        <w:rPr>
          <w:rFonts w:hint="eastAsia" w:ascii="仿宋" w:hAnsi="仿宋" w:eastAsia="仿宋"/>
          <w:sz w:val="32"/>
          <w:szCs w:val="32"/>
          <w:lang w:val="en-US" w:eastAsia="zh-CN"/>
        </w:rPr>
        <w:t>2021年新购公车一辆，2022年无新购公车费用，且</w:t>
      </w:r>
      <w:r>
        <w:rPr>
          <w:rFonts w:hint="eastAsia" w:ascii="仿宋" w:hAnsi="仿宋" w:eastAsia="仿宋"/>
          <w:sz w:val="32"/>
          <w:szCs w:val="32"/>
          <w:lang w:eastAsia="zh-CN"/>
        </w:rPr>
        <w:t>停用车况差公车一辆，缩减了维修成本</w:t>
      </w:r>
      <w:r>
        <w:rPr>
          <w:rFonts w:hint="eastAsia" w:ascii="仿宋" w:hAnsi="仿宋" w:eastAsia="仿宋"/>
          <w:sz w:val="32"/>
          <w:szCs w:val="32"/>
        </w:rPr>
        <w:t>。</w:t>
      </w:r>
    </w:p>
    <w:p>
      <w:pPr>
        <w:pageBreakBefore w:val="0"/>
        <w:kinsoku/>
        <w:wordWrap/>
        <w:overflowPunct/>
        <w:topLinePunct w:val="0"/>
        <w:bidi w:val="0"/>
        <w:spacing w:line="600" w:lineRule="exact"/>
        <w:ind w:firstLine="640"/>
        <w:textAlignment w:val="auto"/>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pageBreakBefore w:val="0"/>
        <w:kinsoku/>
        <w:wordWrap/>
        <w:overflowPunct/>
        <w:topLinePunct w:val="0"/>
        <w:bidi w:val="0"/>
        <w:spacing w:line="600" w:lineRule="exact"/>
        <w:ind w:firstLine="640"/>
        <w:textAlignment w:val="auto"/>
        <w:outlineLvl w:val="2"/>
        <w:rPr>
          <w:rFonts w:ascii="仿宋" w:hAnsi="仿宋" w:eastAsia="仿宋"/>
          <w:b/>
          <w:sz w:val="32"/>
          <w:szCs w:val="32"/>
        </w:rPr>
      </w:pPr>
      <w:bookmarkStart w:id="47" w:name="_Toc15377217"/>
      <w:r>
        <w:rPr>
          <w:rFonts w:hint="eastAsia" w:ascii="仿宋" w:hAnsi="仿宋" w:eastAsia="仿宋"/>
          <w:b/>
          <w:sz w:val="32"/>
          <w:szCs w:val="32"/>
        </w:rPr>
        <w:t>（二）“三公”经费财政拨款支出决算具体情况说明</w:t>
      </w:r>
      <w:bookmarkEnd w:id="47"/>
    </w:p>
    <w:p>
      <w:pPr>
        <w:pageBreakBefore w:val="0"/>
        <w:kinsoku/>
        <w:wordWrap/>
        <w:overflowPunct/>
        <w:topLinePunct w:val="0"/>
        <w:bidi w:val="0"/>
        <w:spacing w:line="600" w:lineRule="exact"/>
        <w:ind w:firstLine="640"/>
        <w:textAlignment w:val="auto"/>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12.38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。具体情况如下：</w:t>
      </w:r>
    </w:p>
    <w:p>
      <w:pPr>
        <w:pStyle w:val="14"/>
        <w:rPr>
          <w:rFonts w:hint="eastAsia" w:eastAsia="仿宋"/>
          <w:lang w:eastAsia="zh-CN"/>
        </w:rPr>
      </w:pPr>
      <w:r>
        <w:rPr>
          <w:rFonts w:hint="eastAsia" w:eastAsia="仿宋"/>
          <w:lang w:eastAsia="zh-CN"/>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ageBreakBefore w:val="0"/>
        <w:kinsoku/>
        <w:wordWrap/>
        <w:overflowPunct/>
        <w:topLinePunct w:val="0"/>
        <w:bidi w:val="0"/>
        <w:spacing w:line="600" w:lineRule="exact"/>
        <w:ind w:firstLine="640"/>
        <w:textAlignment w:val="auto"/>
        <w:rPr>
          <w:rFonts w:ascii="仿宋" w:hAnsi="仿宋" w:eastAsia="仿宋"/>
          <w:sz w:val="32"/>
          <w:szCs w:val="32"/>
        </w:rPr>
      </w:pPr>
      <w:r>
        <w:rPr>
          <w:rFonts w:hint="eastAsia" w:ascii="仿宋" w:hAnsi="仿宋" w:eastAsia="仿宋"/>
          <w:sz w:val="32"/>
          <w:szCs w:val="32"/>
        </w:rPr>
        <w:t>（图7：“三公”经费财政拨款支出结构）（饼状图）</w:t>
      </w:r>
    </w:p>
    <w:p>
      <w:pPr>
        <w:pageBreakBefore w:val="0"/>
        <w:kinsoku/>
        <w:wordWrap/>
        <w:overflowPunct/>
        <w:topLinePunct w:val="0"/>
        <w:bidi w:val="0"/>
        <w:spacing w:line="600" w:lineRule="exact"/>
        <w:ind w:firstLine="640"/>
        <w:textAlignment w:val="auto"/>
        <w:rPr>
          <w:rFonts w:ascii="仿宋_GB2312" w:eastAsia="仿宋_GB2312"/>
          <w:b/>
          <w:sz w:val="32"/>
          <w:szCs w:val="32"/>
        </w:rPr>
      </w:pPr>
    </w:p>
    <w:p>
      <w:pPr>
        <w:pageBreakBefore w:val="0"/>
        <w:kinsoku/>
        <w:wordWrap/>
        <w:overflowPunct/>
        <w:topLinePunct w:val="0"/>
        <w:bidi w:val="0"/>
        <w:spacing w:line="600" w:lineRule="exact"/>
        <w:ind w:firstLine="640"/>
        <w:textAlignment w:val="auto"/>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。主要原因是</w:t>
      </w:r>
      <w:r>
        <w:rPr>
          <w:rFonts w:hint="eastAsia" w:ascii="仿宋_GB2312" w:eastAsia="仿宋_GB2312"/>
          <w:sz w:val="32"/>
          <w:szCs w:val="32"/>
          <w:lang w:eastAsia="zh-CN"/>
        </w:rPr>
        <w:t>未安排因公出国（境）</w:t>
      </w:r>
      <w:r>
        <w:rPr>
          <w:rFonts w:hint="eastAsia" w:ascii="仿宋_GB2312" w:eastAsia="仿宋_GB2312"/>
          <w:sz w:val="32"/>
          <w:szCs w:val="32"/>
        </w:rPr>
        <w:t>。</w:t>
      </w:r>
    </w:p>
    <w:p>
      <w:pPr>
        <w:pageBreakBefore w:val="0"/>
        <w:kinsoku/>
        <w:wordWrap/>
        <w:overflowPunct/>
        <w:topLinePunct w:val="0"/>
        <w:bidi w:val="0"/>
        <w:spacing w:line="60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开支内容包括：</w:t>
      </w:r>
      <w:r>
        <w:rPr>
          <w:rFonts w:hint="eastAsia" w:ascii="仿宋_GB2312" w:eastAsia="仿宋_GB2312"/>
          <w:sz w:val="32"/>
          <w:szCs w:val="32"/>
          <w:lang w:eastAsia="zh-CN"/>
        </w:rPr>
        <w:t>无。</w:t>
      </w:r>
    </w:p>
    <w:p>
      <w:pPr>
        <w:pageBreakBefore w:val="0"/>
        <w:kinsoku/>
        <w:wordWrap/>
        <w:overflowPunct/>
        <w:topLinePunct w:val="0"/>
        <w:bidi w:val="0"/>
        <w:spacing w:line="600" w:lineRule="exact"/>
        <w:ind w:firstLine="640"/>
        <w:textAlignment w:val="auto"/>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12.38</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82.53</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11.77</w:t>
      </w:r>
      <w:r>
        <w:rPr>
          <w:rFonts w:hint="eastAsia" w:ascii="仿宋_GB2312" w:eastAsia="仿宋_GB2312"/>
          <w:sz w:val="32"/>
          <w:szCs w:val="32"/>
        </w:rPr>
        <w:t>万元，下降</w:t>
      </w:r>
      <w:r>
        <w:rPr>
          <w:rFonts w:hint="eastAsia" w:ascii="仿宋_GB2312" w:eastAsia="仿宋_GB2312"/>
          <w:sz w:val="32"/>
          <w:szCs w:val="32"/>
          <w:lang w:val="en-US" w:eastAsia="zh-CN"/>
        </w:rPr>
        <w:t>48.74</w:t>
      </w:r>
      <w:r>
        <w:rPr>
          <w:rFonts w:ascii="仿宋_GB2312" w:eastAsia="仿宋_GB2312"/>
          <w:sz w:val="32"/>
          <w:szCs w:val="32"/>
        </w:rPr>
        <w:t>%</w:t>
      </w:r>
      <w:r>
        <w:rPr>
          <w:rFonts w:hint="eastAsia" w:ascii="仿宋_GB2312" w:eastAsia="仿宋_GB2312"/>
          <w:sz w:val="32"/>
          <w:szCs w:val="32"/>
        </w:rPr>
        <w:t>。主要原因</w:t>
      </w:r>
      <w:r>
        <w:rPr>
          <w:rFonts w:hint="eastAsia" w:ascii="仿宋" w:hAnsi="仿宋" w:eastAsia="仿宋"/>
          <w:sz w:val="32"/>
          <w:szCs w:val="32"/>
        </w:rPr>
        <w:t>是</w:t>
      </w:r>
      <w:r>
        <w:rPr>
          <w:rFonts w:hint="eastAsia" w:ascii="仿宋" w:hAnsi="仿宋" w:eastAsia="仿宋"/>
          <w:sz w:val="32"/>
          <w:szCs w:val="32"/>
          <w:lang w:val="en-US" w:eastAsia="zh-CN"/>
        </w:rPr>
        <w:t>2021年新购公车一辆，2022年无新购公车费用，且</w:t>
      </w:r>
      <w:r>
        <w:rPr>
          <w:rFonts w:hint="eastAsia" w:ascii="仿宋" w:hAnsi="仿宋" w:eastAsia="仿宋"/>
          <w:sz w:val="32"/>
          <w:szCs w:val="32"/>
          <w:lang w:eastAsia="zh-CN"/>
        </w:rPr>
        <w:t>停用车况差公车一辆，缩减了维修成本</w:t>
      </w:r>
      <w:r>
        <w:rPr>
          <w:rFonts w:hint="eastAsia" w:ascii="仿宋_GB2312" w:eastAsia="仿宋_GB2312"/>
          <w:sz w:val="32"/>
          <w:szCs w:val="32"/>
        </w:rPr>
        <w:t>。</w:t>
      </w:r>
    </w:p>
    <w:p>
      <w:pPr>
        <w:pageBreakBefore w:val="0"/>
        <w:kinsoku/>
        <w:wordWrap/>
        <w:overflowPunct/>
        <w:topLinePunct w:val="0"/>
        <w:bidi w:val="0"/>
        <w:spacing w:line="600" w:lineRule="exact"/>
        <w:ind w:firstLine="640" w:firstLineChars="200"/>
        <w:textAlignment w:val="auto"/>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5</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3</w:t>
      </w:r>
      <w:r>
        <w:rPr>
          <w:rFonts w:hint="eastAsia" w:ascii="仿宋_GB2312" w:eastAsia="仿宋_GB2312"/>
          <w:sz w:val="32"/>
          <w:szCs w:val="32"/>
        </w:rPr>
        <w:t>辆、载客汽车</w:t>
      </w:r>
      <w:r>
        <w:rPr>
          <w:rFonts w:hint="eastAsia" w:ascii="仿宋_GB2312" w:eastAsia="仿宋_GB2312"/>
          <w:sz w:val="32"/>
          <w:szCs w:val="32"/>
          <w:lang w:val="en-US" w:eastAsia="zh-CN"/>
        </w:rPr>
        <w:t>2</w:t>
      </w:r>
      <w:r>
        <w:rPr>
          <w:rFonts w:hint="eastAsia" w:ascii="仿宋_GB2312" w:eastAsia="仿宋_GB2312"/>
          <w:sz w:val="32"/>
          <w:szCs w:val="32"/>
        </w:rPr>
        <w:t>辆。</w:t>
      </w:r>
    </w:p>
    <w:p>
      <w:pPr>
        <w:pageBreakBefore w:val="0"/>
        <w:kinsoku/>
        <w:wordWrap/>
        <w:overflowPunct/>
        <w:topLinePunct w:val="0"/>
        <w:bidi w:val="0"/>
        <w:spacing w:line="600" w:lineRule="exact"/>
        <w:ind w:firstLine="640"/>
        <w:textAlignment w:val="auto"/>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12.38</w:t>
      </w:r>
      <w:r>
        <w:rPr>
          <w:rFonts w:hint="eastAsia" w:ascii="仿宋_GB2312" w:eastAsia="仿宋_GB2312"/>
          <w:sz w:val="32"/>
          <w:szCs w:val="32"/>
        </w:rPr>
        <w:t>万元。主要用于</w:t>
      </w:r>
      <w:r>
        <w:rPr>
          <w:rFonts w:hint="eastAsia" w:ascii="仿宋_GB2312" w:eastAsia="仿宋_GB2312"/>
          <w:sz w:val="32"/>
          <w:szCs w:val="32"/>
          <w:lang w:eastAsia="zh-CN"/>
        </w:rPr>
        <w:t>保障镇政府各项中心工作开展的公务车运行</w:t>
      </w:r>
      <w:r>
        <w:rPr>
          <w:rFonts w:hint="eastAsia" w:ascii="仿宋_GB2312" w:eastAsia="仿宋_GB2312"/>
          <w:sz w:val="32"/>
          <w:szCs w:val="32"/>
        </w:rPr>
        <w:t>所需的公务用车燃料费、维修费、过路过桥费、保险费等支出。</w:t>
      </w:r>
    </w:p>
    <w:p>
      <w:pPr>
        <w:pageBreakBefore w:val="0"/>
        <w:kinsoku/>
        <w:wordWrap/>
        <w:overflowPunct/>
        <w:topLinePunct w:val="0"/>
        <w:bidi w:val="0"/>
        <w:spacing w:line="600" w:lineRule="exact"/>
        <w:ind w:firstLine="640"/>
        <w:textAlignment w:val="auto"/>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。主要原因是</w:t>
      </w:r>
      <w:r>
        <w:rPr>
          <w:rFonts w:hint="eastAsia" w:ascii="仿宋_GB2312" w:eastAsia="仿宋_GB2312"/>
          <w:sz w:val="32"/>
          <w:szCs w:val="32"/>
          <w:lang w:eastAsia="zh-CN"/>
        </w:rPr>
        <w:t>未安排公务接待</w:t>
      </w:r>
      <w:r>
        <w:rPr>
          <w:rFonts w:hint="eastAsia" w:ascii="仿宋_GB2312" w:eastAsia="仿宋_GB2312"/>
          <w:sz w:val="32"/>
          <w:szCs w:val="32"/>
        </w:rPr>
        <w:t>。其中：</w:t>
      </w:r>
    </w:p>
    <w:p>
      <w:pPr>
        <w:pageBreakBefore w:val="0"/>
        <w:kinsoku/>
        <w:wordWrap/>
        <w:overflowPunct/>
        <w:topLinePunct w:val="0"/>
        <w:bidi w:val="0"/>
        <w:spacing w:line="600" w:lineRule="exact"/>
        <w:ind w:firstLine="640"/>
        <w:textAlignment w:val="auto"/>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w:t>
      </w:r>
      <w:r>
        <w:rPr>
          <w:rFonts w:hint="eastAsia" w:ascii="仿宋_GB2312" w:eastAsia="仿宋_GB2312"/>
          <w:sz w:val="32"/>
          <w:szCs w:val="32"/>
        </w:rPr>
        <w:t>万元。</w:t>
      </w:r>
    </w:p>
    <w:p>
      <w:pPr>
        <w:pageBreakBefore w:val="0"/>
        <w:kinsoku/>
        <w:wordWrap/>
        <w:overflowPunct/>
        <w:topLinePunct w:val="0"/>
        <w:bidi w:val="0"/>
        <w:spacing w:line="600" w:lineRule="exact"/>
        <w:ind w:firstLine="643" w:firstLineChars="200"/>
        <w:textAlignment w:val="auto"/>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w:t>
      </w:r>
      <w:bookmarkStart w:id="48" w:name="_Toc15396610"/>
      <w:bookmarkStart w:id="49" w:name="_Toc15377218"/>
    </w:p>
    <w:p>
      <w:pPr>
        <w:pageBreakBefore w:val="0"/>
        <w:kinsoku/>
        <w:wordWrap/>
        <w:overflowPunct/>
        <w:topLinePunct w:val="0"/>
        <w:bidi w:val="0"/>
        <w:spacing w:line="600" w:lineRule="exact"/>
        <w:ind w:firstLine="640"/>
        <w:textAlignment w:val="auto"/>
        <w:outlineLvl w:val="1"/>
        <w:rPr>
          <w:rStyle w:val="30"/>
          <w:rFonts w:ascii="黑体" w:hAnsi="黑体" w:eastAsia="黑体"/>
        </w:rPr>
      </w:pPr>
      <w:r>
        <w:rPr>
          <w:rFonts w:hint="eastAsia" w:ascii="黑体" w:eastAsia="黑体"/>
          <w:sz w:val="32"/>
          <w:szCs w:val="32"/>
        </w:rPr>
        <w:t>八、</w:t>
      </w:r>
      <w:r>
        <w:rPr>
          <w:rStyle w:val="30"/>
          <w:rFonts w:hint="eastAsia" w:ascii="黑体" w:hAnsi="黑体" w:eastAsia="黑体"/>
          <w:b w:val="0"/>
        </w:rPr>
        <w:t>政府性基金预算支出决算情况说明</w:t>
      </w:r>
      <w:bookmarkEnd w:id="48"/>
      <w:bookmarkEnd w:id="49"/>
    </w:p>
    <w:p>
      <w:pPr>
        <w:pageBreakBefore w:val="0"/>
        <w:kinsoku/>
        <w:wordWrap/>
        <w:overflowPunct/>
        <w:topLinePunct w:val="0"/>
        <w:bidi w:val="0"/>
        <w:spacing w:line="600" w:lineRule="exact"/>
        <w:ind w:firstLine="64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175.98</w:t>
      </w:r>
      <w:r>
        <w:rPr>
          <w:rFonts w:hint="eastAsia" w:ascii="仿宋_GB2312" w:eastAsia="仿宋_GB2312"/>
          <w:sz w:val="32"/>
          <w:szCs w:val="32"/>
        </w:rPr>
        <w:t>万元。</w:t>
      </w:r>
    </w:p>
    <w:p>
      <w:pPr>
        <w:pageBreakBefore w:val="0"/>
        <w:numPr>
          <w:ilvl w:val="0"/>
          <w:numId w:val="4"/>
        </w:numPr>
        <w:kinsoku/>
        <w:wordWrap/>
        <w:overflowPunct/>
        <w:topLinePunct w:val="0"/>
        <w:bidi w:val="0"/>
        <w:spacing w:line="600" w:lineRule="exact"/>
        <w:ind w:firstLine="640"/>
        <w:textAlignment w:val="auto"/>
        <w:outlineLvl w:val="1"/>
        <w:rPr>
          <w:rStyle w:val="30"/>
          <w:rFonts w:ascii="黑体" w:hAnsi="黑体" w:eastAsia="黑体"/>
          <w:b w:val="0"/>
        </w:rPr>
      </w:pPr>
      <w:bookmarkStart w:id="50" w:name="_Toc15396611"/>
      <w:bookmarkStart w:id="51" w:name="_Toc15377219"/>
      <w:r>
        <w:rPr>
          <w:rStyle w:val="30"/>
          <w:rFonts w:hint="eastAsia" w:ascii="黑体" w:hAnsi="黑体" w:eastAsia="黑体"/>
          <w:b w:val="0"/>
        </w:rPr>
        <w:t>国有资本经营预算支出决算情况说明</w:t>
      </w:r>
      <w:bookmarkEnd w:id="50"/>
      <w:bookmarkEnd w:id="51"/>
    </w:p>
    <w:p>
      <w:pPr>
        <w:pageBreakBefore w:val="0"/>
        <w:kinsoku/>
        <w:wordWrap/>
        <w:overflowPunct/>
        <w:topLinePunct w:val="0"/>
        <w:bidi w:val="0"/>
        <w:spacing w:line="600" w:lineRule="exact"/>
        <w:ind w:firstLine="640"/>
        <w:textAlignment w:val="auto"/>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pageBreakBefore w:val="0"/>
        <w:numPr>
          <w:ilvl w:val="0"/>
          <w:numId w:val="4"/>
        </w:numPr>
        <w:kinsoku/>
        <w:wordWrap/>
        <w:overflowPunct/>
        <w:topLinePunct w:val="0"/>
        <w:bidi w:val="0"/>
        <w:spacing w:line="600" w:lineRule="exact"/>
        <w:ind w:firstLine="640"/>
        <w:textAlignment w:val="auto"/>
        <w:outlineLvl w:val="1"/>
        <w:rPr>
          <w:rStyle w:val="30"/>
          <w:rFonts w:ascii="黑体" w:hAnsi="黑体" w:eastAsia="黑体"/>
          <w:b w:val="0"/>
        </w:rPr>
      </w:pPr>
      <w:bookmarkStart w:id="52" w:name="_Toc15377221"/>
      <w:bookmarkStart w:id="53" w:name="_Toc15396612"/>
      <w:r>
        <w:rPr>
          <w:rStyle w:val="30"/>
          <w:rFonts w:hint="eastAsia" w:ascii="黑体" w:hAnsi="黑体" w:eastAsia="黑体"/>
          <w:b w:val="0"/>
        </w:rPr>
        <w:t>其他重要事项的情况说明</w:t>
      </w:r>
      <w:bookmarkEnd w:id="52"/>
      <w:bookmarkEnd w:id="53"/>
    </w:p>
    <w:p>
      <w:pPr>
        <w:pageBreakBefore w:val="0"/>
        <w:kinsoku/>
        <w:wordWrap/>
        <w:overflowPunct/>
        <w:topLinePunct w:val="0"/>
        <w:bidi w:val="0"/>
        <w:spacing w:line="600" w:lineRule="exact"/>
        <w:ind w:firstLine="643" w:firstLineChars="200"/>
        <w:textAlignment w:val="auto"/>
        <w:outlineLvl w:val="2"/>
        <w:rPr>
          <w:rFonts w:ascii="仿宋" w:hAnsi="仿宋" w:eastAsia="仿宋"/>
          <w:sz w:val="32"/>
          <w:szCs w:val="32"/>
        </w:rPr>
      </w:pPr>
      <w:bookmarkStart w:id="54" w:name="_Toc15377222"/>
      <w:r>
        <w:rPr>
          <w:rFonts w:hint="eastAsia" w:ascii="仿宋" w:hAnsi="仿宋" w:eastAsia="仿宋"/>
          <w:b/>
          <w:sz w:val="32"/>
          <w:szCs w:val="32"/>
        </w:rPr>
        <w:t>（一）机关运行经费支出情况</w:t>
      </w:r>
      <w:bookmarkEnd w:id="54"/>
    </w:p>
    <w:p>
      <w:pPr>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峨眉山市双福镇人民政府</w:t>
      </w:r>
      <w:r>
        <w:rPr>
          <w:rFonts w:hint="eastAsia" w:ascii="仿宋_GB2312" w:eastAsia="仿宋_GB2312"/>
          <w:sz w:val="32"/>
          <w:szCs w:val="32"/>
        </w:rPr>
        <w:t>运行经费支出</w:t>
      </w:r>
      <w:r>
        <w:rPr>
          <w:rFonts w:hint="eastAsia" w:ascii="仿宋_GB2312" w:eastAsia="仿宋_GB2312"/>
          <w:sz w:val="32"/>
          <w:szCs w:val="32"/>
          <w:lang w:val="en-US" w:eastAsia="zh-CN"/>
        </w:rPr>
        <w:t>164.68</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41.25</w:t>
      </w:r>
      <w:r>
        <w:rPr>
          <w:rFonts w:hint="eastAsia" w:ascii="仿宋_GB2312" w:eastAsia="仿宋_GB2312"/>
          <w:sz w:val="32"/>
          <w:szCs w:val="32"/>
        </w:rPr>
        <w:t>万元，增长</w:t>
      </w:r>
      <w:r>
        <w:rPr>
          <w:rFonts w:hint="eastAsia" w:ascii="仿宋_GB2312" w:eastAsia="仿宋_GB2312"/>
          <w:sz w:val="32"/>
          <w:szCs w:val="32"/>
          <w:lang w:val="en-US" w:eastAsia="zh-CN"/>
        </w:rPr>
        <w:t>33.42</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2022年疫情防控、疫苗接种等中心工作增加，办公费、劳务费类支出随之增加</w:t>
      </w:r>
      <w:r>
        <w:rPr>
          <w:rFonts w:hint="eastAsia" w:ascii="仿宋_GB2312" w:eastAsia="仿宋_GB2312"/>
          <w:sz w:val="32"/>
          <w:szCs w:val="32"/>
        </w:rPr>
        <w:t>。</w:t>
      </w:r>
    </w:p>
    <w:p>
      <w:pPr>
        <w:pageBreakBefore w:val="0"/>
        <w:kinsoku/>
        <w:wordWrap/>
        <w:overflowPunct/>
        <w:topLinePunct w:val="0"/>
        <w:bidi w:val="0"/>
        <w:spacing w:line="600" w:lineRule="exact"/>
        <w:ind w:firstLine="643" w:firstLineChars="200"/>
        <w:textAlignment w:val="auto"/>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pageBreakBefore w:val="0"/>
        <w:kinsoku/>
        <w:wordWrap/>
        <w:overflowPunct/>
        <w:topLinePunct w:val="0"/>
        <w:autoSpaceDE w:val="0"/>
        <w:autoSpaceDN w:val="0"/>
        <w:bidi w:val="0"/>
        <w:adjustRightInd w:val="0"/>
        <w:spacing w:line="600" w:lineRule="exact"/>
        <w:ind w:firstLine="643" w:firstLineChars="200"/>
        <w:jc w:val="left"/>
        <w:textAlignment w:val="auto"/>
        <w:outlineLvl w:val="2"/>
        <w:rPr>
          <w:rFonts w:ascii="仿宋" w:hAnsi="仿宋" w:eastAsia="仿宋"/>
          <w:b/>
          <w:sz w:val="32"/>
          <w:szCs w:val="32"/>
        </w:rPr>
      </w:pPr>
      <w:bookmarkStart w:id="55" w:name="_Toc15377223"/>
      <w:r>
        <w:rPr>
          <w:rFonts w:hint="eastAsia" w:ascii="仿宋" w:hAnsi="仿宋" w:eastAsia="仿宋"/>
          <w:b/>
          <w:sz w:val="32"/>
          <w:szCs w:val="32"/>
        </w:rPr>
        <w:t>（二）政府采购支出情况</w:t>
      </w:r>
      <w:bookmarkEnd w:id="55"/>
    </w:p>
    <w:p>
      <w:pPr>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峨眉山市双福镇人民</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pageBreakBefore w:val="0"/>
        <w:kinsoku/>
        <w:wordWrap/>
        <w:overflowPunct/>
        <w:topLinePunct w:val="0"/>
        <w:bidi w:val="0"/>
        <w:spacing w:line="600" w:lineRule="exact"/>
        <w:ind w:firstLine="643" w:firstLineChars="200"/>
        <w:textAlignment w:val="auto"/>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pageBreakBefore w:val="0"/>
        <w:kinsoku/>
        <w:wordWrap/>
        <w:overflowPunct/>
        <w:topLinePunct w:val="0"/>
        <w:autoSpaceDE w:val="0"/>
        <w:autoSpaceDN w:val="0"/>
        <w:bidi w:val="0"/>
        <w:adjustRightInd w:val="0"/>
        <w:spacing w:line="600" w:lineRule="exact"/>
        <w:ind w:firstLine="643" w:firstLineChars="200"/>
        <w:jc w:val="left"/>
        <w:textAlignment w:val="auto"/>
        <w:outlineLvl w:val="2"/>
        <w:rPr>
          <w:rFonts w:ascii="仿宋" w:hAnsi="仿宋" w:eastAsia="仿宋"/>
          <w:b/>
          <w:sz w:val="32"/>
          <w:szCs w:val="32"/>
        </w:rPr>
      </w:pPr>
      <w:bookmarkStart w:id="56" w:name="_Toc15377224"/>
      <w:r>
        <w:rPr>
          <w:rFonts w:hint="eastAsia" w:ascii="仿宋" w:hAnsi="仿宋" w:eastAsia="仿宋"/>
          <w:b/>
          <w:sz w:val="32"/>
          <w:szCs w:val="32"/>
        </w:rPr>
        <w:t>（三）国有资产占有使用情况</w:t>
      </w:r>
      <w:bookmarkEnd w:id="56"/>
    </w:p>
    <w:p>
      <w:pPr>
        <w:pageBreakBefore w:val="0"/>
        <w:kinsoku/>
        <w:wordWrap/>
        <w:overflowPunct/>
        <w:topLinePunct w:val="0"/>
        <w:autoSpaceDE w:val="0"/>
        <w:autoSpaceDN w:val="0"/>
        <w:bidi w:val="0"/>
        <w:adjustRightInd w:val="0"/>
        <w:spacing w:line="60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峨眉山市双福镇人民政府</w:t>
      </w:r>
      <w:r>
        <w:rPr>
          <w:rFonts w:hint="eastAsia" w:ascii="仿宋_GB2312" w:eastAsia="仿宋_GB2312"/>
          <w:sz w:val="32"/>
          <w:szCs w:val="32"/>
        </w:rPr>
        <w:t>共有车辆</w:t>
      </w:r>
      <w:r>
        <w:rPr>
          <w:rFonts w:hint="eastAsia" w:ascii="仿宋_GB2312" w:eastAsia="仿宋_GB2312"/>
          <w:sz w:val="32"/>
          <w:szCs w:val="32"/>
          <w:lang w:val="en-US" w:eastAsia="zh-CN"/>
        </w:rPr>
        <w:t>5</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2</w:t>
      </w:r>
      <w:r>
        <w:rPr>
          <w:rFonts w:hint="eastAsia" w:ascii="仿宋_GB2312" w:eastAsia="仿宋_GB2312"/>
          <w:sz w:val="32"/>
          <w:szCs w:val="32"/>
        </w:rPr>
        <w:t>辆、其他用车</w:t>
      </w:r>
      <w:r>
        <w:rPr>
          <w:rFonts w:hint="eastAsia" w:ascii="仿宋_GB2312" w:eastAsia="仿宋_GB2312"/>
          <w:sz w:val="32"/>
          <w:szCs w:val="32"/>
          <w:lang w:val="en-US" w:eastAsia="zh-CN"/>
        </w:rPr>
        <w:t>3</w:t>
      </w:r>
      <w:r>
        <w:rPr>
          <w:rFonts w:hint="eastAsia" w:ascii="仿宋_GB2312" w:eastAsia="仿宋_GB2312"/>
          <w:sz w:val="32"/>
          <w:szCs w:val="32"/>
        </w:rPr>
        <w:t>辆，其他用车主要是用于</w:t>
      </w:r>
      <w:r>
        <w:rPr>
          <w:rFonts w:hint="eastAsia" w:ascii="仿宋_GB2312" w:eastAsia="仿宋_GB2312"/>
          <w:sz w:val="32"/>
          <w:szCs w:val="32"/>
          <w:lang w:eastAsia="zh-CN"/>
        </w:rPr>
        <w:t>保障乡镇日常工作运转</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pageBreakBefore w:val="0"/>
        <w:kinsoku/>
        <w:wordWrap/>
        <w:overflowPunct/>
        <w:topLinePunct w:val="0"/>
        <w:autoSpaceDE w:val="0"/>
        <w:autoSpaceDN w:val="0"/>
        <w:bidi w:val="0"/>
        <w:adjustRightInd w:val="0"/>
        <w:spacing w:line="600" w:lineRule="exact"/>
        <w:ind w:firstLine="643" w:firstLineChars="200"/>
        <w:jc w:val="left"/>
        <w:textAlignment w:val="auto"/>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表，按部门决算报表填报数据罗列车辆情况。）</w:t>
      </w:r>
    </w:p>
    <w:p>
      <w:pPr>
        <w:pageBreakBefore w:val="0"/>
        <w:kinsoku/>
        <w:wordWrap/>
        <w:overflowPunct/>
        <w:topLinePunct w:val="0"/>
        <w:autoSpaceDE w:val="0"/>
        <w:autoSpaceDN w:val="0"/>
        <w:bidi w:val="0"/>
        <w:adjustRightInd w:val="0"/>
        <w:spacing w:line="600" w:lineRule="exact"/>
        <w:ind w:firstLine="643" w:firstLineChars="200"/>
        <w:jc w:val="left"/>
        <w:textAlignment w:val="auto"/>
        <w:outlineLvl w:val="2"/>
        <w:rPr>
          <w:rFonts w:ascii="仿宋" w:hAnsi="仿宋" w:eastAsia="仿宋"/>
          <w:b/>
          <w:sz w:val="32"/>
          <w:szCs w:val="32"/>
        </w:rPr>
      </w:pPr>
      <w:r>
        <w:rPr>
          <w:rFonts w:hint="eastAsia" w:ascii="仿宋" w:hAnsi="仿宋" w:eastAsia="仿宋"/>
          <w:b/>
          <w:sz w:val="32"/>
          <w:szCs w:val="32"/>
        </w:rPr>
        <w:t>（四）预算绩效管理情况</w:t>
      </w:r>
    </w:p>
    <w:p>
      <w:pPr>
        <w:pageBreakBefore w:val="0"/>
        <w:widowControl/>
        <w:kinsoku/>
        <w:wordWrap/>
        <w:overflowPunct/>
        <w:topLinePunct w:val="0"/>
        <w:bidi w:val="0"/>
        <w:spacing w:line="60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根据预算绩效管理要求，本部门在2022年度预算编制阶段，组织对</w:t>
      </w:r>
      <w:r>
        <w:rPr>
          <w:rFonts w:hint="eastAsia" w:ascii="仿宋_GB2312" w:hAnsi="仿宋_GB2312" w:eastAsia="仿宋_GB2312" w:cs="仿宋_GB2312"/>
          <w:color w:val="auto"/>
          <w:sz w:val="32"/>
          <w:szCs w:val="32"/>
          <w:lang w:eastAsia="zh-CN"/>
        </w:rPr>
        <w:t>乡镇专项业务经费</w:t>
      </w:r>
      <w:r>
        <w:rPr>
          <w:rFonts w:hint="eastAsia" w:ascii="仿宋_GB2312" w:hAnsi="仿宋_GB2312" w:eastAsia="仿宋_GB2312" w:cs="仿宋_GB2312"/>
          <w:color w:val="auto"/>
          <w:sz w:val="32"/>
          <w:szCs w:val="32"/>
        </w:rPr>
        <w:t>项目等</w:t>
      </w:r>
      <w:r>
        <w:rPr>
          <w:rFonts w:hint="eastAsia" w:ascii="仿宋_GB2312" w:hAnsi="仿宋_GB2312" w:eastAsia="仿宋_GB2312" w:cs="仿宋_GB2312"/>
          <w:color w:val="auto"/>
          <w:sz w:val="32"/>
          <w:szCs w:val="32"/>
          <w:lang w:val="en-US" w:eastAsia="zh-CN"/>
        </w:rPr>
        <w:t>32</w:t>
      </w:r>
      <w:r>
        <w:rPr>
          <w:rFonts w:hint="eastAsia" w:ascii="仿宋_GB2312" w:hAnsi="仿宋_GB2312" w:eastAsia="仿宋_GB2312" w:cs="仿宋_GB2312"/>
          <w:color w:val="auto"/>
          <w:sz w:val="32"/>
          <w:szCs w:val="32"/>
        </w:rPr>
        <w:t>个项目开展了预算事前绩效评估，对</w:t>
      </w:r>
      <w:r>
        <w:rPr>
          <w:rFonts w:hint="eastAsia" w:ascii="仿宋_GB2312" w:hAnsi="仿宋_GB2312" w:eastAsia="仿宋_GB2312" w:cs="仿宋_GB2312"/>
          <w:color w:val="auto"/>
          <w:sz w:val="32"/>
          <w:szCs w:val="32"/>
          <w:lang w:val="en-US" w:eastAsia="zh-CN"/>
        </w:rPr>
        <w:t>32</w:t>
      </w:r>
      <w:r>
        <w:rPr>
          <w:rFonts w:hint="eastAsia" w:ascii="仿宋_GB2312" w:hAnsi="仿宋_GB2312" w:eastAsia="仿宋_GB2312" w:cs="仿宋_GB2312"/>
          <w:color w:val="auto"/>
          <w:sz w:val="32"/>
          <w:szCs w:val="32"/>
        </w:rPr>
        <w:t>个项目编制了绩效目标，预算执行过程中，选取</w:t>
      </w:r>
      <w:r>
        <w:rPr>
          <w:rFonts w:hint="eastAsia" w:ascii="仿宋_GB2312" w:hAnsi="仿宋_GB2312" w:eastAsia="仿宋_GB2312" w:cs="仿宋_GB2312"/>
          <w:color w:val="auto"/>
          <w:sz w:val="32"/>
          <w:szCs w:val="32"/>
          <w:lang w:val="en-US" w:eastAsia="zh-CN"/>
        </w:rPr>
        <w:t>32</w:t>
      </w:r>
      <w:r>
        <w:rPr>
          <w:rFonts w:hint="eastAsia" w:ascii="仿宋_GB2312" w:hAnsi="仿宋_GB2312" w:eastAsia="仿宋_GB2312" w:cs="仿宋_GB2312"/>
          <w:color w:val="auto"/>
          <w:sz w:val="32"/>
          <w:szCs w:val="32"/>
        </w:rPr>
        <w:t>个项目开展绩效监控。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组织对2022年度一般公共预算、政府性基金预算以及资本资产、债券资金等全面开展绩效自评，形成</w:t>
      </w:r>
      <w:r>
        <w:rPr>
          <w:rFonts w:hint="eastAsia" w:ascii="仿宋_GB2312" w:hAnsi="仿宋_GB2312" w:eastAsia="仿宋_GB2312" w:cs="仿宋_GB2312"/>
          <w:sz w:val="32"/>
          <w:szCs w:val="32"/>
          <w:lang w:eastAsia="zh-CN"/>
        </w:rPr>
        <w:t>峨眉山市双福镇人民政府部门</w:t>
      </w:r>
      <w:r>
        <w:rPr>
          <w:rFonts w:hint="eastAsia" w:ascii="仿宋_GB2312" w:hAnsi="仿宋_GB2312" w:eastAsia="仿宋_GB2312" w:cs="仿宋_GB2312"/>
          <w:sz w:val="32"/>
          <w:szCs w:val="32"/>
        </w:rPr>
        <w:t>整体（含部门预算项目）绩效自评报告、</w:t>
      </w:r>
      <w:r>
        <w:rPr>
          <w:rFonts w:hint="eastAsia" w:ascii="仿宋_GB2312" w:hAnsi="仿宋_GB2312" w:eastAsia="仿宋_GB2312" w:cs="仿宋_GB2312"/>
          <w:sz w:val="32"/>
          <w:szCs w:val="32"/>
          <w:lang w:eastAsia="zh-CN"/>
        </w:rPr>
        <w:t>峨眉山市双福镇人民政府行政事业性国有资产绩效自评报告等</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峨眉山市双福镇人民政府部门</w:t>
      </w:r>
      <w:r>
        <w:rPr>
          <w:rFonts w:hint="eastAsia" w:ascii="仿宋_GB2312" w:hAnsi="仿宋_GB2312" w:eastAsia="仿宋_GB2312" w:cs="仿宋_GB2312"/>
          <w:sz w:val="32"/>
          <w:szCs w:val="32"/>
        </w:rPr>
        <w:t>整体（含部门预算项目）绩效自评得分为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分，绩效自评综述：</w:t>
      </w:r>
      <w:r>
        <w:rPr>
          <w:rFonts w:hint="eastAsia" w:ascii="仿宋_GB2312" w:hAnsi="仿宋_GB2312" w:eastAsia="仿宋_GB2312" w:cs="仿宋_GB2312"/>
          <w:sz w:val="32"/>
          <w:szCs w:val="32"/>
          <w:lang w:val="zh-CN" w:eastAsia="zh-CN"/>
        </w:rPr>
        <w:t>通过绩效管理自评，我镇在预算支出中不存在违法违纪行为。我镇按照要求单独设立财政所，财政所现有工作人员</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人，岗位设置所长（兼任会计）</w:t>
      </w:r>
      <w:r>
        <w:rPr>
          <w:rFonts w:hint="eastAsia" w:ascii="仿宋_GB2312" w:hAnsi="仿宋_GB2312" w:eastAsia="仿宋_GB2312" w:cs="仿宋_GB2312"/>
          <w:sz w:val="32"/>
          <w:szCs w:val="32"/>
          <w:lang w:val="en-US" w:eastAsia="zh-CN"/>
        </w:rPr>
        <w:t>1人</w:t>
      </w:r>
      <w:r>
        <w:rPr>
          <w:rFonts w:hint="eastAsia" w:ascii="仿宋_GB2312" w:hAnsi="仿宋_GB2312" w:eastAsia="仿宋_GB2312" w:cs="仿宋_GB2312"/>
          <w:sz w:val="32"/>
          <w:szCs w:val="32"/>
          <w:lang w:val="zh-CN" w:eastAsia="zh-CN"/>
        </w:rPr>
        <w:t>、出纳</w:t>
      </w:r>
      <w:r>
        <w:rPr>
          <w:rFonts w:hint="eastAsia" w:ascii="仿宋_GB2312" w:hAnsi="仿宋_GB2312" w:eastAsia="仿宋_GB2312" w:cs="仿宋_GB2312"/>
          <w:sz w:val="32"/>
          <w:szCs w:val="32"/>
          <w:lang w:val="en-US" w:eastAsia="zh-CN"/>
        </w:rPr>
        <w:t>1人</w:t>
      </w:r>
      <w:r>
        <w:rPr>
          <w:rFonts w:hint="eastAsia" w:ascii="仿宋_GB2312" w:hAnsi="仿宋_GB2312" w:eastAsia="仿宋_GB2312" w:cs="仿宋_GB2312"/>
          <w:sz w:val="32"/>
          <w:szCs w:val="32"/>
          <w:lang w:val="zh-CN" w:eastAsia="zh-CN"/>
        </w:rPr>
        <w:t>；按要求完成了基础工作制度、公开公示制度、内部控制制度、廉政建设制度的建设工作；做到年初有计划、年中有回顾、年终有总结，会计按月及时记账并装订账簿，按时并保质保量的完成年终部门决算工作、财政资金的对账工作、资产的登记、以及日常的报表及资料的报送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行政事业性国有资产绩效</w:t>
      </w:r>
      <w:r>
        <w:rPr>
          <w:rFonts w:hint="eastAsia" w:ascii="仿宋_GB2312" w:hAnsi="仿宋_GB2312" w:eastAsia="仿宋_GB2312" w:cs="仿宋_GB2312"/>
          <w:sz w:val="32"/>
          <w:szCs w:val="32"/>
        </w:rPr>
        <w:t>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分，绩效自评综述：</w:t>
      </w:r>
      <w:r>
        <w:rPr>
          <w:rFonts w:hint="eastAsia" w:ascii="仿宋_GB2312" w:hAnsi="仿宋_GB2312" w:eastAsia="仿宋_GB2312" w:cs="仿宋_GB2312"/>
          <w:sz w:val="32"/>
          <w:szCs w:val="32"/>
          <w:lang w:val="zh-CN"/>
        </w:rPr>
        <w:t>我单位科学合理做好资产配置，加强资产的日常维护管理，挖掘资产的使用价值，充分发挥资产在单位履行职能方面的物质基础作用，有效保证单位运转需要和提供公共服务需要。</w:t>
      </w:r>
      <w:r>
        <w:rPr>
          <w:rFonts w:hint="eastAsia" w:ascii="仿宋_GB2312" w:hAnsi="仿宋_GB2312" w:eastAsia="仿宋_GB2312" w:cs="仿宋_GB2312"/>
          <w:sz w:val="32"/>
          <w:szCs w:val="32"/>
        </w:rPr>
        <w:t>绩效自评报告详见附件。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pageBreakBefore w:val="0"/>
        <w:numPr>
          <w:ilvl w:val="0"/>
          <w:numId w:val="5"/>
        </w:numPr>
        <w:kinsoku/>
        <w:wordWrap/>
        <w:overflowPunct/>
        <w:topLinePunct w:val="0"/>
        <w:bidi w:val="0"/>
        <w:spacing w:line="600" w:lineRule="exact"/>
        <w:ind w:firstLine="660" w:firstLineChars="150"/>
        <w:jc w:val="center"/>
        <w:textAlignment w:val="auto"/>
        <w:outlineLvl w:val="0"/>
        <w:rPr>
          <w:rStyle w:val="29"/>
          <w:rFonts w:ascii="黑体" w:hAnsi="黑体" w:eastAsia="黑体"/>
          <w:b w:val="0"/>
        </w:rPr>
      </w:pPr>
      <w:bookmarkStart w:id="57" w:name="_Toc15396613"/>
      <w:bookmarkStart w:id="58" w:name="_Toc15377225"/>
      <w:r>
        <w:rPr>
          <w:rFonts w:hint="eastAsia" w:ascii="黑体" w:hAnsi="黑体" w:eastAsia="黑体"/>
          <w:sz w:val="44"/>
          <w:szCs w:val="44"/>
        </w:rPr>
        <w:t>名</w:t>
      </w:r>
      <w:r>
        <w:rPr>
          <w:rStyle w:val="29"/>
          <w:rFonts w:hint="eastAsia" w:ascii="黑体" w:hAnsi="黑体" w:eastAsia="黑体"/>
          <w:b w:val="0"/>
        </w:rPr>
        <w:t>词解释</w:t>
      </w:r>
      <w:bookmarkEnd w:id="57"/>
      <w:bookmarkEnd w:id="58"/>
    </w:p>
    <w:p>
      <w:pPr>
        <w:pageBreakBefore w:val="0"/>
        <w:kinsoku/>
        <w:wordWrap/>
        <w:overflowPunct/>
        <w:topLinePunct w:val="0"/>
        <w:bidi w:val="0"/>
        <w:spacing w:line="600" w:lineRule="exact"/>
        <w:jc w:val="left"/>
        <w:textAlignment w:val="auto"/>
        <w:rPr>
          <w:rFonts w:ascii="宋体"/>
          <w:b/>
          <w:sz w:val="44"/>
          <w:szCs w:val="44"/>
        </w:rPr>
      </w:pPr>
    </w:p>
    <w:p>
      <w:pPr>
        <w:pStyle w:val="27"/>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7"/>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7"/>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7"/>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pPr>
        <w:pStyle w:val="27"/>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7"/>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7"/>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7"/>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一般公共服务（类）</w:t>
      </w:r>
      <w:r>
        <w:rPr>
          <w:rFonts w:hint="eastAsia" w:ascii="仿宋_GB2312" w:eastAsia="仿宋_GB2312"/>
          <w:sz w:val="32"/>
          <w:szCs w:val="32"/>
          <w:lang w:eastAsia="zh-CN"/>
        </w:rPr>
        <w:t>政府办公厅（室）及相关机构事务</w:t>
      </w:r>
      <w:r>
        <w:rPr>
          <w:rFonts w:hint="eastAsia" w:ascii="仿宋_GB2312" w:eastAsia="仿宋_GB2312"/>
          <w:sz w:val="32"/>
          <w:szCs w:val="32"/>
        </w:rPr>
        <w:t>（款）</w:t>
      </w:r>
      <w:r>
        <w:rPr>
          <w:rFonts w:hint="eastAsia" w:ascii="仿宋_GB2312" w:eastAsia="仿宋_GB2312"/>
          <w:sz w:val="32"/>
          <w:szCs w:val="32"/>
          <w:lang w:eastAsia="zh-CN"/>
        </w:rPr>
        <w:t>行政运行（</w:t>
      </w:r>
      <w:r>
        <w:rPr>
          <w:rFonts w:hint="eastAsia" w:ascii="仿宋_GB2312" w:eastAsia="仿宋_GB2312"/>
          <w:sz w:val="32"/>
          <w:szCs w:val="32"/>
        </w:rPr>
        <w:t>项）：指</w:t>
      </w:r>
      <w:r>
        <w:rPr>
          <w:rFonts w:hint="eastAsia" w:ascii="仿宋_GB2312" w:eastAsia="仿宋_GB2312"/>
          <w:sz w:val="32"/>
          <w:szCs w:val="32"/>
          <w:lang w:eastAsia="zh-CN"/>
        </w:rPr>
        <w:t>反映行政单位（包括实行公务员管理的事业单位）的基本支出</w:t>
      </w:r>
      <w:r>
        <w:rPr>
          <w:rFonts w:hint="eastAsia" w:ascii="仿宋_GB2312" w:eastAsia="仿宋_GB2312"/>
          <w:sz w:val="32"/>
          <w:szCs w:val="32"/>
        </w:rPr>
        <w:t>。</w:t>
      </w:r>
    </w:p>
    <w:p>
      <w:pPr>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一般公共服务（类）</w:t>
      </w:r>
      <w:r>
        <w:rPr>
          <w:rFonts w:hint="eastAsia" w:ascii="仿宋_GB2312" w:eastAsia="仿宋_GB2312"/>
          <w:sz w:val="32"/>
          <w:szCs w:val="32"/>
          <w:lang w:eastAsia="zh-CN"/>
        </w:rPr>
        <w:t>政府办公厅（室）及相关机构事务</w:t>
      </w:r>
      <w:r>
        <w:rPr>
          <w:rFonts w:hint="eastAsia" w:ascii="仿宋_GB2312" w:eastAsia="仿宋_GB2312"/>
          <w:sz w:val="32"/>
          <w:szCs w:val="32"/>
        </w:rPr>
        <w:t>（款）</w:t>
      </w:r>
      <w:r>
        <w:rPr>
          <w:rFonts w:hint="eastAsia" w:ascii="仿宋_GB2312" w:eastAsia="仿宋_GB2312"/>
          <w:sz w:val="32"/>
          <w:szCs w:val="32"/>
          <w:lang w:eastAsia="zh-CN"/>
        </w:rPr>
        <w:t>一般行政管理事务</w:t>
      </w:r>
      <w:r>
        <w:rPr>
          <w:rFonts w:hint="eastAsia" w:ascii="仿宋_GB2312" w:eastAsia="仿宋_GB2312"/>
          <w:sz w:val="32"/>
          <w:szCs w:val="32"/>
        </w:rPr>
        <w:t>（项）：指</w:t>
      </w:r>
      <w:r>
        <w:rPr>
          <w:rFonts w:hint="eastAsia" w:ascii="仿宋_GB2312" w:eastAsia="仿宋_GB2312"/>
          <w:sz w:val="32"/>
          <w:szCs w:val="32"/>
          <w:lang w:eastAsia="zh-CN"/>
        </w:rPr>
        <w:t>反映行政单位（包括实行公务员管理的事业单位）未单独设置项级科目的其他项目支出</w:t>
      </w:r>
      <w:r>
        <w:rPr>
          <w:rFonts w:hint="eastAsia" w:ascii="仿宋_GB2312" w:eastAsia="仿宋_GB2312"/>
          <w:sz w:val="32"/>
          <w:szCs w:val="32"/>
        </w:rPr>
        <w:t>。</w:t>
      </w:r>
    </w:p>
    <w:p>
      <w:pPr>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一般公共服务（类）</w:t>
      </w:r>
      <w:r>
        <w:rPr>
          <w:rFonts w:hint="eastAsia" w:ascii="仿宋_GB2312" w:eastAsia="仿宋_GB2312"/>
          <w:sz w:val="32"/>
          <w:szCs w:val="32"/>
          <w:lang w:eastAsia="zh-CN"/>
        </w:rPr>
        <w:t>政府办公厅（室）及相关机构事务</w:t>
      </w:r>
      <w:r>
        <w:rPr>
          <w:rFonts w:hint="eastAsia" w:ascii="仿宋_GB2312" w:eastAsia="仿宋_GB2312"/>
          <w:sz w:val="32"/>
          <w:szCs w:val="32"/>
        </w:rPr>
        <w:t>（款）</w:t>
      </w:r>
      <w:r>
        <w:rPr>
          <w:rFonts w:hint="eastAsia" w:ascii="仿宋_GB2312" w:eastAsia="仿宋_GB2312"/>
          <w:sz w:val="32"/>
          <w:szCs w:val="32"/>
          <w:lang w:eastAsia="zh-CN"/>
        </w:rPr>
        <w:t>其他政府办公厅（室）及相关机构事务支出</w:t>
      </w:r>
      <w:r>
        <w:rPr>
          <w:rFonts w:hint="eastAsia" w:ascii="仿宋_GB2312" w:eastAsia="仿宋_GB2312"/>
          <w:sz w:val="32"/>
          <w:szCs w:val="32"/>
        </w:rPr>
        <w:t>（项）：指</w:t>
      </w:r>
      <w:r>
        <w:rPr>
          <w:rFonts w:hint="eastAsia" w:ascii="仿宋_GB2312" w:eastAsia="仿宋_GB2312"/>
          <w:sz w:val="32"/>
          <w:szCs w:val="32"/>
          <w:lang w:eastAsia="zh-CN"/>
        </w:rPr>
        <w:t>反映行政单位（包括实行公务员管理的事业单位）除上述项目以外的其他政府办公厅（室）及相关机构事务支出</w:t>
      </w:r>
      <w:r>
        <w:rPr>
          <w:rFonts w:hint="eastAsia" w:ascii="仿宋_GB2312" w:eastAsia="仿宋_GB2312"/>
          <w:sz w:val="32"/>
          <w:szCs w:val="32"/>
        </w:rPr>
        <w:t>。</w:t>
      </w:r>
    </w:p>
    <w:p>
      <w:pPr>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社会保障和就业（类）</w:t>
      </w:r>
      <w:r>
        <w:rPr>
          <w:rFonts w:hint="eastAsia" w:ascii="仿宋_GB2312" w:eastAsia="仿宋_GB2312"/>
          <w:sz w:val="32"/>
          <w:szCs w:val="32"/>
          <w:lang w:eastAsia="zh-CN"/>
        </w:rPr>
        <w:t>民政管理事务</w:t>
      </w:r>
      <w:r>
        <w:rPr>
          <w:rFonts w:hint="eastAsia" w:ascii="仿宋_GB2312" w:eastAsia="仿宋_GB2312"/>
          <w:sz w:val="32"/>
          <w:szCs w:val="32"/>
        </w:rPr>
        <w:t>（款）</w:t>
      </w:r>
      <w:r>
        <w:rPr>
          <w:rFonts w:hint="eastAsia" w:ascii="仿宋_GB2312" w:eastAsia="仿宋_GB2312"/>
          <w:sz w:val="32"/>
          <w:szCs w:val="32"/>
          <w:lang w:eastAsia="zh-CN"/>
        </w:rPr>
        <w:t>基层政权建设和社区治理</w:t>
      </w:r>
      <w:r>
        <w:rPr>
          <w:rFonts w:hint="eastAsia" w:ascii="仿宋_GB2312" w:eastAsia="仿宋_GB2312"/>
          <w:sz w:val="32"/>
          <w:szCs w:val="32"/>
        </w:rPr>
        <w:t>（项）：指</w:t>
      </w:r>
      <w:r>
        <w:rPr>
          <w:rFonts w:hint="eastAsia" w:ascii="仿宋_GB2312" w:eastAsia="仿宋_GB2312"/>
          <w:sz w:val="32"/>
          <w:szCs w:val="32"/>
          <w:lang w:eastAsia="zh-CN"/>
        </w:rPr>
        <w:t>反映开展城乡社区治理、城乡社区服务（乡村便民服务）、村（居）民自治、村（居）务公开、乡镇（街道）服务能力建设等基层政权建设和社区治理工作的支出</w:t>
      </w:r>
      <w:r>
        <w:rPr>
          <w:rFonts w:hint="eastAsia" w:ascii="仿宋_GB2312" w:eastAsia="仿宋_GB2312"/>
          <w:sz w:val="32"/>
          <w:szCs w:val="32"/>
        </w:rPr>
        <w:t>。</w:t>
      </w:r>
    </w:p>
    <w:p>
      <w:pPr>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lang w:eastAsia="zh-CN"/>
        </w:rPr>
      </w:pPr>
      <w:r>
        <w:rPr>
          <w:rFonts w:ascii="仿宋_GB2312" w:eastAsia="仿宋_GB2312"/>
          <w:sz w:val="32"/>
          <w:szCs w:val="32"/>
        </w:rPr>
        <w:t>1</w:t>
      </w: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社会保障和就业（类）</w:t>
      </w:r>
      <w:r>
        <w:rPr>
          <w:rFonts w:hint="eastAsia" w:ascii="仿宋_GB2312" w:eastAsia="仿宋_GB2312"/>
          <w:sz w:val="32"/>
          <w:szCs w:val="32"/>
          <w:lang w:eastAsia="zh-CN"/>
        </w:rPr>
        <w:t>行政事业单位养老支出（款）机关事业单位基本养老保险缴费支出（项）：指反映机关事业单位实施养老保险制度由单位实际缴纳的基本养老保险费支出。</w:t>
      </w:r>
    </w:p>
    <w:p>
      <w:pPr>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14.</w:t>
      </w:r>
      <w:r>
        <w:rPr>
          <w:rFonts w:hint="eastAsia" w:ascii="仿宋_GB2312" w:eastAsia="仿宋_GB2312"/>
          <w:sz w:val="32"/>
          <w:szCs w:val="32"/>
        </w:rPr>
        <w:t>社会保障和就业（类）</w:t>
      </w:r>
      <w:r>
        <w:rPr>
          <w:rFonts w:hint="eastAsia" w:ascii="仿宋_GB2312" w:eastAsia="仿宋_GB2312"/>
          <w:sz w:val="32"/>
          <w:szCs w:val="32"/>
          <w:lang w:eastAsia="zh-CN"/>
        </w:rPr>
        <w:t>行政事业单位养老支出（款）机关事业单位职业年金缴费支出（项）：指反映机关事业单位实施养老保险制度由单位实际缴纳的职业年金支出。</w:t>
      </w:r>
    </w:p>
    <w:p>
      <w:pPr>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15.</w:t>
      </w:r>
      <w:r>
        <w:rPr>
          <w:rFonts w:hint="eastAsia" w:ascii="仿宋_GB2312" w:eastAsia="仿宋_GB2312"/>
          <w:sz w:val="32"/>
          <w:szCs w:val="32"/>
        </w:rPr>
        <w:t>社会保障和就业（类）</w:t>
      </w:r>
      <w:r>
        <w:rPr>
          <w:rFonts w:hint="eastAsia" w:ascii="仿宋_GB2312" w:eastAsia="仿宋_GB2312"/>
          <w:sz w:val="32"/>
          <w:szCs w:val="32"/>
          <w:lang w:eastAsia="zh-CN"/>
        </w:rPr>
        <w:t>抚恤（款）死亡抚恤（项）：指反映按规定用于烈士和牺牲、病故人员家属的一次性和定期抚恤金、丧葬补助费以及烈士褒扬金。</w:t>
      </w:r>
    </w:p>
    <w:p>
      <w:pPr>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16.</w:t>
      </w:r>
      <w:r>
        <w:rPr>
          <w:rFonts w:hint="eastAsia" w:ascii="仿宋_GB2312" w:eastAsia="仿宋_GB2312"/>
          <w:sz w:val="32"/>
          <w:szCs w:val="32"/>
        </w:rPr>
        <w:t>社会保障和就业（类）</w:t>
      </w:r>
      <w:r>
        <w:rPr>
          <w:rFonts w:hint="eastAsia" w:ascii="仿宋_GB2312" w:eastAsia="仿宋_GB2312"/>
          <w:sz w:val="32"/>
          <w:szCs w:val="32"/>
          <w:lang w:eastAsia="zh-CN"/>
        </w:rPr>
        <w:t>抚恤（款）其他优抚支出（项）：指反映除上述项目以外其他用于优抚方面的支出，包括向优抚对象发放的价格临时补贴等支出。</w:t>
      </w:r>
    </w:p>
    <w:p>
      <w:pPr>
        <w:pageBreakBefore w:val="0"/>
        <w:kinsoku/>
        <w:wordWrap/>
        <w:overflowPunct/>
        <w:topLinePunct w:val="0"/>
        <w:bidi w:val="0"/>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17.</w:t>
      </w:r>
      <w:r>
        <w:rPr>
          <w:rFonts w:hint="eastAsia" w:ascii="仿宋_GB2312" w:eastAsia="仿宋_GB2312"/>
          <w:sz w:val="32"/>
          <w:szCs w:val="32"/>
        </w:rPr>
        <w:t>社会保障和就业（类）</w:t>
      </w:r>
      <w:r>
        <w:rPr>
          <w:rFonts w:hint="eastAsia" w:ascii="仿宋_GB2312" w:eastAsia="仿宋_GB2312"/>
          <w:sz w:val="32"/>
          <w:szCs w:val="32"/>
          <w:lang w:eastAsia="zh-CN"/>
        </w:rPr>
        <w:t>其他社会保障和就业支出（款）其他社会保障和就业支出（项）：指反映除上述项目以外其他用于社会保障和就业方面的支出</w:t>
      </w:r>
    </w:p>
    <w:p>
      <w:pPr>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卫生健康（类）</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行政单位医疗</w:t>
      </w:r>
      <w:r>
        <w:rPr>
          <w:rFonts w:hint="eastAsia" w:ascii="仿宋_GB2312" w:eastAsia="仿宋_GB2312"/>
          <w:sz w:val="32"/>
          <w:szCs w:val="32"/>
        </w:rPr>
        <w:t>（项）：指</w:t>
      </w:r>
      <w:r>
        <w:rPr>
          <w:rFonts w:hint="eastAsia" w:ascii="仿宋_GB2312" w:eastAsia="仿宋_GB2312"/>
          <w:sz w:val="32"/>
          <w:szCs w:val="32"/>
          <w:lang w:eastAsia="zh-CN"/>
        </w:rPr>
        <w:t>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eastAsia="仿宋_GB2312"/>
          <w:sz w:val="32"/>
          <w:szCs w:val="32"/>
        </w:rPr>
        <w:t>。</w:t>
      </w:r>
    </w:p>
    <w:p>
      <w:pPr>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lang w:eastAsia="zh-CN"/>
        </w:rPr>
      </w:pPr>
      <w:r>
        <w:rPr>
          <w:rFonts w:ascii="仿宋_GB2312" w:eastAsia="仿宋_GB2312"/>
          <w:sz w:val="32"/>
          <w:szCs w:val="32"/>
        </w:rPr>
        <w:t>1</w:t>
      </w: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卫生健康（类）</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公务员医疗补助</w:t>
      </w:r>
      <w:r>
        <w:rPr>
          <w:rFonts w:hint="eastAsia" w:ascii="仿宋_GB2312" w:eastAsia="仿宋_GB2312"/>
          <w:sz w:val="32"/>
          <w:szCs w:val="32"/>
        </w:rPr>
        <w:t>（项）：指</w:t>
      </w:r>
      <w:r>
        <w:rPr>
          <w:rFonts w:hint="eastAsia" w:ascii="仿宋_GB2312" w:eastAsia="仿宋_GB2312"/>
          <w:sz w:val="32"/>
          <w:szCs w:val="32"/>
          <w:lang w:eastAsia="zh-CN"/>
        </w:rPr>
        <w:t>反映财政部门安排的公务员医疗补助经费。</w:t>
      </w:r>
    </w:p>
    <w:p>
      <w:pPr>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城乡社区（类）</w:t>
      </w:r>
      <w:r>
        <w:rPr>
          <w:rFonts w:hint="eastAsia" w:ascii="仿宋_GB2312" w:eastAsia="仿宋_GB2312"/>
          <w:sz w:val="32"/>
          <w:szCs w:val="32"/>
          <w:lang w:eastAsia="zh-CN"/>
        </w:rPr>
        <w:t>城乡社区环境卫生</w:t>
      </w:r>
      <w:r>
        <w:rPr>
          <w:rFonts w:hint="eastAsia" w:ascii="仿宋_GB2312" w:eastAsia="仿宋_GB2312"/>
          <w:sz w:val="32"/>
          <w:szCs w:val="32"/>
        </w:rPr>
        <w:t>（款）</w:t>
      </w:r>
      <w:r>
        <w:rPr>
          <w:rFonts w:hint="eastAsia" w:ascii="仿宋_GB2312" w:eastAsia="仿宋_GB2312"/>
          <w:sz w:val="32"/>
          <w:szCs w:val="32"/>
          <w:lang w:eastAsia="zh-CN"/>
        </w:rPr>
        <w:t>城乡社区环境卫生</w:t>
      </w:r>
      <w:r>
        <w:rPr>
          <w:rFonts w:hint="eastAsia" w:ascii="仿宋_GB2312" w:eastAsia="仿宋_GB2312"/>
          <w:sz w:val="32"/>
          <w:szCs w:val="32"/>
        </w:rPr>
        <w:t>（项）：指</w:t>
      </w:r>
      <w:r>
        <w:rPr>
          <w:rFonts w:hint="eastAsia" w:ascii="仿宋_GB2312" w:eastAsia="仿宋_GB2312"/>
          <w:sz w:val="32"/>
          <w:szCs w:val="32"/>
          <w:lang w:eastAsia="zh-CN"/>
        </w:rPr>
        <w:t>反映城乡社区道路清扫、垃圾清运与处理、公厕建设与维护、园林绿化等方面的支出</w:t>
      </w:r>
      <w:r>
        <w:rPr>
          <w:rFonts w:hint="eastAsia" w:ascii="仿宋_GB2312" w:eastAsia="仿宋_GB2312"/>
          <w:sz w:val="32"/>
          <w:szCs w:val="32"/>
        </w:rPr>
        <w:t>。</w:t>
      </w:r>
    </w:p>
    <w:p>
      <w:pPr>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21</w:t>
      </w:r>
      <w:r>
        <w:rPr>
          <w:rFonts w:ascii="仿宋_GB2312" w:eastAsia="仿宋_GB2312"/>
          <w:sz w:val="32"/>
          <w:szCs w:val="32"/>
        </w:rPr>
        <w:t>.</w:t>
      </w:r>
      <w:r>
        <w:rPr>
          <w:rFonts w:hint="eastAsia" w:ascii="仿宋_GB2312" w:eastAsia="仿宋_GB2312"/>
          <w:sz w:val="32"/>
          <w:szCs w:val="32"/>
        </w:rPr>
        <w:t>城乡社区（类）</w:t>
      </w:r>
      <w:r>
        <w:rPr>
          <w:rFonts w:hint="eastAsia" w:ascii="仿宋_GB2312" w:eastAsia="仿宋_GB2312"/>
          <w:sz w:val="32"/>
          <w:szCs w:val="32"/>
          <w:lang w:eastAsia="zh-CN"/>
        </w:rPr>
        <w:t>国有土地使用权出让收入安排的支出</w:t>
      </w:r>
      <w:r>
        <w:rPr>
          <w:rFonts w:hint="eastAsia" w:ascii="仿宋_GB2312" w:eastAsia="仿宋_GB2312"/>
          <w:sz w:val="32"/>
          <w:szCs w:val="32"/>
        </w:rPr>
        <w:t>（款）</w:t>
      </w:r>
      <w:r>
        <w:rPr>
          <w:rFonts w:hint="eastAsia" w:ascii="仿宋_GB2312" w:eastAsia="仿宋_GB2312"/>
          <w:sz w:val="32"/>
          <w:szCs w:val="32"/>
          <w:lang w:eastAsia="zh-CN"/>
        </w:rPr>
        <w:t>农村基础设施建设支出</w:t>
      </w:r>
      <w:r>
        <w:rPr>
          <w:rFonts w:hint="eastAsia" w:ascii="仿宋_GB2312" w:eastAsia="仿宋_GB2312"/>
          <w:sz w:val="32"/>
          <w:szCs w:val="32"/>
        </w:rPr>
        <w:t>（项）：指</w:t>
      </w:r>
      <w:r>
        <w:rPr>
          <w:rFonts w:hint="eastAsia" w:ascii="仿宋_GB2312" w:eastAsia="仿宋_GB2312"/>
          <w:sz w:val="32"/>
          <w:szCs w:val="32"/>
          <w:lang w:eastAsia="zh-CN"/>
        </w:rPr>
        <w:t>反映土地出让收入用于农村供水保障、村庄公共设施建设和管护以及与农业农村直接相关的以工代赈等方面的支出。</w:t>
      </w:r>
    </w:p>
    <w:p>
      <w:pPr>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22</w:t>
      </w:r>
      <w:r>
        <w:rPr>
          <w:rFonts w:ascii="仿宋_GB2312" w:eastAsia="仿宋_GB2312"/>
          <w:sz w:val="32"/>
          <w:szCs w:val="32"/>
        </w:rPr>
        <w:t>.</w:t>
      </w:r>
      <w:r>
        <w:rPr>
          <w:rFonts w:hint="eastAsia" w:ascii="仿宋_GB2312" w:eastAsia="仿宋_GB2312"/>
          <w:sz w:val="32"/>
          <w:szCs w:val="32"/>
        </w:rPr>
        <w:t>城乡社区（类）</w:t>
      </w:r>
      <w:r>
        <w:rPr>
          <w:rFonts w:hint="eastAsia" w:ascii="仿宋_GB2312" w:eastAsia="仿宋_GB2312"/>
          <w:sz w:val="32"/>
          <w:szCs w:val="32"/>
          <w:lang w:eastAsia="zh-CN"/>
        </w:rPr>
        <w:t>国有土地使用权出让收入安排的支出</w:t>
      </w:r>
      <w:r>
        <w:rPr>
          <w:rFonts w:hint="eastAsia" w:ascii="仿宋_GB2312" w:eastAsia="仿宋_GB2312"/>
          <w:sz w:val="32"/>
          <w:szCs w:val="32"/>
        </w:rPr>
        <w:t>（款）</w:t>
      </w:r>
      <w:r>
        <w:rPr>
          <w:rFonts w:hint="eastAsia" w:ascii="仿宋_GB2312" w:eastAsia="仿宋_GB2312"/>
          <w:sz w:val="32"/>
          <w:szCs w:val="32"/>
          <w:lang w:eastAsia="zh-CN"/>
        </w:rPr>
        <w:t>其他国有土地使用权出让收入安排的支出</w:t>
      </w:r>
      <w:r>
        <w:rPr>
          <w:rFonts w:hint="eastAsia" w:ascii="仿宋_GB2312" w:eastAsia="仿宋_GB2312"/>
          <w:sz w:val="32"/>
          <w:szCs w:val="32"/>
        </w:rPr>
        <w:t>（项）：指</w:t>
      </w:r>
      <w:r>
        <w:rPr>
          <w:rFonts w:hint="eastAsia" w:ascii="仿宋_GB2312" w:eastAsia="仿宋_GB2312"/>
          <w:sz w:val="32"/>
          <w:szCs w:val="32"/>
          <w:lang w:eastAsia="zh-CN"/>
        </w:rPr>
        <w:t>反映土地出让收入用于其他方面的支出。不包括市县级政府当年按规定用土地出让收入向中央和省级政府缴纳的新增建设用地土地有偿使用费的支出。</w:t>
      </w:r>
    </w:p>
    <w:p>
      <w:pPr>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23</w:t>
      </w:r>
      <w:r>
        <w:rPr>
          <w:rFonts w:ascii="仿宋_GB2312" w:eastAsia="仿宋_GB2312"/>
          <w:sz w:val="32"/>
          <w:szCs w:val="32"/>
        </w:rPr>
        <w:t>.</w:t>
      </w:r>
      <w:r>
        <w:rPr>
          <w:rFonts w:hint="eastAsia" w:ascii="仿宋_GB2312" w:eastAsia="仿宋_GB2312"/>
          <w:sz w:val="32"/>
          <w:szCs w:val="32"/>
        </w:rPr>
        <w:t>农林水（类）</w:t>
      </w:r>
      <w:r>
        <w:rPr>
          <w:rFonts w:hint="eastAsia" w:ascii="仿宋_GB2312" w:eastAsia="仿宋_GB2312"/>
          <w:sz w:val="32"/>
          <w:szCs w:val="32"/>
          <w:lang w:eastAsia="zh-CN"/>
        </w:rPr>
        <w:t>农业农村</w:t>
      </w:r>
      <w:r>
        <w:rPr>
          <w:rFonts w:hint="eastAsia" w:ascii="仿宋_GB2312" w:eastAsia="仿宋_GB2312"/>
          <w:sz w:val="32"/>
          <w:szCs w:val="32"/>
        </w:rPr>
        <w:t>（款）</w:t>
      </w:r>
      <w:r>
        <w:rPr>
          <w:rFonts w:hint="eastAsia" w:ascii="仿宋_GB2312" w:eastAsia="仿宋_GB2312"/>
          <w:sz w:val="32"/>
          <w:szCs w:val="32"/>
          <w:lang w:eastAsia="zh-CN"/>
        </w:rPr>
        <w:t>事业运行</w:t>
      </w:r>
      <w:r>
        <w:rPr>
          <w:rFonts w:hint="eastAsia" w:ascii="仿宋_GB2312" w:eastAsia="仿宋_GB2312"/>
          <w:sz w:val="32"/>
          <w:szCs w:val="32"/>
        </w:rPr>
        <w:t>（项）：指</w:t>
      </w:r>
      <w:r>
        <w:rPr>
          <w:rFonts w:hint="eastAsia" w:ascii="仿宋_GB2312" w:eastAsia="仿宋_GB2312"/>
          <w:sz w:val="32"/>
          <w:szCs w:val="32"/>
          <w:lang w:eastAsia="zh-CN"/>
        </w:rPr>
        <w:t>反映用于农业事业单位基本支出，事业单位设施、系统运行与资产维护等方面的支出</w:t>
      </w:r>
      <w:r>
        <w:rPr>
          <w:rFonts w:hint="eastAsia" w:ascii="仿宋_GB2312" w:eastAsia="仿宋_GB2312"/>
          <w:sz w:val="32"/>
          <w:szCs w:val="32"/>
        </w:rPr>
        <w:t>。</w:t>
      </w:r>
    </w:p>
    <w:p>
      <w:pPr>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24</w:t>
      </w:r>
      <w:r>
        <w:rPr>
          <w:rFonts w:ascii="仿宋_GB2312" w:eastAsia="仿宋_GB2312"/>
          <w:sz w:val="32"/>
          <w:szCs w:val="32"/>
        </w:rPr>
        <w:t>.</w:t>
      </w:r>
      <w:r>
        <w:rPr>
          <w:rFonts w:hint="eastAsia" w:ascii="仿宋_GB2312" w:eastAsia="仿宋_GB2312"/>
          <w:sz w:val="32"/>
          <w:szCs w:val="32"/>
        </w:rPr>
        <w:t>农林水（类）</w:t>
      </w:r>
      <w:r>
        <w:rPr>
          <w:rFonts w:hint="eastAsia" w:ascii="仿宋_GB2312" w:eastAsia="仿宋_GB2312"/>
          <w:sz w:val="32"/>
          <w:szCs w:val="32"/>
          <w:lang w:eastAsia="zh-CN"/>
        </w:rPr>
        <w:t>农业农村</w:t>
      </w:r>
      <w:r>
        <w:rPr>
          <w:rFonts w:hint="eastAsia" w:ascii="仿宋_GB2312" w:eastAsia="仿宋_GB2312"/>
          <w:sz w:val="32"/>
          <w:szCs w:val="32"/>
        </w:rPr>
        <w:t>（款）</w:t>
      </w:r>
      <w:r>
        <w:rPr>
          <w:rFonts w:hint="eastAsia" w:ascii="仿宋_GB2312" w:eastAsia="仿宋_GB2312"/>
          <w:sz w:val="32"/>
          <w:szCs w:val="32"/>
          <w:lang w:eastAsia="zh-CN"/>
        </w:rPr>
        <w:t>农业生产发展</w:t>
      </w:r>
      <w:r>
        <w:rPr>
          <w:rFonts w:hint="eastAsia" w:ascii="仿宋_GB2312" w:eastAsia="仿宋_GB2312"/>
          <w:sz w:val="32"/>
          <w:szCs w:val="32"/>
        </w:rPr>
        <w:t>（项）：指</w:t>
      </w:r>
      <w:r>
        <w:rPr>
          <w:rFonts w:hint="eastAsia" w:ascii="仿宋_GB2312" w:eastAsia="仿宋_GB2312"/>
          <w:sz w:val="32"/>
          <w:szCs w:val="32"/>
          <w:lang w:eastAsia="zh-CN"/>
        </w:rPr>
        <w:t>反映用于耕地地力保护、适度规模经营、农机购置补贴、优势特色主导产业发展、畜牧水产发展、农村一二三产业融合等方面支出。</w:t>
      </w:r>
    </w:p>
    <w:p>
      <w:pPr>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25</w:t>
      </w:r>
      <w:r>
        <w:rPr>
          <w:rFonts w:ascii="仿宋_GB2312" w:eastAsia="仿宋_GB2312"/>
          <w:sz w:val="32"/>
          <w:szCs w:val="32"/>
        </w:rPr>
        <w:t>.</w:t>
      </w:r>
      <w:r>
        <w:rPr>
          <w:rFonts w:hint="eastAsia" w:ascii="仿宋_GB2312" w:eastAsia="仿宋_GB2312"/>
          <w:sz w:val="32"/>
          <w:szCs w:val="32"/>
        </w:rPr>
        <w:t>农林水（类）</w:t>
      </w:r>
      <w:r>
        <w:rPr>
          <w:rFonts w:hint="eastAsia" w:ascii="仿宋_GB2312" w:eastAsia="仿宋_GB2312"/>
          <w:sz w:val="32"/>
          <w:szCs w:val="32"/>
          <w:lang w:eastAsia="zh-CN"/>
        </w:rPr>
        <w:t>农业农村</w:t>
      </w:r>
      <w:r>
        <w:rPr>
          <w:rFonts w:hint="eastAsia" w:ascii="仿宋_GB2312" w:eastAsia="仿宋_GB2312"/>
          <w:sz w:val="32"/>
          <w:szCs w:val="32"/>
        </w:rPr>
        <w:t>（款）</w:t>
      </w:r>
      <w:r>
        <w:rPr>
          <w:rFonts w:hint="eastAsia" w:ascii="仿宋_GB2312" w:eastAsia="仿宋_GB2312"/>
          <w:sz w:val="32"/>
          <w:szCs w:val="32"/>
          <w:lang w:eastAsia="zh-CN"/>
        </w:rPr>
        <w:t>其他农业农村支出</w:t>
      </w:r>
      <w:r>
        <w:rPr>
          <w:rFonts w:hint="eastAsia" w:ascii="仿宋_GB2312" w:eastAsia="仿宋_GB2312"/>
          <w:sz w:val="32"/>
          <w:szCs w:val="32"/>
        </w:rPr>
        <w:t>（项）：指</w:t>
      </w:r>
      <w:r>
        <w:rPr>
          <w:rFonts w:hint="eastAsia" w:ascii="仿宋_GB2312" w:eastAsia="仿宋_GB2312"/>
          <w:sz w:val="32"/>
          <w:szCs w:val="32"/>
          <w:lang w:eastAsia="zh-CN"/>
        </w:rPr>
        <w:t>反映除上述项目以外其他用于农业农村方面的支出。</w:t>
      </w:r>
    </w:p>
    <w:p>
      <w:pPr>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26</w:t>
      </w:r>
      <w:r>
        <w:rPr>
          <w:rFonts w:ascii="仿宋_GB2312" w:eastAsia="仿宋_GB2312"/>
          <w:sz w:val="32"/>
          <w:szCs w:val="32"/>
        </w:rPr>
        <w:t>.</w:t>
      </w:r>
      <w:r>
        <w:rPr>
          <w:rFonts w:hint="eastAsia" w:ascii="仿宋_GB2312" w:eastAsia="仿宋_GB2312"/>
          <w:sz w:val="32"/>
          <w:szCs w:val="32"/>
        </w:rPr>
        <w:t>农林水（类）</w:t>
      </w:r>
      <w:r>
        <w:rPr>
          <w:rFonts w:hint="eastAsia" w:ascii="仿宋_GB2312" w:eastAsia="仿宋_GB2312"/>
          <w:sz w:val="32"/>
          <w:szCs w:val="32"/>
          <w:lang w:eastAsia="zh-CN"/>
        </w:rPr>
        <w:t>巩固脱贫衔接乡村振兴</w:t>
      </w:r>
      <w:r>
        <w:rPr>
          <w:rFonts w:hint="eastAsia" w:ascii="仿宋_GB2312" w:eastAsia="仿宋_GB2312"/>
          <w:sz w:val="32"/>
          <w:szCs w:val="32"/>
        </w:rPr>
        <w:t>（款）</w:t>
      </w:r>
      <w:r>
        <w:rPr>
          <w:rFonts w:hint="eastAsia" w:ascii="仿宋_GB2312" w:eastAsia="仿宋_GB2312"/>
          <w:sz w:val="32"/>
          <w:szCs w:val="32"/>
          <w:lang w:eastAsia="zh-CN"/>
        </w:rPr>
        <w:t>其他巩固脱贫衔接乡村振兴支出</w:t>
      </w:r>
      <w:r>
        <w:rPr>
          <w:rFonts w:hint="eastAsia" w:ascii="仿宋_GB2312" w:eastAsia="仿宋_GB2312"/>
          <w:sz w:val="32"/>
          <w:szCs w:val="32"/>
        </w:rPr>
        <w:t>（项）：指</w:t>
      </w:r>
      <w:r>
        <w:rPr>
          <w:rFonts w:hint="eastAsia" w:ascii="仿宋_GB2312" w:eastAsia="仿宋_GB2312"/>
          <w:sz w:val="32"/>
          <w:szCs w:val="32"/>
          <w:lang w:eastAsia="zh-CN"/>
        </w:rPr>
        <w:t>反映除上述项目以外其他用于巩固拓展脱贫攻坚成果同乡村振兴有效衔接方面的支出。</w:t>
      </w:r>
    </w:p>
    <w:p>
      <w:pPr>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27</w:t>
      </w:r>
      <w:r>
        <w:rPr>
          <w:rFonts w:ascii="仿宋_GB2312" w:eastAsia="仿宋_GB2312"/>
          <w:sz w:val="32"/>
          <w:szCs w:val="32"/>
        </w:rPr>
        <w:t>.</w:t>
      </w:r>
      <w:r>
        <w:rPr>
          <w:rFonts w:hint="eastAsia" w:ascii="仿宋_GB2312" w:eastAsia="仿宋_GB2312"/>
          <w:sz w:val="32"/>
          <w:szCs w:val="32"/>
        </w:rPr>
        <w:t>农林水（类）</w:t>
      </w:r>
      <w:r>
        <w:rPr>
          <w:rFonts w:hint="eastAsia" w:ascii="仿宋_GB2312" w:eastAsia="仿宋_GB2312"/>
          <w:sz w:val="32"/>
          <w:szCs w:val="32"/>
          <w:lang w:eastAsia="zh-CN"/>
        </w:rPr>
        <w:t>农村综合改革</w:t>
      </w:r>
      <w:r>
        <w:rPr>
          <w:rFonts w:hint="eastAsia" w:ascii="仿宋_GB2312" w:eastAsia="仿宋_GB2312"/>
          <w:sz w:val="32"/>
          <w:szCs w:val="32"/>
        </w:rPr>
        <w:t>（款）</w:t>
      </w:r>
      <w:r>
        <w:rPr>
          <w:rFonts w:hint="eastAsia" w:ascii="仿宋_GB2312" w:eastAsia="仿宋_GB2312"/>
          <w:sz w:val="32"/>
          <w:szCs w:val="32"/>
          <w:lang w:eastAsia="zh-CN"/>
        </w:rPr>
        <w:t>对村民委员会和村党支部的补助</w:t>
      </w:r>
      <w:r>
        <w:rPr>
          <w:rFonts w:hint="eastAsia" w:ascii="仿宋_GB2312" w:eastAsia="仿宋_GB2312"/>
          <w:sz w:val="32"/>
          <w:szCs w:val="32"/>
        </w:rPr>
        <w:t>（项）：指</w:t>
      </w:r>
      <w:r>
        <w:rPr>
          <w:rFonts w:hint="eastAsia" w:ascii="仿宋_GB2312" w:eastAsia="仿宋_GB2312"/>
          <w:sz w:val="32"/>
          <w:szCs w:val="32"/>
          <w:lang w:eastAsia="zh-CN"/>
        </w:rPr>
        <w:t>反映各级财政对村民委员会和村党支部的补助支出，以及支持建立县级基本财力保障机制安排的村级组织运转奖补资金。</w:t>
      </w:r>
    </w:p>
    <w:p>
      <w:pPr>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28</w:t>
      </w:r>
      <w:r>
        <w:rPr>
          <w:rFonts w:ascii="仿宋_GB2312" w:eastAsia="仿宋_GB2312"/>
          <w:sz w:val="32"/>
          <w:szCs w:val="32"/>
        </w:rPr>
        <w:t>.</w:t>
      </w:r>
      <w:r>
        <w:rPr>
          <w:rFonts w:hint="eastAsia" w:ascii="仿宋_GB2312" w:eastAsia="仿宋_GB2312"/>
          <w:sz w:val="32"/>
          <w:szCs w:val="32"/>
        </w:rPr>
        <w:t>农林水（类）</w:t>
      </w:r>
      <w:r>
        <w:rPr>
          <w:rFonts w:hint="eastAsia" w:ascii="仿宋_GB2312" w:eastAsia="仿宋_GB2312"/>
          <w:sz w:val="32"/>
          <w:szCs w:val="32"/>
          <w:lang w:eastAsia="zh-CN"/>
        </w:rPr>
        <w:t>农村综合改革</w:t>
      </w:r>
      <w:r>
        <w:rPr>
          <w:rFonts w:hint="eastAsia" w:ascii="仿宋_GB2312" w:eastAsia="仿宋_GB2312"/>
          <w:sz w:val="32"/>
          <w:szCs w:val="32"/>
        </w:rPr>
        <w:t>（款）</w:t>
      </w:r>
      <w:r>
        <w:rPr>
          <w:rFonts w:hint="eastAsia" w:ascii="仿宋_GB2312" w:eastAsia="仿宋_GB2312"/>
          <w:sz w:val="32"/>
          <w:szCs w:val="32"/>
          <w:lang w:eastAsia="zh-CN"/>
        </w:rPr>
        <w:t>对村集体经济组织的补助</w:t>
      </w:r>
      <w:r>
        <w:rPr>
          <w:rFonts w:hint="eastAsia" w:ascii="仿宋_GB2312" w:eastAsia="仿宋_GB2312"/>
          <w:sz w:val="32"/>
          <w:szCs w:val="32"/>
        </w:rPr>
        <w:t>（项）：指</w:t>
      </w:r>
      <w:r>
        <w:rPr>
          <w:rFonts w:hint="eastAsia" w:ascii="仿宋_GB2312" w:eastAsia="仿宋_GB2312"/>
          <w:sz w:val="32"/>
          <w:szCs w:val="32"/>
          <w:lang w:eastAsia="zh-CN"/>
        </w:rPr>
        <w:t>反映农村税费改革后对村集体经济组织的补助支出。</w:t>
      </w:r>
    </w:p>
    <w:p>
      <w:pPr>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住房保障（类）</w:t>
      </w:r>
      <w:r>
        <w:rPr>
          <w:rFonts w:hint="eastAsia" w:ascii="仿宋_GB2312" w:eastAsia="仿宋_GB2312"/>
          <w:sz w:val="32"/>
          <w:szCs w:val="32"/>
          <w:lang w:eastAsia="zh-CN"/>
        </w:rPr>
        <w:t>住房改革支出</w:t>
      </w:r>
      <w:r>
        <w:rPr>
          <w:rFonts w:hint="eastAsia" w:ascii="仿宋_GB2312" w:eastAsia="仿宋_GB2312"/>
          <w:sz w:val="32"/>
          <w:szCs w:val="32"/>
        </w:rPr>
        <w:t>（款）</w:t>
      </w:r>
      <w:r>
        <w:rPr>
          <w:rFonts w:hint="eastAsia" w:ascii="仿宋_GB2312" w:eastAsia="仿宋_GB2312"/>
          <w:sz w:val="32"/>
          <w:szCs w:val="32"/>
          <w:lang w:eastAsia="zh-CN"/>
        </w:rPr>
        <w:t>住房公积金</w:t>
      </w:r>
      <w:r>
        <w:rPr>
          <w:rFonts w:hint="eastAsia" w:ascii="仿宋_GB2312" w:eastAsia="仿宋_GB2312"/>
          <w:sz w:val="32"/>
          <w:szCs w:val="32"/>
        </w:rPr>
        <w:t>（项）：指</w:t>
      </w:r>
      <w:r>
        <w:rPr>
          <w:rFonts w:hint="eastAsia" w:ascii="仿宋_GB2312" w:eastAsia="仿宋_GB2312"/>
          <w:sz w:val="32"/>
          <w:szCs w:val="32"/>
          <w:lang w:eastAsia="zh-CN"/>
        </w:rPr>
        <w:t>反映行政事业单位按人力资源和社会保障部、财政部规定的基本工资和津贴补贴以及规定比例为职工缴纳的住房公积金</w:t>
      </w:r>
      <w:r>
        <w:rPr>
          <w:rFonts w:hint="eastAsia" w:ascii="仿宋_GB2312" w:eastAsia="仿宋_GB2312"/>
          <w:sz w:val="32"/>
          <w:szCs w:val="32"/>
        </w:rPr>
        <w:t>。</w:t>
      </w:r>
    </w:p>
    <w:p>
      <w:pPr>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30</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31</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7"/>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7"/>
        <w:pageBreakBefore w:val="0"/>
        <w:kinsoku/>
        <w:wordWrap/>
        <w:overflowPunct/>
        <w:topLinePunct w:val="0"/>
        <w:bidi w:val="0"/>
        <w:spacing w:line="600" w:lineRule="exact"/>
        <w:ind w:firstLine="640" w:firstLineChars="200"/>
        <w:textAlignment w:val="auto"/>
        <w:rPr>
          <w:rFonts w:ascii="仿宋_GB2312" w:eastAsia="仿宋_GB2312" w:cs="黑体"/>
          <w:color w:val="auto"/>
          <w:sz w:val="32"/>
          <w:szCs w:val="32"/>
        </w:rPr>
      </w:pPr>
    </w:p>
    <w:p>
      <w:pPr>
        <w:pageBreakBefore w:val="0"/>
        <w:kinsoku/>
        <w:wordWrap/>
        <w:overflowPunct/>
        <w:topLinePunct w:val="0"/>
        <w:bidi w:val="0"/>
        <w:spacing w:line="600" w:lineRule="exact"/>
        <w:ind w:firstLine="643" w:firstLineChars="200"/>
        <w:textAlignment w:val="auto"/>
        <w:rPr>
          <w:rFonts w:ascii="仿宋" w:hAnsi="仿宋" w:eastAsia="仿宋"/>
          <w:b/>
          <w:sz w:val="32"/>
          <w:szCs w:val="32"/>
        </w:rPr>
      </w:pPr>
      <w:r>
        <w:rPr>
          <w:rFonts w:hint="eastAsia" w:ascii="仿宋" w:hAnsi="仿宋" w:eastAsia="仿宋"/>
          <w:b/>
          <w:sz w:val="32"/>
          <w:szCs w:val="32"/>
        </w:rPr>
        <w:t>（名词解释部分请根据各部门实际列支情况罗列，并根据本部门职责职能增减名词解释内容。）</w:t>
      </w:r>
    </w:p>
    <w:p>
      <w:pPr>
        <w:pageBreakBefore w:val="0"/>
        <w:kinsoku/>
        <w:wordWrap/>
        <w:overflowPunct/>
        <w:topLinePunct w:val="0"/>
        <w:bidi w:val="0"/>
        <w:spacing w:line="600" w:lineRule="exact"/>
        <w:jc w:val="center"/>
        <w:textAlignment w:val="auto"/>
        <w:outlineLvl w:val="0"/>
        <w:rPr>
          <w:rStyle w:val="29"/>
          <w:rFonts w:ascii="黑体" w:hAnsi="黑体" w:eastAsia="黑体"/>
          <w:b w:val="0"/>
        </w:rPr>
      </w:pPr>
      <w:bookmarkStart w:id="59" w:name="_Toc15377226"/>
      <w:r>
        <w:rPr>
          <w:rFonts w:ascii="宋体"/>
          <w:b/>
          <w:sz w:val="44"/>
          <w:szCs w:val="44"/>
        </w:rPr>
        <w:br w:type="page"/>
      </w:r>
      <w:bookmarkStart w:id="60" w:name="_Toc15396614"/>
      <w:r>
        <w:rPr>
          <w:rFonts w:hint="eastAsia" w:ascii="黑体" w:hAnsi="黑体" w:eastAsia="黑体"/>
          <w:sz w:val="44"/>
          <w:szCs w:val="44"/>
        </w:rPr>
        <w:t>第</w:t>
      </w:r>
      <w:r>
        <w:rPr>
          <w:rStyle w:val="29"/>
          <w:rFonts w:hint="eastAsia" w:ascii="黑体" w:hAnsi="黑体" w:eastAsia="黑体"/>
          <w:b w:val="0"/>
        </w:rPr>
        <w:t>四部分 附件</w:t>
      </w:r>
      <w:bookmarkEnd w:id="60"/>
    </w:p>
    <w:p>
      <w:pPr>
        <w:pageBreakBefore w:val="0"/>
        <w:kinsoku/>
        <w:wordWrap/>
        <w:overflowPunct/>
        <w:topLinePunct w:val="0"/>
        <w:bidi w:val="0"/>
        <w:spacing w:line="600" w:lineRule="exact"/>
        <w:jc w:val="left"/>
        <w:textAlignment w:val="auto"/>
        <w:outlineLvl w:val="0"/>
        <w:rPr>
          <w:rFonts w:hint="eastAsia" w:ascii="方正小标宋简体" w:hAnsi="方正小标宋简体" w:eastAsia="黑体" w:cs="方正小标宋简体"/>
          <w:sz w:val="44"/>
          <w:szCs w:val="44"/>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widowControl/>
        <w:spacing w:line="580" w:lineRule="exact"/>
        <w:contextualSpacing/>
        <w:jc w:val="center"/>
        <w:rPr>
          <w:rFonts w:hint="eastAsia" w:ascii="宋体" w:hAnsi="宋体" w:eastAsia="宋体"/>
          <w:b/>
          <w:sz w:val="44"/>
          <w:szCs w:val="44"/>
          <w:shd w:val="clear" w:color="auto" w:fill="FFFFFF"/>
        </w:rPr>
      </w:pPr>
    </w:p>
    <w:p>
      <w:pPr>
        <w:widowControl/>
        <w:spacing w:line="580" w:lineRule="exact"/>
        <w:contextualSpacing/>
        <w:jc w:val="center"/>
        <w:rPr>
          <w:rFonts w:hint="eastAsia" w:ascii="宋体" w:hAnsi="宋体" w:eastAsia="宋体"/>
          <w:b/>
          <w:sz w:val="44"/>
          <w:szCs w:val="44"/>
          <w:shd w:val="clear" w:color="auto" w:fill="FFFFFF"/>
        </w:rPr>
      </w:pPr>
      <w:r>
        <w:rPr>
          <w:rFonts w:hint="eastAsia" w:ascii="宋体" w:hAnsi="宋体" w:eastAsia="宋体"/>
          <w:b/>
          <w:sz w:val="44"/>
          <w:szCs w:val="44"/>
          <w:shd w:val="clear" w:color="auto" w:fill="FFFFFF"/>
        </w:rPr>
        <w:t>20</w:t>
      </w:r>
      <w:r>
        <w:rPr>
          <w:rFonts w:hint="eastAsia" w:ascii="宋体" w:hAnsi="宋体" w:eastAsia="宋体"/>
          <w:b/>
          <w:sz w:val="44"/>
          <w:szCs w:val="44"/>
          <w:shd w:val="clear" w:color="auto" w:fill="FFFFFF"/>
          <w:lang w:val="en-US" w:eastAsia="zh-CN"/>
        </w:rPr>
        <w:t>23</w:t>
      </w:r>
      <w:r>
        <w:rPr>
          <w:rFonts w:hint="eastAsia" w:ascii="宋体" w:hAnsi="宋体" w:eastAsia="宋体"/>
          <w:b/>
          <w:sz w:val="44"/>
          <w:szCs w:val="44"/>
          <w:shd w:val="clear" w:color="auto" w:fill="FFFFFF"/>
        </w:rPr>
        <w:t>年</w:t>
      </w:r>
      <w:r>
        <w:rPr>
          <w:rFonts w:hint="eastAsia" w:ascii="宋体" w:hAnsi="宋体" w:eastAsia="宋体"/>
          <w:b/>
          <w:sz w:val="44"/>
          <w:szCs w:val="44"/>
          <w:shd w:val="clear" w:color="auto" w:fill="FFFFFF"/>
          <w:lang w:eastAsia="zh-CN"/>
        </w:rPr>
        <w:t>双福镇人民政府</w:t>
      </w:r>
      <w:r>
        <w:rPr>
          <w:rFonts w:hint="eastAsia" w:ascii="宋体" w:hAnsi="宋体" w:eastAsia="宋体"/>
          <w:b/>
          <w:sz w:val="44"/>
          <w:szCs w:val="44"/>
          <w:shd w:val="clear" w:color="auto" w:fill="FFFFFF"/>
        </w:rPr>
        <w:t>部门整体支出</w:t>
      </w:r>
    </w:p>
    <w:p>
      <w:pPr>
        <w:widowControl/>
        <w:spacing w:line="580" w:lineRule="exact"/>
        <w:contextualSpacing/>
        <w:jc w:val="center"/>
        <w:rPr>
          <w:rFonts w:ascii="宋体" w:hAnsi="宋体" w:eastAsia="宋体"/>
          <w:b/>
          <w:sz w:val="44"/>
          <w:szCs w:val="44"/>
          <w:shd w:val="clear" w:color="auto" w:fill="FFFFFF"/>
        </w:rPr>
      </w:pPr>
      <w:r>
        <w:rPr>
          <w:rFonts w:hint="eastAsia" w:ascii="宋体" w:hAnsi="宋体" w:eastAsia="宋体"/>
          <w:b/>
          <w:sz w:val="44"/>
          <w:szCs w:val="44"/>
          <w:shd w:val="clear" w:color="auto" w:fill="FFFFFF"/>
        </w:rPr>
        <w:t>绩效评价报告</w:t>
      </w:r>
    </w:p>
    <w:p>
      <w:pPr>
        <w:widowControl/>
        <w:spacing w:line="580" w:lineRule="exact"/>
        <w:contextualSpacing/>
        <w:jc w:val="center"/>
        <w:rPr>
          <w:rFonts w:ascii="仿宋_GB2312" w:hAnsi="宋体"/>
          <w:sz w:val="32"/>
          <w:szCs w:val="32"/>
          <w:shd w:val="clear" w:color="auto" w:fill="FFFFFF"/>
        </w:rPr>
      </w:pPr>
      <w:r>
        <w:rPr>
          <w:rFonts w:hint="eastAsia" w:ascii="仿宋_GB2312" w:hAnsi="宋体"/>
          <w:sz w:val="32"/>
          <w:szCs w:val="32"/>
          <w:shd w:val="clear" w:color="auto" w:fill="FFFFFF"/>
        </w:rPr>
        <w:t>（报告范围包括机关和下属单位）</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（一）机构组成。</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zh-CN" w:eastAsia="zh-CN"/>
        </w:rPr>
        <w:t>双福镇人民政府属于行政单位，是一级预算单位。本单位20</w:t>
      </w:r>
      <w:r>
        <w:rPr>
          <w:rFonts w:hint="eastAsia" w:ascii="仿宋_GB2312" w:hAnsi="仿宋_GB2312" w:eastAsia="仿宋_GB2312" w:cs="仿宋_GB2312"/>
          <w:color w:val="000000"/>
          <w:kern w:val="0"/>
          <w:sz w:val="32"/>
          <w:szCs w:val="32"/>
          <w:shd w:val="clear" w:color="auto" w:fill="FFFFFF"/>
          <w:lang w:val="en-US" w:eastAsia="zh-CN"/>
        </w:rPr>
        <w:t>20</w:t>
      </w:r>
      <w:r>
        <w:rPr>
          <w:rFonts w:hint="eastAsia" w:ascii="仿宋_GB2312" w:hAnsi="仿宋_GB2312" w:eastAsia="仿宋_GB2312" w:cs="仿宋_GB2312"/>
          <w:color w:val="000000"/>
          <w:kern w:val="0"/>
          <w:sz w:val="32"/>
          <w:szCs w:val="32"/>
          <w:shd w:val="clear" w:color="auto" w:fill="FFFFFF"/>
          <w:lang w:val="zh-CN" w:eastAsia="zh-CN"/>
        </w:rPr>
        <w:t>年预算编制独立核算机构1个，下列直属公益一类事业机构</w:t>
      </w:r>
      <w:r>
        <w:rPr>
          <w:rFonts w:hint="eastAsia" w:ascii="仿宋_GB2312" w:hAnsi="仿宋_GB2312" w:eastAsia="仿宋_GB2312" w:cs="仿宋_GB2312"/>
          <w:color w:val="000000"/>
          <w:kern w:val="0"/>
          <w:sz w:val="32"/>
          <w:szCs w:val="32"/>
          <w:shd w:val="clear" w:color="auto" w:fill="FFFFFF"/>
          <w:lang w:val="en-US" w:eastAsia="zh-CN"/>
        </w:rPr>
        <w:t>4</w:t>
      </w:r>
      <w:r>
        <w:rPr>
          <w:rFonts w:hint="eastAsia" w:ascii="仿宋_GB2312" w:hAnsi="仿宋_GB2312" w:eastAsia="仿宋_GB2312" w:cs="仿宋_GB2312"/>
          <w:color w:val="000000"/>
          <w:kern w:val="0"/>
          <w:sz w:val="32"/>
          <w:szCs w:val="32"/>
          <w:shd w:val="clear" w:color="auto" w:fill="FFFFFF"/>
          <w:lang w:val="zh-CN" w:eastAsia="zh-CN"/>
        </w:rPr>
        <w:t>个，分别是便民服务中心、农业综合服务中心、文化旅游服务中心、农民工服务中心。</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（二）机构职能。</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双福镇地处通往峨眉北大门，辖区内有1</w:t>
      </w:r>
      <w:r>
        <w:rPr>
          <w:rFonts w:hint="eastAsia" w:ascii="仿宋_GB2312" w:hAnsi="仿宋_GB2312" w:eastAsia="仿宋_GB2312" w:cs="仿宋_GB2312"/>
          <w:color w:val="000000"/>
          <w:kern w:val="0"/>
          <w:sz w:val="32"/>
          <w:szCs w:val="32"/>
          <w:shd w:val="clear" w:color="auto" w:fill="FFFFFF"/>
          <w:lang w:val="en-US" w:eastAsia="zh-CN"/>
        </w:rPr>
        <w:t>8</w:t>
      </w:r>
      <w:r>
        <w:rPr>
          <w:rFonts w:hint="eastAsia" w:ascii="仿宋_GB2312" w:hAnsi="仿宋_GB2312" w:eastAsia="仿宋_GB2312" w:cs="仿宋_GB2312"/>
          <w:color w:val="000000"/>
          <w:kern w:val="0"/>
          <w:sz w:val="32"/>
          <w:szCs w:val="32"/>
          <w:shd w:val="clear" w:color="auto" w:fill="FFFFFF"/>
          <w:lang w:val="zh-CN"/>
        </w:rPr>
        <w:t>个行政村，1个社区，镇行政机构设置六办一所一中心：</w:t>
      </w:r>
      <w:r>
        <w:rPr>
          <w:rFonts w:hint="eastAsia" w:ascii="楷体_GB2312" w:hAnsi="楷体_GB2312" w:eastAsia="楷体_GB2312" w:cs="楷体_GB2312"/>
          <w:b/>
          <w:bCs/>
          <w:color w:val="000000"/>
          <w:kern w:val="0"/>
          <w:sz w:val="32"/>
          <w:szCs w:val="32"/>
          <w:shd w:val="clear" w:color="auto" w:fill="FFFFFF"/>
          <w:lang w:val="zh-CN"/>
        </w:rPr>
        <w:t>党政办公室</w:t>
      </w:r>
      <w:r>
        <w:rPr>
          <w:rFonts w:hint="eastAsia" w:ascii="仿宋_GB2312" w:hAnsi="仿宋_GB2312" w:cs="仿宋_GB2312"/>
          <w:color w:val="000000"/>
          <w:kern w:val="0"/>
          <w:sz w:val="32"/>
          <w:szCs w:val="32"/>
          <w:shd w:val="clear" w:color="auto" w:fill="FFFFFF"/>
          <w:lang w:val="zh-CN"/>
        </w:rPr>
        <w:t>：</w:t>
      </w:r>
      <w:r>
        <w:rPr>
          <w:rFonts w:hint="eastAsia" w:ascii="仿宋_GB2312" w:hAnsi="仿宋_GB2312" w:eastAsia="仿宋_GB2312" w:cs="仿宋_GB2312"/>
          <w:color w:val="000000"/>
          <w:kern w:val="0"/>
          <w:sz w:val="32"/>
          <w:szCs w:val="32"/>
          <w:shd w:val="clear" w:color="auto" w:fill="FFFFFF"/>
          <w:lang w:val="zh-CN"/>
        </w:rPr>
        <w:t>主要负责镇党委、政府工作的统筹谋划、综合协调、后勤保障等工作。</w:t>
      </w:r>
      <w:r>
        <w:rPr>
          <w:rFonts w:hint="eastAsia" w:ascii="楷体_GB2312" w:hAnsi="楷体_GB2312" w:eastAsia="楷体_GB2312" w:cs="楷体_GB2312"/>
          <w:b/>
          <w:bCs/>
          <w:color w:val="000000"/>
          <w:kern w:val="0"/>
          <w:sz w:val="32"/>
          <w:szCs w:val="32"/>
          <w:shd w:val="clear" w:color="auto" w:fill="FFFFFF"/>
          <w:lang w:val="zh-CN"/>
        </w:rPr>
        <w:t>党建办公室</w:t>
      </w:r>
      <w:r>
        <w:rPr>
          <w:rFonts w:hint="eastAsia" w:ascii="仿宋_GB2312" w:hAnsi="仿宋_GB2312" w:eastAsia="仿宋_GB2312" w:cs="仿宋_GB2312"/>
          <w:color w:val="000000"/>
          <w:kern w:val="0"/>
          <w:sz w:val="32"/>
          <w:szCs w:val="32"/>
          <w:shd w:val="clear" w:color="auto" w:fill="FFFFFF"/>
          <w:lang w:val="zh-CN"/>
        </w:rPr>
        <w:t>：主要负责</w:t>
      </w:r>
      <w:r>
        <w:rPr>
          <w:rFonts w:hint="eastAsia" w:ascii="仿宋_GB2312" w:hAnsi="仿宋_GB2312" w:eastAsia="仿宋_GB2312" w:cs="仿宋_GB2312"/>
          <w:color w:val="000000"/>
          <w:kern w:val="0"/>
          <w:sz w:val="32"/>
          <w:szCs w:val="32"/>
          <w:shd w:val="clear" w:color="auto" w:fill="FFFFFF"/>
          <w:lang w:val="en-US" w:eastAsia="zh-CN"/>
        </w:rPr>
        <w:t>指导</w:t>
      </w:r>
      <w:r>
        <w:rPr>
          <w:rFonts w:hint="eastAsia" w:ascii="仿宋_GB2312" w:hAnsi="仿宋_GB2312" w:eastAsia="仿宋_GB2312" w:cs="仿宋_GB2312"/>
          <w:color w:val="000000"/>
          <w:kern w:val="0"/>
          <w:sz w:val="32"/>
          <w:szCs w:val="32"/>
          <w:shd w:val="clear" w:color="auto" w:fill="FFFFFF"/>
          <w:lang w:val="zh-CN"/>
        </w:rPr>
        <w:t>基层党组织建设等工作；</w:t>
      </w:r>
      <w:r>
        <w:rPr>
          <w:rFonts w:hint="eastAsia" w:ascii="楷体_GB2312" w:hAnsi="楷体_GB2312" w:eastAsia="楷体_GB2312" w:cs="楷体_GB2312"/>
          <w:b/>
          <w:bCs/>
          <w:color w:val="000000"/>
          <w:kern w:val="0"/>
          <w:sz w:val="32"/>
          <w:szCs w:val="32"/>
          <w:shd w:val="clear" w:color="auto" w:fill="FFFFFF"/>
          <w:lang w:val="zh-CN"/>
        </w:rPr>
        <w:t>社会事务办公室</w:t>
      </w:r>
      <w:r>
        <w:rPr>
          <w:rFonts w:hint="eastAsia" w:ascii="仿宋_GB2312" w:hAnsi="仿宋_GB2312" w:eastAsia="仿宋_GB2312" w:cs="仿宋_GB2312"/>
          <w:color w:val="000000"/>
          <w:kern w:val="0"/>
          <w:sz w:val="32"/>
          <w:szCs w:val="32"/>
          <w:shd w:val="clear" w:color="auto" w:fill="FFFFFF"/>
          <w:lang w:val="zh-CN"/>
        </w:rPr>
        <w:t>（社会治理办公室）：主要负责民政、社保、医保、教育、科技、文化、卫生健康等社会事业发展以及基层治理、综合维稳、矛盾化解、平安建设等工作。</w:t>
      </w:r>
      <w:r>
        <w:rPr>
          <w:rFonts w:hint="eastAsia" w:ascii="楷体_GB2312" w:hAnsi="楷体_GB2312" w:eastAsia="楷体_GB2312" w:cs="楷体_GB2312"/>
          <w:b/>
          <w:bCs/>
          <w:color w:val="000000"/>
          <w:kern w:val="0"/>
          <w:sz w:val="32"/>
          <w:szCs w:val="32"/>
          <w:shd w:val="clear" w:color="auto" w:fill="FFFFFF"/>
          <w:lang w:val="zh-CN"/>
        </w:rPr>
        <w:t>综合执法办公室</w:t>
      </w:r>
      <w:r>
        <w:rPr>
          <w:rFonts w:hint="eastAsia" w:ascii="仿宋_GB2312" w:hAnsi="仿宋_GB2312" w:eastAsia="仿宋_GB2312" w:cs="仿宋_GB2312"/>
          <w:color w:val="000000"/>
          <w:kern w:val="0"/>
          <w:sz w:val="32"/>
          <w:szCs w:val="32"/>
          <w:shd w:val="clear" w:color="auto" w:fill="FFFFFF"/>
          <w:lang w:val="zh-CN"/>
        </w:rPr>
        <w:t>：主要负责整合执法力量，统一指挥协调开展综合执法工作；负责安全、应急等相关工作。</w:t>
      </w:r>
      <w:r>
        <w:rPr>
          <w:rFonts w:hint="eastAsia" w:ascii="楷体_GB2312" w:hAnsi="楷体_GB2312" w:eastAsia="楷体_GB2312" w:cs="楷体_GB2312"/>
          <w:b/>
          <w:bCs/>
          <w:color w:val="000000"/>
          <w:kern w:val="0"/>
          <w:sz w:val="32"/>
          <w:szCs w:val="32"/>
          <w:shd w:val="clear" w:color="auto" w:fill="FFFFFF"/>
          <w:lang w:val="zh-CN"/>
        </w:rPr>
        <w:t>规划建设管理办公室</w:t>
      </w:r>
      <w:r>
        <w:rPr>
          <w:rFonts w:hint="eastAsia" w:ascii="仿宋_GB2312" w:hAnsi="仿宋_GB2312" w:eastAsia="仿宋_GB2312" w:cs="仿宋_GB2312"/>
          <w:color w:val="000000"/>
          <w:kern w:val="0"/>
          <w:sz w:val="32"/>
          <w:szCs w:val="32"/>
          <w:shd w:val="clear" w:color="auto" w:fill="FFFFFF"/>
          <w:lang w:val="zh-CN"/>
        </w:rPr>
        <w:t>（自然资源和生态环境保护办公室）：主要负责镇国土空间规划、村镇建设管理等相关工作以及自然资源及生态环境保护、城乡环境治理、人居环境整治等工作。</w:t>
      </w:r>
      <w:r>
        <w:rPr>
          <w:rFonts w:hint="eastAsia" w:ascii="楷体_GB2312" w:hAnsi="楷体_GB2312" w:eastAsia="楷体_GB2312" w:cs="楷体_GB2312"/>
          <w:b/>
          <w:bCs/>
          <w:color w:val="000000"/>
          <w:kern w:val="0"/>
          <w:sz w:val="32"/>
          <w:szCs w:val="32"/>
          <w:shd w:val="clear" w:color="auto" w:fill="FFFFFF"/>
          <w:lang w:val="zh-CN"/>
        </w:rPr>
        <w:t>乡村振兴办公室</w:t>
      </w:r>
      <w:r>
        <w:rPr>
          <w:rFonts w:hint="eastAsia" w:ascii="仿宋_GB2312" w:hAnsi="仿宋_GB2312" w:eastAsia="仿宋_GB2312" w:cs="仿宋_GB2312"/>
          <w:color w:val="000000"/>
          <w:kern w:val="0"/>
          <w:sz w:val="32"/>
          <w:szCs w:val="32"/>
          <w:shd w:val="clear" w:color="auto" w:fill="FFFFFF"/>
          <w:lang w:val="zh-CN"/>
        </w:rPr>
        <w:t>（脱贫攻坚办公室）：主要负责统筹协调乡村振兴、脱贫攻坚、经济发展等相关工作。</w:t>
      </w:r>
      <w:r>
        <w:rPr>
          <w:rFonts w:hint="eastAsia" w:ascii="楷体_GB2312" w:hAnsi="楷体_GB2312" w:eastAsia="楷体_GB2312" w:cs="楷体_GB2312"/>
          <w:b/>
          <w:bCs/>
          <w:color w:val="000000"/>
          <w:kern w:val="0"/>
          <w:sz w:val="32"/>
          <w:szCs w:val="32"/>
          <w:shd w:val="clear" w:color="auto" w:fill="FFFFFF"/>
          <w:lang w:val="zh-CN"/>
        </w:rPr>
        <w:t>财政所</w:t>
      </w:r>
      <w:r>
        <w:rPr>
          <w:rFonts w:hint="eastAsia" w:ascii="仿宋_GB2312" w:hAnsi="仿宋_GB2312" w:eastAsia="仿宋_GB2312" w:cs="仿宋_GB2312"/>
          <w:color w:val="000000"/>
          <w:kern w:val="0"/>
          <w:sz w:val="32"/>
          <w:szCs w:val="32"/>
          <w:shd w:val="clear" w:color="auto" w:fill="FFFFFF"/>
          <w:lang w:val="zh-CN"/>
        </w:rPr>
        <w:t>：主要负责镇财务和村（社区）级财务的管理指导等相关工作。</w:t>
      </w:r>
      <w:r>
        <w:rPr>
          <w:rFonts w:hint="eastAsia" w:ascii="楷体_GB2312" w:hAnsi="楷体_GB2312" w:eastAsia="楷体_GB2312" w:cs="楷体_GB2312"/>
          <w:b/>
          <w:bCs/>
          <w:color w:val="000000"/>
          <w:kern w:val="0"/>
          <w:sz w:val="32"/>
          <w:szCs w:val="32"/>
          <w:shd w:val="clear" w:color="auto" w:fill="FFFFFF"/>
          <w:lang w:val="zh-CN"/>
        </w:rPr>
        <w:t>便民服务中心</w:t>
      </w:r>
      <w:r>
        <w:rPr>
          <w:rFonts w:hint="eastAsia" w:ascii="仿宋_GB2312" w:hAnsi="仿宋_GB2312" w:eastAsia="仿宋_GB2312" w:cs="仿宋_GB2312"/>
          <w:color w:val="000000"/>
          <w:kern w:val="0"/>
          <w:sz w:val="32"/>
          <w:szCs w:val="32"/>
          <w:shd w:val="clear" w:color="auto" w:fill="FFFFFF"/>
          <w:lang w:val="zh-CN"/>
        </w:rPr>
        <w:t>：主要承担公共服务事项和行政审批集中受理以及退役军人服务等相关事务性工作。</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宋体" w:cs="宋体"/>
          <w:b w:val="0"/>
          <w:bCs w:val="0"/>
          <w:color w:val="000000"/>
          <w:kern w:val="0"/>
          <w:sz w:val="32"/>
          <w:szCs w:val="32"/>
          <w:shd w:val="clear" w:color="auto" w:fill="FFFFFF"/>
          <w:lang w:val="zh-CN"/>
        </w:rPr>
      </w:pPr>
      <w:r>
        <w:rPr>
          <w:rFonts w:hint="eastAsia" w:ascii="仿宋_GB2312" w:hAnsi="宋体" w:cs="宋体"/>
          <w:b w:val="0"/>
          <w:bCs w:val="0"/>
          <w:color w:val="000000"/>
          <w:kern w:val="0"/>
          <w:sz w:val="32"/>
          <w:szCs w:val="32"/>
          <w:shd w:val="clear" w:color="auto" w:fill="FFFFFF"/>
          <w:lang w:val="zh-CN"/>
        </w:rPr>
        <w:t>（三）人员概况。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zh-CN" w:eastAsia="zh-CN"/>
        </w:rPr>
        <w:t>双福镇按三定方案核定编制人数</w:t>
      </w:r>
      <w:r>
        <w:rPr>
          <w:rFonts w:hint="eastAsia" w:ascii="仿宋_GB2312" w:hAnsi="仿宋_GB2312" w:eastAsia="仿宋_GB2312" w:cs="仿宋_GB2312"/>
          <w:color w:val="000000"/>
          <w:kern w:val="0"/>
          <w:sz w:val="32"/>
          <w:szCs w:val="32"/>
          <w:shd w:val="clear" w:color="auto" w:fill="FFFFFF"/>
          <w:lang w:val="en-US" w:eastAsia="zh-CN"/>
        </w:rPr>
        <w:t>57人，行政编制30人，机关工勤2人，事业编制25人。2022年年初在职人数55人，其中行政编制29人，机关工勤2人，事业编制24人</w:t>
      </w:r>
      <w:r>
        <w:rPr>
          <w:rFonts w:hint="eastAsia" w:ascii="仿宋_GB2312" w:hAnsi="仿宋_GB2312" w:eastAsia="仿宋_GB2312" w:cs="仿宋_GB2312"/>
          <w:color w:val="000000"/>
          <w:kern w:val="0"/>
          <w:sz w:val="32"/>
          <w:szCs w:val="32"/>
          <w:shd w:val="clear" w:color="auto" w:fill="FFFFFF"/>
          <w:lang w:val="zh-CN" w:eastAsia="zh-CN"/>
        </w:rPr>
        <w:t>。</w:t>
      </w:r>
      <w:r>
        <w:rPr>
          <w:rFonts w:hint="eastAsia" w:ascii="仿宋_GB2312" w:hAnsi="仿宋_GB2312" w:eastAsia="仿宋_GB2312" w:cs="仿宋_GB2312"/>
          <w:color w:val="000000"/>
          <w:kern w:val="0"/>
          <w:sz w:val="32"/>
          <w:szCs w:val="32"/>
          <w:shd w:val="clear" w:color="auto" w:fill="FFFFFF"/>
          <w:lang w:val="en-US" w:eastAsia="zh-CN"/>
        </w:rPr>
        <w:t>2022年新增公务员3名，</w:t>
      </w:r>
      <w:r>
        <w:rPr>
          <w:rFonts w:hint="eastAsia" w:ascii="仿宋_GB2312" w:hAnsi="仿宋_GB2312" w:eastAsia="仿宋_GB2312" w:cs="仿宋_GB2312"/>
          <w:color w:val="000000"/>
          <w:kern w:val="0"/>
          <w:sz w:val="32"/>
          <w:szCs w:val="32"/>
          <w:shd w:val="clear" w:color="auto" w:fill="FFFFFF"/>
          <w:lang w:val="zh-CN" w:eastAsia="zh-CN"/>
        </w:rPr>
        <w:t>调出公务员</w:t>
      </w:r>
      <w:r>
        <w:rPr>
          <w:rFonts w:hint="eastAsia" w:ascii="仿宋_GB2312" w:hAnsi="仿宋_GB2312" w:eastAsia="仿宋_GB2312" w:cs="仿宋_GB2312"/>
          <w:color w:val="000000"/>
          <w:kern w:val="0"/>
          <w:sz w:val="32"/>
          <w:szCs w:val="32"/>
          <w:shd w:val="clear" w:color="auto" w:fill="FFFFFF"/>
          <w:lang w:val="en-US" w:eastAsia="zh-CN"/>
        </w:rPr>
        <w:t>4名，新增事业编制人员1名，退休事业编制人员1名。2022年年末在职人数54人，其中行政编制28人，机关工勤2人，事业编制24人。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cs="宋体"/>
          <w:color w:val="000000"/>
          <w:kern w:val="0"/>
          <w:sz w:val="32"/>
          <w:szCs w:val="32"/>
          <w:shd w:val="clear" w:color="auto" w:fill="FFFFFF"/>
          <w:lang w:val="zh-CN"/>
        </w:rPr>
      </w:pPr>
      <w:r>
        <w:rPr>
          <w:rFonts w:hint="eastAsia" w:ascii="仿宋_GB2312" w:hAnsi="宋体" w:cs="宋体"/>
          <w:color w:val="000000"/>
          <w:kern w:val="0"/>
          <w:sz w:val="32"/>
          <w:szCs w:val="32"/>
          <w:shd w:val="clear" w:color="auto" w:fill="FFFFFF"/>
          <w:lang w:val="zh-CN"/>
        </w:rPr>
        <w:t>（一）部门财政资金收入情况。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zh-CN" w:eastAsia="zh-CN"/>
        </w:rPr>
        <w:t>本年度共收到一般公共预算财政拨款收入</w:t>
      </w:r>
      <w:r>
        <w:rPr>
          <w:rFonts w:hint="eastAsia" w:ascii="仿宋_GB2312" w:hAnsi="仿宋_GB2312" w:eastAsia="仿宋_GB2312" w:cs="仿宋_GB2312"/>
          <w:color w:val="000000"/>
          <w:kern w:val="0"/>
          <w:sz w:val="32"/>
          <w:szCs w:val="32"/>
          <w:shd w:val="clear" w:color="auto" w:fill="FFFFFF"/>
          <w:lang w:val="en-US" w:eastAsia="zh-CN"/>
        </w:rPr>
        <w:t>43788381.54元；政府性基金预算财政拨款收入1759776.31元；年初财政拨款上年度结转和结余小计1887795.44元，其中一般公共预算财政拨款1353917.74元，政府性基金预算财政拨款480000元。财政拨款对账单一般公共预算财政拨款43788381.54元，政府性基金预算财政拨款1759776.31元，金额一致。</w:t>
      </w:r>
    </w:p>
    <w:p>
      <w:pPr>
        <w:keepNext w:val="0"/>
        <w:keepLines w:val="0"/>
        <w:pageBreakBefore w:val="0"/>
        <w:widowControl/>
        <w:numPr>
          <w:ilvl w:val="0"/>
          <w:numId w:val="6"/>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shd w:val="clear" w:color="auto" w:fill="FFFFFF"/>
          <w:lang w:val="zh-CN"/>
        </w:rPr>
      </w:pPr>
      <w:r>
        <w:rPr>
          <w:rFonts w:hint="eastAsia" w:ascii="仿宋_GB2312" w:hAnsi="仿宋_GB2312" w:eastAsia="仿宋_GB2312" w:cs="仿宋_GB2312"/>
          <w:b w:val="0"/>
          <w:bCs w:val="0"/>
          <w:color w:val="000000"/>
          <w:kern w:val="0"/>
          <w:sz w:val="32"/>
          <w:szCs w:val="32"/>
          <w:shd w:val="clear" w:color="auto" w:fill="FFFFFF"/>
          <w:lang w:val="zh-CN"/>
        </w:rPr>
        <w:t>部门财政资金支出情况。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en-US" w:eastAsia="zh-CN"/>
        </w:rPr>
        <w:t>2022年一般公共预算财政拨款支出45142299.28元，政府性基金预算财政拨款支出2239776.31元，年末财政拨款结转和结余0元。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w:t>
      </w:r>
      <w:r>
        <w:rPr>
          <w:rFonts w:hint="eastAsia" w:ascii="黑体" w:hAnsi="宋体" w:eastAsia="黑体" w:cs="宋体"/>
          <w:color w:val="000000"/>
          <w:kern w:val="0"/>
          <w:sz w:val="32"/>
          <w:szCs w:val="32"/>
          <w:u w:val="none"/>
          <w:shd w:val="clear" w:color="auto" w:fill="FFFFFF"/>
        </w:rPr>
        <w:t>部门整体预算绩效管理情况</w:t>
      </w:r>
      <w:r>
        <w:rPr>
          <w:rFonts w:hint="eastAsia" w:ascii="黑体" w:hAnsi="宋体" w:eastAsia="黑体" w:cs="宋体"/>
          <w:color w:val="000000"/>
          <w:kern w:val="0"/>
          <w:sz w:val="32"/>
          <w:szCs w:val="32"/>
          <w:shd w:val="clear" w:color="auto" w:fill="FFFFFF"/>
        </w:rPr>
        <w:t>（根据适用指标体系进行调整</w:t>
      </w:r>
      <w:r>
        <w:rPr>
          <w:rFonts w:hint="eastAsia" w:ascii="黑体" w:hAnsi="宋体" w:eastAsia="黑体" w:cs="宋体"/>
          <w:color w:val="000000"/>
          <w:kern w:val="0"/>
          <w:sz w:val="32"/>
          <w:szCs w:val="32"/>
          <w:shd w:val="clear" w:color="auto" w:fill="FFFFFF"/>
          <w:lang w:eastAsia="zh-CN"/>
        </w:rPr>
        <w:t>，涉及到有专项预算的部门，专项预算项目自评报告根据要求另行单独报送</w:t>
      </w:r>
      <w:r>
        <w:rPr>
          <w:rFonts w:hint="eastAsia" w:ascii="黑体" w:hAnsi="宋体" w:eastAsia="黑体" w:cs="宋体"/>
          <w:color w:val="000000"/>
          <w:kern w:val="0"/>
          <w:sz w:val="32"/>
          <w:szCs w:val="32"/>
          <w:shd w:val="clear" w:color="auto" w:fill="FFFFFF"/>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（一）部门预算管理</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eastAsia="zh-CN"/>
        </w:rPr>
      </w:pPr>
      <w:r>
        <w:rPr>
          <w:rFonts w:hint="eastAsia" w:ascii="楷体_GB2312" w:hAnsi="楷体_GB2312" w:eastAsia="楷体_GB2312" w:cs="楷体_GB2312"/>
          <w:color w:val="000000"/>
          <w:kern w:val="0"/>
          <w:sz w:val="32"/>
          <w:szCs w:val="32"/>
          <w:shd w:val="clear" w:color="auto" w:fill="FFFFFF"/>
          <w:lang w:val="en-US" w:eastAsia="zh-CN"/>
        </w:rPr>
        <w:t>1.</w:t>
      </w:r>
      <w:r>
        <w:rPr>
          <w:rFonts w:hint="eastAsia" w:ascii="楷体_GB2312" w:hAnsi="楷体_GB2312" w:eastAsia="楷体_GB2312" w:cs="楷体_GB2312"/>
          <w:color w:val="000000"/>
          <w:kern w:val="0"/>
          <w:sz w:val="32"/>
          <w:szCs w:val="32"/>
          <w:shd w:val="clear" w:color="auto" w:fill="FFFFFF"/>
          <w:lang w:val="zh-CN" w:eastAsia="zh-CN"/>
        </w:rPr>
        <w:t>预决算编制情况。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zh-CN" w:eastAsia="zh-CN"/>
        </w:rPr>
        <w:t>我镇每年按时完成预决算编制、绩效目标填报，同时合理安排上年结转结余资金今年使用计划，提高资金使用效率。</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eastAsia="zh-CN"/>
        </w:rPr>
      </w:pPr>
      <w:r>
        <w:rPr>
          <w:rFonts w:hint="eastAsia" w:ascii="楷体_GB2312" w:hAnsi="楷体_GB2312" w:eastAsia="楷体_GB2312" w:cs="楷体_GB2312"/>
          <w:color w:val="000000"/>
          <w:kern w:val="0"/>
          <w:sz w:val="32"/>
          <w:szCs w:val="32"/>
          <w:shd w:val="clear" w:color="auto" w:fill="FFFFFF"/>
          <w:lang w:val="en-US" w:eastAsia="zh-CN"/>
        </w:rPr>
        <w:t>2.</w:t>
      </w:r>
      <w:r>
        <w:rPr>
          <w:rFonts w:hint="eastAsia" w:ascii="楷体_GB2312" w:hAnsi="楷体_GB2312" w:eastAsia="楷体_GB2312" w:cs="楷体_GB2312"/>
          <w:color w:val="000000"/>
          <w:kern w:val="0"/>
          <w:sz w:val="32"/>
          <w:szCs w:val="32"/>
          <w:shd w:val="clear" w:color="auto" w:fill="FFFFFF"/>
          <w:lang w:val="zh-CN" w:eastAsia="zh-CN"/>
        </w:rPr>
        <w:t>执行管理情况。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zh-CN" w:eastAsia="zh-CN"/>
        </w:rPr>
        <w:t>我镇严格按照预算合理安排和执行预算，并且分阶段检查预算执行情况，及时调整下一阶段资金使用计划和安排。</w:t>
      </w:r>
      <w:r>
        <w:rPr>
          <w:rFonts w:hint="eastAsia" w:ascii="仿宋_GB2312" w:hAnsi="仿宋_GB2312" w:eastAsia="仿宋_GB2312" w:cs="仿宋_GB2312"/>
          <w:color w:val="000000"/>
          <w:kern w:val="0"/>
          <w:sz w:val="32"/>
          <w:szCs w:val="32"/>
          <w:shd w:val="clear" w:color="auto" w:fill="FFFFFF"/>
          <w:lang w:val="en-US" w:eastAsia="zh-CN"/>
        </w:rPr>
        <w:t>2022</w:t>
      </w:r>
      <w:r>
        <w:rPr>
          <w:rFonts w:hint="eastAsia" w:ascii="仿宋_GB2312" w:hAnsi="仿宋_GB2312" w:eastAsia="仿宋_GB2312" w:cs="仿宋_GB2312"/>
          <w:color w:val="000000"/>
          <w:kern w:val="0"/>
          <w:sz w:val="32"/>
          <w:szCs w:val="32"/>
          <w:shd w:val="clear" w:color="auto" w:fill="FFFFFF"/>
          <w:lang w:val="zh-CN" w:eastAsia="zh-CN"/>
        </w:rPr>
        <w:t>年，我镇资金使用严格遵循财经制度的规定，按照严格的财政资金拨付程序，项目资金严格按照项目开展进度拨款支付，保障预算有效执行。</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eastAsia="zh-CN"/>
        </w:rPr>
      </w:pPr>
      <w:r>
        <w:rPr>
          <w:rFonts w:hint="eastAsia" w:ascii="楷体_GB2312" w:hAnsi="楷体_GB2312" w:eastAsia="楷体_GB2312" w:cs="楷体_GB2312"/>
          <w:color w:val="000000"/>
          <w:kern w:val="0"/>
          <w:sz w:val="32"/>
          <w:szCs w:val="32"/>
          <w:shd w:val="clear" w:color="auto" w:fill="FFFFFF"/>
          <w:lang w:val="en-US" w:eastAsia="zh-CN"/>
        </w:rPr>
        <w:t>3.</w:t>
      </w:r>
      <w:r>
        <w:rPr>
          <w:rFonts w:hint="eastAsia" w:ascii="楷体_GB2312" w:hAnsi="楷体_GB2312" w:eastAsia="楷体_GB2312" w:cs="楷体_GB2312"/>
          <w:color w:val="000000"/>
          <w:kern w:val="0"/>
          <w:sz w:val="32"/>
          <w:szCs w:val="32"/>
          <w:shd w:val="clear" w:color="auto" w:fill="FFFFFF"/>
          <w:lang w:val="zh-CN" w:eastAsia="zh-CN"/>
        </w:rPr>
        <w:t>支出绩效情况。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eastAsia="zh-CN"/>
        </w:rPr>
      </w:pPr>
      <w:r>
        <w:rPr>
          <w:rFonts w:hint="eastAsia" w:ascii="楷体_GB2312" w:hAnsi="楷体_GB2312" w:eastAsia="楷体_GB2312" w:cs="楷体_GB2312"/>
          <w:color w:val="000000"/>
          <w:kern w:val="0"/>
          <w:sz w:val="32"/>
          <w:szCs w:val="32"/>
          <w:shd w:val="clear" w:color="auto" w:fill="FFFFFF"/>
          <w:lang w:val="zh-CN" w:eastAsia="zh-CN"/>
        </w:rPr>
        <w:t>（1）行政运转保障。</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en-US" w:eastAsia="zh-CN"/>
        </w:rPr>
        <w:t>2022年</w:t>
      </w:r>
      <w:r>
        <w:rPr>
          <w:rFonts w:hint="eastAsia" w:ascii="仿宋_GB2312" w:hAnsi="仿宋_GB2312" w:eastAsia="仿宋_GB2312" w:cs="仿宋_GB2312"/>
          <w:color w:val="000000"/>
          <w:kern w:val="0"/>
          <w:sz w:val="32"/>
          <w:szCs w:val="32"/>
          <w:shd w:val="clear" w:color="auto" w:fill="FFFFFF"/>
          <w:lang w:val="zh-CN" w:eastAsia="zh-CN"/>
        </w:rPr>
        <w:t>，我镇用于保障行政运转、履行职能职责的支出</w:t>
      </w:r>
      <w:r>
        <w:rPr>
          <w:rFonts w:hint="eastAsia" w:ascii="仿宋_GB2312" w:hAnsi="仿宋_GB2312" w:eastAsia="仿宋_GB2312" w:cs="仿宋_GB2312"/>
          <w:color w:val="000000"/>
          <w:kern w:val="0"/>
          <w:sz w:val="32"/>
          <w:szCs w:val="32"/>
          <w:shd w:val="clear" w:color="auto" w:fill="FFFFFF"/>
          <w:lang w:val="en-US" w:eastAsia="zh-CN"/>
        </w:rPr>
        <w:t>1646831.81</w:t>
      </w:r>
      <w:r>
        <w:rPr>
          <w:rFonts w:hint="eastAsia" w:ascii="仿宋_GB2312" w:hAnsi="仿宋_GB2312" w:eastAsia="仿宋_GB2312" w:cs="仿宋_GB2312"/>
          <w:color w:val="000000"/>
          <w:kern w:val="0"/>
          <w:sz w:val="32"/>
          <w:szCs w:val="32"/>
          <w:shd w:val="clear" w:color="auto" w:fill="FFFFFF"/>
          <w:lang w:val="zh-CN" w:eastAsia="zh-CN"/>
        </w:rPr>
        <w:t>元，主要用于办公费、差旅费、劳务费等费用开支，确保日常工作运转顺利。</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eastAsia="zh-CN"/>
        </w:rPr>
      </w:pPr>
      <w:r>
        <w:rPr>
          <w:rFonts w:hint="eastAsia" w:ascii="楷体_GB2312" w:hAnsi="楷体_GB2312" w:eastAsia="楷体_GB2312" w:cs="楷体_GB2312"/>
          <w:color w:val="000000"/>
          <w:kern w:val="0"/>
          <w:sz w:val="32"/>
          <w:szCs w:val="32"/>
          <w:shd w:val="clear" w:color="auto" w:fill="FFFFFF"/>
          <w:lang w:val="zh-CN" w:eastAsia="zh-CN"/>
        </w:rPr>
        <w:t>（2）机关厉行节约。</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zh-CN" w:eastAsia="zh-CN"/>
        </w:rPr>
        <w:t>我单位认真贯彻中央八项规定，厉行节约，严格控制“三公”经费。</w:t>
      </w:r>
      <w:r>
        <w:rPr>
          <w:rFonts w:hint="eastAsia" w:ascii="仿宋_GB2312" w:hAnsi="仿宋_GB2312" w:eastAsia="仿宋_GB2312" w:cs="仿宋_GB2312"/>
          <w:color w:val="000000"/>
          <w:kern w:val="0"/>
          <w:sz w:val="32"/>
          <w:szCs w:val="32"/>
          <w:shd w:val="clear" w:color="auto" w:fill="FFFFFF"/>
          <w:lang w:val="en-US" w:eastAsia="zh-CN"/>
        </w:rPr>
        <w:t>2022年</w:t>
      </w:r>
      <w:r>
        <w:rPr>
          <w:rFonts w:hint="eastAsia" w:ascii="仿宋_GB2312" w:hAnsi="仿宋_GB2312" w:eastAsia="仿宋_GB2312" w:cs="仿宋_GB2312"/>
          <w:color w:val="000000"/>
          <w:kern w:val="0"/>
          <w:sz w:val="32"/>
          <w:szCs w:val="32"/>
          <w:shd w:val="clear" w:color="auto" w:fill="FFFFFF"/>
          <w:lang w:val="zh-CN" w:eastAsia="zh-CN"/>
        </w:rPr>
        <w:t>使用公车运维费</w:t>
      </w:r>
      <w:r>
        <w:rPr>
          <w:rFonts w:hint="eastAsia" w:ascii="仿宋_GB2312" w:hAnsi="仿宋_GB2312" w:eastAsia="仿宋_GB2312" w:cs="仿宋_GB2312"/>
          <w:color w:val="000000"/>
          <w:kern w:val="0"/>
          <w:sz w:val="32"/>
          <w:szCs w:val="32"/>
          <w:shd w:val="clear" w:color="auto" w:fill="FFFFFF"/>
          <w:lang w:val="en-US" w:eastAsia="zh-CN"/>
        </w:rPr>
        <w:t>123771</w:t>
      </w:r>
      <w:r>
        <w:rPr>
          <w:rFonts w:hint="eastAsia" w:ascii="仿宋_GB2312" w:hAnsi="仿宋_GB2312" w:eastAsia="仿宋_GB2312" w:cs="仿宋_GB2312"/>
          <w:color w:val="000000"/>
          <w:kern w:val="0"/>
          <w:sz w:val="32"/>
          <w:szCs w:val="32"/>
          <w:shd w:val="clear" w:color="auto" w:fill="FFFFFF"/>
          <w:lang w:val="zh-CN" w:eastAsia="zh-CN"/>
        </w:rPr>
        <w:t>元，较</w:t>
      </w:r>
      <w:r>
        <w:rPr>
          <w:rFonts w:hint="eastAsia" w:ascii="仿宋_GB2312" w:hAnsi="仿宋_GB2312" w:eastAsia="仿宋_GB2312" w:cs="仿宋_GB2312"/>
          <w:color w:val="000000"/>
          <w:kern w:val="0"/>
          <w:sz w:val="32"/>
          <w:szCs w:val="32"/>
          <w:shd w:val="clear" w:color="auto" w:fill="FFFFFF"/>
          <w:lang w:val="en-US" w:eastAsia="zh-CN"/>
        </w:rPr>
        <w:t>2021年</w:t>
      </w:r>
      <w:r>
        <w:rPr>
          <w:rFonts w:hint="eastAsia" w:ascii="仿宋_GB2312" w:hAnsi="仿宋_GB2312" w:eastAsia="仿宋_GB2312" w:cs="仿宋_GB2312"/>
          <w:color w:val="000000"/>
          <w:kern w:val="0"/>
          <w:sz w:val="32"/>
          <w:szCs w:val="32"/>
          <w:shd w:val="clear" w:color="auto" w:fill="FFFFFF"/>
          <w:lang w:val="zh-CN" w:eastAsia="zh-CN"/>
        </w:rPr>
        <w:t>同比减少</w:t>
      </w:r>
      <w:r>
        <w:rPr>
          <w:rFonts w:hint="eastAsia" w:ascii="仿宋_GB2312" w:hAnsi="仿宋_GB2312" w:eastAsia="仿宋_GB2312" w:cs="仿宋_GB2312"/>
          <w:color w:val="000000"/>
          <w:kern w:val="0"/>
          <w:sz w:val="32"/>
          <w:szCs w:val="32"/>
          <w:shd w:val="clear" w:color="auto" w:fill="FFFFFF"/>
          <w:lang w:val="en-US" w:eastAsia="zh-CN"/>
        </w:rPr>
        <w:t>13.19%</w:t>
      </w:r>
      <w:r>
        <w:rPr>
          <w:rFonts w:hint="eastAsia" w:ascii="仿宋_GB2312" w:hAnsi="仿宋_GB2312" w:eastAsia="仿宋_GB2312" w:cs="仿宋_GB2312"/>
          <w:color w:val="000000"/>
          <w:kern w:val="0"/>
          <w:sz w:val="32"/>
          <w:szCs w:val="32"/>
          <w:shd w:val="clear" w:color="auto" w:fill="FFFFFF"/>
          <w:lang w:val="zh-CN" w:eastAsia="zh-CN"/>
        </w:rPr>
        <w:t>，主要原因是</w:t>
      </w:r>
      <w:r>
        <w:rPr>
          <w:rFonts w:hint="eastAsia" w:ascii="仿宋_GB2312" w:hAnsi="仿宋_GB2312" w:eastAsia="仿宋_GB2312" w:cs="仿宋_GB2312"/>
          <w:color w:val="000000"/>
          <w:kern w:val="0"/>
          <w:sz w:val="32"/>
          <w:szCs w:val="32"/>
          <w:shd w:val="clear" w:color="auto" w:fill="FFFFFF"/>
          <w:lang w:val="en-US" w:eastAsia="zh-CN"/>
        </w:rPr>
        <w:t>一台公车7月份时经修理厂检测确定该辆公车使用年限长、车辆磨损严重、安全隐患无法彻底排除后停用。</w:t>
      </w:r>
      <w:r>
        <w:rPr>
          <w:rFonts w:hint="eastAsia" w:ascii="仿宋_GB2312" w:hAnsi="仿宋_GB2312" w:eastAsia="仿宋_GB2312" w:cs="仿宋_GB2312"/>
          <w:color w:val="000000"/>
          <w:kern w:val="0"/>
          <w:sz w:val="32"/>
          <w:szCs w:val="32"/>
          <w:shd w:val="clear" w:color="auto" w:fill="FFFFFF"/>
          <w:lang w:val="zh-CN" w:eastAsia="zh-CN"/>
        </w:rPr>
        <w:t>全年没有发生接待费和因公出国费用。单位制定机关节能降耗规则，要求机关干部以身作则，节约资源，减少能耗，镇纪委加大对下班后不关电脑、不关空调、取暖器，长明灯、长流水等行为的督查。</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eastAsia="zh-CN"/>
        </w:rPr>
      </w:pPr>
      <w:r>
        <w:rPr>
          <w:rFonts w:hint="eastAsia" w:ascii="楷体_GB2312" w:hAnsi="楷体_GB2312" w:eastAsia="楷体_GB2312" w:cs="楷体_GB2312"/>
          <w:color w:val="000000"/>
          <w:kern w:val="0"/>
          <w:sz w:val="32"/>
          <w:szCs w:val="32"/>
          <w:shd w:val="clear" w:color="auto" w:fill="FFFFFF"/>
          <w:lang w:val="en-US" w:eastAsia="zh-CN"/>
        </w:rPr>
        <w:t>4.</w:t>
      </w:r>
      <w:r>
        <w:rPr>
          <w:rFonts w:hint="eastAsia" w:ascii="楷体_GB2312" w:hAnsi="楷体_GB2312" w:eastAsia="楷体_GB2312" w:cs="楷体_GB2312"/>
          <w:color w:val="000000"/>
          <w:kern w:val="0"/>
          <w:sz w:val="32"/>
          <w:szCs w:val="32"/>
          <w:shd w:val="clear" w:color="auto" w:fill="FFFFFF"/>
          <w:lang w:val="zh-CN" w:eastAsia="zh-CN"/>
        </w:rPr>
        <w:t>财务管理情况。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zh-CN" w:eastAsia="zh-CN"/>
        </w:rPr>
        <w:t>坚持依法理财，严格按照财经纪律的要求，制定并严格执行财务管理制度，财政所职责分工上墙，确保传达到每一个财务工作人员；规范财务管理，财政所分设会计和出纳岗位，按不相容职位分离原则安排人员负责印鉴的管理和票据的管理，分工明确，相互牵制，严格执行行政事业单位会计制度，根据实际发生的经济业务事项及时进行会计核算，严禁虚列、多列、少列或不列费用，严禁私设账外账、小金库、公款私存等；加强财政内部控制建设，完善内部控制制度，编制内部控制手册，强化财政监督，结合镇党委和各部门加强对财政所工作的监督管理，不断改进完善财务管理工作。完善政府采购制度，积极组织学习采购政策和程序，熟悉采购流程，同时落实专人负责政府采购，保障政府采购程序合法、责任到位。</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eastAsia="zh-CN"/>
        </w:rPr>
      </w:pPr>
      <w:r>
        <w:rPr>
          <w:rFonts w:hint="eastAsia" w:ascii="楷体_GB2312" w:hAnsi="楷体_GB2312" w:eastAsia="楷体_GB2312" w:cs="楷体_GB2312"/>
          <w:color w:val="000000"/>
          <w:kern w:val="0"/>
          <w:sz w:val="32"/>
          <w:szCs w:val="32"/>
          <w:shd w:val="clear" w:color="auto" w:fill="FFFFFF"/>
          <w:lang w:val="en-US" w:eastAsia="zh-CN"/>
        </w:rPr>
        <w:t>5.</w:t>
      </w:r>
      <w:r>
        <w:rPr>
          <w:rFonts w:hint="eastAsia" w:ascii="楷体_GB2312" w:hAnsi="楷体_GB2312" w:eastAsia="楷体_GB2312" w:cs="楷体_GB2312"/>
          <w:color w:val="000000"/>
          <w:kern w:val="0"/>
          <w:sz w:val="32"/>
          <w:szCs w:val="32"/>
          <w:shd w:val="clear" w:color="auto" w:fill="FFFFFF"/>
          <w:lang w:val="zh-CN" w:eastAsia="zh-CN"/>
        </w:rPr>
        <w:t>绩效管理工作开展情况。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zh-CN" w:eastAsia="zh-CN"/>
        </w:rPr>
        <w:t>按照文件精神要求，结合年初工作计划及财政预算，我镇着力加强绩效管理自评工作，成立了以镇长</w:t>
      </w:r>
      <w:r>
        <w:rPr>
          <w:rFonts w:hint="eastAsia" w:ascii="仿宋_GB2312" w:hAnsi="仿宋_GB2312" w:cs="仿宋_GB2312"/>
          <w:color w:val="000000"/>
          <w:kern w:val="0"/>
          <w:sz w:val="32"/>
          <w:szCs w:val="32"/>
          <w:shd w:val="clear" w:color="auto" w:fill="FFFFFF"/>
          <w:lang w:val="zh-CN" w:eastAsia="zh-CN"/>
        </w:rPr>
        <w:t>王晓宇</w:t>
      </w:r>
      <w:r>
        <w:rPr>
          <w:rFonts w:hint="eastAsia" w:ascii="仿宋_GB2312" w:hAnsi="仿宋_GB2312" w:eastAsia="仿宋_GB2312" w:cs="仿宋_GB2312"/>
          <w:color w:val="000000"/>
          <w:kern w:val="0"/>
          <w:sz w:val="32"/>
          <w:szCs w:val="32"/>
          <w:shd w:val="clear" w:color="auto" w:fill="FFFFFF"/>
          <w:lang w:val="zh-CN" w:eastAsia="zh-CN"/>
        </w:rPr>
        <w:t>为</w:t>
      </w:r>
      <w:r>
        <w:rPr>
          <w:rFonts w:hint="eastAsia" w:ascii="仿宋_GB2312" w:hAnsi="仿宋_GB2312" w:cs="仿宋_GB2312"/>
          <w:color w:val="000000"/>
          <w:kern w:val="0"/>
          <w:sz w:val="32"/>
          <w:szCs w:val="32"/>
          <w:shd w:val="clear" w:color="auto" w:fill="FFFFFF"/>
          <w:lang w:val="zh-CN" w:eastAsia="zh-CN"/>
        </w:rPr>
        <w:t>组长</w:t>
      </w:r>
      <w:r>
        <w:rPr>
          <w:rFonts w:hint="eastAsia" w:ascii="仿宋_GB2312" w:hAnsi="仿宋_GB2312" w:eastAsia="仿宋_GB2312" w:cs="仿宋_GB2312"/>
          <w:color w:val="000000"/>
          <w:kern w:val="0"/>
          <w:sz w:val="32"/>
          <w:szCs w:val="32"/>
          <w:shd w:val="clear" w:color="auto" w:fill="FFFFFF"/>
          <w:lang w:val="zh-CN" w:eastAsia="zh-CN"/>
        </w:rPr>
        <w:t>，财政所工作人员和镇纪检部门纪检委员为主要成员的工作</w:t>
      </w:r>
      <w:r>
        <w:rPr>
          <w:rFonts w:hint="eastAsia" w:ascii="仿宋_GB2312" w:hAnsi="仿宋_GB2312" w:cs="仿宋_GB2312"/>
          <w:color w:val="000000"/>
          <w:kern w:val="0"/>
          <w:sz w:val="32"/>
          <w:szCs w:val="32"/>
          <w:shd w:val="clear" w:color="auto" w:fill="FFFFFF"/>
          <w:lang w:val="zh-CN" w:eastAsia="zh-CN"/>
        </w:rPr>
        <w:t>领导</w:t>
      </w:r>
      <w:r>
        <w:rPr>
          <w:rFonts w:hint="eastAsia" w:ascii="仿宋_GB2312" w:hAnsi="仿宋_GB2312" w:eastAsia="仿宋_GB2312" w:cs="仿宋_GB2312"/>
          <w:color w:val="000000"/>
          <w:kern w:val="0"/>
          <w:sz w:val="32"/>
          <w:szCs w:val="32"/>
          <w:shd w:val="clear" w:color="auto" w:fill="FFFFFF"/>
          <w:lang w:val="zh-CN" w:eastAsia="zh-CN"/>
        </w:rPr>
        <w:t>小组，通过部门自查、领导小组督查、文件资料检查等方式加强对支出绩效，特别是资金量较大的财政支出的评价工作。经自查，我镇在财政资金的管理使用中严格按照财政资金拨付流程和审批程序进行，不存在违法违纪行为。</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eastAsia="zh-CN"/>
        </w:rPr>
      </w:pPr>
      <w:r>
        <w:rPr>
          <w:rFonts w:hint="eastAsia" w:ascii="楷体_GB2312" w:hAnsi="楷体_GB2312" w:eastAsia="楷体_GB2312" w:cs="楷体_GB2312"/>
          <w:color w:val="000000"/>
          <w:kern w:val="0"/>
          <w:sz w:val="32"/>
          <w:szCs w:val="32"/>
          <w:shd w:val="clear" w:color="auto" w:fill="FFFFFF"/>
          <w:lang w:val="zh-CN" w:eastAsia="zh-CN"/>
        </w:rPr>
        <w:t>（二）结果应用情况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zh-CN" w:eastAsia="zh-CN"/>
        </w:rPr>
        <w:t>我镇严格按照财政局相关文件及制度要求对</w:t>
      </w:r>
      <w:r>
        <w:rPr>
          <w:rFonts w:hint="eastAsia" w:ascii="仿宋_GB2312" w:hAnsi="仿宋_GB2312" w:cs="仿宋_GB2312"/>
          <w:color w:val="000000"/>
          <w:kern w:val="0"/>
          <w:sz w:val="32"/>
          <w:szCs w:val="32"/>
          <w:shd w:val="clear" w:color="auto" w:fill="FFFFFF"/>
          <w:lang w:val="zh-CN" w:eastAsia="zh-CN"/>
        </w:rPr>
        <w:t>部门</w:t>
      </w:r>
      <w:r>
        <w:rPr>
          <w:rFonts w:hint="eastAsia" w:ascii="仿宋_GB2312" w:hAnsi="仿宋_GB2312" w:eastAsia="仿宋_GB2312" w:cs="仿宋_GB2312"/>
          <w:color w:val="000000"/>
          <w:kern w:val="0"/>
          <w:sz w:val="32"/>
          <w:szCs w:val="32"/>
          <w:shd w:val="clear" w:color="auto" w:fill="FFFFFF"/>
          <w:lang w:val="zh-CN" w:eastAsia="zh-CN"/>
        </w:rPr>
        <w:t>整体绩效及项目绩效进行自评，并上报财政局，对自评发现的不足</w:t>
      </w:r>
      <w:r>
        <w:rPr>
          <w:rFonts w:hint="eastAsia" w:ascii="仿宋_GB2312" w:hAnsi="仿宋_GB2312" w:cs="仿宋_GB2312"/>
          <w:color w:val="000000"/>
          <w:kern w:val="0"/>
          <w:sz w:val="32"/>
          <w:szCs w:val="32"/>
          <w:shd w:val="clear" w:color="auto" w:fill="FFFFFF"/>
          <w:lang w:val="zh-CN" w:eastAsia="zh-CN"/>
        </w:rPr>
        <w:t>及时进行</w:t>
      </w:r>
      <w:r>
        <w:rPr>
          <w:rFonts w:hint="eastAsia" w:ascii="仿宋_GB2312" w:hAnsi="仿宋_GB2312" w:eastAsia="仿宋_GB2312" w:cs="仿宋_GB2312"/>
          <w:color w:val="000000"/>
          <w:kern w:val="0"/>
          <w:sz w:val="32"/>
          <w:szCs w:val="32"/>
          <w:shd w:val="clear" w:color="auto" w:fill="FFFFFF"/>
          <w:lang w:val="zh-CN" w:eastAsia="zh-CN"/>
        </w:rPr>
        <w:t>整改。</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eastAsia="zh-CN"/>
        </w:rPr>
      </w:pPr>
      <w:r>
        <w:rPr>
          <w:rFonts w:hint="eastAsia" w:ascii="楷体_GB2312" w:hAnsi="楷体_GB2312" w:eastAsia="楷体_GB2312" w:cs="楷体_GB2312"/>
          <w:color w:val="000000"/>
          <w:kern w:val="0"/>
          <w:sz w:val="32"/>
          <w:szCs w:val="32"/>
          <w:shd w:val="clear" w:color="auto" w:fill="FFFFFF"/>
          <w:lang w:val="zh-CN" w:eastAsia="zh-CN"/>
        </w:rPr>
        <w:t>（三）自评质量</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contextualSpacing/>
        <w:jc w:val="left"/>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eastAsia" w:ascii="仿宋_GB2312" w:hAnsi="宋体" w:cs="宋体"/>
          <w:b w:val="0"/>
          <w:bCs w:val="0"/>
          <w:color w:val="000000"/>
          <w:kern w:val="0"/>
          <w:sz w:val="32"/>
          <w:szCs w:val="32"/>
          <w:shd w:val="clear" w:color="auto" w:fill="FFFFFF"/>
          <w:lang w:val="en-US" w:eastAsia="zh-CN"/>
        </w:rPr>
        <w:t xml:space="preserve">  </w:t>
      </w:r>
      <w:r>
        <w:rPr>
          <w:rFonts w:hint="eastAsia" w:ascii="仿宋_GB2312" w:hAnsi="仿宋_GB2312" w:eastAsia="仿宋_GB2312" w:cs="仿宋_GB2312"/>
          <w:color w:val="000000"/>
          <w:kern w:val="0"/>
          <w:sz w:val="32"/>
          <w:szCs w:val="32"/>
          <w:shd w:val="clear" w:color="auto" w:fill="FFFFFF"/>
          <w:lang w:val="en-US" w:eastAsia="zh-CN"/>
        </w:rPr>
        <w:t xml:space="preserve">  我镇严格按照2023年部门整体支出绩效评价指标体系进行对标自评，自评过程符合要求，自评结论符合我镇实际。</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宋体" w:cs="宋体"/>
          <w:color w:val="000000"/>
          <w:kern w:val="0"/>
          <w:sz w:val="32"/>
          <w:szCs w:val="32"/>
          <w:shd w:val="clear" w:color="auto" w:fill="FFFFFF"/>
          <w:lang w:val="zh-CN"/>
        </w:rPr>
      </w:pPr>
      <w:r>
        <w:rPr>
          <w:rFonts w:hint="eastAsia" w:ascii="仿宋_GB2312" w:hAnsi="宋体" w:cs="宋体"/>
          <w:color w:val="000000"/>
          <w:kern w:val="0"/>
          <w:sz w:val="32"/>
          <w:szCs w:val="32"/>
          <w:shd w:val="clear" w:color="auto" w:fill="FFFFFF"/>
          <w:lang w:val="zh-CN"/>
        </w:rPr>
        <w:t>（一）评价结论。</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zh-CN" w:eastAsia="zh-CN"/>
        </w:rPr>
        <w:t>通过绩效管理自评，我镇在预算支出中不存在违法违纪行为。我镇按照要求单独设立财政所，财政所现有工作人员</w:t>
      </w:r>
      <w:r>
        <w:rPr>
          <w:rFonts w:hint="eastAsia" w:ascii="仿宋_GB2312" w:hAnsi="仿宋_GB2312" w:eastAsia="仿宋_GB2312" w:cs="仿宋_GB2312"/>
          <w:color w:val="000000"/>
          <w:kern w:val="0"/>
          <w:sz w:val="32"/>
          <w:szCs w:val="32"/>
          <w:shd w:val="clear" w:color="auto" w:fill="FFFFFF"/>
          <w:lang w:val="en-US" w:eastAsia="zh-CN"/>
        </w:rPr>
        <w:t>2</w:t>
      </w:r>
      <w:r>
        <w:rPr>
          <w:rFonts w:hint="eastAsia" w:ascii="仿宋_GB2312" w:hAnsi="仿宋_GB2312" w:eastAsia="仿宋_GB2312" w:cs="仿宋_GB2312"/>
          <w:color w:val="000000"/>
          <w:kern w:val="0"/>
          <w:sz w:val="32"/>
          <w:szCs w:val="32"/>
          <w:shd w:val="clear" w:color="auto" w:fill="FFFFFF"/>
          <w:lang w:val="zh-CN" w:eastAsia="zh-CN"/>
        </w:rPr>
        <w:t>人，岗位设置所长（兼任会计）</w:t>
      </w:r>
      <w:r>
        <w:rPr>
          <w:rFonts w:hint="eastAsia" w:ascii="仿宋_GB2312" w:hAnsi="仿宋_GB2312" w:eastAsia="仿宋_GB2312" w:cs="仿宋_GB2312"/>
          <w:color w:val="000000"/>
          <w:kern w:val="0"/>
          <w:sz w:val="32"/>
          <w:szCs w:val="32"/>
          <w:shd w:val="clear" w:color="auto" w:fill="FFFFFF"/>
          <w:lang w:val="en-US" w:eastAsia="zh-CN"/>
        </w:rPr>
        <w:t>1人</w:t>
      </w:r>
      <w:r>
        <w:rPr>
          <w:rFonts w:hint="eastAsia" w:ascii="仿宋_GB2312" w:hAnsi="仿宋_GB2312" w:eastAsia="仿宋_GB2312" w:cs="仿宋_GB2312"/>
          <w:color w:val="000000"/>
          <w:kern w:val="0"/>
          <w:sz w:val="32"/>
          <w:szCs w:val="32"/>
          <w:shd w:val="clear" w:color="auto" w:fill="FFFFFF"/>
          <w:lang w:val="zh-CN" w:eastAsia="zh-CN"/>
        </w:rPr>
        <w:t>、出纳</w:t>
      </w:r>
      <w:r>
        <w:rPr>
          <w:rFonts w:hint="eastAsia" w:ascii="仿宋_GB2312" w:hAnsi="仿宋_GB2312" w:eastAsia="仿宋_GB2312" w:cs="仿宋_GB2312"/>
          <w:color w:val="000000"/>
          <w:kern w:val="0"/>
          <w:sz w:val="32"/>
          <w:szCs w:val="32"/>
          <w:shd w:val="clear" w:color="auto" w:fill="FFFFFF"/>
          <w:lang w:val="en-US" w:eastAsia="zh-CN"/>
        </w:rPr>
        <w:t>1人</w:t>
      </w:r>
      <w:r>
        <w:rPr>
          <w:rFonts w:hint="eastAsia" w:ascii="仿宋_GB2312" w:hAnsi="仿宋_GB2312" w:eastAsia="仿宋_GB2312" w:cs="仿宋_GB2312"/>
          <w:color w:val="000000"/>
          <w:kern w:val="0"/>
          <w:sz w:val="32"/>
          <w:szCs w:val="32"/>
          <w:shd w:val="clear" w:color="auto" w:fill="FFFFFF"/>
          <w:lang w:val="zh-CN" w:eastAsia="zh-CN"/>
        </w:rPr>
        <w:t>；按要求完成了基础工作制度、公开公示制度、内部控制制度、廉政建设制度的建设工作；做到年初有计划、年中有回顾、年终有总结，会计按月及时记账并装订账簿，按时并保质保量的完成年终部门决算工作、财政资金的对账工作、资产的登记、以及日常的报表及资料的报送工作。</w:t>
      </w:r>
    </w:p>
    <w:p>
      <w:pPr>
        <w:keepNext w:val="0"/>
        <w:keepLines w:val="0"/>
        <w:pageBreakBefore w:val="0"/>
        <w:widowControl/>
        <w:numPr>
          <w:ilvl w:val="0"/>
          <w:numId w:val="7"/>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存在问题</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1.财政所出纳人员近年来变动2次，加上第一年使用预算一体化平台进行操作，存在业务不够熟练情况。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2.2022年财政所所长同时兼任党政办主任，现已整改。</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（三）改进建议</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zh-CN" w:eastAsia="zh-CN"/>
        </w:rPr>
        <w:t>针对上述问题，建议加强对财政工作人员的业务培训，加强对日常财务工作的监督与检查，财政工作人员也要加强自身学习，确保会计处理的严肃性和准确性。同时要加强对部门工作人员、村级报账员培训，规范报账票据填写，完善报账票据。</w:t>
      </w:r>
    </w:p>
    <w:p>
      <w:pPr>
        <w:pStyle w:val="15"/>
        <w:pageBreakBefore w:val="0"/>
        <w:kinsoku/>
        <w:wordWrap/>
        <w:overflowPunct/>
        <w:topLinePunct w:val="0"/>
        <w:bidi w:val="0"/>
        <w:spacing w:after="0" w:line="600" w:lineRule="exact"/>
        <w:ind w:left="0" w:leftChars="0" w:firstLine="0" w:firstLineChars="0"/>
        <w:textAlignment w:val="auto"/>
        <w:rPr>
          <w:sz w:val="32"/>
          <w:lang w:val="zh-CN"/>
        </w:rPr>
      </w:pPr>
    </w:p>
    <w:p>
      <w:pPr>
        <w:pStyle w:val="5"/>
        <w:pageBreakBefore w:val="0"/>
        <w:kinsoku/>
        <w:wordWrap/>
        <w:overflowPunct/>
        <w:topLinePunct w:val="0"/>
        <w:bidi w:val="0"/>
        <w:spacing w:beforeLines="0" w:line="600" w:lineRule="exact"/>
        <w:textAlignment w:val="auto"/>
        <w:rPr>
          <w:rFonts w:hAnsi="宋体" w:cs="宋体"/>
          <w:sz w:val="32"/>
          <w:szCs w:val="32"/>
          <w:shd w:val="clear" w:color="auto" w:fill="FFFFFF"/>
          <w:lang w:val="zh-CN"/>
        </w:rPr>
      </w:pPr>
    </w:p>
    <w:p>
      <w:pPr>
        <w:pStyle w:val="5"/>
        <w:pageBreakBefore w:val="0"/>
        <w:kinsoku/>
        <w:wordWrap/>
        <w:overflowPunct/>
        <w:topLinePunct w:val="0"/>
        <w:bidi w:val="0"/>
        <w:spacing w:beforeLines="0" w:line="600" w:lineRule="exact"/>
        <w:textAlignment w:val="auto"/>
        <w:rPr>
          <w:rFonts w:hint="eastAsia" w:hAnsi="宋体" w:cs="宋体"/>
          <w:sz w:val="32"/>
          <w:szCs w:val="32"/>
          <w:shd w:val="clear" w:color="auto" w:fill="FFFFFF"/>
          <w:lang w:val="zh-CN"/>
        </w:rPr>
      </w:pPr>
    </w:p>
    <w:p>
      <w:pPr>
        <w:pStyle w:val="5"/>
        <w:pageBreakBefore w:val="0"/>
        <w:kinsoku/>
        <w:wordWrap/>
        <w:overflowPunct/>
        <w:topLinePunct w:val="0"/>
        <w:bidi w:val="0"/>
        <w:spacing w:beforeLines="0" w:line="600" w:lineRule="exact"/>
        <w:textAlignment w:val="auto"/>
        <w:rPr>
          <w:rFonts w:hint="eastAsia" w:hAnsi="宋体" w:cs="宋体"/>
          <w:sz w:val="32"/>
          <w:szCs w:val="32"/>
          <w:shd w:val="clear" w:color="auto" w:fill="FFFFFF"/>
          <w:lang w:val="zh-CN"/>
        </w:rPr>
      </w:pPr>
    </w:p>
    <w:p>
      <w:pPr>
        <w:pStyle w:val="5"/>
        <w:pageBreakBefore w:val="0"/>
        <w:kinsoku/>
        <w:wordWrap/>
        <w:overflowPunct/>
        <w:topLinePunct w:val="0"/>
        <w:bidi w:val="0"/>
        <w:spacing w:beforeLines="0" w:line="600" w:lineRule="exact"/>
        <w:textAlignment w:val="auto"/>
        <w:rPr>
          <w:rFonts w:hint="eastAsia" w:hAnsi="宋体" w:cs="宋体"/>
          <w:sz w:val="32"/>
          <w:szCs w:val="32"/>
          <w:shd w:val="clear" w:color="auto" w:fill="FFFFFF"/>
          <w:lang w:val="zh-CN"/>
        </w:rPr>
      </w:pPr>
    </w:p>
    <w:p>
      <w:pPr>
        <w:pStyle w:val="5"/>
        <w:pageBreakBefore w:val="0"/>
        <w:kinsoku/>
        <w:wordWrap/>
        <w:overflowPunct/>
        <w:topLinePunct w:val="0"/>
        <w:bidi w:val="0"/>
        <w:spacing w:beforeLines="0" w:line="600" w:lineRule="exact"/>
        <w:textAlignment w:val="auto"/>
        <w:rPr>
          <w:rFonts w:hint="eastAsia" w:hAnsi="宋体" w:cs="宋体"/>
          <w:sz w:val="32"/>
          <w:szCs w:val="32"/>
          <w:shd w:val="clear" w:color="auto" w:fill="FFFFFF"/>
          <w:lang w:val="zh-CN"/>
        </w:rPr>
      </w:pPr>
    </w:p>
    <w:p>
      <w:pPr>
        <w:pStyle w:val="5"/>
        <w:pageBreakBefore w:val="0"/>
        <w:kinsoku/>
        <w:wordWrap/>
        <w:overflowPunct/>
        <w:topLinePunct w:val="0"/>
        <w:bidi w:val="0"/>
        <w:spacing w:beforeLines="0" w:line="600" w:lineRule="exact"/>
        <w:textAlignment w:val="auto"/>
        <w:rPr>
          <w:rFonts w:hint="eastAsia" w:hAnsi="宋体" w:cs="宋体"/>
          <w:sz w:val="32"/>
          <w:szCs w:val="32"/>
          <w:shd w:val="clear" w:color="auto" w:fill="FFFFFF"/>
          <w:lang w:val="zh-CN"/>
        </w:rPr>
      </w:pPr>
    </w:p>
    <w:p>
      <w:pPr>
        <w:pStyle w:val="5"/>
        <w:pageBreakBefore w:val="0"/>
        <w:kinsoku/>
        <w:wordWrap/>
        <w:overflowPunct/>
        <w:topLinePunct w:val="0"/>
        <w:bidi w:val="0"/>
        <w:spacing w:beforeLines="0" w:line="600" w:lineRule="exact"/>
        <w:textAlignment w:val="auto"/>
        <w:rPr>
          <w:rFonts w:hint="eastAsia" w:hAnsi="宋体" w:cs="宋体"/>
          <w:sz w:val="32"/>
          <w:szCs w:val="32"/>
          <w:shd w:val="clear" w:color="auto" w:fill="FFFFFF"/>
          <w:lang w:val="zh-CN"/>
        </w:rPr>
      </w:pPr>
    </w:p>
    <w:p>
      <w:pPr>
        <w:pStyle w:val="5"/>
        <w:pageBreakBefore w:val="0"/>
        <w:kinsoku/>
        <w:wordWrap/>
        <w:overflowPunct/>
        <w:topLinePunct w:val="0"/>
        <w:bidi w:val="0"/>
        <w:spacing w:beforeLines="0" w:line="600" w:lineRule="exact"/>
        <w:textAlignment w:val="auto"/>
        <w:rPr>
          <w:sz w:val="32"/>
          <w:szCs w:val="32"/>
        </w:rPr>
      </w:pPr>
      <w:bookmarkStart w:id="75" w:name="_GoBack"/>
      <w:bookmarkEnd w:id="75"/>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p>
    <w:p>
      <w:pPr>
        <w:pStyle w:val="35"/>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lang w:val="en-US" w:eastAsia="zh-CN"/>
        </w:rPr>
        <w:t>2023年双福镇人民政府</w:t>
      </w:r>
    </w:p>
    <w:p>
      <w:pPr>
        <w:pStyle w:val="35"/>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行政事业性国有资产</w:t>
      </w:r>
      <w:r>
        <w:rPr>
          <w:rFonts w:hint="eastAsia" w:ascii="方正小标宋简体" w:hAnsi="宋体" w:eastAsia="方正小标宋简体"/>
          <w:sz w:val="44"/>
          <w:szCs w:val="44"/>
        </w:rPr>
        <w:t>绩效</w:t>
      </w:r>
    </w:p>
    <w:p>
      <w:pPr>
        <w:pStyle w:val="35"/>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方正小标宋简体" w:hAnsi="宋体" w:eastAsia="方正小标宋简体"/>
          <w:sz w:val="44"/>
          <w:szCs w:val="44"/>
        </w:rPr>
        <w:t>自评报告</w:t>
      </w:r>
    </w:p>
    <w:p>
      <w:pPr>
        <w:pStyle w:val="35"/>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zh-CN" w:eastAsia="zh-CN"/>
        </w:rPr>
        <w:t>双福镇人民政府</w:t>
      </w:r>
      <w:r>
        <w:rPr>
          <w:rFonts w:hint="eastAsia" w:ascii="仿宋_GB2312" w:hAnsi="仿宋_GB2312" w:eastAsia="仿宋_GB2312" w:cs="仿宋_GB2312"/>
          <w:color w:val="000000"/>
          <w:kern w:val="0"/>
          <w:sz w:val="32"/>
          <w:szCs w:val="32"/>
          <w:shd w:val="clear" w:color="auto" w:fill="FFFFFF"/>
          <w:lang w:val="en-US" w:eastAsia="zh-CN"/>
        </w:rPr>
        <w:t>2022年末资产合计13383.27万元，其中流动资产1204.51万元（包含银行存款714.87万元，其他应收款489.63万元），非流动资产12178.76万元（包含固定资产净值111.56万元，公共基础设施净值12067.2万元）；年末负债合计602.23万元，其中其他应付款602.23万元。年末净资产12781.04万元，其中累计盈余12781.04万元。</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sz w:val="32"/>
          <w:szCs w:val="32"/>
        </w:rPr>
      </w:pPr>
      <w:r>
        <w:rPr>
          <w:rFonts w:hint="eastAsia" w:ascii="黑体" w:hAnsi="宋体" w:eastAsia="黑体"/>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仿宋_GB2312" w:hAnsi="宋体"/>
          <w:sz w:val="32"/>
          <w:szCs w:val="32"/>
          <w:lang w:val="zh-CN"/>
        </w:rPr>
        <w:tab/>
      </w:r>
      <w:r>
        <w:rPr>
          <w:rFonts w:hint="eastAsia" w:ascii="楷体_GB2312" w:hAnsi="宋体" w:eastAsia="楷体_GB2312"/>
          <w:b/>
          <w:sz w:val="32"/>
          <w:szCs w:val="32"/>
          <w:lang w:val="zh-CN"/>
        </w:rPr>
        <w:t>（一）资产到位及使用情况。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sz w:val="32"/>
          <w:szCs w:val="32"/>
          <w:lang w:val="en-US" w:eastAsia="zh-CN"/>
        </w:rPr>
      </w:pPr>
      <w:r>
        <w:rPr>
          <w:rFonts w:hint="eastAsia" w:ascii="楷体_GB2312" w:hAnsi="宋体" w:eastAsia="楷体_GB2312"/>
          <w:sz w:val="32"/>
          <w:szCs w:val="32"/>
          <w:lang w:val="en-US" w:eastAsia="zh-CN"/>
        </w:rPr>
        <w:t>1.资产使用情况。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zh-CN" w:eastAsia="zh-CN"/>
        </w:rPr>
        <w:t>截至2022年12月31日，我单位自用固定资产原值429.09万元，净值</w:t>
      </w:r>
      <w:r>
        <w:rPr>
          <w:rFonts w:hint="eastAsia" w:ascii="仿宋_GB2312" w:hAnsi="仿宋_GB2312" w:eastAsia="仿宋_GB2312" w:cs="仿宋_GB2312"/>
          <w:color w:val="000000"/>
          <w:kern w:val="0"/>
          <w:sz w:val="32"/>
          <w:szCs w:val="32"/>
          <w:shd w:val="clear" w:color="auto" w:fill="FFFFFF"/>
          <w:lang w:val="en-US" w:eastAsia="zh-CN"/>
        </w:rPr>
        <w:t>111.56万元，</w:t>
      </w:r>
      <w:r>
        <w:rPr>
          <w:rFonts w:hint="eastAsia" w:ascii="仿宋_GB2312" w:hAnsi="仿宋_GB2312" w:eastAsia="仿宋_GB2312" w:cs="仿宋_GB2312"/>
          <w:color w:val="000000"/>
          <w:kern w:val="0"/>
          <w:sz w:val="32"/>
          <w:szCs w:val="32"/>
          <w:shd w:val="clear" w:color="auto" w:fill="FFFFFF"/>
          <w:lang w:val="zh-CN" w:eastAsia="zh-CN"/>
        </w:rPr>
        <w:t>占账面固定资产总额的100.00%。我单位无对外出租出借资产，本年度无资产处置。</w:t>
      </w:r>
    </w:p>
    <w:p>
      <w:pPr>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sz w:val="32"/>
          <w:szCs w:val="32"/>
          <w:lang w:val="zh-CN"/>
        </w:rPr>
      </w:pPr>
      <w:r>
        <w:rPr>
          <w:rFonts w:hint="eastAsia" w:ascii="楷体_GB2312" w:hAnsi="宋体" w:eastAsia="楷体_GB2312"/>
          <w:sz w:val="32"/>
          <w:szCs w:val="32"/>
          <w:lang w:val="zh-CN"/>
        </w:rPr>
        <w:t>资产收益情况。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zh-CN" w:eastAsia="zh-CN"/>
        </w:rPr>
        <w:t>截至2022年12月31日，我单位无对外出租出借资产、无变卖、报废资产，资产相关收益</w:t>
      </w:r>
      <w:r>
        <w:rPr>
          <w:rFonts w:hint="eastAsia" w:ascii="仿宋_GB2312" w:hAnsi="仿宋_GB2312" w:eastAsia="仿宋_GB2312" w:cs="仿宋_GB2312"/>
          <w:color w:val="000000"/>
          <w:kern w:val="0"/>
          <w:sz w:val="32"/>
          <w:szCs w:val="32"/>
          <w:shd w:val="clear" w:color="auto" w:fill="FFFFFF"/>
          <w:lang w:val="en-US" w:eastAsia="zh-CN"/>
        </w:rPr>
        <w:t>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我单位建立了双福镇内控管理制度，制定了收支业务管理制度、固定资产管理制度，由党政办负责国有资产的管理，财政所负责资产账务，做到了账实相符。</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zh-CN" w:eastAsia="zh-CN"/>
        </w:rPr>
        <w:t>一是建立健全资产管理制度，合理配备并节约有效使用资产，提高资产使用效率，保障资产的安全和完整；二是坚持管理和使用统一原则，分级管理、职责到人，党政办公室负责本单位资产的采购、分配、清查，以及资产的日常管理，财政所负责进行价值核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sz w:val="32"/>
          <w:szCs w:val="32"/>
          <w:lang w:val="zh-CN"/>
        </w:rPr>
      </w:pPr>
      <w:r>
        <w:rPr>
          <w:rFonts w:hint="eastAsia" w:ascii="黑体" w:hAnsi="宋体" w:eastAsia="黑体"/>
          <w:sz w:val="32"/>
          <w:szCs w:val="32"/>
        </w:rPr>
        <w:t>三、项目绩效情况</w:t>
      </w:r>
      <w:r>
        <w:rPr>
          <w:rFonts w:hint="eastAsia" w:ascii="仿宋_GB2312" w:hAnsi="宋体"/>
          <w:sz w:val="32"/>
          <w:szCs w:val="32"/>
          <w:lang w:val="zh-CN"/>
        </w:rPr>
        <w:tab/>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zh-CN" w:eastAsia="zh-CN"/>
        </w:rPr>
        <w:t>我单位科学合理做好资产配置，加强资产的日常维护管理，挖掘资产的使用价值，充分发挥资产在单位履行职能方面的物质基础作用，有效保证单位运转需要和提供公共服务需要。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sz w:val="32"/>
          <w:szCs w:val="32"/>
        </w:rPr>
      </w:pPr>
      <w:r>
        <w:rPr>
          <w:rFonts w:hint="eastAsia" w:ascii="黑体" w:hAnsi="宋体" w:eastAsia="黑体"/>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（一）存在的问题。</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1.多年以前由于固定资产入账标准低，导致现在资产系统中存在多个单价在500元以下资产，需要进一步联系国资办进行处理；</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2.资产分类管理需要进一步培训，同一类物品在资产系统中存在资产分类不统一的情况。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b/>
          <w:sz w:val="32"/>
          <w:szCs w:val="32"/>
          <w:lang w:val="zh-CN"/>
        </w:rPr>
      </w:pPr>
      <w:r>
        <w:rPr>
          <w:rFonts w:hint="eastAsia" w:ascii="仿宋_GB2312" w:hAnsi="仿宋_GB2312" w:eastAsia="仿宋_GB2312" w:cs="仿宋_GB2312"/>
          <w:color w:val="000000"/>
          <w:kern w:val="0"/>
          <w:sz w:val="32"/>
          <w:szCs w:val="32"/>
          <w:shd w:val="clear" w:color="auto" w:fill="FFFFFF"/>
          <w:lang w:val="en-US" w:eastAsia="zh-CN"/>
        </w:rPr>
        <w:t>3.通用设备中电脑、打印机等报废审批未及时完成，导致账面通用设备人均占有数量高、闲置资产比例高。下一步将集中进行损坏资产报损、报废。</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（二）相关建议。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无。</w:t>
      </w:r>
    </w:p>
    <w:p>
      <w:pPr>
        <w:pageBreakBefore w:val="0"/>
        <w:widowControl/>
        <w:kinsoku/>
        <w:wordWrap/>
        <w:overflowPunct/>
        <w:topLinePunct w:val="0"/>
        <w:bidi w:val="0"/>
        <w:spacing w:line="600" w:lineRule="exact"/>
        <w:jc w:val="left"/>
        <w:textAlignment w:val="auto"/>
        <w:rPr>
          <w:rStyle w:val="29"/>
          <w:rFonts w:ascii="黑体" w:hAnsi="黑体" w:eastAsia="黑体"/>
          <w:b w:val="0"/>
          <w:sz w:val="32"/>
          <w:szCs w:val="32"/>
        </w:rPr>
      </w:pPr>
      <w:r>
        <w:rPr>
          <w:rStyle w:val="29"/>
          <w:rFonts w:ascii="黑体" w:hAnsi="黑体" w:eastAsia="黑体"/>
          <w:b w:val="0"/>
          <w:sz w:val="32"/>
          <w:szCs w:val="32"/>
        </w:rPr>
        <w:br w:type="page"/>
      </w:r>
    </w:p>
    <w:p>
      <w:pPr>
        <w:pageBreakBefore w:val="0"/>
        <w:kinsoku/>
        <w:wordWrap/>
        <w:overflowPunct/>
        <w:topLinePunct w:val="0"/>
        <w:bidi w:val="0"/>
        <w:spacing w:line="600" w:lineRule="exact"/>
        <w:jc w:val="center"/>
        <w:textAlignment w:val="auto"/>
        <w:outlineLvl w:val="0"/>
        <w:rPr>
          <w:rFonts w:ascii="仿宋" w:hAnsi="仿宋" w:eastAsia="仿宋"/>
        </w:rPr>
      </w:pPr>
      <w:bookmarkStart w:id="61" w:name="_Toc15396618"/>
      <w:r>
        <w:rPr>
          <w:rFonts w:hint="eastAsia" w:ascii="黑体" w:hAnsi="黑体" w:eastAsia="黑体"/>
          <w:sz w:val="44"/>
          <w:szCs w:val="44"/>
        </w:rPr>
        <w:t>第</w:t>
      </w:r>
      <w:r>
        <w:rPr>
          <w:rStyle w:val="29"/>
          <w:rFonts w:hint="eastAsia" w:ascii="黑体" w:hAnsi="黑体" w:eastAsia="黑体"/>
          <w:b w:val="0"/>
        </w:rPr>
        <w:t>五部分 附表</w:t>
      </w:r>
      <w:bookmarkEnd w:id="59"/>
      <w:bookmarkEnd w:id="61"/>
      <w:bookmarkStart w:id="62" w:name="_Toc15396619"/>
    </w:p>
    <w:p>
      <w:pPr>
        <w:pStyle w:val="3"/>
        <w:pageBreakBefore w:val="0"/>
        <w:kinsoku/>
        <w:wordWrap/>
        <w:overflowPunct/>
        <w:topLinePunct w:val="0"/>
        <w:bidi w:val="0"/>
        <w:spacing w:before="0" w:after="0" w:line="600" w:lineRule="exact"/>
        <w:textAlignment w:val="auto"/>
        <w:rPr>
          <w:rFonts w:ascii="仿宋" w:hAnsi="仿宋" w:eastAsia="仿宋"/>
        </w:rPr>
      </w:pPr>
      <w:r>
        <w:rPr>
          <w:rFonts w:hint="eastAsia" w:ascii="仿宋" w:hAnsi="仿宋" w:eastAsia="仿宋"/>
          <w:b w:val="0"/>
        </w:rPr>
        <w:t>一、收</w:t>
      </w:r>
      <w:r>
        <w:rPr>
          <w:rStyle w:val="30"/>
          <w:rFonts w:hint="eastAsia" w:ascii="仿宋" w:hAnsi="仿宋" w:eastAsia="仿宋"/>
          <w:b w:val="0"/>
          <w:bCs w:val="0"/>
        </w:rPr>
        <w:t>入支出决算总表</w:t>
      </w:r>
      <w:bookmarkEnd w:id="62"/>
    </w:p>
    <w:p>
      <w:pPr>
        <w:pStyle w:val="3"/>
        <w:pageBreakBefore w:val="0"/>
        <w:kinsoku/>
        <w:wordWrap/>
        <w:overflowPunct/>
        <w:topLinePunct w:val="0"/>
        <w:bidi w:val="0"/>
        <w:spacing w:before="0" w:after="0" w:line="600" w:lineRule="exact"/>
        <w:textAlignment w:val="auto"/>
        <w:rPr>
          <w:rFonts w:ascii="仿宋" w:hAnsi="仿宋" w:eastAsia="仿宋"/>
        </w:rPr>
      </w:pPr>
      <w:bookmarkStart w:id="63" w:name="_Toc15396620"/>
      <w:r>
        <w:rPr>
          <w:rFonts w:hint="eastAsia" w:ascii="仿宋" w:hAnsi="仿宋" w:eastAsia="仿宋"/>
          <w:b w:val="0"/>
        </w:rPr>
        <w:t>二、收</w:t>
      </w:r>
      <w:r>
        <w:rPr>
          <w:rStyle w:val="30"/>
          <w:rFonts w:hint="eastAsia" w:ascii="仿宋" w:hAnsi="仿宋" w:eastAsia="仿宋"/>
          <w:b w:val="0"/>
          <w:bCs w:val="0"/>
        </w:rPr>
        <w:t>入决算表</w:t>
      </w:r>
      <w:bookmarkEnd w:id="63"/>
    </w:p>
    <w:p>
      <w:pPr>
        <w:pStyle w:val="3"/>
        <w:pageBreakBefore w:val="0"/>
        <w:kinsoku/>
        <w:wordWrap/>
        <w:overflowPunct/>
        <w:topLinePunct w:val="0"/>
        <w:bidi w:val="0"/>
        <w:spacing w:before="0" w:after="0" w:line="600" w:lineRule="exact"/>
        <w:textAlignment w:val="auto"/>
        <w:rPr>
          <w:rFonts w:ascii="仿宋" w:hAnsi="仿宋" w:eastAsia="仿宋"/>
        </w:rPr>
      </w:pPr>
      <w:bookmarkStart w:id="64"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64"/>
    </w:p>
    <w:p>
      <w:pPr>
        <w:pStyle w:val="3"/>
        <w:pageBreakBefore w:val="0"/>
        <w:kinsoku/>
        <w:wordWrap/>
        <w:overflowPunct/>
        <w:topLinePunct w:val="0"/>
        <w:bidi w:val="0"/>
        <w:spacing w:before="0" w:after="0" w:line="600" w:lineRule="exact"/>
        <w:textAlignment w:val="auto"/>
        <w:rPr>
          <w:rFonts w:ascii="仿宋" w:hAnsi="仿宋" w:eastAsia="仿宋"/>
          <w:b w:val="0"/>
        </w:rPr>
      </w:pPr>
      <w:bookmarkStart w:id="65"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65"/>
    </w:p>
    <w:p>
      <w:pPr>
        <w:pStyle w:val="3"/>
        <w:pageBreakBefore w:val="0"/>
        <w:kinsoku/>
        <w:wordWrap/>
        <w:overflowPunct/>
        <w:topLinePunct w:val="0"/>
        <w:bidi w:val="0"/>
        <w:spacing w:before="0" w:after="0" w:line="600" w:lineRule="exact"/>
        <w:textAlignment w:val="auto"/>
        <w:rPr>
          <w:rStyle w:val="30"/>
          <w:rFonts w:ascii="仿宋" w:hAnsi="仿宋" w:eastAsia="仿宋"/>
          <w:b w:val="0"/>
          <w:bCs w:val="0"/>
        </w:rPr>
      </w:pPr>
      <w:bookmarkStart w:id="66"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66"/>
      <w:bookmarkStart w:id="67" w:name="_Toc15396624"/>
    </w:p>
    <w:p>
      <w:pPr>
        <w:pStyle w:val="3"/>
        <w:pageBreakBefore w:val="0"/>
        <w:kinsoku/>
        <w:wordWrap/>
        <w:overflowPunct/>
        <w:topLinePunct w:val="0"/>
        <w:bidi w:val="0"/>
        <w:spacing w:before="0" w:after="0" w:line="600" w:lineRule="exact"/>
        <w:textAlignment w:val="auto"/>
        <w:rPr>
          <w:rFonts w:ascii="仿宋" w:hAnsi="仿宋" w:eastAsia="仿宋"/>
        </w:rPr>
      </w:pPr>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67"/>
    </w:p>
    <w:p>
      <w:pPr>
        <w:pStyle w:val="3"/>
        <w:pageBreakBefore w:val="0"/>
        <w:kinsoku/>
        <w:wordWrap/>
        <w:overflowPunct/>
        <w:topLinePunct w:val="0"/>
        <w:bidi w:val="0"/>
        <w:spacing w:before="0" w:after="0" w:line="600" w:lineRule="exact"/>
        <w:textAlignment w:val="auto"/>
        <w:rPr>
          <w:rFonts w:ascii="仿宋" w:hAnsi="仿宋" w:eastAsia="仿宋"/>
        </w:rPr>
      </w:pPr>
      <w:bookmarkStart w:id="68"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68"/>
    </w:p>
    <w:p>
      <w:pPr>
        <w:pStyle w:val="3"/>
        <w:pageBreakBefore w:val="0"/>
        <w:kinsoku/>
        <w:wordWrap/>
        <w:overflowPunct/>
        <w:topLinePunct w:val="0"/>
        <w:bidi w:val="0"/>
        <w:spacing w:before="0" w:after="0" w:line="600" w:lineRule="exact"/>
        <w:textAlignment w:val="auto"/>
        <w:rPr>
          <w:rFonts w:ascii="仿宋" w:hAnsi="仿宋" w:eastAsia="仿宋"/>
        </w:rPr>
      </w:pPr>
      <w:bookmarkStart w:id="69"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69"/>
    </w:p>
    <w:p>
      <w:pPr>
        <w:pStyle w:val="3"/>
        <w:pageBreakBefore w:val="0"/>
        <w:kinsoku/>
        <w:wordWrap/>
        <w:overflowPunct/>
        <w:topLinePunct w:val="0"/>
        <w:bidi w:val="0"/>
        <w:spacing w:before="0" w:after="0" w:line="600" w:lineRule="exact"/>
        <w:textAlignment w:val="auto"/>
        <w:rPr>
          <w:rFonts w:ascii="仿宋" w:hAnsi="仿宋" w:eastAsia="仿宋"/>
        </w:rPr>
      </w:pPr>
      <w:bookmarkStart w:id="70"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70"/>
    </w:p>
    <w:p>
      <w:pPr>
        <w:pStyle w:val="3"/>
        <w:pageBreakBefore w:val="0"/>
        <w:kinsoku/>
        <w:wordWrap/>
        <w:overflowPunct/>
        <w:topLinePunct w:val="0"/>
        <w:bidi w:val="0"/>
        <w:spacing w:before="0" w:after="0" w:line="600" w:lineRule="exact"/>
        <w:textAlignment w:val="auto"/>
        <w:rPr>
          <w:rFonts w:ascii="仿宋" w:hAnsi="仿宋" w:eastAsia="仿宋"/>
        </w:rPr>
      </w:pPr>
      <w:bookmarkStart w:id="71" w:name="_Toc15396628"/>
      <w:r>
        <w:rPr>
          <w:rStyle w:val="30"/>
          <w:rFonts w:hint="eastAsia" w:ascii="仿宋" w:hAnsi="仿宋" w:eastAsia="仿宋"/>
          <w:b w:val="0"/>
          <w:bCs w:val="0"/>
        </w:rPr>
        <w:t>十、</w:t>
      </w:r>
      <w:bookmarkEnd w:id="71"/>
      <w:r>
        <w:rPr>
          <w:rFonts w:hint="eastAsia" w:ascii="仿宋" w:hAnsi="仿宋" w:eastAsia="仿宋"/>
          <w:b w:val="0"/>
        </w:rPr>
        <w:t>政</w:t>
      </w:r>
      <w:r>
        <w:rPr>
          <w:rStyle w:val="30"/>
          <w:rFonts w:hint="eastAsia" w:ascii="仿宋" w:hAnsi="仿宋" w:eastAsia="仿宋"/>
          <w:b w:val="0"/>
          <w:bCs w:val="0"/>
        </w:rPr>
        <w:t>府性基金预算财政拨款收入支出决算表</w:t>
      </w:r>
    </w:p>
    <w:p>
      <w:pPr>
        <w:pStyle w:val="3"/>
        <w:pageBreakBefore w:val="0"/>
        <w:kinsoku/>
        <w:wordWrap/>
        <w:overflowPunct/>
        <w:topLinePunct w:val="0"/>
        <w:bidi w:val="0"/>
        <w:spacing w:before="0" w:after="0" w:line="600" w:lineRule="exact"/>
        <w:textAlignment w:val="auto"/>
        <w:rPr>
          <w:rFonts w:ascii="仿宋" w:hAnsi="仿宋" w:eastAsia="仿宋"/>
        </w:rPr>
      </w:pPr>
      <w:bookmarkStart w:id="72" w:name="_Toc15396629"/>
      <w:r>
        <w:rPr>
          <w:rStyle w:val="30"/>
          <w:rFonts w:hint="eastAsia" w:ascii="仿宋" w:hAnsi="仿宋" w:eastAsia="仿宋"/>
          <w:b w:val="0"/>
          <w:bCs w:val="0"/>
        </w:rPr>
        <w:t>十一、</w:t>
      </w:r>
      <w:bookmarkEnd w:id="72"/>
      <w:r>
        <w:rPr>
          <w:rFonts w:hint="eastAsia" w:ascii="仿宋" w:hAnsi="仿宋" w:eastAsia="仿宋"/>
          <w:b w:val="0"/>
        </w:rPr>
        <w:t>国</w:t>
      </w:r>
      <w:r>
        <w:rPr>
          <w:rStyle w:val="30"/>
          <w:rFonts w:hint="eastAsia" w:ascii="仿宋" w:hAnsi="仿宋" w:eastAsia="仿宋"/>
          <w:b w:val="0"/>
          <w:bCs w:val="0"/>
        </w:rPr>
        <w:t>有资本经营预算财政拨款收入支出决算表</w:t>
      </w:r>
    </w:p>
    <w:p>
      <w:pPr>
        <w:pStyle w:val="3"/>
        <w:pageBreakBefore w:val="0"/>
        <w:kinsoku/>
        <w:wordWrap/>
        <w:overflowPunct/>
        <w:topLinePunct w:val="0"/>
        <w:bidi w:val="0"/>
        <w:spacing w:before="0" w:after="0" w:line="600" w:lineRule="exact"/>
        <w:textAlignment w:val="auto"/>
        <w:rPr>
          <w:rFonts w:ascii="仿宋" w:hAnsi="仿宋" w:eastAsia="仿宋"/>
        </w:rPr>
      </w:pPr>
      <w:bookmarkStart w:id="73" w:name="_Toc15396630"/>
      <w:r>
        <w:rPr>
          <w:rStyle w:val="30"/>
          <w:rFonts w:hint="eastAsia" w:ascii="仿宋" w:hAnsi="仿宋" w:eastAsia="仿宋"/>
          <w:b w:val="0"/>
          <w:bCs w:val="0"/>
        </w:rPr>
        <w:t>十二、</w:t>
      </w:r>
      <w:bookmarkEnd w:id="73"/>
      <w:r>
        <w:rPr>
          <w:rStyle w:val="30"/>
          <w:rFonts w:hint="eastAsia" w:ascii="仿宋" w:hAnsi="仿宋" w:eastAsia="仿宋"/>
          <w:b w:val="0"/>
          <w:bCs w:val="0"/>
        </w:rPr>
        <w:t>国有资本经营预算财政拨款支出决算表</w:t>
      </w:r>
    </w:p>
    <w:p>
      <w:pPr>
        <w:pStyle w:val="3"/>
        <w:pageBreakBefore w:val="0"/>
        <w:kinsoku/>
        <w:wordWrap/>
        <w:overflowPunct/>
        <w:topLinePunct w:val="0"/>
        <w:bidi w:val="0"/>
        <w:spacing w:before="0" w:after="0" w:line="600" w:lineRule="exact"/>
        <w:textAlignment w:val="auto"/>
        <w:rPr>
          <w:rFonts w:eastAsia="仿宋"/>
        </w:rPr>
      </w:pPr>
      <w:bookmarkStart w:id="74" w:name="_Toc15396631"/>
      <w:r>
        <w:rPr>
          <w:rStyle w:val="30"/>
          <w:rFonts w:hint="eastAsia" w:ascii="仿宋" w:hAnsi="仿宋" w:eastAsia="仿宋"/>
          <w:b w:val="0"/>
          <w:bCs w:val="0"/>
        </w:rPr>
        <w:t>十三、</w:t>
      </w:r>
      <w:bookmarkEnd w:id="74"/>
      <w:r>
        <w:rPr>
          <w:rStyle w:val="30"/>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9314F"/>
    <w:multiLevelType w:val="singleLevel"/>
    <w:tmpl w:val="88A9314F"/>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C5115B8"/>
    <w:multiLevelType w:val="singleLevel"/>
    <w:tmpl w:val="FC5115B8"/>
    <w:lvl w:ilvl="0" w:tentative="0">
      <w:start w:val="2"/>
      <w:numFmt w:val="decimal"/>
      <w:lvlText w:val="%1."/>
      <w:lvlJc w:val="left"/>
      <w:pPr>
        <w:tabs>
          <w:tab w:val="left" w:pos="312"/>
        </w:tabs>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65BE27F"/>
    <w:multiLevelType w:val="singleLevel"/>
    <w:tmpl w:val="265BE27F"/>
    <w:lvl w:ilvl="0" w:tentative="0">
      <w:start w:val="2"/>
      <w:numFmt w:val="chineseCounting"/>
      <w:suff w:val="nothing"/>
      <w:lvlText w:val="（%1）"/>
      <w:lvlJc w:val="left"/>
      <w:rPr>
        <w:rFonts w:hint="eastAsia"/>
      </w:rPr>
    </w:lvl>
  </w:abstractNum>
  <w:abstractNum w:abstractNumId="6">
    <w:nsid w:val="428941DE"/>
    <w:multiLevelType w:val="singleLevel"/>
    <w:tmpl w:val="428941DE"/>
    <w:lvl w:ilvl="0" w:tentative="0">
      <w:start w:val="1"/>
      <w:numFmt w:val="chineseCounting"/>
      <w:suff w:val="nothing"/>
      <w:lvlText w:val="%1、"/>
      <w:lvlJc w:val="left"/>
      <w:rPr>
        <w:rFonts w:hint="eastAsia"/>
      </w:rPr>
    </w:lvl>
  </w:abstractNum>
  <w:abstractNum w:abstractNumId="7">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6"/>
  </w:num>
  <w:num w:numId="2">
    <w:abstractNumId w:val="7"/>
  </w:num>
  <w:num w:numId="3">
    <w:abstractNumId w:val="4"/>
  </w:num>
  <w:num w:numId="4">
    <w:abstractNumId w:val="1"/>
  </w:num>
  <w:num w:numId="5">
    <w:abstractNumId w:val="2"/>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1MmFlZWQzYzYzMDM2YTk0YzkzOTJmMWY2NjVmNj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1BAB"/>
    <w:rsid w:val="00380C92"/>
    <w:rsid w:val="003A3715"/>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8611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7996F6E"/>
    <w:rsid w:val="0A2032A3"/>
    <w:rsid w:val="0D6A7F0E"/>
    <w:rsid w:val="0F98263C"/>
    <w:rsid w:val="101860EC"/>
    <w:rsid w:val="10C055FF"/>
    <w:rsid w:val="118107EC"/>
    <w:rsid w:val="13D50BC4"/>
    <w:rsid w:val="16BB723D"/>
    <w:rsid w:val="16FC782C"/>
    <w:rsid w:val="1B3009EE"/>
    <w:rsid w:val="1BE8440E"/>
    <w:rsid w:val="1D155CEE"/>
    <w:rsid w:val="1FF35744"/>
    <w:rsid w:val="23860B96"/>
    <w:rsid w:val="240371BF"/>
    <w:rsid w:val="29FD04D3"/>
    <w:rsid w:val="2C8A61B5"/>
    <w:rsid w:val="2DF04E50"/>
    <w:rsid w:val="2F040D46"/>
    <w:rsid w:val="319F7F4E"/>
    <w:rsid w:val="3304709D"/>
    <w:rsid w:val="36AA5135"/>
    <w:rsid w:val="376D39B2"/>
    <w:rsid w:val="37E16F03"/>
    <w:rsid w:val="38D469F0"/>
    <w:rsid w:val="3D98207C"/>
    <w:rsid w:val="3E78745D"/>
    <w:rsid w:val="44E268DA"/>
    <w:rsid w:val="4A627F82"/>
    <w:rsid w:val="4B0E749A"/>
    <w:rsid w:val="4B4F25DA"/>
    <w:rsid w:val="4BE068DB"/>
    <w:rsid w:val="4D577224"/>
    <w:rsid w:val="4EAB630A"/>
    <w:rsid w:val="4ECE2238"/>
    <w:rsid w:val="51241E71"/>
    <w:rsid w:val="537E6D0A"/>
    <w:rsid w:val="5AF92295"/>
    <w:rsid w:val="5CD71FC4"/>
    <w:rsid w:val="61D230A6"/>
    <w:rsid w:val="6C4A05C8"/>
    <w:rsid w:val="6E7E3605"/>
    <w:rsid w:val="6FF5CC65"/>
    <w:rsid w:val="715C0E4B"/>
    <w:rsid w:val="72734D90"/>
    <w:rsid w:val="73AD73D5"/>
    <w:rsid w:val="73B6EB34"/>
    <w:rsid w:val="744731E5"/>
    <w:rsid w:val="76E3355F"/>
    <w:rsid w:val="778769C8"/>
    <w:rsid w:val="79EE5BA4"/>
    <w:rsid w:val="7A894339"/>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2"/>
    <w:semiHidden/>
    <w:unhideWhenUsed/>
    <w:qFormat/>
    <w:uiPriority w:val="99"/>
    <w:rPr>
      <w:sz w:val="18"/>
      <w:szCs w:val="18"/>
    </w:rPr>
  </w:style>
  <w:style w:type="paragraph" w:styleId="9">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able of figures"/>
    <w:basedOn w:val="1"/>
    <w:next w:val="1"/>
    <w:qFormat/>
    <w:uiPriority w:val="0"/>
    <w:pPr>
      <w:ind w:left="200" w:leftChars="200" w:hanging="200" w:hangingChars="200"/>
    </w:pPr>
    <w:rPr>
      <w:rFonts w:eastAsia="仿宋"/>
      <w:sz w:val="32"/>
      <w:szCs w:val="24"/>
    </w:rPr>
  </w:style>
  <w:style w:type="paragraph" w:styleId="13">
    <w:name w:val="toc 2"/>
    <w:basedOn w:val="1"/>
    <w:next w:val="1"/>
    <w:unhideWhenUsed/>
    <w:qFormat/>
    <w:uiPriority w:val="39"/>
    <w:pPr>
      <w:tabs>
        <w:tab w:val="right" w:leader="dot" w:pos="8296"/>
      </w:tabs>
      <w:ind w:left="420" w:leftChars="200"/>
    </w:pPr>
  </w:style>
  <w:style w:type="paragraph" w:styleId="14">
    <w:name w:val="Title"/>
    <w:basedOn w:val="1"/>
    <w:next w:val="1"/>
    <w:qFormat/>
    <w:uiPriority w:val="0"/>
    <w:pPr>
      <w:spacing w:before="240" w:after="60"/>
      <w:jc w:val="center"/>
      <w:outlineLvl w:val="0"/>
    </w:pPr>
    <w:rPr>
      <w:rFonts w:ascii="Cambria" w:hAnsi="Cambria"/>
      <w:b/>
      <w:bCs/>
      <w:sz w:val="32"/>
      <w:szCs w:val="32"/>
    </w:rPr>
  </w:style>
  <w:style w:type="paragraph" w:styleId="15">
    <w:name w:val="Body Text First Indent 2"/>
    <w:basedOn w:val="6"/>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0"/>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9"/>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2"/>
    <w:qFormat/>
    <w:uiPriority w:val="9"/>
    <w:rPr>
      <w:rFonts w:ascii="Times New Roman" w:hAnsi="Times New Roman"/>
      <w:b/>
      <w:bCs/>
      <w:kern w:val="44"/>
      <w:sz w:val="44"/>
      <w:szCs w:val="44"/>
    </w:rPr>
  </w:style>
  <w:style w:type="character" w:customStyle="1" w:styleId="30">
    <w:name w:val="标题 2 字符"/>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8"/>
    <w:semiHidden/>
    <w:qFormat/>
    <w:uiPriority w:val="99"/>
    <w:rPr>
      <w:rFonts w:ascii="Times New Roman" w:hAnsi="Times New Roman"/>
      <w:kern w:val="2"/>
      <w:sz w:val="18"/>
      <w:szCs w:val="18"/>
    </w:rPr>
  </w:style>
  <w:style w:type="character" w:customStyle="1" w:styleId="33">
    <w:name w:val="标题 3 字符"/>
    <w:basedOn w:val="17"/>
    <w:link w:val="4"/>
    <w:qFormat/>
    <w:uiPriority w:val="9"/>
    <w:rPr>
      <w:rFonts w:ascii="Times New Roman" w:hAnsi="Times New Roman"/>
      <w:b/>
      <w:bCs/>
      <w:kern w:val="2"/>
      <w:sz w:val="32"/>
      <w:szCs w:val="32"/>
    </w:rPr>
  </w:style>
  <w:style w:type="paragraph" w:customStyle="1" w:styleId="3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94979647218453"/>
          <c:y val="0.106172839506173"/>
          <c:w val="0.88472184531886"/>
          <c:h val="0.71441975308642"/>
        </c:manualLayout>
      </c:layout>
      <c:barChart>
        <c:barDir val="col"/>
        <c:grouping val="clustered"/>
        <c:varyColors val="0"/>
        <c:ser>
          <c:idx val="0"/>
          <c:order val="0"/>
          <c:tx>
            <c:strRef>
              <c:f>Sheet1!$B$1</c:f>
              <c:strCache>
                <c:ptCount val="1"/>
                <c:pt idx="0">
                  <c:v>收入（万元）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2679.5</c:v>
                </c:pt>
                <c:pt idx="1">
                  <c:v>4743.6</c:v>
                </c:pt>
              </c:numCache>
            </c:numRef>
          </c:val>
        </c:ser>
        <c:ser>
          <c:idx val="1"/>
          <c:order val="1"/>
          <c:tx>
            <c:strRef>
              <c:f>Sheet1!$C$1</c:f>
              <c:strCache>
                <c:ptCount val="1"/>
                <c:pt idx="0">
                  <c:v>支出（万元）</c:v>
                </c:pt>
              </c:strCache>
            </c:strRef>
          </c:tx>
          <c:spPr>
            <a:solidFill>
              <a:schemeClr val="accent2"/>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Sheet1!$C$2:$C$3</c:f>
              <c:numCache>
                <c:formatCode>General</c:formatCode>
                <c:ptCount val="2"/>
                <c:pt idx="0">
                  <c:v>2503.62</c:v>
                </c:pt>
                <c:pt idx="1">
                  <c:v>4743.6</c:v>
                </c:pt>
              </c:numCache>
            </c:numRef>
          </c:val>
        </c:ser>
        <c:dLbls>
          <c:showLegendKey val="0"/>
          <c:showVal val="0"/>
          <c:showCatName val="0"/>
          <c:showSerName val="0"/>
          <c:showPercent val="0"/>
          <c:showBubbleSize val="0"/>
        </c:dLbls>
        <c:gapWidth val="150"/>
        <c:overlap val="0"/>
        <c:axId val="620769156"/>
        <c:axId val="239644519"/>
      </c:barChart>
      <c:catAx>
        <c:axId val="62076915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9644519"/>
        <c:crosses val="autoZero"/>
        <c:auto val="1"/>
        <c:lblAlgn val="ctr"/>
        <c:lblOffset val="100"/>
        <c:noMultiLvlLbl val="0"/>
      </c:catAx>
      <c:valAx>
        <c:axId val="2396445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076915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manualLayout>
          <c:layoutTarget val="inner"/>
          <c:xMode val="edge"/>
          <c:yMode val="edge"/>
          <c:x val="0.464846581299831"/>
          <c:y val="0.162558436039099"/>
          <c:w val="0.398284609809133"/>
          <c:h val="0.700594985125372"/>
        </c:manualLayout>
      </c:layout>
      <c:pieChart>
        <c:varyColors val="1"/>
        <c:ser>
          <c:idx val="0"/>
          <c:order val="0"/>
          <c:tx>
            <c:strRef>
              <c:f>Sheet1!$B$1</c:f>
              <c:strCache>
                <c:ptCount val="1"/>
                <c:pt idx="0">
                  <c:v>列2</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dLbl>
              <c:idx val="1"/>
              <c:layout>
                <c:manualLayout>
                  <c:x val="-0.0545384644359922"/>
                  <c:y val="0.011289579785707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4378.84</c:v>
                </c:pt>
                <c:pt idx="1">
                  <c:v>175.98</c:v>
                </c:pt>
                <c:pt idx="2">
                  <c:v>0</c:v>
                </c:pt>
                <c:pt idx="3">
                  <c:v>0</c:v>
                </c:pt>
                <c:pt idx="4">
                  <c:v>0</c:v>
                </c:pt>
                <c:pt idx="5">
                  <c:v>0</c:v>
                </c:pt>
                <c:pt idx="6">
                  <c:v>0</c:v>
                </c:pt>
                <c:pt idx="7">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0332205846822904"/>
          <c:y val="0.17020824479388"/>
          <c:w val="0.331601836192317"/>
          <c:h val="0.66447088822779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06861560763469"/>
          <c:y val="0.182107947301317"/>
          <c:w val="0.41290166706934"/>
          <c:h val="0.726306842328942"/>
        </c:manualLayout>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对附属单位补助支出</c:v>
                </c:pt>
                <c:pt idx="4">
                  <c:v>经营支出</c:v>
                </c:pt>
              </c:strCache>
            </c:strRef>
          </c:cat>
          <c:val>
            <c:numRef>
              <c:f>Sheet1!$B$2:$B$6</c:f>
              <c:numCache>
                <c:formatCode>General</c:formatCode>
                <c:ptCount val="5"/>
                <c:pt idx="0">
                  <c:v>1127.9</c:v>
                </c:pt>
                <c:pt idx="1">
                  <c:v>3610.3</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00362406378352259"/>
          <c:y val="0.197620059498513"/>
          <c:w val="0.372070548441653"/>
          <c:h val="0.62685932851678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2541.9</c:v>
                </c:pt>
                <c:pt idx="1">
                  <c:v>2503.62</c:v>
                </c:pt>
              </c:numCache>
            </c:numRef>
          </c:val>
        </c:ser>
        <c:ser>
          <c:idx val="1"/>
          <c:order val="1"/>
          <c:tx>
            <c:strRef>
              <c:f>Sheet1!$C$1</c:f>
              <c:strCache>
                <c:ptCount val="1"/>
                <c:pt idx="0">
                  <c:v>2022</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4738.21</c:v>
                </c:pt>
                <c:pt idx="1">
                  <c:v>4738.21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财政拨款收入</c:v>
                </c:pt>
                <c:pt idx="1">
                  <c:v>财政拨款支出</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941501654"/>
        <c:axId val="927053264"/>
      </c:barChart>
      <c:catAx>
        <c:axId val="94150165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7053264"/>
        <c:crosses val="autoZero"/>
        <c:auto val="1"/>
        <c:lblAlgn val="ctr"/>
        <c:lblOffset val="100"/>
        <c:noMultiLvlLbl val="0"/>
      </c:catAx>
      <c:valAx>
        <c:axId val="927053264"/>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150165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1995.51</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4514.23</c:v>
                </c:pt>
              </c:numCache>
            </c:numRef>
          </c:val>
        </c:ser>
        <c:dLbls>
          <c:showLegendKey val="0"/>
          <c:showVal val="1"/>
          <c:showCatName val="0"/>
          <c:showSerName val="0"/>
          <c:showPercent val="0"/>
          <c:showBubbleSize val="0"/>
        </c:dLbls>
        <c:gapWidth val="246"/>
        <c:overlap val="-28"/>
        <c:axId val="73453293"/>
        <c:axId val="900362883"/>
      </c:barChart>
      <c:catAx>
        <c:axId val="7345329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0362883"/>
        <c:crosses val="autoZero"/>
        <c:auto val="1"/>
        <c:lblAlgn val="ctr"/>
        <c:lblOffset val="100"/>
        <c:noMultiLvlLbl val="0"/>
      </c:catAx>
      <c:valAx>
        <c:axId val="900362883"/>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45329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2"/>
              <c:layout>
                <c:manualLayout>
                  <c:x val="0.00543609567528389"/>
                  <c:y val="0.025499362515937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724812756704518"/>
                  <c:y val="0.082872928176795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一般公共服务（类）支出</c:v>
                </c:pt>
                <c:pt idx="1">
                  <c:v>社会保障和就业（类）支出</c:v>
                </c:pt>
                <c:pt idx="2">
                  <c:v>卫生健康（类）支出</c:v>
                </c:pt>
                <c:pt idx="3">
                  <c:v>城乡社区（类）支出</c:v>
                </c:pt>
                <c:pt idx="4">
                  <c:v>农林水（类）支出</c:v>
                </c:pt>
                <c:pt idx="5">
                  <c:v>住房保障（类）支出</c:v>
                </c:pt>
              </c:strCache>
            </c:strRef>
          </c:cat>
          <c:val>
            <c:numRef>
              <c:f>Sheet1!$B$2:$B$7</c:f>
              <c:numCache>
                <c:formatCode>General</c:formatCode>
                <c:ptCount val="6"/>
                <c:pt idx="0">
                  <c:v>627.81</c:v>
                </c:pt>
                <c:pt idx="1">
                  <c:v>182.13</c:v>
                </c:pt>
                <c:pt idx="2">
                  <c:v>30.17</c:v>
                </c:pt>
                <c:pt idx="3">
                  <c:v>34.53</c:v>
                </c:pt>
                <c:pt idx="4">
                  <c:v>3562.91</c:v>
                </c:pt>
                <c:pt idx="5">
                  <c:v>76.68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2449867117661"/>
          <c:y val="0.0880110497237569"/>
          <c:w val="0.409596520898768"/>
          <c:h val="0.720492987675308"/>
        </c:manualLayout>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12.38</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093259241362648"/>
          <c:y val="0.9052273693157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1239</Words>
  <Characters>7065</Characters>
  <Lines>58</Lines>
  <Paragraphs>16</Paragraphs>
  <TotalTime>54</TotalTime>
  <ScaleCrop>false</ScaleCrop>
  <LinksUpToDate>false</LinksUpToDate>
  <CharactersWithSpaces>8288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杨柳</cp:lastModifiedBy>
  <cp:lastPrinted>2023-12-11T08:37:31Z</cp:lastPrinted>
  <dcterms:modified xsi:type="dcterms:W3CDTF">2023-12-11T08:43:01Z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C95E997501074BC19BC3A6C53F8AE8FF_12</vt:lpwstr>
  </property>
</Properties>
</file>