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关于峨眉山市残疾人联合会</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pBdr>
          <w:top w:val="none" w:color="000000" w:sz="0" w:space="0"/>
          <w:left w:val="none" w:color="000000" w:sz="0" w:space="0"/>
          <w:bottom w:val="none" w:color="000000" w:sz="0" w:space="0"/>
          <w:right w:val="none" w:color="000000" w:sz="0" w:space="0"/>
        </w:pBdr>
        <w:shd w:val="solid" w:color="FFFFFF" w:fill="auto"/>
        <w:autoSpaceDN w:val="0"/>
        <w:spacing w:line="600" w:lineRule="atLeast"/>
        <w:ind w:firstLine="707" w:firstLineChars="221"/>
        <w:jc w:val="left"/>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峨眉山市残疾人联合会主要职能是代表、服务、管理三种职能：代表广大残疾人的共同利益，维护残疾人的合法权益；团结教育残疾人，为残疾人服务，履行法律赋予的职责；承担政府委托的任务，管理和发展残疾人事业。工作重点是：坚持以服务残疾人为宗旨，以“量体裁衣”式个性化服务为抓手，全面提升“基础量服”，全面普及“智慧量服”，全面实施“开发量服”和“机构量服”为突破点，着力提升“量服”四个精准深入，不断健全残疾人社会保障体系和服务体系，以扶贫解围民生工程为重点，积极推进残疾人“两个体系”建设，切实改善残疾人生活状况，促进我市残疾人事业与经济社会协调发展。</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（二）2023年重点工作任务</w:t>
      </w:r>
    </w:p>
    <w:p>
      <w:pPr>
        <w:pStyle w:val="7"/>
        <w:spacing w:line="600" w:lineRule="exact"/>
        <w:ind w:firstLine="739" w:firstLineChars="231"/>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1、提高政治站位，强化理论武装。</w:t>
      </w:r>
      <w:r>
        <w:rPr>
          <w:rFonts w:hint="eastAsia" w:ascii="仿宋_GB2312" w:hAnsi="仿宋_GB2312" w:eastAsia="仿宋_GB2312" w:cs="仿宋_GB2312"/>
          <w:color w:val="000000"/>
          <w:sz w:val="32"/>
          <w:szCs w:val="32"/>
        </w:rPr>
        <w:t>把学习贯彻习近平新时代中国特色社会主义思想和习近平总书记重要讲话精神作为首要政治任务，认真学习党的二十大精神和习近平总书记关于残疾人事业的重要论述精神，全面系统学、深入思考学、联系实际学，进一步捍卫“两个确立”，增强“四个意识”，坚定“四个自信”，做到“两个维护”，不断提高政治判断力、政治领悟力和政治执行力。</w:t>
      </w:r>
    </w:p>
    <w:p>
      <w:pPr>
        <w:pStyle w:val="7"/>
        <w:spacing w:line="600" w:lineRule="exact"/>
        <w:ind w:firstLine="707" w:firstLineChars="221"/>
        <w:rPr>
          <w:rFonts w:hint="eastAsia" w:ascii="仿宋_GB2312" w:hAnsi="仿宋_GB2312" w:eastAsia="仿宋_GB2312" w:cs="仿宋_GB2312"/>
          <w:sz w:val="32"/>
          <w:szCs w:val="32"/>
        </w:rPr>
      </w:pPr>
      <w:r>
        <w:rPr>
          <w:rFonts w:hint="eastAsia" w:ascii="黑体" w:hAnsi="黑体" w:eastAsia="黑体" w:cs="黑体"/>
          <w:color w:val="000000"/>
          <w:sz w:val="32"/>
          <w:szCs w:val="32"/>
        </w:rPr>
        <w:t>2、高质量完成民生实事工程项目。</w:t>
      </w:r>
      <w:r>
        <w:rPr>
          <w:rFonts w:hint="eastAsia" w:ascii="仿宋_GB2312" w:hAnsi="仿宋_GB2312" w:eastAsia="仿宋_GB2312" w:cs="仿宋_GB2312"/>
          <w:sz w:val="32"/>
          <w:szCs w:val="32"/>
        </w:rPr>
        <w:t>发挥“党建领航·阳光助残”活动品牌作用，开展“我为群众办实事·情暖峨眉”专项行动，1.实施（城）乡残疾人居家灵活就业（创业）直补2540人；2.实施扶持农村残疾人发展生产504人；3.实施</w:t>
      </w:r>
      <w:r>
        <w:rPr>
          <w:rFonts w:hint="eastAsia" w:ascii="仿宋_GB2312" w:hAnsi="仿宋_GB2312" w:eastAsia="仿宋_GB2312" w:cs="仿宋_GB2312"/>
          <w:kern w:val="0"/>
          <w:sz w:val="32"/>
          <w:szCs w:val="32"/>
        </w:rPr>
        <w:t>贫困家庭脑瘫儿童</w:t>
      </w:r>
      <w:r>
        <w:rPr>
          <w:rFonts w:hint="eastAsia" w:ascii="仿宋_GB2312" w:hAnsi="仿宋_GB2312" w:eastAsia="仿宋_GB2312" w:cs="仿宋_GB2312"/>
          <w:sz w:val="32"/>
          <w:szCs w:val="32"/>
        </w:rPr>
        <w:t>、智力儿童康复救助</w:t>
      </w:r>
      <w:r>
        <w:rPr>
          <w:rFonts w:hint="eastAsia" w:ascii="仿宋_GB2312" w:hAnsi="仿宋_GB2312" w:eastAsia="仿宋_GB2312" w:cs="仿宋_GB2312"/>
          <w:kern w:val="0"/>
          <w:sz w:val="32"/>
          <w:szCs w:val="32"/>
        </w:rPr>
        <w:t>42</w:t>
      </w:r>
      <w:r>
        <w:rPr>
          <w:rFonts w:hint="eastAsia" w:ascii="仿宋_GB2312" w:hAnsi="仿宋_GB2312" w:eastAsia="仿宋_GB2312" w:cs="仿宋_GB2312"/>
          <w:sz w:val="32"/>
          <w:szCs w:val="32"/>
        </w:rPr>
        <w:t>人；4.实施贫困残疾人亟需辅助器械适配240人</w:t>
      </w:r>
      <w:r>
        <w:rPr>
          <w:rFonts w:hint="eastAsia" w:ascii="仿宋_GB2312" w:hAnsi="仿宋_GB2312" w:eastAsia="仿宋_GB2312" w:cs="仿宋_GB2312"/>
          <w:color w:val="464646"/>
          <w:kern w:val="0"/>
          <w:sz w:val="32"/>
          <w:szCs w:val="32"/>
        </w:rPr>
        <w:t>；</w:t>
      </w:r>
      <w:r>
        <w:rPr>
          <w:rFonts w:hint="eastAsia" w:ascii="仿宋_GB2312" w:hAnsi="仿宋_GB2312" w:eastAsia="仿宋_GB2312" w:cs="仿宋_GB2312"/>
          <w:sz w:val="32"/>
          <w:szCs w:val="32"/>
        </w:rPr>
        <w:t>5.实施残疾人家庭无障碍改造55户。</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sz w:val="32"/>
          <w:szCs w:val="32"/>
        </w:rPr>
        <w:t>3、高质量打造残疾人生活保障体系。</w:t>
      </w:r>
      <w:r>
        <w:rPr>
          <w:rFonts w:hint="eastAsia" w:ascii="仿宋_GB2312" w:hAnsi="仿宋_GB2312" w:eastAsia="仿宋_GB2312" w:cs="仿宋_GB2312"/>
          <w:sz w:val="32"/>
          <w:szCs w:val="32"/>
        </w:rPr>
        <w:t>精准落实残疾人城乡居民基本养老保险、基本医疗保险、意外伤害险等扶持政策，实现目标人群100%全覆盖。提质精准化康复服务水平，实施精神病人救助170人、白内障患者手术救助50人、盲人定向行走训练25人、假肢适配3人、实用技术培训100人、残疾人居家托养服务75人、残疾人机动车燃油补贴45人。</w:t>
      </w:r>
    </w:p>
    <w:p>
      <w:pPr>
        <w:pStyle w:val="7"/>
        <w:numPr>
          <w:ilvl w:val="0"/>
          <w:numId w:val="1"/>
        </w:numPr>
        <w:spacing w:line="600" w:lineRule="exact"/>
        <w:ind w:left="0" w:firstLine="709" w:firstLineChars="0"/>
        <w:rPr>
          <w:rFonts w:hint="eastAsia" w:ascii="仿宋_GB2312" w:hAnsi="仿宋_GB2312" w:eastAsia="仿宋_GB2312" w:cs="仿宋_GB2312"/>
          <w:sz w:val="32"/>
          <w:szCs w:val="32"/>
        </w:rPr>
      </w:pPr>
      <w:r>
        <w:rPr>
          <w:rFonts w:hint="eastAsia" w:ascii="黑体" w:hAnsi="黑体" w:eastAsia="黑体" w:cs="黑体"/>
          <w:color w:val="000000"/>
          <w:sz w:val="32"/>
          <w:szCs w:val="32"/>
        </w:rPr>
        <w:t>高质量完成残疾人文化、体育工作。</w:t>
      </w:r>
      <w:r>
        <w:rPr>
          <w:rFonts w:hint="eastAsia" w:ascii="仿宋_GB2312" w:hAnsi="仿宋_GB2312" w:eastAsia="仿宋_GB2312" w:cs="仿宋_GB2312"/>
          <w:sz w:val="32"/>
          <w:szCs w:val="32"/>
        </w:rPr>
        <w:t>开展多形式文体活动，全力做好四川省第十届残疾人运动会暨第五届特殊奥林匹克运动会羽毛球项目比赛的承办工作。持续开展残疾人“文化体育进家庭”活动，建成1个残疾人自强健身示范点，完善“盲人阅览室”，创作残疾人文艺精品节目。</w:t>
      </w:r>
    </w:p>
    <w:p>
      <w:pPr>
        <w:pStyle w:val="7"/>
        <w:numPr>
          <w:ilvl w:val="0"/>
          <w:numId w:val="1"/>
        </w:numPr>
        <w:spacing w:line="600" w:lineRule="exact"/>
        <w:ind w:left="0" w:firstLine="709" w:firstLineChars="0"/>
        <w:rPr>
          <w:rFonts w:hint="eastAsia" w:ascii="仿宋_GB2312" w:hAnsi="仿宋_GB2312" w:eastAsia="仿宋_GB2312" w:cs="仿宋_GB2312"/>
          <w:sz w:val="32"/>
          <w:szCs w:val="32"/>
        </w:rPr>
      </w:pPr>
      <w:r>
        <w:rPr>
          <w:rFonts w:hint="eastAsia" w:ascii="黑体" w:hAnsi="黑体" w:eastAsia="黑体" w:cs="黑体"/>
          <w:color w:val="000000"/>
          <w:sz w:val="32"/>
          <w:szCs w:val="32"/>
        </w:rPr>
        <w:t>高质量提升残疾人品质生活进程。</w:t>
      </w:r>
      <w:r>
        <w:rPr>
          <w:rFonts w:hint="eastAsia" w:ascii="仿宋_GB2312" w:hAnsi="仿宋_GB2312" w:eastAsia="仿宋_GB2312" w:cs="仿宋_GB2312"/>
          <w:sz w:val="32"/>
          <w:szCs w:val="32"/>
        </w:rPr>
        <w:t>落实国务院办公厅《关于印发促进残疾人就业三年行动方案（2022-2024年）的通知》和中央组织部《关于印发机关、事业单位、国有企业带头安排残疾人就业办法的通知》，根据乐山市残联指导意见制定出台《峨眉山市促进残疾人就业行动方案》，加大残疾人就业扶持力度，继续保持残疾人就业率在全市领先，强化残疾人职业技能培训，稳定目标人群就业率达到60%，其中重点协调帮扶家庭困难、低收入、有较强就业需求的残疾人实现就业，鼓励企业积极安置残疾人就业。残疾人技能培训184人以上，新增残疾人就业120人。确保有就业意愿和能力的应届高校残疾人毕业生100%就业。协调相关部门，落实省残联《关于印发四川省机关、事业单位、国有企业带头安排残疾人就业实施办法的通知》。贯彻落实依法治市各项要求，切实维护残疾人合法权益。</w:t>
      </w:r>
    </w:p>
    <w:p>
      <w:pPr>
        <w:pStyle w:val="7"/>
        <w:numPr>
          <w:ilvl w:val="0"/>
          <w:numId w:val="1"/>
        </w:numPr>
        <w:spacing w:line="600" w:lineRule="exact"/>
        <w:ind w:left="0" w:firstLine="709" w:firstLineChars="0"/>
        <w:rPr>
          <w:rFonts w:hint="eastAsia" w:ascii="仿宋_GB2312" w:hAnsi="仿宋_GB2312" w:eastAsia="仿宋_GB2312" w:cs="仿宋_GB2312"/>
          <w:sz w:val="32"/>
          <w:szCs w:val="32"/>
        </w:rPr>
      </w:pPr>
      <w:r>
        <w:rPr>
          <w:rFonts w:hint="eastAsia" w:ascii="黑体" w:hAnsi="黑体" w:eastAsia="黑体" w:cs="黑体"/>
          <w:color w:val="000000"/>
          <w:sz w:val="32"/>
          <w:szCs w:val="32"/>
        </w:rPr>
        <w:t>高质量发挥各级残联组织作用。</w:t>
      </w:r>
      <w:r>
        <w:rPr>
          <w:rFonts w:hint="eastAsia" w:ascii="仿宋_GB2312" w:hAnsi="仿宋_GB2312" w:eastAsia="仿宋_GB2312" w:cs="仿宋_GB2312"/>
          <w:sz w:val="32"/>
          <w:szCs w:val="32"/>
        </w:rPr>
        <w:t>持续深化“群团改革”成果，健全完善乡镇（街道）残联、村（社区）残协、5个残疾人专门协会的组织体系和管理机制，加快锻造与“重要窗口”建设相适应的残疾人工作者队伍，持续深化残联组织队伍建设，全面提升各级残联组织建设水平。举办残疾人工作者轮次培训班、康复协调员培训班和2023年度残疾人基本状况调查培训班，切实提高残疾人工作者狠抓落实的本领、攻坚克难的本领、创新创优的本领。夯实助残服务“最后一公里”。</w:t>
      </w:r>
    </w:p>
    <w:p>
      <w:pPr>
        <w:pStyle w:val="7"/>
        <w:numPr>
          <w:ilvl w:val="0"/>
          <w:numId w:val="1"/>
        </w:numPr>
        <w:spacing w:line="600" w:lineRule="exact"/>
        <w:ind w:left="0" w:firstLine="709" w:firstLineChars="0"/>
        <w:rPr>
          <w:rFonts w:hint="eastAsia" w:ascii="仿宋_GB2312" w:hAnsi="仿宋_GB2312" w:eastAsia="仿宋_GB2312" w:cs="仿宋_GB2312"/>
          <w:sz w:val="32"/>
          <w:szCs w:val="32"/>
        </w:rPr>
      </w:pPr>
      <w:r>
        <w:rPr>
          <w:rFonts w:hint="eastAsia" w:ascii="黑体" w:hAnsi="黑体" w:eastAsia="黑体" w:cs="黑体"/>
          <w:color w:val="000000"/>
          <w:sz w:val="32"/>
          <w:szCs w:val="32"/>
        </w:rPr>
        <w:t>严格落实全面从严治党主体责任。</w:t>
      </w:r>
      <w:r>
        <w:rPr>
          <w:rFonts w:hint="eastAsia" w:ascii="仿宋_GB2312" w:hAnsi="仿宋_GB2312" w:eastAsia="仿宋_GB2312" w:cs="仿宋_GB2312"/>
          <w:sz w:val="32"/>
          <w:szCs w:val="32"/>
        </w:rPr>
        <w:t>持续落实市委巡察整改。坚持以党的政治建设为统领，严格落实</w:t>
      </w:r>
      <w:r>
        <w:rPr>
          <w:rFonts w:hint="eastAsia" w:ascii="仿宋_GB2312" w:hAnsi="仿宋_GB2312" w:eastAsia="仿宋_GB2312" w:cs="仿宋_GB2312"/>
          <w:sz w:val="32"/>
          <w:szCs w:val="32"/>
          <w:lang w:val="en-US" w:eastAsia="zh-CN"/>
        </w:rPr>
        <w:t>中央</w:t>
      </w:r>
      <w:r>
        <w:rPr>
          <w:rFonts w:hint="eastAsia" w:ascii="仿宋_GB2312" w:hAnsi="仿宋_GB2312" w:eastAsia="仿宋_GB2312" w:cs="仿宋_GB2312"/>
          <w:sz w:val="32"/>
          <w:szCs w:val="32"/>
        </w:rPr>
        <w:t>八项规定</w:t>
      </w:r>
      <w:bookmarkStart w:id="0" w:name="_GoBack"/>
      <w:bookmarkEnd w:id="0"/>
      <w:r>
        <w:rPr>
          <w:rFonts w:hint="eastAsia" w:ascii="仿宋_GB2312" w:hAnsi="仿宋_GB2312" w:eastAsia="仿宋_GB2312" w:cs="仿宋_GB2312"/>
          <w:sz w:val="32"/>
          <w:szCs w:val="32"/>
        </w:rPr>
        <w:t>精神和省市委实施办法，持续整治形式主义、官僚主义。加强党性党纪、</w:t>
      </w:r>
      <w:r>
        <w:rPr>
          <w:rFonts w:hint="eastAsia" w:ascii="仿宋_GB2312" w:hAnsi="仿宋_GB2312" w:eastAsia="仿宋_GB2312" w:cs="仿宋_GB2312"/>
          <w:color w:val="000000"/>
          <w:sz w:val="32"/>
          <w:szCs w:val="32"/>
        </w:rPr>
        <w:t>意识形态管控</w:t>
      </w:r>
      <w:r>
        <w:rPr>
          <w:rFonts w:hint="eastAsia" w:ascii="仿宋_GB2312" w:hAnsi="仿宋_GB2312" w:eastAsia="仿宋_GB2312" w:cs="仿宋_GB2312"/>
          <w:sz w:val="32"/>
          <w:szCs w:val="32"/>
        </w:rPr>
        <w:t>和廉政文化教育，不断营造争创模范机关创建示范单位、清廉机关建设先进单位、文明机关标兵单位的浓厚氛围。</w:t>
      </w:r>
    </w:p>
    <w:p>
      <w:pPr>
        <w:pStyle w:val="7"/>
        <w:numPr>
          <w:ilvl w:val="0"/>
          <w:numId w:val="1"/>
        </w:numPr>
        <w:spacing w:line="600" w:lineRule="exact"/>
        <w:ind w:left="0" w:firstLine="567" w:firstLineChars="0"/>
        <w:rPr>
          <w:rFonts w:hint="eastAsia" w:ascii="仿宋_GB2312" w:hAnsi="仿宋_GB2312" w:eastAsia="仿宋_GB2312" w:cs="仿宋_GB2312"/>
          <w:sz w:val="32"/>
          <w:szCs w:val="32"/>
        </w:rPr>
      </w:pPr>
      <w:r>
        <w:rPr>
          <w:rFonts w:hint="eastAsia" w:ascii="黑体" w:hAnsi="黑体" w:eastAsia="黑体" w:cs="黑体"/>
          <w:color w:val="000000"/>
          <w:sz w:val="32"/>
          <w:szCs w:val="32"/>
        </w:rPr>
        <w:t>加强和改进残疾人信访工作。</w:t>
      </w:r>
      <w:r>
        <w:rPr>
          <w:rFonts w:hint="eastAsia" w:ascii="仿宋_GB2312" w:hAnsi="仿宋_GB2312" w:eastAsia="仿宋_GB2312" w:cs="仿宋_GB2312"/>
          <w:sz w:val="32"/>
          <w:szCs w:val="32"/>
        </w:rPr>
        <w:t>贯彻落实《信访工作条例》，有效发挥12385残疾人服务热线和“心连心”服务热线等作用，规范和畅通残疾人诉求表达渠道。妥善解决好残疾人身边“小事”，及时把残疾人反映的问题化解在基层、解决在当地。排查残疾人权益维护风险点，加强源头治理，防范化解涉残重大风险。</w:t>
      </w:r>
    </w:p>
    <w:p>
      <w:pPr>
        <w:spacing w:line="60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9、完成市委、政府，乐山市残联交办的其他工作。</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峨眉山市残疾人联合会下属二级预算单位1个，其中行政单位0个，参照公务员法管理的事业单位1个，其他事业单位0个。</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 峨眉山市残疾人联合会所有收入和支出均纳入预算管理。</w:t>
      </w:r>
      <w:r>
        <w:rPr>
          <w:rFonts w:ascii="仿宋_GB2312" w:eastAsia="仿宋_GB2312"/>
          <w:sz w:val="32"/>
          <w:szCs w:val="32"/>
        </w:rPr>
        <w:t>2023</w:t>
      </w:r>
      <w:r>
        <w:rPr>
          <w:rFonts w:hint="eastAsia" w:ascii="仿宋_GB2312" w:eastAsia="仿宋_GB2312"/>
          <w:sz w:val="32"/>
          <w:szCs w:val="32"/>
        </w:rPr>
        <w:t>年残疾人联合会收入预算总额为1260.27万元，较上年预算数增加368.92万元。其中：当年财政拨款收入1260.27万元，事业收入0万元，其他收入0万元。相应安排支出预算1260.27万元，其中：人员支出132.49万元，日常公用支出24.54万元，对个人和家庭的补助支出3.51万元，专项支出1099.73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w:t>
      </w:r>
      <w:r>
        <w:rPr>
          <w:rFonts w:ascii="仿宋_GB2312" w:eastAsia="仿宋_GB2312"/>
          <w:sz w:val="32"/>
          <w:szCs w:val="32"/>
        </w:rPr>
        <w:t>2023</w:t>
      </w:r>
      <w:r>
        <w:rPr>
          <w:rFonts w:hint="eastAsia" w:ascii="仿宋_GB2312" w:eastAsia="仿宋_GB2312"/>
          <w:sz w:val="32"/>
          <w:szCs w:val="32"/>
        </w:rPr>
        <w:t>年财政拨款收支总预算1260.27万元，主要用于保障峨眉山市残疾人联合会机构正常运转、完成日常工作任务以及承担残疾人事业发展相关工作。其中：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基本支出160.54万元，是用于保障峨眉山市残疾人联合会正常运转的日常支出，包括基本工资、津贴补贴等人员经费以及办公费、印刷费、水电费、办公设备购置等日常公用经费。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项目支出1099.73万元，是用于保障峨眉山市残疾人联合会为完成特定的行政工作任务或事业发展目标，用于专项业务工作的经费支出。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峨眉山市残疾人联合会</w:t>
      </w:r>
      <w:r>
        <w:rPr>
          <w:rFonts w:ascii="仿宋_GB2312" w:eastAsia="仿宋_GB2312"/>
          <w:sz w:val="32"/>
          <w:szCs w:val="32"/>
        </w:rPr>
        <w:t>2023</w:t>
      </w:r>
      <w:r>
        <w:rPr>
          <w:rFonts w:hint="eastAsia" w:ascii="仿宋_GB2312" w:eastAsia="仿宋_GB2312"/>
          <w:sz w:val="32"/>
          <w:szCs w:val="32"/>
        </w:rPr>
        <w:t>年一般公共预算当年拨款1139.58万元，较上年预算数增加259.04万元。主要原因是加大对残疾人事业发展扶持力度。</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一般公共服务支出0万元，占0%；社会保障和就业支出1122.30万元，占98.48 %；卫生健康支出5.36万元，0.47占%；住房保障支出11.92万元，占1.05%。</w:t>
      </w:r>
      <w:r>
        <w:rPr>
          <w:rFonts w:hint="eastAsia" w:ascii="仿宋_GB2312" w:eastAsia="仿宋_GB2312"/>
          <w:b/>
          <w:color w:val="FF0000"/>
          <w:sz w:val="32"/>
          <w:szCs w:val="32"/>
        </w:rPr>
        <w:t>（列出所有有预算的支出功能科目金额及占比）</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1.社会保障和就业（类）行政事业单位养老支出（款）机关事业单位基本养老保险缴费支出（项），</w:t>
      </w:r>
      <w:r>
        <w:rPr>
          <w:rFonts w:ascii="仿宋_GB2312" w:eastAsia="仿宋_GB2312"/>
          <w:sz w:val="32"/>
          <w:szCs w:val="32"/>
        </w:rPr>
        <w:t>2023</w:t>
      </w:r>
      <w:r>
        <w:rPr>
          <w:rFonts w:hint="eastAsia" w:ascii="仿宋_GB2312" w:eastAsia="仿宋_GB2312"/>
          <w:sz w:val="32"/>
          <w:szCs w:val="32"/>
        </w:rPr>
        <w:t>年预算数为14.47万元，主要用于：养老保险缴费。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2.社会保障和就业（类）行政事业单位养老支出（款）机关事业单位职业年金缴费支出（项），</w:t>
      </w:r>
      <w:r>
        <w:rPr>
          <w:rFonts w:ascii="仿宋_GB2312" w:eastAsia="仿宋_GB2312"/>
          <w:sz w:val="32"/>
          <w:szCs w:val="32"/>
        </w:rPr>
        <w:t>2023</w:t>
      </w:r>
      <w:r>
        <w:rPr>
          <w:rFonts w:hint="eastAsia" w:ascii="仿宋_GB2312" w:eastAsia="仿宋_GB2312"/>
          <w:sz w:val="32"/>
          <w:szCs w:val="32"/>
        </w:rPr>
        <w:t>年预算数为7.03万元，主要用于：养职业年金缴费。</w:t>
      </w:r>
    </w:p>
    <w:p>
      <w:pPr>
        <w:pBdr>
          <w:top w:val="none" w:color="000000" w:sz="0" w:space="0"/>
          <w:left w:val="none" w:color="000000" w:sz="0" w:space="0"/>
          <w:bottom w:val="none" w:color="000000" w:sz="0" w:space="0"/>
          <w:right w:val="none" w:color="000000" w:sz="0" w:space="0"/>
        </w:pBdr>
        <w:shd w:val="solid" w:color="FFFFFF" w:fill="auto"/>
        <w:autoSpaceDN w:val="0"/>
        <w:spacing w:line="600" w:lineRule="atLeast"/>
        <w:ind w:firstLine="579" w:firstLineChars="181"/>
        <w:jc w:val="left"/>
        <w:rPr>
          <w:rFonts w:hint="eastAsia" w:ascii="仿宋_GB2312" w:eastAsia="仿宋_GB2312"/>
          <w:color w:val="000000"/>
          <w:sz w:val="32"/>
          <w:szCs w:val="32"/>
          <w:shd w:val="clear" w:color="auto" w:fill="FFFFFF"/>
        </w:rPr>
      </w:pPr>
      <w:r>
        <w:rPr>
          <w:rFonts w:hint="eastAsia" w:ascii="仿宋_GB2312" w:eastAsia="仿宋_GB2312"/>
          <w:sz w:val="32"/>
          <w:szCs w:val="32"/>
        </w:rPr>
        <w:t>3.社会保障和就业（类）残疾人事业（款）行政运行（项），</w:t>
      </w:r>
      <w:r>
        <w:rPr>
          <w:rFonts w:ascii="仿宋_GB2312" w:eastAsia="仿宋_GB2312"/>
          <w:sz w:val="32"/>
          <w:szCs w:val="32"/>
        </w:rPr>
        <w:t>2023</w:t>
      </w:r>
      <w:r>
        <w:rPr>
          <w:rFonts w:hint="eastAsia" w:ascii="仿宋_GB2312" w:eastAsia="仿宋_GB2312"/>
          <w:sz w:val="32"/>
          <w:szCs w:val="32"/>
        </w:rPr>
        <w:t>年预算数为86.41万元，主要用于：人员经费</w:t>
      </w:r>
      <w:r>
        <w:rPr>
          <w:rFonts w:hint="eastAsia" w:ascii="仿宋_GB2312" w:eastAsia="仿宋_GB2312"/>
          <w:color w:val="000000"/>
          <w:sz w:val="32"/>
          <w:szCs w:val="32"/>
          <w:shd w:val="clear" w:color="auto" w:fill="FFFFFF"/>
        </w:rPr>
        <w:t>基本工资、津贴补贴、绩效工资、奖金、伙食补助费、养老保险、职业年金、基本医疗保险缴费、其他社会保障缴费、住房公积金、其他工资福利支出、其他对个人和家庭的补助等。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4.社会保障和就业（类）残疾人事业（款）残疾人就业（项），</w:t>
      </w:r>
      <w:r>
        <w:rPr>
          <w:rFonts w:ascii="仿宋_GB2312" w:eastAsia="仿宋_GB2312"/>
          <w:sz w:val="32"/>
          <w:szCs w:val="32"/>
        </w:rPr>
        <w:t>2023</w:t>
      </w:r>
      <w:r>
        <w:rPr>
          <w:rFonts w:hint="eastAsia" w:ascii="仿宋_GB2312" w:eastAsia="仿宋_GB2312"/>
          <w:sz w:val="32"/>
          <w:szCs w:val="32"/>
        </w:rPr>
        <w:t>年预算数为405.20万元，主要用于：残疾人事业发展项目。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5.社会保障和就业（类）残疾人事业（款）其他残疾人事业支出（项），</w:t>
      </w:r>
      <w:r>
        <w:rPr>
          <w:rFonts w:ascii="仿宋_GB2312" w:eastAsia="仿宋_GB2312"/>
          <w:sz w:val="32"/>
          <w:szCs w:val="32"/>
        </w:rPr>
        <w:t>2023</w:t>
      </w:r>
      <w:r>
        <w:rPr>
          <w:rFonts w:hint="eastAsia" w:ascii="仿宋_GB2312" w:eastAsia="仿宋_GB2312"/>
          <w:sz w:val="32"/>
          <w:szCs w:val="32"/>
        </w:rPr>
        <w:t>年预算数为0.70万元，主要用于：残疾人事业发展项目。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6.卫生健康（</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2023</w:t>
      </w:r>
      <w:r>
        <w:rPr>
          <w:rFonts w:hint="eastAsia" w:ascii="仿宋_GB2312" w:eastAsia="仿宋_GB2312"/>
          <w:sz w:val="32"/>
          <w:szCs w:val="32"/>
        </w:rPr>
        <w:t>年预算数为3.69万元，主要用于：行政单位医保缴费。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7.卫生健康（</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ascii="仿宋_GB2312" w:eastAsia="仿宋_GB2312"/>
          <w:sz w:val="32"/>
          <w:szCs w:val="32"/>
        </w:rPr>
        <w:t>2023</w:t>
      </w:r>
      <w:r>
        <w:rPr>
          <w:rFonts w:hint="eastAsia" w:ascii="仿宋_GB2312" w:eastAsia="仿宋_GB2312"/>
          <w:sz w:val="32"/>
          <w:szCs w:val="32"/>
        </w:rPr>
        <w:t>年预算数为1.68万元，主要用于：事业单位医保缴费。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8.住房保障（类）住房改革支出（款）住房公积金（项），</w:t>
      </w:r>
      <w:r>
        <w:rPr>
          <w:rFonts w:ascii="仿宋_GB2312" w:eastAsia="仿宋_GB2312"/>
          <w:sz w:val="32"/>
          <w:szCs w:val="32"/>
        </w:rPr>
        <w:t>2023</w:t>
      </w:r>
      <w:r>
        <w:rPr>
          <w:rFonts w:hint="eastAsia" w:ascii="仿宋_GB2312" w:eastAsia="仿宋_GB2312"/>
          <w:sz w:val="32"/>
          <w:szCs w:val="32"/>
        </w:rPr>
        <w:t>年预算数为11.92万元，主要用于：按人力资源和社会保障部、财政部规定的基本工资和津贴补贴以及规定比例为职工缴纳的住房公积金支出。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（1.</w:t>
      </w:r>
      <w:r>
        <w:rPr>
          <w:rFonts w:hint="eastAsia" w:ascii="仿宋_GB2312" w:eastAsia="仿宋_GB2312"/>
          <w:b/>
          <w:color w:val="FF0000"/>
          <w:sz w:val="32"/>
          <w:szCs w:val="32"/>
        </w:rPr>
        <w:t>行政运行、事业运行的主要用途：正常运转的基本支出，包括基本工资、津贴补贴（或绩效工资）等人员经费以及办公费、印刷费、水电费等日常公用经费；2.社保、医疗、住房保障等基本支出主要用途列收支分类科目书中支出功能科目的说明；3.部门（单位）开展的项目主要用途据实说明。</w:t>
      </w:r>
      <w:r>
        <w:rPr>
          <w:rFonts w:hint="eastAsia" w:ascii="仿宋_GB2312" w:eastAsia="仿宋_GB2312"/>
          <w:color w:val="FF0000"/>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峨眉山市残疾人联合会</w:t>
      </w:r>
      <w:r>
        <w:rPr>
          <w:rFonts w:ascii="仿宋_GB2312" w:eastAsia="仿宋_GB2312"/>
          <w:sz w:val="32"/>
          <w:szCs w:val="32"/>
        </w:rPr>
        <w:t>2023</w:t>
      </w:r>
      <w:r>
        <w:rPr>
          <w:rFonts w:hint="eastAsia" w:ascii="仿宋_GB2312" w:eastAsia="仿宋_GB2312"/>
          <w:sz w:val="32"/>
          <w:szCs w:val="32"/>
        </w:rPr>
        <w:t>年一般公共预算基本支出1139.58万元，其中：</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人员经费132.49万元，主要包括：基本工资、津贴补贴、绩效工资、奖金、社会保险缴费、职业年金缴费、公务员医疗补助缴费、住房公积金等。</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公用经费24.54万元，主要包括：办公费、水费、电费、邮电费、差旅费、工会经费、公务车运行维护费、其他交通费、生活补助、奖励金其他商品和服务支出、对个人和家庭的补助、其他对个人和家庭的补助等。</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highlight w:val="yellow"/>
        </w:rPr>
        <w:t>峨眉山市残疾人联合会</w:t>
      </w:r>
      <w:r>
        <w:rPr>
          <w:rFonts w:ascii="仿宋_GB2312" w:eastAsia="仿宋_GB2312"/>
          <w:sz w:val="32"/>
          <w:szCs w:val="32"/>
        </w:rPr>
        <w:t>2023</w:t>
      </w:r>
      <w:r>
        <w:rPr>
          <w:rFonts w:hint="eastAsia" w:ascii="仿宋_GB2312" w:eastAsia="仿宋_GB2312"/>
          <w:sz w:val="32"/>
          <w:szCs w:val="32"/>
        </w:rPr>
        <w:t>年政府性基金预算当年拨款77.59万元，较上年预算数增加77.59万元。主要原因是：加大对残疾人事业发展扶持力度。</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峨眉山市残疾人联合会</w:t>
      </w:r>
      <w:r>
        <w:rPr>
          <w:rFonts w:ascii="仿宋_GB2312" w:eastAsia="仿宋_GB2312"/>
          <w:sz w:val="32"/>
          <w:szCs w:val="32"/>
        </w:rPr>
        <w:t>2023</w:t>
      </w:r>
      <w:r>
        <w:rPr>
          <w:rFonts w:hint="eastAsia" w:ascii="仿宋_GB2312" w:eastAsia="仿宋_GB2312"/>
          <w:sz w:val="32"/>
          <w:szCs w:val="32"/>
        </w:rPr>
        <w:t>年“三公”经费预算数3万元，较上年“三公”经费预算数无变化。其中财政拨款安排“三公”经费3万元。因公出国（境）经费0万元，公务接待费0万元，公务用车购置及运行维护费3万元。</w:t>
      </w:r>
    </w:p>
    <w:p>
      <w:pPr>
        <w:numPr>
          <w:ilvl w:val="0"/>
          <w:numId w:val="2"/>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707" w:firstLineChars="221"/>
        <w:outlineLvl w:val="1"/>
        <w:rPr>
          <w:rFonts w:ascii="楷体_GB2312" w:hAnsi="楷体_GB2312" w:eastAsia="楷体_GB2312" w:cs="楷体_GB2312"/>
          <w:sz w:val="32"/>
          <w:szCs w:val="32"/>
        </w:rPr>
      </w:pPr>
      <w:r>
        <w:rPr>
          <w:rFonts w:hint="eastAsia" w:ascii="仿宋_GB2312" w:eastAsia="仿宋_GB2312"/>
          <w:sz w:val="32"/>
          <w:szCs w:val="32"/>
        </w:rPr>
        <w:t>2023年</w:t>
      </w:r>
      <w:r>
        <w:rPr>
          <w:rFonts w:hint="eastAsia" w:ascii="仿宋_GB2312" w:eastAsia="仿宋_GB2312"/>
          <w:b/>
          <w:sz w:val="32"/>
          <w:szCs w:val="32"/>
        </w:rPr>
        <w:t>无因公出国（境）预算。2022年因公临时出国（境）未安排人次。</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仿宋_GB2312" w:eastAsia="仿宋_GB2312"/>
          <w:sz w:val="32"/>
          <w:szCs w:val="32"/>
        </w:rPr>
        <w:t>2023年无公务接待预算。</w:t>
      </w:r>
    </w:p>
    <w:p>
      <w:pPr>
        <w:numPr>
          <w:ilvl w:val="0"/>
          <w:numId w:val="3"/>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公务用车购置及运行维护费较上年预算持平。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单位现有公务用车1辆，其中：轿车0辆、越野车1辆、多功能乘用车0辆。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年安排公务用车购置费0万元。</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年安排公务用车运行维护费3万元，用于机关公务车辆正常运行。</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残疾人联合会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24.54万元，较上年预算减少1.54万元，下降6.28%。</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年，峨眉山市残疾人联合会安排政府采购预算173.76万元，主要用于残疾人意外保险经费78万元，扶持农村残疾人发展生产经费95.76万元。</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截至去年底，峨眉山市残疾人联合会实际共有车辆1辆。单位价值200万元以上大型设备0台（套）。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年，我会无预算安排购置车辆及单位价值200万元以上大型设备。</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峨眉山市残疾人联合会按要求实行绩效目标管理，部门（单位）整体绩效目标涉及预算安排1139.58万元，其中基本支出160.54万元，项目支出1087.93万元。其中编制了项目绩效目标的预算795.04万元，主要为残疾人服务窗口人员经费15.62万元，群团大楼保洁保安费8.04万元，残疾人协会经费5万元，代缴重度残疾及精神智力三、四级残疾人居民医保费160万元，劳务派遣人员经费5.97万元，残疾人意外保险78万元残疾人事业发展配套经费100万元，残疾人居家灵活就业（创业）补助和直补254万元，扶持农村残疾人发展生产95.76万元，残疾人智慧量服村终端机17.21万元，残疾人村（社区）专委补贴55.44万元等项目。</w:t>
      </w:r>
    </w:p>
    <w:p>
      <w:pPr>
        <w:spacing w:line="600" w:lineRule="exact"/>
        <w:outlineLvl w:val="1"/>
        <w:rPr>
          <w:rFonts w:ascii="仿宋_GB2312" w:eastAsia="仿宋_GB2312"/>
          <w:b/>
          <w:color w:val="FF0000"/>
          <w:sz w:val="32"/>
          <w:szCs w:val="32"/>
        </w:rPr>
      </w:pPr>
      <w:r>
        <w:rPr>
          <w:rFonts w:hint="eastAsia" w:ascii="仿宋_GB2312" w:eastAsia="仿宋_GB2312"/>
          <w:b/>
          <w:color w:val="FF0000"/>
          <w:sz w:val="32"/>
          <w:szCs w:val="32"/>
        </w:rPr>
        <w:t>（项目绩效目标预算数与项目支出预算数一致。）</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pBdr>
          <w:top w:val="none" w:color="000000" w:sz="0" w:space="0"/>
          <w:left w:val="none" w:color="000000" w:sz="0" w:space="0"/>
          <w:bottom w:val="none" w:color="000000" w:sz="0" w:space="0"/>
          <w:right w:val="none" w:color="000000" w:sz="0" w:space="0"/>
        </w:pBdr>
        <w:shd w:val="solid" w:color="FFFFFF" w:fill="auto"/>
        <w:autoSpaceDN w:val="0"/>
        <w:spacing w:line="600" w:lineRule="atLeast"/>
        <w:ind w:firstLine="579" w:firstLineChars="181"/>
        <w:jc w:val="left"/>
        <w:rPr>
          <w:rFonts w:ascii="仿宋_GB2312" w:hAnsi="微软雅黑" w:eastAsia="仿宋_GB2312"/>
          <w:color w:val="000000"/>
          <w:sz w:val="32"/>
          <w:szCs w:val="32"/>
          <w:shd w:val="clear" w:color="auto" w:fill="FFFFFF"/>
        </w:rPr>
      </w:pPr>
      <w:r>
        <w:rPr>
          <w:rFonts w:hint="eastAsia" w:ascii="仿宋_GB2312" w:eastAsia="仿宋_GB2312"/>
          <w:sz w:val="32"/>
          <w:szCs w:val="32"/>
        </w:rPr>
        <w:t>4. 社会保障和就业（类）残疾人事业（款）行政运行（项），：指人员经费</w:t>
      </w:r>
      <w:r>
        <w:rPr>
          <w:rFonts w:hint="eastAsia" w:ascii="仿宋_GB2312" w:eastAsia="仿宋_GB2312"/>
          <w:color w:val="000000"/>
          <w:sz w:val="32"/>
          <w:szCs w:val="32"/>
          <w:shd w:val="clear" w:color="auto" w:fill="FFFFFF"/>
        </w:rPr>
        <w:t>基本工资、津贴补贴、绩效工资、奖金、伙食补助费、养老保险、职业年金、基本医疗保险缴费、其他社会保障缴费、住房公积金、其他工资福利支出、其他对个人和家庭的补助等。</w:t>
      </w:r>
    </w:p>
    <w:p>
      <w:pPr>
        <w:pBdr>
          <w:top w:val="none" w:color="000000" w:sz="0" w:space="0"/>
          <w:left w:val="none" w:color="000000" w:sz="0" w:space="0"/>
          <w:bottom w:val="none" w:color="000000" w:sz="0" w:space="0"/>
          <w:right w:val="none" w:color="000000" w:sz="0" w:space="0"/>
        </w:pBdr>
        <w:shd w:val="solid" w:color="FFFFFF" w:fill="auto"/>
        <w:autoSpaceDN w:val="0"/>
        <w:spacing w:line="600" w:lineRule="atLeast"/>
        <w:ind w:firstLine="579" w:firstLineChars="181"/>
        <w:jc w:val="left"/>
        <w:rPr>
          <w:rFonts w:ascii="仿宋_GB2312" w:hAnsi="微软雅黑" w:eastAsia="仿宋_GB2312"/>
          <w:color w:val="000000"/>
          <w:sz w:val="32"/>
          <w:szCs w:val="32"/>
          <w:shd w:val="clear" w:color="auto" w:fill="FFFFFF"/>
        </w:rPr>
      </w:pPr>
      <w:r>
        <w:rPr>
          <w:rFonts w:hint="eastAsia" w:ascii="仿宋_GB2312" w:eastAsia="仿宋_GB2312"/>
          <w:sz w:val="32"/>
          <w:szCs w:val="32"/>
        </w:rPr>
        <w:t>5.社会保障和就业（类）人力资源和社会保障管理事务（款）行政运行（项）：</w:t>
      </w:r>
      <w:r>
        <w:rPr>
          <w:rFonts w:hint="eastAsia" w:ascii="仿宋_GB2312" w:eastAsia="仿宋_GB2312"/>
          <w:color w:val="000000"/>
          <w:sz w:val="32"/>
          <w:szCs w:val="32"/>
          <w:shd w:val="clear" w:color="auto" w:fill="FFFFFF"/>
        </w:rPr>
        <w:t>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社会保障和就业（类）残疾人事业（款）其他残疾人事业支出（项）指：残疾人事业发展项目。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7.住房保障（类）住房改革支出（款）住房公积金（项），指：按人力资源和社会保障部、财政部规定的基本工资和津贴补贴以及规定比例为职工缴纳的住房公积金支出。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9.项目支出：指在基本支出之外为完成特定行政任务和事业发展目标所发生的支出。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10.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6"/>
        <w:spacing w:line="560" w:lineRule="exact"/>
        <w:ind w:firstLine="480" w:firstLineChars="200"/>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abstractNum w:abstractNumId="2">
    <w:nsid w:val="47DD3F3F"/>
    <w:multiLevelType w:val="multilevel"/>
    <w:tmpl w:val="47DD3F3F"/>
    <w:lvl w:ilvl="0" w:tentative="0">
      <w:start w:val="4"/>
      <w:numFmt w:val="decimal"/>
      <w:lvlText w:val="%1、"/>
      <w:lvlJc w:val="left"/>
      <w:pPr>
        <w:ind w:left="720" w:hanging="720"/>
      </w:pPr>
      <w:rPr>
        <w:rFonts w:hint="default" w:ascii="黑体" w:hAnsi="黑体" w:eastAsia="黑体" w:cs="黑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43B59"/>
    <w:rsid w:val="002730CD"/>
    <w:rsid w:val="00275D87"/>
    <w:rsid w:val="0036591A"/>
    <w:rsid w:val="00376BBA"/>
    <w:rsid w:val="003A561B"/>
    <w:rsid w:val="00425810"/>
    <w:rsid w:val="00477E40"/>
    <w:rsid w:val="004A1A00"/>
    <w:rsid w:val="004F233B"/>
    <w:rsid w:val="0053746F"/>
    <w:rsid w:val="00555934"/>
    <w:rsid w:val="00564603"/>
    <w:rsid w:val="00565201"/>
    <w:rsid w:val="005E688F"/>
    <w:rsid w:val="00670608"/>
    <w:rsid w:val="00756D13"/>
    <w:rsid w:val="00770B8B"/>
    <w:rsid w:val="00777E08"/>
    <w:rsid w:val="007934F3"/>
    <w:rsid w:val="00861D72"/>
    <w:rsid w:val="00863AC3"/>
    <w:rsid w:val="008C72F8"/>
    <w:rsid w:val="009340F3"/>
    <w:rsid w:val="009461AB"/>
    <w:rsid w:val="00A527E0"/>
    <w:rsid w:val="00AE4401"/>
    <w:rsid w:val="00AF18AF"/>
    <w:rsid w:val="00B3548B"/>
    <w:rsid w:val="00BB666B"/>
    <w:rsid w:val="00BF6C6A"/>
    <w:rsid w:val="00C044B7"/>
    <w:rsid w:val="00C13831"/>
    <w:rsid w:val="00C1523D"/>
    <w:rsid w:val="00C5515C"/>
    <w:rsid w:val="00C6032F"/>
    <w:rsid w:val="00C85D8F"/>
    <w:rsid w:val="00CC5FF3"/>
    <w:rsid w:val="00CE758D"/>
    <w:rsid w:val="00D36FE8"/>
    <w:rsid w:val="00DA3B38"/>
    <w:rsid w:val="00DD78FB"/>
    <w:rsid w:val="00DE1A43"/>
    <w:rsid w:val="00DE1F91"/>
    <w:rsid w:val="00DF77CF"/>
    <w:rsid w:val="00EA6295"/>
    <w:rsid w:val="00F429C0"/>
    <w:rsid w:val="00FB45E1"/>
    <w:rsid w:val="066D6077"/>
    <w:rsid w:val="15D35DF5"/>
    <w:rsid w:val="21D6157A"/>
    <w:rsid w:val="270B2E60"/>
    <w:rsid w:val="276557C3"/>
    <w:rsid w:val="2ED21556"/>
    <w:rsid w:val="36DD628E"/>
    <w:rsid w:val="3C21458C"/>
    <w:rsid w:val="3C6F5A34"/>
    <w:rsid w:val="3EE741B8"/>
    <w:rsid w:val="3FEC1368"/>
    <w:rsid w:val="40C8289D"/>
    <w:rsid w:val="46C53364"/>
    <w:rsid w:val="472A5D26"/>
    <w:rsid w:val="493C20A5"/>
    <w:rsid w:val="49DF285C"/>
    <w:rsid w:val="4DEE5E92"/>
    <w:rsid w:val="50041FB8"/>
    <w:rsid w:val="67D2734F"/>
    <w:rsid w:val="73E57997"/>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820</Words>
  <Characters>4675</Characters>
  <Lines>38</Lines>
  <Paragraphs>10</Paragraphs>
  <TotalTime>557</TotalTime>
  <ScaleCrop>false</ScaleCrop>
  <LinksUpToDate>false</LinksUpToDate>
  <CharactersWithSpaces>5485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cp:lastModifiedBy>
  <dcterms:modified xsi:type="dcterms:W3CDTF">2023-09-21T02:36:20Z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F8048A7974394DF89653847AE6C312E5</vt:lpwstr>
  </property>
</Properties>
</file>