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</w:p>
    <w:bookmarkEnd w:id="2"/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峨眉山市沙溪乡卫生院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8个科室；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8人，其中事业编制人数8人。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峨眉山市沙溪乡卫生院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0F89031D"/>
    <w:rsid w:val="1E0B3D0F"/>
    <w:rsid w:val="225A1489"/>
    <w:rsid w:val="3EA55671"/>
    <w:rsid w:val="44AF7008"/>
    <w:rsid w:val="45B239E9"/>
    <w:rsid w:val="4E3D3CA2"/>
    <w:rsid w:val="518F3A02"/>
    <w:rsid w:val="5C0B2435"/>
    <w:rsid w:val="5F5E676F"/>
    <w:rsid w:val="6A51203D"/>
    <w:rsid w:val="75624352"/>
    <w:rsid w:val="7A8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51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1973881A434E4576A788A1EC861B1C08</vt:lpwstr>
  </property>
</Properties>
</file>