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10"/>
          <w:rFonts w:ascii="黑体" w:hAnsi="黑体" w:eastAsia="黑体"/>
          <w:b/>
          <w:bCs w:val="0"/>
        </w:rPr>
      </w:pPr>
      <w:r>
        <w:rPr>
          <w:rFonts w:hint="eastAsia" w:ascii="黑体" w:hAnsi="黑体" w:eastAsia="黑体"/>
          <w:b w:val="0"/>
        </w:rPr>
        <w:t>第一部分 单位</w:t>
      </w:r>
      <w:r>
        <w:rPr>
          <w:rStyle w:val="10"/>
          <w:rFonts w:hint="eastAsia" w:ascii="黑体" w:hAnsi="黑体" w:eastAsia="黑体"/>
          <w:b w:val="0"/>
          <w:bCs w:val="0"/>
        </w:rPr>
        <w:t>概况</w:t>
      </w:r>
      <w:bookmarkStart w:id="2" w:name="_GoBack"/>
      <w:bookmarkEnd w:id="2"/>
    </w:p>
    <w:p>
      <w:pPr>
        <w:widowControl/>
        <w:jc w:val="left"/>
        <w:rPr>
          <w:rFonts w:ascii="黑体" w:eastAsia="黑体"/>
          <w:sz w:val="32"/>
          <w:szCs w:val="32"/>
        </w:rPr>
      </w:pPr>
    </w:p>
    <w:p>
      <w:pPr>
        <w:pStyle w:val="4"/>
        <w:numPr>
          <w:ilvl w:val="0"/>
          <w:numId w:val="1"/>
        </w:numPr>
        <w:rPr>
          <w:rStyle w:val="11"/>
          <w:rFonts w:ascii="黑体" w:hAnsi="黑体" w:eastAsia="黑体"/>
          <w:b/>
          <w:bCs/>
        </w:rPr>
      </w:pPr>
      <w:bookmarkStart w:id="0" w:name="_Toc15396600"/>
      <w:bookmarkStart w:id="1" w:name="_Toc15377197"/>
      <w:r>
        <w:rPr>
          <w:rStyle w:val="11"/>
          <w:rFonts w:hint="eastAsia" w:ascii="黑体" w:hAnsi="黑体" w:eastAsia="黑体"/>
          <w:b/>
          <w:bCs/>
        </w:rPr>
        <w:t>主要职责</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贯彻实施职责范围内的职业卫生、放射卫生、环境卫生、学校卫生、公共场所卫生、饮用水卫生管理规范、标准和政策措施，组织开展相关监测、调查、评估和监督，负责传染病防治监督，组织实施食品安全风险监测，依法开展食品安全企业标准备案，为食源性疾病与食品安全事故有关的流行病学调查提供技术支持。</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贯彻执行国家、省关于医疗机构和医疗服务全行业管理办法，负责制定全市医疗机构和医疗服务全行业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负责建立公益性导向的绩效考核和评价运行机制，推进和谐医患关系建设，提出医疗服务和药品价格政策的建议。</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贯彻实施国家基本药物制度，执行国家药品法典和国家、省基本药物目录，执行省基本药物采购、配送、使用政策，会同有关部门监督管理全市药品、医用器械采购招投标活动。</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组织实施促进全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制定流动人口计划生育服务管理制度并组织落实，推动建立流动人口卫生计生信息共享与公共服务工作机制。</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组织拟订全市卫生计生人才发展规划，指导卫生计生人才队伍建设，加强全科医生等急需紧缺专业人才培养，贯彻落实国家住院医师和专科医师规范化培训制度。</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完善卫生计生综合监督执法体系，规范卫生计生行政执法行为，监督检查有关法律法规的贯彻执行，组织查处违法行为。</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负责卫生计生宣传、健康教育、健康促进和信息化建设等工作，依法组织实施统计调查，参与人口基础信息库建设。根据省、市要求，负责有关卫生计生方面的政府与民间的多边、双边合作交流与卫生计生外事工作。</w:t>
      </w:r>
    </w:p>
    <w:p>
      <w:pPr>
        <w:pStyle w:val="7"/>
        <w:adjustRightInd w:val="0"/>
        <w:snapToGrid w:val="0"/>
        <w:spacing w:before="0" w:line="600" w:lineRule="exact"/>
        <w:ind w:firstLine="640" w:firstLineChars="200"/>
        <w:jc w:val="both"/>
        <w:rPr>
          <w:rFonts w:ascii="楷体_GB2312" w:hAnsi="仿宋_GB2312" w:eastAsia="楷体_GB2312" w:cs="仿宋_GB2312"/>
          <w:bCs/>
          <w:sz w:val="32"/>
          <w:szCs w:val="32"/>
        </w:rPr>
      </w:pPr>
      <w:r>
        <w:rPr>
          <w:rFonts w:hint="eastAsia" w:ascii="楷体_GB2312" w:hAnsi="仿宋_GB2312" w:eastAsia="楷体_GB2312" w:cs="仿宋_GB2312"/>
          <w:bCs/>
          <w:sz w:val="32"/>
          <w:szCs w:val="32"/>
        </w:rPr>
        <w:t>负责全市中医医疗服务体系建设和中医医疗服务监管工作。</w:t>
      </w:r>
    </w:p>
    <w:p>
      <w:pPr>
        <w:pStyle w:val="4"/>
        <w:jc w:val="left"/>
        <w:rPr>
          <w:rFonts w:ascii="黑体" w:hAnsi="黑体" w:eastAsia="黑体"/>
          <w:b w:val="0"/>
        </w:rPr>
      </w:pPr>
      <w:r>
        <w:rPr>
          <w:rFonts w:hint="eastAsia" w:ascii="黑体" w:hAnsi="黑体" w:eastAsia="黑体"/>
          <w:b w:val="0"/>
        </w:rPr>
        <w:t>二、机构设置</w:t>
      </w:r>
    </w:p>
    <w:p>
      <w:pPr>
        <w:ind w:firstLine="707" w:firstLineChars="221"/>
        <w:rPr>
          <w:rFonts w:ascii="楷体_GB2312" w:hAnsi="仿宋_GB2312" w:eastAsia="楷体_GB2312" w:cs="仿宋_GB2312"/>
          <w:bCs/>
          <w:sz w:val="32"/>
          <w:szCs w:val="32"/>
        </w:rPr>
      </w:pPr>
      <w:r>
        <w:rPr>
          <w:rFonts w:hint="eastAsia" w:ascii="楷体_GB2312" w:hAnsi="仿宋_GB2312" w:eastAsia="楷体_GB2312" w:cs="仿宋_GB2312"/>
          <w:bCs/>
          <w:sz w:val="32"/>
          <w:szCs w:val="32"/>
        </w:rPr>
        <w:t>峨眉山市卫生健康局（本级）属于峨眉山市卫生健康局部门下属的二级预算单位，下设独立编制机构1个，其中行政机构1个，参照公务员法管理的事业机构0个，其他事业机构0个。本单位内设5个股室，单位编制人数15人，其中其中行政编制14人，行政工行政工勤编制1人。</w:t>
      </w:r>
    </w:p>
    <w:p>
      <w:pPr>
        <w:pStyle w:val="2"/>
        <w:spacing w:before="93"/>
        <w:ind w:firstLine="707" w:firstLineChars="221"/>
        <w:rPr>
          <w:rFonts w:ascii="楷体_GB2312" w:hAnsi="仿宋_GB2312" w:eastAsia="楷体_GB2312" w:cs="仿宋_GB2312"/>
          <w:bCs/>
          <w:kern w:val="2"/>
          <w:sz w:val="32"/>
          <w:szCs w:val="32"/>
        </w:rPr>
      </w:pPr>
      <w:r>
        <w:rPr>
          <w:rFonts w:hint="eastAsia" w:ascii="楷体_GB2312" w:hAnsi="仿宋_GB2312" w:eastAsia="楷体_GB2312" w:cs="仿宋_GB2312"/>
          <w:bCs/>
          <w:kern w:val="2"/>
          <w:sz w:val="32"/>
          <w:szCs w:val="32"/>
        </w:rPr>
        <w:t>纳入2</w:t>
      </w:r>
      <w:r>
        <w:rPr>
          <w:rFonts w:ascii="楷体_GB2312" w:hAnsi="仿宋_GB2312" w:eastAsia="楷体_GB2312" w:cs="仿宋_GB2312"/>
          <w:bCs/>
          <w:kern w:val="2"/>
          <w:sz w:val="32"/>
          <w:szCs w:val="32"/>
        </w:rPr>
        <w:t>021</w:t>
      </w:r>
      <w:r>
        <w:rPr>
          <w:rFonts w:hint="eastAsia" w:ascii="楷体_GB2312" w:hAnsi="仿宋_GB2312" w:eastAsia="楷体_GB2312" w:cs="仿宋_GB2312"/>
          <w:bCs/>
          <w:kern w:val="2"/>
          <w:sz w:val="32"/>
          <w:szCs w:val="32"/>
        </w:rPr>
        <w:t>年度单位决算编制范围的独立编制机构包括：</w:t>
      </w:r>
    </w:p>
    <w:p>
      <w:pPr>
        <w:pStyle w:val="2"/>
        <w:spacing w:before="93"/>
        <w:ind w:firstLine="707" w:firstLineChars="221"/>
        <w:rPr>
          <w:rFonts w:ascii="楷体_GB2312" w:hAnsi="仿宋_GB2312" w:eastAsia="楷体_GB2312" w:cs="仿宋_GB2312"/>
          <w:bCs/>
          <w:kern w:val="2"/>
          <w:sz w:val="32"/>
          <w:szCs w:val="32"/>
        </w:rPr>
      </w:pPr>
      <w:r>
        <w:rPr>
          <w:rFonts w:hint="eastAsia" w:ascii="楷体_GB2312" w:hAnsi="仿宋_GB2312" w:eastAsia="楷体_GB2312" w:cs="仿宋_GB2312"/>
          <w:bCs/>
          <w:kern w:val="2"/>
          <w:sz w:val="32"/>
          <w:szCs w:val="32"/>
        </w:rPr>
        <w:t>1</w:t>
      </w:r>
      <w:r>
        <w:rPr>
          <w:rFonts w:ascii="楷体_GB2312" w:hAnsi="仿宋_GB2312" w:eastAsia="楷体_GB2312" w:cs="仿宋_GB2312"/>
          <w:bCs/>
          <w:kern w:val="2"/>
          <w:sz w:val="32"/>
          <w:szCs w:val="32"/>
        </w:rPr>
        <w:t>.</w:t>
      </w:r>
      <w:r>
        <w:rPr>
          <w:rFonts w:hint="eastAsia" w:ascii="楷体_GB2312" w:hAnsi="仿宋_GB2312" w:eastAsia="楷体_GB2312" w:cs="仿宋_GB2312"/>
          <w:bCs/>
          <w:kern w:val="2"/>
          <w:sz w:val="32"/>
          <w:szCs w:val="32"/>
        </w:rPr>
        <w:t>峨眉山市卫生健康局（本级）</w:t>
      </w:r>
    </w:p>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3923"/>
    <w:rsid w:val="002C1B0B"/>
    <w:rsid w:val="00391D6F"/>
    <w:rsid w:val="00622B2B"/>
    <w:rsid w:val="007A6394"/>
    <w:rsid w:val="00880B72"/>
    <w:rsid w:val="0091549B"/>
    <w:rsid w:val="00E235CB"/>
    <w:rsid w:val="00EE5F29"/>
    <w:rsid w:val="00F83923"/>
    <w:rsid w:val="00FE50C9"/>
    <w:rsid w:val="16C00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beforeLines="30"/>
    </w:pPr>
    <w:rPr>
      <w:rFonts w:ascii="仿宋_GB2312" w:eastAsia="仿宋_GB2312"/>
      <w:kern w:val="0"/>
      <w:sz w:val="30"/>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character" w:customStyle="1" w:styleId="10">
    <w:name w:val="标题 1 Char"/>
    <w:basedOn w:val="9"/>
    <w:link w:val="3"/>
    <w:qFormat/>
    <w:uiPriority w:val="9"/>
    <w:rPr>
      <w:rFonts w:ascii="Times New Roman" w:hAnsi="Times New Roman" w:eastAsia="宋体" w:cs="Times New Roman"/>
      <w:b/>
      <w:bCs/>
      <w:kern w:val="44"/>
      <w:sz w:val="44"/>
      <w:szCs w:val="44"/>
    </w:rPr>
  </w:style>
  <w:style w:type="character" w:customStyle="1" w:styleId="11">
    <w:name w:val="标题 2 Char"/>
    <w:basedOn w:val="9"/>
    <w:link w:val="4"/>
    <w:qFormat/>
    <w:uiPriority w:val="9"/>
    <w:rPr>
      <w:rFonts w:asciiTheme="majorHAnsi" w:hAnsiTheme="majorHAnsi" w:eastAsiaTheme="majorEastAsia" w:cstheme="majorBidi"/>
      <w:b/>
      <w:bCs/>
      <w:sz w:val="32"/>
      <w:szCs w:val="32"/>
    </w:rPr>
  </w:style>
  <w:style w:type="character" w:customStyle="1" w:styleId="12">
    <w:name w:val="正文文本 Char"/>
    <w:basedOn w:val="9"/>
    <w:link w:val="2"/>
    <w:qFormat/>
    <w:uiPriority w:val="99"/>
    <w:rPr>
      <w:rFonts w:ascii="仿宋_GB2312" w:hAnsi="Times New Roman" w:eastAsia="仿宋_GB2312" w:cs="Times New Roman"/>
      <w:kern w:val="0"/>
      <w:sz w:val="30"/>
      <w:szCs w:val="24"/>
    </w:rPr>
  </w:style>
  <w:style w:type="character" w:customStyle="1" w:styleId="13">
    <w:name w:val="页眉 Char"/>
    <w:basedOn w:val="9"/>
    <w:link w:val="6"/>
    <w:semiHidden/>
    <w:qFormat/>
    <w:uiPriority w:val="99"/>
    <w:rPr>
      <w:rFonts w:ascii="Times New Roman" w:hAnsi="Times New Roman" w:eastAsia="宋体" w:cs="Times New Roman"/>
      <w:sz w:val="18"/>
      <w:szCs w:val="18"/>
    </w:rPr>
  </w:style>
  <w:style w:type="character" w:customStyle="1" w:styleId="14">
    <w:name w:val="页脚 Char"/>
    <w:basedOn w:val="9"/>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Words>
  <Characters>1387</Characters>
  <Lines>11</Lines>
  <Paragraphs>3</Paragraphs>
  <TotalTime>413</TotalTime>
  <ScaleCrop>false</ScaleCrop>
  <LinksUpToDate>false</LinksUpToDate>
  <CharactersWithSpaces>1627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2023-09-25T03:02:00Z</dcterms:created>
  <dc:creator>Administrator</dc:creator>
  <cp:lastModifiedBy>admin</cp:lastModifiedBy>
  <cp:lastPrinted>2023-09-27T02:34:09Z</cp:lastPrinted>
  <dcterms:modified xsi:type="dcterms:W3CDTF">2023-09-27T07:40:38Z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