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96600"/>
      <w:bookmarkStart w:id="1" w:name="_Toc15377197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</w:rPr>
        <w:t>峨眉山市环境卫生服务中心承担城镇环卫设施的运行、维护工作；承担城镇公共场所的清扫保洁工作，组织对城乡生活垃圾进行清扫、收集、运输和处理；承担市政公共厕所的维护、保洁工作。完成上级交办的其他任务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bookmarkEnd w:id="0"/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峨眉山市环境卫生服务中心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峨眉山市住房和城乡建设局</w:t>
      </w:r>
      <w:r>
        <w:rPr>
          <w:rFonts w:hint="eastAsia" w:ascii="仿宋" w:hAnsi="仿宋" w:eastAsia="仿宋"/>
          <w:sz w:val="32"/>
          <w:szCs w:val="32"/>
        </w:rPr>
        <w:t>部门下属的二级预算单位，下设独立编制机构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</w:t>
      </w:r>
      <w:bookmarkStart w:id="2" w:name="_GoBack"/>
      <w:bookmarkEnd w:id="2"/>
      <w:r>
        <w:rPr>
          <w:rFonts w:hint="eastAsia" w:ascii="仿宋" w:hAnsi="仿宋" w:eastAsia="仿宋"/>
          <w:sz w:val="32"/>
          <w:szCs w:val="32"/>
        </w:rPr>
        <w:t>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</w:t>
      </w:r>
      <w:r>
        <w:rPr>
          <w:rFonts w:hint="eastAsia" w:ascii="仿宋" w:hAnsi="仿宋" w:eastAsia="仿宋"/>
          <w:sz w:val="32"/>
          <w:szCs w:val="32"/>
          <w:lang w:eastAsia="zh-CN"/>
        </w:rPr>
        <w:t>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1个。本单位无内设机构。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纳入2021年度单位决算编制范围的独立编制机构包括：峨眉山市环境卫生服务中心。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4MWYzMjI3MDgwN2VkZjgzYWYxMGZmNjViYzY4NGMifQ=="/>
  </w:docVars>
  <w:rsids>
    <w:rsidRoot w:val="00F83923"/>
    <w:rsid w:val="00391D6F"/>
    <w:rsid w:val="00622B2B"/>
    <w:rsid w:val="00F83923"/>
    <w:rsid w:val="00FE50C9"/>
    <w:rsid w:val="31375662"/>
    <w:rsid w:val="6599789F"/>
    <w:rsid w:val="784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270</Characters>
  <Lines>29</Lines>
  <Paragraphs>8</Paragraphs>
  <TotalTime>1</TotalTime>
  <ScaleCrop>false</ScaleCrop>
  <LinksUpToDate>false</LinksUpToDate>
  <CharactersWithSpaces>4186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2023-09-26T03:09:17Z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290A710B88564C05BA7306CE21CAD01E_12</vt:lpwstr>
  </property>
</Properties>
</file>