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Toc15396601"/>
      <w:bookmarkStart w:id="1" w:name="_Toc1537720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第一部分 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4"/>
        <w:ind w:firstLine="320" w:firstLineChars="100"/>
        <w:rPr>
          <w:rStyle w:val="9"/>
          <w:rFonts w:ascii="仿宋" w:hAnsi="仿宋" w:eastAsia="仿宋"/>
          <w:b w:val="0"/>
          <w:bCs w:val="0"/>
        </w:rPr>
      </w:pPr>
      <w:bookmarkStart w:id="4" w:name="_GoBack"/>
      <w:bookmarkEnd w:id="4"/>
      <w:bookmarkStart w:id="2" w:name="_Toc15396600"/>
      <w:bookmarkStart w:id="3" w:name="_Toc15377197"/>
      <w:r>
        <w:rPr>
          <w:rFonts w:hint="eastAsia" w:ascii="黑体" w:hAnsi="黑体" w:eastAsia="黑体"/>
          <w:b w:val="0"/>
          <w:color w:val="000000"/>
        </w:rPr>
        <w:t>一、</w:t>
      </w:r>
      <w:bookmarkEnd w:id="2"/>
      <w:bookmarkEnd w:id="3"/>
      <w:r>
        <w:rPr>
          <w:rFonts w:hint="eastAsia" w:ascii="黑体" w:hAnsi="黑体" w:eastAsia="黑体" w:cs="黑体"/>
          <w:sz w:val="32"/>
          <w:szCs w:val="32"/>
        </w:rPr>
        <w:t>职能简介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hAnsi="宋体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制定教育督导工作的方针、政策、规章；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hAnsi="宋体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制定教育督导工作的计划和指导方案；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hAnsi="宋体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组织实施的教育督导工作；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hAnsi="宋体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指导下级教育督导工作；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hAnsi="宋体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>组织培训督导人员；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hAnsi="宋体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/>
          <w:sz w:val="32"/>
          <w:szCs w:val="32"/>
        </w:rPr>
        <w:t>总结推广教育督导工作经验，组织教育督导的科学研究。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二、机构设置</w:t>
      </w:r>
      <w:bookmarkEnd w:id="0"/>
      <w:bookmarkEnd w:id="1"/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峨眉山市教育局（本级）为本部门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其中行政单位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个，参照公务员法管理的事业单位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教育局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391D6F"/>
    <w:rsid w:val="00622B2B"/>
    <w:rsid w:val="00F83923"/>
    <w:rsid w:val="00FE50C9"/>
    <w:rsid w:val="130F1685"/>
    <w:rsid w:val="296E036D"/>
    <w:rsid w:val="426D0FC0"/>
    <w:rsid w:val="573864C9"/>
    <w:rsid w:val="72AE5460"/>
    <w:rsid w:val="76E82CDF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8">
    <w:name w:val="标题 1 字符"/>
    <w:basedOn w:val="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正文文本 字符"/>
    <w:basedOn w:val="7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2023-09-25T09:21:07Z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13FF400004094C048DAB7C29C1D3F533_13</vt:lpwstr>
  </property>
</Properties>
</file>