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outlineLvl w:val="0"/>
        <w:rPr>
          <w:rFonts w:ascii="方正小标宋简体" w:hAnsi="方正小标宋简体" w:eastAsia="方正小标宋简体" w:cs="方正小标宋简体"/>
          <w:sz w:val="72"/>
          <w:szCs w:val="72"/>
        </w:rPr>
      </w:pPr>
      <w:r>
        <w:rPr>
          <w:rFonts w:hint="eastAsia" w:ascii="方正小标宋简体" w:hAnsi="方正小标宋简体" w:eastAsia="方正小标宋简体" w:cs="方正小标宋简体"/>
          <w:sz w:val="72"/>
          <w:szCs w:val="72"/>
        </w:rPr>
        <w:t>2023年度</w:t>
      </w:r>
    </w:p>
    <w:p>
      <w:pPr>
        <w:adjustRightInd w:val="0"/>
        <w:snapToGrid w:val="0"/>
        <w:spacing w:line="360" w:lineRule="auto"/>
        <w:jc w:val="center"/>
        <w:outlineLvl w:val="0"/>
        <w:rPr>
          <w:rFonts w:hint="eastAsia" w:ascii="方正小标宋简体" w:hAnsi="方正小标宋简体" w:eastAsia="方正小标宋简体" w:cs="方正小标宋简体"/>
          <w:sz w:val="72"/>
          <w:szCs w:val="72"/>
          <w:lang w:eastAsia="zh-CN"/>
        </w:rPr>
      </w:pPr>
      <w:bookmarkStart w:id="0" w:name="_Toc15396476"/>
      <w:bookmarkStart w:id="1" w:name="_Toc15396598"/>
      <w:bookmarkStart w:id="2" w:name="_Toc15378442"/>
      <w:bookmarkStart w:id="3" w:name="_Toc15377426"/>
      <w:bookmarkStart w:id="4" w:name="_Toc15306268"/>
      <w:bookmarkStart w:id="5" w:name="_Toc15377194"/>
      <w:r>
        <w:rPr>
          <w:rFonts w:hint="eastAsia" w:ascii="方正小标宋简体" w:hAnsi="方正小标宋简体" w:eastAsia="方正小标宋简体" w:cs="方正小标宋简体"/>
          <w:sz w:val="72"/>
          <w:szCs w:val="72"/>
        </w:rPr>
        <w:t>峨眉山市文化体育和旅游局单位预算</w:t>
      </w:r>
      <w:bookmarkEnd w:id="0"/>
      <w:bookmarkEnd w:id="1"/>
      <w:bookmarkEnd w:id="2"/>
      <w:bookmarkEnd w:id="3"/>
      <w:bookmarkEnd w:id="4"/>
      <w:bookmarkEnd w:id="5"/>
      <w:r>
        <w:rPr>
          <w:rFonts w:hint="eastAsia" w:ascii="方正小标宋简体" w:hAnsi="方正小标宋简体" w:eastAsia="方正小标宋简体" w:cs="方正小标宋简体"/>
          <w:sz w:val="72"/>
          <w:szCs w:val="72"/>
          <w:lang w:eastAsia="zh-CN"/>
        </w:rPr>
        <w:t>（汇总）</w:t>
      </w:r>
    </w:p>
    <w:p>
      <w:pPr>
        <w:widowControl/>
        <w:jc w:val="center"/>
        <w:rPr>
          <w:rFonts w:ascii="方正小标宋简体" w:hAnsi="方正小标宋简体" w:eastAsia="方正小标宋简体" w:cs="方正小标宋简体"/>
          <w:color w:val="000000"/>
          <w:kern w:val="0"/>
          <w:sz w:val="43"/>
          <w:szCs w:val="43"/>
        </w:rPr>
      </w:pPr>
    </w:p>
    <w:p>
      <w:pPr>
        <w:pStyle w:val="2"/>
        <w:rPr>
          <w:rFonts w:ascii="方正小标宋简体" w:hAnsi="方正小标宋简体" w:eastAsia="方正小标宋简体" w:cs="方正小标宋简体"/>
          <w:color w:val="000000"/>
          <w:kern w:val="0"/>
          <w:sz w:val="43"/>
          <w:szCs w:val="43"/>
          <w:lang w:val="en-US"/>
        </w:rPr>
      </w:pPr>
    </w:p>
    <w:p>
      <w:pPr>
        <w:rPr>
          <w:lang w:bidi="zh-CN"/>
        </w:rPr>
      </w:pPr>
    </w:p>
    <w:p>
      <w:pPr>
        <w:rPr>
          <w:rFonts w:ascii="方正小标宋简体" w:hAnsi="方正小标宋简体" w:eastAsia="方正小标宋简体" w:cs="方正小标宋简体"/>
          <w:color w:val="000000"/>
          <w:kern w:val="0"/>
          <w:sz w:val="43"/>
          <w:szCs w:val="43"/>
        </w:rPr>
      </w:pPr>
    </w:p>
    <w:p>
      <w:pPr>
        <w:rPr>
          <w:rFonts w:ascii="方正小标宋简体" w:hAnsi="方正小标宋简体" w:eastAsia="方正小标宋简体" w:cs="方正小标宋简体"/>
          <w:color w:val="000000"/>
          <w:kern w:val="0"/>
          <w:sz w:val="43"/>
          <w:szCs w:val="43"/>
        </w:rPr>
      </w:pPr>
    </w:p>
    <w:p>
      <w:pPr>
        <w:pStyle w:val="2"/>
        <w:rPr>
          <w:rFonts w:ascii="方正小标宋简体" w:hAnsi="方正小标宋简体" w:eastAsia="方正小标宋简体" w:cs="方正小标宋简体"/>
          <w:color w:val="000000"/>
          <w:kern w:val="0"/>
          <w:sz w:val="43"/>
          <w:szCs w:val="43"/>
          <w:lang w:val="en-US"/>
        </w:rPr>
      </w:pPr>
    </w:p>
    <w:p>
      <w:pPr>
        <w:rPr>
          <w:rFonts w:ascii="方正小标宋简体" w:hAnsi="方正小标宋简体" w:eastAsia="方正小标宋简体" w:cs="方正小标宋简体"/>
          <w:color w:val="000000"/>
          <w:kern w:val="0"/>
          <w:sz w:val="43"/>
          <w:szCs w:val="43"/>
        </w:rPr>
      </w:pPr>
    </w:p>
    <w:p>
      <w:pPr>
        <w:rPr>
          <w:rFonts w:ascii="方正小标宋简体" w:hAnsi="方正小标宋简体" w:eastAsia="方正小标宋简体" w:cs="方正小标宋简体"/>
          <w:color w:val="000000"/>
          <w:kern w:val="0"/>
          <w:sz w:val="43"/>
          <w:szCs w:val="43"/>
        </w:rPr>
      </w:pPr>
    </w:p>
    <w:p/>
    <w:p>
      <w:pPr>
        <w:widowControl/>
        <w:jc w:val="center"/>
        <w:rPr>
          <w:rFonts w:ascii="方正小标宋简体" w:hAnsi="方正小标宋简体" w:eastAsia="方正小标宋简体" w:cs="方正小标宋简体"/>
          <w:color w:val="000000"/>
          <w:kern w:val="0"/>
          <w:sz w:val="43"/>
          <w:szCs w:val="43"/>
        </w:rPr>
      </w:pPr>
    </w:p>
    <w:p>
      <w:pPr>
        <w:widowControl/>
        <w:jc w:val="center"/>
        <w:rPr>
          <w:rFonts w:ascii="方正小标宋简体" w:hAnsi="方正小标宋简体" w:eastAsia="方正小标宋简体" w:cs="方正小标宋简体"/>
          <w:color w:val="000000"/>
          <w:kern w:val="0"/>
          <w:sz w:val="43"/>
          <w:szCs w:val="43"/>
        </w:rPr>
      </w:pPr>
    </w:p>
    <w:p>
      <w:pPr>
        <w:widowControl/>
        <w:jc w:val="center"/>
        <w:rPr>
          <w:rFonts w:ascii="方正小标宋简体" w:hAnsi="方正小标宋简体" w:eastAsia="方正小标宋简体" w:cs="方正小标宋简体"/>
          <w:color w:val="000000"/>
          <w:kern w:val="0"/>
          <w:sz w:val="43"/>
          <w:szCs w:val="43"/>
        </w:rPr>
      </w:pPr>
    </w:p>
    <w:p>
      <w:pPr>
        <w:widowControl/>
        <w:jc w:val="center"/>
        <w:rPr>
          <w:rFonts w:ascii="方正小标宋简体" w:hAnsi="方正小标宋简体" w:eastAsia="方正小标宋简体" w:cs="方正小标宋简体"/>
          <w:color w:val="000000"/>
          <w:kern w:val="0"/>
          <w:sz w:val="43"/>
          <w:szCs w:val="43"/>
        </w:rPr>
      </w:pPr>
    </w:p>
    <w:p>
      <w:pPr>
        <w:widowControl/>
        <w:jc w:val="center"/>
        <w:rPr>
          <w:rFonts w:ascii="方正小标宋简体" w:hAnsi="方正小标宋简体" w:eastAsia="方正小标宋简体" w:cs="方正小标宋简体"/>
          <w:color w:val="000000"/>
          <w:kern w:val="0"/>
          <w:sz w:val="43"/>
          <w:szCs w:val="43"/>
        </w:rPr>
      </w:pPr>
    </w:p>
    <w:p>
      <w:pPr>
        <w:widowControl/>
        <w:jc w:val="center"/>
      </w:pPr>
      <w:bookmarkStart w:id="6" w:name="_GoBack"/>
      <w:bookmarkEnd w:id="6"/>
      <w:r>
        <w:rPr>
          <w:rFonts w:ascii="方正小标宋简体" w:hAnsi="方正小标宋简体" w:eastAsia="方正小标宋简体" w:cs="方正小标宋简体"/>
          <w:color w:val="000000"/>
          <w:kern w:val="0"/>
          <w:sz w:val="43"/>
          <w:szCs w:val="43"/>
        </w:rPr>
        <w:t>目录</w:t>
      </w:r>
    </w:p>
    <w:p>
      <w:pPr>
        <w:spacing w:line="600" w:lineRule="exact"/>
        <w:outlineLvl w:val="0"/>
      </w:pPr>
      <w:r>
        <w:rPr>
          <w:rFonts w:ascii="黑体" w:hAnsi="宋体" w:eastAsia="黑体" w:cs="黑体"/>
          <w:color w:val="333333"/>
          <w:kern w:val="0"/>
          <w:sz w:val="31"/>
          <w:szCs w:val="31"/>
        </w:rPr>
        <w:t xml:space="preserve">第一部分 </w:t>
      </w:r>
      <w:r>
        <w:rPr>
          <w:rFonts w:hint="eastAsia" w:ascii="黑体" w:hAnsi="宋体" w:eastAsia="黑体" w:cs="黑体"/>
          <w:color w:val="333333"/>
          <w:kern w:val="0"/>
          <w:sz w:val="31"/>
          <w:szCs w:val="31"/>
        </w:rPr>
        <w:t>关于峨眉山市文化体育和旅游局2023年预算编制的说明</w:t>
      </w:r>
    </w:p>
    <w:p>
      <w:pPr>
        <w:widowControl/>
        <w:jc w:val="left"/>
        <w:rPr>
          <w:rFonts w:ascii="仿宋_GB2312" w:hAnsi="宋体" w:eastAsia="仿宋_GB2312" w:cs="仿宋_GB2312"/>
          <w:color w:val="333333"/>
          <w:kern w:val="0"/>
          <w:sz w:val="31"/>
          <w:szCs w:val="31"/>
        </w:rPr>
      </w:pPr>
      <w:r>
        <w:rPr>
          <w:rFonts w:ascii="仿宋_GB2312" w:hAnsi="宋体" w:eastAsia="仿宋_GB2312" w:cs="仿宋_GB2312"/>
          <w:color w:val="333333"/>
          <w:kern w:val="0"/>
          <w:sz w:val="31"/>
          <w:szCs w:val="31"/>
        </w:rPr>
        <w:t>一、</w:t>
      </w:r>
      <w:r>
        <w:rPr>
          <w:rFonts w:hint="eastAsia" w:ascii="仿宋_GB2312" w:hAnsi="宋体" w:eastAsia="仿宋_GB2312" w:cs="仿宋_GB2312"/>
          <w:color w:val="333333"/>
          <w:kern w:val="0"/>
          <w:sz w:val="31"/>
          <w:szCs w:val="31"/>
        </w:rPr>
        <w:t>基本职能及主要工作.............................4</w:t>
      </w:r>
      <w:r>
        <w:rPr>
          <w:rFonts w:hint="eastAsia" w:ascii="仿宋_GB2312" w:hAnsi="仿宋_GB2312" w:eastAsia="仿宋_GB2312" w:cs="仿宋_GB2312"/>
          <w:sz w:val="32"/>
          <w:szCs w:val="32"/>
        </w:rPr>
        <w:tab/>
      </w:r>
    </w:p>
    <w:p>
      <w:pPr>
        <w:widowControl/>
        <w:jc w:val="left"/>
        <w:rPr>
          <w:rFonts w:ascii="仿宋_GB2312" w:hAnsi="宋体" w:eastAsia="仿宋_GB2312" w:cs="仿宋_GB2312"/>
          <w:color w:val="333333"/>
          <w:kern w:val="0"/>
          <w:sz w:val="31"/>
          <w:szCs w:val="31"/>
        </w:rPr>
      </w:pPr>
      <w:r>
        <w:rPr>
          <w:rFonts w:hint="eastAsia" w:ascii="仿宋_GB2312" w:hAnsi="宋体" w:eastAsia="仿宋_GB2312" w:cs="仿宋_GB2312"/>
          <w:color w:val="333333"/>
          <w:kern w:val="0"/>
          <w:sz w:val="31"/>
          <w:szCs w:val="31"/>
        </w:rPr>
        <w:t>二、部门概况.......................................5</w:t>
      </w:r>
    </w:p>
    <w:p>
      <w:pPr>
        <w:widowControl/>
        <w:jc w:val="left"/>
        <w:rPr>
          <w:rFonts w:ascii="仿宋_GB2312" w:hAnsi="宋体" w:eastAsia="仿宋_GB2312" w:cs="仿宋_GB2312"/>
          <w:color w:val="333333"/>
          <w:kern w:val="0"/>
          <w:sz w:val="31"/>
          <w:szCs w:val="31"/>
        </w:rPr>
      </w:pPr>
      <w:r>
        <w:rPr>
          <w:rFonts w:hint="eastAsia" w:ascii="仿宋_GB2312" w:hAnsi="宋体" w:eastAsia="仿宋_GB2312" w:cs="仿宋_GB2312"/>
          <w:color w:val="333333"/>
          <w:kern w:val="0"/>
          <w:sz w:val="31"/>
          <w:szCs w:val="31"/>
        </w:rPr>
        <w:t>三、收支预算总体情况...............................5</w:t>
      </w:r>
    </w:p>
    <w:p>
      <w:pPr>
        <w:widowControl/>
        <w:jc w:val="left"/>
        <w:rPr>
          <w:rFonts w:ascii="仿宋_GB2312" w:hAnsi="宋体" w:eastAsia="仿宋_GB2312" w:cs="仿宋_GB2312"/>
          <w:color w:val="333333"/>
          <w:kern w:val="0"/>
          <w:sz w:val="31"/>
          <w:szCs w:val="31"/>
        </w:rPr>
      </w:pPr>
      <w:r>
        <w:rPr>
          <w:rFonts w:hint="eastAsia" w:ascii="仿宋_GB2312" w:hAnsi="宋体" w:eastAsia="仿宋_GB2312" w:cs="仿宋_GB2312"/>
          <w:color w:val="333333"/>
          <w:kern w:val="0"/>
          <w:sz w:val="31"/>
          <w:szCs w:val="31"/>
        </w:rPr>
        <w:t>四、财政拨款支出预算安排情况.......................5</w:t>
      </w:r>
    </w:p>
    <w:p>
      <w:pPr>
        <w:widowControl/>
        <w:jc w:val="left"/>
        <w:rPr>
          <w:rFonts w:ascii="仿宋_GB2312" w:hAnsi="宋体" w:eastAsia="仿宋_GB2312" w:cs="仿宋_GB2312"/>
          <w:color w:val="333333"/>
          <w:kern w:val="0"/>
          <w:sz w:val="31"/>
          <w:szCs w:val="31"/>
        </w:rPr>
      </w:pPr>
      <w:r>
        <w:rPr>
          <w:rFonts w:hint="eastAsia" w:ascii="仿宋_GB2312" w:hAnsi="宋体" w:eastAsia="仿宋_GB2312" w:cs="仿宋_GB2312"/>
          <w:color w:val="333333"/>
          <w:kern w:val="0"/>
          <w:sz w:val="31"/>
          <w:szCs w:val="31"/>
        </w:rPr>
        <w:t>五、一般公共预算当年拨款情况说明...................6</w:t>
      </w:r>
    </w:p>
    <w:p>
      <w:pPr>
        <w:widowControl/>
        <w:jc w:val="left"/>
        <w:rPr>
          <w:rFonts w:ascii="仿宋_GB2312" w:hAnsi="宋体" w:eastAsia="仿宋_GB2312" w:cs="仿宋_GB2312"/>
          <w:color w:val="333333"/>
          <w:kern w:val="0"/>
          <w:sz w:val="31"/>
          <w:szCs w:val="31"/>
        </w:rPr>
      </w:pPr>
      <w:r>
        <w:rPr>
          <w:rFonts w:hint="eastAsia" w:ascii="仿宋_GB2312" w:hAnsi="宋体" w:eastAsia="仿宋_GB2312" w:cs="仿宋_GB2312"/>
          <w:color w:val="333333"/>
          <w:kern w:val="0"/>
          <w:sz w:val="31"/>
          <w:szCs w:val="31"/>
        </w:rPr>
        <w:t>六、一般公共预算基本支出情况说明...................7</w:t>
      </w:r>
    </w:p>
    <w:p>
      <w:pPr>
        <w:widowControl/>
        <w:jc w:val="left"/>
        <w:rPr>
          <w:rFonts w:ascii="仿宋_GB2312" w:hAnsi="宋体" w:eastAsia="仿宋_GB2312" w:cs="仿宋_GB2312"/>
          <w:color w:val="333333"/>
          <w:kern w:val="0"/>
          <w:sz w:val="31"/>
          <w:szCs w:val="31"/>
        </w:rPr>
      </w:pPr>
      <w:r>
        <w:rPr>
          <w:rFonts w:hint="eastAsia" w:ascii="仿宋_GB2312" w:hAnsi="宋体" w:eastAsia="仿宋_GB2312" w:cs="仿宋_GB2312"/>
          <w:color w:val="333333"/>
          <w:kern w:val="0"/>
          <w:sz w:val="31"/>
          <w:szCs w:val="31"/>
        </w:rPr>
        <w:t>七、政府性基金预算支出规模及变化情况说明...........8</w:t>
      </w:r>
    </w:p>
    <w:p>
      <w:pPr>
        <w:widowControl/>
        <w:jc w:val="left"/>
        <w:rPr>
          <w:rFonts w:ascii="仿宋_GB2312" w:hAnsi="宋体" w:eastAsia="仿宋_GB2312" w:cs="仿宋_GB2312"/>
          <w:color w:val="333333"/>
          <w:kern w:val="0"/>
          <w:sz w:val="31"/>
          <w:szCs w:val="31"/>
        </w:rPr>
      </w:pPr>
      <w:r>
        <w:rPr>
          <w:rFonts w:hint="eastAsia" w:ascii="仿宋_GB2312" w:hAnsi="宋体" w:eastAsia="仿宋_GB2312" w:cs="仿宋_GB2312"/>
          <w:color w:val="333333"/>
          <w:kern w:val="0"/>
          <w:sz w:val="31"/>
          <w:szCs w:val="31"/>
        </w:rPr>
        <w:t>八、“三公”经费预算安排情况说明...................8</w:t>
      </w:r>
    </w:p>
    <w:p>
      <w:pPr>
        <w:widowControl/>
        <w:jc w:val="left"/>
        <w:rPr>
          <w:rFonts w:ascii="仿宋_GB2312" w:hAnsi="宋体" w:eastAsia="仿宋_GB2312" w:cs="仿宋_GB2312"/>
          <w:color w:val="333333"/>
          <w:kern w:val="0"/>
          <w:sz w:val="31"/>
          <w:szCs w:val="31"/>
        </w:rPr>
      </w:pPr>
      <w:r>
        <w:rPr>
          <w:rFonts w:hint="eastAsia" w:ascii="仿宋_GB2312" w:hAnsi="宋体" w:eastAsia="仿宋_GB2312" w:cs="仿宋_GB2312"/>
          <w:color w:val="333333"/>
          <w:kern w:val="0"/>
          <w:sz w:val="31"/>
          <w:szCs w:val="31"/>
        </w:rPr>
        <w:t>九、其他重要事项的情况说明.........................9</w:t>
      </w:r>
    </w:p>
    <w:p>
      <w:pPr>
        <w:widowControl/>
        <w:jc w:val="left"/>
        <w:rPr>
          <w:rFonts w:ascii="仿宋_GB2312" w:hAnsi="宋体" w:eastAsia="仿宋_GB2312" w:cs="仿宋_GB2312"/>
          <w:color w:val="333333"/>
          <w:kern w:val="0"/>
          <w:sz w:val="31"/>
          <w:szCs w:val="31"/>
        </w:rPr>
      </w:pPr>
      <w:r>
        <w:rPr>
          <w:rFonts w:hint="eastAsia" w:ascii="仿宋_GB2312" w:hAnsi="宋体" w:eastAsia="仿宋_GB2312" w:cs="仿宋_GB2312"/>
          <w:color w:val="333333"/>
          <w:kern w:val="0"/>
          <w:sz w:val="31"/>
          <w:szCs w:val="31"/>
        </w:rPr>
        <w:t>十、名词解释.......................................10</w:t>
      </w:r>
    </w:p>
    <w:p>
      <w:pPr>
        <w:widowControl/>
        <w:jc w:val="left"/>
      </w:pPr>
      <w:r>
        <w:rPr>
          <w:rFonts w:hint="eastAsia" w:ascii="黑体" w:hAnsi="宋体" w:eastAsia="黑体" w:cs="黑体"/>
          <w:color w:val="333333"/>
          <w:kern w:val="0"/>
          <w:sz w:val="31"/>
          <w:szCs w:val="31"/>
        </w:rPr>
        <w:t xml:space="preserve">第二部分 峨眉山市文化体育和旅游局部门预算表 </w:t>
      </w:r>
    </w:p>
    <w:p>
      <w:pPr>
        <w:widowControl/>
        <w:jc w:val="left"/>
      </w:pPr>
      <w:r>
        <w:rPr>
          <w:rFonts w:hint="eastAsia" w:ascii="仿宋_GB2312" w:hAnsi="宋体" w:eastAsia="仿宋_GB2312" w:cs="仿宋_GB2312"/>
          <w:color w:val="333333"/>
          <w:kern w:val="0"/>
          <w:sz w:val="31"/>
          <w:szCs w:val="31"/>
        </w:rPr>
        <w:t xml:space="preserve">一、收支预算总表 </w:t>
      </w:r>
    </w:p>
    <w:p>
      <w:pPr>
        <w:widowControl/>
        <w:jc w:val="left"/>
        <w:rPr>
          <w:rFonts w:ascii="仿宋_GB2312" w:hAnsi="宋体" w:eastAsia="仿宋_GB2312" w:cs="仿宋_GB2312"/>
          <w:color w:val="333333"/>
          <w:kern w:val="0"/>
          <w:sz w:val="31"/>
          <w:szCs w:val="31"/>
        </w:rPr>
      </w:pPr>
      <w:r>
        <w:rPr>
          <w:rFonts w:hint="eastAsia" w:ascii="仿宋_GB2312" w:hAnsi="宋体" w:eastAsia="仿宋_GB2312" w:cs="仿宋_GB2312"/>
          <w:color w:val="333333"/>
          <w:kern w:val="0"/>
          <w:sz w:val="31"/>
          <w:szCs w:val="31"/>
        </w:rPr>
        <w:t>二、收入预算总表</w:t>
      </w:r>
    </w:p>
    <w:p>
      <w:pPr>
        <w:widowControl/>
        <w:jc w:val="left"/>
      </w:pPr>
      <w:r>
        <w:rPr>
          <w:rFonts w:hint="eastAsia" w:ascii="仿宋_GB2312" w:hAnsi="宋体" w:eastAsia="仿宋_GB2312" w:cs="仿宋_GB2312"/>
          <w:color w:val="333333"/>
          <w:kern w:val="0"/>
          <w:sz w:val="31"/>
          <w:szCs w:val="31"/>
        </w:rPr>
        <w:t xml:space="preserve">三、支出预算总表 </w:t>
      </w:r>
    </w:p>
    <w:p>
      <w:pPr>
        <w:widowControl/>
        <w:jc w:val="left"/>
      </w:pPr>
      <w:r>
        <w:rPr>
          <w:rFonts w:hint="eastAsia" w:ascii="仿宋_GB2312" w:hAnsi="宋体" w:eastAsia="仿宋_GB2312" w:cs="仿宋_GB2312"/>
          <w:color w:val="333333"/>
          <w:kern w:val="0"/>
          <w:sz w:val="31"/>
          <w:szCs w:val="31"/>
        </w:rPr>
        <w:t xml:space="preserve">四、财政拨款预算总表 </w:t>
      </w:r>
    </w:p>
    <w:p>
      <w:pPr>
        <w:widowControl/>
        <w:jc w:val="left"/>
      </w:pPr>
      <w:r>
        <w:rPr>
          <w:rFonts w:hint="eastAsia" w:ascii="仿宋_GB2312" w:hAnsi="宋体" w:eastAsia="仿宋_GB2312" w:cs="仿宋_GB2312"/>
          <w:color w:val="333333"/>
          <w:kern w:val="0"/>
          <w:sz w:val="31"/>
          <w:szCs w:val="31"/>
        </w:rPr>
        <w:t xml:space="preserve">五、一般公共预算支出表 </w:t>
      </w:r>
    </w:p>
    <w:p>
      <w:pPr>
        <w:widowControl/>
        <w:jc w:val="left"/>
      </w:pPr>
      <w:r>
        <w:rPr>
          <w:rFonts w:hint="eastAsia" w:ascii="仿宋_GB2312" w:hAnsi="宋体" w:eastAsia="仿宋_GB2312" w:cs="仿宋_GB2312"/>
          <w:color w:val="333333"/>
          <w:kern w:val="0"/>
          <w:sz w:val="31"/>
          <w:szCs w:val="31"/>
        </w:rPr>
        <w:t xml:space="preserve">六、一般公共预算基本支出表 </w:t>
      </w:r>
    </w:p>
    <w:p>
      <w:pPr>
        <w:widowControl/>
        <w:jc w:val="left"/>
      </w:pPr>
      <w:r>
        <w:rPr>
          <w:rFonts w:hint="eastAsia" w:ascii="仿宋_GB2312" w:hAnsi="宋体" w:eastAsia="仿宋_GB2312" w:cs="仿宋_GB2312"/>
          <w:color w:val="333333"/>
          <w:kern w:val="0"/>
          <w:sz w:val="31"/>
          <w:szCs w:val="31"/>
        </w:rPr>
        <w:t xml:space="preserve">七、一般公共预算“三公”经费支出预算表 </w:t>
      </w:r>
    </w:p>
    <w:p>
      <w:pPr>
        <w:widowControl/>
        <w:jc w:val="left"/>
      </w:pPr>
      <w:r>
        <w:rPr>
          <w:rFonts w:hint="eastAsia" w:ascii="仿宋_GB2312" w:hAnsi="宋体" w:eastAsia="仿宋_GB2312" w:cs="仿宋_GB2312"/>
          <w:color w:val="333333"/>
          <w:kern w:val="0"/>
          <w:sz w:val="31"/>
          <w:szCs w:val="31"/>
        </w:rPr>
        <w:t xml:space="preserve">八、政府性基金预算支出表 </w:t>
      </w:r>
    </w:p>
    <w:p>
      <w:pPr>
        <w:widowControl/>
        <w:jc w:val="left"/>
      </w:pPr>
      <w:r>
        <w:rPr>
          <w:rFonts w:hint="eastAsia" w:ascii="仿宋_GB2312" w:hAnsi="宋体" w:eastAsia="仿宋_GB2312" w:cs="仿宋_GB2312"/>
          <w:color w:val="333333"/>
          <w:kern w:val="0"/>
          <w:sz w:val="31"/>
          <w:szCs w:val="31"/>
        </w:rPr>
        <w:t xml:space="preserve">九、国有资本经营预算支出表 </w:t>
      </w:r>
    </w:p>
    <w:p>
      <w:pPr>
        <w:widowControl/>
        <w:jc w:val="left"/>
      </w:pPr>
      <w:r>
        <w:rPr>
          <w:rFonts w:hint="eastAsia" w:ascii="仿宋_GB2312" w:hAnsi="宋体" w:eastAsia="仿宋_GB2312" w:cs="仿宋_GB2312"/>
          <w:color w:val="333333"/>
          <w:kern w:val="0"/>
          <w:sz w:val="31"/>
          <w:szCs w:val="31"/>
        </w:rPr>
        <w:t>十、 支出功能分类预算表</w:t>
      </w:r>
    </w:p>
    <w:p>
      <w:pPr>
        <w:widowControl/>
        <w:jc w:val="left"/>
        <w:rPr>
          <w:rFonts w:ascii="仿宋_GB2312" w:hAnsi="宋体" w:eastAsia="仿宋_GB2312" w:cs="仿宋_GB2312"/>
          <w:color w:val="333333"/>
          <w:kern w:val="0"/>
          <w:sz w:val="31"/>
          <w:szCs w:val="31"/>
        </w:rPr>
      </w:pPr>
      <w:r>
        <w:rPr>
          <w:rFonts w:hint="eastAsia" w:ascii="仿宋_GB2312" w:hAnsi="宋体" w:eastAsia="仿宋_GB2312" w:cs="仿宋_GB2312"/>
          <w:color w:val="333333"/>
          <w:kern w:val="0"/>
          <w:sz w:val="31"/>
          <w:szCs w:val="31"/>
        </w:rPr>
        <w:t>十一、支出经济分类预算表</w:t>
      </w:r>
    </w:p>
    <w:p>
      <w:pPr>
        <w:pStyle w:val="2"/>
      </w:pPr>
      <w:r>
        <w:rPr>
          <w:rFonts w:hint="eastAsia" w:ascii="仿宋_GB2312" w:cs="仿宋_GB2312"/>
          <w:color w:val="333333"/>
          <w:kern w:val="0"/>
          <w:sz w:val="31"/>
          <w:szCs w:val="31"/>
          <w:lang w:val="en-US"/>
        </w:rPr>
        <w:t>十二、上级资金安排情况表</w:t>
      </w:r>
    </w:p>
    <w:p>
      <w:pPr>
        <w:widowControl/>
        <w:jc w:val="left"/>
      </w:pPr>
      <w:r>
        <w:rPr>
          <w:rFonts w:hint="eastAsia" w:ascii="仿宋_GB2312" w:hAnsi="宋体" w:eastAsia="仿宋_GB2312" w:cs="仿宋_GB2312"/>
          <w:color w:val="333333"/>
          <w:kern w:val="0"/>
          <w:sz w:val="31"/>
          <w:szCs w:val="31"/>
        </w:rPr>
        <w:t>十三、项目支出表</w:t>
      </w:r>
    </w:p>
    <w:p>
      <w:pPr>
        <w:widowControl/>
        <w:jc w:val="left"/>
      </w:pPr>
      <w:r>
        <w:rPr>
          <w:rFonts w:hint="eastAsia" w:ascii="仿宋_GB2312" w:hAnsi="宋体" w:eastAsia="仿宋_GB2312" w:cs="仿宋_GB2312"/>
          <w:color w:val="333333"/>
          <w:kern w:val="0"/>
          <w:sz w:val="31"/>
          <w:szCs w:val="31"/>
        </w:rPr>
        <w:t>十四、项目支出预算明细表</w:t>
      </w:r>
    </w:p>
    <w:p>
      <w:pPr>
        <w:widowControl/>
        <w:jc w:val="left"/>
        <w:rPr>
          <w:rFonts w:ascii="仿宋_GB2312" w:hAnsi="宋体" w:eastAsia="仿宋_GB2312" w:cs="仿宋_GB2312"/>
          <w:color w:val="333333"/>
          <w:kern w:val="0"/>
          <w:sz w:val="31"/>
          <w:szCs w:val="31"/>
        </w:rPr>
      </w:pPr>
      <w:r>
        <w:rPr>
          <w:rFonts w:hint="eastAsia" w:ascii="仿宋_GB2312" w:hAnsi="宋体" w:eastAsia="仿宋_GB2312" w:cs="仿宋_GB2312"/>
          <w:color w:val="333333"/>
          <w:kern w:val="0"/>
          <w:sz w:val="31"/>
          <w:szCs w:val="31"/>
        </w:rPr>
        <w:t xml:space="preserve">十五、政府购买服务预算表 </w:t>
      </w:r>
    </w:p>
    <w:p>
      <w:pPr>
        <w:widowControl/>
        <w:jc w:val="left"/>
        <w:rPr>
          <w:rFonts w:ascii="仿宋_GB2312" w:hAnsi="宋体" w:eastAsia="仿宋_GB2312" w:cs="仿宋_GB2312"/>
          <w:color w:val="333333"/>
          <w:kern w:val="0"/>
          <w:sz w:val="31"/>
          <w:szCs w:val="31"/>
        </w:rPr>
      </w:pPr>
      <w:r>
        <w:rPr>
          <w:rFonts w:hint="eastAsia" w:ascii="仿宋_GB2312" w:hAnsi="宋体" w:eastAsia="仿宋_GB2312" w:cs="仿宋_GB2312"/>
          <w:color w:val="333333"/>
          <w:kern w:val="0"/>
          <w:sz w:val="31"/>
          <w:szCs w:val="31"/>
        </w:rPr>
        <w:t>十六、</w:t>
      </w:r>
      <w:r>
        <w:rPr>
          <w:rFonts w:ascii="仿宋_GB2312" w:hAnsi="宋体" w:eastAsia="仿宋_GB2312" w:cs="仿宋_GB2312"/>
          <w:color w:val="333333"/>
          <w:kern w:val="0"/>
          <w:sz w:val="31"/>
          <w:szCs w:val="31"/>
        </w:rPr>
        <w:t>政府采购预算表</w:t>
      </w:r>
    </w:p>
    <w:p>
      <w:pPr>
        <w:widowControl/>
        <w:jc w:val="left"/>
        <w:rPr>
          <w:rFonts w:ascii="仿宋_GB2312" w:hAnsi="宋体" w:eastAsia="仿宋_GB2312" w:cs="仿宋_GB2312"/>
          <w:color w:val="333333"/>
          <w:kern w:val="0"/>
          <w:sz w:val="31"/>
          <w:szCs w:val="31"/>
        </w:rPr>
      </w:pPr>
      <w:r>
        <w:rPr>
          <w:rFonts w:hint="eastAsia" w:ascii="仿宋_GB2312" w:hAnsi="宋体" w:eastAsia="仿宋_GB2312" w:cs="仿宋_GB2312"/>
          <w:color w:val="333333"/>
          <w:kern w:val="0"/>
          <w:sz w:val="31"/>
          <w:szCs w:val="31"/>
        </w:rPr>
        <w:t>十七、</w:t>
      </w:r>
      <w:r>
        <w:rPr>
          <w:rFonts w:ascii="仿宋_GB2312" w:hAnsi="宋体" w:eastAsia="仿宋_GB2312" w:cs="仿宋_GB2312"/>
          <w:color w:val="333333"/>
          <w:kern w:val="0"/>
          <w:sz w:val="31"/>
          <w:szCs w:val="31"/>
        </w:rPr>
        <w:t>国有资产配置预算表</w:t>
      </w:r>
    </w:p>
    <w:p>
      <w:pPr>
        <w:pStyle w:val="2"/>
        <w:rPr>
          <w:rFonts w:ascii="仿宋_GB2312" w:cs="仿宋_GB2312"/>
          <w:color w:val="333333"/>
          <w:kern w:val="0"/>
          <w:sz w:val="31"/>
          <w:szCs w:val="31"/>
          <w:lang w:val="en-US"/>
        </w:rPr>
      </w:pPr>
      <w:r>
        <w:rPr>
          <w:rFonts w:hint="eastAsia" w:ascii="仿宋_GB2312" w:cs="仿宋_GB2312"/>
          <w:color w:val="333333"/>
          <w:kern w:val="0"/>
          <w:sz w:val="31"/>
          <w:szCs w:val="31"/>
          <w:lang w:val="en-US"/>
        </w:rPr>
        <w:t>十八、项目支出绩效表</w:t>
      </w:r>
    </w:p>
    <w:p>
      <w:pPr>
        <w:widowControl/>
        <w:jc w:val="left"/>
        <w:rPr>
          <w:rFonts w:ascii="仿宋_GB2312" w:hAnsi="宋体" w:eastAsia="仿宋_GB2312" w:cs="仿宋_GB2312"/>
          <w:color w:val="333333"/>
          <w:kern w:val="0"/>
          <w:sz w:val="31"/>
          <w:szCs w:val="31"/>
        </w:rPr>
      </w:pPr>
      <w:r>
        <w:rPr>
          <w:rFonts w:hint="eastAsia" w:ascii="仿宋_GB2312" w:cs="仿宋_GB2312"/>
          <w:color w:val="333333"/>
          <w:kern w:val="0"/>
          <w:sz w:val="31"/>
          <w:szCs w:val="31"/>
        </w:rPr>
        <w:t>十九、</w:t>
      </w:r>
      <w:r>
        <w:rPr>
          <w:rFonts w:ascii="仿宋_GB2312" w:hAnsi="宋体" w:eastAsia="仿宋_GB2312" w:cs="仿宋_GB2312"/>
          <w:color w:val="333333"/>
          <w:kern w:val="0"/>
          <w:sz w:val="31"/>
          <w:szCs w:val="31"/>
        </w:rPr>
        <w:t>2023年部门整体绩效目标表</w:t>
      </w:r>
    </w:p>
    <w:p>
      <w:pPr>
        <w:pStyle w:val="2"/>
        <w:rPr>
          <w:rFonts w:ascii="仿宋_GB2312" w:cs="仿宋_GB2312"/>
          <w:color w:val="333333"/>
          <w:kern w:val="0"/>
          <w:sz w:val="31"/>
          <w:szCs w:val="31"/>
          <w:lang w:val="en-US"/>
        </w:rPr>
      </w:pPr>
    </w:p>
    <w:p>
      <w:pPr>
        <w:rPr>
          <w:lang w:bidi="zh-CN"/>
        </w:rPr>
      </w:pPr>
    </w:p>
    <w:p>
      <w:pPr>
        <w:rPr>
          <w:lang w:bidi="zh-CN"/>
        </w:rPr>
      </w:pPr>
    </w:p>
    <w:p>
      <w:pPr>
        <w:rPr>
          <w:lang w:bidi="zh-CN"/>
        </w:rPr>
      </w:pPr>
    </w:p>
    <w:p>
      <w:pPr>
        <w:rPr>
          <w:lang w:bidi="zh-CN"/>
        </w:rPr>
      </w:pPr>
    </w:p>
    <w:p>
      <w:pPr>
        <w:rPr>
          <w:lang w:bidi="zh-CN"/>
        </w:rPr>
      </w:pPr>
    </w:p>
    <w:p>
      <w:pPr>
        <w:rPr>
          <w:lang w:bidi="zh-CN"/>
        </w:rPr>
      </w:pPr>
    </w:p>
    <w:p>
      <w:pPr>
        <w:rPr>
          <w:lang w:bidi="zh-CN"/>
        </w:rPr>
      </w:pPr>
    </w:p>
    <w:p>
      <w:pPr>
        <w:rPr>
          <w:lang w:bidi="zh-CN"/>
        </w:rPr>
      </w:pPr>
    </w:p>
    <w:p>
      <w:pPr>
        <w:rPr>
          <w:lang w:bidi="zh-CN"/>
        </w:rPr>
      </w:pPr>
    </w:p>
    <w:p>
      <w:pPr>
        <w:rPr>
          <w:lang w:bidi="zh-CN"/>
        </w:rPr>
      </w:pPr>
    </w:p>
    <w:p>
      <w:pPr>
        <w:rPr>
          <w:lang w:bidi="zh-CN"/>
        </w:rPr>
      </w:pPr>
    </w:p>
    <w:p>
      <w:pPr>
        <w:rPr>
          <w:lang w:bidi="zh-CN"/>
        </w:rPr>
      </w:pPr>
    </w:p>
    <w:p>
      <w:pPr>
        <w:spacing w:line="600" w:lineRule="exact"/>
        <w:outlineLvl w:val="0"/>
        <w:rPr>
          <w:rFonts w:ascii="黑体" w:eastAsia="黑体"/>
          <w:sz w:val="32"/>
          <w:szCs w:val="32"/>
        </w:rPr>
      </w:pPr>
      <w:r>
        <w:rPr>
          <w:rFonts w:hint="eastAsia" w:ascii="黑体" w:eastAsia="黑体"/>
          <w:sz w:val="32"/>
          <w:szCs w:val="32"/>
        </w:rPr>
        <w:t>附件1</w:t>
      </w:r>
    </w:p>
    <w:p>
      <w:pPr>
        <w:spacing w:line="600" w:lineRule="exact"/>
        <w:jc w:val="center"/>
        <w:outlineLvl w:val="0"/>
        <w:rPr>
          <w:rFonts w:ascii="方正小标宋简体" w:eastAsia="方正小标宋简体"/>
          <w:sz w:val="44"/>
          <w:szCs w:val="44"/>
        </w:rPr>
      </w:pPr>
      <w:r>
        <w:rPr>
          <w:rFonts w:hint="eastAsia" w:ascii="方正小标宋简体" w:eastAsia="方正小标宋简体"/>
          <w:sz w:val="44"/>
          <w:szCs w:val="44"/>
        </w:rPr>
        <w:t>关于峨眉山市文化体育和旅游局          20</w:t>
      </w:r>
      <w:r>
        <w:rPr>
          <w:rFonts w:ascii="方正小标宋简体" w:eastAsia="方正小标宋简体"/>
          <w:sz w:val="44"/>
          <w:szCs w:val="44"/>
        </w:rPr>
        <w:t>23</w:t>
      </w:r>
      <w:r>
        <w:rPr>
          <w:rFonts w:hint="eastAsia" w:ascii="方正小标宋简体" w:eastAsia="方正小标宋简体"/>
          <w:sz w:val="44"/>
          <w:szCs w:val="44"/>
        </w:rPr>
        <w:t>年预算编制的说明</w:t>
      </w:r>
    </w:p>
    <w:p>
      <w:pPr>
        <w:spacing w:line="600" w:lineRule="exact"/>
        <w:ind w:firstLine="640" w:firstLineChars="200"/>
        <w:rPr>
          <w:rFonts w:ascii="仿宋_GB2312" w:eastAsia="仿宋_GB2312"/>
          <w:sz w:val="32"/>
          <w:szCs w:val="32"/>
        </w:rPr>
      </w:pPr>
    </w:p>
    <w:p>
      <w:pPr>
        <w:spacing w:line="600" w:lineRule="exact"/>
        <w:ind w:firstLine="640" w:firstLineChars="200"/>
        <w:rPr>
          <w:rFonts w:ascii="仿宋_GB2312" w:eastAsia="仿宋_GB2312"/>
          <w:sz w:val="32"/>
          <w:szCs w:val="32"/>
        </w:rPr>
      </w:pPr>
      <w:r>
        <w:rPr>
          <w:rFonts w:hint="eastAsia" w:ascii="仿宋_GB2312" w:eastAsia="仿宋_GB2312"/>
          <w:sz w:val="32"/>
          <w:szCs w:val="32"/>
        </w:rPr>
        <w:t>按照预算管理有关规定，目前部门及单位预算编制实行综合预算制度，即全部收入和支出都反映在预算中。</w:t>
      </w:r>
    </w:p>
    <w:p>
      <w:pPr>
        <w:spacing w:line="600" w:lineRule="exact"/>
        <w:ind w:firstLine="640" w:firstLineChars="200"/>
        <w:outlineLvl w:val="1"/>
        <w:rPr>
          <w:rFonts w:ascii="黑体" w:eastAsia="黑体"/>
          <w:sz w:val="32"/>
          <w:szCs w:val="32"/>
        </w:rPr>
      </w:pPr>
      <w:r>
        <w:rPr>
          <w:rFonts w:hint="eastAsia" w:ascii="黑体" w:eastAsia="黑体"/>
          <w:sz w:val="32"/>
          <w:szCs w:val="32"/>
        </w:rPr>
        <w:t>一、基本职能及主要工作</w:t>
      </w:r>
    </w:p>
    <w:p>
      <w:pPr>
        <w:spacing w:line="600" w:lineRule="exact"/>
        <w:ind w:firstLine="640" w:firstLineChars="200"/>
        <w:rPr>
          <w:rFonts w:hint="eastAsia"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lang w:val="en-US" w:eastAsia="zh-CN"/>
        </w:rPr>
        <w:t>1、</w:t>
      </w:r>
      <w:r>
        <w:rPr>
          <w:rFonts w:hint="eastAsia" w:ascii="楷体_GB2312" w:hAnsi="楷体_GB2312" w:eastAsia="楷体_GB2312" w:cs="楷体_GB2312"/>
          <w:sz w:val="32"/>
          <w:szCs w:val="32"/>
          <w:highlight w:val="none"/>
          <w:lang w:eastAsia="zh-CN"/>
        </w:rPr>
        <w:t>基本</w:t>
      </w:r>
      <w:r>
        <w:rPr>
          <w:rFonts w:hint="eastAsia" w:ascii="楷体_GB2312" w:hAnsi="楷体_GB2312" w:eastAsia="楷体_GB2312" w:cs="楷体_GB2312"/>
          <w:sz w:val="32"/>
          <w:szCs w:val="32"/>
          <w:highlight w:val="none"/>
        </w:rPr>
        <w:t>职能</w:t>
      </w:r>
    </w:p>
    <w:p>
      <w:pPr>
        <w:snapToGrid w:val="0"/>
        <w:spacing w:line="520" w:lineRule="exact"/>
        <w:ind w:firstLine="640" w:firstLineChars="200"/>
        <w:rPr>
          <w:rFonts w:hint="eastAsia" w:ascii="仿宋_GB2312" w:hAnsi="仿宋" w:eastAsia="仿宋_GB2312"/>
          <w:sz w:val="32"/>
          <w:szCs w:val="32"/>
          <w:highlight w:val="none"/>
        </w:rPr>
      </w:pPr>
      <w:r>
        <w:rPr>
          <w:rFonts w:hint="eastAsia" w:ascii="仿宋_GB2312" w:hAnsi="仿宋" w:eastAsia="仿宋_GB2312"/>
          <w:sz w:val="32"/>
          <w:szCs w:val="32"/>
          <w:highlight w:val="none"/>
        </w:rPr>
        <w:t>(一)拟订文化、体育、旅游、广播电视、文物保护相关的政策措施和规范性文件并组织实施，负责本部门依法行政工作。</w:t>
      </w:r>
    </w:p>
    <w:p>
      <w:pPr>
        <w:snapToGrid w:val="0"/>
        <w:spacing w:line="520" w:lineRule="exact"/>
        <w:ind w:firstLine="640" w:firstLineChars="200"/>
        <w:rPr>
          <w:rFonts w:hint="eastAsia" w:ascii="仿宋_GB2312" w:hAnsi="仿宋" w:eastAsia="仿宋_GB2312"/>
          <w:sz w:val="32"/>
          <w:szCs w:val="32"/>
          <w:highlight w:val="none"/>
        </w:rPr>
      </w:pPr>
      <w:r>
        <w:rPr>
          <w:rFonts w:hint="eastAsia" w:ascii="仿宋_GB2312" w:hAnsi="仿宋" w:eastAsia="仿宋_GB2312"/>
          <w:sz w:val="32"/>
          <w:szCs w:val="32"/>
          <w:highlight w:val="none"/>
        </w:rPr>
        <w:t>(二)组织推动全市文化事业、文化产业、体育事业、体育产业、旅游业、广播电视、文物保护业发展，研究解决发展中的问题并提出政策建议，拟订发展规划并组织实施;推进文化、体育、旅游和广播电视体制机制改革落实。</w:t>
      </w:r>
    </w:p>
    <w:p>
      <w:pPr>
        <w:snapToGrid w:val="0"/>
        <w:spacing w:line="520" w:lineRule="exact"/>
        <w:ind w:firstLine="640" w:firstLineChars="200"/>
        <w:rPr>
          <w:rFonts w:hint="eastAsia" w:ascii="仿宋_GB2312" w:hAnsi="仿宋" w:eastAsia="仿宋_GB2312"/>
          <w:sz w:val="32"/>
          <w:szCs w:val="32"/>
          <w:highlight w:val="none"/>
        </w:rPr>
      </w:pPr>
      <w:r>
        <w:rPr>
          <w:rFonts w:hint="eastAsia" w:ascii="仿宋_GB2312" w:hAnsi="仿宋" w:eastAsia="仿宋_GB2312"/>
          <w:sz w:val="32"/>
          <w:szCs w:val="32"/>
          <w:highlight w:val="none"/>
        </w:rPr>
        <w:t>(三)管理全市重大文化、体育、旅游、广播电视活动，指导全市重点文化、体育、旅游、广播电视、文物设施建设，组织全市文化和旅游整体形象推广，制定旅游市场开发战略并组织实施，推进全域旅游。</w:t>
      </w:r>
    </w:p>
    <w:p>
      <w:pPr>
        <w:snapToGrid w:val="0"/>
        <w:spacing w:line="520" w:lineRule="exact"/>
        <w:ind w:firstLine="640" w:firstLineChars="200"/>
        <w:rPr>
          <w:rFonts w:hint="eastAsia" w:ascii="仿宋_GB2312" w:hAnsi="仿宋" w:eastAsia="仿宋_GB2312"/>
          <w:sz w:val="32"/>
          <w:szCs w:val="32"/>
          <w:highlight w:val="none"/>
        </w:rPr>
      </w:pPr>
      <w:r>
        <w:rPr>
          <w:rFonts w:hint="eastAsia" w:ascii="仿宋_GB2312" w:hAnsi="仿宋" w:eastAsia="仿宋_GB2312"/>
          <w:sz w:val="32"/>
          <w:szCs w:val="32"/>
          <w:highlight w:val="none"/>
        </w:rPr>
        <w:t>(四)推进文化和旅游融合发展，推动文化作品创作和旅游产品开发，促进文化和旅游产业深度融合。</w:t>
      </w:r>
    </w:p>
    <w:p>
      <w:pPr>
        <w:snapToGrid w:val="0"/>
        <w:spacing w:line="520" w:lineRule="exact"/>
        <w:ind w:firstLine="640" w:firstLineChars="200"/>
        <w:rPr>
          <w:rFonts w:hint="eastAsia" w:ascii="仿宋_GB2312" w:hAnsi="仿宋" w:eastAsia="仿宋_GB2312"/>
          <w:sz w:val="32"/>
          <w:szCs w:val="32"/>
          <w:highlight w:val="none"/>
        </w:rPr>
      </w:pPr>
      <w:r>
        <w:rPr>
          <w:rFonts w:hint="eastAsia" w:ascii="仿宋_GB2312" w:hAnsi="仿宋" w:eastAsia="仿宋_GB2312"/>
          <w:sz w:val="32"/>
          <w:szCs w:val="32"/>
          <w:highlight w:val="none"/>
        </w:rPr>
        <w:t>(五)指导管理文艺事业，推动艺术创作生产，扶持体现社会主义核心价值观、具有导向性代表性示范性的文艺作品，推动各门类艺术、各艺术品种发展，推动中华优秀传统文化和地方特色文化传承发展。</w:t>
      </w:r>
    </w:p>
    <w:p>
      <w:pPr>
        <w:snapToGrid w:val="0"/>
        <w:spacing w:line="520" w:lineRule="exact"/>
        <w:ind w:firstLine="640" w:firstLineChars="200"/>
        <w:rPr>
          <w:rFonts w:hint="eastAsia" w:ascii="仿宋_GB2312" w:hAnsi="仿宋" w:eastAsia="仿宋_GB2312"/>
          <w:sz w:val="32"/>
          <w:szCs w:val="32"/>
          <w:highlight w:val="none"/>
        </w:rPr>
      </w:pPr>
      <w:r>
        <w:rPr>
          <w:rFonts w:hint="eastAsia" w:ascii="仿宋_GB2312" w:hAnsi="仿宋" w:eastAsia="仿宋_GB2312"/>
          <w:sz w:val="32"/>
          <w:szCs w:val="32"/>
          <w:highlight w:val="none"/>
        </w:rPr>
        <w:t>(六)负责公共文化、体育事业发展，推进全市公共文化服务体系建设、旅游公共服务建设、多元化体育服务体系建设，深入实施文化惠民工程，统筹推进基本公共文化服务标准化、均等</w:t>
      </w:r>
    </w:p>
    <w:p>
      <w:pPr>
        <w:snapToGrid w:val="0"/>
        <w:spacing w:line="520" w:lineRule="exact"/>
        <w:ind w:firstLine="640" w:firstLineChars="200"/>
        <w:rPr>
          <w:rFonts w:hint="eastAsia" w:ascii="仿宋_GB2312" w:hAnsi="仿宋" w:eastAsia="仿宋_GB2312"/>
          <w:sz w:val="32"/>
          <w:szCs w:val="32"/>
          <w:highlight w:val="none"/>
        </w:rPr>
      </w:pPr>
      <w:r>
        <w:rPr>
          <w:rFonts w:hint="eastAsia" w:ascii="仿宋_GB2312" w:hAnsi="仿宋" w:eastAsia="仿宋_GB2312"/>
          <w:sz w:val="32"/>
          <w:szCs w:val="32"/>
          <w:highlight w:val="none"/>
        </w:rPr>
        <w:t>(七)拟订全市体育产业发展政策，培育和管理体育市场，发展体育产业，监督指导高危险性体育项目经营和体育竞赛表演活动;指导全市体育场馆规划建设、维修改造及开发工作;规范体育服务管理，推动体育标准化建设;负责协调指导全市体育彩票销售工作。</w:t>
      </w:r>
    </w:p>
    <w:p>
      <w:pPr>
        <w:snapToGrid w:val="0"/>
        <w:spacing w:line="520" w:lineRule="exact"/>
        <w:ind w:firstLine="640" w:firstLineChars="200"/>
        <w:rPr>
          <w:rFonts w:hint="eastAsia" w:ascii="仿宋_GB2312" w:hAnsi="仿宋" w:eastAsia="仿宋_GB2312"/>
          <w:sz w:val="32"/>
          <w:szCs w:val="32"/>
          <w:highlight w:val="none"/>
        </w:rPr>
      </w:pPr>
      <w:r>
        <w:rPr>
          <w:rFonts w:hint="eastAsia" w:ascii="仿宋_GB2312" w:hAnsi="仿宋" w:eastAsia="仿宋_GB2312"/>
          <w:sz w:val="32"/>
          <w:szCs w:val="32"/>
          <w:highlight w:val="none"/>
        </w:rPr>
        <w:t>(八)统筹规划全市群众体育发展，负责推行全民健身计划，监督实施国家体育锻炼标准，推动全市国民体质监测和社会体育指导工作队伍制度建设，指导公共体育设施建设，负责对公共体育设施的监督管理。</w:t>
      </w:r>
    </w:p>
    <w:p>
      <w:pPr>
        <w:snapToGrid w:val="0"/>
        <w:spacing w:line="520" w:lineRule="exact"/>
        <w:ind w:firstLine="640" w:firstLineChars="200"/>
        <w:rPr>
          <w:rFonts w:hint="eastAsia" w:ascii="仿宋_GB2312" w:hAnsi="仿宋" w:eastAsia="仿宋_GB2312"/>
          <w:sz w:val="32"/>
          <w:szCs w:val="32"/>
          <w:highlight w:val="none"/>
        </w:rPr>
      </w:pPr>
      <w:r>
        <w:rPr>
          <w:rFonts w:hint="eastAsia" w:ascii="仿宋_GB2312" w:hAnsi="仿宋" w:eastAsia="仿宋_GB2312"/>
          <w:sz w:val="32"/>
          <w:szCs w:val="32"/>
          <w:highlight w:val="none"/>
        </w:rPr>
        <w:t>(九)统筹规划全市竞技体育发展，指导体育训练、体育竞赛和运动员队伍建设，组织、承办和协调市级及以上综合性运动会和体育竞赛，协调运动员社会保障工作;统筹规划全市青少年体育发展，指导和推进青少年体育工作，规划、指导全市业余训练工作;指导实施国家学生体质健康测试工作。指导全市体育科研、技术攻关和成果推广工作;负责组织、监督全市体育运动中的赛风赛纪和反兴奋剂工作。</w:t>
      </w:r>
    </w:p>
    <w:p>
      <w:pPr>
        <w:snapToGrid w:val="0"/>
        <w:spacing w:line="520" w:lineRule="exact"/>
        <w:ind w:firstLine="640" w:firstLineChars="200"/>
        <w:rPr>
          <w:rFonts w:hint="eastAsia" w:ascii="仿宋_GB2312" w:hAnsi="仿宋" w:eastAsia="仿宋_GB2312"/>
          <w:sz w:val="32"/>
          <w:szCs w:val="32"/>
          <w:highlight w:val="none"/>
        </w:rPr>
      </w:pPr>
      <w:r>
        <w:rPr>
          <w:rFonts w:hint="eastAsia" w:ascii="仿宋_GB2312" w:hAnsi="仿宋" w:eastAsia="仿宋_GB2312"/>
          <w:sz w:val="32"/>
          <w:szCs w:val="32"/>
          <w:highlight w:val="none"/>
        </w:rPr>
        <w:t>(十)推进文化、旅游和广播电视科技创新发展，推进文化和旅游行业信息化、标准化、规范化建设。</w:t>
      </w:r>
    </w:p>
    <w:p>
      <w:pPr>
        <w:snapToGrid w:val="0"/>
        <w:spacing w:line="520" w:lineRule="exact"/>
        <w:ind w:firstLine="640" w:firstLineChars="200"/>
        <w:rPr>
          <w:rFonts w:hint="eastAsia" w:ascii="仿宋_GB2312" w:hAnsi="仿宋" w:eastAsia="仿宋_GB2312"/>
          <w:sz w:val="32"/>
          <w:szCs w:val="32"/>
          <w:highlight w:val="none"/>
        </w:rPr>
      </w:pPr>
      <w:r>
        <w:rPr>
          <w:rFonts w:hint="eastAsia" w:ascii="仿宋_GB2312" w:hAnsi="仿宋" w:eastAsia="仿宋_GB2312"/>
          <w:sz w:val="32"/>
          <w:szCs w:val="32"/>
          <w:highlight w:val="none"/>
        </w:rPr>
        <w:t>(十一)负责非物质文化遗产保护，推动非物质文化遗产的保护、传承、普及、弘扬和振兴。</w:t>
      </w:r>
    </w:p>
    <w:p>
      <w:pPr>
        <w:snapToGrid w:val="0"/>
        <w:spacing w:line="520" w:lineRule="exact"/>
        <w:ind w:firstLine="640" w:firstLineChars="200"/>
        <w:rPr>
          <w:rFonts w:hint="eastAsia" w:ascii="仿宋_GB2312" w:hAnsi="仿宋" w:eastAsia="仿宋_GB2312"/>
          <w:sz w:val="32"/>
          <w:szCs w:val="32"/>
          <w:highlight w:val="none"/>
        </w:rPr>
      </w:pPr>
      <w:r>
        <w:rPr>
          <w:rFonts w:hint="eastAsia" w:ascii="仿宋_GB2312" w:hAnsi="仿宋" w:eastAsia="仿宋_GB2312"/>
          <w:sz w:val="32"/>
          <w:szCs w:val="32"/>
          <w:highlight w:val="none"/>
        </w:rPr>
        <w:t>(十二)组织实施文化和旅游资源普查、挖掘、保护与利用工作，促进文化产业和旅游产业发展。</w:t>
      </w:r>
    </w:p>
    <w:p>
      <w:pPr>
        <w:snapToGrid w:val="0"/>
        <w:spacing w:line="520" w:lineRule="exact"/>
        <w:ind w:firstLine="640" w:firstLineChars="200"/>
        <w:rPr>
          <w:rFonts w:hint="eastAsia" w:ascii="仿宋_GB2312" w:hAnsi="仿宋" w:eastAsia="仿宋_GB2312"/>
          <w:sz w:val="32"/>
          <w:szCs w:val="32"/>
          <w:highlight w:val="none"/>
        </w:rPr>
      </w:pPr>
      <w:r>
        <w:rPr>
          <w:rFonts w:hint="eastAsia" w:ascii="仿宋_GB2312" w:hAnsi="仿宋" w:eastAsia="仿宋_GB2312"/>
          <w:sz w:val="32"/>
          <w:szCs w:val="32"/>
          <w:highlight w:val="none"/>
        </w:rPr>
        <w:t>(十三)指导文化旅游和广播电视市场发展，对市场经营进行行业监管，推进文化旅游和广播电视行业信用体系建设，依法规范文化旅游和广播电视市场。</w:t>
      </w:r>
    </w:p>
    <w:p>
      <w:pPr>
        <w:snapToGrid w:val="0"/>
        <w:spacing w:line="520" w:lineRule="exact"/>
        <w:ind w:firstLine="640" w:firstLineChars="200"/>
        <w:rPr>
          <w:rFonts w:hint="eastAsia" w:ascii="仿宋_GB2312" w:hAnsi="仿宋" w:eastAsia="仿宋_GB2312"/>
          <w:sz w:val="32"/>
          <w:szCs w:val="32"/>
          <w:highlight w:val="none"/>
        </w:rPr>
      </w:pPr>
      <w:r>
        <w:rPr>
          <w:rFonts w:hint="eastAsia" w:ascii="仿宋_GB2312" w:hAnsi="仿宋" w:eastAsia="仿宋_GB2312"/>
          <w:sz w:val="32"/>
          <w:szCs w:val="32"/>
          <w:highlight w:val="none"/>
        </w:rPr>
        <w:t>(十四)拟订文化和旅游市场经营场所、设施、服务、产品等标准并监督实施。监督管理旅游市场秩序、旅游服务质量。指导全市文化旅游市场综合执法，维护市场秩序。</w:t>
      </w:r>
    </w:p>
    <w:p>
      <w:pPr>
        <w:snapToGrid w:val="0"/>
        <w:spacing w:line="520" w:lineRule="exact"/>
        <w:ind w:firstLine="640" w:firstLineChars="200"/>
        <w:rPr>
          <w:rFonts w:hint="eastAsia" w:ascii="仿宋_GB2312" w:hAnsi="仿宋" w:eastAsia="仿宋_GB2312"/>
          <w:sz w:val="32"/>
          <w:szCs w:val="32"/>
          <w:highlight w:val="none"/>
        </w:rPr>
      </w:pPr>
      <w:r>
        <w:rPr>
          <w:rFonts w:hint="eastAsia" w:ascii="仿宋_GB2312" w:hAnsi="仿宋" w:eastAsia="仿宋_GB2312"/>
          <w:sz w:val="32"/>
          <w:szCs w:val="32"/>
          <w:highlight w:val="none"/>
        </w:rPr>
        <w:t>(十五)负责管理文化、体育、旅游、广播电视和文物对外交流合作与宣传推广工作。组织大型文化、体育、旅游、广播电视、文物对外交流活动。</w:t>
      </w:r>
    </w:p>
    <w:p>
      <w:pPr>
        <w:snapToGrid w:val="0"/>
        <w:spacing w:line="520" w:lineRule="exact"/>
        <w:ind w:firstLine="640" w:firstLineChars="200"/>
        <w:rPr>
          <w:rFonts w:hint="eastAsia" w:ascii="仿宋_GB2312" w:hAnsi="仿宋" w:eastAsia="仿宋_GB2312"/>
          <w:sz w:val="32"/>
          <w:szCs w:val="32"/>
          <w:highlight w:val="none"/>
        </w:rPr>
      </w:pPr>
      <w:r>
        <w:rPr>
          <w:rFonts w:hint="eastAsia" w:ascii="仿宋_GB2312" w:hAnsi="仿宋" w:eastAsia="仿宋_GB2312"/>
          <w:sz w:val="32"/>
          <w:szCs w:val="32"/>
          <w:highlight w:val="none"/>
        </w:rPr>
        <w:t>(十六)指导、协调全市性重大广播电视宣传活动，组织实施广播电视节目评价工作。监督管理、审查广播电视和网络视听节目的内容及质量。指导、监督广播电视广告播放。</w:t>
      </w:r>
    </w:p>
    <w:p>
      <w:pPr>
        <w:snapToGrid w:val="0"/>
        <w:spacing w:line="520" w:lineRule="exact"/>
        <w:ind w:firstLine="640" w:firstLineChars="200"/>
        <w:rPr>
          <w:rFonts w:hint="eastAsia" w:ascii="仿宋_GB2312" w:hAnsi="仿宋" w:eastAsia="仿宋_GB2312"/>
          <w:sz w:val="32"/>
          <w:szCs w:val="32"/>
          <w:highlight w:val="none"/>
        </w:rPr>
      </w:pPr>
      <w:r>
        <w:rPr>
          <w:rFonts w:hint="eastAsia" w:ascii="仿宋_GB2312" w:hAnsi="仿宋" w:eastAsia="仿宋_GB2312"/>
          <w:sz w:val="32"/>
          <w:szCs w:val="32"/>
          <w:highlight w:val="none"/>
        </w:rPr>
        <w:t>(十七)拟订全市广播电视科技发展规划，指导、监督实施行业技术标准。负责广播电视节目传输覆盖、监测和安全播出的监督管理，指导、推进应急广播体系建设。推进广播电视与新媒体新技术新业态融合发展，推进广电网与电信网、互联网三网融合。</w:t>
      </w:r>
    </w:p>
    <w:p>
      <w:pPr>
        <w:snapToGrid w:val="0"/>
        <w:spacing w:line="520" w:lineRule="exact"/>
        <w:ind w:firstLine="640" w:firstLineChars="200"/>
        <w:rPr>
          <w:rFonts w:hint="eastAsia" w:ascii="仿宋_GB2312" w:hAnsi="仿宋" w:eastAsia="仿宋_GB2312"/>
          <w:sz w:val="32"/>
          <w:szCs w:val="32"/>
          <w:highlight w:val="none"/>
        </w:rPr>
      </w:pPr>
      <w:r>
        <w:rPr>
          <w:rFonts w:hint="eastAsia" w:ascii="仿宋_GB2312" w:hAnsi="仿宋" w:eastAsia="仿宋_GB2312"/>
          <w:sz w:val="32"/>
          <w:szCs w:val="32"/>
          <w:highlight w:val="none"/>
        </w:rPr>
        <w:t>(十八)管理和指导全市文物保护利用与考古工作。组织文物资源调查。组织遴选、申报市级以上文物保护单位。组织协调重大文物保护、考古项目的实施。协调、指导基本建设涉及文物保护相关工作。组织指导文物保护宣传工作。承担文物进出境有关工作。协调、指导和监督全市文物安全工作。履行文物行政督察职责。</w:t>
      </w:r>
    </w:p>
    <w:p>
      <w:pPr>
        <w:snapToGrid w:val="0"/>
        <w:spacing w:line="520" w:lineRule="exact"/>
        <w:ind w:firstLine="640" w:firstLineChars="200"/>
        <w:rPr>
          <w:rFonts w:hint="eastAsia" w:ascii="仿宋_GB2312" w:hAnsi="仿宋" w:eastAsia="仿宋_GB2312"/>
          <w:sz w:val="32"/>
          <w:szCs w:val="32"/>
          <w:highlight w:val="none"/>
        </w:rPr>
      </w:pPr>
      <w:r>
        <w:rPr>
          <w:rFonts w:hint="eastAsia" w:ascii="仿宋_GB2312" w:hAnsi="仿宋" w:eastAsia="仿宋_GB2312"/>
          <w:sz w:val="32"/>
          <w:szCs w:val="32"/>
          <w:highlight w:val="none"/>
        </w:rPr>
        <w:t>(十九)负责组织文化遗产、历史文化名城(镇、村)的申报和监督管理工作。</w:t>
      </w:r>
    </w:p>
    <w:p>
      <w:pPr>
        <w:snapToGrid w:val="0"/>
        <w:spacing w:line="520" w:lineRule="exact"/>
        <w:ind w:firstLine="640" w:firstLineChars="200"/>
        <w:rPr>
          <w:rFonts w:hint="eastAsia" w:ascii="仿宋_GB2312" w:hAnsi="仿宋" w:eastAsia="仿宋_GB2312"/>
          <w:sz w:val="32"/>
          <w:szCs w:val="32"/>
          <w:highlight w:val="none"/>
        </w:rPr>
      </w:pPr>
      <w:r>
        <w:rPr>
          <w:rFonts w:hint="eastAsia" w:ascii="仿宋_GB2312" w:hAnsi="仿宋" w:eastAsia="仿宋_GB2312"/>
          <w:sz w:val="32"/>
          <w:szCs w:val="32"/>
          <w:highlight w:val="none"/>
        </w:rPr>
        <w:t>(二十)推动完善全市文物和博物馆公共服务体系建设。指导博物馆建设管理和社会文物管理工作。组织指导文物和博物馆，领域重大科研项目、科技保护、标准化建设。推动文物和博物馆领域装备技术提升。</w:t>
      </w:r>
    </w:p>
    <w:p>
      <w:pPr>
        <w:snapToGrid w:val="0"/>
        <w:spacing w:line="520" w:lineRule="exact"/>
        <w:ind w:firstLine="640" w:firstLineChars="200"/>
        <w:rPr>
          <w:rFonts w:hint="eastAsia" w:ascii="仿宋_GB2312" w:hAnsi="仿宋" w:eastAsia="仿宋_GB2312"/>
          <w:sz w:val="32"/>
          <w:szCs w:val="32"/>
          <w:highlight w:val="none"/>
        </w:rPr>
      </w:pPr>
      <w:r>
        <w:rPr>
          <w:rFonts w:hint="eastAsia" w:ascii="仿宋_GB2312" w:hAnsi="仿宋" w:eastAsia="仿宋_GB2312"/>
          <w:sz w:val="32"/>
          <w:szCs w:val="32"/>
          <w:highlight w:val="none"/>
        </w:rPr>
        <w:t>(二十一)负责职责范围内的安全生产和职业健康、生态环境保护、审批服务便民化等工作。</w:t>
      </w:r>
    </w:p>
    <w:p>
      <w:pPr>
        <w:snapToGrid w:val="0"/>
        <w:spacing w:line="520" w:lineRule="exact"/>
        <w:ind w:firstLine="640" w:firstLineChars="200"/>
        <w:rPr>
          <w:rFonts w:hint="eastAsia" w:ascii="仿宋_GB2312" w:hAnsi="仿宋" w:eastAsia="仿宋_GB2312"/>
          <w:sz w:val="32"/>
          <w:szCs w:val="32"/>
          <w:highlight w:val="none"/>
        </w:rPr>
      </w:pPr>
      <w:r>
        <w:rPr>
          <w:rFonts w:hint="eastAsia" w:ascii="仿宋_GB2312" w:hAnsi="仿宋" w:eastAsia="仿宋_GB2312"/>
          <w:sz w:val="32"/>
          <w:szCs w:val="32"/>
          <w:highlight w:val="none"/>
        </w:rPr>
        <w:t>(二十二)完成市委、市政府交办的其他工作。</w:t>
      </w:r>
    </w:p>
    <w:p>
      <w:pPr>
        <w:snapToGrid w:val="0"/>
        <w:spacing w:line="520" w:lineRule="exact"/>
        <w:ind w:firstLine="640" w:firstLineChars="200"/>
        <w:rPr>
          <w:rFonts w:hint="eastAsia" w:ascii="仿宋_GB2312" w:hAnsi="仿宋" w:eastAsia="仿宋_GB2312"/>
          <w:sz w:val="32"/>
          <w:szCs w:val="32"/>
          <w:highlight w:val="none"/>
        </w:rPr>
      </w:pPr>
      <w:r>
        <w:rPr>
          <w:rFonts w:hint="eastAsia" w:ascii="仿宋_GB2312" w:hAnsi="仿宋" w:eastAsia="仿宋_GB2312"/>
          <w:sz w:val="32"/>
          <w:szCs w:val="32"/>
          <w:highlight w:val="none"/>
        </w:rPr>
        <w:t>(二十三)职能转变。</w:t>
      </w:r>
    </w:p>
    <w:p>
      <w:pPr>
        <w:snapToGrid w:val="0"/>
        <w:spacing w:line="520" w:lineRule="exact"/>
        <w:ind w:firstLine="640" w:firstLineChars="200"/>
        <w:rPr>
          <w:rFonts w:hint="eastAsia" w:ascii="仿宋_GB2312" w:hAnsi="仿宋" w:eastAsia="仿宋_GB2312"/>
          <w:sz w:val="32"/>
          <w:szCs w:val="32"/>
          <w:highlight w:val="none"/>
        </w:rPr>
      </w:pPr>
      <w:r>
        <w:rPr>
          <w:rFonts w:hint="eastAsia" w:ascii="仿宋_GB2312" w:hAnsi="仿宋" w:eastAsia="仿宋_GB2312"/>
          <w:sz w:val="32"/>
          <w:szCs w:val="32"/>
          <w:highlight w:val="none"/>
        </w:rPr>
        <w:t>1.以人民对美好生活的向往为引导，统筹推进文化事业、文化产业和旅游业融合发展。用好文化创意、科技创新和社会投资等新动能，促进文化和旅游与相关产业融合发展。坚持“生态立市、文旅兴市、产业强市”发展战略，突出“文旅主导”地位，加快建设世界重要旅游目的地核心区。</w:t>
      </w:r>
    </w:p>
    <w:p>
      <w:pPr>
        <w:snapToGrid w:val="0"/>
        <w:spacing w:line="520" w:lineRule="exact"/>
        <w:ind w:firstLine="640" w:firstLineChars="200"/>
        <w:rPr>
          <w:rFonts w:hint="eastAsia" w:ascii="仿宋_GB2312" w:hAnsi="仿宋" w:eastAsia="仿宋_GB2312"/>
          <w:sz w:val="32"/>
          <w:szCs w:val="32"/>
          <w:highlight w:val="none"/>
        </w:rPr>
      </w:pPr>
      <w:r>
        <w:rPr>
          <w:rFonts w:hint="eastAsia" w:ascii="仿宋_GB2312" w:hAnsi="仿宋" w:eastAsia="仿宋_GB2312"/>
          <w:sz w:val="32"/>
          <w:szCs w:val="32"/>
          <w:highlight w:val="none"/>
        </w:rPr>
        <w:t>2.统筹推进承担行政职能的事业单位改革，市文物管理局不再承担相关行政职责,交由市文体旅游局机关有关内设机构承担。</w:t>
      </w:r>
    </w:p>
    <w:p>
      <w:pPr>
        <w:snapToGrid w:val="0"/>
        <w:spacing w:line="520" w:lineRule="exact"/>
        <w:ind w:firstLine="640" w:firstLineChars="200"/>
        <w:rPr>
          <w:rFonts w:hint="eastAsia" w:ascii="仿宋_GB2312" w:hAnsi="仿宋" w:eastAsia="仿宋_GB2312"/>
          <w:sz w:val="32"/>
          <w:szCs w:val="32"/>
          <w:highlight w:val="none"/>
        </w:rPr>
      </w:pPr>
      <w:r>
        <w:rPr>
          <w:rFonts w:hint="eastAsia" w:ascii="仿宋_GB2312" w:hAnsi="仿宋" w:eastAsia="仿宋_GB2312"/>
          <w:sz w:val="32"/>
          <w:szCs w:val="32"/>
          <w:highlight w:val="none"/>
        </w:rPr>
        <w:t>(二十四)有关职责分工。</w:t>
      </w:r>
    </w:p>
    <w:p>
      <w:pPr>
        <w:spacing w:line="600" w:lineRule="exact"/>
        <w:ind w:firstLine="640" w:firstLineChars="200"/>
        <w:rPr>
          <w:rFonts w:hint="eastAsia" w:ascii="楷体_GB2312" w:hAnsi="楷体_GB2312" w:eastAsia="楷体_GB2312" w:cs="楷体_GB2312"/>
          <w:sz w:val="32"/>
          <w:szCs w:val="32"/>
          <w:highlight w:val="yellow"/>
        </w:rPr>
      </w:pPr>
      <w:r>
        <w:rPr>
          <w:rFonts w:hint="eastAsia" w:ascii="仿宋_GB2312" w:hAnsi="仿宋" w:eastAsia="仿宋_GB2312"/>
          <w:sz w:val="32"/>
          <w:szCs w:val="32"/>
          <w:highlight w:val="none"/>
        </w:rPr>
        <w:t>与市商务局有关职责分工。市商务局负责住宿业的行业管理。市文体旅游局负责星级酒店、星级农家乐、精品民宿的日常管理和安全监督管理。</w:t>
      </w:r>
    </w:p>
    <w:p>
      <w:pPr>
        <w:spacing w:line="600" w:lineRule="exact"/>
        <w:ind w:firstLine="640" w:firstLineChars="200"/>
        <w:rPr>
          <w:rFonts w:hint="eastAsia"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lang w:val="en-US" w:eastAsia="zh-CN"/>
        </w:rPr>
        <w:t>2、</w:t>
      </w:r>
      <w:r>
        <w:rPr>
          <w:rFonts w:hint="eastAsia" w:ascii="楷体_GB2312" w:hAnsi="楷体_GB2312" w:eastAsia="楷体_GB2312" w:cs="楷体_GB2312"/>
          <w:sz w:val="32"/>
          <w:szCs w:val="32"/>
          <w:highlight w:val="none"/>
        </w:rPr>
        <w:t>2023年</w:t>
      </w:r>
      <w:r>
        <w:rPr>
          <w:rFonts w:hint="eastAsia" w:ascii="楷体_GB2312" w:hAnsi="楷体_GB2312" w:eastAsia="楷体_GB2312" w:cs="楷体_GB2312"/>
          <w:sz w:val="32"/>
          <w:szCs w:val="32"/>
          <w:highlight w:val="none"/>
          <w:lang w:eastAsia="zh-CN"/>
        </w:rPr>
        <w:t>主要</w:t>
      </w:r>
      <w:r>
        <w:rPr>
          <w:rFonts w:hint="eastAsia" w:ascii="楷体_GB2312" w:hAnsi="楷体_GB2312" w:eastAsia="楷体_GB2312" w:cs="楷体_GB2312"/>
          <w:sz w:val="32"/>
          <w:szCs w:val="32"/>
          <w:highlight w:val="none"/>
        </w:rPr>
        <w:t>工作任务</w:t>
      </w:r>
    </w:p>
    <w:p>
      <w:pPr>
        <w:spacing w:line="600" w:lineRule="exact"/>
        <w:ind w:firstLine="640" w:firstLineChars="200"/>
        <w:rPr>
          <w:rFonts w:hint="eastAsia" w:ascii="仿宋_GB2312" w:hAnsi="仿宋_GB2312" w:eastAsia="仿宋_GB2312" w:cs="仿宋_GB2312"/>
          <w:sz w:val="32"/>
          <w:szCs w:val="32"/>
        </w:rPr>
      </w:pPr>
      <w:r>
        <w:rPr>
          <w:rFonts w:hint="eastAsia" w:ascii="楷体_GB2312" w:hAnsi="宋体" w:eastAsia="楷体_GB2312"/>
          <w:bCs/>
          <w:sz w:val="32"/>
          <w:szCs w:val="32"/>
        </w:rPr>
        <w:t>（一）持续推进重点项目建设。</w:t>
      </w:r>
      <w:r>
        <w:rPr>
          <w:rFonts w:hint="eastAsia" w:ascii="仿宋_GB2312" w:hAnsi="仿宋_GB2312" w:eastAsia="仿宋_GB2312" w:cs="仿宋_GB2312"/>
          <w:sz w:val="32"/>
          <w:szCs w:val="32"/>
        </w:rPr>
        <w:t>全力推进悦榕庄酒店、冰雪大世界和</w:t>
      </w:r>
      <w:r>
        <w:rPr>
          <w:rFonts w:hint="eastAsia" w:ascii="仿宋_GB2312" w:hAnsi="仿宋_GB2312" w:eastAsia="仿宋_GB2312" w:cs="仿宋_GB2312"/>
          <w:bCs/>
          <w:sz w:val="32"/>
          <w:szCs w:val="32"/>
        </w:rPr>
        <w:t>太阳谷国际旅游康养度假区</w:t>
      </w:r>
      <w:r>
        <w:rPr>
          <w:rFonts w:hint="eastAsia" w:ascii="仿宋_GB2312" w:hAnsi="仿宋_GB2312" w:eastAsia="仿宋_GB2312" w:cs="仿宋_GB2312"/>
          <w:sz w:val="32"/>
          <w:szCs w:val="32"/>
        </w:rPr>
        <w:t>3个“挂图作战”项目。</w:t>
      </w:r>
    </w:p>
    <w:p>
      <w:pPr>
        <w:pStyle w:val="2"/>
        <w:spacing w:line="600" w:lineRule="exact"/>
        <w:ind w:firstLine="640"/>
        <w:rPr>
          <w:rFonts w:hint="eastAsia" w:ascii="仿宋_GB2312" w:hAnsi="仿宋_GB2312" w:eastAsia="仿宋_GB2312" w:cs="仿宋_GB2312"/>
          <w:sz w:val="32"/>
          <w:szCs w:val="32"/>
        </w:rPr>
      </w:pPr>
      <w:r>
        <w:rPr>
          <w:rFonts w:hint="eastAsia" w:ascii="楷体_GB2312" w:hAnsi="宋体" w:eastAsia="楷体_GB2312"/>
          <w:bCs/>
          <w:sz w:val="32"/>
          <w:szCs w:val="32"/>
        </w:rPr>
        <w:t>（</w:t>
      </w:r>
      <w:r>
        <w:rPr>
          <w:rFonts w:hint="eastAsia" w:ascii="楷体_GB2312" w:hAnsi="宋体" w:eastAsia="楷体_GB2312"/>
          <w:bCs/>
          <w:sz w:val="32"/>
          <w:szCs w:val="32"/>
          <w:lang w:val="en-US" w:eastAsia="zh-CN"/>
        </w:rPr>
        <w:t>二</w:t>
      </w:r>
      <w:r>
        <w:rPr>
          <w:rFonts w:hint="eastAsia" w:ascii="楷体_GB2312" w:hAnsi="宋体" w:eastAsia="楷体_GB2312"/>
          <w:bCs/>
          <w:sz w:val="32"/>
          <w:szCs w:val="32"/>
        </w:rPr>
        <w:t>）持续做好峨秀湖国家级旅游度假区提升。</w:t>
      </w:r>
      <w:r>
        <w:rPr>
          <w:rFonts w:hint="eastAsia" w:ascii="仿宋_GB2312" w:hAnsi="仿宋_GB2312" w:eastAsia="仿宋_GB2312" w:cs="仿宋_GB2312"/>
          <w:sz w:val="32"/>
          <w:szCs w:val="32"/>
        </w:rPr>
        <w:t>开展度假区调研摸底、专家指导，形成提升方案，提升度假服务和度假业态。</w:t>
      </w:r>
    </w:p>
    <w:p>
      <w:pPr>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hint="eastAsia" w:ascii="仿宋_GB2312" w:hAnsi="仿宋_GB2312" w:eastAsia="仿宋_GB2312" w:cs="仿宋_GB2312"/>
          <w:sz w:val="32"/>
          <w:szCs w:val="32"/>
        </w:rPr>
      </w:pPr>
      <w:r>
        <w:rPr>
          <w:rFonts w:hint="eastAsia" w:ascii="楷体_GB2312" w:hAnsi="宋体" w:eastAsia="楷体_GB2312"/>
          <w:bCs/>
          <w:sz w:val="32"/>
          <w:szCs w:val="32"/>
        </w:rPr>
        <w:t>（</w:t>
      </w:r>
      <w:r>
        <w:rPr>
          <w:rFonts w:hint="eastAsia" w:ascii="楷体_GB2312" w:hAnsi="宋体" w:eastAsia="楷体_GB2312"/>
          <w:bCs/>
          <w:sz w:val="32"/>
          <w:szCs w:val="32"/>
          <w:lang w:val="en-US" w:eastAsia="zh-CN"/>
        </w:rPr>
        <w:t>三</w:t>
      </w:r>
      <w:r>
        <w:rPr>
          <w:rFonts w:hint="eastAsia" w:ascii="楷体_GB2312" w:hAnsi="宋体" w:eastAsia="楷体_GB2312" w:cs="Times New Roman"/>
          <w:bCs/>
          <w:sz w:val="32"/>
          <w:szCs w:val="32"/>
        </w:rPr>
        <w:t>）继续办好</w:t>
      </w:r>
      <w:r>
        <w:rPr>
          <w:rFonts w:hint="eastAsia" w:ascii="楷体_GB2312" w:hAnsi="宋体" w:eastAsia="楷体_GB2312"/>
          <w:bCs/>
          <w:sz w:val="32"/>
          <w:szCs w:val="32"/>
        </w:rPr>
        <w:t>第十届四川国际旅游交易博览会。</w:t>
      </w:r>
      <w:r>
        <w:rPr>
          <w:rFonts w:hint="eastAsia" w:ascii="仿宋_GB2312" w:hAnsi="仿宋_GB2312" w:eastAsia="仿宋_GB2312" w:cs="仿宋_GB2312"/>
          <w:sz w:val="32"/>
          <w:szCs w:val="32"/>
        </w:rPr>
        <w:t>按照乐山市下达任务，继续配合做好第十届旅博会筹备工作。</w:t>
      </w:r>
    </w:p>
    <w:p>
      <w:pPr>
        <w:spacing w:line="600" w:lineRule="exact"/>
        <w:ind w:firstLine="640" w:firstLineChars="200"/>
        <w:jc w:val="left"/>
        <w:rPr>
          <w:rFonts w:ascii="仿宋_GB2312" w:hAnsi="宋体" w:eastAsia="仿宋_GB2312"/>
          <w:sz w:val="32"/>
          <w:szCs w:val="32"/>
        </w:rPr>
      </w:pPr>
      <w:r>
        <w:rPr>
          <w:rFonts w:hint="eastAsia" w:ascii="楷体_GB2312" w:hAnsi="宋体" w:eastAsia="楷体_GB2312" w:cs="Times New Roman"/>
          <w:bCs/>
          <w:kern w:val="2"/>
          <w:sz w:val="32"/>
          <w:szCs w:val="32"/>
          <w:lang w:val="en-US" w:eastAsia="zh-CN" w:bidi="ar-SA"/>
        </w:rPr>
        <w:t>（四）持续做好旅游营销和统计工作。</w:t>
      </w:r>
      <w:r>
        <w:rPr>
          <w:rFonts w:hint="eastAsia" w:ascii="仿宋_GB2312" w:hAnsi="仿宋_GB2312" w:eastAsia="仿宋_GB2312" w:cs="仿宋_GB2312"/>
          <w:sz w:val="32"/>
          <w:szCs w:val="32"/>
        </w:rPr>
        <w:t>继续做好全市下半年“聚人气促复苏”文旅营销活动后续工作，做好上海站、西安等重点客源城市营销推介工作。</w:t>
      </w:r>
      <w:r>
        <w:rPr>
          <w:rFonts w:hint="eastAsia" w:ascii="仿宋_GB2312" w:eastAsia="仿宋_GB2312"/>
          <w:sz w:val="32"/>
          <w:szCs w:val="32"/>
        </w:rPr>
        <w:t>继续发挥网络平台的优势，加大对官博等线上平台的内容输出</w:t>
      </w:r>
      <w:r>
        <w:rPr>
          <w:rFonts w:hint="eastAsia" w:ascii="仿宋_GB2312" w:eastAsia="仿宋_GB2312"/>
          <w:sz w:val="32"/>
          <w:szCs w:val="32"/>
          <w:lang w:eastAsia="zh-CN"/>
        </w:rPr>
        <w:t>，</w:t>
      </w:r>
      <w:r>
        <w:rPr>
          <w:rFonts w:hint="eastAsia" w:ascii="仿宋_GB2312" w:hAnsi="仿宋_GB2312" w:eastAsia="仿宋_GB2312" w:cs="仿宋_GB2312"/>
          <w:sz w:val="32"/>
          <w:szCs w:val="32"/>
          <w:lang w:val="en-US" w:eastAsia="zh-CN"/>
        </w:rPr>
        <w:t>牢牢抓住“线上”“云端”等新市场</w:t>
      </w:r>
      <w:r>
        <w:rPr>
          <w:rFonts w:hint="eastAsia" w:ascii="仿宋_GB2312" w:eastAsia="仿宋_GB2312"/>
          <w:sz w:val="32"/>
          <w:szCs w:val="32"/>
        </w:rPr>
        <w:t>。完成常规化的下半年假日旅游统计和抽样调查工作。</w:t>
      </w:r>
    </w:p>
    <w:p>
      <w:pPr>
        <w:spacing w:line="600" w:lineRule="exact"/>
        <w:ind w:firstLine="640" w:firstLineChars="200"/>
        <w:rPr>
          <w:rFonts w:ascii="仿宋_GB2312" w:hAnsi="仿宋_GB2312" w:eastAsia="仿宋_GB2312" w:cs="仿宋_GB2312"/>
          <w:sz w:val="32"/>
          <w:szCs w:val="32"/>
        </w:rPr>
      </w:pPr>
      <w:r>
        <w:rPr>
          <w:rFonts w:hint="eastAsia" w:ascii="楷体_GB2312" w:hAnsi="宋体" w:eastAsia="楷体_GB2312"/>
          <w:bCs/>
          <w:sz w:val="32"/>
          <w:szCs w:val="32"/>
        </w:rPr>
        <w:t>（</w:t>
      </w:r>
      <w:r>
        <w:rPr>
          <w:rFonts w:hint="eastAsia" w:ascii="楷体_GB2312" w:hAnsi="宋体" w:eastAsia="楷体_GB2312"/>
          <w:bCs/>
          <w:sz w:val="32"/>
          <w:szCs w:val="32"/>
          <w:lang w:val="en-US" w:eastAsia="zh-CN"/>
        </w:rPr>
        <w:t>五</w:t>
      </w:r>
      <w:r>
        <w:rPr>
          <w:rFonts w:hint="eastAsia" w:ascii="楷体_GB2312" w:hAnsi="宋体" w:eastAsia="楷体_GB2312"/>
          <w:bCs/>
          <w:sz w:val="32"/>
          <w:szCs w:val="32"/>
        </w:rPr>
        <w:t>）有序推进全国文旅市场信用经济试点建设。</w:t>
      </w:r>
      <w:r>
        <w:rPr>
          <w:rFonts w:hint="eastAsia" w:ascii="仿宋_GB2312" w:hAnsi="仿宋_GB2312" w:eastAsia="仿宋_GB2312" w:cs="仿宋_GB2312"/>
          <w:sz w:val="32"/>
          <w:szCs w:val="32"/>
        </w:rPr>
        <w:t>景城一体，会同第三方机构，</w:t>
      </w:r>
      <w:r>
        <w:rPr>
          <w:rFonts w:hint="eastAsia" w:ascii="仿宋_GB2312" w:hAnsi="仿宋_GB2312" w:eastAsia="仿宋_GB2312" w:cs="仿宋_GB2312"/>
          <w:bCs/>
          <w:sz w:val="32"/>
          <w:szCs w:val="32"/>
        </w:rPr>
        <w:t>引导峨眉山景区为代表的4A级以上景区、特色餐饮门店、星级和高品质酒店、交通运输企业、文创商店、文博场馆、演艺场所，对游客推出“先游后付”“无押住宿”，让来峨游客在“吃住行游购娱”全链条场景中体验基于信用的优惠政策</w:t>
      </w:r>
      <w:r>
        <w:rPr>
          <w:rFonts w:hint="eastAsia" w:ascii="仿宋_GB2312" w:hAnsi="仿宋_GB2312" w:eastAsia="仿宋_GB2312" w:cs="仿宋_GB2312"/>
          <w:bCs/>
          <w:sz w:val="32"/>
          <w:szCs w:val="32"/>
          <w:lang w:eastAsia="zh-CN"/>
        </w:rPr>
        <w:t>，准备</w:t>
      </w:r>
      <w:r>
        <w:rPr>
          <w:rFonts w:hint="eastAsia" w:ascii="仿宋_GB2312" w:hAnsi="仿宋_GB2312" w:eastAsia="仿宋_GB2312" w:cs="仿宋_GB2312"/>
          <w:bCs/>
          <w:sz w:val="32"/>
          <w:szCs w:val="32"/>
        </w:rPr>
        <w:t>迎接国家文旅部验收。</w:t>
      </w:r>
    </w:p>
    <w:p>
      <w:pPr>
        <w:spacing w:line="600" w:lineRule="exact"/>
        <w:ind w:firstLine="640" w:firstLineChars="200"/>
        <w:rPr>
          <w:rFonts w:ascii="仿宋_GB2312" w:eastAsia="仿宋_GB2312"/>
          <w:sz w:val="32"/>
          <w:szCs w:val="32"/>
        </w:rPr>
      </w:pPr>
      <w:r>
        <w:rPr>
          <w:rFonts w:hint="eastAsia" w:ascii="楷体_GB2312" w:hAnsi="宋体" w:eastAsia="楷体_GB2312"/>
          <w:bCs/>
          <w:sz w:val="32"/>
          <w:szCs w:val="32"/>
        </w:rPr>
        <w:t>（</w:t>
      </w:r>
      <w:r>
        <w:rPr>
          <w:rFonts w:hint="eastAsia" w:ascii="楷体_GB2312" w:hAnsi="宋体" w:eastAsia="楷体_GB2312"/>
          <w:bCs/>
          <w:sz w:val="32"/>
          <w:szCs w:val="32"/>
          <w:lang w:val="en-US" w:eastAsia="zh-CN"/>
        </w:rPr>
        <w:t>六</w:t>
      </w:r>
      <w:r>
        <w:rPr>
          <w:rFonts w:hint="eastAsia" w:ascii="楷体_GB2312" w:hAnsi="宋体" w:eastAsia="楷体_GB2312"/>
          <w:bCs/>
          <w:sz w:val="32"/>
          <w:szCs w:val="32"/>
        </w:rPr>
        <w:t>）持续提升公共文化服务水平。</w:t>
      </w:r>
      <w:r>
        <w:rPr>
          <w:rFonts w:hint="eastAsia" w:ascii="仿宋_GB2312" w:hAnsi="仿宋_GB2312" w:eastAsia="仿宋_GB2312" w:cs="仿宋_GB2312"/>
          <w:bCs/>
          <w:sz w:val="32"/>
          <w:szCs w:val="32"/>
        </w:rPr>
        <w:t>扎实做好国家公共文化服务体系示范区创新发展复核工作；加快推进全市应急广播体系建设项目和四川省智慧广电项目；推进大庙飞来殿文化展示工程。</w:t>
      </w:r>
    </w:p>
    <w:p>
      <w:pPr>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hint="default"/>
          <w:lang w:val="en-US" w:eastAsia="zh-CN"/>
        </w:rPr>
      </w:pPr>
      <w:r>
        <w:rPr>
          <w:rFonts w:hint="eastAsia" w:ascii="楷体_GB2312" w:hAnsi="宋体" w:eastAsia="楷体_GB2312" w:cs="Times New Roman"/>
          <w:bCs/>
          <w:sz w:val="32"/>
          <w:szCs w:val="32"/>
        </w:rPr>
        <w:t>（</w:t>
      </w:r>
      <w:r>
        <w:rPr>
          <w:rFonts w:hint="eastAsia" w:ascii="楷体_GB2312" w:hAnsi="宋体" w:eastAsia="楷体_GB2312" w:cs="Times New Roman"/>
          <w:bCs/>
          <w:sz w:val="32"/>
          <w:szCs w:val="32"/>
          <w:lang w:val="en-US" w:eastAsia="zh-CN"/>
        </w:rPr>
        <w:t>七</w:t>
      </w:r>
      <w:r>
        <w:rPr>
          <w:rFonts w:hint="eastAsia" w:ascii="楷体_GB2312" w:hAnsi="宋体" w:eastAsia="楷体_GB2312" w:cs="Times New Roman"/>
          <w:bCs/>
          <w:sz w:val="32"/>
          <w:szCs w:val="32"/>
        </w:rPr>
        <w:t>）</w:t>
      </w:r>
      <w:r>
        <w:rPr>
          <w:rFonts w:hint="eastAsia" w:ascii="楷体_GB2312" w:hAnsi="宋体" w:eastAsia="楷体_GB2312" w:cs="Times New Roman"/>
          <w:bCs/>
          <w:sz w:val="32"/>
          <w:szCs w:val="32"/>
          <w:lang w:val="en-US" w:eastAsia="zh-CN"/>
        </w:rPr>
        <w:t>常态化办好系列国际国内赛事活动。</w:t>
      </w:r>
      <w:r>
        <w:rPr>
          <w:rFonts w:hint="eastAsia" w:ascii="仿宋_GB2312" w:hAnsi="仿宋_GB2312" w:eastAsia="仿宋_GB2312" w:cs="仿宋_GB2312"/>
          <w:bCs/>
          <w:sz w:val="32"/>
          <w:szCs w:val="32"/>
          <w:lang w:val="en-US" w:eastAsia="zh-CN"/>
        </w:rPr>
        <w:t>着力办好第九届世界传统武术锦标赛、第七届四川国际峨眉武术节、全国柔术锦标赛、登山节等特色赛事活动，以叠成出新的新业态新产品吸引、留住广大游客。</w:t>
      </w:r>
    </w:p>
    <w:p>
      <w:pPr>
        <w:spacing w:line="600" w:lineRule="exact"/>
        <w:ind w:firstLine="640" w:firstLineChars="200"/>
        <w:jc w:val="left"/>
        <w:rPr>
          <w:rFonts w:hint="eastAsia" w:ascii="仿宋_GB2312" w:hAnsi="仿宋_GB2312" w:eastAsia="仿宋_GB2312" w:cs="仿宋_GB2312"/>
          <w:bCs/>
          <w:sz w:val="32"/>
          <w:szCs w:val="32"/>
        </w:rPr>
      </w:pPr>
      <w:r>
        <w:rPr>
          <w:rFonts w:hint="eastAsia" w:ascii="楷体_GB2312" w:eastAsia="楷体_GB2312"/>
          <w:bCs/>
          <w:sz w:val="32"/>
          <w:szCs w:val="32"/>
          <w:lang w:eastAsia="zh-CN"/>
        </w:rPr>
        <w:t>（八）全面提升旅游服务质量。</w:t>
      </w:r>
      <w:r>
        <w:rPr>
          <w:rFonts w:hint="eastAsia" w:ascii="仿宋_GB2312" w:hAnsi="仿宋_GB2312" w:eastAsia="仿宋_GB2312" w:cs="仿宋_GB2312"/>
          <w:bCs/>
          <w:sz w:val="32"/>
          <w:szCs w:val="32"/>
          <w:lang w:eastAsia="zh-CN"/>
        </w:rPr>
        <w:t>持续做好“心连心旅游服务岗”暖心服务，根据游客需求，提升差异化服务；开展旅游服务质量培训，通过旅游咨询服务点培养具备全域旅游推介能力的高素质讲解员；加强导游队伍建设，建立导游讲解人才库，支持优秀导游参评天府旅游名导；举办旅游服务技能竞赛，发挥优质旅游服务企业示范引导作用；培育企业质量文化，提高旅行社、</w:t>
      </w:r>
      <w:r>
        <w:rPr>
          <w:rFonts w:hint="eastAsia" w:ascii="仿宋_GB2312" w:hAnsi="仿宋_GB2312" w:eastAsia="仿宋_GB2312" w:cs="仿宋_GB2312"/>
          <w:bCs/>
          <w:sz w:val="32"/>
          <w:szCs w:val="32"/>
          <w:lang w:val="en-US" w:eastAsia="zh-CN"/>
        </w:rPr>
        <w:t>A级景区、星级酒店</w:t>
      </w:r>
      <w:r>
        <w:rPr>
          <w:rFonts w:hint="eastAsia" w:ascii="仿宋_GB2312" w:hAnsi="仿宋_GB2312" w:eastAsia="仿宋_GB2312" w:cs="仿宋_GB2312"/>
          <w:bCs/>
          <w:sz w:val="32"/>
          <w:szCs w:val="32"/>
          <w:lang w:eastAsia="zh-CN"/>
        </w:rPr>
        <w:t>旅游管理人员和从业人员质量意识和质量素养，推动旅游企业树立以质取胜发展思维、质量第一的企业文化。</w:t>
      </w:r>
    </w:p>
    <w:p>
      <w:pPr>
        <w:spacing w:line="600" w:lineRule="exact"/>
        <w:ind w:firstLine="640" w:firstLineChars="200"/>
        <w:jc w:val="left"/>
        <w:rPr>
          <w:rFonts w:hint="eastAsia" w:ascii="仿宋_GB2312" w:hAnsi="仿宋_GB2312" w:eastAsia="仿宋_GB2312" w:cs="仿宋_GB2312"/>
          <w:sz w:val="32"/>
          <w:szCs w:val="32"/>
        </w:rPr>
      </w:pPr>
      <w:r>
        <w:rPr>
          <w:rFonts w:hint="eastAsia" w:ascii="楷体_GB2312" w:eastAsia="楷体_GB2312"/>
          <w:bCs/>
          <w:sz w:val="32"/>
          <w:szCs w:val="32"/>
        </w:rPr>
        <w:t>（</w:t>
      </w:r>
      <w:r>
        <w:rPr>
          <w:rFonts w:hint="eastAsia" w:ascii="楷体_GB2312" w:eastAsia="楷体_GB2312"/>
          <w:bCs/>
          <w:sz w:val="32"/>
          <w:szCs w:val="32"/>
          <w:lang w:eastAsia="zh-CN"/>
        </w:rPr>
        <w:t>九</w:t>
      </w:r>
      <w:r>
        <w:rPr>
          <w:rFonts w:hint="eastAsia" w:ascii="楷体_GB2312" w:eastAsia="楷体_GB2312"/>
          <w:bCs/>
          <w:sz w:val="32"/>
          <w:szCs w:val="32"/>
        </w:rPr>
        <w:t>）全力完成市委市政府交办的各项工作任务。</w:t>
      </w:r>
    </w:p>
    <w:p>
      <w:pPr>
        <w:spacing w:line="600" w:lineRule="exact"/>
        <w:ind w:firstLine="640" w:firstLineChars="200"/>
        <w:outlineLvl w:val="1"/>
        <w:rPr>
          <w:rFonts w:ascii="黑体" w:eastAsia="黑体"/>
          <w:sz w:val="32"/>
          <w:szCs w:val="32"/>
        </w:rPr>
      </w:pPr>
      <w:r>
        <w:rPr>
          <w:rFonts w:hint="eastAsia" w:ascii="黑体" w:eastAsia="黑体"/>
          <w:sz w:val="32"/>
          <w:szCs w:val="32"/>
        </w:rPr>
        <w:t>二、部门概况</w:t>
      </w:r>
    </w:p>
    <w:p>
      <w:pPr>
        <w:spacing w:line="60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峨眉山市文化体育和旅游局下属二级预算单位5个，其中行政单位1个，参照公务员法管理的事业单位</w:t>
      </w:r>
      <w:r>
        <w:rPr>
          <w:rFonts w:hint="eastAsia" w:ascii="仿宋_GB2312" w:eastAsia="仿宋_GB2312"/>
          <w:sz w:val="32"/>
          <w:szCs w:val="32"/>
          <w:highlight w:val="none"/>
          <w:lang w:val="en-US" w:eastAsia="zh-CN"/>
        </w:rPr>
        <w:t>1</w:t>
      </w:r>
      <w:r>
        <w:rPr>
          <w:rFonts w:hint="eastAsia" w:ascii="仿宋_GB2312" w:eastAsia="仿宋_GB2312"/>
          <w:sz w:val="32"/>
          <w:szCs w:val="32"/>
          <w:highlight w:val="none"/>
        </w:rPr>
        <w:t>个，其他事业单位</w:t>
      </w:r>
      <w:r>
        <w:rPr>
          <w:rFonts w:hint="eastAsia" w:ascii="仿宋_GB2312" w:eastAsia="仿宋_GB2312"/>
          <w:sz w:val="32"/>
          <w:szCs w:val="32"/>
          <w:highlight w:val="none"/>
          <w:lang w:val="en-US" w:eastAsia="zh-CN"/>
        </w:rPr>
        <w:t>3</w:t>
      </w:r>
      <w:r>
        <w:rPr>
          <w:rFonts w:hint="eastAsia" w:ascii="仿宋_GB2312" w:eastAsia="仿宋_GB2312"/>
          <w:sz w:val="32"/>
          <w:szCs w:val="32"/>
          <w:highlight w:val="none"/>
        </w:rPr>
        <w:t>个。主要包括：峨眉山市文化体育和旅游局、峨眉山市文化馆、峨眉山市图书馆、峨眉山市博物馆、峨眉山市体育发展中心等。</w:t>
      </w:r>
    </w:p>
    <w:p>
      <w:pPr>
        <w:spacing w:line="600" w:lineRule="exact"/>
        <w:ind w:firstLine="640" w:firstLineChars="200"/>
        <w:outlineLvl w:val="1"/>
        <w:rPr>
          <w:rFonts w:ascii="黑体" w:eastAsia="黑体"/>
          <w:sz w:val="32"/>
          <w:szCs w:val="32"/>
        </w:rPr>
      </w:pPr>
      <w:r>
        <w:rPr>
          <w:rFonts w:hint="eastAsia" w:ascii="黑体" w:eastAsia="黑体"/>
          <w:sz w:val="32"/>
          <w:szCs w:val="32"/>
        </w:rPr>
        <w:t>三、收支预算总体情况</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按照综合预算的原则， 峨眉山市文化体育和旅游局所有收入和支出均纳入预算管理。</w:t>
      </w:r>
      <w:r>
        <w:rPr>
          <w:rFonts w:ascii="仿宋_GB2312" w:eastAsia="仿宋_GB2312"/>
          <w:sz w:val="32"/>
          <w:szCs w:val="32"/>
        </w:rPr>
        <w:t>2023</w:t>
      </w:r>
      <w:r>
        <w:rPr>
          <w:rFonts w:hint="eastAsia" w:ascii="仿宋_GB2312" w:eastAsia="仿宋_GB2312"/>
          <w:sz w:val="32"/>
          <w:szCs w:val="32"/>
        </w:rPr>
        <w:t>年峨眉山市文化体育和旅游局收入预算总额为3903.98万元，较上年预算数增加1992.62万元。其中：当年财政拨款收入2851.80万元，事业收入0万元，其他收入0万元，上年结转结余1052.18万元。相应安排支出预算3903.98万元，其中：人员支出1066.79万元，日常公用支出161.00万元，对个人和家庭的补助支出24.14万元，专项支出2652.05万元。</w:t>
      </w:r>
    </w:p>
    <w:p>
      <w:pPr>
        <w:spacing w:line="600" w:lineRule="exact"/>
        <w:ind w:firstLine="640" w:firstLineChars="200"/>
        <w:outlineLvl w:val="1"/>
        <w:rPr>
          <w:rFonts w:ascii="黑体" w:eastAsia="黑体"/>
          <w:sz w:val="32"/>
          <w:szCs w:val="32"/>
        </w:rPr>
      </w:pPr>
      <w:r>
        <w:rPr>
          <w:rFonts w:hint="eastAsia" w:ascii="黑体" w:eastAsia="黑体"/>
          <w:sz w:val="32"/>
          <w:szCs w:val="32"/>
        </w:rPr>
        <w:t>四、财政拨款支出预算安排情况</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峨眉山市文化体育和旅游局</w:t>
      </w:r>
      <w:r>
        <w:rPr>
          <w:rFonts w:ascii="仿宋_GB2312" w:eastAsia="仿宋_GB2312"/>
          <w:sz w:val="32"/>
          <w:szCs w:val="32"/>
        </w:rPr>
        <w:t>2023</w:t>
      </w:r>
      <w:r>
        <w:rPr>
          <w:rFonts w:hint="eastAsia" w:ascii="仿宋_GB2312" w:eastAsia="仿宋_GB2312"/>
          <w:sz w:val="32"/>
          <w:szCs w:val="32"/>
        </w:rPr>
        <w:t>年财政拨款收支总预算3903.98万元，主要用于保障峨眉山市文化体育和旅游局机构正常运转、完成日常工作任务以及</w:t>
      </w:r>
      <w:r>
        <w:rPr>
          <w:rFonts w:hint="eastAsia" w:ascii="仿宋_GB2312" w:eastAsia="仿宋_GB2312"/>
          <w:sz w:val="32"/>
          <w:szCs w:val="32"/>
          <w:highlight w:val="none"/>
          <w:lang w:eastAsia="zh-CN"/>
        </w:rPr>
        <w:t>全市文体旅相关事业项目工作</w:t>
      </w:r>
      <w:r>
        <w:rPr>
          <w:rFonts w:hint="eastAsia" w:ascii="仿宋_GB2312" w:eastAsia="仿宋_GB2312"/>
          <w:sz w:val="32"/>
          <w:szCs w:val="32"/>
        </w:rPr>
        <w:t>。其中：</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基本支出1251.93万元，是用于保障峨眉山市文化体育和旅游局正常运转的日常支出，包括基本工资、津贴补贴等人员经费以及办公费、印刷费、水电费、办公设备购置等日常公用经费。</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项目支出2652.05万元，是用于保障峨眉山市文化体育和旅游局为完成特定的行政工作任务或事业发展目标，用于专项业务工作的经费支出。</w:t>
      </w:r>
    </w:p>
    <w:p>
      <w:pPr>
        <w:spacing w:line="600" w:lineRule="exact"/>
        <w:ind w:firstLine="640" w:firstLineChars="200"/>
        <w:outlineLvl w:val="1"/>
        <w:rPr>
          <w:rFonts w:ascii="黑体" w:eastAsia="黑体"/>
          <w:sz w:val="32"/>
          <w:szCs w:val="32"/>
        </w:rPr>
      </w:pPr>
      <w:r>
        <w:rPr>
          <w:rFonts w:hint="eastAsia" w:ascii="黑体" w:eastAsia="黑体"/>
          <w:sz w:val="32"/>
          <w:szCs w:val="32"/>
        </w:rPr>
        <w:t>五、一般公共预算当年拨款情况说明</w:t>
      </w:r>
    </w:p>
    <w:p>
      <w:pPr>
        <w:spacing w:line="60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（一）一般公共预算当年拨款规模及变化情况</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峨眉山市文化体育和旅游局</w:t>
      </w:r>
      <w:r>
        <w:rPr>
          <w:rFonts w:ascii="仿宋_GB2312" w:eastAsia="仿宋_GB2312"/>
          <w:sz w:val="32"/>
          <w:szCs w:val="32"/>
        </w:rPr>
        <w:t>2023</w:t>
      </w:r>
      <w:r>
        <w:rPr>
          <w:rFonts w:hint="eastAsia" w:ascii="仿宋_GB2312" w:eastAsia="仿宋_GB2312"/>
          <w:sz w:val="32"/>
          <w:szCs w:val="32"/>
        </w:rPr>
        <w:t>年一般公共预算当年拨款3176.26万元，较上年预算数增加1887.54万元。主要原因是基本支出增加，项目经费增加。</w:t>
      </w:r>
    </w:p>
    <w:p>
      <w:pPr>
        <w:spacing w:line="60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（二）一般公共预算当年拨款结构情况</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文化旅游体育与传媒支出2854.99万元，占89.89%；社会保障和就业支出177.25万元，占5.58%；卫生健康支出47.73万元，占1.50%；住房保障支出96.29万元占3.03%。</w:t>
      </w:r>
    </w:p>
    <w:p>
      <w:pPr>
        <w:spacing w:line="60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（三）一般公共预算当年拨款具体使用情况</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1.文化旅游体育与传媒支出（类）文化和旅游（款）行政运行（项）（2070101），2023年预算数为512.05万元，主要用于：行政单位的基本支出，包括基本工资、津贴补贴（或绩效工资）等人员经费、办公费、印刷费、水电费等日常公用经费及各项目支出。</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2.文化旅游体育与传媒支出（类）文化和旅游（款）图书馆（项）（2070104），2023年预算数为109.08万元，主要用于：公共图书馆的基本支出，包括基本工资、津贴补贴（或绩效工资）等人员经费、办公费、印刷费、水电费等日常公用经费及各项目支出。</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2.文化旅游体育与传媒支出（类）文化和旅游（款）群众文化（项）（2070109），2023年预算数为100.63万元，主要用于：反映群众文化方面的支出，包括基层文化馆（站）、群众艺术馆支出等。</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3.文化旅游体育与传媒支出（类）文化和旅游（款）旅游宣传（项）（2070113），2023年预算数为20.00万元，主要用于：在境内外开展各类旅游宣传促销活动的支出，包括驻外旅游机构宣传费、境外宣传促销费、境内宣传促销费、海外记者及旅行商接待费、旅游宣传品制作费及设备购置费等。</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4.文化旅游体育与传媒支出（类）文化和旅游（款）文化和旅游管理事务（项）（2070114），2023年预算数为44.20万元，主要用于：在文化和旅游管理事务支出。</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5.文化旅游体育与传媒支出（类）文化和旅游（款）其他文化和旅游支出（项）（2070199），2023年预算数为658.50万元，主要用于：其他用于文化和旅游方面的支出。</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7.文化旅游体育与传媒支出（类）文物（款）其他文物支出（项）（2070299），2023年预算数为121.06万元，主要用于其他文物方面的支出，包括基本工资、津贴补贴（或绩效工资）等人员经费、办公费、印刷费、水电费等日常公用经费及各项目支出。</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6.文化旅游体育与传媒支出（类）体育（款）体育竞技（项）（2070305），2023年预算数为160.00万元，主要用于：综合性运动会及单项体育比赛支出。</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7.文化旅游体育与传媒支出（类）体育（款）体育场馆（项）（2070307），2023年预算数为3.26万元，主要用于：体育场馆建设及维护方面的支出。</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8.文化旅游体育与传媒支出（类）体育（款）群众体育（项）（2070308），2023年预算数为155.00万元，主要用于：业余体校和全民健身等群众体育活动方面的支出。</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9.文化旅游体育与传媒支出（类）体育（款）其他体育支出（项）（2070399），2023年预算数为210.13于：除上述项目以外其他用于体育方面的支出。</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10.文化旅游体育与传媒支出（类）广播电视（款）其他广播电视支出（项）（2070899），2023年预算数为750.28万元，主要用于：其他用于广播电视方面的支出。</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11.文化旅游体育与传媒支出（类）其他文化旅游体育与传媒支出（款）其他文化旅游体育与传媒支出（项）（2079999），2023年预算数为10.80万元，主要用于：其他用于文化旅游体育与传媒方面的支出。</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12.社会保障和就业支出（类）行政事业单位养老支出（款）机关事业单位养老保险缴费支出（项）（2080505），2023年预算数为111.84万元，主要用于：机关事业单位实施养老保险制度由单位缴纳的基本养老保险支出。</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 xml:space="preserve">13.社会保障和就业支出（类）行政事业单位养老支出（款）机关事业单位职业年金缴费支出（项）（2080506），2023年预算数为55.92万元，主要用于：机关事业单位实施养老保险制度由单位实际缴纳的职业年金支出 </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14.社会保障和就业支出（类）其他社会保障和就业支出（款）其他社会保障和就业支出（项）（2089999），2023年预算为9.49万元，主要用于：反映除上述项目以外其他用于社会保障和就业方面的支出。</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15.卫生健康支出（类）行政事业单位医疗（款）行政单位医疗（项）（2101101），2023年预算数为21.11万元，主要用于：反映财政部集中安排的行政单位基本医疗保险缴费经费，未参加医疗保险的行政单位的公费医疗经费，按国家规定享受离休人员、红军老战士待遇人员的医疗经费。</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17.卫生健康支出（类）行政事业单位医疗（款）事业单位医疗（项）（2101102），2023年预算数为21.97万元，主要用于：反映财政部集中安排的事业单位基本医疗保险缴费经费，未参加医疗保险的事业单位的公费医疗经费，按国家规定享受离休待遇的医疗经费。</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16.卫生健康支出（</w:t>
      </w:r>
      <w:r>
        <w:rPr>
          <w:rFonts w:hint="eastAsia" w:eastAsia="仿宋_GB2312" w:asciiTheme="minorHAnsi" w:hAnsiTheme="minorHAnsi"/>
          <w:sz w:val="32"/>
          <w:szCs w:val="32"/>
        </w:rPr>
        <w:t>类</w:t>
      </w:r>
      <w:r>
        <w:rPr>
          <w:rFonts w:hint="eastAsia" w:ascii="仿宋_GB2312" w:eastAsia="仿宋_GB2312"/>
          <w:sz w:val="32"/>
          <w:szCs w:val="32"/>
        </w:rPr>
        <w:t>）行政事业单位医疗（款）公务员医疗补助（项）（2101103），2023年预算数为4.65万元，主要用于：机关人员的公务员医疗补助等支出。</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17.住房保障支出（类）住房改革支出（款）住房公积金（项）（2210201），2023年预算数为96.29万元，主要用于：按人力资源和社会保障部、财政部规定的基本工资和津贴补贴以及规定比例为职工缴纳的住房公积金支出。</w:t>
      </w:r>
    </w:p>
    <w:p>
      <w:pPr>
        <w:spacing w:line="600" w:lineRule="exact"/>
        <w:ind w:firstLine="640" w:firstLineChars="200"/>
        <w:outlineLvl w:val="1"/>
        <w:rPr>
          <w:rFonts w:ascii="黑体" w:eastAsia="黑体"/>
          <w:sz w:val="32"/>
          <w:szCs w:val="32"/>
        </w:rPr>
      </w:pPr>
      <w:r>
        <w:rPr>
          <w:rFonts w:hint="eastAsia" w:ascii="黑体" w:eastAsia="黑体"/>
          <w:sz w:val="32"/>
          <w:szCs w:val="32"/>
        </w:rPr>
        <w:t>六、一般公共预算基本支出情况说明</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峨眉山市文化体育和旅游局</w:t>
      </w:r>
      <w:r>
        <w:rPr>
          <w:rFonts w:ascii="仿宋_GB2312" w:eastAsia="仿宋_GB2312"/>
          <w:sz w:val="32"/>
          <w:szCs w:val="32"/>
        </w:rPr>
        <w:t>2023</w:t>
      </w:r>
      <w:r>
        <w:rPr>
          <w:rFonts w:hint="eastAsia" w:ascii="仿宋_GB2312" w:eastAsia="仿宋_GB2312"/>
          <w:sz w:val="32"/>
          <w:szCs w:val="32"/>
        </w:rPr>
        <w:t>年一般公共预算基本支出1251.93万元，其中：</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人员经费1090.93万元，主要包括：基本工资、津贴补贴、绩效工资、奖金、社会保险缴费、住房公积金、生活补助、奖励金、其他对个人和家庭的补助。</w:t>
      </w:r>
    </w:p>
    <w:p>
      <w:pPr>
        <w:spacing w:line="600" w:lineRule="exact"/>
        <w:ind w:firstLine="640" w:firstLineChars="200"/>
        <w:outlineLvl w:val="1"/>
        <w:rPr>
          <w:rFonts w:ascii="仿宋_GB2312" w:eastAsia="仿宋_GB2312"/>
          <w:b/>
          <w:color w:val="FF0000"/>
          <w:sz w:val="32"/>
          <w:szCs w:val="32"/>
        </w:rPr>
      </w:pPr>
      <w:r>
        <w:rPr>
          <w:rFonts w:hint="eastAsia" w:ascii="仿宋_GB2312" w:eastAsia="仿宋_GB2312"/>
          <w:sz w:val="32"/>
          <w:szCs w:val="32"/>
        </w:rPr>
        <w:t>公用经费161.00万元，主要包括：办公费、印刷费、水费、电费、邮电费、差旅费、工会经费、维修（护）费、公务接待费、委托业务费、</w:t>
      </w:r>
    </w:p>
    <w:p>
      <w:pPr>
        <w:spacing w:line="600" w:lineRule="exact"/>
        <w:ind w:firstLine="640" w:firstLineChars="200"/>
        <w:outlineLvl w:val="1"/>
        <w:rPr>
          <w:rFonts w:ascii="黑体" w:eastAsia="黑体"/>
          <w:sz w:val="32"/>
          <w:szCs w:val="32"/>
        </w:rPr>
      </w:pPr>
      <w:r>
        <w:rPr>
          <w:rFonts w:hint="eastAsia" w:ascii="黑体" w:eastAsia="黑体"/>
          <w:sz w:val="32"/>
          <w:szCs w:val="32"/>
        </w:rPr>
        <w:t>七、政府性基金预算支出规模及变化情况说明</w:t>
      </w:r>
    </w:p>
    <w:p>
      <w:pPr>
        <w:spacing w:line="600" w:lineRule="exact"/>
        <w:ind w:firstLine="640" w:firstLineChars="200"/>
        <w:outlineLvl w:val="1"/>
        <w:rPr>
          <w:rFonts w:ascii="仿宋_GB2312" w:eastAsia="仿宋_GB2312"/>
          <w:sz w:val="32"/>
          <w:szCs w:val="32"/>
          <w:highlight w:val="none"/>
        </w:rPr>
      </w:pPr>
      <w:r>
        <w:rPr>
          <w:rFonts w:hint="eastAsia" w:ascii="仿宋_GB2312" w:eastAsia="仿宋_GB2312"/>
          <w:sz w:val="32"/>
          <w:szCs w:val="32"/>
        </w:rPr>
        <w:t>峨眉山市文化体育和旅游局</w:t>
      </w:r>
      <w:r>
        <w:rPr>
          <w:rFonts w:ascii="仿宋_GB2312" w:eastAsia="仿宋_GB2312"/>
          <w:sz w:val="32"/>
          <w:szCs w:val="32"/>
        </w:rPr>
        <w:t>2023</w:t>
      </w:r>
      <w:r>
        <w:rPr>
          <w:rFonts w:hint="eastAsia" w:ascii="仿宋_GB2312" w:eastAsia="仿宋_GB2312"/>
          <w:sz w:val="32"/>
          <w:szCs w:val="32"/>
        </w:rPr>
        <w:t>年政府性基金预算当年拨款727.72万元，较上年预算数增加105.08万元。</w:t>
      </w:r>
      <w:r>
        <w:rPr>
          <w:rFonts w:hint="eastAsia" w:ascii="仿宋_GB2312" w:eastAsia="仿宋_GB2312"/>
          <w:sz w:val="32"/>
          <w:szCs w:val="32"/>
          <w:highlight w:val="none"/>
        </w:rPr>
        <w:t>主要原因是：本年基金类项目增加。</w:t>
      </w:r>
    </w:p>
    <w:p>
      <w:pPr>
        <w:spacing w:line="600" w:lineRule="exact"/>
        <w:ind w:firstLine="640" w:firstLineChars="200"/>
        <w:outlineLvl w:val="1"/>
        <w:rPr>
          <w:rFonts w:ascii="黑体" w:eastAsia="黑体"/>
          <w:sz w:val="32"/>
          <w:szCs w:val="32"/>
        </w:rPr>
      </w:pPr>
      <w:r>
        <w:rPr>
          <w:rFonts w:hint="eastAsia" w:ascii="黑体" w:eastAsia="黑体"/>
          <w:sz w:val="32"/>
          <w:szCs w:val="32"/>
        </w:rPr>
        <w:t>八、“三公”经费预算安排情况说明</w:t>
      </w:r>
    </w:p>
    <w:p>
      <w:pPr>
        <w:spacing w:line="600" w:lineRule="exact"/>
        <w:ind w:firstLine="640" w:firstLineChars="200"/>
        <w:outlineLvl w:val="1"/>
        <w:rPr>
          <w:rFonts w:ascii="楷体_GB2312" w:eastAsia="楷体_GB2312"/>
          <w:sz w:val="32"/>
          <w:szCs w:val="32"/>
        </w:rPr>
      </w:pPr>
      <w:r>
        <w:rPr>
          <w:rFonts w:hint="eastAsia" w:ascii="仿宋_GB2312" w:eastAsia="仿宋_GB2312"/>
          <w:sz w:val="32"/>
          <w:szCs w:val="32"/>
        </w:rPr>
        <w:t>峨眉山市文化体育和旅游局</w:t>
      </w:r>
      <w:r>
        <w:rPr>
          <w:rFonts w:ascii="仿宋_GB2312" w:eastAsia="仿宋_GB2312"/>
          <w:sz w:val="32"/>
          <w:szCs w:val="32"/>
        </w:rPr>
        <w:t>2023</w:t>
      </w:r>
      <w:r>
        <w:rPr>
          <w:rFonts w:hint="eastAsia" w:ascii="仿宋_GB2312" w:eastAsia="仿宋_GB2312"/>
          <w:sz w:val="32"/>
          <w:szCs w:val="32"/>
        </w:rPr>
        <w:t>年“三公”经费预算数7.15万元，较上年“三公”经费预算数增加1.15万元。其中财政拨款安排“三公”经费7.15万元。因公出国（境）经费0万元，公务接待费1.15万元，公务用车购置及运行维护费6万元。</w:t>
      </w:r>
    </w:p>
    <w:p>
      <w:pPr>
        <w:numPr>
          <w:ilvl w:val="0"/>
          <w:numId w:val="1"/>
        </w:numPr>
        <w:spacing w:line="600" w:lineRule="exact"/>
        <w:ind w:firstLine="640" w:firstLineChars="200"/>
        <w:outlineLvl w:val="1"/>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因公出国（境）经费</w:t>
      </w:r>
    </w:p>
    <w:p>
      <w:pPr>
        <w:spacing w:line="600" w:lineRule="exact"/>
        <w:ind w:left="640"/>
        <w:outlineLvl w:val="1"/>
        <w:rPr>
          <w:rFonts w:hint="eastAsia" w:ascii="楷体_GB2312" w:hAnsi="楷体_GB2312" w:eastAsia="楷体_GB2312" w:cs="楷体_GB2312"/>
          <w:sz w:val="32"/>
          <w:szCs w:val="32"/>
        </w:rPr>
      </w:pPr>
      <w:r>
        <w:rPr>
          <w:rFonts w:hint="eastAsia" w:ascii="仿宋_GB2312" w:eastAsia="仿宋_GB2312"/>
          <w:sz w:val="32"/>
          <w:szCs w:val="32"/>
        </w:rPr>
        <w:t xml:space="preserve"> 2023年无因公出国（境）预算。</w:t>
      </w:r>
    </w:p>
    <w:p>
      <w:pPr>
        <w:tabs>
          <w:tab w:val="left" w:pos="567"/>
        </w:tabs>
        <w:spacing w:line="600" w:lineRule="exact"/>
        <w:ind w:left="640"/>
        <w:outlineLvl w:val="1"/>
        <w:rPr>
          <w:rFonts w:ascii="楷体_GB2312" w:hAnsi="楷体_GB2312" w:eastAsia="楷体_GB2312" w:cs="楷体_GB2312"/>
          <w:sz w:val="32"/>
          <w:szCs w:val="32"/>
        </w:rPr>
      </w:pPr>
      <w:r>
        <w:rPr>
          <w:rFonts w:hint="eastAsia" w:ascii="仿宋_GB2312" w:eastAsia="仿宋_GB2312"/>
          <w:sz w:val="32"/>
          <w:szCs w:val="32"/>
        </w:rPr>
        <w:t xml:space="preserve"> </w:t>
      </w:r>
      <w:r>
        <w:rPr>
          <w:rFonts w:ascii="仿宋_GB2312" w:eastAsia="仿宋_GB2312"/>
          <w:sz w:val="32"/>
          <w:szCs w:val="32"/>
        </w:rPr>
        <w:t>2023</w:t>
      </w:r>
      <w:r>
        <w:rPr>
          <w:rFonts w:hint="eastAsia" w:ascii="仿宋_GB2312" w:eastAsia="仿宋_GB2312"/>
          <w:sz w:val="32"/>
          <w:szCs w:val="32"/>
        </w:rPr>
        <w:t>年因公临时出国（境）未安排人次。</w:t>
      </w:r>
    </w:p>
    <w:p>
      <w:pPr>
        <w:numPr>
          <w:ilvl w:val="0"/>
          <w:numId w:val="1"/>
        </w:numPr>
        <w:spacing w:line="600" w:lineRule="exact"/>
        <w:ind w:firstLine="640" w:firstLineChars="200"/>
        <w:outlineLvl w:val="1"/>
        <w:rPr>
          <w:rFonts w:ascii="楷体_GB2312" w:hAnsi="楷体_GB2312" w:eastAsia="楷体_GB2312" w:cs="楷体_GB2312"/>
          <w:sz w:val="32"/>
          <w:szCs w:val="32"/>
        </w:rPr>
      </w:pPr>
      <w:r>
        <w:rPr>
          <w:rFonts w:hint="eastAsia" w:ascii="楷体_GB2312" w:hAnsi="楷体_GB2312" w:eastAsia="楷体_GB2312" w:cs="楷体_GB2312"/>
          <w:sz w:val="32"/>
          <w:szCs w:val="32"/>
        </w:rPr>
        <w:t>公务接待费</w:t>
      </w:r>
    </w:p>
    <w:p>
      <w:pPr>
        <w:spacing w:line="600" w:lineRule="exact"/>
        <w:ind w:firstLine="640" w:firstLineChars="200"/>
        <w:outlineLvl w:val="1"/>
        <w:rPr>
          <w:rFonts w:ascii="仿宋_GB2312" w:eastAsia="仿宋_GB2312"/>
          <w:sz w:val="32"/>
          <w:szCs w:val="32"/>
          <w:highlight w:val="none"/>
        </w:rPr>
      </w:pPr>
      <w:r>
        <w:rPr>
          <w:rFonts w:hint="eastAsia" w:ascii="仿宋_GB2312" w:eastAsia="仿宋_GB2312"/>
          <w:sz w:val="32"/>
          <w:szCs w:val="32"/>
        </w:rPr>
        <w:t>较上年预算增加1.05万元，增长1050%。</w:t>
      </w:r>
      <w:r>
        <w:rPr>
          <w:rFonts w:hint="eastAsia" w:ascii="仿宋_GB2312" w:eastAsia="仿宋_GB2312"/>
          <w:sz w:val="32"/>
          <w:szCs w:val="32"/>
          <w:highlight w:val="none"/>
        </w:rPr>
        <w:t>增加原因：2022年公务接待费预算0.1万元，基数低。根据2023实际接待需要增加预算。</w:t>
      </w:r>
    </w:p>
    <w:p>
      <w:pPr>
        <w:spacing w:line="600" w:lineRule="exact"/>
        <w:ind w:firstLine="640" w:firstLineChars="200"/>
        <w:outlineLvl w:val="1"/>
        <w:rPr>
          <w:rFonts w:ascii="仿宋_GB2312" w:eastAsia="仿宋_GB2312"/>
          <w:sz w:val="32"/>
          <w:szCs w:val="32"/>
          <w:highlight w:val="none"/>
        </w:rPr>
      </w:pPr>
      <w:r>
        <w:rPr>
          <w:rFonts w:ascii="仿宋_GB2312" w:eastAsia="仿宋_GB2312"/>
          <w:sz w:val="32"/>
          <w:szCs w:val="32"/>
          <w:highlight w:val="none"/>
        </w:rPr>
        <w:t>2023</w:t>
      </w:r>
      <w:r>
        <w:rPr>
          <w:rFonts w:hint="eastAsia" w:ascii="仿宋_GB2312" w:eastAsia="仿宋_GB2312"/>
          <w:sz w:val="32"/>
          <w:szCs w:val="32"/>
          <w:highlight w:val="none"/>
        </w:rPr>
        <w:t>年公务接待费计划用于</w:t>
      </w:r>
      <w:r>
        <w:rPr>
          <w:rFonts w:hint="eastAsia" w:ascii="仿宋_GB2312" w:eastAsia="仿宋_GB2312"/>
          <w:sz w:val="32"/>
          <w:szCs w:val="32"/>
          <w:highlight w:val="none"/>
          <w:lang w:eastAsia="zh-CN"/>
        </w:rPr>
        <w:t>文旅产业相关调研交流接待任务</w:t>
      </w:r>
      <w:r>
        <w:rPr>
          <w:rFonts w:hint="eastAsia" w:ascii="仿宋_GB2312" w:eastAsia="仿宋_GB2312"/>
          <w:sz w:val="32"/>
          <w:szCs w:val="32"/>
          <w:highlight w:val="none"/>
        </w:rPr>
        <w:t>。</w:t>
      </w:r>
    </w:p>
    <w:p>
      <w:pPr>
        <w:numPr>
          <w:ilvl w:val="0"/>
          <w:numId w:val="2"/>
        </w:numPr>
        <w:spacing w:line="600" w:lineRule="exact"/>
        <w:ind w:firstLine="640" w:firstLineChars="200"/>
        <w:outlineLvl w:val="1"/>
        <w:rPr>
          <w:rFonts w:ascii="楷体_GB2312" w:hAnsi="楷体_GB2312" w:eastAsia="楷体_GB2312" w:cs="楷体_GB2312"/>
          <w:sz w:val="32"/>
          <w:szCs w:val="32"/>
        </w:rPr>
      </w:pPr>
      <w:r>
        <w:rPr>
          <w:rFonts w:hint="eastAsia" w:ascii="楷体_GB2312" w:hAnsi="楷体_GB2312" w:eastAsia="楷体_GB2312" w:cs="楷体_GB2312"/>
          <w:sz w:val="32"/>
          <w:szCs w:val="32"/>
        </w:rPr>
        <w:t>公务用车购置及运行维护费</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较上年预算持平。</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单位现有公务用车15辆，其中：轿车7辆、越野车3辆、多功能乘用车0辆、小型载客汽车3辆，其他车型2辆。</w:t>
      </w:r>
    </w:p>
    <w:p>
      <w:pPr>
        <w:spacing w:line="600" w:lineRule="exact"/>
        <w:ind w:firstLine="640" w:firstLineChars="200"/>
        <w:outlineLvl w:val="1"/>
        <w:rPr>
          <w:rFonts w:ascii="仿宋_GB2312" w:eastAsia="仿宋_GB2312"/>
          <w:sz w:val="32"/>
          <w:szCs w:val="32"/>
        </w:rPr>
      </w:pPr>
      <w:r>
        <w:rPr>
          <w:rFonts w:ascii="仿宋_GB2312" w:eastAsia="仿宋_GB2312"/>
          <w:sz w:val="32"/>
          <w:szCs w:val="32"/>
        </w:rPr>
        <w:t>2023</w:t>
      </w:r>
      <w:r>
        <w:rPr>
          <w:rFonts w:hint="eastAsia" w:ascii="仿宋_GB2312" w:eastAsia="仿宋_GB2312"/>
          <w:sz w:val="32"/>
          <w:szCs w:val="32"/>
        </w:rPr>
        <w:t>年未安排公务用车购置费。</w:t>
      </w:r>
    </w:p>
    <w:p>
      <w:pPr>
        <w:spacing w:line="600" w:lineRule="exact"/>
        <w:ind w:firstLine="640" w:firstLineChars="200"/>
        <w:outlineLvl w:val="1"/>
        <w:rPr>
          <w:rFonts w:ascii="仿宋_GB2312" w:eastAsia="仿宋_GB2312"/>
          <w:sz w:val="32"/>
          <w:szCs w:val="32"/>
          <w:highlight w:val="none"/>
        </w:rPr>
      </w:pPr>
      <w:r>
        <w:rPr>
          <w:rFonts w:ascii="仿宋_GB2312" w:eastAsia="仿宋_GB2312"/>
          <w:sz w:val="32"/>
          <w:szCs w:val="32"/>
        </w:rPr>
        <w:t>2023</w:t>
      </w:r>
      <w:r>
        <w:rPr>
          <w:rFonts w:hint="eastAsia" w:ascii="仿宋_GB2312" w:eastAsia="仿宋_GB2312"/>
          <w:sz w:val="32"/>
          <w:szCs w:val="32"/>
        </w:rPr>
        <w:t>年安排公务用车运行维护费6万元，与上年持平，</w:t>
      </w:r>
      <w:r>
        <w:rPr>
          <w:rFonts w:hint="eastAsia" w:ascii="仿宋_GB2312" w:eastAsia="仿宋_GB2312"/>
          <w:sz w:val="32"/>
          <w:szCs w:val="32"/>
          <w:highlight w:val="none"/>
        </w:rPr>
        <w:t>主要用于</w:t>
      </w:r>
      <w:r>
        <w:rPr>
          <w:rFonts w:hint="eastAsia" w:ascii="仿宋_GB2312" w:eastAsia="仿宋_GB2312"/>
          <w:sz w:val="32"/>
          <w:szCs w:val="32"/>
          <w:highlight w:val="none"/>
          <w:lang w:eastAsia="zh-CN"/>
        </w:rPr>
        <w:t>本单位公务用车日常运维</w:t>
      </w:r>
      <w:r>
        <w:rPr>
          <w:rFonts w:hint="eastAsia" w:ascii="仿宋_GB2312" w:eastAsia="仿宋_GB2312"/>
          <w:sz w:val="32"/>
          <w:szCs w:val="32"/>
          <w:highlight w:val="none"/>
        </w:rPr>
        <w:t>。</w:t>
      </w:r>
    </w:p>
    <w:p>
      <w:pPr>
        <w:spacing w:line="600" w:lineRule="exact"/>
        <w:ind w:firstLine="640" w:firstLineChars="200"/>
        <w:outlineLvl w:val="1"/>
        <w:rPr>
          <w:rFonts w:ascii="黑体" w:eastAsia="黑体"/>
          <w:sz w:val="32"/>
          <w:szCs w:val="32"/>
        </w:rPr>
      </w:pPr>
      <w:r>
        <w:rPr>
          <w:rFonts w:hint="eastAsia" w:ascii="黑体" w:eastAsia="黑体"/>
          <w:sz w:val="32"/>
          <w:szCs w:val="32"/>
        </w:rPr>
        <w:t>九、其他重要事项的情况说明</w:t>
      </w:r>
    </w:p>
    <w:p>
      <w:pPr>
        <w:spacing w:line="600" w:lineRule="exact"/>
        <w:ind w:firstLine="640" w:firstLineChars="200"/>
        <w:outlineLvl w:val="1"/>
        <w:rPr>
          <w:rFonts w:ascii="楷体_GB2312" w:hAnsi="楷体_GB2312" w:eastAsia="楷体_GB2312" w:cs="楷体_GB2312"/>
          <w:sz w:val="32"/>
          <w:szCs w:val="32"/>
        </w:rPr>
      </w:pPr>
      <w:r>
        <w:rPr>
          <w:rFonts w:hint="eastAsia" w:ascii="楷体_GB2312" w:hAnsi="楷体_GB2312" w:eastAsia="楷体_GB2312" w:cs="楷体_GB2312"/>
          <w:sz w:val="32"/>
          <w:szCs w:val="32"/>
        </w:rPr>
        <w:t>（一）机关运行经费</w:t>
      </w:r>
    </w:p>
    <w:p>
      <w:pPr>
        <w:spacing w:line="600" w:lineRule="exact"/>
        <w:ind w:firstLine="640" w:firstLineChars="200"/>
        <w:outlineLvl w:val="1"/>
        <w:rPr>
          <w:rFonts w:ascii="仿宋_GB2312" w:eastAsia="仿宋_GB2312"/>
          <w:sz w:val="32"/>
          <w:szCs w:val="32"/>
        </w:rPr>
      </w:pPr>
      <w:r>
        <w:rPr>
          <w:rFonts w:ascii="仿宋_GB2312" w:eastAsia="仿宋_GB2312"/>
          <w:sz w:val="32"/>
          <w:szCs w:val="32"/>
        </w:rPr>
        <w:t>2023</w:t>
      </w:r>
      <w:r>
        <w:rPr>
          <w:rFonts w:hint="eastAsia" w:ascii="仿宋_GB2312" w:eastAsia="仿宋_GB2312"/>
          <w:sz w:val="32"/>
          <w:szCs w:val="32"/>
        </w:rPr>
        <w:t>年，峨眉山市文化体育和旅游局为保障机关运行，安排的包括办公及印刷费、邮电费、差旅费、会议费、福利费、日常维修费、专用材料及一般设备购置费、办公用房水电费、办公用房取暖费、办公用房物业管理费、公务用车运行维护费以及其他费用等机关运行经费预算为161.00万元，较上年预算减少34.99万元，下降17.85%。</w:t>
      </w:r>
    </w:p>
    <w:p>
      <w:pPr>
        <w:spacing w:line="600" w:lineRule="exact"/>
        <w:ind w:firstLine="640" w:firstLineChars="200"/>
        <w:outlineLvl w:val="1"/>
        <w:rPr>
          <w:rFonts w:ascii="楷体_GB2312" w:hAnsi="楷体_GB2312" w:eastAsia="楷体_GB2312" w:cs="楷体_GB2312"/>
          <w:sz w:val="32"/>
          <w:szCs w:val="32"/>
        </w:rPr>
      </w:pPr>
      <w:r>
        <w:rPr>
          <w:rFonts w:hint="eastAsia" w:ascii="楷体_GB2312" w:hAnsi="楷体_GB2312" w:eastAsia="楷体_GB2312" w:cs="楷体_GB2312"/>
          <w:sz w:val="32"/>
          <w:szCs w:val="32"/>
        </w:rPr>
        <w:t>（二）政府采购情况</w:t>
      </w:r>
    </w:p>
    <w:p>
      <w:pPr>
        <w:spacing w:line="600" w:lineRule="exact"/>
        <w:ind w:firstLine="640" w:firstLineChars="200"/>
        <w:outlineLvl w:val="1"/>
        <w:rPr>
          <w:rFonts w:ascii="仿宋_GB2312" w:eastAsia="仿宋_GB2312"/>
          <w:sz w:val="32"/>
          <w:szCs w:val="32"/>
        </w:rPr>
      </w:pPr>
      <w:r>
        <w:rPr>
          <w:rFonts w:ascii="仿宋_GB2312" w:eastAsia="仿宋_GB2312"/>
          <w:sz w:val="32"/>
          <w:szCs w:val="32"/>
        </w:rPr>
        <w:t>2023</w:t>
      </w:r>
      <w:r>
        <w:rPr>
          <w:rFonts w:hint="eastAsia" w:ascii="仿宋_GB2312" w:eastAsia="仿宋_GB2312"/>
          <w:sz w:val="32"/>
          <w:szCs w:val="32"/>
        </w:rPr>
        <w:t>年，峨眉山市文化体育和旅游局未安排政府采购预算。</w:t>
      </w:r>
    </w:p>
    <w:p>
      <w:pPr>
        <w:spacing w:line="600" w:lineRule="exact"/>
        <w:ind w:firstLine="640" w:firstLineChars="200"/>
        <w:outlineLvl w:val="1"/>
        <w:rPr>
          <w:rFonts w:ascii="楷体_GB2312" w:hAnsi="楷体_GB2312" w:eastAsia="楷体_GB2312" w:cs="楷体_GB2312"/>
          <w:sz w:val="32"/>
          <w:szCs w:val="32"/>
        </w:rPr>
      </w:pPr>
      <w:r>
        <w:rPr>
          <w:rFonts w:hint="eastAsia" w:ascii="楷体_GB2312" w:hAnsi="楷体_GB2312" w:eastAsia="楷体_GB2312" w:cs="楷体_GB2312"/>
          <w:sz w:val="32"/>
          <w:szCs w:val="32"/>
        </w:rPr>
        <w:t>（三）国有资产占有使用情况</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截至去年底，峨眉山市文化体育和旅游局实际共</w:t>
      </w:r>
      <w:r>
        <w:rPr>
          <w:rFonts w:hint="eastAsia" w:ascii="仿宋_GB2312" w:eastAsia="仿宋_GB2312"/>
          <w:sz w:val="32"/>
          <w:szCs w:val="32"/>
          <w:highlight w:val="none"/>
        </w:rPr>
        <w:t>有车辆</w:t>
      </w:r>
      <w:r>
        <w:rPr>
          <w:rFonts w:hint="eastAsia" w:ascii="仿宋_GB2312" w:eastAsia="仿宋_GB2312"/>
          <w:sz w:val="32"/>
          <w:szCs w:val="32"/>
          <w:highlight w:val="none"/>
          <w:lang w:val="en-US" w:eastAsia="zh-CN"/>
        </w:rPr>
        <w:t>5</w:t>
      </w:r>
      <w:r>
        <w:rPr>
          <w:rFonts w:hint="eastAsia" w:ascii="仿宋_GB2312" w:eastAsia="仿宋_GB2312"/>
          <w:sz w:val="32"/>
          <w:szCs w:val="32"/>
          <w:highlight w:val="none"/>
        </w:rPr>
        <w:t>辆。单位价值200万元以上大型设备0台（套）。</w:t>
      </w:r>
      <w:r>
        <w:rPr>
          <w:rFonts w:hint="eastAsia" w:ascii="仿宋_GB2312" w:eastAsia="仿宋_GB2312"/>
          <w:sz w:val="32"/>
          <w:szCs w:val="32"/>
          <w:highlight w:val="none"/>
        </w:rPr>
        <w:br w:type="textWrapping"/>
      </w:r>
      <w:r>
        <w:rPr>
          <w:rFonts w:hint="eastAsia" w:ascii="仿宋_GB2312" w:eastAsia="仿宋_GB2312"/>
          <w:sz w:val="32"/>
          <w:szCs w:val="32"/>
        </w:rPr>
        <w:t>　　</w:t>
      </w:r>
      <w:r>
        <w:rPr>
          <w:rFonts w:ascii="仿宋_GB2312" w:eastAsia="仿宋_GB2312"/>
          <w:sz w:val="32"/>
          <w:szCs w:val="32"/>
        </w:rPr>
        <w:t>2023</w:t>
      </w:r>
      <w:r>
        <w:rPr>
          <w:rFonts w:hint="eastAsia" w:ascii="仿宋_GB2312" w:eastAsia="仿宋_GB2312"/>
          <w:sz w:val="32"/>
          <w:szCs w:val="32"/>
        </w:rPr>
        <w:t>年，预算未安排购置车辆及单位价值200万元以上大型设备。</w:t>
      </w:r>
    </w:p>
    <w:p>
      <w:pPr>
        <w:spacing w:line="600" w:lineRule="exact"/>
        <w:ind w:firstLine="640" w:firstLineChars="200"/>
        <w:outlineLvl w:val="1"/>
        <w:rPr>
          <w:rFonts w:ascii="楷体_GB2312" w:hAnsi="楷体_GB2312" w:eastAsia="楷体_GB2312" w:cs="楷体_GB2312"/>
          <w:sz w:val="32"/>
          <w:szCs w:val="32"/>
        </w:rPr>
      </w:pPr>
      <w:r>
        <w:rPr>
          <w:rFonts w:hint="eastAsia" w:ascii="楷体_GB2312" w:hAnsi="楷体_GB2312" w:eastAsia="楷体_GB2312" w:cs="楷体_GB2312"/>
          <w:sz w:val="32"/>
          <w:szCs w:val="32"/>
        </w:rPr>
        <w:t>（四）绩效目标设置情况</w:t>
      </w:r>
    </w:p>
    <w:p>
      <w:pPr>
        <w:spacing w:line="600" w:lineRule="exact"/>
        <w:ind w:firstLine="640" w:firstLineChars="200"/>
        <w:outlineLvl w:val="1"/>
        <w:rPr>
          <w:rFonts w:ascii="仿宋_GB2312" w:eastAsia="仿宋_GB2312"/>
          <w:sz w:val="32"/>
          <w:szCs w:val="32"/>
        </w:rPr>
      </w:pPr>
      <w:r>
        <w:rPr>
          <w:rFonts w:ascii="仿宋_GB2312" w:eastAsia="仿宋_GB2312"/>
          <w:sz w:val="32"/>
          <w:szCs w:val="32"/>
        </w:rPr>
        <w:t>2023</w:t>
      </w:r>
      <w:r>
        <w:rPr>
          <w:rFonts w:hint="eastAsia" w:ascii="仿宋_GB2312" w:eastAsia="仿宋_GB2312"/>
          <w:sz w:val="32"/>
          <w:szCs w:val="32"/>
        </w:rPr>
        <w:t>年，峨眉山市文化体育和旅游局按要求实行绩效目标管理，部门（单位）整体绩效目标涉及预算安排3903.98万元，其中基本支出1251.93万元，项目支出2652.05万元。其中编制了项目绩效目标的预算2652.05万元，主要为旅游宣传营销、旅游咨询点公共服务费、四川省青少年锦标赛参赛费、老体协专项经费、全民体育活动及中小学体育比赛、地面数字更新维护费、两馆一站免低开地方配套、文艺创作、艺术团训练、文化活动、购置图书订阅报刊（图书馆）、文物保护费、竞技体育训练工作经费等项目。</w:t>
      </w:r>
    </w:p>
    <w:p>
      <w:pPr>
        <w:spacing w:line="600" w:lineRule="exact"/>
        <w:ind w:firstLine="640" w:firstLineChars="200"/>
        <w:outlineLvl w:val="1"/>
        <w:rPr>
          <w:rFonts w:ascii="黑体" w:eastAsia="黑体"/>
          <w:sz w:val="32"/>
          <w:szCs w:val="32"/>
        </w:rPr>
      </w:pPr>
      <w:r>
        <w:rPr>
          <w:rFonts w:hint="eastAsia" w:ascii="黑体" w:eastAsia="黑体"/>
          <w:sz w:val="32"/>
          <w:szCs w:val="32"/>
        </w:rPr>
        <w:t>十、名词解释</w:t>
      </w:r>
    </w:p>
    <w:p>
      <w:pPr>
        <w:pStyle w:val="7"/>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1.财政拨款收支情况：指一般公共预算、政府性基金预算、国有资产经营预算拨款收支情况。 </w:t>
      </w:r>
    </w:p>
    <w:p>
      <w:pPr>
        <w:pStyle w:val="7"/>
        <w:spacing w:line="560" w:lineRule="exact"/>
        <w:ind w:firstLine="640" w:firstLineChars="200"/>
        <w:rPr>
          <w:rFonts w:ascii="仿宋_GB2312" w:eastAsia="仿宋_GB2312"/>
          <w:sz w:val="32"/>
          <w:szCs w:val="32"/>
        </w:rPr>
      </w:pPr>
      <w:r>
        <w:rPr>
          <w:rFonts w:hint="eastAsia" w:ascii="仿宋_GB2312" w:eastAsia="仿宋_GB2312"/>
          <w:sz w:val="32"/>
          <w:szCs w:val="32"/>
        </w:rPr>
        <w:t>2.一般公共预算拨款收入：指本级财政当年拨付的资金。</w:t>
      </w:r>
    </w:p>
    <w:p>
      <w:pPr>
        <w:pStyle w:val="7"/>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3.其他收入：指除上述“财政拨款收入”、“事业收入”、“经营收入”等以外的收入。主要是…（收入类型）等。 </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4.文化旅游体育与传媒支出（类）文化和旅游（款）行政运行（项）（2070101）：反映行政单位（包括实行公务员管理的事业单位）的基本支出。</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5.文化旅游体育与传媒支出（类）文化和旅游（款）图书馆（项）（2070104）：反映图书馆的支出。</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6.文化旅游体育与传媒支出（类）文化和旅游（款）群众文化（项）（2070109）：反映群众文化方面的支出，包括基层文化馆（站）、群众艺术馆支出等。</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7.文化旅游体育与传媒支出（类）文化和旅游（款）旅游宣传（项）（2070113）：反映在境内外开展各类旅游宣传促销活动的支出，包括驻外旅游机构宣传费、境外宣传促销费、境内宣传促销费、海外记者及旅行商接待费、旅游宣传品制作费及设备购置费等。</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8.文化旅游体育与传媒支出（类）文化和旅游（款）文化和旅游管理事务（项）（2070114）：反映在文化和旅游管理事务支出。</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9.文化旅游体育与传媒支出（类）文化和旅游（款）其他文化和旅游支出（项）（2070199）：反映除上述项目以为其他用于文化和旅游方面的支出。</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10.文化旅游体育与传媒支出（类）文物（款）其他文物支出（项）（2070299）：反映除上述项目以外其他用于文物方面的支出。</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11.文化旅游体育与传媒支出（类）体育（款）体育竞技（项）（2070305）：反映综合性运动会及单项体育比赛支出。</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12.文化旅游体育与传媒支出（类）体育（款）体育场馆（项）（2070307）：反应体育场馆建设及维护方面的支出。</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13.文化旅游体育与传媒支出（类）体育（款）群众体育（项）（2070308）：反映业余体校和全民健身等群众体育活动方面的支出。</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14.文化旅游体育与传媒支出（类）体育（款）其他体育支出（项）（2070399）：反映除上述项目以外其他用于体育方面的支出。</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15.文化旅游体育与传媒支出（类）广播电视（款）其他广播电视支出（项）（2070899）：反映除上述其他用于广播电视方面的支出。</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16.文化旅游体育与传媒支出（类）其他文化旅游体育与传媒支出（款）其他文化旅游体育与传媒支出（项）（2079999）：反映除上述项目以为其他用于文化旅游体育与传媒方面的支出。</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17. 社会保障和就业支出（类）行政事业单位养老支出（款）机关事业单位养老保险缴费支出（项）（2080505），指机关事业单位实施养老保险制度由单位缴纳的基本养老保险支出。</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18. 社会保障和就业支出（类）行政事业单位养老支出（款）机关事业单位职业年金缴费支出（项）（2080506），指机关事业单位实施养老保险制度由单位实际缴纳的职业年金支出 。</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19. 社会保障和就业支出（类）其他社会保障和就业支出（款）其他社会保障和就业支出（项）（2089999），反应除上述项目以外其他用于社会保障和就业方面的支出。</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20.卫生健康支出（类）行政事业单位医疗（款）行政单位医疗（项）（2101101），反映财政部集中安排的行政单位基本医疗保险缴费经费，未参加医疗保险的行政单位的公费医疗经费，按国家规定享受离休人员、红军老战士待遇人员的医疗经费。</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21. 卫生健康支出（类）行政事业单位医疗（款）事业单位医疗（项）（2101102），反映财政部集中安排的事业单位基本医疗保险缴费经费，未参加医疗保险的事业单位的公费医疗经费，按国家规定享受离休待遇的医疗经费。</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22.卫生健康支出（</w:t>
      </w:r>
      <w:r>
        <w:rPr>
          <w:rFonts w:hint="eastAsia" w:eastAsia="仿宋_GB2312" w:asciiTheme="minorHAnsi" w:hAnsiTheme="minorHAnsi"/>
          <w:sz w:val="32"/>
          <w:szCs w:val="32"/>
        </w:rPr>
        <w:t>类</w:t>
      </w:r>
      <w:r>
        <w:rPr>
          <w:rFonts w:hint="eastAsia" w:ascii="仿宋_GB2312" w:eastAsia="仿宋_GB2312"/>
          <w:sz w:val="32"/>
          <w:szCs w:val="32"/>
        </w:rPr>
        <w:t>）行政事业单位医疗（款）公务员医疗补助（项）（2101103）：反应机关人员的公务员医疗补助等支出。</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23. 住房保障支出（类）住房改革支出（款）住房公积金（项）（2210201），反映按人力资源和社会保障部、财政部规定的基本工资和津贴补贴以及规定比例为职工缴纳的住房公积金支出。</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24.基本支出：指为保障机构正常运转、完成日常工作任务而发生的人员支出和公用支出。</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 xml:space="preserve">25.项目支出：指在基本支出之外为完成特定行政任务和事业发展目标所发生的支出。 </w:t>
      </w:r>
    </w:p>
    <w:p>
      <w:pPr>
        <w:pStyle w:val="7"/>
        <w:spacing w:line="560" w:lineRule="exact"/>
        <w:ind w:firstLine="640" w:firstLineChars="200"/>
        <w:rPr>
          <w:rFonts w:ascii="仿宋_GB2312" w:eastAsia="仿宋_GB2312"/>
          <w:sz w:val="32"/>
          <w:szCs w:val="32"/>
        </w:rPr>
      </w:pPr>
      <w:r>
        <w:rPr>
          <w:rFonts w:hint="eastAsia" w:ascii="仿宋_GB2312" w:eastAsia="仿宋_GB2312"/>
          <w:sz w:val="32"/>
          <w:szCs w:val="32"/>
        </w:rPr>
        <w:t>26. 三公”经费：纳入预算管理的“三公”经费，是指部门（单位）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spacing w:line="600" w:lineRule="exact"/>
        <w:outlineLvl w:val="1"/>
      </w:pPr>
    </w:p>
    <w:p>
      <w:pPr>
        <w:spacing w:line="600" w:lineRule="exact"/>
        <w:outlineLvl w:val="1"/>
      </w:pPr>
    </w:p>
    <w:p>
      <w:pPr>
        <w:pStyle w:val="7"/>
        <w:spacing w:line="560" w:lineRule="exact"/>
        <w:ind w:firstLine="480" w:firstLineChars="200"/>
      </w:pPr>
    </w:p>
    <w:sectPr>
      <w:footerReference r:id="rId3" w:type="default"/>
      <w:footerReference r:id="rId4" w:type="even"/>
      <w:pgSz w:w="11906" w:h="16838"/>
      <w:pgMar w:top="2098" w:right="1474" w:bottom="1928" w:left="1588" w:header="851" w:footer="1474"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黑体"/>
    <w:panose1 w:val="03000509000000000000"/>
    <w:charset w:val="86"/>
    <w:family w:val="script"/>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wordWrap w:val="0"/>
      <w:jc w:val="right"/>
      <w:rPr>
        <w:rFonts w:ascii="宋体" w:hAnsi="宋体"/>
        <w:sz w:val="28"/>
        <w:szCs w:val="28"/>
      </w:rPr>
    </w:pPr>
    <w:r>
      <w:rPr>
        <w:sz w:val="28"/>
      </w:rP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wordWrap w:val="0"/>
                            <w:jc w:val="right"/>
                          </w:pPr>
                          <w:r>
                            <w:rPr>
                              <w:rFonts w:hint="eastAsia" w:ascii="宋体" w:hAnsi="宋体"/>
                              <w:kern w:val="0"/>
                              <w:sz w:val="28"/>
                              <w:szCs w:val="28"/>
                            </w:rPr>
                            <w:t>—</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15</w:t>
                          </w:r>
                          <w:r>
                            <w:rPr>
                              <w:rFonts w:ascii="宋体" w:hAnsi="宋体"/>
                              <w:kern w:val="0"/>
                              <w:sz w:val="28"/>
                              <w:szCs w:val="28"/>
                            </w:rPr>
                            <w:fldChar w:fldCharType="end"/>
                          </w:r>
                          <w:r>
                            <w:rPr>
                              <w:rFonts w:hint="eastAsia" w:ascii="宋体" w:hAnsi="宋体"/>
                              <w:kern w:val="0"/>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3"/>
                      <w:wordWrap w:val="0"/>
                      <w:jc w:val="right"/>
                    </w:pPr>
                    <w:r>
                      <w:rPr>
                        <w:rFonts w:hint="eastAsia" w:ascii="宋体" w:hAnsi="宋体"/>
                        <w:kern w:val="0"/>
                        <w:sz w:val="28"/>
                        <w:szCs w:val="28"/>
                      </w:rPr>
                      <w:t>—</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15</w:t>
                    </w:r>
                    <w:r>
                      <w:rPr>
                        <w:rFonts w:ascii="宋体" w:hAnsi="宋体"/>
                        <w:kern w:val="0"/>
                        <w:sz w:val="28"/>
                        <w:szCs w:val="28"/>
                      </w:rPr>
                      <w:fldChar w:fldCharType="end"/>
                    </w:r>
                    <w:r>
                      <w:rPr>
                        <w:rFonts w:hint="eastAsia" w:ascii="宋体" w:hAnsi="宋体"/>
                        <w:kern w:val="0"/>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280" w:firstLineChars="100"/>
      <w:rPr>
        <w:rFonts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ind w:firstLine="280" w:firstLineChars="100"/>
                          </w:pPr>
                          <w:r>
                            <w:rPr>
                              <w:rFonts w:hint="eastAsia" w:ascii="宋体" w:hAnsi="宋体"/>
                              <w:kern w:val="0"/>
                              <w:sz w:val="28"/>
                              <w:szCs w:val="28"/>
                            </w:rPr>
                            <w:t>—</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16</w:t>
                          </w:r>
                          <w:r>
                            <w:rPr>
                              <w:rFonts w:ascii="宋体" w:hAnsi="宋体"/>
                              <w:kern w:val="0"/>
                              <w:sz w:val="28"/>
                              <w:szCs w:val="28"/>
                            </w:rPr>
                            <w:fldChar w:fldCharType="end"/>
                          </w:r>
                          <w:r>
                            <w:rPr>
                              <w:rFonts w:hint="eastAsia" w:ascii="宋体" w:hAnsi="宋体"/>
                              <w:kern w:val="0"/>
                              <w:sz w:val="28"/>
                              <w:szCs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fyKa93AIAACQGAAAOAAAAAAAAAAEAIAAAAB8BAABkcnMvZTJvRG9jLnhtbFBLBQYA&#10;AAAABgAGAFkBAABtBgAAAAA=&#10;">
              <v:fill on="f" focussize="0,0"/>
              <v:stroke on="f" weight="0.5pt"/>
              <v:imagedata o:title=""/>
              <o:lock v:ext="edit" aspectratio="f"/>
              <v:textbox inset="0mm,0mm,0mm,0mm" style="mso-fit-shape-to-text:t;">
                <w:txbxContent>
                  <w:p>
                    <w:pPr>
                      <w:pStyle w:val="3"/>
                      <w:ind w:firstLine="280" w:firstLineChars="100"/>
                    </w:pPr>
                    <w:r>
                      <w:rPr>
                        <w:rFonts w:hint="eastAsia" w:ascii="宋体" w:hAnsi="宋体"/>
                        <w:kern w:val="0"/>
                        <w:sz w:val="28"/>
                        <w:szCs w:val="28"/>
                      </w:rPr>
                      <w:t>—</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16</w:t>
                    </w:r>
                    <w:r>
                      <w:rPr>
                        <w:rFonts w:ascii="宋体" w:hAnsi="宋体"/>
                        <w:kern w:val="0"/>
                        <w:sz w:val="28"/>
                        <w:szCs w:val="28"/>
                      </w:rPr>
                      <w:fldChar w:fldCharType="end"/>
                    </w:r>
                    <w:r>
                      <w:rPr>
                        <w:rFonts w:hint="eastAsia" w:ascii="宋体" w:hAnsi="宋体"/>
                        <w:kern w:val="0"/>
                        <w:sz w:val="28"/>
                        <w:szCs w:val="28"/>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EDB56F"/>
    <w:multiLevelType w:val="singleLevel"/>
    <w:tmpl w:val="17EDB56F"/>
    <w:lvl w:ilvl="0" w:tentative="0">
      <w:start w:val="1"/>
      <w:numFmt w:val="chineseCounting"/>
      <w:suff w:val="nothing"/>
      <w:lvlText w:val="（%1）"/>
      <w:lvlJc w:val="left"/>
      <w:rPr>
        <w:rFonts w:hint="eastAsia"/>
      </w:rPr>
    </w:lvl>
  </w:abstractNum>
  <w:abstractNum w:abstractNumId="1">
    <w:nsid w:val="34104BCE"/>
    <w:multiLevelType w:val="singleLevel"/>
    <w:tmpl w:val="34104BCE"/>
    <w:lvl w:ilvl="0" w:tentative="0">
      <w:start w:val="3"/>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mirrorMargins w:val="1"/>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29C0"/>
    <w:rsid w:val="00050092"/>
    <w:rsid w:val="00051FDE"/>
    <w:rsid w:val="00091317"/>
    <w:rsid w:val="000F0A83"/>
    <w:rsid w:val="000F755E"/>
    <w:rsid w:val="001A0437"/>
    <w:rsid w:val="001A2108"/>
    <w:rsid w:val="002573C3"/>
    <w:rsid w:val="002730CD"/>
    <w:rsid w:val="00277DFF"/>
    <w:rsid w:val="003A561B"/>
    <w:rsid w:val="00425810"/>
    <w:rsid w:val="004659C6"/>
    <w:rsid w:val="004A1A00"/>
    <w:rsid w:val="005066DD"/>
    <w:rsid w:val="0053746F"/>
    <w:rsid w:val="00553F73"/>
    <w:rsid w:val="00564603"/>
    <w:rsid w:val="005E688F"/>
    <w:rsid w:val="007372A2"/>
    <w:rsid w:val="00777E08"/>
    <w:rsid w:val="007934F3"/>
    <w:rsid w:val="00861D72"/>
    <w:rsid w:val="008C72F8"/>
    <w:rsid w:val="009340F3"/>
    <w:rsid w:val="00A527E0"/>
    <w:rsid w:val="00AC3383"/>
    <w:rsid w:val="00AD3C84"/>
    <w:rsid w:val="00AE0102"/>
    <w:rsid w:val="00AE4401"/>
    <w:rsid w:val="00B3548B"/>
    <w:rsid w:val="00B94891"/>
    <w:rsid w:val="00BB666B"/>
    <w:rsid w:val="00C044B7"/>
    <w:rsid w:val="00C5515C"/>
    <w:rsid w:val="00CC5FF3"/>
    <w:rsid w:val="00D36FE8"/>
    <w:rsid w:val="00DE1A43"/>
    <w:rsid w:val="00DF77CF"/>
    <w:rsid w:val="00E50024"/>
    <w:rsid w:val="00EA6295"/>
    <w:rsid w:val="00F429C0"/>
    <w:rsid w:val="00FB45E1"/>
    <w:rsid w:val="066D6077"/>
    <w:rsid w:val="15D35DF5"/>
    <w:rsid w:val="20AD5696"/>
    <w:rsid w:val="21D6157A"/>
    <w:rsid w:val="270B2E60"/>
    <w:rsid w:val="27102568"/>
    <w:rsid w:val="276557C3"/>
    <w:rsid w:val="2ED21556"/>
    <w:rsid w:val="36C80A6A"/>
    <w:rsid w:val="36DD628E"/>
    <w:rsid w:val="3C21458C"/>
    <w:rsid w:val="3C6F5A34"/>
    <w:rsid w:val="3EE741B8"/>
    <w:rsid w:val="40C8289D"/>
    <w:rsid w:val="46C53364"/>
    <w:rsid w:val="472A5D26"/>
    <w:rsid w:val="493C20A5"/>
    <w:rsid w:val="49DF285C"/>
    <w:rsid w:val="4DEE5E92"/>
    <w:rsid w:val="50041FB8"/>
    <w:rsid w:val="67D2734F"/>
    <w:rsid w:val="745F682E"/>
    <w:rsid w:val="7697339E"/>
    <w:rsid w:val="7D3309A6"/>
    <w:rsid w:val="7EA770D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8"/>
    <w:qFormat/>
    <w:uiPriority w:val="0"/>
    <w:rPr>
      <w:rFonts w:ascii="宋体" w:hAnsi="宋体" w:eastAsia="仿宋_GB2312" w:cs="宋体"/>
      <w:sz w:val="32"/>
      <w:szCs w:val="28"/>
      <w:lang w:val="zh-CN" w:bidi="zh-CN"/>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
    <w:name w:val="Default"/>
    <w:qFormat/>
    <w:uiPriority w:val="0"/>
    <w:pPr>
      <w:widowControl w:val="0"/>
      <w:autoSpaceDE w:val="0"/>
      <w:autoSpaceDN w:val="0"/>
      <w:adjustRightInd w:val="0"/>
    </w:pPr>
    <w:rPr>
      <w:rFonts w:ascii="仿宋" w:hAnsi="Calibri" w:eastAsia="仿宋" w:cs="仿宋"/>
      <w:color w:val="000000"/>
      <w:sz w:val="24"/>
      <w:szCs w:val="24"/>
      <w:lang w:val="en-US" w:eastAsia="zh-CN" w:bidi="ar-SA"/>
    </w:rPr>
  </w:style>
  <w:style w:type="character" w:customStyle="1" w:styleId="8">
    <w:name w:val="正文文本 Char"/>
    <w:basedOn w:val="6"/>
    <w:link w:val="2"/>
    <w:qFormat/>
    <w:uiPriority w:val="0"/>
    <w:rPr>
      <w:rFonts w:ascii="宋体" w:hAnsi="宋体" w:eastAsia="仿宋_GB2312" w:cs="宋体"/>
      <w:kern w:val="2"/>
      <w:sz w:val="32"/>
      <w:szCs w:val="28"/>
      <w:lang w:val="zh-CN" w:bidi="zh-CN"/>
    </w:rPr>
  </w:style>
  <w:style w:type="paragraph" w:styleId="9">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16</Pages>
  <Words>1051</Words>
  <Characters>5994</Characters>
  <Lines>49</Lines>
  <Paragraphs>14</Paragraphs>
  <TotalTime>7</TotalTime>
  <ScaleCrop>false</ScaleCrop>
  <LinksUpToDate>false</LinksUpToDate>
  <CharactersWithSpaces>7031</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2018-02-05T06:16:00Z</dcterms:created>
  <dc:creator>微软用户</dc:creator>
  <cp:lastModifiedBy>Administrator</cp:lastModifiedBy>
  <cp:lastPrinted>2023-03-24T06:37:56Z</cp:lastPrinted>
  <dcterms:modified xsi:type="dcterms:W3CDTF">2023-03-24T06:39:13Z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