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15306268"/>
      <w:bookmarkStart w:id="1" w:name="_Toc15377194"/>
      <w:bookmarkStart w:id="2" w:name="_Toc15396476"/>
      <w:bookmarkStart w:id="3" w:name="_Toc15378442"/>
      <w:bookmarkStart w:id="4" w:name="_Toc15377426"/>
      <w:bookmarkStart w:id="5" w:name="_Toc15396598"/>
      <w:r>
        <w:rPr>
          <w:rFonts w:hint="eastAsia" w:ascii="方正小标宋简体" w:hAnsi="方正小标宋简体" w:eastAsia="方正小标宋简体" w:cs="方正小标宋简体"/>
          <w:sz w:val="72"/>
          <w:szCs w:val="72"/>
        </w:rPr>
        <w:t>峨眉山市文化体育和旅游局单位预算</w:t>
      </w:r>
      <w:bookmarkEnd w:id="0"/>
      <w:bookmarkEnd w:id="1"/>
      <w:bookmarkEnd w:id="2"/>
      <w:bookmarkEnd w:id="3"/>
      <w:bookmarkEnd w:id="4"/>
      <w:bookmarkEnd w:id="5"/>
    </w:p>
    <w:p>
      <w:pPr>
        <w:widowControl/>
        <w:jc w:val="center"/>
        <w:rPr>
          <w:rFonts w:ascii="方正小标宋简体" w:hAnsi="方正小标宋简体" w:eastAsia="方正小标宋简体" w:cs="方正小标宋简体"/>
          <w:color w:val="000000"/>
          <w:kern w:val="0"/>
          <w:sz w:val="43"/>
          <w:szCs w:val="43"/>
        </w:rPr>
      </w:pPr>
    </w:p>
    <w:p>
      <w:pPr>
        <w:pStyle w:val="2"/>
        <w:rPr>
          <w:rFonts w:hint="eastAsia" w:ascii="方正小标宋简体" w:hAnsi="方正小标宋简体" w:eastAsia="方正小标宋简体" w:cs="方正小标宋简体"/>
          <w:color w:val="000000"/>
          <w:kern w:val="0"/>
          <w:sz w:val="43"/>
          <w:szCs w:val="43"/>
          <w:lang w:val="en-US"/>
        </w:rPr>
      </w:pPr>
    </w:p>
    <w:p>
      <w:pPr>
        <w:rPr>
          <w:lang w:bidi="zh-CN"/>
        </w:rPr>
      </w:pPr>
    </w:p>
    <w:p>
      <w:pPr>
        <w:rPr>
          <w:rFonts w:ascii="方正小标宋简体" w:hAnsi="方正小标宋简体" w:eastAsia="方正小标宋简体" w:cs="方正小标宋简体"/>
          <w:color w:val="000000"/>
          <w:kern w:val="0"/>
          <w:sz w:val="43"/>
          <w:szCs w:val="43"/>
        </w:rPr>
      </w:pPr>
    </w:p>
    <w:p>
      <w:pPr>
        <w:rPr>
          <w:rFonts w:ascii="方正小标宋简体" w:hAnsi="方正小标宋简体" w:eastAsia="方正小标宋简体" w:cs="方正小标宋简体"/>
          <w:color w:val="000000"/>
          <w:kern w:val="0"/>
          <w:sz w:val="43"/>
          <w:szCs w:val="43"/>
        </w:rPr>
      </w:pPr>
    </w:p>
    <w:p>
      <w:pPr>
        <w:pStyle w:val="2"/>
        <w:rPr>
          <w:rFonts w:ascii="方正小标宋简体" w:hAnsi="方正小标宋简体" w:eastAsia="方正小标宋简体" w:cs="方正小标宋简体"/>
          <w:color w:val="000000"/>
          <w:kern w:val="0"/>
          <w:sz w:val="43"/>
          <w:szCs w:val="43"/>
          <w:lang w:val="en-US"/>
        </w:rPr>
      </w:pPr>
    </w:p>
    <w:p>
      <w:pPr>
        <w:rPr>
          <w:rFonts w:hint="eastAsia" w:ascii="方正小标宋简体" w:hAnsi="方正小标宋简体" w:eastAsia="方正小标宋简体" w:cs="方正小标宋简体"/>
          <w:color w:val="000000"/>
          <w:kern w:val="0"/>
          <w:sz w:val="43"/>
          <w:szCs w:val="43"/>
        </w:rPr>
      </w:pPr>
    </w:p>
    <w:p>
      <w:pPr>
        <w:rPr>
          <w:rFonts w:ascii="方正小标宋简体" w:hAnsi="方正小标宋简体" w:eastAsia="方正小标宋简体" w:cs="方正小标宋简体"/>
          <w:color w:val="000000"/>
          <w:kern w:val="0"/>
          <w:sz w:val="43"/>
          <w:szCs w:val="43"/>
        </w:rPr>
      </w:pPr>
    </w:p>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rPr>
          <w:rFonts w:ascii="方正小标宋简体" w:hAnsi="方正小标宋简体" w:eastAsia="方正小标宋简体" w:cs="方正小标宋简体"/>
          <w:color w:val="000000"/>
          <w:kern w:val="0"/>
          <w:sz w:val="43"/>
          <w:szCs w:val="43"/>
        </w:rPr>
      </w:pPr>
    </w:p>
    <w:p>
      <w:pPr>
        <w:widowControl/>
        <w:jc w:val="center"/>
      </w:pPr>
      <w:r>
        <w:rPr>
          <w:rFonts w:ascii="方正小标宋简体" w:hAnsi="方正小标宋简体" w:eastAsia="方正小标宋简体" w:cs="方正小标宋简体"/>
          <w:color w:val="000000"/>
          <w:kern w:val="0"/>
          <w:sz w:val="43"/>
          <w:szCs w:val="43"/>
        </w:rPr>
        <w:t>目录</w:t>
      </w:r>
    </w:p>
    <w:p>
      <w:pPr>
        <w:spacing w:line="600" w:lineRule="exact"/>
        <w:outlineLvl w:val="0"/>
      </w:pPr>
      <w:r>
        <w:rPr>
          <w:rFonts w:ascii="黑体" w:hAnsi="宋体" w:eastAsia="黑体" w:cs="黑体"/>
          <w:color w:val="333333"/>
          <w:kern w:val="0"/>
          <w:sz w:val="31"/>
          <w:szCs w:val="31"/>
        </w:rPr>
        <w:t xml:space="preserve">第一部分 </w:t>
      </w:r>
      <w:r>
        <w:rPr>
          <w:rFonts w:hint="eastAsia" w:ascii="黑体" w:hAnsi="宋体" w:eastAsia="黑体" w:cs="黑体"/>
          <w:color w:val="333333"/>
          <w:kern w:val="0"/>
          <w:sz w:val="31"/>
          <w:szCs w:val="31"/>
        </w:rPr>
        <w:t>关于峨眉山市文化体育和旅游局2023年预算编制的说明</w:t>
      </w:r>
    </w:p>
    <w:p>
      <w:pPr>
        <w:widowControl/>
        <w:jc w:val="left"/>
        <w:rPr>
          <w:rFonts w:ascii="仿宋_GB2312" w:hAnsi="宋体" w:eastAsia="仿宋_GB2312" w:cs="仿宋_GB2312"/>
          <w:color w:val="333333"/>
          <w:kern w:val="0"/>
          <w:sz w:val="31"/>
          <w:szCs w:val="31"/>
        </w:rPr>
      </w:pPr>
      <w:r>
        <w:rPr>
          <w:rFonts w:ascii="仿宋_GB2312" w:hAnsi="宋体" w:eastAsia="仿宋_GB2312" w:cs="仿宋_GB2312"/>
          <w:color w:val="333333"/>
          <w:kern w:val="0"/>
          <w:sz w:val="31"/>
          <w:szCs w:val="31"/>
        </w:rPr>
        <w:t>一、</w:t>
      </w:r>
      <w:r>
        <w:rPr>
          <w:rFonts w:hint="eastAsia" w:ascii="仿宋_GB2312" w:hAnsi="宋体" w:eastAsia="仿宋_GB2312" w:cs="仿宋_GB2312"/>
          <w:color w:val="333333"/>
          <w:kern w:val="0"/>
          <w:sz w:val="31"/>
          <w:szCs w:val="31"/>
        </w:rPr>
        <w:t>基本职能及主要工作.............................4</w:t>
      </w:r>
      <w:r>
        <w:rPr>
          <w:rFonts w:hint="eastAsia" w:ascii="仿宋_GB2312" w:hAnsi="仿宋_GB2312" w:eastAsia="仿宋_GB2312" w:cs="仿宋_GB2312"/>
          <w:sz w:val="32"/>
          <w:szCs w:val="32"/>
        </w:rPr>
        <w:tab/>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二、部门概况.......................................5</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三、收支预算总体情况...............................5</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四、财政拨款支出预算安排情况.......................5</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五、一般公共预算当年拨款情况说明...................6</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六、一般公共预算基本支出情况说明...................7</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七、政府性基金预算支出规模及变化情况说明...........8</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八、“三公”经费预算安排情况说明...................8</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九、其他重要事项的情况说明.........................9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十、名词解释.......................................10</w:t>
      </w:r>
    </w:p>
    <w:p>
      <w:pPr>
        <w:widowControl/>
        <w:jc w:val="left"/>
      </w:pPr>
      <w:r>
        <w:rPr>
          <w:rFonts w:hint="eastAsia" w:ascii="黑体" w:hAnsi="宋体" w:eastAsia="黑体" w:cs="黑体"/>
          <w:color w:val="333333"/>
          <w:kern w:val="0"/>
          <w:sz w:val="31"/>
          <w:szCs w:val="31"/>
        </w:rPr>
        <w:t xml:space="preserve">第二部分 峨眉山市文化体育和旅游局部门预算表 </w:t>
      </w:r>
    </w:p>
    <w:p>
      <w:pPr>
        <w:widowControl/>
        <w:jc w:val="left"/>
      </w:pPr>
      <w:r>
        <w:rPr>
          <w:rFonts w:hint="eastAsia" w:ascii="仿宋_GB2312" w:hAnsi="宋体" w:eastAsia="仿宋_GB2312" w:cs="仿宋_GB2312"/>
          <w:color w:val="333333"/>
          <w:kern w:val="0"/>
          <w:sz w:val="31"/>
          <w:szCs w:val="31"/>
        </w:rPr>
        <w:t xml:space="preserve">一、收支预算总表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二、收入预算总表</w:t>
      </w:r>
    </w:p>
    <w:p>
      <w:pPr>
        <w:widowControl/>
        <w:jc w:val="left"/>
      </w:pPr>
      <w:r>
        <w:rPr>
          <w:rFonts w:hint="eastAsia" w:ascii="仿宋_GB2312" w:hAnsi="宋体" w:eastAsia="仿宋_GB2312" w:cs="仿宋_GB2312"/>
          <w:color w:val="333333"/>
          <w:kern w:val="0"/>
          <w:sz w:val="31"/>
          <w:szCs w:val="31"/>
        </w:rPr>
        <w:t xml:space="preserve">三、支出预算总表 </w:t>
      </w:r>
    </w:p>
    <w:p>
      <w:pPr>
        <w:widowControl/>
        <w:jc w:val="left"/>
      </w:pPr>
      <w:r>
        <w:rPr>
          <w:rFonts w:hint="eastAsia" w:ascii="仿宋_GB2312" w:hAnsi="宋体" w:eastAsia="仿宋_GB2312" w:cs="仿宋_GB2312"/>
          <w:color w:val="333333"/>
          <w:kern w:val="0"/>
          <w:sz w:val="31"/>
          <w:szCs w:val="31"/>
        </w:rPr>
        <w:t xml:space="preserve">四、财政拨款预算总表 </w:t>
      </w:r>
    </w:p>
    <w:p>
      <w:pPr>
        <w:widowControl/>
        <w:jc w:val="left"/>
      </w:pPr>
      <w:r>
        <w:rPr>
          <w:rFonts w:hint="eastAsia" w:ascii="仿宋_GB2312" w:hAnsi="宋体" w:eastAsia="仿宋_GB2312" w:cs="仿宋_GB2312"/>
          <w:color w:val="333333"/>
          <w:kern w:val="0"/>
          <w:sz w:val="31"/>
          <w:szCs w:val="31"/>
        </w:rPr>
        <w:t xml:space="preserve">五、一般公共预算支出表 </w:t>
      </w:r>
    </w:p>
    <w:p>
      <w:pPr>
        <w:widowControl/>
        <w:jc w:val="left"/>
      </w:pPr>
      <w:r>
        <w:rPr>
          <w:rFonts w:hint="eastAsia" w:ascii="仿宋_GB2312" w:hAnsi="宋体" w:eastAsia="仿宋_GB2312" w:cs="仿宋_GB2312"/>
          <w:color w:val="333333"/>
          <w:kern w:val="0"/>
          <w:sz w:val="31"/>
          <w:szCs w:val="31"/>
        </w:rPr>
        <w:t xml:space="preserve">六、一般公共预算基本支出表 </w:t>
      </w:r>
    </w:p>
    <w:p>
      <w:pPr>
        <w:widowControl/>
        <w:jc w:val="left"/>
      </w:pPr>
      <w:r>
        <w:rPr>
          <w:rFonts w:hint="eastAsia" w:ascii="仿宋_GB2312" w:hAnsi="宋体" w:eastAsia="仿宋_GB2312" w:cs="仿宋_GB2312"/>
          <w:color w:val="333333"/>
          <w:kern w:val="0"/>
          <w:sz w:val="31"/>
          <w:szCs w:val="31"/>
        </w:rPr>
        <w:t xml:space="preserve">七、一般公共预算“三公”经费支出预算表 </w:t>
      </w:r>
    </w:p>
    <w:p>
      <w:pPr>
        <w:widowControl/>
        <w:jc w:val="left"/>
      </w:pPr>
      <w:r>
        <w:rPr>
          <w:rFonts w:hint="eastAsia" w:ascii="仿宋_GB2312" w:hAnsi="宋体" w:eastAsia="仿宋_GB2312" w:cs="仿宋_GB2312"/>
          <w:color w:val="333333"/>
          <w:kern w:val="0"/>
          <w:sz w:val="31"/>
          <w:szCs w:val="31"/>
        </w:rPr>
        <w:t xml:space="preserve">八、政府性基金预算支出表 </w:t>
      </w:r>
    </w:p>
    <w:p>
      <w:pPr>
        <w:widowControl/>
        <w:jc w:val="left"/>
      </w:pPr>
      <w:r>
        <w:rPr>
          <w:rFonts w:hint="eastAsia" w:ascii="仿宋_GB2312" w:hAnsi="宋体" w:eastAsia="仿宋_GB2312" w:cs="仿宋_GB2312"/>
          <w:color w:val="333333"/>
          <w:kern w:val="0"/>
          <w:sz w:val="31"/>
          <w:szCs w:val="31"/>
        </w:rPr>
        <w:t xml:space="preserve">九、国有资本经营预算支出表 </w:t>
      </w:r>
    </w:p>
    <w:p>
      <w:pPr>
        <w:widowControl/>
        <w:jc w:val="left"/>
      </w:pPr>
      <w:r>
        <w:rPr>
          <w:rFonts w:hint="eastAsia" w:ascii="仿宋_GB2312" w:hAnsi="宋体" w:eastAsia="仿宋_GB2312" w:cs="仿宋_GB2312"/>
          <w:color w:val="333333"/>
          <w:kern w:val="0"/>
          <w:sz w:val="31"/>
          <w:szCs w:val="31"/>
        </w:rPr>
        <w:t>十、 支出功能分类预算表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十一、支出经济分类预算表</w:t>
      </w:r>
    </w:p>
    <w:p>
      <w:pPr>
        <w:pStyle w:val="2"/>
      </w:pPr>
      <w:r>
        <w:rPr>
          <w:rFonts w:hint="eastAsia" w:ascii="仿宋_GB2312" w:cs="仿宋_GB2312"/>
          <w:color w:val="333333"/>
          <w:kern w:val="0"/>
          <w:sz w:val="31"/>
          <w:szCs w:val="31"/>
          <w:lang w:val="en-US"/>
        </w:rPr>
        <w:t>十二、上级资金安排情况表</w:t>
      </w:r>
    </w:p>
    <w:p>
      <w:pPr>
        <w:widowControl/>
        <w:jc w:val="left"/>
      </w:pPr>
      <w:r>
        <w:rPr>
          <w:rFonts w:hint="eastAsia" w:ascii="仿宋_GB2312" w:hAnsi="宋体" w:eastAsia="仿宋_GB2312" w:cs="仿宋_GB2312"/>
          <w:color w:val="333333"/>
          <w:kern w:val="0"/>
          <w:sz w:val="31"/>
          <w:szCs w:val="31"/>
        </w:rPr>
        <w:t>十三、项目支出表</w:t>
      </w:r>
    </w:p>
    <w:p>
      <w:pPr>
        <w:widowControl/>
        <w:jc w:val="left"/>
      </w:pPr>
      <w:r>
        <w:rPr>
          <w:rFonts w:hint="eastAsia" w:ascii="仿宋_GB2312" w:hAnsi="宋体" w:eastAsia="仿宋_GB2312" w:cs="仿宋_GB2312"/>
          <w:color w:val="333333"/>
          <w:kern w:val="0"/>
          <w:sz w:val="31"/>
          <w:szCs w:val="31"/>
        </w:rPr>
        <w:t>十四、项目支出预算明细表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十五、政府购买服务预算表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十六、</w:t>
      </w:r>
      <w:r>
        <w:rPr>
          <w:rFonts w:ascii="仿宋_GB2312" w:hAnsi="宋体" w:eastAsia="仿宋_GB2312" w:cs="仿宋_GB2312"/>
          <w:color w:val="333333"/>
          <w:kern w:val="0"/>
          <w:sz w:val="31"/>
          <w:szCs w:val="31"/>
        </w:rPr>
        <w:t>政府采购预算表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十七、</w:t>
      </w:r>
      <w:r>
        <w:rPr>
          <w:rFonts w:ascii="仿宋_GB2312" w:hAnsi="宋体" w:eastAsia="仿宋_GB2312" w:cs="仿宋_GB2312"/>
          <w:color w:val="333333"/>
          <w:kern w:val="0"/>
          <w:sz w:val="31"/>
          <w:szCs w:val="31"/>
        </w:rPr>
        <w:t>国有资产配置预算表</w:t>
      </w:r>
    </w:p>
    <w:p>
      <w:pPr>
        <w:pStyle w:val="2"/>
        <w:rPr>
          <w:lang w:val="en-US"/>
        </w:rPr>
      </w:pPr>
      <w:r>
        <w:rPr>
          <w:rFonts w:hint="eastAsia" w:ascii="仿宋_GB2312" w:cs="仿宋_GB2312"/>
          <w:color w:val="333333"/>
          <w:kern w:val="0"/>
          <w:sz w:val="31"/>
          <w:szCs w:val="31"/>
          <w:lang w:val="en-US"/>
        </w:rPr>
        <w:t>十八、项目支出绩效表</w:t>
      </w: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关于峨眉山市峨眉山市文化体育和旅游局(本级)20</w:t>
      </w:r>
      <w:r>
        <w:rPr>
          <w:rFonts w:ascii="方正小标宋简体" w:eastAsia="方正小标宋简体"/>
          <w:sz w:val="44"/>
          <w:szCs w:val="44"/>
        </w:rPr>
        <w:t>23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highlight w:val="none"/>
        </w:rPr>
      </w:pPr>
      <w:bookmarkStart w:id="6" w:name="_GoBack"/>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lang w:eastAsia="zh-CN"/>
        </w:rPr>
        <w:t>基本</w:t>
      </w:r>
      <w:r>
        <w:rPr>
          <w:rFonts w:hint="eastAsia" w:ascii="楷体_GB2312" w:hAnsi="楷体_GB2312" w:eastAsia="楷体_GB2312" w:cs="楷体_GB2312"/>
          <w:sz w:val="32"/>
          <w:szCs w:val="32"/>
          <w:highlight w:val="none"/>
        </w:rPr>
        <w:t>职能</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(一)拟订文化、体育、旅游、广播电视、文物保护相关的政策措施和规范性文件并组织实施，负责本部门依法行政工作。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(三)管理全市重大文化、体育、旅游、广播电视活动，指导全市重点文化、体育、旅游、广播电视、文物设施建设，组织全市文化和旅游整体形象推广，制定旅游市场开发战略并组织实施，推进全域旅游。</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(四)推进文化和旅游融合发展，推动文化作品创作和旅游产品开发，促进文化和旅游产业深度融合。</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(五)指导管理文艺事业，推动艺术创作生产，扶持体现社会主义核心价值观、具有导向性代表性示范性的文艺作品，推动各门类艺术、各艺术品种发展，推动中华优秀传统文化和地方特色文化传承发展。</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(六)负责公共文化、体育事业发展，推进全市公共文化服务体系建设、旅游公共服务建设、多元化体育服务体系建设，深入实施文化惠民工程，统筹推进基本公共文化服务标准化、均等</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(八)统筹规划全市群众体育发展，负责推行全民健身计划，监督实施国家体育锻炼标准，推动全市国民体质监测和社会体育指导工作队伍制度建设，指导公共体育设施建设，负责对公共体育设施的监督管理。</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(十)推进文化、旅游和广播电视科技创新发展，推进文化和旅游行业信息化、标准化、规范化建设。</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(十一)负责非物质文化遗产保护，推动非物质文化遗产的保护、传承、普及、弘扬和振兴。</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(十二)组织实施文化和旅游资源普查、挖掘、保护与利用工作，促进文化产业和旅游产业发展。</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(十三)指导文化旅游和广播电视市场发展，对市场经营进行行业监管，推进文化旅游和广播电视行业信用体系建设，依法规范文化旅游和广播电视市场。</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(十四)拟订文化和旅游市场经营场所、设施、服务、产品等标准并监督实施。监督管理旅游市场秩序、旅游服务质量。指导全市文化旅游市场综合执法，维护市场秩序。</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(十五)负责管理文化、体育、旅游、广播电视和文物对外交流合作与宣传推广工作。组织大型文化、体育、旅游、广播电视、文物对外交流活动。</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(十六)指导、协调全市性重大广播电视宣传活动，组织实施广播电视节目评价工作。监督管理、审查广播电视和网络视听节目的内容及质量。指导、监督广播电视广告播放。</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(十九)负责组织文化遗产、历史文化名城(镇、村)的申报和监督管理工作。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(二十)推动完善全市文物和博物馆公共服务体系建设。指导博物馆建设管理和社会文物管理工作。组织指导文物和博物馆，领域重大科研项目、科技保护、标准化建设。推动文物和博物馆领域装备技术提升。</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(二十一)负责职责范围内的安全生产和职业健康、生态环境保护、审批服务便民化等工作。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(二十二)完成市委、市政府交办的其他工作。</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(二十三)职能转变。</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以人民对美好生活的向往为引导，统筹推进文化事业、文化产业和旅游业融合发展。用好文化创意、科技创新和社会投资等新动能，促进文化和旅游与相关产业融合发展。坚持“生态立市、文旅兴市、产业强市”发展战略，突出“文旅主导”地位，加快建设世界重要旅游目的地核心区。</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2.统筹推进承担行政职能的事业单位改革，市文物管理局不再承担相关行政职责,交由市文体旅游局机关有关内设机构承担。</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(二十四)有关职责分工。</w:t>
      </w:r>
    </w:p>
    <w:p>
      <w:pPr>
        <w:spacing w:line="600" w:lineRule="exact"/>
        <w:ind w:firstLine="640" w:firstLineChars="200"/>
        <w:rPr>
          <w:rFonts w:hint="eastAsia" w:ascii="楷体_GB2312" w:hAnsi="楷体_GB2312" w:eastAsia="楷体_GB2312" w:cs="楷体_GB2312"/>
          <w:sz w:val="32"/>
          <w:szCs w:val="32"/>
          <w:highlight w:val="yellow"/>
        </w:rPr>
      </w:pPr>
      <w:r>
        <w:rPr>
          <w:rFonts w:hint="eastAsia" w:ascii="仿宋_GB2312" w:hAnsi="仿宋" w:eastAsia="仿宋_GB2312"/>
          <w:sz w:val="32"/>
          <w:szCs w:val="32"/>
          <w:highlight w:val="none"/>
        </w:rPr>
        <w:t>与市商务局有关职责分工。市商务局负责住宿业的行业管理。市文体旅游局负责星级酒店、星级农家乐、精品民宿的日常管理和安全监督管理。</w:t>
      </w:r>
    </w:p>
    <w:p>
      <w:pPr>
        <w:spacing w:line="60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2023年</w:t>
      </w:r>
      <w:r>
        <w:rPr>
          <w:rFonts w:hint="eastAsia" w:ascii="楷体_GB2312" w:hAnsi="楷体_GB2312" w:eastAsia="楷体_GB2312" w:cs="楷体_GB2312"/>
          <w:sz w:val="32"/>
          <w:szCs w:val="32"/>
          <w:highlight w:val="none"/>
          <w:lang w:eastAsia="zh-CN"/>
        </w:rPr>
        <w:t>主要</w:t>
      </w:r>
      <w:r>
        <w:rPr>
          <w:rFonts w:hint="eastAsia" w:ascii="楷体_GB2312" w:hAnsi="楷体_GB2312" w:eastAsia="楷体_GB2312" w:cs="楷体_GB2312"/>
          <w:sz w:val="32"/>
          <w:szCs w:val="32"/>
          <w:highlight w:val="none"/>
        </w:rPr>
        <w:t>工作任务</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宋体" w:eastAsia="楷体_GB2312"/>
          <w:bCs/>
          <w:sz w:val="32"/>
          <w:szCs w:val="32"/>
        </w:rPr>
        <w:t>（一）持续推进重点项目建设。</w:t>
      </w:r>
      <w:r>
        <w:rPr>
          <w:rFonts w:hint="eastAsia" w:ascii="仿宋_GB2312" w:hAnsi="仿宋_GB2312" w:eastAsia="仿宋_GB2312" w:cs="仿宋_GB2312"/>
          <w:sz w:val="32"/>
          <w:szCs w:val="32"/>
        </w:rPr>
        <w:t>全力推进悦榕庄酒店、冰雪大世界和</w:t>
      </w:r>
      <w:r>
        <w:rPr>
          <w:rFonts w:hint="eastAsia" w:ascii="仿宋_GB2312" w:hAnsi="仿宋_GB2312" w:eastAsia="仿宋_GB2312" w:cs="仿宋_GB2312"/>
          <w:bCs/>
          <w:sz w:val="32"/>
          <w:szCs w:val="32"/>
        </w:rPr>
        <w:t>太阳谷国际旅游康养度假区</w:t>
      </w:r>
      <w:r>
        <w:rPr>
          <w:rFonts w:hint="eastAsia" w:ascii="仿宋_GB2312" w:hAnsi="仿宋_GB2312" w:eastAsia="仿宋_GB2312" w:cs="仿宋_GB2312"/>
          <w:sz w:val="32"/>
          <w:szCs w:val="32"/>
        </w:rPr>
        <w:t>3个“挂图作战”项目。</w:t>
      </w:r>
    </w:p>
    <w:p>
      <w:pPr>
        <w:pStyle w:val="2"/>
        <w:spacing w:line="600" w:lineRule="exact"/>
        <w:ind w:firstLine="640"/>
        <w:rPr>
          <w:rFonts w:hint="eastAsia" w:ascii="仿宋_GB2312" w:hAnsi="仿宋_GB2312" w:eastAsia="仿宋_GB2312" w:cs="仿宋_GB2312"/>
          <w:sz w:val="32"/>
          <w:szCs w:val="32"/>
        </w:rPr>
      </w:pPr>
      <w:r>
        <w:rPr>
          <w:rFonts w:hint="eastAsia" w:ascii="楷体_GB2312" w:hAnsi="宋体" w:eastAsia="楷体_GB2312"/>
          <w:bCs/>
          <w:sz w:val="32"/>
          <w:szCs w:val="32"/>
        </w:rPr>
        <w:t>（</w:t>
      </w:r>
      <w:r>
        <w:rPr>
          <w:rFonts w:hint="eastAsia" w:ascii="楷体_GB2312" w:hAnsi="宋体" w:eastAsia="楷体_GB2312"/>
          <w:bCs/>
          <w:sz w:val="32"/>
          <w:szCs w:val="32"/>
          <w:lang w:val="en-US" w:eastAsia="zh-CN"/>
        </w:rPr>
        <w:t>二</w:t>
      </w:r>
      <w:r>
        <w:rPr>
          <w:rFonts w:hint="eastAsia" w:ascii="楷体_GB2312" w:hAnsi="宋体" w:eastAsia="楷体_GB2312"/>
          <w:bCs/>
          <w:sz w:val="32"/>
          <w:szCs w:val="32"/>
        </w:rPr>
        <w:t>）持续做好峨秀湖国家级旅游度假区提升。</w:t>
      </w:r>
      <w:r>
        <w:rPr>
          <w:rFonts w:hint="eastAsia" w:ascii="仿宋_GB2312" w:hAnsi="仿宋_GB2312" w:eastAsia="仿宋_GB2312" w:cs="仿宋_GB2312"/>
          <w:sz w:val="32"/>
          <w:szCs w:val="32"/>
        </w:rPr>
        <w:t>开展度假区调研摸底、专家指导，形成提升方案，提升度假服务和度假业态。</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楷体_GB2312" w:hAnsi="宋体" w:eastAsia="楷体_GB2312"/>
          <w:bCs/>
          <w:sz w:val="32"/>
          <w:szCs w:val="32"/>
        </w:rPr>
        <w:t>（</w:t>
      </w:r>
      <w:r>
        <w:rPr>
          <w:rFonts w:hint="eastAsia" w:ascii="楷体_GB2312" w:hAnsi="宋体" w:eastAsia="楷体_GB2312"/>
          <w:bCs/>
          <w:sz w:val="32"/>
          <w:szCs w:val="32"/>
          <w:lang w:val="en-US" w:eastAsia="zh-CN"/>
        </w:rPr>
        <w:t>三</w:t>
      </w:r>
      <w:r>
        <w:rPr>
          <w:rFonts w:hint="eastAsia" w:ascii="楷体_GB2312" w:hAnsi="宋体" w:eastAsia="楷体_GB2312" w:cs="Times New Roman"/>
          <w:bCs/>
          <w:sz w:val="32"/>
          <w:szCs w:val="32"/>
        </w:rPr>
        <w:t>）继续办好</w:t>
      </w:r>
      <w:r>
        <w:rPr>
          <w:rFonts w:hint="eastAsia" w:ascii="楷体_GB2312" w:hAnsi="宋体" w:eastAsia="楷体_GB2312"/>
          <w:bCs/>
          <w:sz w:val="32"/>
          <w:szCs w:val="32"/>
        </w:rPr>
        <w:t>第十届四川国际旅游交易博览会。</w:t>
      </w:r>
      <w:r>
        <w:rPr>
          <w:rFonts w:hint="eastAsia" w:ascii="仿宋_GB2312" w:hAnsi="仿宋_GB2312" w:eastAsia="仿宋_GB2312" w:cs="仿宋_GB2312"/>
          <w:sz w:val="32"/>
          <w:szCs w:val="32"/>
        </w:rPr>
        <w:t>按照乐山市下达任务，继续配合做好第十届旅博会筹备工作。</w:t>
      </w:r>
    </w:p>
    <w:p>
      <w:pPr>
        <w:spacing w:line="600" w:lineRule="exact"/>
        <w:ind w:firstLine="640" w:firstLineChars="200"/>
        <w:jc w:val="left"/>
        <w:rPr>
          <w:rFonts w:ascii="仿宋_GB2312" w:hAnsi="宋体" w:eastAsia="仿宋_GB2312"/>
          <w:sz w:val="32"/>
          <w:szCs w:val="32"/>
        </w:rPr>
      </w:pPr>
      <w:r>
        <w:rPr>
          <w:rFonts w:hint="eastAsia" w:ascii="楷体_GB2312" w:hAnsi="宋体" w:eastAsia="楷体_GB2312" w:cs="Times New Roman"/>
          <w:bCs/>
          <w:kern w:val="2"/>
          <w:sz w:val="32"/>
          <w:szCs w:val="32"/>
          <w:lang w:val="en-US" w:eastAsia="zh-CN" w:bidi="ar-SA"/>
        </w:rPr>
        <w:t>（四）持续做好旅游营销和统计工作。</w:t>
      </w:r>
      <w:r>
        <w:rPr>
          <w:rFonts w:hint="eastAsia" w:ascii="仿宋_GB2312" w:hAnsi="仿宋_GB2312" w:eastAsia="仿宋_GB2312" w:cs="仿宋_GB2312"/>
          <w:sz w:val="32"/>
          <w:szCs w:val="32"/>
        </w:rPr>
        <w:t>继续做好全市下半年“聚人气促复苏”文旅营销活动后续工作，做好上海站、西安等重点客源城市营销推介工作。</w:t>
      </w:r>
      <w:r>
        <w:rPr>
          <w:rFonts w:hint="eastAsia" w:ascii="仿宋_GB2312" w:eastAsia="仿宋_GB2312"/>
          <w:sz w:val="32"/>
          <w:szCs w:val="32"/>
        </w:rPr>
        <w:t>继续发挥网络平台的优势，加大对官博等线上平台的内容输出</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牢牢抓住“线上”“云端”等新市场</w:t>
      </w:r>
      <w:r>
        <w:rPr>
          <w:rFonts w:hint="eastAsia" w:ascii="仿宋_GB2312" w:eastAsia="仿宋_GB2312"/>
          <w:sz w:val="32"/>
          <w:szCs w:val="32"/>
        </w:rPr>
        <w:t>。完成常规化的下半年假日旅游统计和抽样调查工作。</w:t>
      </w:r>
    </w:p>
    <w:p>
      <w:pPr>
        <w:spacing w:line="600" w:lineRule="exact"/>
        <w:ind w:firstLine="640" w:firstLineChars="200"/>
        <w:rPr>
          <w:rFonts w:ascii="仿宋_GB2312" w:hAnsi="仿宋_GB2312" w:eastAsia="仿宋_GB2312" w:cs="仿宋_GB2312"/>
          <w:sz w:val="32"/>
          <w:szCs w:val="32"/>
        </w:rPr>
      </w:pPr>
      <w:r>
        <w:rPr>
          <w:rFonts w:hint="eastAsia" w:ascii="楷体_GB2312" w:hAnsi="宋体" w:eastAsia="楷体_GB2312"/>
          <w:bCs/>
          <w:sz w:val="32"/>
          <w:szCs w:val="32"/>
        </w:rPr>
        <w:t>（</w:t>
      </w:r>
      <w:r>
        <w:rPr>
          <w:rFonts w:hint="eastAsia" w:ascii="楷体_GB2312" w:hAnsi="宋体" w:eastAsia="楷体_GB2312"/>
          <w:bCs/>
          <w:sz w:val="32"/>
          <w:szCs w:val="32"/>
          <w:lang w:val="en-US" w:eastAsia="zh-CN"/>
        </w:rPr>
        <w:t>五</w:t>
      </w:r>
      <w:r>
        <w:rPr>
          <w:rFonts w:hint="eastAsia" w:ascii="楷体_GB2312" w:hAnsi="宋体" w:eastAsia="楷体_GB2312"/>
          <w:bCs/>
          <w:sz w:val="32"/>
          <w:szCs w:val="32"/>
        </w:rPr>
        <w:t>）有序推进全国文旅市场信用经济试点建设。</w:t>
      </w:r>
      <w:r>
        <w:rPr>
          <w:rFonts w:hint="eastAsia" w:ascii="仿宋_GB2312" w:hAnsi="仿宋_GB2312" w:eastAsia="仿宋_GB2312" w:cs="仿宋_GB2312"/>
          <w:sz w:val="32"/>
          <w:szCs w:val="32"/>
        </w:rPr>
        <w:t>景城一体，会同第三方机构，</w:t>
      </w:r>
      <w:r>
        <w:rPr>
          <w:rFonts w:hint="eastAsia" w:ascii="仿宋_GB2312" w:hAnsi="仿宋_GB2312" w:eastAsia="仿宋_GB2312" w:cs="仿宋_GB2312"/>
          <w:bCs/>
          <w:sz w:val="32"/>
          <w:szCs w:val="32"/>
        </w:rPr>
        <w:t>引导峨眉山景区为代表的4A级以上景区、特色餐饮门店、星级和高品质酒店、交通运输企业、文创商店、文博场馆、演艺场所，对游客推出“先游后付”“无押住宿”，让来峨游客在“吃住行游购娱”全链条场景中体验基于信用的优惠政策</w:t>
      </w:r>
      <w:r>
        <w:rPr>
          <w:rFonts w:hint="eastAsia" w:ascii="仿宋_GB2312" w:hAnsi="仿宋_GB2312" w:eastAsia="仿宋_GB2312" w:cs="仿宋_GB2312"/>
          <w:bCs/>
          <w:sz w:val="32"/>
          <w:szCs w:val="32"/>
          <w:lang w:eastAsia="zh-CN"/>
        </w:rPr>
        <w:t>，准备</w:t>
      </w:r>
      <w:r>
        <w:rPr>
          <w:rFonts w:hint="eastAsia" w:ascii="仿宋_GB2312" w:hAnsi="仿宋_GB2312" w:eastAsia="仿宋_GB2312" w:cs="仿宋_GB2312"/>
          <w:bCs/>
          <w:sz w:val="32"/>
          <w:szCs w:val="32"/>
        </w:rPr>
        <w:t>迎接国家文旅部验收。</w:t>
      </w:r>
    </w:p>
    <w:p>
      <w:pPr>
        <w:spacing w:line="600" w:lineRule="exact"/>
        <w:ind w:firstLine="640" w:firstLineChars="200"/>
        <w:rPr>
          <w:rFonts w:ascii="仿宋_GB2312" w:eastAsia="仿宋_GB2312"/>
          <w:sz w:val="32"/>
          <w:szCs w:val="32"/>
        </w:rPr>
      </w:pPr>
      <w:r>
        <w:rPr>
          <w:rFonts w:hint="eastAsia" w:ascii="楷体_GB2312" w:hAnsi="宋体" w:eastAsia="楷体_GB2312"/>
          <w:bCs/>
          <w:sz w:val="32"/>
          <w:szCs w:val="32"/>
        </w:rPr>
        <w:t>（</w:t>
      </w:r>
      <w:r>
        <w:rPr>
          <w:rFonts w:hint="eastAsia" w:ascii="楷体_GB2312" w:hAnsi="宋体" w:eastAsia="楷体_GB2312"/>
          <w:bCs/>
          <w:sz w:val="32"/>
          <w:szCs w:val="32"/>
          <w:lang w:val="en-US" w:eastAsia="zh-CN"/>
        </w:rPr>
        <w:t>六</w:t>
      </w:r>
      <w:r>
        <w:rPr>
          <w:rFonts w:hint="eastAsia" w:ascii="楷体_GB2312" w:hAnsi="宋体" w:eastAsia="楷体_GB2312"/>
          <w:bCs/>
          <w:sz w:val="32"/>
          <w:szCs w:val="32"/>
        </w:rPr>
        <w:t>）持续提升公共文化服务水平。</w:t>
      </w:r>
      <w:r>
        <w:rPr>
          <w:rFonts w:hint="eastAsia" w:ascii="仿宋_GB2312" w:hAnsi="仿宋_GB2312" w:eastAsia="仿宋_GB2312" w:cs="仿宋_GB2312"/>
          <w:bCs/>
          <w:sz w:val="32"/>
          <w:szCs w:val="32"/>
        </w:rPr>
        <w:t>扎实做好国家公共文化服务体系示范区创新发展复核工作；加快推进全市应急广播体系建设项目和四川省智慧广电项目；推进大庙飞来殿文化展示工程。</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lang w:val="en-US" w:eastAsia="zh-CN"/>
        </w:rPr>
      </w:pPr>
      <w:r>
        <w:rPr>
          <w:rFonts w:hint="eastAsia" w:ascii="楷体_GB2312" w:hAnsi="宋体" w:eastAsia="楷体_GB2312" w:cs="Times New Roman"/>
          <w:bCs/>
          <w:sz w:val="32"/>
          <w:szCs w:val="32"/>
        </w:rPr>
        <w:t>（</w:t>
      </w:r>
      <w:r>
        <w:rPr>
          <w:rFonts w:hint="eastAsia" w:ascii="楷体_GB2312" w:hAnsi="宋体" w:eastAsia="楷体_GB2312" w:cs="Times New Roman"/>
          <w:bCs/>
          <w:sz w:val="32"/>
          <w:szCs w:val="32"/>
          <w:lang w:val="en-US" w:eastAsia="zh-CN"/>
        </w:rPr>
        <w:t>七</w:t>
      </w:r>
      <w:r>
        <w:rPr>
          <w:rFonts w:hint="eastAsia" w:ascii="楷体_GB2312" w:hAnsi="宋体" w:eastAsia="楷体_GB2312" w:cs="Times New Roman"/>
          <w:bCs/>
          <w:sz w:val="32"/>
          <w:szCs w:val="32"/>
        </w:rPr>
        <w:t>）</w:t>
      </w:r>
      <w:r>
        <w:rPr>
          <w:rFonts w:hint="eastAsia" w:ascii="楷体_GB2312" w:hAnsi="宋体" w:eastAsia="楷体_GB2312" w:cs="Times New Roman"/>
          <w:bCs/>
          <w:sz w:val="32"/>
          <w:szCs w:val="32"/>
          <w:lang w:val="en-US" w:eastAsia="zh-CN"/>
        </w:rPr>
        <w:t>常态化办好系列国际国内赛事活动。</w:t>
      </w:r>
      <w:r>
        <w:rPr>
          <w:rFonts w:hint="eastAsia" w:ascii="仿宋_GB2312" w:hAnsi="仿宋_GB2312" w:eastAsia="仿宋_GB2312" w:cs="仿宋_GB2312"/>
          <w:bCs/>
          <w:sz w:val="32"/>
          <w:szCs w:val="32"/>
          <w:lang w:val="en-US" w:eastAsia="zh-CN"/>
        </w:rPr>
        <w:t>着力办好第九届世界传统武术锦标赛、第七届四川国际峨眉武术节、全国柔术锦标赛、登山节等特色赛事活动，以叠成出新的新业态新产品吸引、留住广大游客。</w:t>
      </w:r>
    </w:p>
    <w:p>
      <w:pPr>
        <w:spacing w:line="600" w:lineRule="exact"/>
        <w:ind w:firstLine="640" w:firstLineChars="200"/>
        <w:jc w:val="left"/>
        <w:rPr>
          <w:rFonts w:hint="eastAsia" w:ascii="仿宋_GB2312" w:hAnsi="仿宋_GB2312" w:eastAsia="仿宋_GB2312" w:cs="仿宋_GB2312"/>
          <w:bCs/>
          <w:sz w:val="32"/>
          <w:szCs w:val="32"/>
        </w:rPr>
      </w:pPr>
      <w:r>
        <w:rPr>
          <w:rFonts w:hint="eastAsia" w:ascii="楷体_GB2312" w:eastAsia="楷体_GB2312"/>
          <w:bCs/>
          <w:sz w:val="32"/>
          <w:szCs w:val="32"/>
          <w:lang w:eastAsia="zh-CN"/>
        </w:rPr>
        <w:t>（八）全面提升旅游服务质量。</w:t>
      </w:r>
      <w:r>
        <w:rPr>
          <w:rFonts w:hint="eastAsia" w:ascii="仿宋_GB2312" w:hAnsi="仿宋_GB2312" w:eastAsia="仿宋_GB2312" w:cs="仿宋_GB2312"/>
          <w:bCs/>
          <w:sz w:val="32"/>
          <w:szCs w:val="32"/>
          <w:lang w:eastAsia="zh-CN"/>
        </w:rPr>
        <w:t>持续做好“心连心旅游服务岗”暖心服务，根据游客需求，提升差异化服务；开展旅游服务质量培训，通过旅游咨询服务点培养具备全域旅游推介能力的高素质讲解员；加强导游队伍建设，建立导游讲解人才库，支持优秀导游参评天府旅游名导；举办旅游服务技能竞赛，发挥优质旅游服务企业示范引导作用；培育企业质量文化，提高旅行社、</w:t>
      </w:r>
      <w:r>
        <w:rPr>
          <w:rFonts w:hint="eastAsia" w:ascii="仿宋_GB2312" w:hAnsi="仿宋_GB2312" w:eastAsia="仿宋_GB2312" w:cs="仿宋_GB2312"/>
          <w:bCs/>
          <w:sz w:val="32"/>
          <w:szCs w:val="32"/>
          <w:lang w:val="en-US" w:eastAsia="zh-CN"/>
        </w:rPr>
        <w:t>A级景区、星级酒店</w:t>
      </w:r>
      <w:r>
        <w:rPr>
          <w:rFonts w:hint="eastAsia" w:ascii="仿宋_GB2312" w:hAnsi="仿宋_GB2312" w:eastAsia="仿宋_GB2312" w:cs="仿宋_GB2312"/>
          <w:bCs/>
          <w:sz w:val="32"/>
          <w:szCs w:val="32"/>
          <w:lang w:eastAsia="zh-CN"/>
        </w:rPr>
        <w:t>旅游管理人员和从业人员质量意识和质量素养，推动旅游企业树立以质取胜发展思维、质量第一的企业文化。</w:t>
      </w:r>
    </w:p>
    <w:p>
      <w:pPr>
        <w:spacing w:line="600" w:lineRule="exact"/>
        <w:ind w:firstLine="640" w:firstLineChars="200"/>
        <w:jc w:val="left"/>
        <w:rPr>
          <w:rFonts w:hint="eastAsia" w:ascii="仿宋_GB2312" w:hAnsi="仿宋_GB2312" w:eastAsia="仿宋_GB2312" w:cs="仿宋_GB2312"/>
          <w:sz w:val="32"/>
          <w:szCs w:val="32"/>
        </w:rPr>
      </w:pPr>
      <w:r>
        <w:rPr>
          <w:rFonts w:hint="eastAsia" w:ascii="楷体_GB2312" w:eastAsia="楷体_GB2312"/>
          <w:bCs/>
          <w:sz w:val="32"/>
          <w:szCs w:val="32"/>
        </w:rPr>
        <w:t>（</w:t>
      </w:r>
      <w:r>
        <w:rPr>
          <w:rFonts w:hint="eastAsia" w:ascii="楷体_GB2312" w:eastAsia="楷体_GB2312"/>
          <w:bCs/>
          <w:sz w:val="32"/>
          <w:szCs w:val="32"/>
          <w:lang w:eastAsia="zh-CN"/>
        </w:rPr>
        <w:t>九</w:t>
      </w:r>
      <w:r>
        <w:rPr>
          <w:rFonts w:hint="eastAsia" w:ascii="楷体_GB2312" w:eastAsia="楷体_GB2312"/>
          <w:bCs/>
          <w:sz w:val="32"/>
          <w:szCs w:val="32"/>
        </w:rPr>
        <w:t>）全力完成市委市政府交办的各项工作任务。</w:t>
      </w:r>
    </w:p>
    <w:bookmarkEnd w:id="6"/>
    <w:p>
      <w:pPr>
        <w:pStyle w:val="3"/>
      </w:pP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highlight w:val="none"/>
        </w:rPr>
      </w:pPr>
      <w:r>
        <w:rPr>
          <w:rFonts w:hint="eastAsia" w:ascii="仿宋_GB2312" w:eastAsia="仿宋_GB2312"/>
          <w:sz w:val="32"/>
          <w:szCs w:val="32"/>
          <w:highlight w:val="none"/>
        </w:rPr>
        <w:t>峨眉山市文化体育和旅游局（本级）为峨眉山市文化体育和旅游局下属二级预算</w:t>
      </w:r>
      <w:r>
        <w:rPr>
          <w:rFonts w:hint="eastAsia" w:ascii="仿宋_GB2312" w:eastAsia="仿宋_GB2312"/>
          <w:sz w:val="32"/>
          <w:szCs w:val="32"/>
          <w:highlight w:val="none"/>
          <w:lang w:eastAsia="zh-CN"/>
        </w:rPr>
        <w:t>行政</w:t>
      </w:r>
      <w:r>
        <w:rPr>
          <w:rFonts w:hint="eastAsia" w:ascii="仿宋_GB2312" w:eastAsia="仿宋_GB2312"/>
          <w:sz w:val="32"/>
          <w:szCs w:val="32"/>
          <w:highlight w:val="none"/>
        </w:rPr>
        <w:t>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按照综合预算的原则，峨眉山市文化体育和旅游局所有收入和支出均纳入预算管理。</w:t>
      </w:r>
      <w:r>
        <w:rPr>
          <w:rFonts w:ascii="仿宋_GB2312" w:eastAsia="仿宋_GB2312"/>
          <w:sz w:val="32"/>
          <w:szCs w:val="32"/>
        </w:rPr>
        <w:t>2023</w:t>
      </w:r>
      <w:r>
        <w:rPr>
          <w:rFonts w:hint="eastAsia" w:ascii="仿宋_GB2312" w:eastAsia="仿宋_GB2312"/>
          <w:sz w:val="32"/>
          <w:szCs w:val="32"/>
        </w:rPr>
        <w:t>年峨眉山市文化体育和旅游局收入预算总额为3221.71万元，较上年预算数增加1752.11万元。其中：当年财政拨款收入2169.53万元，事业收入0万元，其他收入0万元，上年结转结余1052.18万元。相应安排支出预算3221.71万元，其中：人员支出530.36万元，日常公用支出97.74万元，对个人和家庭的补助支出15.88万元，专项支出2577.73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年财政拨款收支总预算3221.71万元，主要用于保障峨眉山市文化体育和旅游局机构正常运转、完成日常工作任务以</w:t>
      </w:r>
      <w:r>
        <w:rPr>
          <w:rFonts w:hint="eastAsia" w:ascii="仿宋_GB2312" w:eastAsia="仿宋_GB2312"/>
          <w:sz w:val="32"/>
          <w:szCs w:val="32"/>
          <w:highlight w:val="none"/>
        </w:rPr>
        <w:t>及承担</w:t>
      </w:r>
      <w:r>
        <w:rPr>
          <w:rFonts w:hint="eastAsia" w:ascii="仿宋_GB2312" w:eastAsia="仿宋_GB2312"/>
          <w:sz w:val="32"/>
          <w:szCs w:val="32"/>
          <w:highlight w:val="none"/>
          <w:lang w:eastAsia="zh-CN"/>
        </w:rPr>
        <w:t>全市文化、体育、旅游</w:t>
      </w:r>
      <w:r>
        <w:rPr>
          <w:rFonts w:hint="eastAsia" w:ascii="仿宋_GB2312" w:eastAsia="仿宋_GB2312"/>
          <w:sz w:val="32"/>
          <w:szCs w:val="32"/>
          <w:highlight w:val="none"/>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基本支出643.98万元，是用于保障峨眉山市文化体育和旅游局正常运转的日常支出，包括基本工资、津贴补贴等人员经费以及办公费、印刷费、水电费、办公设备购置等日常公用经费。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项目支出2577.73万元，是用于保障峨眉山市文化体育和旅游局为完成特定的行政工作任务或事业发展目标，用于专项业务工作的经费支出。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年一般公共预算当年拨款2493.99万元，较上年预算数增加846.96万元。</w:t>
      </w:r>
      <w:r>
        <w:rPr>
          <w:rFonts w:hint="eastAsia" w:ascii="仿宋_GB2312" w:eastAsia="仿宋_GB2312"/>
          <w:sz w:val="32"/>
          <w:szCs w:val="32"/>
          <w:highlight w:val="none"/>
        </w:rPr>
        <w:t>主要原因是项目经费增加。</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文化旅游体育与传媒支出2330.41万元，占93.44%；社会保障和就业支出90.19万元，占3.62%；卫生健康支出25.76万元，占1.03%；住房保障支出47.63万元占1.91%。</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文化旅游体育与传媒支出（类）文化和旅游（款）行政运行（项）（2070101），2023年预算数为512.05万元，主要用于：行政单位的基本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2.文化旅游体育与传媒支出（类）文化和旅游（款）群众文化（项）（2070109），2023年预算数为10.00万元，主要用于：反映群众文化方面的支出，包括基层文化馆（站）、群众艺术馆支出等。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文化旅游体育与传媒支出（类）文化和旅游（款）旅游宣传（项）（2070113），2023年预算数为20.00万元，主要用于：在境内外开展各类旅游宣传促销活动的支出，包括驻外旅游机构宣传费、境外宣传促销费、境内宣传促销费、海外记者及旅行商接待费、旅游宣传品制作费及设备购置费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4.文化旅游体育与传媒支出（类）文化和旅游（款）文化和旅游管理事务（项）（2070114），2023年预算数为44.20万元，主要用于：在文化和旅游管理事务支出。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5.文化旅游体育与传媒支出（类）文化和旅游（款）其他文化和旅游支出（项）（2070199），2023年预算数为658.50万元，主要用于：其他用于文化和旅游方面的支出。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6.文化旅游体育与传媒支出（类）体育（款）体育竞技（项）（2070305），2023年预算数为160.00万元，主要用于：综合性运动会及单项体育比赛支出。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7.文化旅游体育与传媒支出（类）体育（款）体育场馆（项）（2070307），2023年预算数为3.26万元，主要用于：体育场馆建设及维护方面的支出。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8.文化旅游体育与传媒支出（类）体育（款）群众体育（项）（2070308），2023年预算数为155.00万元，主要用于：业余体校和全民健身等群众体育活动方面的支出。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9.文化旅游体育与传媒支出（类）体育（款）其他体育支出（项）（2070399），2023年预算数为6.32万元，主要用于：除上诉项目以外其他用于体育方面的支出。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10.文化旅游体育与传媒支出（类）广播电视（款）其他广播电视支出（项）（2070899），2023年预算数为750.28万元，主要用于：其他用于广播电视方面的支出。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11.文化旅游体育与传媒支出（类）其他文化旅游体育与传媒支出（款）其他文化旅游体育与传媒支出（项）（2079999），2023年预算数为10.80万元，主要用于：其他用于文化旅游体育与传媒方面的支出。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社会保障和就业支出（类）行政事业单位养老支出（款）机关事业单位养老保险缴费支出（项）（2080505），2023年预算数为55.38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13.社会保障和就业支出（类）行政事业单位养老支出（款）机关事业单位职业年金缴费支出（项）（2080506），2023年预算数为27.69万元，主要用于：机关事业单位实施养老保险制度由单位实际缴纳的职业年金支出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14.社会保障和就业支出（类）其他社会保障和就业支出（款）其他社会保障和就业支出（项）（2089999），2023年预算为7.12万元，主要用于：反映除上述项目以外其他用于社会保障和就业方面的支出。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卫生健康支出（类）行政事业单位医疗（款）行政单位医疗（项）（2101102），2023年预算数为21.11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）行政事业单位医疗（款）公务员医疗补助（项）（2101103），2023年预算数为4.65万元，主要用于：机关人员的公务员医疗补助等支出。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住房保障支出（类）住房改革支出（款）住房公积金（项）（2210201），2023年预算数为47.63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年一般公共预算基本支出643.98万元，其中：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人员经费546.24万元，主要包括：基本工资、津贴补贴、、奖金、社会保险缴费、住房公积金、生活补助、奖励金、其他对个人和家庭的补助。</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公用经费97.74万元，主要包括：办公费、印刷费、水费、邮电费、差旅费、公务接待费、委托业务费、工会经费、公务车运行维护费、其他交通费、其他商品和服务支出。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年政府性基金预算当年拨款727.72万元，较上年预算数增加105.08万元。</w:t>
      </w:r>
      <w:r>
        <w:rPr>
          <w:rFonts w:hint="eastAsia" w:ascii="仿宋_GB2312" w:eastAsia="仿宋_GB2312"/>
          <w:sz w:val="32"/>
          <w:szCs w:val="32"/>
          <w:highlight w:val="none"/>
        </w:rPr>
        <w:t>主要原因是：项目增加，项目经费增加。</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峨眉山市文化体育和旅游局</w:t>
      </w:r>
      <w:r>
        <w:rPr>
          <w:rFonts w:ascii="仿宋_GB2312" w:eastAsia="仿宋_GB2312"/>
          <w:sz w:val="32"/>
          <w:szCs w:val="32"/>
        </w:rPr>
        <w:t>2023</w:t>
      </w:r>
      <w:r>
        <w:rPr>
          <w:rFonts w:hint="eastAsia" w:ascii="仿宋_GB2312" w:eastAsia="仿宋_GB2312"/>
          <w:sz w:val="32"/>
          <w:szCs w:val="32"/>
        </w:rPr>
        <w:t>年“三公”经费预算数7万元，较上年“三公”经费预算数增加1万元。其中财政拨款安排“三公”经费7万元。因公出国（境）经费0万元，公务接待费1万元，公务用车购置及运行维护费6万元。</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2023年无因公出国（境）预算。</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较上年预算增加1万元，增长100%。增加原因：本年有公务接待计划。</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highlight w:val="none"/>
        </w:rPr>
        <w:t>2023</w:t>
      </w:r>
      <w:r>
        <w:rPr>
          <w:rFonts w:hint="eastAsia" w:ascii="仿宋_GB2312" w:eastAsia="仿宋_GB2312"/>
          <w:sz w:val="32"/>
          <w:szCs w:val="32"/>
          <w:highlight w:val="none"/>
        </w:rPr>
        <w:t>年公务接待费计划用于</w:t>
      </w:r>
      <w:r>
        <w:rPr>
          <w:rFonts w:hint="eastAsia" w:ascii="仿宋_GB2312" w:eastAsia="仿宋_GB2312"/>
          <w:sz w:val="32"/>
          <w:szCs w:val="32"/>
          <w:highlight w:val="none"/>
          <w:lang w:eastAsia="zh-CN"/>
        </w:rPr>
        <w:t>接待文体旅相关事业调研交流工作任务</w:t>
      </w:r>
      <w:r>
        <w:rPr>
          <w:rFonts w:hint="eastAsia" w:ascii="仿宋_GB2312" w:eastAsia="仿宋_GB2312"/>
          <w:sz w:val="32"/>
          <w:szCs w:val="32"/>
          <w:highlight w:val="none"/>
        </w:rPr>
        <w:t>。</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单位现有公务用车15辆，其中：轿车7辆、越野车3辆、多功能乘用车0辆、小型载客汽车3辆，其他车型2辆。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年未安排公务用车购置费。</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rPr>
        <w:t>2023</w:t>
      </w:r>
      <w:r>
        <w:rPr>
          <w:rFonts w:hint="eastAsia" w:ascii="仿宋_GB2312" w:eastAsia="仿宋_GB2312"/>
          <w:sz w:val="32"/>
          <w:szCs w:val="32"/>
        </w:rPr>
        <w:t>年安排公务用车运行维护费6万元，与上年持平，</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本单位公务用车日常运维</w:t>
      </w:r>
      <w:r>
        <w:rPr>
          <w:rFonts w:hint="eastAsia" w:ascii="仿宋_GB2312" w:eastAsia="仿宋_GB2312"/>
          <w:sz w:val="32"/>
          <w:szCs w:val="32"/>
          <w:highlight w:val="none"/>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文化体育和旅游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97.74万元，较上年预算减少48.43万元，下降33.13%。</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年，峨眉山市文化体育和旅游局未安排政府采购预算。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截至去年底，峨眉山市文化体育和旅</w:t>
      </w:r>
      <w:r>
        <w:rPr>
          <w:rFonts w:hint="eastAsia" w:ascii="仿宋_GB2312" w:eastAsia="仿宋_GB2312"/>
          <w:sz w:val="32"/>
          <w:szCs w:val="32"/>
          <w:highlight w:val="none"/>
        </w:rPr>
        <w:t>游局实际共有车辆</w:t>
      </w:r>
      <w:r>
        <w:rPr>
          <w:rFonts w:hint="eastAsia" w:ascii="仿宋_GB2312" w:eastAsia="仿宋_GB2312"/>
          <w:sz w:val="32"/>
          <w:szCs w:val="32"/>
          <w:highlight w:val="none"/>
          <w:lang w:val="en-US" w:eastAsia="zh-CN"/>
        </w:rPr>
        <w:t>5</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年，预算未安排购置车辆及单位价值200万元以上大型设备。</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文化体育和旅游局按要求实行绩效目标管理，部门（单位）整体绩效目标涉及预算安排3221.71万元，其中基本支出643.98万元，项目支出2577.73万元。其中编制了项目绩效目标的预算2577.73万元，主要为旅游宣传营销、旅游咨询点公共服务费、四川省青少年锦标赛参赛费、老体协专项经费、全民体育活动及中小学体育比赛、地面数字更新维护费、两馆一站免低开地方配套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4.文化旅游体育与传媒支出（类）文化和旅游（款）行政运行（项）（2070101）：反映行政单位（包括实行公务员管理的事业单位）的基本支出。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5.文化旅游体育与传媒支出（类）文化和旅游（款）群众文化（项）（2070109）：反映群众文化方面的支出，包括基层文化馆（站）、群众艺术馆支出等。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文化旅游体育与传媒支出（类）文化和旅游（款）旅游宣传（项）（2070113）：反映在境内外开展各类旅游宣传促销活动的支出，包括驻外旅游机构宣传费、境外宣传促销费、境内宣传促销费、海外记者及旅行商接待费、旅游宣传品制作费及设备购置费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7.文化旅游体育与传媒支出（类）文化和旅游（款）文化和旅游管理事务（项）（2070114）：反映在文化和旅游管理事务支出。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8.文化旅游体育与传媒支出（类）文化和旅游（款）其他文化和旅游支出（项）（2070199）：反映除上述项目以为其他用于文化和旅游方面的支出。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9.文化旅游体育与传媒支出（类）体育（款）体育竞技（项）（2070305）：反映综合性运动会及单项体育比赛支出。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10.文化旅游体育与传媒支出（类）体育（款）体育场馆（项）（2070307）：反应体育场馆建设及维护方面的支出。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11.文化旅游体育与传媒支出（类）体育（款）群众体育（项）（2070308）：反映业余体校和全民健身等群众体育活动方面的支出。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12.文化旅游体育与传媒支出（类）广播电视（款）其他广播电视支出（项）（2070899）：反映除上述其他用于广播电视方面的支出。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13.文化旅游体育与传媒支出（类）其他文化旅游体育与传媒支出（款）其他文化旅游体育与传媒支出（项）（2079999）：反映除上述项目以为其他用于文化旅游体育与传媒方面的支出。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 社会保障和就业支出（类）行政事业单位养老支出（款）机关事业单位养老保险缴费支出（项）（2080505），指机关事业单位实施养老保险制度由单位缴纳的基本养老保险支出。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 社会保障和就业支出（类）行政事业单位养老支出（款）机关事业单位职业年金缴费支出（项）（2080506），指机关事业单位实施养老保险制度由单位实际缴纳的职业年金支出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 社会保障和就业支出（类）其他社会保障和就业支出（款）其他社会保障和就业支出（项）（2089999），反应除上述项目以外其他用于社会保障和就业方面的支出。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卫生健康支出（类）行政事业单位医疗（款）行政单位医疗（项）（2101101），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18.卫生健康支出（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）行政事业单位医疗（款）公务员医疗补助（项）（2101103）：反应机关人员的公务员医疗补助等支出。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19. 住房保障支出（类）住房改革支出（款）住房公积金（项）（2210201），反映按人力资源和社会保障部、财政部规定的基本工资和津贴补贴以及规定比例为职工缴纳的住房公积金支出。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21.项目支出：指在基本支出之外为完成特定行政任务和事业发展目标所发生的支出。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22.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hint="eastAsia" w:ascii="宋体" w:hAnsi="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wordWrap w:val="0"/>
                      <w:jc w:val="right"/>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hint="eastAsia" w:ascii="宋体" w:hAnsi="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default" w:ascii="宋体" w:hAnsi="宋体"/>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ind w:firstLine="280" w:firstLineChars="100"/>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hint="eastAsia" w:ascii="宋体" w:hAnsi="宋体"/>
                        <w:kern w:val="0"/>
                        <w:sz w:val="28"/>
                        <w:szCs w:val="28"/>
                      </w:rPr>
                      <w:t>—</w:t>
                    </w:r>
                  </w:p>
                </w:txbxContent>
              </v:textbox>
            </v:shape>
          </w:pict>
        </mc:Fallback>
      </mc:AlternateContent>
    </w:r>
    <w:r>
      <w:rPr>
        <w:rFonts w:hint="eastAsia" w:ascii="宋体" w:hAnsi="宋体"/>
        <w:sz w:val="28"/>
        <w:szCs w:val="28"/>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1MDUyODAyNmFjZmRhMjQzMzdiMjUwYTZiOWRkODkifQ=="/>
  </w:docVars>
  <w:rsids>
    <w:rsidRoot w:val="00F429C0"/>
    <w:rsid w:val="00050092"/>
    <w:rsid w:val="00091317"/>
    <w:rsid w:val="000F0A83"/>
    <w:rsid w:val="000F755E"/>
    <w:rsid w:val="00182359"/>
    <w:rsid w:val="001A0437"/>
    <w:rsid w:val="001A2108"/>
    <w:rsid w:val="002730CD"/>
    <w:rsid w:val="00383768"/>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BF5A95"/>
    <w:rsid w:val="00C044B7"/>
    <w:rsid w:val="00C5515C"/>
    <w:rsid w:val="00CC5FF3"/>
    <w:rsid w:val="00D36FE8"/>
    <w:rsid w:val="00DE1A43"/>
    <w:rsid w:val="00DF77CF"/>
    <w:rsid w:val="00EA6295"/>
    <w:rsid w:val="00F429C0"/>
    <w:rsid w:val="00FB45E1"/>
    <w:rsid w:val="066D6077"/>
    <w:rsid w:val="0BFE4DA3"/>
    <w:rsid w:val="14177243"/>
    <w:rsid w:val="15767455"/>
    <w:rsid w:val="15D35DF5"/>
    <w:rsid w:val="1E121978"/>
    <w:rsid w:val="21D6157A"/>
    <w:rsid w:val="270B2E60"/>
    <w:rsid w:val="276557C3"/>
    <w:rsid w:val="28E43F01"/>
    <w:rsid w:val="2D482F67"/>
    <w:rsid w:val="2ED21556"/>
    <w:rsid w:val="318E3C89"/>
    <w:rsid w:val="352B3C8A"/>
    <w:rsid w:val="36DD628E"/>
    <w:rsid w:val="3C21458C"/>
    <w:rsid w:val="3C6F5A34"/>
    <w:rsid w:val="3EE741B8"/>
    <w:rsid w:val="40C8289D"/>
    <w:rsid w:val="425D3645"/>
    <w:rsid w:val="46C53364"/>
    <w:rsid w:val="472A5D26"/>
    <w:rsid w:val="493C20A5"/>
    <w:rsid w:val="49DF285C"/>
    <w:rsid w:val="4DEE5E92"/>
    <w:rsid w:val="50041FB8"/>
    <w:rsid w:val="51EE4687"/>
    <w:rsid w:val="66FC7708"/>
    <w:rsid w:val="67D2734F"/>
    <w:rsid w:val="6E225A44"/>
    <w:rsid w:val="72476B53"/>
    <w:rsid w:val="745F682E"/>
    <w:rsid w:val="7697339E"/>
    <w:rsid w:val="7D3309A6"/>
    <w:rsid w:val="7E952C57"/>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0"/>
    <w:rPr>
      <w:rFonts w:ascii="宋体" w:hAnsi="宋体" w:eastAsia="仿宋_GB2312" w:cs="宋体"/>
      <w:sz w:val="32"/>
      <w:szCs w:val="28"/>
      <w:lang w:val="zh-CN" w:bidi="zh-CN"/>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8">
    <w:name w:val="正文文本 Char"/>
    <w:basedOn w:val="6"/>
    <w:link w:val="2"/>
    <w:uiPriority w:val="0"/>
    <w:rPr>
      <w:rFonts w:ascii="宋体" w:hAnsi="宋体" w:eastAsia="仿宋_GB2312" w:cs="宋体"/>
      <w:kern w:val="2"/>
      <w:sz w:val="32"/>
      <w:szCs w:val="2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924</Words>
  <Characters>5269</Characters>
  <Lines>43</Lines>
  <Paragraphs>12</Paragraphs>
  <TotalTime>2</TotalTime>
  <ScaleCrop>false</ScaleCrop>
  <LinksUpToDate>false</LinksUpToDate>
  <CharactersWithSpaces>6181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2023-03-24T06:22:55Z</cp:lastPrinted>
  <dcterms:modified xsi:type="dcterms:W3CDTF">2023-03-24T06:39:18Z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0E48328F51774944A000F17D129894B1</vt:lpwstr>
  </property>
</Properties>
</file>