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pStyle w:val="3"/>
        <w:bidi w:val="0"/>
        <w:rPr>
          <w:rFonts w:hint="eastAsia" w:ascii="黑体" w:hAnsi="黑体" w:eastAsia="黑体" w:cs="黑体"/>
          <w:b w:val="0"/>
          <w:bCs/>
          <w:sz w:val="31"/>
          <w:szCs w:val="31"/>
        </w:rPr>
      </w:pPr>
      <w:r>
        <w:rPr>
          <w:rFonts w:hint="eastAsia" w:ascii="黑体" w:hAnsi="黑体" w:eastAsia="黑体" w:cs="黑体"/>
          <w:b w:val="0"/>
          <w:bCs/>
          <w:sz w:val="31"/>
          <w:szCs w:val="31"/>
          <w:lang w:val="en-US" w:eastAsia="zh-CN"/>
        </w:rPr>
        <w:t>第一部分 关于峨眉山市财政投资评审中心2023年预算编制的说明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四、一般公共预算当年拨款情况说明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五、一般公共预算基本支出情况说明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六、政府性基金预算支出规模及变化情况说明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七、“三公”经费预算安排情况说明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八、其他重要事项的情况说明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                   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2023年峨眉山市财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政投资评审中心预算表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上级资金安排情况表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十三、项目支出表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0FF0980"/>
    <w:rsid w:val="2853131F"/>
    <w:rsid w:val="319F176C"/>
    <w:rsid w:val="5C393371"/>
    <w:rsid w:val="6A8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2023-03-07T02:41:22Z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