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auto"/>
          <w:spacing w:val="0"/>
          <w:sz w:val="84"/>
          <w:szCs w:val="8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auto"/>
          <w:spacing w:val="0"/>
          <w:sz w:val="84"/>
          <w:szCs w:val="8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auto"/>
          <w:spacing w:val="0"/>
          <w:sz w:val="84"/>
          <w:szCs w:val="8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auto"/>
          <w:spacing w:val="0"/>
          <w:sz w:val="84"/>
          <w:szCs w:val="84"/>
          <w:bdr w:val="none" w:color="auto" w:sz="0" w:space="0"/>
          <w:shd w:val="clear" w:fill="FFFFFF"/>
        </w:rPr>
        <w:t>峨眉山市工商联202</w:t>
      </w:r>
      <w:r>
        <w:rPr>
          <w:rFonts w:hint="eastAsia" w:ascii="方正小标宋简体" w:hAnsi="方正小标宋简体" w:eastAsia="方正小标宋简体" w:cs="方正小标宋简体"/>
          <w:b w:val="0"/>
          <w:bCs w:val="0"/>
          <w:i w:val="0"/>
          <w:iCs w:val="0"/>
          <w:caps w:val="0"/>
          <w:color w:val="auto"/>
          <w:spacing w:val="0"/>
          <w:sz w:val="84"/>
          <w:szCs w:val="84"/>
          <w:bdr w:val="none" w:color="auto" w:sz="0" w:space="0"/>
          <w:shd w:val="clear" w:fill="FFFFFF"/>
          <w:lang w:val="en-US" w:eastAsia="zh-CN"/>
        </w:rPr>
        <w:t>3</w:t>
      </w:r>
      <w:r>
        <w:rPr>
          <w:rFonts w:hint="eastAsia" w:ascii="方正小标宋简体" w:hAnsi="方正小标宋简体" w:eastAsia="方正小标宋简体" w:cs="方正小标宋简体"/>
          <w:b w:val="0"/>
          <w:bCs w:val="0"/>
          <w:i w:val="0"/>
          <w:iCs w:val="0"/>
          <w:caps w:val="0"/>
          <w:color w:val="auto"/>
          <w:spacing w:val="0"/>
          <w:sz w:val="84"/>
          <w:szCs w:val="84"/>
          <w:bdr w:val="none" w:color="auto" w:sz="0" w:space="0"/>
          <w:shd w:val="clear" w:fill="FFFFFF"/>
        </w:rPr>
        <w:t>年预算公开</w:t>
      </w:r>
    </w:p>
    <w:p>
      <w:pPr>
        <w:rPr>
          <w:rFonts w:hint="eastAsia" w:ascii="方正小标宋简体" w:hAnsi="方正小标宋简体" w:eastAsia="方正小标宋简体" w:cs="方正小标宋简体"/>
          <w:b w:val="0"/>
          <w:bCs w:val="0"/>
          <w:i w:val="0"/>
          <w:iCs w:val="0"/>
          <w:caps w:val="0"/>
          <w:color w:val="auto"/>
          <w:spacing w:val="0"/>
          <w:sz w:val="84"/>
          <w:szCs w:val="84"/>
          <w:bdr w:val="none" w:color="auto" w:sz="0" w:space="0"/>
          <w:shd w:val="clear" w:fill="FFFFFF"/>
        </w:rPr>
      </w:pPr>
    </w:p>
    <w:p>
      <w:pPr>
        <w:pStyle w:val="2"/>
        <w:jc w:val="right"/>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2023年3月</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pPr>
      <w:bookmarkStart w:id="0" w:name="_GoBack"/>
      <w:bookmarkEnd w:id="0"/>
      <w:r>
        <w:rPr>
          <w:rFonts w:ascii="方正小标宋简体" w:hAnsi="方正小标宋简体" w:eastAsia="方正小标宋简体" w:cs="方正小标宋简体"/>
          <w:color w:val="000000"/>
          <w:kern w:val="0"/>
          <w:sz w:val="43"/>
          <w:szCs w:val="43"/>
          <w:lang w:val="en-US" w:eastAsia="zh-CN" w:bidi="ar"/>
        </w:rPr>
        <w:t>目录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关于峨眉山市工商联2023年部门预算编制的说明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2022年峨眉山市工商联本级部门预算表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十一、 支出经济分类预算表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十二、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 项目支出预算明细表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 项目支出绩效表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w:t>
      </w:r>
      <w:r>
        <w:rPr>
          <w:rFonts w:hint="default" w:ascii="仿宋_GB2312" w:hAnsi="宋体" w:eastAsia="仿宋_GB2312" w:cs="仿宋_GB2312"/>
          <w:color w:val="333333"/>
          <w:kern w:val="0"/>
          <w:sz w:val="31"/>
          <w:szCs w:val="31"/>
          <w:lang w:val="en-US" w:eastAsia="zh-CN" w:bidi="ar"/>
        </w:rPr>
        <w:t>部门（单位）整体支出绩效目标申报表</w:t>
      </w: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lang w:val="en-US" w:eastAsia="zh-CN"/>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关于峨眉山市工商业联合会</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ascii="方正小标宋简体" w:eastAsia="方正小标宋简体"/>
          <w:sz w:val="44"/>
          <w:szCs w:val="44"/>
        </w:rPr>
        <w:t>23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（一）主要职能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1"/>
          <w:szCs w:val="31"/>
          <w:bdr w:val="none" w:color="auto" w:sz="0" w:space="0"/>
          <w:shd w:val="clear" w:fill="FFFFFF"/>
        </w:rPr>
        <w:t>1</w:t>
      </w:r>
      <w:r>
        <w:rPr>
          <w:rFonts w:hint="eastAsia" w:ascii="仿宋_GB2312" w:hAnsi="微软雅黑" w:eastAsia="仿宋_GB2312" w:cs="仿宋_GB2312"/>
          <w:i w:val="0"/>
          <w:iCs w:val="0"/>
          <w:caps w:val="0"/>
          <w:color w:val="000000"/>
          <w:spacing w:val="0"/>
          <w:sz w:val="31"/>
          <w:szCs w:val="31"/>
          <w:bdr w:val="none" w:color="auto" w:sz="0" w:space="0"/>
          <w:shd w:val="clear" w:fill="FFFFFF"/>
        </w:rPr>
        <w:t>.参与地方大政方针政策及政治、经济、社会生活中的重要问题的政治协商，发挥民主监督作用，参政议政。</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2.做好工商界代表人士政治安排的推荐工作。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3.发扬自我教育的优良传统，宣传、贯彻党和国家的方针政策，加强和改进思想政治工作，提倡爱国、敬业、守法，提高会员素质，培养积极分子队伍。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4.代表并维护会员企业合法权益，反映会员的意见、要求和建议。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5.引导会员弘扬中华民族传统美德，先富帮后富，走共同富裕道路，热心社会公益事业。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6.为会员提供信息和科技、管理、法律、会计、审计、融资、咨询等服务。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7.开展工商专业培训，帮助会员改进经营管理、完善财会管理，照章纳税，提高生产技术和产品质量。</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8.组织会员举办和参加各种对内对外展销会、交易会等经济活动，出境考察访问，帮助会员开拓国内、国际市场。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9.增进与香港、澳门特区及台湾地区和世界各国工商社团、工商经济界人士的联系和友谊，促进经济、技术和贸易合作的发展，协助引进资金、技术、人才。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10.为会员提供有关证明，协调关系，调解经济纠纷。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11.承办市委、市政府和有关部门委托事项。</w:t>
      </w:r>
    </w:p>
    <w:p>
      <w:pPr>
        <w:spacing w:line="600" w:lineRule="exact"/>
        <w:ind w:firstLine="640" w:firstLineChars="200"/>
        <w:rPr>
          <w:rFonts w:ascii="楷体_GB2312" w:hAnsi="楷体_GB2312" w:eastAsia="楷体_GB2312" w:cs="楷体_GB2312"/>
          <w:sz w:val="32"/>
          <w:szCs w:val="32"/>
          <w:highlight w:val="none"/>
          <w:shd w:val="clear" w:color="FFFFFF" w:fill="D9D9D9"/>
        </w:rPr>
      </w:pPr>
      <w:r>
        <w:rPr>
          <w:rFonts w:hint="eastAsia" w:ascii="楷体_GB2312" w:hAnsi="楷体_GB2312" w:eastAsia="楷体_GB2312" w:cs="楷体_GB2312"/>
          <w:sz w:val="32"/>
          <w:szCs w:val="32"/>
          <w:highlight w:val="none"/>
          <w:shd w:val="clear" w:color="FFFFFF" w:fill="D9D9D9"/>
        </w:rPr>
        <w:t>（二）2023年重点工作任务</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1.全力助力乐山“两个健康”示范市创建工作。</w:t>
      </w:r>
      <w:r>
        <w:rPr>
          <w:rFonts w:hint="default" w:ascii="仿宋_GB2312" w:hAnsi="仿宋_GB2312" w:eastAsia="仿宋_GB2312" w:cs="仿宋_GB2312"/>
          <w:b w:val="0"/>
          <w:bCs/>
          <w:color w:val="auto"/>
          <w:kern w:val="2"/>
          <w:sz w:val="32"/>
          <w:szCs w:val="32"/>
          <w:highlight w:val="none"/>
          <w:lang w:val="en-US" w:eastAsia="zh-CN" w:bidi="ar-SA"/>
        </w:rPr>
        <w:t>充分加强组织领导，严格按照任务分解，倒退工期，打表作战，并及时协调处理创建工作中相关问题、矛盾，确保至202</w:t>
      </w:r>
      <w:r>
        <w:rPr>
          <w:rFonts w:hint="eastAsia" w:ascii="仿宋_GB2312" w:hAnsi="仿宋_GB2312" w:eastAsia="仿宋_GB2312" w:cs="仿宋_GB2312"/>
          <w:b w:val="0"/>
          <w:bCs/>
          <w:color w:val="auto"/>
          <w:kern w:val="2"/>
          <w:sz w:val="32"/>
          <w:szCs w:val="32"/>
          <w:highlight w:val="none"/>
          <w:lang w:val="en-US" w:eastAsia="zh-CN" w:bidi="ar-SA"/>
        </w:rPr>
        <w:t>5</w:t>
      </w:r>
      <w:r>
        <w:rPr>
          <w:rFonts w:hint="default" w:ascii="仿宋_GB2312" w:hAnsi="仿宋_GB2312" w:eastAsia="仿宋_GB2312" w:cs="仿宋_GB2312"/>
          <w:b w:val="0"/>
          <w:bCs/>
          <w:color w:val="auto"/>
          <w:kern w:val="2"/>
          <w:sz w:val="32"/>
          <w:szCs w:val="32"/>
          <w:highlight w:val="none"/>
          <w:lang w:val="en-US" w:eastAsia="zh-CN" w:bidi="ar-SA"/>
        </w:rPr>
        <w:t>年如期交卷，圆满完工。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2.</w:t>
      </w:r>
      <w:r>
        <w:rPr>
          <w:rFonts w:hint="default" w:ascii="楷体_GB2312" w:hAnsi="楷体_GB2312" w:eastAsia="楷体_GB2312" w:cs="楷体_GB2312"/>
          <w:b/>
          <w:bCs/>
          <w:color w:val="auto"/>
          <w:sz w:val="32"/>
          <w:szCs w:val="32"/>
          <w:highlight w:val="none"/>
          <w:lang w:val="en-US" w:eastAsia="zh-CN"/>
        </w:rPr>
        <w:t>开展“万企兴万村”行动，助力乡村振兴发展。</w:t>
      </w:r>
      <w:r>
        <w:rPr>
          <w:rFonts w:hint="eastAsia" w:ascii="仿宋_GB2312" w:hAnsi="仿宋_GB2312" w:eastAsia="仿宋_GB2312" w:cs="仿宋_GB2312"/>
          <w:b w:val="0"/>
          <w:bCs w:val="0"/>
          <w:color w:val="auto"/>
          <w:sz w:val="32"/>
          <w:szCs w:val="32"/>
          <w:highlight w:val="none"/>
          <w:lang w:val="en-US" w:eastAsia="zh-CN"/>
        </w:rPr>
        <w:t>进一步贯彻落实党中央关于实施乡村振兴战略的重大决策部署，落实党中央和省、市委关于开展“万企兴万村”的工作要求，引导广大民营企业大力弘扬优秀企业家精神，继续发挥出在“万企兴万村”行动中涌现出来的精气神，为助力乡村振兴工作接续奋斗、再立新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rPr>
        <w:t>3.推进商会改革发展。</w:t>
      </w:r>
      <w:r>
        <w:rPr>
          <w:rFonts w:hint="eastAsia" w:ascii="仿宋_GB2312" w:hAnsi="仿宋_GB2312" w:eastAsia="仿宋_GB2312" w:cs="仿宋_GB2312"/>
          <w:b w:val="0"/>
          <w:color w:val="auto"/>
          <w:kern w:val="2"/>
          <w:sz w:val="32"/>
          <w:szCs w:val="32"/>
          <w:highlight w:val="none"/>
          <w:lang w:val="en-US" w:eastAsia="zh-CN" w:bidi="ar-SA"/>
        </w:rPr>
        <w:t>围绕商（协）会建立和改选工作，继续按照提升和新建的思路，切实加强对商协会的政治引领和协调服务，常态化做好商协会规范化建设，强化行业管理、促进行业自律。加强商会联合党委的党建工作，参与民营企业党建工作，支持和配合做好会员企业党组织组建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rPr>
        <w:t>4.建设高素质民营经济代表人士队伍。</w:t>
      </w:r>
      <w:r>
        <w:rPr>
          <w:rFonts w:hint="eastAsia" w:ascii="仿宋_GB2312" w:hAnsi="仿宋_GB2312" w:eastAsia="仿宋_GB2312" w:cs="仿宋_GB2312"/>
          <w:b w:val="0"/>
          <w:color w:val="auto"/>
          <w:kern w:val="2"/>
          <w:sz w:val="32"/>
          <w:szCs w:val="32"/>
          <w:highlight w:val="none"/>
          <w:lang w:val="en-US" w:eastAsia="zh-CN" w:bidi="ar-SA"/>
        </w:rPr>
        <w:t>引导全体会员把思想统一到市委市政府的决策部署上来。采取培训班、以会代课、专题党课、线上培训等形式，</w:t>
      </w:r>
      <w:r>
        <w:rPr>
          <w:rFonts w:hint="eastAsia" w:ascii="仿宋_GB2312" w:hAnsi="仿宋_GB2312" w:eastAsia="仿宋_GB2312" w:cs="仿宋_GB2312"/>
          <w:b w:val="0"/>
          <w:color w:val="auto"/>
          <w:kern w:val="2"/>
          <w:sz w:val="32"/>
          <w:szCs w:val="32"/>
          <w:highlight w:val="none"/>
          <w:lang w:val="en-US" w:eastAsia="zh-CN" w:bidi="ar-SA"/>
        </w:rPr>
        <w:fldChar w:fldCharType="begin"/>
      </w:r>
      <w:r>
        <w:rPr>
          <w:rFonts w:hint="eastAsia" w:ascii="仿宋_GB2312" w:hAnsi="仿宋_GB2312" w:eastAsia="仿宋_GB2312" w:cs="仿宋_GB2312"/>
          <w:b w:val="0"/>
          <w:color w:val="auto"/>
          <w:kern w:val="2"/>
          <w:sz w:val="32"/>
          <w:szCs w:val="32"/>
          <w:highlight w:val="none"/>
          <w:lang w:val="en-US" w:eastAsia="zh-CN" w:bidi="ar-SA"/>
        </w:rPr>
        <w:instrText xml:space="preserve"> HYPERLINK "http://www.baidu.com/link?url=sRKdlp_mn7SpqpQwjU3CDMiJoverJbi46e6kfHEvA-LhYMgx0nBz2RZ1XCCJHYVdWUtPkXlx9Wh1EbF13_qG6q" \t "https://www.baidu.com/_blank" </w:instrText>
      </w:r>
      <w:r>
        <w:rPr>
          <w:rFonts w:hint="eastAsia" w:ascii="仿宋_GB2312" w:hAnsi="仿宋_GB2312" w:eastAsia="仿宋_GB2312" w:cs="仿宋_GB2312"/>
          <w:b w:val="0"/>
          <w:color w:val="auto"/>
          <w:kern w:val="2"/>
          <w:sz w:val="32"/>
          <w:szCs w:val="32"/>
          <w:highlight w:val="none"/>
          <w:lang w:val="en-US" w:eastAsia="zh-CN" w:bidi="ar-SA"/>
        </w:rPr>
        <w:fldChar w:fldCharType="separate"/>
      </w:r>
      <w:r>
        <w:rPr>
          <w:rFonts w:hint="default" w:ascii="仿宋_GB2312" w:hAnsi="仿宋_GB2312" w:eastAsia="仿宋_GB2312" w:cs="仿宋_GB2312"/>
          <w:b w:val="0"/>
          <w:color w:val="auto"/>
          <w:kern w:val="2"/>
          <w:sz w:val="32"/>
          <w:szCs w:val="32"/>
          <w:highlight w:val="none"/>
          <w:lang w:val="en-US" w:eastAsia="zh-CN" w:bidi="ar-SA"/>
        </w:rPr>
        <w:t>深入学习</w:t>
      </w:r>
      <w:r>
        <w:rPr>
          <w:rFonts w:hint="eastAsia" w:ascii="仿宋_GB2312" w:hAnsi="仿宋_GB2312" w:eastAsia="仿宋_GB2312" w:cs="仿宋_GB2312"/>
          <w:b w:val="0"/>
          <w:color w:val="auto"/>
          <w:kern w:val="2"/>
          <w:sz w:val="32"/>
          <w:szCs w:val="32"/>
          <w:highlight w:val="none"/>
          <w:lang w:val="en-US" w:eastAsia="zh-CN" w:bidi="ar-SA"/>
        </w:rPr>
        <w:t>领会</w:t>
      </w:r>
      <w:r>
        <w:rPr>
          <w:rFonts w:hint="default" w:ascii="仿宋_GB2312" w:hAnsi="仿宋_GB2312" w:eastAsia="仿宋_GB2312" w:cs="仿宋_GB2312"/>
          <w:b w:val="0"/>
          <w:color w:val="auto"/>
          <w:kern w:val="2"/>
          <w:sz w:val="32"/>
          <w:szCs w:val="32"/>
          <w:highlight w:val="none"/>
          <w:lang w:val="en-US" w:eastAsia="zh-CN" w:bidi="ar-SA"/>
        </w:rPr>
        <w:t>党的二十大精神</w:t>
      </w:r>
      <w:r>
        <w:rPr>
          <w:rFonts w:hint="default" w:ascii="仿宋_GB2312" w:hAnsi="仿宋_GB2312" w:eastAsia="仿宋_GB2312" w:cs="仿宋_GB2312"/>
          <w:b w:val="0"/>
          <w:color w:val="auto"/>
          <w:kern w:val="2"/>
          <w:sz w:val="32"/>
          <w:szCs w:val="32"/>
          <w:highlight w:val="none"/>
          <w:lang w:val="en-US" w:eastAsia="zh-CN" w:bidi="ar-SA"/>
        </w:rPr>
        <w:fldChar w:fldCharType="end"/>
      </w:r>
      <w:r>
        <w:rPr>
          <w:rFonts w:hint="eastAsia" w:ascii="仿宋_GB2312" w:hAnsi="仿宋_GB2312" w:eastAsia="仿宋_GB2312" w:cs="仿宋_GB2312"/>
          <w:b w:val="0"/>
          <w:color w:val="auto"/>
          <w:kern w:val="2"/>
          <w:sz w:val="32"/>
          <w:szCs w:val="32"/>
          <w:highlight w:val="none"/>
          <w:lang w:val="en-US" w:eastAsia="zh-CN" w:bidi="ar-SA"/>
        </w:rPr>
        <w:t>、习近平总书记系列重要讲话精神，以及省、乐山市和峨眉山市重要会议精神，全面提升队伍的整体素质，推动工商联（商会）工作上台阶。组织法律知识培训、“互联网+”培训会等培训会，促进会员交流合作,提高会员业务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rPr>
        <w:t>5.发挥好工商联的桥梁纽带作用。</w:t>
      </w:r>
      <w:r>
        <w:rPr>
          <w:rFonts w:hint="eastAsia" w:ascii="仿宋_GB2312" w:hAnsi="仿宋_GB2312" w:eastAsia="仿宋_GB2312" w:cs="仿宋_GB2312"/>
          <w:b w:val="0"/>
          <w:color w:val="auto"/>
          <w:kern w:val="2"/>
          <w:sz w:val="32"/>
          <w:szCs w:val="32"/>
          <w:highlight w:val="none"/>
          <w:lang w:val="en-US" w:eastAsia="zh-CN" w:bidi="ar-SA"/>
        </w:rPr>
        <w:t>发挥民营经济统战工作服务中心作用，围绕“两个健康”，进一步提升服务企业能力，助推民营经济发展。发挥法官工作站、检察官联络站和商会人民调解委员会的作用，强化商会法律服务的能力和水平。召开银企对接会，做好银企对接，帮助企业解决融资问题，为现代企业转型升级发展构建融资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rPr>
        <w:t>6.提升参政议政水平。</w:t>
      </w:r>
      <w:r>
        <w:rPr>
          <w:rFonts w:hint="eastAsia" w:ascii="仿宋_GB2312" w:hAnsi="仿宋_GB2312" w:eastAsia="仿宋_GB2312" w:cs="仿宋_GB2312"/>
          <w:b w:val="0"/>
          <w:color w:val="auto"/>
          <w:kern w:val="2"/>
          <w:sz w:val="32"/>
          <w:szCs w:val="32"/>
          <w:highlight w:val="none"/>
          <w:lang w:val="en-US" w:eastAsia="zh-CN" w:bidi="ar-SA"/>
        </w:rPr>
        <w:t>认真开展调研工作，有计划、有组织、有重点的开展对民营企业的调研活动，形成有质量的调研文章。认真做好参政议政、建言献策工作，加强与政协各委办的联系，积极组织民营代表人士参加市委、市政府及有关部门召开的各类座谈会、情况通报会。</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峨眉山市工商业联合会下属二级预算单位0个，其中行政单位1个，参照公务员法管理的事业单位0个，其他事业单位0个。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峨眉山市工商业联合会所有收入和支出均纳入预算管理。</w:t>
      </w:r>
      <w:r>
        <w:rPr>
          <w:rFonts w:ascii="仿宋_GB2312" w:eastAsia="仿宋_GB2312"/>
          <w:sz w:val="32"/>
          <w:szCs w:val="32"/>
        </w:rPr>
        <w:t>2023</w:t>
      </w:r>
      <w:r>
        <w:rPr>
          <w:rFonts w:hint="eastAsia" w:ascii="仿宋_GB2312" w:eastAsia="仿宋_GB2312"/>
          <w:sz w:val="32"/>
          <w:szCs w:val="32"/>
        </w:rPr>
        <w:t>年峨眉山市工商业联合会收入预算总额为123.65万元，较上年预算数增加44.88万元。其中：当年财政拨款收入123.65万元，事业收入0万元，其他收入0万元。相应安排支出预算123.65万元，其中：人员支出81.46万元，日常公用支出17.62万元，对个人和家庭的补助支出1.23万元，专项支出23.34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峨眉山市工商业联合会</w:t>
      </w:r>
      <w:r>
        <w:rPr>
          <w:rFonts w:ascii="仿宋_GB2312" w:eastAsia="仿宋_GB2312"/>
          <w:sz w:val="32"/>
          <w:szCs w:val="32"/>
        </w:rPr>
        <w:t>2023</w:t>
      </w:r>
      <w:r>
        <w:rPr>
          <w:rFonts w:hint="eastAsia" w:ascii="仿宋_GB2312" w:eastAsia="仿宋_GB2312"/>
          <w:sz w:val="32"/>
          <w:szCs w:val="32"/>
        </w:rPr>
        <w:t>年财政拨款收支总预算123.65万元，主要用于保障峨眉山市工商业联合会机构正常运转、完</w:t>
      </w:r>
      <w:r>
        <w:rPr>
          <w:rFonts w:hint="eastAsia" w:ascii="仿宋_GB2312" w:eastAsia="仿宋_GB2312"/>
          <w:color w:val="000000" w:themeColor="text1"/>
          <w:sz w:val="32"/>
          <w:szCs w:val="32"/>
        </w:rPr>
        <w:t>完成日常工作任务以及承担</w:t>
      </w:r>
      <w:r>
        <w:rPr>
          <w:rFonts w:hint="eastAsia" w:ascii="仿宋_GB2312" w:eastAsia="仿宋_GB2312"/>
          <w:sz w:val="32"/>
          <w:szCs w:val="32"/>
        </w:rPr>
        <w:t>非公经济发展相关工作。其中：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基本支出100.31万元，是用于保障峨眉山市工商业联合会正常运转的日常支出，包括基本工资、津贴补贴等人员经费以及办公费、印刷费、水电费、办公设备购置等日常公用经费。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项目支出23.34万元，是用于保障峨眉山市工商业联合会为完成特定的行政工作任务或事业发展目标，用于专项业务工作的经费支出。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峨眉山市工商业联合会</w:t>
      </w:r>
      <w:r>
        <w:rPr>
          <w:rFonts w:ascii="仿宋_GB2312" w:eastAsia="仿宋_GB2312"/>
          <w:sz w:val="32"/>
          <w:szCs w:val="32"/>
        </w:rPr>
        <w:t>2023</w:t>
      </w:r>
      <w:r>
        <w:rPr>
          <w:rFonts w:hint="eastAsia" w:ascii="仿宋_GB2312" w:eastAsia="仿宋_GB2312"/>
          <w:sz w:val="32"/>
          <w:szCs w:val="32"/>
        </w:rPr>
        <w:t>年一般公共预算当年拨款123.65万元，较上年预算数增加44.88万元。主要原因是人员经费增加，项目经费增加</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一般公共服务支出98.33万元，占79.53%；社会保障和就业支出13.15万元，占10.63%；卫生健康支出4.59万元，占3.71%；住房保障支出7.58万元，占6.13%。</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支出（类）民主党派及工商联事务（款）行政运行（民主）（项）（2012801），2023年预算数为74.99万元，主要用于：机关人员工资、日常运转以及为完成特定行政工作任务和事业发展目标而安排的年度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2.一般公共服务支出（类）民主党派及工商联事务（款）一般行政管理事务（民主）（项）（2012802），2023年预算数为23.34万元，主要用于：基层组织建设支出，“两个健康”等重点工作保障经费。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3.社会保障和就业支出（类）行政事业单位养老支出（款）机关事业单位基本养老保险缴费支出（项）（2080505），2023年预算数为8.49万元，主要用于：机关人员的基本养老保险支出。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4.社会保障和就业支出（类）行政事业单位养老支出（款）机关事业单位职业年金缴费支出（项）（2080506），2023年预算数为4.24万元，主要用于：机关人员的职业年金支出。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5.社会保障和就业（类）其他社会保障和就业支出（款）其他社会保障和就业支出（项）（2089999），2023年预算为0.42万元，主要用于：反映除上述项目以外其他用于社会保障和就业方面的支出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）行政事业单位医疗（款）行政单位医疗（项）（2101101），2023年预算数为3.24万元，主要用于：机关人员的基本医疗保险。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）行政事业单位医疗（款）公务员医疗补助（项）（2101103），2023年预算数为1.35万元，主要用于：机关人员的公务员医疗补助等支出。</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sz w:val="32"/>
          <w:szCs w:val="32"/>
        </w:rPr>
        <w:t>8.住房保障支出（类）住房改革支出（款）住房公积金（项）（2210201），2023年预算数为7.58万元，主要用于：</w:t>
      </w:r>
      <w:r>
        <w:rPr>
          <w:rFonts w:hint="eastAsia" w:ascii="仿宋_GB2312" w:eastAsia="仿宋_GB2312"/>
          <w:color w:val="000000" w:themeColor="text1"/>
          <w:sz w:val="32"/>
          <w:szCs w:val="32"/>
        </w:rPr>
        <w:t>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峨眉山市工商业联合会</w:t>
      </w:r>
      <w:r>
        <w:rPr>
          <w:rFonts w:ascii="仿宋_GB2312" w:eastAsia="仿宋_GB2312"/>
          <w:sz w:val="32"/>
          <w:szCs w:val="32"/>
        </w:rPr>
        <w:t>2023</w:t>
      </w:r>
      <w:r>
        <w:rPr>
          <w:rFonts w:hint="eastAsia" w:ascii="仿宋_GB2312" w:eastAsia="仿宋_GB2312"/>
          <w:sz w:val="32"/>
          <w:szCs w:val="32"/>
        </w:rPr>
        <w:t>年一般公共预算基本支出100.31万元，其中：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人员经费82.69万元，</w:t>
      </w:r>
      <w:r>
        <w:rPr>
          <w:rFonts w:hint="eastAsia" w:ascii="仿宋_GB2312" w:eastAsia="仿宋_GB2312"/>
          <w:color w:val="000000" w:themeColor="text1"/>
          <w:sz w:val="32"/>
          <w:szCs w:val="32"/>
        </w:rPr>
        <w:t>主要包括：</w:t>
      </w:r>
      <w:r>
        <w:rPr>
          <w:rFonts w:hint="eastAsia" w:ascii="仿宋_GB2312" w:eastAsia="仿宋_GB2312"/>
          <w:sz w:val="32"/>
          <w:szCs w:val="32"/>
        </w:rPr>
        <w:t>基本工资、津贴补贴、年终一次性奖金、伙食补助费、养老保险、职业年金、基本医疗保险缴费、工伤保险、住房公积金、生活补助、奖励金。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公用经费17.62万元，</w:t>
      </w:r>
      <w:r>
        <w:rPr>
          <w:rFonts w:hint="eastAsia" w:ascii="仿宋_GB2312" w:eastAsia="仿宋_GB2312"/>
          <w:color w:val="000000" w:themeColor="text1"/>
          <w:sz w:val="32"/>
          <w:szCs w:val="32"/>
        </w:rPr>
        <w:t>主要包括：</w:t>
      </w:r>
      <w:r>
        <w:rPr>
          <w:rFonts w:hint="eastAsia" w:ascii="仿宋_GB2312" w:eastAsia="仿宋_GB2312"/>
          <w:sz w:val="32"/>
          <w:szCs w:val="32"/>
        </w:rPr>
        <w:t>办公费、水费、电费、邮电费、差旅费、工会经费、公务用车运行维护费、其他交通费用、其他商品和服务支出。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峨眉山市工商业联合会</w:t>
      </w:r>
      <w:r>
        <w:rPr>
          <w:rFonts w:ascii="仿宋_GB2312" w:eastAsia="仿宋_GB2312"/>
          <w:sz w:val="32"/>
          <w:szCs w:val="32"/>
        </w:rPr>
        <w:t>2023</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峨眉山市工商业联合会</w:t>
      </w:r>
      <w:r>
        <w:rPr>
          <w:rFonts w:ascii="仿宋_GB2312" w:eastAsia="仿宋_GB2312"/>
          <w:sz w:val="32"/>
          <w:szCs w:val="32"/>
        </w:rPr>
        <w:t>2023</w:t>
      </w:r>
      <w:r>
        <w:rPr>
          <w:rFonts w:hint="eastAsia" w:ascii="仿宋_GB2312" w:eastAsia="仿宋_GB2312"/>
          <w:sz w:val="32"/>
          <w:szCs w:val="32"/>
        </w:rPr>
        <w:t>年“三公”经费预算数3万元，较上年“三公”经费预算数持平。其中财政拨款安排“三公”经费3万元。因公出国（境）经费0万元，公务接待费0万元，公务用车购置及运行维护费3万元。</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b/>
          <w:color w:val="000000" w:themeColor="text1"/>
          <w:sz w:val="32"/>
          <w:szCs w:val="32"/>
        </w:rPr>
      </w:pPr>
      <w:r>
        <w:rPr>
          <w:rFonts w:hint="eastAsia" w:ascii="仿宋_GB2312" w:eastAsia="仿宋_GB2312"/>
          <w:sz w:val="32"/>
          <w:szCs w:val="32"/>
        </w:rPr>
        <w:t>无因公出国（境）预算。</w:t>
      </w:r>
      <w:r>
        <w:rPr>
          <w:rFonts w:ascii="仿宋_GB2312" w:eastAsia="仿宋_GB2312"/>
          <w:sz w:val="32"/>
          <w:szCs w:val="32"/>
        </w:rPr>
        <w:t>2023</w:t>
      </w:r>
      <w:r>
        <w:rPr>
          <w:rFonts w:hint="eastAsia" w:ascii="仿宋_GB2312" w:eastAsia="仿宋_GB2312"/>
          <w:sz w:val="32"/>
          <w:szCs w:val="32"/>
        </w:rPr>
        <w:t>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left="640"/>
        <w:outlineLvl w:val="1"/>
        <w:rPr>
          <w:rFonts w:ascii="楷体_GB2312" w:hAnsi="楷体_GB2312" w:eastAsia="楷体_GB2312" w:cs="楷体_GB2312"/>
          <w:sz w:val="32"/>
          <w:szCs w:val="32"/>
        </w:rPr>
      </w:pPr>
      <w:r>
        <w:rPr>
          <w:rFonts w:hint="eastAsia" w:ascii="仿宋_GB2312" w:eastAsia="仿宋_GB2312"/>
          <w:sz w:val="32"/>
          <w:szCs w:val="32"/>
        </w:rPr>
        <w:t>无公务接待预算。</w:t>
      </w:r>
      <w:r>
        <w:rPr>
          <w:rFonts w:ascii="仿宋_GB2312" w:eastAsia="仿宋_GB2312"/>
          <w:sz w:val="32"/>
          <w:szCs w:val="32"/>
        </w:rPr>
        <w:t>2023</w:t>
      </w:r>
      <w:r>
        <w:rPr>
          <w:rFonts w:hint="eastAsia" w:ascii="仿宋_GB2312" w:eastAsia="仿宋_GB2312"/>
          <w:sz w:val="32"/>
          <w:szCs w:val="32"/>
        </w:rPr>
        <w:t>年未安排公务接待人次。</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单位现有公务用车1辆，其中：轿车1辆、越野车0辆、多功能乘用车0辆。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年未安排公务用车购置费。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年安排公务用车运行维护费3万元，与2022年持平，</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公务车购买保险、日常维护等</w:t>
      </w:r>
      <w:r>
        <w:rPr>
          <w:rFonts w:hint="eastAsia" w:ascii="仿宋_GB2312" w:eastAsia="仿宋_GB2312"/>
          <w:sz w:val="32"/>
          <w:szCs w:val="32"/>
          <w:highlight w:val="none"/>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工商业联合会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17.62万元，较上年预算减少5.58万元，下降24.05%。</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年，峨眉山市工商业联合会未安排政府采购预算。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截至去年底，峨眉山市工商业联合会实际共有车辆1辆。单位价值200万元以上大型设备0台（套）。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年，预算安排购置车辆0辆及单位价值200万元以上大型设备0台（套）。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工商业联合会按要求实行绩效目标管理，部门（单位）整体绩效目标涉及预算安排123.65万元，其中基本支出100.31万元，项目支出23.34万元。其中编制了项目绩效目标的预算23.34万元，主要为“两个健康”等重点工作保障经费、基层组织建设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1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1.财政拨款收支情况：指一般公共预算、政府性基金预算、国有资产经营预算拨款收支情况。 </w:t>
      </w:r>
    </w:p>
    <w:p>
      <w:pPr>
        <w:pStyle w:val="1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2.一般公共预算拨款收入：指本级财政当年拨付的资金。</w:t>
      </w:r>
    </w:p>
    <w:p>
      <w:pPr>
        <w:pStyle w:val="1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3.其他收入：指除上述“财政拨款收入”、“事业收入”、“经营收入”等以外的收入。 </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4.一般公共服务支出（类）民主党派及工商联事务（款）行政运行（民主）（项）：指本部门的基本支出。</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5.一般公共服务支出（类）民主党派及工商联事务（款）一般行政管理事务（民主）（项）：指本部门未单独设置项级科目的其他项目支出。</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6.社会保障和就业支出（类）行政事业单位养老支出（款）机关事业单位基本养老保险缴费支出（项）：指本部门实施养老保险制度由单位缴纳的基本养老保险费支出。</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7.社会保障和就业（类）行政事业单位养老支出（款）机关事业单位职业年金缴费支出（项）：指本部门实施养老保险制度由单位实际缴纳的职业年金支出。</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8.社会保障和就业（类）其他社会保障和就业支出（款）其他社会保障和就业支出（项）：指反应除上述项目以外其他用于社会保障和就业方面的支出</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9.卫生健康支出（</w:t>
      </w:r>
      <w:r>
        <w:rPr>
          <w:rFonts w:hint="eastAsia" w:ascii="Calibri" w:eastAsia="仿宋_GB2312"/>
          <w:sz w:val="32"/>
          <w:szCs w:val="32"/>
        </w:rPr>
        <w:t>类</w:t>
      </w:r>
      <w:r>
        <w:rPr>
          <w:rFonts w:hint="eastAsia" w:ascii="仿宋_GB2312" w:eastAsia="仿宋_GB2312"/>
          <w:sz w:val="32"/>
          <w:szCs w:val="32"/>
        </w:rPr>
        <w:t>）行政事业单位医疗（款）行政单位医疗（项）：反映财政部门集中安排的本部门基本医疗保险缴费经费，未参加医疗保险的行政单位的公费医疗经费，按国家规定享受离休人员、红军老战士待遇人员的医疗经费。</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10.卫生健康支出（</w:t>
      </w:r>
      <w:r>
        <w:rPr>
          <w:rFonts w:hint="eastAsia" w:ascii="Calibri" w:eastAsia="仿宋_GB2312"/>
          <w:sz w:val="32"/>
          <w:szCs w:val="32"/>
        </w:rPr>
        <w:t>类</w:t>
      </w:r>
      <w:r>
        <w:rPr>
          <w:rFonts w:hint="eastAsia" w:ascii="仿宋_GB2312" w:eastAsia="仿宋_GB2312"/>
          <w:sz w:val="32"/>
          <w:szCs w:val="32"/>
        </w:rPr>
        <w:t>）行政事业单位医疗（款）公务员医疗补助（项）：反映财政部门集中安排的公务员医疗补助经费。</w:t>
      </w:r>
    </w:p>
    <w:p>
      <w:pPr>
        <w:ind w:firstLine="640" w:firstLineChars="200"/>
        <w:rPr>
          <w:rFonts w:ascii="仿宋_GB2312" w:eastAsia="仿宋_GB2312"/>
          <w:color w:val="000000"/>
          <w:sz w:val="32"/>
          <w:szCs w:val="32"/>
        </w:rPr>
      </w:pPr>
      <w:r>
        <w:rPr>
          <w:rFonts w:hint="eastAsia" w:ascii="仿宋_GB2312" w:eastAsia="仿宋_GB2312"/>
          <w:sz w:val="32"/>
          <w:szCs w:val="32"/>
        </w:rPr>
        <w:t>11.住房保障支出（类）住房改革支出（款）住房公积金（项）：指本部门按人力资源和社会保障部、财政部规定的基本工资和津贴补贴以及规定比例为职工缴纳的住房公积金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12.基本支出：指为保障机构正常运转、完成日常工作任务而发生的人员支出和公用支出。</w:t>
      </w:r>
    </w:p>
    <w:p>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13.项目支出：指在基本支出之外为完成特定行政任务和事业发展目标所发生的支出。 </w:t>
      </w:r>
    </w:p>
    <w:p>
      <w:pPr>
        <w:pStyle w:val="10"/>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14.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000000" w:themeColor="text1"/>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7</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2714B"/>
    <w:rsid w:val="001821A6"/>
    <w:rsid w:val="00187467"/>
    <w:rsid w:val="001A0437"/>
    <w:rsid w:val="001A2108"/>
    <w:rsid w:val="001E76D4"/>
    <w:rsid w:val="001F00FF"/>
    <w:rsid w:val="002730CD"/>
    <w:rsid w:val="00294F3E"/>
    <w:rsid w:val="002C0F86"/>
    <w:rsid w:val="003A561B"/>
    <w:rsid w:val="00425810"/>
    <w:rsid w:val="004A1A00"/>
    <w:rsid w:val="0053746F"/>
    <w:rsid w:val="00563EE8"/>
    <w:rsid w:val="00564603"/>
    <w:rsid w:val="005E688F"/>
    <w:rsid w:val="00704015"/>
    <w:rsid w:val="00777E08"/>
    <w:rsid w:val="007934F3"/>
    <w:rsid w:val="007E6319"/>
    <w:rsid w:val="00845556"/>
    <w:rsid w:val="00861D72"/>
    <w:rsid w:val="008C72F8"/>
    <w:rsid w:val="009340F3"/>
    <w:rsid w:val="00A527E0"/>
    <w:rsid w:val="00A812BD"/>
    <w:rsid w:val="00AE4401"/>
    <w:rsid w:val="00B3548B"/>
    <w:rsid w:val="00BB666B"/>
    <w:rsid w:val="00C044B7"/>
    <w:rsid w:val="00C5515C"/>
    <w:rsid w:val="00C84AF5"/>
    <w:rsid w:val="00CC5FF3"/>
    <w:rsid w:val="00D34CC1"/>
    <w:rsid w:val="00D36FE8"/>
    <w:rsid w:val="00DB30FF"/>
    <w:rsid w:val="00DE1A43"/>
    <w:rsid w:val="00DF77CF"/>
    <w:rsid w:val="00E03A88"/>
    <w:rsid w:val="00EA6295"/>
    <w:rsid w:val="00F429C0"/>
    <w:rsid w:val="00FB45E1"/>
    <w:rsid w:val="00FE33DA"/>
    <w:rsid w:val="066D6077"/>
    <w:rsid w:val="0D867AA0"/>
    <w:rsid w:val="15D35DF5"/>
    <w:rsid w:val="1BB120C1"/>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745F682E"/>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Salutation"/>
    <w:basedOn w:val="1"/>
    <w:next w:val="1"/>
    <w:qFormat/>
    <w:uiPriority w:val="0"/>
    <w:pPr>
      <w:widowControl w:val="0"/>
      <w:spacing w:after="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544</Words>
  <Characters>3105</Characters>
  <Lines>25</Lines>
  <Paragraphs>7</Paragraphs>
  <TotalTime>1</TotalTime>
  <ScaleCrop>false</ScaleCrop>
  <LinksUpToDate>false</LinksUpToDate>
  <CharactersWithSpaces>3642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2023-03-09T01:42:25Z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49E3E00C8AE34C0C8AEBFF62D3D4BDA0</vt:lpwstr>
  </property>
</Properties>
</file>