
<file path=[Content_Types].xml><?xml version="1.0" encoding="utf-8"?>
<Types xmlns="http://schemas.openxmlformats.org/package/2006/content-types">
  <Default Extension="xml" ContentType="application/xml"/>
  <Default Extension="xlsx" ContentType="application/vnd.openxmlformats-officedocument.spreadsheetml.sheet"/>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colors3.xml" ContentType="application/vnd.ms-office.chartcolorstyle+xml"/>
  <Override PartName="/word/charts/colors4.xml" ContentType="application/vnd.ms-office.chartcolorstyle+xml"/>
  <Override PartName="/word/charts/colors5.xml" ContentType="application/vnd.ms-office.chartcolorstyle+xml"/>
  <Override PartName="/word/charts/colors6.xml" ContentType="application/vnd.ms-office.chartcolorstyle+xml"/>
  <Override PartName="/word/charts/colors7.xml" ContentType="application/vnd.ms-office.chartcolorstyle+xml"/>
  <Override PartName="/word/charts/style1.xml" ContentType="application/vnd.ms-office.chartstyle+xml"/>
  <Override PartName="/word/charts/style2.xml" ContentType="application/vnd.ms-office.chartstyle+xml"/>
  <Override PartName="/word/charts/style3.xml" ContentType="application/vnd.ms-office.chartstyle+xml"/>
  <Override PartName="/word/charts/style4.xml" ContentType="application/vnd.ms-office.chartstyle+xml"/>
  <Override PartName="/word/charts/style5.xml" ContentType="application/vnd.ms-office.chartstyle+xml"/>
  <Override PartName="/word/charts/style6.xml" ContentType="application/vnd.ms-office.chartstyle+xml"/>
  <Override PartName="/word/charts/style7.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085C457">
      <w:pPr>
        <w:spacing w:line="600" w:lineRule="exact"/>
        <w:jc w:val="center"/>
        <w:outlineLvl w:val="0"/>
        <w:rPr>
          <w:rFonts w:hint="eastAsia" w:ascii="方正小标宋简体" w:hAnsi="宋体" w:eastAsia="方正小标宋简体"/>
          <w:sz w:val="72"/>
          <w:szCs w:val="72"/>
        </w:rPr>
      </w:pPr>
      <w:bookmarkStart w:id="0" w:name="_Toc15306267"/>
      <w:bookmarkStart w:id="68" w:name="_GoBack"/>
      <w:bookmarkEnd w:id="68"/>
    </w:p>
    <w:p w14:paraId="62583FD8">
      <w:pPr>
        <w:spacing w:line="600" w:lineRule="exact"/>
        <w:jc w:val="center"/>
        <w:outlineLvl w:val="0"/>
        <w:rPr>
          <w:rFonts w:ascii="方正小标宋简体" w:hAnsi="宋体" w:eastAsia="方正小标宋简体"/>
          <w:sz w:val="72"/>
          <w:szCs w:val="72"/>
        </w:rPr>
      </w:pPr>
    </w:p>
    <w:p w14:paraId="5D569E24">
      <w:pPr>
        <w:spacing w:line="600" w:lineRule="exact"/>
        <w:jc w:val="center"/>
        <w:outlineLvl w:val="0"/>
        <w:rPr>
          <w:rFonts w:ascii="方正小标宋简体" w:hAnsi="宋体" w:eastAsia="方正小标宋简体"/>
          <w:sz w:val="72"/>
          <w:szCs w:val="72"/>
        </w:rPr>
      </w:pPr>
    </w:p>
    <w:p w14:paraId="0E242E3D">
      <w:pPr>
        <w:spacing w:line="600" w:lineRule="exact"/>
        <w:jc w:val="center"/>
        <w:outlineLvl w:val="0"/>
        <w:rPr>
          <w:rFonts w:ascii="方正小标宋简体" w:hAnsi="宋体" w:eastAsia="方正小标宋简体"/>
          <w:sz w:val="72"/>
          <w:szCs w:val="72"/>
        </w:rPr>
      </w:pPr>
    </w:p>
    <w:p w14:paraId="53BEDC79">
      <w:pPr>
        <w:adjustRightInd w:val="0"/>
        <w:snapToGrid w:val="0"/>
        <w:spacing w:line="360" w:lineRule="auto"/>
        <w:jc w:val="center"/>
        <w:outlineLvl w:val="0"/>
        <w:rPr>
          <w:rFonts w:ascii="方正小标宋简体" w:hAnsi="方正小标宋简体" w:eastAsia="方正小标宋简体" w:cs="方正小标宋简体"/>
          <w:sz w:val="72"/>
          <w:szCs w:val="72"/>
        </w:rPr>
      </w:pPr>
      <w:bookmarkStart w:id="1" w:name="_Toc15378441"/>
      <w:bookmarkStart w:id="2" w:name="_Toc15396597"/>
      <w:bookmarkStart w:id="3" w:name="_Toc15377193"/>
      <w:bookmarkStart w:id="4" w:name="_Toc15377425"/>
      <w:bookmarkStart w:id="5" w:name="_Toc15396475"/>
      <w:r>
        <w:rPr>
          <w:rFonts w:hint="eastAsia" w:ascii="方正小标宋简体" w:hAnsi="方正小标宋简体" w:eastAsia="方正小标宋简体" w:cs="方正小标宋简体"/>
          <w:sz w:val="72"/>
          <w:szCs w:val="72"/>
        </w:rPr>
        <w:t>2021年度</w:t>
      </w:r>
      <w:bookmarkEnd w:id="1"/>
      <w:bookmarkEnd w:id="2"/>
      <w:bookmarkEnd w:id="3"/>
      <w:bookmarkEnd w:id="4"/>
      <w:bookmarkEnd w:id="5"/>
    </w:p>
    <w:p w14:paraId="589D388B">
      <w:pPr>
        <w:adjustRightInd w:val="0"/>
        <w:snapToGrid w:val="0"/>
        <w:spacing w:line="360" w:lineRule="auto"/>
        <w:jc w:val="center"/>
        <w:outlineLvl w:val="0"/>
        <w:rPr>
          <w:rFonts w:hint="eastAsia" w:ascii="方正小标宋简体" w:hAnsi="方正小标宋简体" w:eastAsia="方正小标宋简体" w:cs="方正小标宋简体"/>
          <w:sz w:val="72"/>
          <w:szCs w:val="72"/>
          <w:lang w:val="en-US" w:eastAsia="zh-CN"/>
        </w:rPr>
      </w:pPr>
      <w:bookmarkStart w:id="6" w:name="_Toc15377194"/>
      <w:bookmarkStart w:id="7" w:name="_Toc15396598"/>
      <w:bookmarkStart w:id="8" w:name="_Toc15378442"/>
      <w:bookmarkStart w:id="9" w:name="_Toc15396476"/>
      <w:bookmarkStart w:id="10" w:name="_Toc15377426"/>
      <w:r>
        <w:rPr>
          <w:rFonts w:hint="eastAsia" w:ascii="方正小标宋简体" w:hAnsi="方正小标宋简体" w:eastAsia="方正小标宋简体" w:cs="方正小标宋简体"/>
          <w:sz w:val="72"/>
          <w:szCs w:val="72"/>
        </w:rPr>
        <w:t>四川省</w:t>
      </w:r>
      <w:bookmarkEnd w:id="0"/>
      <w:bookmarkStart w:id="11" w:name="_Toc15306268"/>
      <w:r>
        <w:rPr>
          <w:rFonts w:hint="eastAsia" w:ascii="方正小标宋简体" w:hAnsi="方正小标宋简体" w:eastAsia="方正小标宋简体" w:cs="方正小标宋简体"/>
          <w:sz w:val="72"/>
          <w:szCs w:val="72"/>
          <w:lang w:val="en-US" w:eastAsia="zh-CN"/>
        </w:rPr>
        <w:t>峨眉山市防震减灾</w:t>
      </w:r>
    </w:p>
    <w:p w14:paraId="6057CCF5">
      <w:pPr>
        <w:adjustRightInd w:val="0"/>
        <w:snapToGrid w:val="0"/>
        <w:spacing w:line="360" w:lineRule="auto"/>
        <w:jc w:val="center"/>
        <w:outlineLvl w:val="0"/>
        <w:rPr>
          <w:rFonts w:ascii="方正小标宋简体" w:hAnsi="方正小标宋简体" w:eastAsia="方正小标宋简体" w:cs="方正小标宋简体"/>
          <w:sz w:val="72"/>
          <w:szCs w:val="72"/>
        </w:rPr>
      </w:pPr>
      <w:r>
        <w:rPr>
          <w:rFonts w:hint="eastAsia" w:ascii="方正小标宋简体" w:hAnsi="方正小标宋简体" w:eastAsia="方正小标宋简体" w:cs="方正小标宋简体"/>
          <w:sz w:val="72"/>
          <w:szCs w:val="72"/>
          <w:lang w:val="en-US" w:eastAsia="zh-CN"/>
        </w:rPr>
        <w:t>服务中心</w:t>
      </w:r>
      <w:r>
        <w:rPr>
          <w:rFonts w:hint="eastAsia" w:ascii="方正小标宋简体" w:hAnsi="方正小标宋简体" w:eastAsia="方正小标宋简体" w:cs="方正小标宋简体"/>
          <w:sz w:val="72"/>
          <w:szCs w:val="72"/>
        </w:rPr>
        <w:t>决算</w:t>
      </w:r>
      <w:bookmarkEnd w:id="6"/>
      <w:bookmarkEnd w:id="7"/>
      <w:bookmarkEnd w:id="8"/>
      <w:bookmarkEnd w:id="9"/>
      <w:bookmarkEnd w:id="10"/>
      <w:bookmarkEnd w:id="11"/>
    </w:p>
    <w:p w14:paraId="57570D61">
      <w:pPr>
        <w:spacing w:line="600" w:lineRule="exact"/>
        <w:jc w:val="center"/>
        <w:rPr>
          <w:rFonts w:ascii="方正小标宋_GBK" w:hAnsi="方正小标宋_GBK" w:eastAsia="方正小标宋_GBK" w:cs="方正小标宋_GBK"/>
          <w:sz w:val="44"/>
          <w:szCs w:val="44"/>
        </w:rPr>
      </w:pPr>
      <w:r>
        <w:rPr>
          <w:rFonts w:ascii="方正小标宋简体" w:hAnsi="宋体" w:eastAsia="方正小标宋简体"/>
          <w:sz w:val="36"/>
          <w:szCs w:val="36"/>
        </w:rPr>
        <w:br w:type="page"/>
      </w:r>
      <w:r>
        <w:rPr>
          <w:rFonts w:hint="eastAsia" w:ascii="方正小标宋_GBK" w:hAnsi="方正小标宋_GBK" w:eastAsia="方正小标宋_GBK" w:cs="方正小标宋_GBK"/>
          <w:sz w:val="44"/>
          <w:szCs w:val="44"/>
        </w:rPr>
        <w:t>目  录</w:t>
      </w:r>
    </w:p>
    <w:p w14:paraId="76334A1F">
      <w:pPr>
        <w:tabs>
          <w:tab w:val="left" w:pos="1418"/>
        </w:tabs>
        <w:spacing w:line="600" w:lineRule="exact"/>
        <w:jc w:val="center"/>
        <w:rPr>
          <w:rFonts w:ascii="楷体_GB2312" w:hAnsi="楷体_GB2312" w:eastAsia="楷体_GB2312" w:cs="楷体_GB2312"/>
          <w:sz w:val="32"/>
          <w:szCs w:val="32"/>
        </w:rPr>
      </w:pPr>
      <w:r>
        <w:rPr>
          <w:rFonts w:hint="eastAsia" w:ascii="楷体_GB2312" w:hAnsi="楷体_GB2312" w:eastAsia="楷体_GB2312" w:cs="楷体_GB2312"/>
          <w:sz w:val="32"/>
          <w:szCs w:val="32"/>
        </w:rPr>
        <w:t>公开时间：2022年10月</w:t>
      </w:r>
      <w:r>
        <w:rPr>
          <w:rFonts w:hint="eastAsia" w:ascii="楷体_GB2312" w:hAnsi="楷体_GB2312" w:eastAsia="楷体_GB2312" w:cs="楷体_GB2312"/>
          <w:sz w:val="32"/>
          <w:szCs w:val="32"/>
          <w:lang w:val="en-US" w:eastAsia="zh-CN"/>
        </w:rPr>
        <w:t>27</w:t>
      </w:r>
      <w:r>
        <w:rPr>
          <w:rFonts w:hint="eastAsia" w:ascii="楷体_GB2312" w:hAnsi="楷体_GB2312" w:eastAsia="楷体_GB2312" w:cs="楷体_GB2312"/>
          <w:sz w:val="32"/>
          <w:szCs w:val="32"/>
        </w:rPr>
        <w:t>日</w:t>
      </w:r>
    </w:p>
    <w:p w14:paraId="3CA40EB8">
      <w:pPr>
        <w:spacing w:line="600" w:lineRule="exact"/>
        <w:rPr>
          <w:rFonts w:ascii="仿宋_GB2312" w:hAnsi="仿宋_GB2312" w:eastAsia="仿宋_GB2312" w:cs="仿宋_GB2312"/>
          <w:sz w:val="32"/>
          <w:szCs w:val="32"/>
        </w:rPr>
      </w:pPr>
    </w:p>
    <w:p w14:paraId="4FE86C3A">
      <w:pPr>
        <w:spacing w:line="600" w:lineRule="exact"/>
        <w:rPr>
          <w:rFonts w:ascii="黑体" w:hAnsi="黑体" w:eastAsia="黑体" w:cs="黑体"/>
          <w:sz w:val="32"/>
          <w:szCs w:val="32"/>
        </w:rPr>
      </w:pPr>
      <w:r>
        <w:rPr>
          <w:rFonts w:hint="eastAsia" w:ascii="黑体" w:hAnsi="黑体" w:eastAsia="黑体" w:cs="黑体"/>
          <w:sz w:val="32"/>
          <w:szCs w:val="32"/>
        </w:rPr>
        <w:t>第一部分 单位概况</w:t>
      </w:r>
    </w:p>
    <w:p w14:paraId="73AFD4C1">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一、职能简介</w:t>
      </w:r>
    </w:p>
    <w:p w14:paraId="5B7AB1E3">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二、2021年重点工作完成情况</w:t>
      </w:r>
    </w:p>
    <w:p w14:paraId="391D95AA">
      <w:pPr>
        <w:spacing w:line="600" w:lineRule="exact"/>
        <w:rPr>
          <w:rFonts w:ascii="黑体" w:hAnsi="黑体" w:eastAsia="黑体" w:cs="黑体"/>
          <w:sz w:val="32"/>
          <w:szCs w:val="32"/>
        </w:rPr>
      </w:pPr>
      <w:r>
        <w:rPr>
          <w:rFonts w:hint="eastAsia" w:ascii="黑体" w:hAnsi="黑体" w:eastAsia="黑体" w:cs="黑体"/>
          <w:sz w:val="32"/>
          <w:szCs w:val="32"/>
        </w:rPr>
        <w:t>第二部分 2021年度单位决算情况说明</w:t>
      </w:r>
    </w:p>
    <w:p w14:paraId="25E7A203">
      <w:pPr>
        <w:pStyle w:val="10"/>
        <w:adjustRightInd w:val="0"/>
        <w:snapToGrid w:val="0"/>
        <w:spacing w:before="0" w:line="60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一、收入支出决算总体情况说明</w:t>
      </w:r>
    </w:p>
    <w:p w14:paraId="374393DA">
      <w:pPr>
        <w:pStyle w:val="11"/>
        <w:adjustRightInd w:val="0"/>
        <w:snapToGrid w:val="0"/>
        <w:spacing w:line="600" w:lineRule="exact"/>
        <w:ind w:left="0" w:leftChars="0"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二、收入决算情况说明</w:t>
      </w:r>
    </w:p>
    <w:p w14:paraId="3861B133">
      <w:pPr>
        <w:pStyle w:val="11"/>
        <w:adjustRightInd w:val="0"/>
        <w:snapToGrid w:val="0"/>
        <w:spacing w:line="600" w:lineRule="exact"/>
        <w:ind w:left="0" w:leftChars="0"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三、支出决算情况说明</w:t>
      </w:r>
    </w:p>
    <w:p w14:paraId="0898F505">
      <w:pPr>
        <w:pStyle w:val="11"/>
        <w:adjustRightInd w:val="0"/>
        <w:snapToGrid w:val="0"/>
        <w:spacing w:line="600" w:lineRule="exact"/>
        <w:ind w:left="0" w:leftChars="0"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四、财政拨款收入支出决算总体情况说明</w:t>
      </w:r>
    </w:p>
    <w:p w14:paraId="1A6A9926">
      <w:pPr>
        <w:pStyle w:val="11"/>
        <w:adjustRightInd w:val="0"/>
        <w:snapToGrid w:val="0"/>
        <w:spacing w:line="600" w:lineRule="exact"/>
        <w:ind w:left="0" w:leftChars="0"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五、一般公共预算财政拨款支出决算情况说明</w:t>
      </w:r>
    </w:p>
    <w:p w14:paraId="4160E915">
      <w:pPr>
        <w:pStyle w:val="11"/>
        <w:adjustRightInd w:val="0"/>
        <w:snapToGrid w:val="0"/>
        <w:spacing w:line="600" w:lineRule="exact"/>
        <w:ind w:left="0" w:leftChars="0"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六、一般公共预算财政拨款基本支出决算情况说明</w:t>
      </w:r>
    </w:p>
    <w:p w14:paraId="39075B46">
      <w:pPr>
        <w:pStyle w:val="11"/>
        <w:adjustRightInd w:val="0"/>
        <w:snapToGrid w:val="0"/>
        <w:spacing w:line="600" w:lineRule="exact"/>
        <w:ind w:left="0" w:leftChars="0"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七、“三公”经费财政拨款支出决算情况说明</w:t>
      </w:r>
    </w:p>
    <w:p w14:paraId="1BD4DF90">
      <w:pPr>
        <w:pStyle w:val="11"/>
        <w:adjustRightInd w:val="0"/>
        <w:snapToGrid w:val="0"/>
        <w:spacing w:line="600" w:lineRule="exact"/>
        <w:ind w:left="0" w:leftChars="0"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八、政府性基金预算支出决算情况说明</w:t>
      </w:r>
    </w:p>
    <w:p w14:paraId="2C71F701">
      <w:pPr>
        <w:pStyle w:val="11"/>
        <w:adjustRightInd w:val="0"/>
        <w:snapToGrid w:val="0"/>
        <w:spacing w:line="600" w:lineRule="exact"/>
        <w:ind w:left="0" w:leftChars="0"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九、国有资本经营预算支出决算情况说明</w:t>
      </w:r>
    </w:p>
    <w:p w14:paraId="3C8DA543">
      <w:pPr>
        <w:pStyle w:val="11"/>
        <w:adjustRightInd w:val="0"/>
        <w:snapToGrid w:val="0"/>
        <w:spacing w:line="600" w:lineRule="exact"/>
        <w:ind w:left="0" w:leftChars="0"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十、其他重要事项的情况说明</w:t>
      </w:r>
    </w:p>
    <w:p w14:paraId="1A5A0D3E">
      <w:pPr>
        <w:pStyle w:val="10"/>
        <w:adjustRightInd w:val="0"/>
        <w:snapToGrid w:val="0"/>
        <w:spacing w:before="0" w:line="600" w:lineRule="exact"/>
        <w:jc w:val="left"/>
        <w:rPr>
          <w:rFonts w:ascii="黑体" w:hAnsi="黑体" w:eastAsia="黑体" w:cs="黑体"/>
          <w:sz w:val="32"/>
          <w:szCs w:val="32"/>
        </w:rPr>
      </w:pPr>
      <w:r>
        <w:rPr>
          <w:rFonts w:hint="eastAsia" w:ascii="黑体" w:hAnsi="黑体" w:eastAsia="黑体" w:cs="黑体"/>
          <w:sz w:val="32"/>
          <w:szCs w:val="32"/>
        </w:rPr>
        <w:t>第三部分 名词解释</w:t>
      </w:r>
    </w:p>
    <w:p w14:paraId="6B2A03C3">
      <w:pPr>
        <w:pStyle w:val="10"/>
        <w:adjustRightInd w:val="0"/>
        <w:snapToGrid w:val="0"/>
        <w:spacing w:before="0" w:line="600" w:lineRule="exact"/>
        <w:jc w:val="left"/>
        <w:rPr>
          <w:rFonts w:ascii="黑体" w:hAnsi="黑体" w:eastAsia="黑体" w:cs="黑体"/>
          <w:sz w:val="32"/>
          <w:szCs w:val="32"/>
        </w:rPr>
      </w:pPr>
      <w:r>
        <w:rPr>
          <w:rFonts w:hint="eastAsia" w:ascii="黑体" w:hAnsi="黑体" w:eastAsia="黑体" w:cs="黑体"/>
          <w:sz w:val="32"/>
          <w:szCs w:val="32"/>
        </w:rPr>
        <w:t>第四部分 附件</w:t>
      </w:r>
    </w:p>
    <w:p w14:paraId="16E31E6C">
      <w:pPr>
        <w:spacing w:line="600" w:lineRule="exact"/>
        <w:rPr>
          <w:rFonts w:ascii="黑体" w:hAnsi="黑体" w:eastAsia="黑体" w:cs="黑体"/>
          <w:sz w:val="32"/>
          <w:szCs w:val="32"/>
        </w:rPr>
      </w:pPr>
      <w:r>
        <w:rPr>
          <w:rFonts w:hint="eastAsia" w:ascii="黑体" w:hAnsi="黑体" w:eastAsia="黑体" w:cs="黑体"/>
          <w:sz w:val="32"/>
          <w:szCs w:val="32"/>
        </w:rPr>
        <w:t>第五部分 附表</w:t>
      </w:r>
    </w:p>
    <w:p w14:paraId="5192036A">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一、收入支出决算总表</w:t>
      </w:r>
    </w:p>
    <w:p w14:paraId="0EB1CE87">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二、收入决算表</w:t>
      </w:r>
    </w:p>
    <w:p w14:paraId="3A5D4239">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三、支出决算表</w:t>
      </w:r>
    </w:p>
    <w:p w14:paraId="0A8E3B02">
      <w:pPr>
        <w:pStyle w:val="11"/>
        <w:adjustRightInd w:val="0"/>
        <w:snapToGrid w:val="0"/>
        <w:spacing w:line="600" w:lineRule="exact"/>
        <w:ind w:left="0" w:leftChars="0"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四、财政拨款收入支出决算总表</w:t>
      </w:r>
    </w:p>
    <w:p w14:paraId="029540EB">
      <w:pPr>
        <w:pStyle w:val="11"/>
        <w:adjustRightInd w:val="0"/>
        <w:snapToGrid w:val="0"/>
        <w:spacing w:line="600" w:lineRule="exact"/>
        <w:ind w:left="0" w:leftChars="0"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五、财政拨款支出决算明细表</w:t>
      </w:r>
    </w:p>
    <w:p w14:paraId="1E954400">
      <w:pPr>
        <w:pStyle w:val="11"/>
        <w:adjustRightInd w:val="0"/>
        <w:snapToGrid w:val="0"/>
        <w:spacing w:line="600" w:lineRule="exact"/>
        <w:ind w:left="0" w:leftChars="0"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六、一般公共预算财政拨款支出决算表</w:t>
      </w:r>
    </w:p>
    <w:p w14:paraId="21D0C107">
      <w:pPr>
        <w:pStyle w:val="11"/>
        <w:adjustRightInd w:val="0"/>
        <w:snapToGrid w:val="0"/>
        <w:spacing w:line="600" w:lineRule="exact"/>
        <w:ind w:left="0" w:leftChars="0"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七、一般公共预算财政拨款支出决算明细表</w:t>
      </w:r>
    </w:p>
    <w:p w14:paraId="281C2E17">
      <w:pPr>
        <w:pStyle w:val="11"/>
        <w:adjustRightInd w:val="0"/>
        <w:snapToGrid w:val="0"/>
        <w:spacing w:line="600" w:lineRule="exact"/>
        <w:ind w:left="0" w:leftChars="0"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八、一般公共预算财政拨款基本支出决算表</w:t>
      </w:r>
    </w:p>
    <w:p w14:paraId="41ADD76C">
      <w:pPr>
        <w:pStyle w:val="11"/>
        <w:adjustRightInd w:val="0"/>
        <w:snapToGrid w:val="0"/>
        <w:spacing w:line="600" w:lineRule="exact"/>
        <w:ind w:left="0" w:leftChars="0"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九、一般公共预算财政拨款项目支出决算表</w:t>
      </w:r>
    </w:p>
    <w:p w14:paraId="2972691E">
      <w:pPr>
        <w:pStyle w:val="11"/>
        <w:adjustRightInd w:val="0"/>
        <w:snapToGrid w:val="0"/>
        <w:spacing w:line="600" w:lineRule="exact"/>
        <w:ind w:left="0" w:leftChars="0"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十、一般公共预算财政拨款“三公”经费支出决算表</w:t>
      </w:r>
    </w:p>
    <w:p w14:paraId="4D0FB3BC">
      <w:pPr>
        <w:pStyle w:val="11"/>
        <w:adjustRightInd w:val="0"/>
        <w:snapToGrid w:val="0"/>
        <w:spacing w:line="600" w:lineRule="exact"/>
        <w:ind w:left="0" w:leftChars="0"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十一、政府性基金预算财政拨款收入支出决算表</w:t>
      </w:r>
    </w:p>
    <w:p w14:paraId="01329E50">
      <w:pPr>
        <w:pStyle w:val="11"/>
        <w:adjustRightInd w:val="0"/>
        <w:snapToGrid w:val="0"/>
        <w:spacing w:line="600" w:lineRule="exact"/>
        <w:ind w:left="0" w:leftChars="0"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十二、政府性基金预算财政拨款“三公”经费支出决算表</w:t>
      </w:r>
    </w:p>
    <w:p w14:paraId="63685D5E">
      <w:pPr>
        <w:pStyle w:val="11"/>
        <w:adjustRightInd w:val="0"/>
        <w:snapToGrid w:val="0"/>
        <w:spacing w:line="600" w:lineRule="exact"/>
        <w:ind w:left="0" w:leftChars="0"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十三、国有资本经营预算财政拨款收入支出决算表</w:t>
      </w:r>
    </w:p>
    <w:p w14:paraId="2A184534">
      <w:pPr>
        <w:pStyle w:val="11"/>
        <w:adjustRightInd w:val="0"/>
        <w:snapToGrid w:val="0"/>
        <w:spacing w:line="600" w:lineRule="exact"/>
        <w:ind w:left="0" w:leftChars="0"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十四、国有资本经营预算财政拨款支出决算表</w:t>
      </w:r>
    </w:p>
    <w:p w14:paraId="4E9E0EEE">
      <w:pPr>
        <w:widowControl/>
        <w:adjustRightInd w:val="0"/>
        <w:snapToGrid w:val="0"/>
        <w:spacing w:line="60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(注：请单位根据实际注明页码)</w:t>
      </w:r>
    </w:p>
    <w:p w14:paraId="5A8EBCD6">
      <w:pPr>
        <w:widowControl/>
        <w:spacing w:line="600" w:lineRule="exact"/>
        <w:jc w:val="left"/>
        <w:rPr>
          <w:rFonts w:ascii="仿宋" w:hAnsi="仿宋" w:eastAsia="仿宋"/>
          <w:bCs/>
          <w:kern w:val="44"/>
          <w:sz w:val="24"/>
        </w:rPr>
      </w:pPr>
      <w:bookmarkStart w:id="12" w:name="_Toc15396599"/>
      <w:bookmarkStart w:id="13" w:name="_Toc15377196"/>
      <w:r>
        <w:rPr>
          <w:rFonts w:ascii="仿宋" w:hAnsi="仿宋" w:eastAsia="仿宋"/>
          <w:b/>
          <w:sz w:val="24"/>
        </w:rPr>
        <w:br w:type="page"/>
      </w:r>
    </w:p>
    <w:p w14:paraId="5E71F5F1">
      <w:pPr>
        <w:spacing w:line="600" w:lineRule="exact"/>
        <w:jc w:val="center"/>
        <w:rPr>
          <w:rFonts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第一部分 单位概况</w:t>
      </w:r>
      <w:bookmarkEnd w:id="12"/>
      <w:bookmarkEnd w:id="13"/>
    </w:p>
    <w:p w14:paraId="259B351A">
      <w:pPr>
        <w:spacing w:line="600" w:lineRule="exact"/>
        <w:rPr>
          <w:rFonts w:ascii="方正小标宋_GBK" w:hAnsi="方正小标宋_GBK" w:eastAsia="方正小标宋_GBK" w:cs="方正小标宋_GBK"/>
          <w:sz w:val="44"/>
          <w:szCs w:val="44"/>
        </w:rPr>
      </w:pPr>
    </w:p>
    <w:p w14:paraId="7A24A43D">
      <w:pPr>
        <w:numPr>
          <w:ilvl w:val="0"/>
          <w:numId w:val="0"/>
        </w:numPr>
        <w:spacing w:line="600" w:lineRule="exact"/>
        <w:ind w:firstLine="640" w:firstLineChars="200"/>
        <w:rPr>
          <w:rFonts w:hint="eastAsia" w:ascii="黑体" w:hAnsi="黑体" w:eastAsia="黑体" w:cs="黑体"/>
          <w:sz w:val="32"/>
          <w:szCs w:val="32"/>
        </w:rPr>
      </w:pPr>
      <w:bookmarkStart w:id="14" w:name="_Toc15396600"/>
      <w:bookmarkStart w:id="15" w:name="_Toc15377197"/>
      <w:r>
        <w:rPr>
          <w:rFonts w:hint="eastAsia" w:ascii="黑体" w:hAnsi="黑体" w:eastAsia="黑体" w:cs="黑体"/>
          <w:sz w:val="32"/>
          <w:szCs w:val="32"/>
          <w:lang w:val="en-US" w:eastAsia="zh-CN"/>
        </w:rPr>
        <w:t>一、</w:t>
      </w:r>
      <w:r>
        <w:rPr>
          <w:rFonts w:hint="eastAsia" w:ascii="黑体" w:hAnsi="黑体" w:eastAsia="黑体" w:cs="黑体"/>
          <w:sz w:val="32"/>
          <w:szCs w:val="32"/>
        </w:rPr>
        <w:t>职能简介</w:t>
      </w:r>
    </w:p>
    <w:p w14:paraId="6F477F87">
      <w:pPr>
        <w:pStyle w:val="2"/>
        <w:ind w:firstLine="640" w:firstLineChars="20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贯彻国务院、四川省和乐山市有关防震减灾工作的方针、政策和法规；制定本行政区域内防震减灾事业中、长期发展规划，编制防震减灾工作年度计划并组织实施；会同有关部门制定地震应急预案，负责本行政区域内的震情通报和地震灾害速报，配合上级部门进行震后趋势判断和地震灾害损失评估，参与制定地震灾区的重建规划；按照有关规定监督、管理本行政区域内工程建设项目的抗震设防标准和工程建设场地地震安全性评价工作；会同有关部门开展防震减灾宣传教育工作，普及防震减灾知识，提高全社会的防震减灾意识；并按照有关规定审核防震减灾宣传报道；承担市人民政府防震减灾工作领导机构的日常工作。</w:t>
      </w:r>
    </w:p>
    <w:p w14:paraId="3BB69943">
      <w:pPr>
        <w:spacing w:line="600" w:lineRule="exact"/>
        <w:ind w:firstLine="640" w:firstLineChars="200"/>
        <w:rPr>
          <w:rFonts w:hint="eastAsia" w:ascii="黑体" w:hAnsi="黑体" w:eastAsia="黑体" w:cs="黑体"/>
          <w:sz w:val="32"/>
          <w:szCs w:val="32"/>
        </w:rPr>
      </w:pPr>
      <w:r>
        <w:rPr>
          <w:rFonts w:hint="eastAsia" w:ascii="黑体" w:hAnsi="黑体" w:eastAsia="黑体" w:cs="黑体"/>
          <w:sz w:val="32"/>
          <w:szCs w:val="32"/>
          <w:lang w:val="en-US" w:eastAsia="zh-CN"/>
        </w:rPr>
        <w:t>二、</w:t>
      </w:r>
      <w:r>
        <w:rPr>
          <w:rFonts w:hint="eastAsia" w:ascii="黑体" w:hAnsi="黑体" w:eastAsia="黑体" w:cs="黑体"/>
          <w:sz w:val="32"/>
          <w:szCs w:val="32"/>
        </w:rPr>
        <w:t>2021年重点工作</w:t>
      </w:r>
      <w:bookmarkEnd w:id="14"/>
      <w:bookmarkEnd w:id="15"/>
      <w:r>
        <w:rPr>
          <w:rFonts w:hint="eastAsia" w:ascii="黑体" w:hAnsi="黑体" w:eastAsia="黑体" w:cs="黑体"/>
          <w:sz w:val="32"/>
          <w:szCs w:val="32"/>
        </w:rPr>
        <w:t>完成情况</w:t>
      </w:r>
    </w:p>
    <w:p w14:paraId="2334F739">
      <w:pPr>
        <w:pStyle w:val="2"/>
        <w:ind w:firstLine="640" w:firstLineChars="20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1.地震监测和预警。一是配合省地震局完成县级地震转发平台建设，已投入运行；二是积极配合省地震局开展国家烈度速报与预警工程项目，派具体经办人员参加相关培训，龙池中学基本站已建成，峨眉一小、峨眉三中地震预警终端运行正常，高桥、双福一般站运行正常；三是对现已建成的3台“多分量AETA地震监测系统”试验站进行日常检查和保护，对运行情况每日记录，保障数据及时上传。</w:t>
      </w:r>
    </w:p>
    <w:p w14:paraId="63872284">
      <w:pPr>
        <w:pStyle w:val="2"/>
        <w:ind w:firstLine="640" w:firstLineChars="20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2.群测群防。一是积极配合乐山市防震减灾服务中心在我市各乡镇共建设了11个地震宏观观测站；设置了32个宏观观测点，每个乡镇（街道）均配备了防震减灾助理员，及时对“三网一员”人员进行了更新备案；11月25日，召开了我市2021年“三网一员”培训会暨地震灾害风险普查工作推进会，全市各乡镇（街道）共计26人参加。二是制定了《2021年震情跟踪工作方案》，成立了包括各乡镇防震减灾助理员和宏观观测员为成员的震情跟踪工作领导小组，对震情跟踪各项工作进行了布署。全面加强异常核实工作，实行分级负责、责任包干制度，坚决做到异常核实“不过夜”，有一起核实一起，做到件件有落实，事事有回音。</w:t>
      </w:r>
    </w:p>
    <w:p w14:paraId="6BCCC02B">
      <w:pPr>
        <w:pStyle w:val="2"/>
        <w:ind w:firstLine="640" w:firstLineChars="20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3.震害防御。一是制定了《峨眉山市2021年防震减灾科普宣传教育工作方案》，结合防震减灾科普宣传“七进”活动，进学校向教职工讲解防震避震知识，向各中小学校发放防震减灾书签40000余份，利用“科普宣传月”“防灾减灾日”以及农民夜校和大走访等时机，发放宣传资料2000余份；结合“乡村培训大行动”，向各乡镇（街道）发放宣传资料50000余份，发放防震避震明白卡158000余份。二是邀请西南交通大学专家对全市基层民兵进行了防震减灾科普知识和应急救援基础知识培训。三是积极开展应急演练，2021年5月14日，配合市应急局开展了“‘应急使命·2021’演习暨峨眉山市2021年抗震救灾桌面推演”。</w:t>
      </w:r>
    </w:p>
    <w:p w14:paraId="4E40E3C4">
      <w:pPr>
        <w:pStyle w:val="2"/>
        <w:ind w:firstLine="640" w:firstLineChars="20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4.做好疫情常态化防控。在打赢</w:t>
      </w:r>
      <w:r>
        <w:rPr>
          <w:rFonts w:hint="eastAsia" w:hAnsi="仿宋_GB2312" w:cs="仿宋_GB2312"/>
          <w:kern w:val="2"/>
          <w:sz w:val="32"/>
          <w:szCs w:val="32"/>
          <w:lang w:val="en-US" w:eastAsia="zh-CN" w:bidi="ar-SA"/>
        </w:rPr>
        <w:t>疫情防控阻击战</w:t>
      </w:r>
      <w:r>
        <w:rPr>
          <w:rFonts w:hint="eastAsia" w:ascii="仿宋_GB2312" w:hAnsi="仿宋_GB2312" w:eastAsia="仿宋_GB2312" w:cs="仿宋_GB2312"/>
          <w:kern w:val="2"/>
          <w:sz w:val="32"/>
          <w:szCs w:val="32"/>
          <w:lang w:val="en-US" w:eastAsia="zh-CN" w:bidi="ar-SA"/>
        </w:rPr>
        <w:t>中积极主动履职、坚持日报告制度，对全体职工加强排查和管理，深入全市40余个宏观观测点，内防扩散、外防输入，把疫情防控斗争的各项部署落实到位。</w:t>
      </w:r>
    </w:p>
    <w:p w14:paraId="6483900D">
      <w:pPr>
        <w:pStyle w:val="2"/>
        <w:ind w:firstLine="640" w:firstLineChars="200"/>
        <w:rPr>
          <w:rFonts w:ascii="仿宋" w:hAnsi="仿宋" w:eastAsia="仿宋"/>
          <w:kern w:val="0"/>
          <w:sz w:val="32"/>
          <w:szCs w:val="32"/>
        </w:rPr>
      </w:pPr>
      <w:r>
        <w:rPr>
          <w:rFonts w:hint="eastAsia" w:ascii="仿宋_GB2312" w:hAnsi="仿宋_GB2312" w:eastAsia="仿宋_GB2312" w:cs="仿宋_GB2312"/>
          <w:kern w:val="2"/>
          <w:sz w:val="32"/>
          <w:szCs w:val="32"/>
          <w:lang w:val="en-US" w:eastAsia="zh-CN" w:bidi="ar-SA"/>
        </w:rPr>
        <w:t>5.积极推进中心工作有序开展。认真开展大走访，全年已完成第一轮、第二轮走访，共收集问题13个，解决问题12个，并向大走访所在村组党支部赠送农村实用书籍和文体用品；认真开展创文活动，开展了创文宣传、文明交通劝导、小区治安治理、城区环境整治等活动，营造了良好的文明城市创建氛围。</w:t>
      </w:r>
      <w:r>
        <w:rPr>
          <w:rFonts w:ascii="仿宋" w:hAnsi="仿宋" w:eastAsia="仿宋"/>
          <w:sz w:val="32"/>
          <w:szCs w:val="32"/>
        </w:rPr>
        <w:br w:type="page"/>
      </w:r>
    </w:p>
    <w:p w14:paraId="2FF9CAED">
      <w:pPr>
        <w:spacing w:line="600" w:lineRule="exact"/>
        <w:jc w:val="center"/>
        <w:rPr>
          <w:rFonts w:ascii="方正小标宋_GBK" w:hAnsi="方正小标宋_GBK" w:eastAsia="方正小标宋_GBK" w:cs="方正小标宋_GBK"/>
          <w:sz w:val="44"/>
          <w:szCs w:val="44"/>
        </w:rPr>
      </w:pPr>
      <w:bookmarkStart w:id="16" w:name="_Toc15396602"/>
      <w:bookmarkStart w:id="17" w:name="_Toc15377204"/>
      <w:r>
        <w:rPr>
          <w:rFonts w:hint="eastAsia" w:ascii="方正小标宋_GBK" w:hAnsi="方正小标宋_GBK" w:eastAsia="方正小标宋_GBK" w:cs="方正小标宋_GBK"/>
          <w:sz w:val="44"/>
          <w:szCs w:val="44"/>
        </w:rPr>
        <w:t>第二部分 2021年度单位决算情况说明</w:t>
      </w:r>
      <w:bookmarkEnd w:id="16"/>
      <w:bookmarkEnd w:id="17"/>
    </w:p>
    <w:p w14:paraId="4893A873">
      <w:pPr>
        <w:spacing w:line="600" w:lineRule="exact"/>
        <w:rPr>
          <w:rFonts w:ascii="仿宋_GB2312" w:hAnsi="仿宋_GB2312" w:eastAsia="仿宋_GB2312" w:cs="仿宋_GB2312"/>
          <w:sz w:val="32"/>
          <w:szCs w:val="32"/>
        </w:rPr>
      </w:pPr>
    </w:p>
    <w:p w14:paraId="612AEF5B">
      <w:pPr>
        <w:spacing w:line="600" w:lineRule="exact"/>
        <w:ind w:firstLine="640" w:firstLineChars="200"/>
        <w:rPr>
          <w:rFonts w:ascii="黑体" w:hAnsi="黑体" w:eastAsia="黑体" w:cs="黑体"/>
          <w:sz w:val="32"/>
          <w:szCs w:val="32"/>
        </w:rPr>
      </w:pPr>
      <w:bookmarkStart w:id="18" w:name="_Toc15377205"/>
      <w:bookmarkStart w:id="19" w:name="_Toc15396603"/>
      <w:r>
        <w:rPr>
          <w:rFonts w:hint="eastAsia" w:ascii="黑体" w:hAnsi="黑体" w:eastAsia="黑体" w:cs="黑体"/>
          <w:sz w:val="32"/>
          <w:szCs w:val="32"/>
        </w:rPr>
        <w:t>一、收入支出决算总体情况说明</w:t>
      </w:r>
      <w:bookmarkEnd w:id="18"/>
      <w:bookmarkEnd w:id="19"/>
    </w:p>
    <w:p w14:paraId="3D3F0CE8">
      <w:pPr>
        <w:spacing w:line="60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2021年度收</w:t>
      </w:r>
      <w:r>
        <w:rPr>
          <w:rFonts w:hint="eastAsia" w:ascii="仿宋_GB2312" w:hAnsi="仿宋_GB2312" w:eastAsia="仿宋_GB2312" w:cs="仿宋_GB2312"/>
          <w:sz w:val="32"/>
          <w:szCs w:val="32"/>
          <w:lang w:val="en-US" w:eastAsia="zh-CN"/>
        </w:rPr>
        <w:t>入总计99.26万元</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支</w:t>
      </w:r>
      <w:r>
        <w:rPr>
          <w:rFonts w:hint="eastAsia" w:ascii="仿宋_GB2312" w:hAnsi="仿宋_GB2312" w:eastAsia="仿宋_GB2312" w:cs="仿宋_GB2312"/>
          <w:sz w:val="32"/>
          <w:szCs w:val="32"/>
          <w:lang w:val="en-US" w:eastAsia="zh-CN"/>
        </w:rPr>
        <w:t>出</w:t>
      </w:r>
      <w:r>
        <w:rPr>
          <w:rFonts w:hint="eastAsia" w:ascii="仿宋_GB2312" w:hAnsi="仿宋_GB2312" w:eastAsia="仿宋_GB2312" w:cs="仿宋_GB2312"/>
          <w:sz w:val="32"/>
          <w:szCs w:val="32"/>
        </w:rPr>
        <w:t>总计</w:t>
      </w:r>
      <w:r>
        <w:rPr>
          <w:rFonts w:hint="eastAsia" w:ascii="仿宋_GB2312" w:hAnsi="仿宋_GB2312" w:eastAsia="仿宋_GB2312" w:cs="仿宋_GB2312"/>
          <w:sz w:val="32"/>
          <w:szCs w:val="32"/>
          <w:lang w:val="en-US" w:eastAsia="zh-CN"/>
        </w:rPr>
        <w:t>99.19</w:t>
      </w:r>
      <w:r>
        <w:rPr>
          <w:rFonts w:hint="eastAsia" w:ascii="仿宋_GB2312" w:hAnsi="仿宋_GB2312" w:eastAsia="仿宋_GB2312" w:cs="仿宋_GB2312"/>
          <w:sz w:val="32"/>
          <w:szCs w:val="32"/>
        </w:rPr>
        <w:t>万元。与2020年相比，收、支总计各增加</w:t>
      </w:r>
      <w:r>
        <w:rPr>
          <w:rFonts w:hint="eastAsia" w:ascii="仿宋_GB2312" w:hAnsi="仿宋" w:eastAsia="仿宋_GB2312"/>
          <w:sz w:val="32"/>
          <w:szCs w:val="32"/>
          <w:lang w:val="en-US" w:eastAsia="zh-CN"/>
        </w:rPr>
        <w:t>9.91</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val="en-US" w:eastAsia="zh-CN"/>
        </w:rPr>
        <w:t>及9.88</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均</w:t>
      </w:r>
      <w:r>
        <w:rPr>
          <w:rFonts w:hint="eastAsia" w:ascii="仿宋_GB2312" w:hAnsi="仿宋_GB2312" w:eastAsia="仿宋_GB2312" w:cs="仿宋_GB2312"/>
          <w:sz w:val="32"/>
          <w:szCs w:val="32"/>
        </w:rPr>
        <w:t>增长</w:t>
      </w:r>
      <w:r>
        <w:rPr>
          <w:rFonts w:hint="eastAsia" w:ascii="仿宋_GB2312" w:hAnsi="仿宋_GB2312" w:eastAsia="仿宋_GB2312" w:cs="仿宋_GB2312"/>
          <w:sz w:val="32"/>
          <w:szCs w:val="32"/>
          <w:lang w:val="en-US" w:eastAsia="zh-CN"/>
        </w:rPr>
        <w:t>11.1</w:t>
      </w:r>
      <w:r>
        <w:rPr>
          <w:rFonts w:hint="eastAsia" w:ascii="仿宋_GB2312" w:hAnsi="仿宋_GB2312" w:eastAsia="仿宋_GB2312" w:cs="仿宋_GB2312"/>
          <w:sz w:val="32"/>
          <w:szCs w:val="32"/>
        </w:rPr>
        <w:t>%。主要变动原因是</w:t>
      </w:r>
      <w:r>
        <w:rPr>
          <w:rFonts w:hint="eastAsia" w:ascii="仿宋_GB2312" w:hAnsi="仿宋_GB2312" w:eastAsia="仿宋_GB2312" w:cs="仿宋_GB2312"/>
          <w:sz w:val="32"/>
          <w:szCs w:val="32"/>
          <w:lang w:val="en-US" w:eastAsia="zh-CN"/>
        </w:rPr>
        <w:t>2021年新进1名工作人员。</w:t>
      </w:r>
    </w:p>
    <w:p w14:paraId="70081263">
      <w:pPr>
        <w:pStyle w:val="2"/>
        <w:jc w:val="center"/>
        <w:rPr>
          <w:rFonts w:hint="eastAsia" w:ascii="仿宋_GB2312" w:hAnsi="仿宋_GB2312" w:eastAsia="仿宋_GB2312" w:cs="仿宋_GB2312"/>
          <w:sz w:val="32"/>
          <w:szCs w:val="32"/>
          <w:lang w:val="en-US" w:eastAsia="zh-CN"/>
          <w14:textOutline w14:w="6350">
            <w14:solidFill>
              <w14:schemeClr w14:val="tx1"/>
            </w14:solidFill>
            <w14:round/>
          </w14:textOutline>
        </w:rPr>
      </w:pPr>
      <w:r>
        <w:rPr>
          <w:rFonts w:hint="eastAsia"/>
          <w:lang w:val="en-US" w:eastAsia="zh-CN"/>
        </w:rPr>
        <w:drawing>
          <wp:inline distT="0" distB="0" distL="114300" distR="114300">
            <wp:extent cx="4184650" cy="2840355"/>
            <wp:effectExtent l="4445" t="4445" r="20955" b="12700"/>
            <wp:docPr id="5" name="图表 5"/>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1A23ED56">
      <w:pPr>
        <w:pStyle w:val="2"/>
        <w:jc w:val="center"/>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图1：收、支决算总计变动情况图</w:t>
      </w:r>
    </w:p>
    <w:p w14:paraId="67134233">
      <w:pPr>
        <w:pStyle w:val="23"/>
        <w:spacing w:line="600" w:lineRule="exact"/>
        <w:ind w:left="640" w:firstLine="0" w:firstLineChars="0"/>
        <w:outlineLvl w:val="1"/>
        <w:rPr>
          <w:rFonts w:hint="eastAsia" w:ascii="黑体" w:hAnsi="黑体" w:eastAsia="黑体"/>
          <w:sz w:val="32"/>
          <w:szCs w:val="32"/>
        </w:rPr>
      </w:pPr>
      <w:bookmarkStart w:id="20" w:name="_Toc15377206"/>
      <w:bookmarkStart w:id="21" w:name="_Toc15396604"/>
    </w:p>
    <w:p w14:paraId="48A92902">
      <w:pPr>
        <w:pStyle w:val="23"/>
        <w:spacing w:line="600" w:lineRule="exact"/>
        <w:ind w:left="640" w:firstLine="0" w:firstLineChars="0"/>
        <w:outlineLvl w:val="1"/>
        <w:rPr>
          <w:rStyle w:val="25"/>
          <w:rFonts w:ascii="黑体" w:hAnsi="黑体" w:eastAsia="黑体"/>
          <w:b w:val="0"/>
        </w:rPr>
      </w:pPr>
      <w:r>
        <w:rPr>
          <w:rFonts w:hint="eastAsia" w:ascii="黑体" w:hAnsi="黑体" w:eastAsia="黑体"/>
          <w:sz w:val="32"/>
          <w:szCs w:val="32"/>
        </w:rPr>
        <w:t>二、收</w:t>
      </w:r>
      <w:r>
        <w:rPr>
          <w:rStyle w:val="25"/>
          <w:rFonts w:hint="eastAsia" w:ascii="黑体" w:hAnsi="黑体" w:eastAsia="黑体"/>
          <w:b w:val="0"/>
        </w:rPr>
        <w:t>入决算情况说明</w:t>
      </w:r>
      <w:bookmarkEnd w:id="20"/>
      <w:bookmarkEnd w:id="21"/>
    </w:p>
    <w:p w14:paraId="1B95947A">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2021年本年收入合计</w:t>
      </w:r>
      <w:r>
        <w:rPr>
          <w:rFonts w:hint="eastAsia" w:ascii="仿宋_GB2312" w:hAnsi="仿宋_GB2312" w:eastAsia="仿宋_GB2312" w:cs="仿宋_GB2312"/>
          <w:sz w:val="32"/>
          <w:szCs w:val="32"/>
          <w:lang w:val="en-US" w:eastAsia="zh-CN"/>
        </w:rPr>
        <w:t>99.26</w:t>
      </w:r>
      <w:r>
        <w:rPr>
          <w:rFonts w:hint="eastAsia" w:ascii="仿宋_GB2312" w:hAnsi="仿宋_GB2312" w:eastAsia="仿宋_GB2312" w:cs="仿宋_GB2312"/>
          <w:sz w:val="32"/>
          <w:szCs w:val="32"/>
        </w:rPr>
        <w:t>万元，其中：一般公共预算财政拨款收入</w:t>
      </w:r>
      <w:r>
        <w:rPr>
          <w:rFonts w:hint="eastAsia" w:ascii="仿宋_GB2312" w:hAnsi="仿宋_GB2312" w:eastAsia="仿宋_GB2312" w:cs="仿宋_GB2312"/>
          <w:sz w:val="32"/>
          <w:szCs w:val="32"/>
          <w:lang w:val="en-US" w:eastAsia="zh-CN"/>
        </w:rPr>
        <w:t>99.26</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100</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政府性基金预算财政拨款收入</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%；国有资本经营预算财政拨款收入</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%；上级补助收入</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%；事业收入</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%；经营收入</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%；附属单位上缴收入</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%；其他收入</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w:t>
      </w:r>
    </w:p>
    <w:p w14:paraId="7FF7D33B">
      <w:pPr>
        <w:spacing w:line="600" w:lineRule="exact"/>
        <w:jc w:val="center"/>
        <w:rPr>
          <w:rFonts w:ascii="仿宋_GB2312" w:hAnsi="仿宋_GB2312" w:eastAsia="仿宋_GB2312" w:cs="仿宋_GB2312"/>
          <w:sz w:val="32"/>
          <w:szCs w:val="32"/>
        </w:rPr>
      </w:pPr>
      <w:r>
        <w:rPr>
          <w:rFonts w:hint="eastAsia" w:ascii="仿宋_GB2312" w:hAnsi="仿宋_GB2312" w:eastAsia="仿宋_GB2312" w:cs="仿宋_GB2312"/>
          <w:sz w:val="32"/>
          <w:szCs w:val="32"/>
          <w:lang w:eastAsia="zh-CN"/>
        </w:rPr>
        <w:drawing>
          <wp:anchor distT="0" distB="0" distL="114300" distR="114300" simplePos="0" relativeHeight="251659264" behindDoc="0" locked="0" layoutInCell="1" allowOverlap="1">
            <wp:simplePos x="0" y="0"/>
            <wp:positionH relativeFrom="column">
              <wp:posOffset>765810</wp:posOffset>
            </wp:positionH>
            <wp:positionV relativeFrom="paragraph">
              <wp:posOffset>116840</wp:posOffset>
            </wp:positionV>
            <wp:extent cx="4300855" cy="3010535"/>
            <wp:effectExtent l="4445" t="4445" r="19050" b="13970"/>
            <wp:wrapTopAndBottom/>
            <wp:docPr id="6" name="图表 6"/>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anchor>
        </w:drawing>
      </w:r>
      <w:r>
        <w:rPr>
          <w:rFonts w:hint="eastAsia" w:ascii="仿宋_GB2312" w:hAnsi="仿宋_GB2312" w:eastAsia="仿宋_GB2312" w:cs="仿宋_GB2312"/>
          <w:sz w:val="32"/>
          <w:szCs w:val="32"/>
        </w:rPr>
        <w:t>图2：收入决算结构图</w:t>
      </w:r>
    </w:p>
    <w:p w14:paraId="3AD720C8">
      <w:pPr>
        <w:pStyle w:val="23"/>
        <w:spacing w:line="600" w:lineRule="exact"/>
        <w:ind w:left="640" w:firstLine="0" w:firstLineChars="0"/>
        <w:outlineLvl w:val="1"/>
        <w:rPr>
          <w:rFonts w:hint="eastAsia" w:ascii="黑体" w:hAnsi="黑体" w:eastAsia="黑体"/>
          <w:sz w:val="32"/>
          <w:szCs w:val="32"/>
        </w:rPr>
      </w:pPr>
      <w:bookmarkStart w:id="22" w:name="_Toc15377207"/>
      <w:bookmarkStart w:id="23" w:name="_Toc15396605"/>
    </w:p>
    <w:p w14:paraId="673925DE">
      <w:pPr>
        <w:pStyle w:val="23"/>
        <w:spacing w:line="600" w:lineRule="exact"/>
        <w:ind w:left="640" w:firstLine="0" w:firstLineChars="0"/>
        <w:outlineLvl w:val="1"/>
        <w:rPr>
          <w:rStyle w:val="25"/>
          <w:rFonts w:ascii="黑体" w:hAnsi="黑体" w:eastAsia="黑体"/>
          <w:b w:val="0"/>
        </w:rPr>
      </w:pPr>
      <w:r>
        <w:rPr>
          <w:rFonts w:hint="eastAsia" w:ascii="黑体" w:hAnsi="黑体" w:eastAsia="黑体"/>
          <w:sz w:val="32"/>
          <w:szCs w:val="32"/>
        </w:rPr>
        <w:t>三、支</w:t>
      </w:r>
      <w:r>
        <w:rPr>
          <w:rStyle w:val="25"/>
          <w:rFonts w:hint="eastAsia" w:ascii="黑体" w:hAnsi="黑体" w:eastAsia="黑体"/>
          <w:b w:val="0"/>
        </w:rPr>
        <w:t>出决算情况说明</w:t>
      </w:r>
      <w:bookmarkEnd w:id="22"/>
      <w:bookmarkEnd w:id="23"/>
    </w:p>
    <w:p w14:paraId="519DCED8">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2021年本年支出合计</w:t>
      </w:r>
      <w:r>
        <w:rPr>
          <w:rFonts w:hint="eastAsia" w:ascii="仿宋_GB2312" w:hAnsi="仿宋_GB2312" w:eastAsia="仿宋_GB2312" w:cs="仿宋_GB2312"/>
          <w:sz w:val="32"/>
          <w:szCs w:val="32"/>
          <w:lang w:val="en-US" w:eastAsia="zh-CN"/>
        </w:rPr>
        <w:t>99.19</w:t>
      </w:r>
      <w:r>
        <w:rPr>
          <w:rFonts w:hint="eastAsia" w:ascii="仿宋_GB2312" w:hAnsi="仿宋_GB2312" w:eastAsia="仿宋_GB2312" w:cs="仿宋_GB2312"/>
          <w:sz w:val="32"/>
          <w:szCs w:val="32"/>
        </w:rPr>
        <w:t>万元，其中：基本支出</w:t>
      </w:r>
      <w:r>
        <w:rPr>
          <w:rFonts w:hint="eastAsia" w:ascii="仿宋_GB2312" w:hAnsi="仿宋_GB2312" w:eastAsia="仿宋_GB2312" w:cs="仿宋_GB2312"/>
          <w:sz w:val="32"/>
          <w:szCs w:val="32"/>
          <w:lang w:val="en-US" w:eastAsia="zh-CN"/>
        </w:rPr>
        <w:t>89.27</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90</w:t>
      </w:r>
      <w:r>
        <w:rPr>
          <w:rFonts w:hint="eastAsia" w:ascii="仿宋_GB2312" w:hAnsi="仿宋_GB2312" w:eastAsia="仿宋_GB2312" w:cs="仿宋_GB2312"/>
          <w:sz w:val="32"/>
          <w:szCs w:val="32"/>
        </w:rPr>
        <w:t>%；项目支出</w:t>
      </w:r>
      <w:r>
        <w:rPr>
          <w:rFonts w:hint="eastAsia" w:ascii="仿宋_GB2312" w:hAnsi="仿宋_GB2312" w:eastAsia="仿宋_GB2312" w:cs="仿宋_GB2312"/>
          <w:sz w:val="32"/>
          <w:szCs w:val="32"/>
          <w:lang w:val="en-US" w:eastAsia="zh-CN"/>
        </w:rPr>
        <w:t>9.92</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10</w:t>
      </w:r>
      <w:r>
        <w:rPr>
          <w:rFonts w:hint="eastAsia" w:ascii="仿宋_GB2312" w:hAnsi="仿宋_GB2312" w:eastAsia="仿宋_GB2312" w:cs="仿宋_GB2312"/>
          <w:sz w:val="32"/>
          <w:szCs w:val="32"/>
        </w:rPr>
        <w:t>%；上缴上级支出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%；经营支出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%；对附属单位补助支出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w:t>
      </w:r>
    </w:p>
    <w:p w14:paraId="2924BBD8">
      <w:pPr>
        <w:spacing w:line="600" w:lineRule="exact"/>
        <w:ind w:firstLine="640" w:firstLineChars="200"/>
        <w:jc w:val="center"/>
        <w:outlineLvl w:val="1"/>
        <w:rPr>
          <w:rFonts w:ascii="仿宋_GB2312" w:hAnsi="仿宋_GB2312" w:eastAsia="仿宋_GB2312" w:cs="仿宋_GB2312"/>
          <w:sz w:val="32"/>
          <w:szCs w:val="32"/>
        </w:rPr>
      </w:pPr>
      <w:r>
        <w:rPr>
          <w:rFonts w:hint="eastAsia" w:ascii="仿宋_GB2312" w:hAnsi="仿宋_GB2312" w:eastAsia="仿宋_GB2312" w:cs="仿宋_GB2312"/>
          <w:sz w:val="32"/>
          <w:szCs w:val="32"/>
          <w:lang w:eastAsia="zh-CN"/>
        </w:rPr>
        <w:drawing>
          <wp:anchor distT="0" distB="0" distL="114300" distR="114300" simplePos="0" relativeHeight="251661312" behindDoc="0" locked="0" layoutInCell="1" allowOverlap="1">
            <wp:simplePos x="0" y="0"/>
            <wp:positionH relativeFrom="column">
              <wp:posOffset>763905</wp:posOffset>
            </wp:positionH>
            <wp:positionV relativeFrom="paragraph">
              <wp:posOffset>51435</wp:posOffset>
            </wp:positionV>
            <wp:extent cx="4367530" cy="2698115"/>
            <wp:effectExtent l="4445" t="4445" r="9525" b="21590"/>
            <wp:wrapTopAndBottom/>
            <wp:docPr id="7" name="图表 7"/>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anchor>
        </w:drawing>
      </w:r>
      <w:r>
        <w:rPr>
          <w:rFonts w:hint="eastAsia" w:ascii="仿宋_GB2312" w:hAnsi="仿宋_GB2312" w:eastAsia="仿宋_GB2312" w:cs="仿宋_GB2312"/>
          <w:sz w:val="32"/>
          <w:szCs w:val="32"/>
        </w:rPr>
        <w:t>图3：支出决算结构图</w:t>
      </w:r>
    </w:p>
    <w:p w14:paraId="32597A35">
      <w:pPr>
        <w:spacing w:line="600" w:lineRule="exact"/>
        <w:ind w:firstLine="640" w:firstLineChars="200"/>
        <w:outlineLvl w:val="1"/>
        <w:rPr>
          <w:rFonts w:hint="eastAsia" w:ascii="黑体" w:hAnsi="黑体" w:eastAsia="黑体"/>
          <w:sz w:val="32"/>
          <w:szCs w:val="32"/>
        </w:rPr>
      </w:pPr>
      <w:bookmarkStart w:id="24" w:name="_Toc15377208"/>
      <w:bookmarkStart w:id="25" w:name="_Toc15396606"/>
    </w:p>
    <w:p w14:paraId="1182D77A">
      <w:pPr>
        <w:spacing w:line="600" w:lineRule="exact"/>
        <w:ind w:firstLine="640" w:firstLineChars="200"/>
        <w:outlineLvl w:val="1"/>
        <w:rPr>
          <w:rStyle w:val="25"/>
          <w:rFonts w:ascii="黑体" w:hAnsi="黑体" w:eastAsia="黑体"/>
          <w:b w:val="0"/>
        </w:rPr>
      </w:pPr>
      <w:r>
        <w:rPr>
          <w:rFonts w:hint="eastAsia" w:ascii="黑体" w:hAnsi="黑体" w:eastAsia="黑体"/>
          <w:sz w:val="32"/>
          <w:szCs w:val="32"/>
        </w:rPr>
        <w:t>四、财</w:t>
      </w:r>
      <w:r>
        <w:rPr>
          <w:rStyle w:val="25"/>
          <w:rFonts w:hint="eastAsia" w:ascii="黑体" w:hAnsi="黑体" w:eastAsia="黑体"/>
          <w:b w:val="0"/>
        </w:rPr>
        <w:t>政拨款收入支出决算总体情况说明</w:t>
      </w:r>
      <w:bookmarkEnd w:id="24"/>
      <w:bookmarkEnd w:id="25"/>
    </w:p>
    <w:p w14:paraId="3630F9A4">
      <w:pPr>
        <w:spacing w:line="60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2021年财政拨款收</w:t>
      </w:r>
      <w:r>
        <w:rPr>
          <w:rFonts w:hint="eastAsia" w:ascii="仿宋_GB2312" w:hAnsi="仿宋_GB2312" w:eastAsia="仿宋_GB2312" w:cs="仿宋_GB2312"/>
          <w:sz w:val="32"/>
          <w:szCs w:val="32"/>
          <w:lang w:val="en-US" w:eastAsia="zh-CN"/>
        </w:rPr>
        <w:t>入总计99.26万元，</w:t>
      </w:r>
      <w:r>
        <w:rPr>
          <w:rFonts w:hint="eastAsia" w:ascii="仿宋_GB2312" w:hAnsi="仿宋_GB2312" w:eastAsia="仿宋_GB2312" w:cs="仿宋_GB2312"/>
          <w:sz w:val="32"/>
          <w:szCs w:val="32"/>
        </w:rPr>
        <w:t>支</w:t>
      </w:r>
      <w:r>
        <w:rPr>
          <w:rFonts w:hint="eastAsia" w:ascii="仿宋_GB2312" w:hAnsi="仿宋_GB2312" w:eastAsia="仿宋_GB2312" w:cs="仿宋_GB2312"/>
          <w:sz w:val="32"/>
          <w:szCs w:val="32"/>
          <w:lang w:val="en-US" w:eastAsia="zh-CN"/>
        </w:rPr>
        <w:t>出</w:t>
      </w:r>
      <w:r>
        <w:rPr>
          <w:rFonts w:hint="eastAsia" w:ascii="仿宋_GB2312" w:hAnsi="仿宋_GB2312" w:eastAsia="仿宋_GB2312" w:cs="仿宋_GB2312"/>
          <w:sz w:val="32"/>
          <w:szCs w:val="32"/>
        </w:rPr>
        <w:t>总计</w:t>
      </w:r>
      <w:r>
        <w:rPr>
          <w:rFonts w:hint="eastAsia" w:ascii="仿宋_GB2312" w:hAnsi="仿宋_GB2312" w:eastAsia="仿宋_GB2312" w:cs="仿宋_GB2312"/>
          <w:sz w:val="32"/>
          <w:szCs w:val="32"/>
          <w:lang w:val="en-US" w:eastAsia="zh-CN"/>
        </w:rPr>
        <w:t>99.16</w:t>
      </w:r>
      <w:r>
        <w:rPr>
          <w:rFonts w:hint="eastAsia" w:ascii="仿宋_GB2312" w:hAnsi="仿宋_GB2312" w:eastAsia="仿宋_GB2312" w:cs="仿宋_GB2312"/>
          <w:sz w:val="32"/>
          <w:szCs w:val="32"/>
        </w:rPr>
        <w:t>万元。与2020年相比，财政拨款收、支总计各增加</w:t>
      </w:r>
      <w:r>
        <w:rPr>
          <w:rFonts w:hint="eastAsia" w:ascii="仿宋_GB2312" w:hAnsi="仿宋_GB2312" w:eastAsia="仿宋_GB2312" w:cs="仿宋_GB2312"/>
          <w:sz w:val="32"/>
          <w:szCs w:val="32"/>
          <w:lang w:val="en-US" w:eastAsia="zh-CN"/>
        </w:rPr>
        <w:t>9.91万元和9.85</w:t>
      </w:r>
      <w:r>
        <w:rPr>
          <w:rFonts w:hint="eastAsia" w:ascii="仿宋_GB2312" w:hAnsi="仿宋_GB2312" w:eastAsia="仿宋_GB2312" w:cs="仿宋_GB2312"/>
          <w:sz w:val="32"/>
          <w:szCs w:val="32"/>
        </w:rPr>
        <w:t>万元，增长</w:t>
      </w:r>
      <w:r>
        <w:rPr>
          <w:rFonts w:hint="eastAsia" w:ascii="仿宋_GB2312" w:hAnsi="仿宋_GB2312" w:eastAsia="仿宋_GB2312" w:cs="仿宋_GB2312"/>
          <w:sz w:val="32"/>
          <w:szCs w:val="32"/>
          <w:lang w:val="en-US" w:eastAsia="zh-CN"/>
        </w:rPr>
        <w:t>11.1</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及11%</w:t>
      </w:r>
      <w:r>
        <w:rPr>
          <w:rFonts w:hint="eastAsia" w:ascii="仿宋_GB2312" w:hAnsi="仿宋_GB2312" w:eastAsia="仿宋_GB2312" w:cs="仿宋_GB2312"/>
          <w:sz w:val="32"/>
          <w:szCs w:val="32"/>
        </w:rPr>
        <w:t>。主要变动原因是</w:t>
      </w:r>
      <w:r>
        <w:rPr>
          <w:rFonts w:hint="eastAsia" w:ascii="仿宋_GB2312" w:hAnsi="仿宋_GB2312" w:eastAsia="仿宋_GB2312" w:cs="仿宋_GB2312"/>
          <w:sz w:val="32"/>
          <w:szCs w:val="32"/>
          <w:lang w:val="en-US" w:eastAsia="zh-CN"/>
        </w:rPr>
        <w:t>2021年新进1名工作人员。</w:t>
      </w:r>
    </w:p>
    <w:p w14:paraId="1C807B2F">
      <w:pPr>
        <w:spacing w:line="600" w:lineRule="exact"/>
        <w:rPr>
          <w:rFonts w:ascii="仿宋_GB2312" w:hAnsi="仿宋_GB2312" w:eastAsia="仿宋_GB2312" w:cs="仿宋_GB2312"/>
          <w:sz w:val="32"/>
          <w:szCs w:val="32"/>
        </w:rPr>
      </w:pPr>
      <w:r>
        <w:rPr>
          <w:rFonts w:hint="eastAsia"/>
        </w:rPr>
        <w:drawing>
          <wp:anchor distT="0" distB="0" distL="114300" distR="114300" simplePos="0" relativeHeight="251662336" behindDoc="0" locked="0" layoutInCell="1" allowOverlap="1">
            <wp:simplePos x="0" y="0"/>
            <wp:positionH relativeFrom="column">
              <wp:posOffset>697230</wp:posOffset>
            </wp:positionH>
            <wp:positionV relativeFrom="paragraph">
              <wp:posOffset>18415</wp:posOffset>
            </wp:positionV>
            <wp:extent cx="4422775" cy="2543175"/>
            <wp:effectExtent l="4445" t="4445" r="11430" b="5080"/>
            <wp:wrapSquare wrapText="bothSides"/>
            <wp:docPr id="8" name="图表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anchor>
        </w:drawing>
      </w:r>
    </w:p>
    <w:p w14:paraId="2EA92E1E">
      <w:pPr>
        <w:spacing w:line="600" w:lineRule="exact"/>
        <w:ind w:firstLine="640" w:firstLineChars="200"/>
        <w:rPr>
          <w:rFonts w:hint="eastAsia" w:ascii="仿宋_GB2312" w:hAnsi="仿宋_GB2312" w:eastAsia="仿宋_GB2312" w:cs="仿宋_GB2312"/>
          <w:sz w:val="32"/>
          <w:szCs w:val="32"/>
        </w:rPr>
      </w:pPr>
    </w:p>
    <w:p w14:paraId="29F1E1FB">
      <w:pPr>
        <w:spacing w:line="600" w:lineRule="exact"/>
        <w:ind w:firstLine="640" w:firstLineChars="200"/>
        <w:rPr>
          <w:rFonts w:hint="eastAsia" w:ascii="仿宋_GB2312" w:hAnsi="仿宋_GB2312" w:eastAsia="仿宋_GB2312" w:cs="仿宋_GB2312"/>
          <w:sz w:val="32"/>
          <w:szCs w:val="32"/>
        </w:rPr>
      </w:pPr>
    </w:p>
    <w:p w14:paraId="6E61C700">
      <w:pPr>
        <w:spacing w:line="600" w:lineRule="exact"/>
        <w:ind w:firstLine="640" w:firstLineChars="200"/>
        <w:rPr>
          <w:rFonts w:hint="eastAsia" w:ascii="仿宋_GB2312" w:hAnsi="仿宋_GB2312" w:eastAsia="仿宋_GB2312" w:cs="仿宋_GB2312"/>
          <w:sz w:val="32"/>
          <w:szCs w:val="32"/>
        </w:rPr>
      </w:pPr>
    </w:p>
    <w:p w14:paraId="2FE9C966">
      <w:pPr>
        <w:spacing w:line="600" w:lineRule="exact"/>
        <w:ind w:firstLine="640" w:firstLineChars="200"/>
        <w:rPr>
          <w:rFonts w:hint="eastAsia" w:ascii="仿宋_GB2312" w:hAnsi="仿宋_GB2312" w:eastAsia="仿宋_GB2312" w:cs="仿宋_GB2312"/>
          <w:sz w:val="32"/>
          <w:szCs w:val="32"/>
        </w:rPr>
      </w:pPr>
    </w:p>
    <w:p w14:paraId="3A3C96EE">
      <w:pPr>
        <w:spacing w:line="600" w:lineRule="exact"/>
        <w:ind w:firstLine="640" w:firstLineChars="200"/>
        <w:rPr>
          <w:rFonts w:hint="eastAsia" w:ascii="仿宋_GB2312" w:hAnsi="仿宋_GB2312" w:eastAsia="仿宋_GB2312" w:cs="仿宋_GB2312"/>
          <w:sz w:val="32"/>
          <w:szCs w:val="32"/>
        </w:rPr>
      </w:pPr>
    </w:p>
    <w:p w14:paraId="36E3595E">
      <w:pPr>
        <w:spacing w:line="600" w:lineRule="exact"/>
        <w:ind w:firstLine="640" w:firstLineChars="200"/>
        <w:rPr>
          <w:rFonts w:hint="eastAsia" w:ascii="仿宋_GB2312" w:hAnsi="仿宋_GB2312" w:eastAsia="仿宋_GB2312" w:cs="仿宋_GB2312"/>
          <w:sz w:val="32"/>
          <w:szCs w:val="32"/>
        </w:rPr>
      </w:pPr>
    </w:p>
    <w:p w14:paraId="7EEB4DEB">
      <w:pPr>
        <w:spacing w:line="600" w:lineRule="exact"/>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图4：财政拨款收、支决算总计变动情况</w:t>
      </w:r>
    </w:p>
    <w:p w14:paraId="215A8A5C">
      <w:pPr>
        <w:spacing w:line="600" w:lineRule="exact"/>
        <w:ind w:firstLine="640" w:firstLineChars="200"/>
        <w:outlineLvl w:val="1"/>
        <w:rPr>
          <w:rFonts w:hint="eastAsia" w:ascii="黑体" w:hAnsi="黑体" w:eastAsia="黑体"/>
          <w:sz w:val="32"/>
          <w:szCs w:val="32"/>
        </w:rPr>
      </w:pPr>
      <w:bookmarkStart w:id="26" w:name="_Toc15377209"/>
      <w:bookmarkStart w:id="27" w:name="_Toc15396607"/>
    </w:p>
    <w:p w14:paraId="4D20D2C8">
      <w:pPr>
        <w:spacing w:line="600" w:lineRule="exact"/>
        <w:ind w:firstLine="640" w:firstLineChars="200"/>
        <w:outlineLvl w:val="1"/>
        <w:rPr>
          <w:rStyle w:val="25"/>
          <w:rFonts w:ascii="黑体" w:hAnsi="黑体" w:eastAsia="黑体"/>
          <w:b w:val="0"/>
        </w:rPr>
      </w:pPr>
      <w:r>
        <w:rPr>
          <w:rFonts w:hint="eastAsia" w:ascii="黑体" w:hAnsi="黑体" w:eastAsia="黑体"/>
          <w:sz w:val="32"/>
          <w:szCs w:val="32"/>
        </w:rPr>
        <w:t>五、</w:t>
      </w:r>
      <w:r>
        <w:rPr>
          <w:rFonts w:hint="eastAsia" w:ascii="黑体" w:hAnsi="黑体" w:eastAsia="黑体"/>
          <w:b/>
          <w:sz w:val="32"/>
          <w:szCs w:val="32"/>
        </w:rPr>
        <w:t>一</w:t>
      </w:r>
      <w:r>
        <w:rPr>
          <w:rStyle w:val="25"/>
          <w:rFonts w:hint="eastAsia" w:ascii="黑体" w:hAnsi="黑体" w:eastAsia="黑体"/>
          <w:b w:val="0"/>
        </w:rPr>
        <w:t>般公共预算财政拨款支出决算情况说明</w:t>
      </w:r>
      <w:bookmarkEnd w:id="26"/>
      <w:bookmarkEnd w:id="27"/>
    </w:p>
    <w:p w14:paraId="6F499EDF">
      <w:pPr>
        <w:spacing w:line="600" w:lineRule="exact"/>
        <w:ind w:firstLine="640" w:firstLineChars="200"/>
        <w:outlineLvl w:val="2"/>
        <w:rPr>
          <w:rFonts w:ascii="楷体_GB2312" w:hAnsi="楷体_GB2312" w:eastAsia="楷体_GB2312" w:cs="楷体_GB2312"/>
          <w:bCs/>
          <w:sz w:val="32"/>
          <w:szCs w:val="32"/>
        </w:rPr>
      </w:pPr>
      <w:bookmarkStart w:id="28" w:name="_Toc15377210"/>
      <w:r>
        <w:rPr>
          <w:rFonts w:hint="eastAsia" w:ascii="楷体_GB2312" w:hAnsi="楷体_GB2312" w:eastAsia="楷体_GB2312" w:cs="楷体_GB2312"/>
          <w:bCs/>
          <w:sz w:val="32"/>
          <w:szCs w:val="32"/>
        </w:rPr>
        <w:t>（一）一般公共预算财政拨款支出决算总体情况</w:t>
      </w:r>
      <w:bookmarkEnd w:id="28"/>
    </w:p>
    <w:p w14:paraId="664A6EFF">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021年一般公共预算财政拨款支出</w:t>
      </w:r>
      <w:r>
        <w:rPr>
          <w:rFonts w:hint="eastAsia" w:ascii="仿宋_GB2312" w:hAnsi="仿宋_GB2312" w:eastAsia="仿宋_GB2312" w:cs="仿宋_GB2312"/>
          <w:sz w:val="32"/>
          <w:szCs w:val="32"/>
          <w:lang w:val="en-US" w:eastAsia="zh-CN"/>
        </w:rPr>
        <w:t>99.16</w:t>
      </w:r>
      <w:r>
        <w:rPr>
          <w:rFonts w:hint="eastAsia" w:ascii="仿宋_GB2312" w:hAnsi="仿宋_GB2312" w:eastAsia="仿宋_GB2312" w:cs="仿宋_GB2312"/>
          <w:sz w:val="32"/>
          <w:szCs w:val="32"/>
        </w:rPr>
        <w:t>万元，占本年支出合计的</w:t>
      </w:r>
      <w:r>
        <w:rPr>
          <w:rFonts w:hint="eastAsia" w:ascii="仿宋_GB2312" w:hAnsi="仿宋_GB2312" w:eastAsia="仿宋_GB2312" w:cs="仿宋_GB2312"/>
          <w:sz w:val="32"/>
          <w:szCs w:val="32"/>
          <w:lang w:val="en-US" w:eastAsia="zh-CN"/>
        </w:rPr>
        <w:t>100</w:t>
      </w:r>
      <w:r>
        <w:rPr>
          <w:rFonts w:hint="eastAsia" w:ascii="仿宋_GB2312" w:hAnsi="仿宋_GB2312" w:eastAsia="仿宋_GB2312" w:cs="仿宋_GB2312"/>
          <w:sz w:val="32"/>
          <w:szCs w:val="32"/>
        </w:rPr>
        <w:t>%。与2020年相比，一般公共预算财政拨款支出增加</w:t>
      </w:r>
      <w:r>
        <w:rPr>
          <w:rFonts w:hint="eastAsia" w:ascii="仿宋_GB2312" w:hAnsi="仿宋_GB2312" w:eastAsia="仿宋_GB2312" w:cs="仿宋_GB2312"/>
          <w:sz w:val="32"/>
          <w:szCs w:val="32"/>
          <w:lang w:val="en-US" w:eastAsia="zh-CN"/>
        </w:rPr>
        <w:t>9.85</w:t>
      </w:r>
      <w:r>
        <w:rPr>
          <w:rFonts w:hint="eastAsia" w:ascii="仿宋_GB2312" w:hAnsi="仿宋_GB2312" w:eastAsia="仿宋_GB2312" w:cs="仿宋_GB2312"/>
          <w:sz w:val="32"/>
          <w:szCs w:val="32"/>
        </w:rPr>
        <w:t>万元，增长</w:t>
      </w:r>
      <w:r>
        <w:rPr>
          <w:rFonts w:hint="eastAsia" w:ascii="仿宋_GB2312" w:hAnsi="仿宋_GB2312" w:eastAsia="仿宋_GB2312" w:cs="仿宋_GB2312"/>
          <w:sz w:val="32"/>
          <w:szCs w:val="32"/>
          <w:lang w:val="en-US" w:eastAsia="zh-CN"/>
        </w:rPr>
        <w:t>11</w:t>
      </w:r>
      <w:r>
        <w:rPr>
          <w:rFonts w:hint="eastAsia" w:ascii="仿宋_GB2312" w:hAnsi="仿宋_GB2312" w:eastAsia="仿宋_GB2312" w:cs="仿宋_GB2312"/>
          <w:sz w:val="32"/>
          <w:szCs w:val="32"/>
        </w:rPr>
        <w:t>%。主要变动原因</w:t>
      </w:r>
      <w:r>
        <w:rPr>
          <w:rFonts w:hint="eastAsia" w:ascii="仿宋_GB2312" w:hAnsi="仿宋_GB2312" w:eastAsia="仿宋_GB2312" w:cs="仿宋_GB2312"/>
          <w:sz w:val="32"/>
          <w:szCs w:val="32"/>
          <w:lang w:val="en-US" w:eastAsia="zh-CN"/>
        </w:rPr>
        <w:t>是2021年新进1名工作人员。</w:t>
      </w:r>
    </w:p>
    <w:p w14:paraId="3815AE8A">
      <w:pPr>
        <w:spacing w:line="600" w:lineRule="exact"/>
        <w:ind w:firstLine="640" w:firstLineChars="200"/>
        <w:jc w:val="center"/>
        <w:rPr>
          <w:rFonts w:ascii="仿宋_GB2312" w:hAnsi="仿宋_GB2312" w:eastAsia="仿宋_GB2312" w:cs="仿宋_GB2312"/>
          <w:sz w:val="32"/>
          <w:szCs w:val="32"/>
        </w:rPr>
      </w:pPr>
      <w:r>
        <w:rPr>
          <w:rFonts w:hint="eastAsia" w:ascii="仿宋_GB2312" w:hAnsi="仿宋_GB2312" w:eastAsia="仿宋_GB2312" w:cs="仿宋_GB2312"/>
          <w:sz w:val="32"/>
          <w:szCs w:val="32"/>
          <w:lang w:eastAsia="zh-CN"/>
        </w:rPr>
        <w:drawing>
          <wp:anchor distT="0" distB="0" distL="114300" distR="114300" simplePos="0" relativeHeight="251663360" behindDoc="0" locked="0" layoutInCell="1" allowOverlap="1">
            <wp:simplePos x="0" y="0"/>
            <wp:positionH relativeFrom="column">
              <wp:posOffset>1343660</wp:posOffset>
            </wp:positionH>
            <wp:positionV relativeFrom="paragraph">
              <wp:posOffset>71120</wp:posOffset>
            </wp:positionV>
            <wp:extent cx="3461385" cy="3068320"/>
            <wp:effectExtent l="4445" t="4445" r="20320" b="13335"/>
            <wp:wrapTopAndBottom/>
            <wp:docPr id="9" name="图表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anchor>
        </w:drawing>
      </w:r>
      <w:r>
        <w:rPr>
          <w:rFonts w:hint="eastAsia" w:ascii="仿宋_GB2312" w:hAnsi="仿宋_GB2312" w:eastAsia="仿宋_GB2312" w:cs="仿宋_GB2312"/>
          <w:sz w:val="32"/>
          <w:szCs w:val="32"/>
        </w:rPr>
        <w:t>图5：一般公共预算财政拨款支出决算变动情况</w:t>
      </w:r>
    </w:p>
    <w:p w14:paraId="571811A7">
      <w:pPr>
        <w:spacing w:line="600" w:lineRule="exact"/>
        <w:ind w:firstLine="640" w:firstLineChars="200"/>
        <w:outlineLvl w:val="2"/>
        <w:rPr>
          <w:rFonts w:ascii="楷体_GB2312" w:hAnsi="楷体_GB2312" w:eastAsia="楷体_GB2312" w:cs="楷体_GB2312"/>
          <w:bCs/>
          <w:sz w:val="32"/>
          <w:szCs w:val="32"/>
        </w:rPr>
      </w:pPr>
      <w:bookmarkStart w:id="29" w:name="_Toc15377211"/>
      <w:r>
        <w:rPr>
          <w:rFonts w:hint="eastAsia" w:ascii="楷体_GB2312" w:hAnsi="楷体_GB2312" w:eastAsia="楷体_GB2312" w:cs="楷体_GB2312"/>
          <w:bCs/>
          <w:sz w:val="32"/>
          <w:szCs w:val="32"/>
        </w:rPr>
        <w:t>（二）一般公共预算财政拨款支出决算结构情况</w:t>
      </w:r>
      <w:bookmarkEnd w:id="29"/>
    </w:p>
    <w:p w14:paraId="4BCDB9FD">
      <w:pPr>
        <w:spacing w:line="6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2021年一般公共预算财政拨款支出</w:t>
      </w:r>
      <w:r>
        <w:rPr>
          <w:rFonts w:hint="eastAsia" w:ascii="仿宋_GB2312" w:hAnsi="仿宋_GB2312" w:eastAsia="仿宋_GB2312" w:cs="仿宋_GB2312"/>
          <w:sz w:val="32"/>
          <w:szCs w:val="32"/>
          <w:lang w:val="en-US" w:eastAsia="zh-CN"/>
        </w:rPr>
        <w:t>99.16</w:t>
      </w:r>
      <w:r>
        <w:rPr>
          <w:rFonts w:hint="eastAsia" w:ascii="仿宋_GB2312" w:hAnsi="仿宋_GB2312" w:eastAsia="仿宋_GB2312" w:cs="仿宋_GB2312"/>
          <w:sz w:val="32"/>
          <w:szCs w:val="32"/>
        </w:rPr>
        <w:t>万元，主要用于以下方面:社会保障和就业（类）支出</w:t>
      </w:r>
      <w:r>
        <w:rPr>
          <w:rFonts w:hint="eastAsia" w:ascii="仿宋_GB2312" w:hAnsi="仿宋_GB2312" w:eastAsia="仿宋_GB2312" w:cs="仿宋_GB2312"/>
          <w:sz w:val="32"/>
          <w:szCs w:val="32"/>
          <w:lang w:val="en-US" w:eastAsia="zh-CN"/>
        </w:rPr>
        <w:t>9.07</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9.14</w:t>
      </w:r>
      <w:r>
        <w:rPr>
          <w:rFonts w:hint="eastAsia" w:ascii="仿宋_GB2312" w:hAnsi="仿宋_GB2312" w:eastAsia="仿宋_GB2312" w:cs="仿宋_GB2312"/>
          <w:sz w:val="32"/>
          <w:szCs w:val="32"/>
        </w:rPr>
        <w:t>%；卫生健康支出</w:t>
      </w:r>
      <w:r>
        <w:rPr>
          <w:rFonts w:hint="eastAsia" w:ascii="仿宋_GB2312" w:hAnsi="仿宋_GB2312" w:eastAsia="仿宋_GB2312" w:cs="仿宋_GB2312"/>
          <w:sz w:val="32"/>
          <w:szCs w:val="32"/>
          <w:lang w:val="en-US" w:eastAsia="zh-CN"/>
        </w:rPr>
        <w:t>3.44</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3.47</w:t>
      </w:r>
      <w:r>
        <w:rPr>
          <w:rFonts w:hint="eastAsia" w:ascii="仿宋_GB2312" w:hAnsi="仿宋_GB2312" w:eastAsia="仿宋_GB2312" w:cs="仿宋_GB2312"/>
          <w:sz w:val="32"/>
          <w:szCs w:val="32"/>
        </w:rPr>
        <w:t>%；住房保障支出</w:t>
      </w:r>
      <w:r>
        <w:rPr>
          <w:rFonts w:hint="eastAsia" w:ascii="仿宋_GB2312" w:hAnsi="仿宋_GB2312" w:eastAsia="仿宋_GB2312" w:cs="仿宋_GB2312"/>
          <w:sz w:val="32"/>
          <w:szCs w:val="32"/>
          <w:lang w:val="en-US" w:eastAsia="zh-CN"/>
        </w:rPr>
        <w:t>8.47</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8.54</w:t>
      </w:r>
      <w:r>
        <w:rPr>
          <w:rFonts w:hint="eastAsia" w:ascii="仿宋_GB2312" w:hAnsi="仿宋_GB2312" w:eastAsia="仿宋_GB2312" w:cs="仿宋_GB2312"/>
          <w:sz w:val="32"/>
          <w:szCs w:val="32"/>
        </w:rPr>
        <w:t>%；灾害防治及应急管理支出</w:t>
      </w:r>
      <w:r>
        <w:rPr>
          <w:rFonts w:hint="eastAsia" w:ascii="仿宋_GB2312" w:hAnsi="仿宋_GB2312" w:eastAsia="仿宋_GB2312" w:cs="仿宋_GB2312"/>
          <w:sz w:val="32"/>
          <w:szCs w:val="32"/>
          <w:lang w:val="en-US" w:eastAsia="zh-CN"/>
        </w:rPr>
        <w:t>78.21</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78.85</w:t>
      </w:r>
      <w:r>
        <w:rPr>
          <w:rFonts w:hint="eastAsia" w:ascii="仿宋_GB2312" w:hAnsi="仿宋_GB2312" w:eastAsia="仿宋_GB2312" w:cs="仿宋_GB2312"/>
          <w:sz w:val="32"/>
          <w:szCs w:val="32"/>
        </w:rPr>
        <w:t>%。</w:t>
      </w:r>
    </w:p>
    <w:p w14:paraId="0D47D035">
      <w:pPr>
        <w:pStyle w:val="2"/>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drawing>
          <wp:inline distT="0" distB="0" distL="114300" distR="114300">
            <wp:extent cx="4328160" cy="2477135"/>
            <wp:effectExtent l="4445" t="4445" r="10795" b="13970"/>
            <wp:docPr id="3"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61719F7F">
      <w:pPr>
        <w:spacing w:line="600" w:lineRule="exact"/>
        <w:ind w:firstLine="640" w:firstLineChars="200"/>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图6：一般公共预算财政拨款支出决算结构</w:t>
      </w:r>
    </w:p>
    <w:p w14:paraId="279B6261">
      <w:pPr>
        <w:spacing w:line="600" w:lineRule="exact"/>
        <w:ind w:firstLine="640" w:firstLineChars="200"/>
        <w:outlineLvl w:val="2"/>
        <w:rPr>
          <w:rFonts w:ascii="楷体_GB2312" w:hAnsi="楷体_GB2312" w:eastAsia="楷体_GB2312" w:cs="楷体_GB2312"/>
          <w:bCs/>
          <w:sz w:val="32"/>
          <w:szCs w:val="32"/>
        </w:rPr>
      </w:pPr>
      <w:bookmarkStart w:id="30" w:name="_Toc15377212"/>
      <w:r>
        <w:rPr>
          <w:rFonts w:hint="eastAsia" w:ascii="楷体_GB2312" w:hAnsi="楷体_GB2312" w:eastAsia="楷体_GB2312" w:cs="楷体_GB2312"/>
          <w:bCs/>
          <w:sz w:val="32"/>
          <w:szCs w:val="32"/>
        </w:rPr>
        <w:t>（三）一般公共预算财政拨款支出决算具体情况</w:t>
      </w:r>
      <w:bookmarkEnd w:id="30"/>
    </w:p>
    <w:p w14:paraId="712CA406">
      <w:pPr>
        <w:spacing w:line="600" w:lineRule="exact"/>
        <w:ind w:firstLine="640" w:firstLineChars="200"/>
        <w:outlineLvl w:val="2"/>
        <w:rPr>
          <w:rFonts w:ascii="仿宋_GB2312" w:hAnsi="仿宋_GB2312" w:eastAsia="仿宋_GB2312" w:cs="仿宋_GB2312"/>
          <w:bCs/>
          <w:sz w:val="32"/>
          <w:szCs w:val="32"/>
        </w:rPr>
      </w:pPr>
      <w:bookmarkStart w:id="31" w:name="_Toc15378460"/>
      <w:bookmarkStart w:id="32" w:name="_Toc15377444"/>
      <w:bookmarkStart w:id="33" w:name="_Toc15377213"/>
      <w:r>
        <w:rPr>
          <w:rFonts w:hint="eastAsia" w:ascii="仿宋_GB2312" w:hAnsi="仿宋_GB2312" w:eastAsia="仿宋_GB2312" w:cs="仿宋_GB2312"/>
          <w:bCs/>
          <w:sz w:val="32"/>
          <w:szCs w:val="32"/>
        </w:rPr>
        <w:t>2021年一般公共预算支出决算数为</w:t>
      </w:r>
      <w:r>
        <w:rPr>
          <w:rFonts w:hint="eastAsia" w:ascii="仿宋_GB2312" w:hAnsi="仿宋_GB2312" w:eastAsia="仿宋_GB2312" w:cs="仿宋_GB2312"/>
          <w:bCs/>
          <w:sz w:val="32"/>
          <w:szCs w:val="32"/>
          <w:lang w:val="en-US" w:eastAsia="zh-CN"/>
        </w:rPr>
        <w:t>99.16万元</w:t>
      </w:r>
      <w:r>
        <w:rPr>
          <w:rFonts w:hint="eastAsia" w:ascii="仿宋_GB2312" w:hAnsi="仿宋_GB2312" w:eastAsia="仿宋_GB2312" w:cs="仿宋_GB2312"/>
          <w:bCs/>
          <w:sz w:val="32"/>
          <w:szCs w:val="32"/>
        </w:rPr>
        <w:t>，</w:t>
      </w:r>
      <w:r>
        <w:rPr>
          <w:rStyle w:val="14"/>
          <w:rFonts w:hint="eastAsia" w:ascii="仿宋_GB2312" w:hAnsi="仿宋_GB2312" w:eastAsia="仿宋_GB2312" w:cs="仿宋_GB2312"/>
          <w:b w:val="0"/>
          <w:bCs/>
          <w:sz w:val="32"/>
          <w:szCs w:val="32"/>
        </w:rPr>
        <w:t>完成预算</w:t>
      </w:r>
      <w:r>
        <w:rPr>
          <w:rStyle w:val="14"/>
          <w:rFonts w:hint="eastAsia" w:ascii="仿宋_GB2312" w:hAnsi="仿宋_GB2312" w:eastAsia="仿宋_GB2312" w:cs="仿宋_GB2312"/>
          <w:b w:val="0"/>
          <w:bCs/>
          <w:sz w:val="32"/>
          <w:szCs w:val="32"/>
          <w:lang w:val="en-US" w:eastAsia="zh-CN"/>
        </w:rPr>
        <w:t>125</w:t>
      </w:r>
      <w:r>
        <w:rPr>
          <w:rStyle w:val="14"/>
          <w:rFonts w:hint="eastAsia" w:ascii="仿宋_GB2312" w:hAnsi="仿宋_GB2312" w:eastAsia="仿宋_GB2312" w:cs="仿宋_GB2312"/>
          <w:b w:val="0"/>
          <w:bCs/>
          <w:sz w:val="32"/>
          <w:szCs w:val="32"/>
        </w:rPr>
        <w:t>%。其中：</w:t>
      </w:r>
      <w:bookmarkEnd w:id="31"/>
      <w:bookmarkEnd w:id="32"/>
      <w:bookmarkEnd w:id="33"/>
    </w:p>
    <w:p w14:paraId="1878022D">
      <w:pPr>
        <w:numPr>
          <w:ilvl w:val="0"/>
          <w:numId w:val="0"/>
        </w:numPr>
        <w:spacing w:line="600" w:lineRule="exact"/>
        <w:ind w:firstLine="640" w:firstLineChars="200"/>
        <w:rPr>
          <w:rStyle w:val="14"/>
          <w:rFonts w:hint="eastAsia" w:ascii="仿宋_GB2312" w:hAnsi="仿宋_GB2312" w:eastAsia="仿宋_GB2312" w:cs="仿宋_GB2312"/>
          <w:b w:val="0"/>
          <w:bCs/>
          <w:sz w:val="32"/>
          <w:szCs w:val="32"/>
        </w:rPr>
      </w:pPr>
      <w:r>
        <w:rPr>
          <w:rFonts w:hint="eastAsia" w:ascii="仿宋_GB2312" w:eastAsia="仿宋_GB2312"/>
          <w:color w:val="000000" w:themeColor="text1"/>
          <w:sz w:val="32"/>
          <w:szCs w:val="32"/>
          <w:lang w:val="en-US" w:eastAsia="zh-CN"/>
          <w14:textFill>
            <w14:solidFill>
              <w14:schemeClr w14:val="tx1"/>
            </w14:solidFill>
          </w14:textFill>
        </w:rPr>
        <w:t>1.</w:t>
      </w:r>
      <w:r>
        <w:rPr>
          <w:rFonts w:hint="eastAsia" w:ascii="仿宋_GB2312" w:eastAsia="仿宋_GB2312"/>
          <w:color w:val="000000" w:themeColor="text1"/>
          <w:sz w:val="32"/>
          <w:szCs w:val="32"/>
          <w14:textFill>
            <w14:solidFill>
              <w14:schemeClr w14:val="tx1"/>
            </w14:solidFill>
          </w14:textFill>
        </w:rPr>
        <w:t>社会保障和就业（类）</w:t>
      </w:r>
      <w:r>
        <w:rPr>
          <w:rFonts w:hint="eastAsia" w:ascii="仿宋_GB2312" w:eastAsia="仿宋_GB2312"/>
          <w:color w:val="000000" w:themeColor="text1"/>
          <w:sz w:val="32"/>
          <w:szCs w:val="32"/>
          <w:lang w:eastAsia="zh-CN"/>
          <w14:textFill>
            <w14:solidFill>
              <w14:schemeClr w14:val="tx1"/>
            </w14:solidFill>
          </w14:textFill>
        </w:rPr>
        <w:t>行政事业单位养老</w:t>
      </w:r>
      <w:r>
        <w:rPr>
          <w:rFonts w:hint="eastAsia" w:ascii="仿宋_GB2312" w:eastAsia="仿宋_GB2312"/>
          <w:color w:val="000000" w:themeColor="text1"/>
          <w:sz w:val="32"/>
          <w:szCs w:val="32"/>
          <w14:textFill>
            <w14:solidFill>
              <w14:schemeClr w14:val="tx1"/>
            </w14:solidFill>
          </w14:textFill>
        </w:rPr>
        <w:t>（款）</w:t>
      </w:r>
      <w:r>
        <w:rPr>
          <w:rFonts w:hint="eastAsia" w:ascii="仿宋_GB2312" w:eastAsia="仿宋_GB2312"/>
          <w:color w:val="000000" w:themeColor="text1"/>
          <w:sz w:val="32"/>
          <w:szCs w:val="32"/>
          <w:lang w:eastAsia="zh-CN"/>
          <w14:textFill>
            <w14:solidFill>
              <w14:schemeClr w14:val="tx1"/>
            </w14:solidFill>
          </w14:textFill>
        </w:rPr>
        <w:t>机关事业单位基本养老保险缴费</w:t>
      </w:r>
      <w:r>
        <w:rPr>
          <w:rFonts w:hint="eastAsia" w:ascii="仿宋_GB2312" w:eastAsia="仿宋_GB2312"/>
          <w:color w:val="000000" w:themeColor="text1"/>
          <w:sz w:val="32"/>
          <w:szCs w:val="32"/>
          <w14:textFill>
            <w14:solidFill>
              <w14:schemeClr w14:val="tx1"/>
            </w14:solidFill>
          </w14:textFill>
        </w:rPr>
        <w:t>（项）</w:t>
      </w:r>
      <w:r>
        <w:rPr>
          <w:rStyle w:val="14"/>
          <w:rFonts w:hint="eastAsia" w:ascii="仿宋_GB2312" w:hAnsi="仿宋_GB2312" w:eastAsia="仿宋_GB2312" w:cs="仿宋_GB2312"/>
          <w:b w:val="0"/>
          <w:bCs/>
          <w:sz w:val="32"/>
          <w:szCs w:val="32"/>
        </w:rPr>
        <w:t>: 支出决算为</w:t>
      </w:r>
      <w:r>
        <w:rPr>
          <w:rStyle w:val="14"/>
          <w:rFonts w:hint="eastAsia" w:ascii="仿宋_GB2312" w:hAnsi="仿宋_GB2312" w:eastAsia="仿宋_GB2312" w:cs="仿宋_GB2312"/>
          <w:b w:val="0"/>
          <w:bCs/>
          <w:sz w:val="32"/>
          <w:szCs w:val="32"/>
          <w:lang w:val="en-US" w:eastAsia="zh-CN"/>
        </w:rPr>
        <w:t>5.75</w:t>
      </w:r>
      <w:r>
        <w:rPr>
          <w:rStyle w:val="14"/>
          <w:rFonts w:hint="eastAsia" w:ascii="仿宋_GB2312" w:hAnsi="仿宋_GB2312" w:eastAsia="仿宋_GB2312" w:cs="仿宋_GB2312"/>
          <w:b w:val="0"/>
          <w:bCs/>
          <w:sz w:val="32"/>
          <w:szCs w:val="32"/>
        </w:rPr>
        <w:t>万元，完成预算</w:t>
      </w:r>
      <w:r>
        <w:rPr>
          <w:rStyle w:val="14"/>
          <w:rFonts w:hint="eastAsia" w:ascii="仿宋_GB2312" w:hAnsi="仿宋_GB2312" w:eastAsia="仿宋_GB2312" w:cs="仿宋_GB2312"/>
          <w:b w:val="0"/>
          <w:bCs/>
          <w:sz w:val="32"/>
          <w:szCs w:val="32"/>
          <w:lang w:val="en-US" w:eastAsia="zh-CN"/>
        </w:rPr>
        <w:t>104</w:t>
      </w:r>
      <w:r>
        <w:rPr>
          <w:rStyle w:val="14"/>
          <w:rFonts w:hint="eastAsia" w:ascii="仿宋_GB2312" w:hAnsi="仿宋_GB2312" w:eastAsia="仿宋_GB2312" w:cs="仿宋_GB2312"/>
          <w:b w:val="0"/>
          <w:bCs/>
          <w:sz w:val="32"/>
          <w:szCs w:val="32"/>
        </w:rPr>
        <w:t>%，决算数</w:t>
      </w:r>
      <w:r>
        <w:rPr>
          <w:rStyle w:val="14"/>
          <w:rFonts w:hint="eastAsia" w:ascii="仿宋_GB2312" w:hAnsi="仿宋_GB2312" w:eastAsia="仿宋_GB2312" w:cs="仿宋_GB2312"/>
          <w:b w:val="0"/>
          <w:bCs/>
          <w:sz w:val="32"/>
          <w:szCs w:val="32"/>
          <w:lang w:val="en-US" w:eastAsia="zh-CN"/>
        </w:rPr>
        <w:t>大于</w:t>
      </w:r>
      <w:r>
        <w:rPr>
          <w:rStyle w:val="14"/>
          <w:rFonts w:hint="eastAsia" w:ascii="仿宋_GB2312" w:hAnsi="仿宋_GB2312" w:eastAsia="仿宋_GB2312" w:cs="仿宋_GB2312"/>
          <w:b w:val="0"/>
          <w:bCs/>
          <w:sz w:val="32"/>
          <w:szCs w:val="32"/>
        </w:rPr>
        <w:t>预算数的主要原因是</w:t>
      </w:r>
      <w:r>
        <w:rPr>
          <w:rStyle w:val="14"/>
          <w:rFonts w:hint="eastAsia" w:ascii="仿宋_GB2312" w:hAnsi="仿宋_GB2312" w:eastAsia="仿宋_GB2312" w:cs="仿宋_GB2312"/>
          <w:b w:val="0"/>
          <w:bCs/>
          <w:sz w:val="32"/>
          <w:szCs w:val="32"/>
          <w:lang w:val="en-US" w:eastAsia="zh-CN"/>
        </w:rPr>
        <w:t>2021年新</w:t>
      </w:r>
      <w:r>
        <w:rPr>
          <w:rFonts w:hint="eastAsia" w:ascii="仿宋_GB2312" w:hAnsi="仿宋_GB2312" w:eastAsia="仿宋_GB2312" w:cs="仿宋_GB2312"/>
          <w:sz w:val="32"/>
          <w:szCs w:val="32"/>
          <w:lang w:val="en-US" w:eastAsia="zh-CN"/>
        </w:rPr>
        <w:t>进1名工作人员</w:t>
      </w:r>
      <w:r>
        <w:rPr>
          <w:rStyle w:val="14"/>
          <w:rFonts w:hint="eastAsia" w:ascii="仿宋_GB2312" w:hAnsi="仿宋_GB2312" w:eastAsia="仿宋_GB2312" w:cs="仿宋_GB2312"/>
          <w:b w:val="0"/>
          <w:bCs/>
          <w:sz w:val="32"/>
          <w:szCs w:val="32"/>
        </w:rPr>
        <w:t>。</w:t>
      </w:r>
    </w:p>
    <w:p w14:paraId="70EB220C">
      <w:pPr>
        <w:numPr>
          <w:ilvl w:val="0"/>
          <w:numId w:val="0"/>
        </w:numPr>
        <w:spacing w:line="600" w:lineRule="exact"/>
        <w:ind w:firstLine="640" w:firstLineChars="200"/>
        <w:rPr>
          <w:rStyle w:val="14"/>
          <w:rFonts w:hint="eastAsia" w:ascii="仿宋_GB2312" w:hAnsi="仿宋_GB2312" w:eastAsia="仿宋_GB2312" w:cs="仿宋_GB2312"/>
          <w:b w:val="0"/>
          <w:bCs/>
          <w:sz w:val="32"/>
          <w:szCs w:val="32"/>
        </w:rPr>
      </w:pPr>
      <w:r>
        <w:rPr>
          <w:rFonts w:hint="eastAsia" w:ascii="仿宋_GB2312" w:hAnsi="Times New Roman" w:eastAsia="仿宋_GB2312" w:cs="Times New Roman"/>
          <w:color w:val="000000" w:themeColor="text1"/>
          <w:kern w:val="2"/>
          <w:sz w:val="32"/>
          <w:szCs w:val="32"/>
          <w:lang w:val="en-US" w:eastAsia="zh-CN" w:bidi="ar-SA"/>
          <w14:textFill>
            <w14:solidFill>
              <w14:schemeClr w14:val="tx1"/>
            </w14:solidFill>
          </w14:textFill>
        </w:rPr>
        <w:t>2.社会保障和就业（类）行政事业单位养老（款）机关事业单位职业年金缴费（项）：</w:t>
      </w:r>
      <w:r>
        <w:rPr>
          <w:rStyle w:val="14"/>
          <w:rFonts w:hint="eastAsia" w:ascii="仿宋_GB2312" w:hAnsi="仿宋_GB2312" w:eastAsia="仿宋_GB2312" w:cs="仿宋_GB2312"/>
          <w:b w:val="0"/>
          <w:bCs/>
          <w:sz w:val="32"/>
          <w:szCs w:val="32"/>
        </w:rPr>
        <w:t>支出决算为</w:t>
      </w:r>
      <w:r>
        <w:rPr>
          <w:rStyle w:val="14"/>
          <w:rFonts w:hint="eastAsia" w:ascii="仿宋_GB2312" w:hAnsi="仿宋_GB2312" w:eastAsia="仿宋_GB2312" w:cs="仿宋_GB2312"/>
          <w:b w:val="0"/>
          <w:bCs/>
          <w:sz w:val="32"/>
          <w:szCs w:val="32"/>
          <w:lang w:val="en-US" w:eastAsia="zh-CN"/>
        </w:rPr>
        <w:t>3.07</w:t>
      </w:r>
      <w:r>
        <w:rPr>
          <w:rStyle w:val="14"/>
          <w:rFonts w:hint="eastAsia" w:ascii="仿宋_GB2312" w:hAnsi="仿宋_GB2312" w:eastAsia="仿宋_GB2312" w:cs="仿宋_GB2312"/>
          <w:b w:val="0"/>
          <w:bCs/>
          <w:sz w:val="32"/>
          <w:szCs w:val="32"/>
        </w:rPr>
        <w:t>万元，完成预算</w:t>
      </w:r>
      <w:r>
        <w:rPr>
          <w:rStyle w:val="14"/>
          <w:rFonts w:hint="eastAsia" w:ascii="仿宋_GB2312" w:hAnsi="仿宋_GB2312" w:eastAsia="仿宋_GB2312" w:cs="仿宋_GB2312"/>
          <w:b w:val="0"/>
          <w:bCs/>
          <w:sz w:val="32"/>
          <w:szCs w:val="32"/>
          <w:lang w:val="en-US" w:eastAsia="zh-CN"/>
        </w:rPr>
        <w:t>112</w:t>
      </w:r>
      <w:r>
        <w:rPr>
          <w:rStyle w:val="14"/>
          <w:rFonts w:hint="eastAsia" w:ascii="仿宋_GB2312" w:hAnsi="仿宋_GB2312" w:eastAsia="仿宋_GB2312" w:cs="仿宋_GB2312"/>
          <w:b w:val="0"/>
          <w:bCs/>
          <w:sz w:val="32"/>
          <w:szCs w:val="32"/>
        </w:rPr>
        <w:t>%，决算数</w:t>
      </w:r>
      <w:r>
        <w:rPr>
          <w:rStyle w:val="14"/>
          <w:rFonts w:hint="eastAsia" w:ascii="仿宋_GB2312" w:hAnsi="仿宋_GB2312" w:eastAsia="仿宋_GB2312" w:cs="仿宋_GB2312"/>
          <w:b w:val="0"/>
          <w:bCs/>
          <w:sz w:val="32"/>
          <w:szCs w:val="32"/>
          <w:lang w:val="en-US" w:eastAsia="zh-CN"/>
        </w:rPr>
        <w:t>大于</w:t>
      </w:r>
      <w:r>
        <w:rPr>
          <w:rStyle w:val="14"/>
          <w:rFonts w:hint="eastAsia" w:ascii="仿宋_GB2312" w:hAnsi="仿宋_GB2312" w:eastAsia="仿宋_GB2312" w:cs="仿宋_GB2312"/>
          <w:b w:val="0"/>
          <w:bCs/>
          <w:sz w:val="32"/>
          <w:szCs w:val="32"/>
        </w:rPr>
        <w:t>预算数的主要原因是</w:t>
      </w:r>
      <w:r>
        <w:rPr>
          <w:rStyle w:val="14"/>
          <w:rFonts w:hint="eastAsia" w:ascii="仿宋_GB2312" w:hAnsi="仿宋_GB2312" w:eastAsia="仿宋_GB2312" w:cs="仿宋_GB2312"/>
          <w:b w:val="0"/>
          <w:bCs/>
          <w:sz w:val="32"/>
          <w:szCs w:val="32"/>
          <w:lang w:val="en-US" w:eastAsia="zh-CN"/>
        </w:rPr>
        <w:t>2021年新</w:t>
      </w:r>
      <w:r>
        <w:rPr>
          <w:rFonts w:hint="eastAsia" w:ascii="仿宋_GB2312" w:hAnsi="仿宋_GB2312" w:eastAsia="仿宋_GB2312" w:cs="仿宋_GB2312"/>
          <w:sz w:val="32"/>
          <w:szCs w:val="32"/>
          <w:lang w:val="en-US" w:eastAsia="zh-CN"/>
        </w:rPr>
        <w:t>进1名工作人员</w:t>
      </w:r>
      <w:r>
        <w:rPr>
          <w:rStyle w:val="14"/>
          <w:rFonts w:hint="eastAsia" w:ascii="仿宋_GB2312" w:hAnsi="仿宋_GB2312" w:eastAsia="仿宋_GB2312" w:cs="仿宋_GB2312"/>
          <w:b w:val="0"/>
          <w:bCs/>
          <w:sz w:val="32"/>
          <w:szCs w:val="32"/>
        </w:rPr>
        <w:t>。</w:t>
      </w:r>
    </w:p>
    <w:p w14:paraId="777C75B0">
      <w:pPr>
        <w:numPr>
          <w:ilvl w:val="0"/>
          <w:numId w:val="0"/>
        </w:numPr>
        <w:spacing w:line="600" w:lineRule="exact"/>
        <w:ind w:firstLine="640" w:firstLineChars="200"/>
        <w:rPr>
          <w:rStyle w:val="14"/>
          <w:rFonts w:hint="eastAsia" w:ascii="仿宋_GB2312" w:hAnsi="仿宋_GB2312" w:eastAsia="仿宋_GB2312" w:cs="仿宋_GB2312"/>
          <w:b w:val="0"/>
          <w:bCs/>
          <w:sz w:val="32"/>
          <w:szCs w:val="32"/>
        </w:rPr>
      </w:pPr>
      <w:r>
        <w:rPr>
          <w:rStyle w:val="14"/>
          <w:rFonts w:hint="eastAsia" w:ascii="仿宋_GB2312" w:hAnsi="仿宋_GB2312" w:eastAsia="仿宋_GB2312" w:cs="仿宋_GB2312"/>
          <w:b w:val="0"/>
          <w:bCs/>
          <w:sz w:val="32"/>
          <w:szCs w:val="32"/>
          <w:lang w:val="en-US" w:eastAsia="zh-CN"/>
        </w:rPr>
        <w:t>3.</w:t>
      </w:r>
      <w:r>
        <w:rPr>
          <w:rFonts w:hint="eastAsia" w:ascii="仿宋_GB2312" w:eastAsia="仿宋_GB2312"/>
          <w:color w:val="000000" w:themeColor="text1"/>
          <w:sz w:val="32"/>
          <w:szCs w:val="32"/>
          <w14:textFill>
            <w14:solidFill>
              <w14:schemeClr w14:val="tx1"/>
            </w14:solidFill>
          </w14:textFill>
        </w:rPr>
        <w:t>社会保障和就业（类）</w:t>
      </w:r>
      <w:r>
        <w:rPr>
          <w:rFonts w:hint="eastAsia" w:ascii="仿宋_GB2312" w:eastAsia="仿宋_GB2312"/>
          <w:color w:val="000000" w:themeColor="text1"/>
          <w:sz w:val="32"/>
          <w:szCs w:val="32"/>
          <w:lang w:eastAsia="zh-CN"/>
          <w14:textFill>
            <w14:solidFill>
              <w14:schemeClr w14:val="tx1"/>
            </w14:solidFill>
          </w14:textFill>
        </w:rPr>
        <w:t>其他社会保障和就业</w:t>
      </w:r>
      <w:r>
        <w:rPr>
          <w:rFonts w:hint="eastAsia" w:ascii="仿宋_GB2312" w:eastAsia="仿宋_GB2312"/>
          <w:color w:val="000000" w:themeColor="text1"/>
          <w:sz w:val="32"/>
          <w:szCs w:val="32"/>
          <w14:textFill>
            <w14:solidFill>
              <w14:schemeClr w14:val="tx1"/>
            </w14:solidFill>
          </w14:textFill>
        </w:rPr>
        <w:t>（款）</w:t>
      </w:r>
      <w:r>
        <w:rPr>
          <w:rFonts w:hint="eastAsia" w:ascii="仿宋_GB2312" w:eastAsia="仿宋_GB2312"/>
          <w:color w:val="000000" w:themeColor="text1"/>
          <w:sz w:val="32"/>
          <w:szCs w:val="32"/>
          <w:lang w:eastAsia="zh-CN"/>
          <w14:textFill>
            <w14:solidFill>
              <w14:schemeClr w14:val="tx1"/>
            </w14:solidFill>
          </w14:textFill>
        </w:rPr>
        <w:t>其他社会保障和就业</w:t>
      </w:r>
      <w:r>
        <w:rPr>
          <w:rFonts w:hint="eastAsia" w:ascii="仿宋_GB2312" w:eastAsia="仿宋_GB2312"/>
          <w:color w:val="000000" w:themeColor="text1"/>
          <w:sz w:val="32"/>
          <w:szCs w:val="32"/>
          <w14:textFill>
            <w14:solidFill>
              <w14:schemeClr w14:val="tx1"/>
            </w14:solidFill>
          </w14:textFill>
        </w:rPr>
        <w:t>（项）</w:t>
      </w:r>
      <w:r>
        <w:rPr>
          <w:rFonts w:hint="eastAsia" w:ascii="仿宋_GB2312" w:hAnsi="Times New Roman" w:eastAsia="仿宋_GB2312" w:cs="Times New Roman"/>
          <w:color w:val="000000" w:themeColor="text1"/>
          <w:kern w:val="2"/>
          <w:sz w:val="32"/>
          <w:szCs w:val="32"/>
          <w:lang w:val="en-US" w:eastAsia="zh-CN" w:bidi="ar-SA"/>
          <w14:textFill>
            <w14:solidFill>
              <w14:schemeClr w14:val="tx1"/>
            </w14:solidFill>
          </w14:textFill>
        </w:rPr>
        <w:t>：</w:t>
      </w:r>
      <w:r>
        <w:rPr>
          <w:rStyle w:val="14"/>
          <w:rFonts w:hint="eastAsia" w:ascii="仿宋_GB2312" w:hAnsi="仿宋_GB2312" w:eastAsia="仿宋_GB2312" w:cs="仿宋_GB2312"/>
          <w:b w:val="0"/>
          <w:bCs/>
          <w:sz w:val="32"/>
          <w:szCs w:val="32"/>
        </w:rPr>
        <w:t>支出决算为</w:t>
      </w:r>
      <w:r>
        <w:rPr>
          <w:rStyle w:val="14"/>
          <w:rFonts w:hint="eastAsia" w:ascii="仿宋_GB2312" w:hAnsi="仿宋_GB2312" w:eastAsia="仿宋_GB2312" w:cs="仿宋_GB2312"/>
          <w:b w:val="0"/>
          <w:bCs/>
          <w:sz w:val="32"/>
          <w:szCs w:val="32"/>
          <w:lang w:val="en-US" w:eastAsia="zh-CN"/>
        </w:rPr>
        <w:t>0.25</w:t>
      </w:r>
      <w:r>
        <w:rPr>
          <w:rStyle w:val="14"/>
          <w:rFonts w:hint="eastAsia" w:ascii="仿宋_GB2312" w:hAnsi="仿宋_GB2312" w:eastAsia="仿宋_GB2312" w:cs="仿宋_GB2312"/>
          <w:b w:val="0"/>
          <w:bCs/>
          <w:sz w:val="32"/>
          <w:szCs w:val="32"/>
        </w:rPr>
        <w:t>万元，完成预算</w:t>
      </w:r>
      <w:r>
        <w:rPr>
          <w:rStyle w:val="14"/>
          <w:rFonts w:hint="eastAsia" w:ascii="仿宋_GB2312" w:hAnsi="仿宋_GB2312" w:eastAsia="仿宋_GB2312" w:cs="仿宋_GB2312"/>
          <w:b w:val="0"/>
          <w:bCs/>
          <w:sz w:val="32"/>
          <w:szCs w:val="32"/>
          <w:lang w:val="en-US" w:eastAsia="zh-CN"/>
        </w:rPr>
        <w:t>100</w:t>
      </w:r>
      <w:r>
        <w:rPr>
          <w:rStyle w:val="14"/>
          <w:rFonts w:hint="eastAsia" w:ascii="仿宋_GB2312" w:hAnsi="仿宋_GB2312" w:eastAsia="仿宋_GB2312" w:cs="仿宋_GB2312"/>
          <w:b w:val="0"/>
          <w:bCs/>
          <w:sz w:val="32"/>
          <w:szCs w:val="32"/>
        </w:rPr>
        <w:t>%，决算数</w:t>
      </w:r>
      <w:r>
        <w:rPr>
          <w:rStyle w:val="14"/>
          <w:rFonts w:hint="eastAsia" w:ascii="仿宋_GB2312" w:hAnsi="仿宋_GB2312" w:eastAsia="仿宋_GB2312" w:cs="仿宋_GB2312"/>
          <w:b w:val="0"/>
          <w:bCs/>
          <w:sz w:val="32"/>
          <w:szCs w:val="32"/>
          <w:lang w:val="en-US" w:eastAsia="zh-CN"/>
        </w:rPr>
        <w:t>与</w:t>
      </w:r>
      <w:r>
        <w:rPr>
          <w:rStyle w:val="14"/>
          <w:rFonts w:hint="eastAsia" w:ascii="仿宋_GB2312" w:hAnsi="仿宋_GB2312" w:eastAsia="仿宋_GB2312" w:cs="仿宋_GB2312"/>
          <w:b w:val="0"/>
          <w:bCs/>
          <w:sz w:val="32"/>
          <w:szCs w:val="32"/>
        </w:rPr>
        <w:t>预算数</w:t>
      </w:r>
      <w:r>
        <w:rPr>
          <w:rStyle w:val="14"/>
          <w:rFonts w:hint="eastAsia" w:ascii="仿宋_GB2312" w:hAnsi="仿宋_GB2312" w:eastAsia="仿宋_GB2312" w:cs="仿宋_GB2312"/>
          <w:b w:val="0"/>
          <w:bCs/>
          <w:sz w:val="32"/>
          <w:szCs w:val="32"/>
          <w:lang w:val="en-US" w:eastAsia="zh-CN"/>
        </w:rPr>
        <w:t>持平</w:t>
      </w:r>
      <w:r>
        <w:rPr>
          <w:rStyle w:val="14"/>
          <w:rFonts w:hint="eastAsia" w:ascii="仿宋_GB2312" w:hAnsi="仿宋_GB2312" w:eastAsia="仿宋_GB2312" w:cs="仿宋_GB2312"/>
          <w:b w:val="0"/>
          <w:bCs/>
          <w:sz w:val="32"/>
          <w:szCs w:val="32"/>
        </w:rPr>
        <w:t>。</w:t>
      </w:r>
    </w:p>
    <w:p w14:paraId="395F68AF">
      <w:pPr>
        <w:numPr>
          <w:ilvl w:val="0"/>
          <w:numId w:val="0"/>
        </w:numPr>
        <w:spacing w:line="600" w:lineRule="exact"/>
        <w:ind w:firstLine="640" w:firstLineChars="200"/>
        <w:rPr>
          <w:rStyle w:val="14"/>
          <w:rFonts w:hint="eastAsia" w:ascii="仿宋_GB2312" w:hAnsi="仿宋_GB2312" w:eastAsia="仿宋_GB2312" w:cs="仿宋_GB2312"/>
          <w:b w:val="0"/>
          <w:bCs/>
          <w:sz w:val="32"/>
          <w:szCs w:val="32"/>
        </w:rPr>
      </w:pPr>
      <w:r>
        <w:rPr>
          <w:rFonts w:hint="eastAsia" w:ascii="仿宋_GB2312" w:eastAsia="仿宋_GB2312"/>
          <w:color w:val="000000" w:themeColor="text1"/>
          <w:sz w:val="32"/>
          <w:szCs w:val="32"/>
          <w:lang w:val="en-US" w:eastAsia="zh-CN"/>
          <w14:textFill>
            <w14:solidFill>
              <w14:schemeClr w14:val="tx1"/>
            </w14:solidFill>
          </w14:textFill>
        </w:rPr>
        <w:t>4.</w:t>
      </w:r>
      <w:r>
        <w:rPr>
          <w:rFonts w:hint="eastAsia" w:ascii="仿宋_GB2312" w:eastAsia="仿宋_GB2312"/>
          <w:color w:val="000000" w:themeColor="text1"/>
          <w:sz w:val="32"/>
          <w:szCs w:val="32"/>
          <w:lang w:eastAsia="zh-CN"/>
          <w14:textFill>
            <w14:solidFill>
              <w14:schemeClr w14:val="tx1"/>
            </w14:solidFill>
          </w14:textFill>
        </w:rPr>
        <w:t>卫生健康</w:t>
      </w:r>
      <w:r>
        <w:rPr>
          <w:rFonts w:hint="eastAsia" w:ascii="仿宋_GB2312" w:eastAsia="仿宋_GB2312"/>
          <w:color w:val="000000" w:themeColor="text1"/>
          <w:sz w:val="32"/>
          <w:szCs w:val="32"/>
          <w14:textFill>
            <w14:solidFill>
              <w14:schemeClr w14:val="tx1"/>
            </w14:solidFill>
          </w14:textFill>
        </w:rPr>
        <w:t>（</w:t>
      </w:r>
      <w:r>
        <w:rPr>
          <w:rFonts w:hint="eastAsia" w:eastAsia="仿宋_GB2312" w:asciiTheme="minorHAnsi" w:hAnsiTheme="minorHAnsi"/>
          <w:color w:val="000000" w:themeColor="text1"/>
          <w:sz w:val="32"/>
          <w:szCs w:val="32"/>
          <w14:textFill>
            <w14:solidFill>
              <w14:schemeClr w14:val="tx1"/>
            </w14:solidFill>
          </w14:textFill>
        </w:rPr>
        <w:t>类</w:t>
      </w:r>
      <w:r>
        <w:rPr>
          <w:rFonts w:hint="eastAsia" w:ascii="仿宋_GB2312" w:eastAsia="仿宋_GB2312"/>
          <w:color w:val="000000" w:themeColor="text1"/>
          <w:sz w:val="32"/>
          <w:szCs w:val="32"/>
          <w14:textFill>
            <w14:solidFill>
              <w14:schemeClr w14:val="tx1"/>
            </w14:solidFill>
          </w14:textFill>
        </w:rPr>
        <w:t>）</w:t>
      </w:r>
      <w:r>
        <w:rPr>
          <w:rFonts w:hint="eastAsia" w:ascii="仿宋_GB2312" w:eastAsia="仿宋_GB2312"/>
          <w:color w:val="000000" w:themeColor="text1"/>
          <w:sz w:val="32"/>
          <w:szCs w:val="32"/>
          <w:lang w:eastAsia="zh-CN"/>
          <w14:textFill>
            <w14:solidFill>
              <w14:schemeClr w14:val="tx1"/>
            </w14:solidFill>
          </w14:textFill>
        </w:rPr>
        <w:t>行政事业单位医疗</w:t>
      </w:r>
      <w:r>
        <w:rPr>
          <w:rFonts w:hint="eastAsia" w:ascii="仿宋_GB2312" w:eastAsia="仿宋_GB2312"/>
          <w:color w:val="000000" w:themeColor="text1"/>
          <w:sz w:val="32"/>
          <w:szCs w:val="32"/>
          <w14:textFill>
            <w14:solidFill>
              <w14:schemeClr w14:val="tx1"/>
            </w14:solidFill>
          </w14:textFill>
        </w:rPr>
        <w:t>（款）</w:t>
      </w:r>
      <w:r>
        <w:rPr>
          <w:rFonts w:hint="eastAsia" w:ascii="仿宋_GB2312" w:eastAsia="仿宋_GB2312"/>
          <w:color w:val="000000" w:themeColor="text1"/>
          <w:sz w:val="32"/>
          <w:szCs w:val="32"/>
          <w:lang w:eastAsia="zh-CN"/>
          <w14:textFill>
            <w14:solidFill>
              <w14:schemeClr w14:val="tx1"/>
            </w14:solidFill>
          </w14:textFill>
        </w:rPr>
        <w:t>行政单位医疗</w:t>
      </w:r>
      <w:r>
        <w:rPr>
          <w:rFonts w:hint="eastAsia" w:ascii="仿宋_GB2312" w:eastAsia="仿宋_GB2312"/>
          <w:color w:val="000000" w:themeColor="text1"/>
          <w:sz w:val="32"/>
          <w:szCs w:val="32"/>
          <w14:textFill>
            <w14:solidFill>
              <w14:schemeClr w14:val="tx1"/>
            </w14:solidFill>
          </w14:textFill>
        </w:rPr>
        <w:t>（项）</w:t>
      </w:r>
      <w:r>
        <w:rPr>
          <w:rFonts w:hint="eastAsia" w:ascii="仿宋_GB2312" w:hAnsi="Times New Roman" w:eastAsia="仿宋_GB2312" w:cs="Times New Roman"/>
          <w:color w:val="000000" w:themeColor="text1"/>
          <w:kern w:val="2"/>
          <w:sz w:val="32"/>
          <w:szCs w:val="32"/>
          <w:lang w:val="en-US" w:eastAsia="zh-CN" w:bidi="ar-SA"/>
          <w14:textFill>
            <w14:solidFill>
              <w14:schemeClr w14:val="tx1"/>
            </w14:solidFill>
          </w14:textFill>
        </w:rPr>
        <w:t>：</w:t>
      </w:r>
      <w:r>
        <w:rPr>
          <w:rStyle w:val="14"/>
          <w:rFonts w:hint="eastAsia" w:ascii="仿宋_GB2312" w:hAnsi="仿宋_GB2312" w:eastAsia="仿宋_GB2312" w:cs="仿宋_GB2312"/>
          <w:b w:val="0"/>
          <w:bCs/>
          <w:sz w:val="32"/>
          <w:szCs w:val="32"/>
        </w:rPr>
        <w:t>支出决算为</w:t>
      </w:r>
      <w:r>
        <w:rPr>
          <w:rStyle w:val="14"/>
          <w:rFonts w:hint="eastAsia" w:ascii="仿宋_GB2312" w:hAnsi="仿宋_GB2312" w:eastAsia="仿宋_GB2312" w:cs="仿宋_GB2312"/>
          <w:b w:val="0"/>
          <w:bCs/>
          <w:sz w:val="32"/>
          <w:szCs w:val="32"/>
          <w:lang w:val="en-US" w:eastAsia="zh-CN"/>
        </w:rPr>
        <w:t>3.44</w:t>
      </w:r>
      <w:r>
        <w:rPr>
          <w:rStyle w:val="14"/>
          <w:rFonts w:hint="eastAsia" w:ascii="仿宋_GB2312" w:hAnsi="仿宋_GB2312" w:eastAsia="仿宋_GB2312" w:cs="仿宋_GB2312"/>
          <w:b w:val="0"/>
          <w:bCs/>
          <w:sz w:val="32"/>
          <w:szCs w:val="32"/>
        </w:rPr>
        <w:t>万元，完成预算</w:t>
      </w:r>
      <w:r>
        <w:rPr>
          <w:rStyle w:val="14"/>
          <w:rFonts w:hint="eastAsia" w:ascii="仿宋_GB2312" w:hAnsi="仿宋_GB2312" w:eastAsia="仿宋_GB2312" w:cs="仿宋_GB2312"/>
          <w:b w:val="0"/>
          <w:bCs/>
          <w:sz w:val="32"/>
          <w:szCs w:val="32"/>
          <w:lang w:val="en-US" w:eastAsia="zh-CN"/>
        </w:rPr>
        <w:t>119</w:t>
      </w:r>
      <w:r>
        <w:rPr>
          <w:rStyle w:val="14"/>
          <w:rFonts w:hint="eastAsia" w:ascii="仿宋_GB2312" w:hAnsi="仿宋_GB2312" w:eastAsia="仿宋_GB2312" w:cs="仿宋_GB2312"/>
          <w:b w:val="0"/>
          <w:bCs/>
          <w:sz w:val="32"/>
          <w:szCs w:val="32"/>
        </w:rPr>
        <w:t>%，决算数</w:t>
      </w:r>
      <w:r>
        <w:rPr>
          <w:rStyle w:val="14"/>
          <w:rFonts w:hint="eastAsia" w:ascii="仿宋_GB2312" w:hAnsi="仿宋_GB2312" w:eastAsia="仿宋_GB2312" w:cs="仿宋_GB2312"/>
          <w:b w:val="0"/>
          <w:bCs/>
          <w:sz w:val="32"/>
          <w:szCs w:val="32"/>
          <w:lang w:val="en-US" w:eastAsia="zh-CN"/>
        </w:rPr>
        <w:t>大于</w:t>
      </w:r>
      <w:r>
        <w:rPr>
          <w:rStyle w:val="14"/>
          <w:rFonts w:hint="eastAsia" w:ascii="仿宋_GB2312" w:hAnsi="仿宋_GB2312" w:eastAsia="仿宋_GB2312" w:cs="仿宋_GB2312"/>
          <w:b w:val="0"/>
          <w:bCs/>
          <w:sz w:val="32"/>
          <w:szCs w:val="32"/>
        </w:rPr>
        <w:t>预算数的主要原因是</w:t>
      </w:r>
      <w:r>
        <w:rPr>
          <w:rStyle w:val="14"/>
          <w:rFonts w:hint="eastAsia" w:ascii="仿宋_GB2312" w:hAnsi="仿宋_GB2312" w:eastAsia="仿宋_GB2312" w:cs="仿宋_GB2312"/>
          <w:b w:val="0"/>
          <w:bCs/>
          <w:sz w:val="32"/>
          <w:szCs w:val="32"/>
          <w:lang w:val="en-US" w:eastAsia="zh-CN"/>
        </w:rPr>
        <w:t>2021年新</w:t>
      </w:r>
      <w:r>
        <w:rPr>
          <w:rFonts w:hint="eastAsia" w:ascii="仿宋_GB2312" w:hAnsi="仿宋_GB2312" w:eastAsia="仿宋_GB2312" w:cs="仿宋_GB2312"/>
          <w:sz w:val="32"/>
          <w:szCs w:val="32"/>
          <w:lang w:val="en-US" w:eastAsia="zh-CN"/>
        </w:rPr>
        <w:t>进1名工作人员</w:t>
      </w:r>
      <w:r>
        <w:rPr>
          <w:rStyle w:val="14"/>
          <w:rFonts w:hint="eastAsia" w:ascii="仿宋_GB2312" w:hAnsi="仿宋_GB2312" w:eastAsia="仿宋_GB2312" w:cs="仿宋_GB2312"/>
          <w:b w:val="0"/>
          <w:bCs/>
          <w:sz w:val="32"/>
          <w:szCs w:val="32"/>
        </w:rPr>
        <w:t>。</w:t>
      </w:r>
    </w:p>
    <w:p w14:paraId="4873D598">
      <w:pPr>
        <w:numPr>
          <w:ilvl w:val="0"/>
          <w:numId w:val="0"/>
        </w:numPr>
        <w:spacing w:line="600" w:lineRule="exact"/>
        <w:ind w:firstLine="640" w:firstLineChars="200"/>
        <w:rPr>
          <w:rFonts w:hint="eastAsia" w:ascii="仿宋_GB2312" w:eastAsia="仿宋_GB2312"/>
          <w:color w:val="000000" w:themeColor="text1"/>
          <w:sz w:val="32"/>
          <w:szCs w:val="32"/>
          <w14:textFill>
            <w14:solidFill>
              <w14:schemeClr w14:val="tx1"/>
            </w14:solidFill>
          </w14:textFill>
        </w:rPr>
      </w:pPr>
      <w:r>
        <w:rPr>
          <w:rStyle w:val="14"/>
          <w:rFonts w:hint="eastAsia" w:ascii="仿宋_GB2312" w:hAnsi="仿宋_GB2312" w:eastAsia="仿宋_GB2312" w:cs="仿宋_GB2312"/>
          <w:b w:val="0"/>
          <w:bCs/>
          <w:sz w:val="32"/>
          <w:szCs w:val="32"/>
          <w:lang w:val="en-US" w:eastAsia="zh-CN"/>
        </w:rPr>
        <w:t>5.</w:t>
      </w:r>
      <w:r>
        <w:rPr>
          <w:rFonts w:hint="eastAsia" w:ascii="仿宋_GB2312" w:eastAsia="仿宋_GB2312"/>
          <w:color w:val="000000" w:themeColor="text1"/>
          <w:sz w:val="32"/>
          <w:szCs w:val="32"/>
          <w14:textFill>
            <w14:solidFill>
              <w14:schemeClr w14:val="tx1"/>
            </w14:solidFill>
          </w14:textFill>
        </w:rPr>
        <w:t>住房保障（类）住房改革支出（款）住房公积金（项）</w:t>
      </w:r>
      <w:r>
        <w:rPr>
          <w:rFonts w:hint="eastAsia" w:ascii="仿宋_GB2312" w:hAnsi="Times New Roman" w:eastAsia="仿宋_GB2312" w:cs="Times New Roman"/>
          <w:color w:val="000000" w:themeColor="text1"/>
          <w:kern w:val="2"/>
          <w:sz w:val="32"/>
          <w:szCs w:val="32"/>
          <w:lang w:val="en-US" w:eastAsia="zh-CN" w:bidi="ar-SA"/>
          <w14:textFill>
            <w14:solidFill>
              <w14:schemeClr w14:val="tx1"/>
            </w14:solidFill>
          </w14:textFill>
        </w:rPr>
        <w:t>：</w:t>
      </w:r>
      <w:r>
        <w:rPr>
          <w:rStyle w:val="14"/>
          <w:rFonts w:hint="eastAsia" w:ascii="仿宋_GB2312" w:hAnsi="仿宋_GB2312" w:eastAsia="仿宋_GB2312" w:cs="仿宋_GB2312"/>
          <w:b w:val="0"/>
          <w:bCs/>
          <w:sz w:val="32"/>
          <w:szCs w:val="32"/>
        </w:rPr>
        <w:t>支出决算为</w:t>
      </w:r>
      <w:r>
        <w:rPr>
          <w:rStyle w:val="14"/>
          <w:rFonts w:hint="eastAsia" w:ascii="仿宋_GB2312" w:hAnsi="仿宋_GB2312" w:eastAsia="仿宋_GB2312" w:cs="仿宋_GB2312"/>
          <w:b w:val="0"/>
          <w:bCs/>
          <w:sz w:val="32"/>
          <w:szCs w:val="32"/>
          <w:lang w:val="en-US" w:eastAsia="zh-CN"/>
        </w:rPr>
        <w:t>8.47</w:t>
      </w:r>
      <w:r>
        <w:rPr>
          <w:rStyle w:val="14"/>
          <w:rFonts w:hint="eastAsia" w:ascii="仿宋_GB2312" w:hAnsi="仿宋_GB2312" w:eastAsia="仿宋_GB2312" w:cs="仿宋_GB2312"/>
          <w:b w:val="0"/>
          <w:bCs/>
          <w:sz w:val="32"/>
          <w:szCs w:val="32"/>
        </w:rPr>
        <w:t>万元，完成预算</w:t>
      </w:r>
      <w:r>
        <w:rPr>
          <w:rStyle w:val="14"/>
          <w:rFonts w:hint="eastAsia" w:ascii="仿宋_GB2312" w:hAnsi="仿宋_GB2312" w:eastAsia="仿宋_GB2312" w:cs="仿宋_GB2312"/>
          <w:b w:val="0"/>
          <w:bCs/>
          <w:sz w:val="32"/>
          <w:szCs w:val="32"/>
          <w:lang w:val="en-US" w:eastAsia="zh-CN"/>
        </w:rPr>
        <w:t>108</w:t>
      </w:r>
      <w:r>
        <w:rPr>
          <w:rStyle w:val="14"/>
          <w:rFonts w:hint="eastAsia" w:ascii="仿宋_GB2312" w:hAnsi="仿宋_GB2312" w:eastAsia="仿宋_GB2312" w:cs="仿宋_GB2312"/>
          <w:b w:val="0"/>
          <w:bCs/>
          <w:sz w:val="32"/>
          <w:szCs w:val="32"/>
        </w:rPr>
        <w:t>%，决算数</w:t>
      </w:r>
      <w:r>
        <w:rPr>
          <w:rStyle w:val="14"/>
          <w:rFonts w:hint="eastAsia" w:ascii="仿宋_GB2312" w:hAnsi="仿宋_GB2312" w:eastAsia="仿宋_GB2312" w:cs="仿宋_GB2312"/>
          <w:b w:val="0"/>
          <w:bCs/>
          <w:sz w:val="32"/>
          <w:szCs w:val="32"/>
          <w:lang w:val="en-US" w:eastAsia="zh-CN"/>
        </w:rPr>
        <w:t>大于</w:t>
      </w:r>
      <w:r>
        <w:rPr>
          <w:rStyle w:val="14"/>
          <w:rFonts w:hint="eastAsia" w:ascii="仿宋_GB2312" w:hAnsi="仿宋_GB2312" w:eastAsia="仿宋_GB2312" w:cs="仿宋_GB2312"/>
          <w:b w:val="0"/>
          <w:bCs/>
          <w:sz w:val="32"/>
          <w:szCs w:val="32"/>
        </w:rPr>
        <w:t>预算数的主要原因是</w:t>
      </w:r>
      <w:r>
        <w:rPr>
          <w:rStyle w:val="14"/>
          <w:rFonts w:hint="eastAsia" w:ascii="仿宋_GB2312" w:hAnsi="仿宋_GB2312" w:eastAsia="仿宋_GB2312" w:cs="仿宋_GB2312"/>
          <w:b w:val="0"/>
          <w:bCs/>
          <w:sz w:val="32"/>
          <w:szCs w:val="32"/>
          <w:lang w:val="en-US" w:eastAsia="zh-CN"/>
        </w:rPr>
        <w:t>2021年新</w:t>
      </w:r>
      <w:r>
        <w:rPr>
          <w:rFonts w:hint="eastAsia" w:ascii="仿宋_GB2312" w:hAnsi="仿宋_GB2312" w:eastAsia="仿宋_GB2312" w:cs="仿宋_GB2312"/>
          <w:sz w:val="32"/>
          <w:szCs w:val="32"/>
          <w:lang w:val="en-US" w:eastAsia="zh-CN"/>
        </w:rPr>
        <w:t>进1名工作人员</w:t>
      </w:r>
      <w:r>
        <w:rPr>
          <w:rStyle w:val="14"/>
          <w:rFonts w:hint="eastAsia" w:ascii="仿宋_GB2312" w:hAnsi="仿宋_GB2312" w:eastAsia="仿宋_GB2312" w:cs="仿宋_GB2312"/>
          <w:b w:val="0"/>
          <w:bCs/>
          <w:sz w:val="32"/>
          <w:szCs w:val="32"/>
        </w:rPr>
        <w:t>。</w:t>
      </w:r>
    </w:p>
    <w:p w14:paraId="0821051B">
      <w:pPr>
        <w:pStyle w:val="2"/>
        <w:ind w:firstLine="640" w:firstLineChars="200"/>
        <w:rPr>
          <w:rStyle w:val="14"/>
          <w:rFonts w:hint="eastAsia" w:ascii="仿宋_GB2312" w:hAnsi="仿宋_GB2312" w:eastAsia="仿宋_GB2312" w:cs="仿宋_GB2312"/>
          <w:b w:val="0"/>
          <w:bCs/>
          <w:sz w:val="32"/>
          <w:szCs w:val="32"/>
          <w:highlight w:val="none"/>
        </w:rPr>
      </w:pPr>
      <w:r>
        <w:rPr>
          <w:rFonts w:hint="eastAsia" w:ascii="仿宋_GB2312" w:eastAsia="仿宋_GB2312"/>
          <w:color w:val="000000" w:themeColor="text1"/>
          <w:sz w:val="32"/>
          <w:szCs w:val="32"/>
          <w:highlight w:val="none"/>
          <w:lang w:val="en-US" w:eastAsia="zh-CN"/>
          <w14:textFill>
            <w14:solidFill>
              <w14:schemeClr w14:val="tx1"/>
            </w14:solidFill>
          </w14:textFill>
        </w:rPr>
        <w:t>6.</w:t>
      </w:r>
      <w:r>
        <w:rPr>
          <w:rFonts w:hint="eastAsia" w:ascii="仿宋_GB2312" w:eastAsia="仿宋_GB2312"/>
          <w:color w:val="000000" w:themeColor="text1"/>
          <w:sz w:val="32"/>
          <w:szCs w:val="32"/>
          <w:highlight w:val="none"/>
          <w:lang w:eastAsia="zh-CN"/>
          <w14:textFill>
            <w14:solidFill>
              <w14:schemeClr w14:val="tx1"/>
            </w14:solidFill>
          </w14:textFill>
        </w:rPr>
        <w:t>灾害防治及应急管理</w:t>
      </w:r>
      <w:r>
        <w:rPr>
          <w:rFonts w:hint="eastAsia" w:ascii="仿宋_GB2312" w:eastAsia="仿宋_GB2312"/>
          <w:color w:val="000000" w:themeColor="text1"/>
          <w:sz w:val="32"/>
          <w:szCs w:val="32"/>
          <w:highlight w:val="none"/>
          <w14:textFill>
            <w14:solidFill>
              <w14:schemeClr w14:val="tx1"/>
            </w14:solidFill>
          </w14:textFill>
        </w:rPr>
        <w:t>（类）</w:t>
      </w:r>
      <w:r>
        <w:rPr>
          <w:rFonts w:hint="eastAsia" w:ascii="仿宋_GB2312" w:eastAsia="仿宋_GB2312"/>
          <w:color w:val="000000" w:themeColor="text1"/>
          <w:sz w:val="32"/>
          <w:szCs w:val="32"/>
          <w:highlight w:val="none"/>
          <w:lang w:eastAsia="zh-CN"/>
          <w14:textFill>
            <w14:solidFill>
              <w14:schemeClr w14:val="tx1"/>
            </w14:solidFill>
          </w14:textFill>
        </w:rPr>
        <w:t>地震事务</w:t>
      </w:r>
      <w:r>
        <w:rPr>
          <w:rFonts w:hint="eastAsia" w:ascii="仿宋_GB2312" w:eastAsia="仿宋_GB2312"/>
          <w:color w:val="000000" w:themeColor="text1"/>
          <w:sz w:val="32"/>
          <w:szCs w:val="32"/>
          <w:highlight w:val="none"/>
          <w14:textFill>
            <w14:solidFill>
              <w14:schemeClr w14:val="tx1"/>
            </w14:solidFill>
          </w14:textFill>
        </w:rPr>
        <w:t>（款）</w:t>
      </w:r>
      <w:r>
        <w:rPr>
          <w:rFonts w:hint="eastAsia" w:ascii="仿宋_GB2312" w:eastAsia="仿宋_GB2312"/>
          <w:color w:val="000000" w:themeColor="text1"/>
          <w:sz w:val="32"/>
          <w:szCs w:val="32"/>
          <w:highlight w:val="none"/>
          <w:lang w:eastAsia="zh-CN"/>
          <w14:textFill>
            <w14:solidFill>
              <w14:schemeClr w14:val="tx1"/>
            </w14:solidFill>
          </w14:textFill>
        </w:rPr>
        <w:t>行政运行</w:t>
      </w:r>
      <w:r>
        <w:rPr>
          <w:rFonts w:hint="eastAsia" w:ascii="仿宋_GB2312" w:eastAsia="仿宋_GB2312"/>
          <w:color w:val="000000" w:themeColor="text1"/>
          <w:sz w:val="32"/>
          <w:szCs w:val="32"/>
          <w:highlight w:val="none"/>
          <w14:textFill>
            <w14:solidFill>
              <w14:schemeClr w14:val="tx1"/>
            </w14:solidFill>
          </w14:textFill>
        </w:rPr>
        <w:t>（项）</w:t>
      </w:r>
      <w:r>
        <w:rPr>
          <w:rFonts w:hint="eastAsia" w:ascii="仿宋_GB2312" w:hAnsi="Times New Roman" w:eastAsia="仿宋_GB2312" w:cs="Times New Roman"/>
          <w:color w:val="000000" w:themeColor="text1"/>
          <w:kern w:val="2"/>
          <w:sz w:val="32"/>
          <w:szCs w:val="32"/>
          <w:highlight w:val="none"/>
          <w:lang w:val="en-US" w:eastAsia="zh-CN" w:bidi="ar-SA"/>
          <w14:textFill>
            <w14:solidFill>
              <w14:schemeClr w14:val="tx1"/>
            </w14:solidFill>
          </w14:textFill>
        </w:rPr>
        <w:t>：</w:t>
      </w:r>
      <w:r>
        <w:rPr>
          <w:rStyle w:val="14"/>
          <w:rFonts w:hint="eastAsia" w:ascii="仿宋_GB2312" w:hAnsi="仿宋_GB2312" w:eastAsia="仿宋_GB2312" w:cs="仿宋_GB2312"/>
          <w:b w:val="0"/>
          <w:bCs/>
          <w:sz w:val="32"/>
          <w:szCs w:val="32"/>
          <w:highlight w:val="none"/>
        </w:rPr>
        <w:t>支出决算为</w:t>
      </w:r>
      <w:r>
        <w:rPr>
          <w:rStyle w:val="14"/>
          <w:rFonts w:hint="eastAsia" w:hAnsi="仿宋_GB2312" w:cs="仿宋_GB2312"/>
          <w:b w:val="0"/>
          <w:bCs/>
          <w:sz w:val="32"/>
          <w:szCs w:val="32"/>
          <w:highlight w:val="none"/>
          <w:lang w:val="en-US" w:eastAsia="zh-CN"/>
        </w:rPr>
        <w:t>68.29</w:t>
      </w:r>
      <w:r>
        <w:rPr>
          <w:rStyle w:val="14"/>
          <w:rFonts w:hint="eastAsia" w:ascii="仿宋_GB2312" w:hAnsi="仿宋_GB2312" w:eastAsia="仿宋_GB2312" w:cs="仿宋_GB2312"/>
          <w:b w:val="0"/>
          <w:bCs/>
          <w:sz w:val="32"/>
          <w:szCs w:val="32"/>
          <w:highlight w:val="none"/>
        </w:rPr>
        <w:t>万元，完成预算</w:t>
      </w:r>
      <w:r>
        <w:rPr>
          <w:rStyle w:val="14"/>
          <w:rFonts w:hint="eastAsia" w:ascii="仿宋_GB2312" w:hAnsi="仿宋_GB2312" w:eastAsia="仿宋_GB2312" w:cs="仿宋_GB2312"/>
          <w:b w:val="0"/>
          <w:bCs/>
          <w:sz w:val="32"/>
          <w:szCs w:val="32"/>
          <w:highlight w:val="none"/>
          <w:lang w:val="en-US" w:eastAsia="zh-CN"/>
        </w:rPr>
        <w:t>1</w:t>
      </w:r>
      <w:r>
        <w:rPr>
          <w:rStyle w:val="14"/>
          <w:rFonts w:hint="eastAsia" w:hAnsi="仿宋_GB2312" w:cs="仿宋_GB2312"/>
          <w:b w:val="0"/>
          <w:bCs/>
          <w:sz w:val="32"/>
          <w:szCs w:val="32"/>
          <w:highlight w:val="none"/>
          <w:lang w:val="en-US" w:eastAsia="zh-CN"/>
        </w:rPr>
        <w:t>49</w:t>
      </w:r>
      <w:r>
        <w:rPr>
          <w:rStyle w:val="14"/>
          <w:rFonts w:hint="eastAsia" w:ascii="仿宋_GB2312" w:hAnsi="仿宋_GB2312" w:eastAsia="仿宋_GB2312" w:cs="仿宋_GB2312"/>
          <w:b w:val="0"/>
          <w:bCs/>
          <w:sz w:val="32"/>
          <w:szCs w:val="32"/>
          <w:highlight w:val="none"/>
        </w:rPr>
        <w:t>%，决算数</w:t>
      </w:r>
      <w:r>
        <w:rPr>
          <w:rStyle w:val="14"/>
          <w:rFonts w:hint="eastAsia" w:ascii="仿宋_GB2312" w:hAnsi="仿宋_GB2312" w:eastAsia="仿宋_GB2312" w:cs="仿宋_GB2312"/>
          <w:b w:val="0"/>
          <w:bCs/>
          <w:sz w:val="32"/>
          <w:szCs w:val="32"/>
          <w:highlight w:val="none"/>
          <w:lang w:val="en-US" w:eastAsia="zh-CN"/>
        </w:rPr>
        <w:t>大于</w:t>
      </w:r>
      <w:r>
        <w:rPr>
          <w:rStyle w:val="14"/>
          <w:rFonts w:hint="eastAsia" w:ascii="仿宋_GB2312" w:hAnsi="仿宋_GB2312" w:eastAsia="仿宋_GB2312" w:cs="仿宋_GB2312"/>
          <w:b w:val="0"/>
          <w:bCs/>
          <w:sz w:val="32"/>
          <w:szCs w:val="32"/>
          <w:highlight w:val="none"/>
        </w:rPr>
        <w:t>预算数的主要原因是</w:t>
      </w:r>
      <w:r>
        <w:rPr>
          <w:rStyle w:val="14"/>
          <w:rFonts w:hint="eastAsia" w:ascii="仿宋_GB2312" w:hAnsi="仿宋_GB2312" w:eastAsia="仿宋_GB2312" w:cs="仿宋_GB2312"/>
          <w:b w:val="0"/>
          <w:bCs/>
          <w:sz w:val="32"/>
          <w:szCs w:val="32"/>
          <w:highlight w:val="none"/>
          <w:lang w:val="en-US" w:eastAsia="zh-CN"/>
        </w:rPr>
        <w:t>2021年新</w:t>
      </w:r>
      <w:r>
        <w:rPr>
          <w:rFonts w:hint="eastAsia" w:ascii="仿宋_GB2312" w:hAnsi="仿宋_GB2312" w:eastAsia="仿宋_GB2312" w:cs="仿宋_GB2312"/>
          <w:sz w:val="32"/>
          <w:szCs w:val="32"/>
          <w:highlight w:val="none"/>
          <w:lang w:val="en-US" w:eastAsia="zh-CN"/>
        </w:rPr>
        <w:t>进1名工作人员</w:t>
      </w:r>
      <w:r>
        <w:rPr>
          <w:rStyle w:val="14"/>
          <w:rFonts w:hint="eastAsia" w:ascii="仿宋_GB2312" w:hAnsi="仿宋_GB2312" w:eastAsia="仿宋_GB2312" w:cs="仿宋_GB2312"/>
          <w:b w:val="0"/>
          <w:bCs/>
          <w:sz w:val="32"/>
          <w:szCs w:val="32"/>
          <w:highlight w:val="none"/>
        </w:rPr>
        <w:t>。</w:t>
      </w:r>
    </w:p>
    <w:p w14:paraId="1A05E855">
      <w:pPr>
        <w:pStyle w:val="2"/>
        <w:ind w:firstLine="640" w:firstLineChars="200"/>
        <w:rPr>
          <w:rFonts w:hint="eastAsia"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lang w:val="en-US" w:eastAsia="zh-CN"/>
          <w14:textFill>
            <w14:solidFill>
              <w14:schemeClr w14:val="tx1"/>
            </w14:solidFill>
          </w14:textFill>
        </w:rPr>
        <w:t>7.</w:t>
      </w:r>
      <w:r>
        <w:rPr>
          <w:rFonts w:hint="eastAsia" w:ascii="仿宋_GB2312" w:eastAsia="仿宋_GB2312"/>
          <w:color w:val="000000" w:themeColor="text1"/>
          <w:sz w:val="32"/>
          <w:szCs w:val="32"/>
          <w:lang w:eastAsia="zh-CN"/>
          <w14:textFill>
            <w14:solidFill>
              <w14:schemeClr w14:val="tx1"/>
            </w14:solidFill>
          </w14:textFill>
        </w:rPr>
        <w:t>灾害防治及应急管理</w:t>
      </w:r>
      <w:r>
        <w:rPr>
          <w:rFonts w:hint="eastAsia" w:ascii="仿宋_GB2312" w:eastAsia="仿宋_GB2312"/>
          <w:color w:val="000000" w:themeColor="text1"/>
          <w:sz w:val="32"/>
          <w:szCs w:val="32"/>
          <w14:textFill>
            <w14:solidFill>
              <w14:schemeClr w14:val="tx1"/>
            </w14:solidFill>
          </w14:textFill>
        </w:rPr>
        <w:t>（类）</w:t>
      </w:r>
      <w:r>
        <w:rPr>
          <w:rFonts w:hint="eastAsia" w:ascii="仿宋_GB2312" w:eastAsia="仿宋_GB2312"/>
          <w:color w:val="000000" w:themeColor="text1"/>
          <w:sz w:val="32"/>
          <w:szCs w:val="32"/>
          <w:lang w:eastAsia="zh-CN"/>
          <w14:textFill>
            <w14:solidFill>
              <w14:schemeClr w14:val="tx1"/>
            </w14:solidFill>
          </w14:textFill>
        </w:rPr>
        <w:t>地震事务</w:t>
      </w:r>
      <w:r>
        <w:rPr>
          <w:rFonts w:hint="eastAsia" w:ascii="仿宋_GB2312" w:eastAsia="仿宋_GB2312"/>
          <w:color w:val="000000" w:themeColor="text1"/>
          <w:sz w:val="32"/>
          <w:szCs w:val="32"/>
          <w14:textFill>
            <w14:solidFill>
              <w14:schemeClr w14:val="tx1"/>
            </w14:solidFill>
          </w14:textFill>
        </w:rPr>
        <w:t>（款）</w:t>
      </w:r>
      <w:r>
        <w:rPr>
          <w:rFonts w:hint="eastAsia" w:ascii="仿宋_GB2312" w:eastAsia="仿宋_GB2312"/>
          <w:color w:val="000000" w:themeColor="text1"/>
          <w:sz w:val="32"/>
          <w:szCs w:val="32"/>
          <w:lang w:eastAsia="zh-CN"/>
          <w14:textFill>
            <w14:solidFill>
              <w14:schemeClr w14:val="tx1"/>
            </w14:solidFill>
          </w14:textFill>
        </w:rPr>
        <w:t>其他地震事务</w:t>
      </w:r>
      <w:r>
        <w:rPr>
          <w:rFonts w:hint="eastAsia" w:ascii="仿宋_GB2312" w:eastAsia="仿宋_GB2312"/>
          <w:color w:val="000000" w:themeColor="text1"/>
          <w:sz w:val="32"/>
          <w:szCs w:val="32"/>
          <w14:textFill>
            <w14:solidFill>
              <w14:schemeClr w14:val="tx1"/>
            </w14:solidFill>
          </w14:textFill>
        </w:rPr>
        <w:t>（项）</w:t>
      </w:r>
      <w:r>
        <w:rPr>
          <w:rFonts w:hint="eastAsia" w:ascii="仿宋_GB2312" w:hAnsi="Times New Roman" w:eastAsia="仿宋_GB2312" w:cs="Times New Roman"/>
          <w:color w:val="000000" w:themeColor="text1"/>
          <w:kern w:val="2"/>
          <w:sz w:val="32"/>
          <w:szCs w:val="32"/>
          <w:lang w:val="en-US" w:eastAsia="zh-CN" w:bidi="ar-SA"/>
          <w14:textFill>
            <w14:solidFill>
              <w14:schemeClr w14:val="tx1"/>
            </w14:solidFill>
          </w14:textFill>
        </w:rPr>
        <w:t>：</w:t>
      </w:r>
      <w:r>
        <w:rPr>
          <w:rStyle w:val="14"/>
          <w:rFonts w:hint="eastAsia" w:ascii="仿宋_GB2312" w:hAnsi="仿宋_GB2312" w:eastAsia="仿宋_GB2312" w:cs="仿宋_GB2312"/>
          <w:b w:val="0"/>
          <w:bCs/>
          <w:sz w:val="32"/>
          <w:szCs w:val="32"/>
        </w:rPr>
        <w:t>支出决算为</w:t>
      </w:r>
      <w:r>
        <w:rPr>
          <w:rStyle w:val="14"/>
          <w:rFonts w:hint="eastAsia" w:hAnsi="仿宋_GB2312" w:cs="仿宋_GB2312"/>
          <w:b w:val="0"/>
          <w:bCs/>
          <w:sz w:val="32"/>
          <w:szCs w:val="32"/>
          <w:lang w:val="en-US" w:eastAsia="zh-CN"/>
        </w:rPr>
        <w:t>9.79</w:t>
      </w:r>
      <w:r>
        <w:rPr>
          <w:rStyle w:val="14"/>
          <w:rFonts w:hint="eastAsia" w:ascii="仿宋_GB2312" w:hAnsi="仿宋_GB2312" w:eastAsia="仿宋_GB2312" w:cs="仿宋_GB2312"/>
          <w:b w:val="0"/>
          <w:bCs/>
          <w:sz w:val="32"/>
          <w:szCs w:val="32"/>
        </w:rPr>
        <w:t>万元，完成预算</w:t>
      </w:r>
      <w:r>
        <w:rPr>
          <w:rStyle w:val="14"/>
          <w:rFonts w:hint="eastAsia" w:hAnsi="仿宋_GB2312" w:cs="仿宋_GB2312"/>
          <w:b w:val="0"/>
          <w:bCs/>
          <w:sz w:val="32"/>
          <w:szCs w:val="32"/>
          <w:lang w:val="en-US" w:eastAsia="zh-CN"/>
        </w:rPr>
        <w:t>65.9</w:t>
      </w:r>
      <w:r>
        <w:rPr>
          <w:rStyle w:val="14"/>
          <w:rFonts w:hint="eastAsia" w:ascii="仿宋_GB2312" w:hAnsi="仿宋_GB2312" w:eastAsia="仿宋_GB2312" w:cs="仿宋_GB2312"/>
          <w:b w:val="0"/>
          <w:bCs/>
          <w:sz w:val="32"/>
          <w:szCs w:val="32"/>
        </w:rPr>
        <w:t>%，决算数</w:t>
      </w:r>
      <w:r>
        <w:rPr>
          <w:rStyle w:val="14"/>
          <w:rFonts w:hint="eastAsia" w:hAnsi="仿宋_GB2312" w:cs="仿宋_GB2312"/>
          <w:b w:val="0"/>
          <w:bCs/>
          <w:sz w:val="32"/>
          <w:szCs w:val="32"/>
          <w:lang w:val="en-US" w:eastAsia="zh-CN"/>
        </w:rPr>
        <w:t>小</w:t>
      </w:r>
      <w:r>
        <w:rPr>
          <w:rStyle w:val="14"/>
          <w:rFonts w:hint="eastAsia" w:ascii="仿宋_GB2312" w:hAnsi="仿宋_GB2312" w:eastAsia="仿宋_GB2312" w:cs="仿宋_GB2312"/>
          <w:b w:val="0"/>
          <w:bCs/>
          <w:sz w:val="32"/>
          <w:szCs w:val="32"/>
          <w:lang w:val="en-US" w:eastAsia="zh-CN"/>
        </w:rPr>
        <w:t>于</w:t>
      </w:r>
      <w:r>
        <w:rPr>
          <w:rStyle w:val="14"/>
          <w:rFonts w:hint="eastAsia" w:ascii="仿宋_GB2312" w:hAnsi="仿宋_GB2312" w:eastAsia="仿宋_GB2312" w:cs="仿宋_GB2312"/>
          <w:b w:val="0"/>
          <w:bCs/>
          <w:sz w:val="32"/>
          <w:szCs w:val="32"/>
        </w:rPr>
        <w:t>预算数的主要原因是</w:t>
      </w:r>
      <w:r>
        <w:rPr>
          <w:rStyle w:val="14"/>
          <w:rFonts w:hint="eastAsia" w:hAnsi="仿宋_GB2312" w:cs="仿宋_GB2312"/>
          <w:b w:val="0"/>
          <w:bCs/>
          <w:sz w:val="32"/>
          <w:szCs w:val="32"/>
          <w:lang w:val="en-US" w:eastAsia="zh-CN"/>
        </w:rPr>
        <w:t>财政部门未拨付并收回了剩余预算资金</w:t>
      </w:r>
      <w:r>
        <w:rPr>
          <w:rStyle w:val="14"/>
          <w:rFonts w:hint="eastAsia" w:ascii="仿宋_GB2312" w:hAnsi="仿宋_GB2312" w:eastAsia="仿宋_GB2312" w:cs="仿宋_GB2312"/>
          <w:b w:val="0"/>
          <w:bCs/>
          <w:sz w:val="32"/>
          <w:szCs w:val="32"/>
        </w:rPr>
        <w:t>。</w:t>
      </w:r>
    </w:p>
    <w:p w14:paraId="5632E3B7">
      <w:pPr>
        <w:tabs>
          <w:tab w:val="right" w:pos="8306"/>
        </w:tabs>
        <w:spacing w:line="600" w:lineRule="exact"/>
        <w:ind w:firstLine="640"/>
        <w:outlineLvl w:val="1"/>
        <w:rPr>
          <w:rFonts w:hint="eastAsia" w:ascii="黑体" w:eastAsia="黑体"/>
          <w:sz w:val="32"/>
          <w:szCs w:val="32"/>
        </w:rPr>
      </w:pPr>
      <w:bookmarkStart w:id="34" w:name="_Toc15377214"/>
      <w:bookmarkStart w:id="35" w:name="_Toc15396608"/>
    </w:p>
    <w:p w14:paraId="67418FE3">
      <w:pPr>
        <w:tabs>
          <w:tab w:val="right" w:pos="8306"/>
        </w:tabs>
        <w:spacing w:line="600" w:lineRule="exact"/>
        <w:ind w:firstLine="640"/>
        <w:outlineLvl w:val="1"/>
        <w:rPr>
          <w:rStyle w:val="25"/>
        </w:rPr>
      </w:pPr>
      <w:r>
        <w:rPr>
          <w:rFonts w:hint="eastAsia" w:ascii="黑体" w:eastAsia="黑体"/>
          <w:sz w:val="32"/>
          <w:szCs w:val="32"/>
        </w:rPr>
        <w:t>六</w:t>
      </w:r>
      <w:r>
        <w:rPr>
          <w:rFonts w:hint="eastAsia" w:ascii="黑体" w:eastAsia="黑体"/>
          <w:b/>
          <w:sz w:val="32"/>
          <w:szCs w:val="32"/>
        </w:rPr>
        <w:t>、</w:t>
      </w:r>
      <w:r>
        <w:rPr>
          <w:rFonts w:hint="eastAsia" w:ascii="黑体" w:hAnsi="黑体" w:eastAsia="黑体"/>
          <w:b/>
          <w:sz w:val="32"/>
          <w:szCs w:val="32"/>
        </w:rPr>
        <w:t>一</w:t>
      </w:r>
      <w:r>
        <w:rPr>
          <w:rStyle w:val="25"/>
          <w:rFonts w:hint="eastAsia" w:ascii="黑体" w:hAnsi="黑体" w:eastAsia="黑体"/>
          <w:b w:val="0"/>
        </w:rPr>
        <w:t>般公共预算财政拨款基本支出决算情况说明</w:t>
      </w:r>
      <w:bookmarkEnd w:id="34"/>
      <w:bookmarkEnd w:id="35"/>
      <w:r>
        <w:rPr>
          <w:rStyle w:val="25"/>
          <w:rFonts w:ascii="黑体" w:hAnsi="黑体" w:eastAsia="黑体"/>
          <w:b w:val="0"/>
        </w:rPr>
        <w:tab/>
      </w:r>
    </w:p>
    <w:p w14:paraId="61ED905C">
      <w:pPr>
        <w:spacing w:line="600" w:lineRule="exact"/>
        <w:ind w:firstLine="645"/>
        <w:rPr>
          <w:rFonts w:ascii="仿宋_GB2312" w:hAnsi="仿宋_GB2312" w:eastAsia="仿宋_GB2312" w:cs="仿宋_GB2312"/>
          <w:sz w:val="32"/>
          <w:szCs w:val="32"/>
        </w:rPr>
      </w:pPr>
      <w:r>
        <w:rPr>
          <w:rFonts w:hint="eastAsia" w:ascii="仿宋_GB2312" w:hAnsi="仿宋_GB2312" w:eastAsia="仿宋_GB2312" w:cs="仿宋_GB2312"/>
          <w:sz w:val="32"/>
          <w:szCs w:val="32"/>
        </w:rPr>
        <w:t>2021年一般公共预算财政拨款基本支出</w:t>
      </w:r>
      <w:r>
        <w:rPr>
          <w:rFonts w:hint="eastAsia" w:ascii="仿宋_GB2312" w:hAnsi="仿宋_GB2312" w:eastAsia="仿宋_GB2312" w:cs="仿宋_GB2312"/>
          <w:sz w:val="32"/>
          <w:szCs w:val="32"/>
          <w:lang w:val="en-US" w:eastAsia="zh-CN"/>
        </w:rPr>
        <w:t>99.16</w:t>
      </w:r>
      <w:r>
        <w:rPr>
          <w:rFonts w:hint="eastAsia" w:ascii="仿宋_GB2312" w:hAnsi="仿宋_GB2312" w:eastAsia="仿宋_GB2312" w:cs="仿宋_GB2312"/>
          <w:sz w:val="32"/>
          <w:szCs w:val="32"/>
        </w:rPr>
        <w:t>万元，其中：</w:t>
      </w:r>
    </w:p>
    <w:p w14:paraId="235BD315">
      <w:pPr>
        <w:spacing w:line="600" w:lineRule="exact"/>
        <w:ind w:firstLine="645"/>
        <w:rPr>
          <w:rFonts w:ascii="仿宋_GB2312" w:hAnsi="仿宋_GB2312" w:eastAsia="仿宋_GB2312" w:cs="仿宋_GB2312"/>
          <w:sz w:val="32"/>
          <w:szCs w:val="32"/>
        </w:rPr>
      </w:pPr>
      <w:r>
        <w:rPr>
          <w:rFonts w:hint="eastAsia" w:ascii="仿宋_GB2312" w:hAnsi="仿宋_GB2312" w:eastAsia="仿宋_GB2312" w:cs="仿宋_GB2312"/>
          <w:sz w:val="32"/>
          <w:szCs w:val="32"/>
        </w:rPr>
        <w:t>人员经费</w:t>
      </w:r>
      <w:r>
        <w:rPr>
          <w:rFonts w:hint="eastAsia" w:ascii="仿宋_GB2312" w:hAnsi="仿宋_GB2312" w:eastAsia="仿宋_GB2312" w:cs="仿宋_GB2312"/>
          <w:sz w:val="32"/>
          <w:szCs w:val="32"/>
          <w:lang w:val="en-US" w:eastAsia="zh-CN"/>
        </w:rPr>
        <w:t>80.85</w:t>
      </w:r>
      <w:r>
        <w:rPr>
          <w:rFonts w:hint="eastAsia" w:ascii="仿宋_GB2312" w:hAnsi="仿宋_GB2312" w:eastAsia="仿宋_GB2312" w:cs="仿宋_GB2312"/>
          <w:sz w:val="32"/>
          <w:szCs w:val="32"/>
        </w:rPr>
        <w:t>万元，主要包括：基本工资、津贴补贴、奖金、伙食补助费、机关事业单位基本养老保险缴费、职业年金缴费、职工基本医疗保险缴费</w:t>
      </w:r>
      <w:r>
        <w:rPr>
          <w:rFonts w:hint="eastAsia" w:ascii="仿宋_GB2312" w:hAnsi="仿宋_GB2312" w:eastAsia="仿宋_GB2312" w:cs="仿宋_GB2312"/>
          <w:sz w:val="32"/>
          <w:szCs w:val="32"/>
          <w:lang w:eastAsia="zh-CN"/>
        </w:rPr>
        <w:t>、公务员医疗补助缴费、</w:t>
      </w:r>
      <w:r>
        <w:rPr>
          <w:rFonts w:hint="eastAsia" w:ascii="仿宋_GB2312" w:hAnsi="仿宋_GB2312" w:eastAsia="仿宋_GB2312" w:cs="仿宋_GB2312"/>
          <w:sz w:val="32"/>
          <w:szCs w:val="32"/>
        </w:rPr>
        <w:t>其他社会保障缴费、住房公积金</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对个人和家庭的补助支出等。</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公用经费</w:t>
      </w:r>
      <w:r>
        <w:rPr>
          <w:rFonts w:hint="eastAsia" w:ascii="仿宋_GB2312" w:hAnsi="仿宋_GB2312" w:eastAsia="仿宋_GB2312" w:cs="仿宋_GB2312"/>
          <w:sz w:val="32"/>
          <w:szCs w:val="32"/>
          <w:lang w:val="en-US" w:eastAsia="zh-CN"/>
        </w:rPr>
        <w:t>8.42</w:t>
      </w:r>
      <w:r>
        <w:rPr>
          <w:rFonts w:hint="eastAsia" w:ascii="仿宋_GB2312" w:hAnsi="仿宋_GB2312" w:eastAsia="仿宋_GB2312" w:cs="仿宋_GB2312"/>
          <w:sz w:val="32"/>
          <w:szCs w:val="32"/>
        </w:rPr>
        <w:t>万元，主要包括：办公费、手续费、水费、电费、邮电费、差旅费、维修（护）费、公务接待费、劳务费、工会经费、福利费、公务用车运行维护费、其他交通费</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其他商品和服务支出等。</w:t>
      </w:r>
    </w:p>
    <w:p w14:paraId="1938BABD">
      <w:pPr>
        <w:spacing w:line="600" w:lineRule="exact"/>
        <w:ind w:firstLine="640"/>
        <w:outlineLvl w:val="1"/>
        <w:rPr>
          <w:rFonts w:hint="eastAsia" w:ascii="黑体" w:eastAsia="黑体"/>
          <w:sz w:val="32"/>
          <w:szCs w:val="32"/>
        </w:rPr>
      </w:pPr>
      <w:bookmarkStart w:id="36" w:name="_Toc15396609"/>
      <w:bookmarkStart w:id="37" w:name="_Toc15377215"/>
    </w:p>
    <w:p w14:paraId="66760A3E">
      <w:pPr>
        <w:spacing w:line="600" w:lineRule="exact"/>
        <w:ind w:firstLine="640"/>
        <w:outlineLvl w:val="1"/>
        <w:rPr>
          <w:rStyle w:val="25"/>
          <w:rFonts w:ascii="黑体" w:hAnsi="黑体" w:eastAsia="黑体"/>
          <w:b w:val="0"/>
        </w:rPr>
      </w:pPr>
      <w:r>
        <w:rPr>
          <w:rFonts w:hint="eastAsia" w:ascii="黑体" w:eastAsia="黑体"/>
          <w:sz w:val="32"/>
          <w:szCs w:val="32"/>
        </w:rPr>
        <w:t>七、</w:t>
      </w:r>
      <w:r>
        <w:rPr>
          <w:rStyle w:val="25"/>
          <w:rFonts w:hint="eastAsia" w:ascii="黑体" w:hAnsi="黑体" w:eastAsia="黑体"/>
        </w:rPr>
        <w:t>“</w:t>
      </w:r>
      <w:r>
        <w:rPr>
          <w:rStyle w:val="25"/>
          <w:rFonts w:hint="eastAsia" w:ascii="黑体" w:hAnsi="黑体" w:eastAsia="黑体"/>
          <w:b w:val="0"/>
        </w:rPr>
        <w:t>三公”经费财政拨款支出决算情况说明</w:t>
      </w:r>
      <w:bookmarkEnd w:id="36"/>
      <w:bookmarkEnd w:id="37"/>
    </w:p>
    <w:p w14:paraId="6BD6433F">
      <w:pPr>
        <w:spacing w:line="600" w:lineRule="exact"/>
        <w:ind w:firstLine="640"/>
        <w:outlineLvl w:val="2"/>
        <w:rPr>
          <w:rFonts w:ascii="楷体_GB2312" w:hAnsi="楷体_GB2312" w:eastAsia="楷体_GB2312" w:cs="楷体_GB2312"/>
          <w:bCs/>
          <w:sz w:val="32"/>
          <w:szCs w:val="32"/>
        </w:rPr>
      </w:pPr>
      <w:bookmarkStart w:id="38" w:name="_Toc15377216"/>
      <w:r>
        <w:rPr>
          <w:rFonts w:hint="eastAsia" w:ascii="楷体_GB2312" w:hAnsi="楷体_GB2312" w:eastAsia="楷体_GB2312" w:cs="楷体_GB2312"/>
          <w:bCs/>
          <w:sz w:val="32"/>
          <w:szCs w:val="32"/>
        </w:rPr>
        <w:t>（一）“三公”经费财政拨款支出决算总体情况说明</w:t>
      </w:r>
      <w:bookmarkEnd w:id="38"/>
    </w:p>
    <w:p w14:paraId="287C1256">
      <w:pPr>
        <w:spacing w:line="600" w:lineRule="exact"/>
        <w:ind w:firstLine="64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2021年“三公”经费财政拨款支出决算为</w:t>
      </w:r>
      <w:r>
        <w:rPr>
          <w:rFonts w:hint="eastAsia" w:ascii="仿宋_GB2312" w:hAnsi="仿宋_GB2312" w:eastAsia="仿宋_GB2312" w:cs="仿宋_GB2312"/>
          <w:sz w:val="32"/>
          <w:szCs w:val="32"/>
          <w:highlight w:val="none"/>
          <w:lang w:val="en-US" w:eastAsia="zh-CN"/>
        </w:rPr>
        <w:t>1.24</w:t>
      </w:r>
      <w:r>
        <w:rPr>
          <w:rFonts w:hint="eastAsia" w:ascii="仿宋_GB2312" w:hAnsi="仿宋_GB2312" w:eastAsia="仿宋_GB2312" w:cs="仿宋_GB2312"/>
          <w:sz w:val="32"/>
          <w:szCs w:val="32"/>
          <w:highlight w:val="none"/>
        </w:rPr>
        <w:t>万元，完成预算</w:t>
      </w:r>
      <w:r>
        <w:rPr>
          <w:rFonts w:hint="eastAsia" w:ascii="仿宋_GB2312" w:hAnsi="仿宋_GB2312" w:eastAsia="仿宋_GB2312" w:cs="仿宋_GB2312"/>
          <w:sz w:val="32"/>
          <w:szCs w:val="32"/>
          <w:highlight w:val="none"/>
          <w:lang w:val="en-US" w:eastAsia="zh-CN"/>
        </w:rPr>
        <w:t>100</w:t>
      </w:r>
      <w:r>
        <w:rPr>
          <w:rFonts w:hint="eastAsia" w:ascii="仿宋_GB2312" w:hAnsi="仿宋_GB2312" w:eastAsia="仿宋_GB2312" w:cs="仿宋_GB2312"/>
          <w:sz w:val="32"/>
          <w:szCs w:val="32"/>
          <w:highlight w:val="none"/>
        </w:rPr>
        <w:t>%。</w:t>
      </w:r>
    </w:p>
    <w:p w14:paraId="29E1C600">
      <w:pPr>
        <w:spacing w:line="600" w:lineRule="exact"/>
        <w:ind w:firstLine="640"/>
        <w:outlineLvl w:val="2"/>
        <w:rPr>
          <w:rFonts w:ascii="楷体_GB2312" w:hAnsi="楷体_GB2312" w:eastAsia="楷体_GB2312" w:cs="楷体_GB2312"/>
          <w:bCs/>
          <w:sz w:val="32"/>
          <w:szCs w:val="32"/>
        </w:rPr>
      </w:pPr>
      <w:bookmarkStart w:id="39" w:name="_Toc15377217"/>
      <w:r>
        <w:rPr>
          <w:rFonts w:hint="eastAsia" w:ascii="楷体_GB2312" w:hAnsi="楷体_GB2312" w:eastAsia="楷体_GB2312" w:cs="楷体_GB2312"/>
          <w:bCs/>
          <w:sz w:val="32"/>
          <w:szCs w:val="32"/>
        </w:rPr>
        <w:t>（二）“三公”经费财政拨款支出决算具体情况说明</w:t>
      </w:r>
      <w:bookmarkEnd w:id="39"/>
    </w:p>
    <w:p w14:paraId="3C36AA33">
      <w:pPr>
        <w:spacing w:line="6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2021年“三公”经费财政拨款支出决算中，因公出国（境）费支出决算</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%；公务用车购置及运行维护费支出决算</w:t>
      </w:r>
      <w:r>
        <w:rPr>
          <w:rFonts w:hint="eastAsia" w:ascii="仿宋_GB2312" w:hAnsi="仿宋_GB2312" w:eastAsia="仿宋_GB2312" w:cs="仿宋_GB2312"/>
          <w:sz w:val="32"/>
          <w:szCs w:val="32"/>
          <w:lang w:val="en-US" w:eastAsia="zh-CN"/>
        </w:rPr>
        <w:t>1.17</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94.4</w:t>
      </w:r>
      <w:r>
        <w:rPr>
          <w:rFonts w:hint="eastAsia" w:ascii="仿宋_GB2312" w:hAnsi="仿宋_GB2312" w:eastAsia="仿宋_GB2312" w:cs="仿宋_GB2312"/>
          <w:sz w:val="32"/>
          <w:szCs w:val="32"/>
        </w:rPr>
        <w:t>%；公务接待费支出决算</w:t>
      </w:r>
      <w:r>
        <w:rPr>
          <w:rFonts w:hint="eastAsia" w:ascii="仿宋_GB2312" w:hAnsi="仿宋_GB2312" w:eastAsia="仿宋_GB2312" w:cs="仿宋_GB2312"/>
          <w:sz w:val="32"/>
          <w:szCs w:val="32"/>
          <w:lang w:val="en-US" w:eastAsia="zh-CN"/>
        </w:rPr>
        <w:t>0.07</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5.6</w:t>
      </w:r>
      <w:r>
        <w:rPr>
          <w:rFonts w:hint="eastAsia" w:ascii="仿宋_GB2312" w:hAnsi="仿宋_GB2312" w:eastAsia="仿宋_GB2312" w:cs="仿宋_GB2312"/>
          <w:sz w:val="32"/>
          <w:szCs w:val="32"/>
        </w:rPr>
        <w:t>%。具体情况如下：</w:t>
      </w:r>
    </w:p>
    <w:p w14:paraId="475ECAC0">
      <w:pPr>
        <w:pStyle w:val="2"/>
        <w:jc w:val="center"/>
        <w:rPr>
          <w:rFonts w:hint="eastAsia" w:eastAsia="仿宋_GB2312"/>
          <w:lang w:eastAsia="zh-CN"/>
        </w:rPr>
      </w:pPr>
      <w:r>
        <w:rPr>
          <w:rFonts w:hint="eastAsia" w:eastAsia="仿宋_GB2312"/>
          <w:lang w:eastAsia="zh-CN"/>
        </w:rPr>
        <w:drawing>
          <wp:inline distT="0" distB="0" distL="114300" distR="114300">
            <wp:extent cx="4079875" cy="2276475"/>
            <wp:effectExtent l="4445" t="4445" r="11430" b="5080"/>
            <wp:docPr id="4" name="图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1D2E9ED4">
      <w:pPr>
        <w:spacing w:line="600" w:lineRule="exact"/>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图7：“三公”经费财政拨款支出结构</w:t>
      </w:r>
    </w:p>
    <w:p w14:paraId="6EA4205E">
      <w:pPr>
        <w:spacing w:line="600" w:lineRule="exact"/>
        <w:ind w:firstLine="64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1．因公出国（境）经费支出</w:t>
      </w:r>
      <w:r>
        <w:rPr>
          <w:rFonts w:hint="eastAsia" w:ascii="仿宋_GB2312" w:hAnsi="仿宋_GB2312" w:eastAsia="仿宋_GB2312" w:cs="仿宋_GB2312"/>
          <w:bCs/>
          <w:sz w:val="32"/>
          <w:szCs w:val="32"/>
          <w:lang w:val="en-US" w:eastAsia="zh-CN"/>
        </w:rPr>
        <w:t>0</w:t>
      </w:r>
      <w:r>
        <w:rPr>
          <w:rFonts w:hint="eastAsia" w:ascii="仿宋_GB2312" w:hAnsi="仿宋_GB2312" w:eastAsia="仿宋_GB2312" w:cs="仿宋_GB2312"/>
          <w:bCs/>
          <w:sz w:val="32"/>
          <w:szCs w:val="32"/>
        </w:rPr>
        <w:t>万元，</w:t>
      </w:r>
      <w:r>
        <w:rPr>
          <w:rStyle w:val="14"/>
          <w:rFonts w:hint="eastAsia" w:ascii="仿宋_GB2312" w:hAnsi="仿宋_GB2312" w:eastAsia="仿宋_GB2312" w:cs="仿宋_GB2312"/>
          <w:b w:val="0"/>
          <w:bCs/>
          <w:sz w:val="32"/>
          <w:szCs w:val="32"/>
        </w:rPr>
        <w:t>完成预算</w:t>
      </w:r>
      <w:r>
        <w:rPr>
          <w:rStyle w:val="14"/>
          <w:rFonts w:hint="eastAsia" w:ascii="仿宋_GB2312" w:hAnsi="仿宋_GB2312" w:eastAsia="仿宋_GB2312" w:cs="仿宋_GB2312"/>
          <w:b w:val="0"/>
          <w:bCs/>
          <w:sz w:val="32"/>
          <w:szCs w:val="32"/>
          <w:lang w:val="en-US" w:eastAsia="zh-CN"/>
        </w:rPr>
        <w:t>0</w:t>
      </w:r>
      <w:r>
        <w:rPr>
          <w:rStyle w:val="14"/>
          <w:rFonts w:hint="eastAsia" w:ascii="仿宋_GB2312" w:hAnsi="仿宋_GB2312" w:eastAsia="仿宋_GB2312" w:cs="仿宋_GB2312"/>
          <w:b w:val="0"/>
          <w:bCs/>
          <w:sz w:val="32"/>
          <w:szCs w:val="32"/>
        </w:rPr>
        <w:t>%。</w:t>
      </w:r>
      <w:r>
        <w:rPr>
          <w:rFonts w:hint="eastAsia" w:ascii="仿宋_GB2312" w:hAnsi="仿宋_GB2312" w:eastAsia="仿宋_GB2312" w:cs="仿宋_GB2312"/>
          <w:bCs/>
          <w:sz w:val="32"/>
          <w:szCs w:val="32"/>
        </w:rPr>
        <w:t>全年</w:t>
      </w:r>
      <w:r>
        <w:rPr>
          <w:rFonts w:hint="eastAsia" w:ascii="仿宋_GB2312" w:hAnsi="仿宋_GB2312" w:eastAsia="仿宋_GB2312" w:cs="仿宋_GB2312"/>
          <w:bCs/>
          <w:sz w:val="32"/>
          <w:szCs w:val="32"/>
          <w:lang w:val="en-US" w:eastAsia="zh-CN"/>
        </w:rPr>
        <w:t>未</w:t>
      </w:r>
      <w:r>
        <w:rPr>
          <w:rFonts w:hint="eastAsia" w:ascii="仿宋_GB2312" w:hAnsi="仿宋_GB2312" w:eastAsia="仿宋_GB2312" w:cs="仿宋_GB2312"/>
          <w:bCs/>
          <w:sz w:val="32"/>
          <w:szCs w:val="32"/>
        </w:rPr>
        <w:t>安排</w:t>
      </w:r>
      <w:r>
        <w:rPr>
          <w:rFonts w:hint="eastAsia" w:ascii="仿宋_GB2312" w:hAnsi="仿宋_GB2312" w:eastAsia="仿宋_GB2312" w:cs="仿宋_GB2312"/>
          <w:bCs/>
          <w:sz w:val="32"/>
          <w:szCs w:val="32"/>
          <w:lang w:val="en-US" w:eastAsia="zh-CN"/>
        </w:rPr>
        <w:t>人次</w:t>
      </w:r>
      <w:r>
        <w:rPr>
          <w:rFonts w:hint="eastAsia" w:ascii="仿宋_GB2312" w:hAnsi="仿宋_GB2312" w:eastAsia="仿宋_GB2312" w:cs="仿宋_GB2312"/>
          <w:bCs/>
          <w:sz w:val="32"/>
          <w:szCs w:val="32"/>
        </w:rPr>
        <w:t>。</w:t>
      </w:r>
    </w:p>
    <w:p w14:paraId="6E1F3219">
      <w:pPr>
        <w:spacing w:line="600" w:lineRule="exact"/>
        <w:ind w:firstLine="64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2．公务用车购置及运行维护费支出</w:t>
      </w:r>
      <w:r>
        <w:rPr>
          <w:rFonts w:hint="eastAsia" w:ascii="仿宋_GB2312" w:hAnsi="仿宋_GB2312" w:eastAsia="仿宋_GB2312" w:cs="仿宋_GB2312"/>
          <w:bCs/>
          <w:sz w:val="32"/>
          <w:szCs w:val="32"/>
          <w:lang w:val="en-US" w:eastAsia="zh-CN"/>
        </w:rPr>
        <w:t>1.17</w:t>
      </w:r>
      <w:r>
        <w:rPr>
          <w:rFonts w:hint="eastAsia" w:ascii="仿宋_GB2312" w:hAnsi="仿宋_GB2312" w:eastAsia="仿宋_GB2312" w:cs="仿宋_GB2312"/>
          <w:bCs/>
          <w:sz w:val="32"/>
          <w:szCs w:val="32"/>
        </w:rPr>
        <w:t>万元,</w:t>
      </w:r>
      <w:r>
        <w:rPr>
          <w:rStyle w:val="14"/>
          <w:rFonts w:hint="eastAsia" w:ascii="仿宋_GB2312" w:hAnsi="仿宋_GB2312" w:eastAsia="仿宋_GB2312" w:cs="仿宋_GB2312"/>
          <w:b w:val="0"/>
          <w:bCs/>
          <w:sz w:val="32"/>
          <w:szCs w:val="32"/>
        </w:rPr>
        <w:t>完成预算</w:t>
      </w:r>
      <w:r>
        <w:rPr>
          <w:rStyle w:val="14"/>
          <w:rFonts w:hint="eastAsia" w:ascii="仿宋_GB2312" w:hAnsi="仿宋_GB2312" w:eastAsia="仿宋_GB2312" w:cs="仿宋_GB2312"/>
          <w:b w:val="0"/>
          <w:bCs/>
          <w:sz w:val="32"/>
          <w:szCs w:val="32"/>
          <w:lang w:val="en-US" w:eastAsia="zh-CN"/>
        </w:rPr>
        <w:t>100</w:t>
      </w:r>
      <w:r>
        <w:rPr>
          <w:rStyle w:val="14"/>
          <w:rFonts w:hint="eastAsia" w:ascii="仿宋_GB2312" w:hAnsi="仿宋_GB2312" w:eastAsia="仿宋_GB2312" w:cs="仿宋_GB2312"/>
          <w:b w:val="0"/>
          <w:bCs/>
          <w:sz w:val="32"/>
          <w:szCs w:val="32"/>
        </w:rPr>
        <w:t>%。</w:t>
      </w:r>
      <w:r>
        <w:rPr>
          <w:rFonts w:hint="eastAsia" w:ascii="仿宋_GB2312" w:hAnsi="仿宋_GB2312" w:eastAsia="仿宋_GB2312" w:cs="仿宋_GB2312"/>
          <w:bCs/>
          <w:sz w:val="32"/>
          <w:szCs w:val="32"/>
        </w:rPr>
        <w:t>公务用车购置及运行维护费支出决算比2020年</w:t>
      </w:r>
      <w:r>
        <w:rPr>
          <w:rFonts w:hint="eastAsia" w:ascii="仿宋_GB2312" w:hAnsi="仿宋_GB2312" w:eastAsia="仿宋_GB2312" w:cs="仿宋_GB2312"/>
          <w:bCs/>
          <w:sz w:val="32"/>
          <w:szCs w:val="32"/>
          <w:lang w:val="en-US" w:eastAsia="zh-CN"/>
        </w:rPr>
        <w:t>减少1.77</w:t>
      </w:r>
      <w:r>
        <w:rPr>
          <w:rFonts w:hint="eastAsia" w:ascii="仿宋_GB2312" w:hAnsi="仿宋_GB2312" w:eastAsia="仿宋_GB2312" w:cs="仿宋_GB2312"/>
          <w:bCs/>
          <w:sz w:val="32"/>
          <w:szCs w:val="32"/>
        </w:rPr>
        <w:t>万元，</w:t>
      </w:r>
      <w:r>
        <w:rPr>
          <w:rFonts w:hint="eastAsia" w:ascii="仿宋_GB2312" w:hAnsi="仿宋_GB2312" w:eastAsia="仿宋_GB2312" w:cs="仿宋_GB2312"/>
          <w:bCs/>
          <w:sz w:val="32"/>
          <w:szCs w:val="32"/>
          <w:lang w:val="en-US" w:eastAsia="zh-CN"/>
        </w:rPr>
        <w:t>减少151</w:t>
      </w:r>
      <w:r>
        <w:rPr>
          <w:rFonts w:hint="eastAsia" w:ascii="仿宋_GB2312" w:hAnsi="仿宋_GB2312" w:eastAsia="仿宋_GB2312" w:cs="仿宋_GB2312"/>
          <w:bCs/>
          <w:sz w:val="32"/>
          <w:szCs w:val="32"/>
        </w:rPr>
        <w:t>%。主要原因是</w:t>
      </w:r>
      <w:r>
        <w:rPr>
          <w:rFonts w:hint="eastAsia" w:ascii="仿宋_GB2312" w:hAnsi="仿宋_GB2312" w:eastAsia="仿宋_GB2312" w:cs="仿宋_GB2312"/>
          <w:bCs/>
          <w:sz w:val="32"/>
          <w:szCs w:val="32"/>
          <w:lang w:val="en-US" w:eastAsia="zh-CN"/>
        </w:rPr>
        <w:t>2021年度部分公务用车资金未支付</w:t>
      </w:r>
      <w:r>
        <w:rPr>
          <w:rFonts w:hint="eastAsia" w:ascii="仿宋_GB2312" w:hAnsi="仿宋_GB2312" w:eastAsia="仿宋_GB2312" w:cs="仿宋_GB2312"/>
          <w:bCs/>
          <w:sz w:val="32"/>
          <w:szCs w:val="32"/>
        </w:rPr>
        <w:t>。</w:t>
      </w:r>
    </w:p>
    <w:p w14:paraId="23E83930">
      <w:pPr>
        <w:spacing w:line="600" w:lineRule="exact"/>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其中：公务用车运行维护费支出</w:t>
      </w:r>
      <w:r>
        <w:rPr>
          <w:rFonts w:hint="eastAsia" w:ascii="仿宋_GB2312" w:hAnsi="仿宋_GB2312" w:eastAsia="仿宋_GB2312" w:cs="仿宋_GB2312"/>
          <w:bCs/>
          <w:sz w:val="32"/>
          <w:szCs w:val="32"/>
          <w:lang w:val="en-US" w:eastAsia="zh-CN"/>
        </w:rPr>
        <w:t>1.17</w:t>
      </w:r>
      <w:r>
        <w:rPr>
          <w:rFonts w:hint="eastAsia" w:ascii="仿宋_GB2312" w:hAnsi="仿宋_GB2312" w:eastAsia="仿宋_GB2312" w:cs="仿宋_GB2312"/>
          <w:bCs/>
          <w:sz w:val="32"/>
          <w:szCs w:val="32"/>
        </w:rPr>
        <w:t>万元。主要用于</w:t>
      </w:r>
      <w:r>
        <w:rPr>
          <w:rFonts w:hint="eastAsia" w:ascii="仿宋_GB2312" w:hAnsi="仿宋_GB2312" w:eastAsia="仿宋_GB2312" w:cs="仿宋_GB2312"/>
          <w:bCs/>
          <w:sz w:val="32"/>
          <w:szCs w:val="32"/>
          <w:lang w:val="en-US" w:eastAsia="zh-CN"/>
        </w:rPr>
        <w:t>地震监测台站及宏观观测点巡查、科普宣传、地震演练</w:t>
      </w:r>
      <w:r>
        <w:rPr>
          <w:rFonts w:hint="eastAsia" w:ascii="仿宋_GB2312" w:hAnsi="仿宋_GB2312" w:eastAsia="仿宋_GB2312" w:cs="仿宋_GB2312"/>
          <w:bCs/>
          <w:sz w:val="32"/>
          <w:szCs w:val="32"/>
        </w:rPr>
        <w:t>等所需的公务用车燃料费、维修费、过路过桥费、保险费等支出。</w:t>
      </w:r>
    </w:p>
    <w:p w14:paraId="5E64BE08">
      <w:pPr>
        <w:spacing w:line="600" w:lineRule="exact"/>
        <w:ind w:firstLine="64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3．公务接待费支出</w:t>
      </w:r>
      <w:r>
        <w:rPr>
          <w:rFonts w:hint="eastAsia" w:ascii="仿宋_GB2312" w:hAnsi="仿宋_GB2312" w:eastAsia="仿宋_GB2312" w:cs="仿宋_GB2312"/>
          <w:bCs/>
          <w:sz w:val="32"/>
          <w:szCs w:val="32"/>
          <w:lang w:val="en-US" w:eastAsia="zh-CN"/>
        </w:rPr>
        <w:t>0.07</w:t>
      </w:r>
      <w:r>
        <w:rPr>
          <w:rFonts w:hint="eastAsia" w:ascii="仿宋_GB2312" w:hAnsi="仿宋_GB2312" w:eastAsia="仿宋_GB2312" w:cs="仿宋_GB2312"/>
          <w:bCs/>
          <w:sz w:val="32"/>
          <w:szCs w:val="32"/>
        </w:rPr>
        <w:t>万元，</w:t>
      </w:r>
      <w:r>
        <w:rPr>
          <w:rStyle w:val="14"/>
          <w:rFonts w:hint="eastAsia" w:ascii="仿宋_GB2312" w:hAnsi="仿宋_GB2312" w:eastAsia="仿宋_GB2312" w:cs="仿宋_GB2312"/>
          <w:b w:val="0"/>
          <w:bCs/>
          <w:sz w:val="32"/>
          <w:szCs w:val="32"/>
        </w:rPr>
        <w:t>完成预算</w:t>
      </w:r>
      <w:r>
        <w:rPr>
          <w:rStyle w:val="14"/>
          <w:rFonts w:hint="eastAsia" w:ascii="仿宋_GB2312" w:hAnsi="仿宋_GB2312" w:eastAsia="仿宋_GB2312" w:cs="仿宋_GB2312"/>
          <w:b w:val="0"/>
          <w:bCs/>
          <w:sz w:val="32"/>
          <w:szCs w:val="32"/>
          <w:lang w:val="en-US" w:eastAsia="zh-CN"/>
        </w:rPr>
        <w:t>70</w:t>
      </w:r>
      <w:r>
        <w:rPr>
          <w:rStyle w:val="14"/>
          <w:rFonts w:hint="eastAsia" w:ascii="仿宋_GB2312" w:hAnsi="仿宋_GB2312" w:eastAsia="仿宋_GB2312" w:cs="仿宋_GB2312"/>
          <w:b w:val="0"/>
          <w:bCs/>
          <w:sz w:val="32"/>
          <w:szCs w:val="32"/>
        </w:rPr>
        <w:t>%。</w:t>
      </w:r>
      <w:r>
        <w:rPr>
          <w:rFonts w:hint="eastAsia" w:ascii="仿宋_GB2312" w:hAnsi="仿宋_GB2312" w:eastAsia="仿宋_GB2312" w:cs="仿宋_GB2312"/>
          <w:bCs/>
          <w:sz w:val="32"/>
          <w:szCs w:val="32"/>
        </w:rPr>
        <w:t>公务接待费支出决算比2020年增加</w:t>
      </w:r>
      <w:r>
        <w:rPr>
          <w:rFonts w:hint="eastAsia" w:ascii="仿宋_GB2312" w:hAnsi="仿宋_GB2312" w:eastAsia="仿宋_GB2312" w:cs="仿宋_GB2312"/>
          <w:bCs/>
          <w:sz w:val="32"/>
          <w:szCs w:val="32"/>
          <w:lang w:val="en-US" w:eastAsia="zh-CN"/>
        </w:rPr>
        <w:t>0.07</w:t>
      </w:r>
      <w:r>
        <w:rPr>
          <w:rFonts w:hint="eastAsia" w:ascii="仿宋_GB2312" w:hAnsi="仿宋_GB2312" w:eastAsia="仿宋_GB2312" w:cs="仿宋_GB2312"/>
          <w:bCs/>
          <w:sz w:val="32"/>
          <w:szCs w:val="32"/>
        </w:rPr>
        <w:t>万元。主要原因是</w:t>
      </w:r>
      <w:r>
        <w:rPr>
          <w:rFonts w:hint="eastAsia" w:ascii="仿宋_GB2312" w:hAnsi="仿宋_GB2312" w:eastAsia="仿宋_GB2312" w:cs="仿宋_GB2312"/>
          <w:bCs/>
          <w:sz w:val="32"/>
          <w:szCs w:val="32"/>
          <w:lang w:val="en-US" w:eastAsia="zh-CN"/>
        </w:rPr>
        <w:t>关于地震宏观观测点等的乐山市、省地震局检查任务增加</w:t>
      </w:r>
      <w:r>
        <w:rPr>
          <w:rFonts w:hint="eastAsia" w:ascii="仿宋_GB2312" w:hAnsi="仿宋_GB2312" w:eastAsia="仿宋_GB2312" w:cs="仿宋_GB2312"/>
          <w:bCs/>
          <w:sz w:val="32"/>
          <w:szCs w:val="32"/>
        </w:rPr>
        <w:t>。其中：</w:t>
      </w:r>
    </w:p>
    <w:p w14:paraId="5A7AB23E">
      <w:pPr>
        <w:spacing w:line="600" w:lineRule="exact"/>
        <w:ind w:firstLine="640"/>
        <w:rPr>
          <w:rFonts w:ascii="仿宋_GB2312" w:hAnsi="仿宋_GB2312" w:eastAsia="仿宋_GB2312" w:cs="仿宋_GB2312"/>
          <w:bCs/>
          <w:sz w:val="32"/>
          <w:szCs w:val="32"/>
          <w:highlight w:val="none"/>
        </w:rPr>
      </w:pPr>
      <w:r>
        <w:rPr>
          <w:rFonts w:hint="eastAsia" w:ascii="仿宋_GB2312" w:hAnsi="仿宋_GB2312" w:eastAsia="仿宋_GB2312" w:cs="仿宋_GB2312"/>
          <w:bCs/>
          <w:sz w:val="32"/>
          <w:szCs w:val="32"/>
          <w:highlight w:val="none"/>
        </w:rPr>
        <w:t>国内公务接待支出</w:t>
      </w:r>
      <w:r>
        <w:rPr>
          <w:rFonts w:hint="eastAsia" w:ascii="仿宋_GB2312" w:hAnsi="仿宋_GB2312" w:eastAsia="仿宋_GB2312" w:cs="仿宋_GB2312"/>
          <w:bCs/>
          <w:sz w:val="32"/>
          <w:szCs w:val="32"/>
          <w:highlight w:val="none"/>
          <w:lang w:val="en-US" w:eastAsia="zh-CN"/>
        </w:rPr>
        <w:t>0.07</w:t>
      </w:r>
      <w:r>
        <w:rPr>
          <w:rFonts w:hint="eastAsia" w:ascii="仿宋_GB2312" w:hAnsi="仿宋_GB2312" w:eastAsia="仿宋_GB2312" w:cs="仿宋_GB2312"/>
          <w:bCs/>
          <w:sz w:val="32"/>
          <w:szCs w:val="32"/>
          <w:highlight w:val="none"/>
        </w:rPr>
        <w:t>万元，主要用于执行公务、开展业务活动开支的交通费、住宿费、用餐费等。国内公务接待</w:t>
      </w:r>
      <w:r>
        <w:rPr>
          <w:rFonts w:hint="eastAsia" w:ascii="仿宋_GB2312" w:hAnsi="仿宋_GB2312" w:eastAsia="仿宋_GB2312" w:cs="仿宋_GB2312"/>
          <w:bCs/>
          <w:sz w:val="32"/>
          <w:szCs w:val="32"/>
          <w:highlight w:val="none"/>
          <w:lang w:val="en-US" w:eastAsia="zh-CN"/>
        </w:rPr>
        <w:t>1</w:t>
      </w:r>
      <w:r>
        <w:rPr>
          <w:rFonts w:hint="eastAsia" w:ascii="仿宋_GB2312" w:hAnsi="仿宋_GB2312" w:eastAsia="仿宋_GB2312" w:cs="仿宋_GB2312"/>
          <w:bCs/>
          <w:sz w:val="32"/>
          <w:szCs w:val="32"/>
          <w:highlight w:val="none"/>
        </w:rPr>
        <w:t>批次，</w:t>
      </w:r>
      <w:r>
        <w:rPr>
          <w:rFonts w:hint="eastAsia" w:ascii="仿宋_GB2312" w:hAnsi="仿宋_GB2312" w:eastAsia="仿宋_GB2312" w:cs="仿宋_GB2312"/>
          <w:bCs/>
          <w:sz w:val="32"/>
          <w:szCs w:val="32"/>
          <w:highlight w:val="none"/>
          <w:lang w:val="en-US" w:eastAsia="zh-CN"/>
        </w:rPr>
        <w:t>7</w:t>
      </w:r>
      <w:r>
        <w:rPr>
          <w:rFonts w:hint="eastAsia" w:ascii="仿宋_GB2312" w:hAnsi="仿宋_GB2312" w:eastAsia="仿宋_GB2312" w:cs="仿宋_GB2312"/>
          <w:bCs/>
          <w:sz w:val="32"/>
          <w:szCs w:val="32"/>
          <w:highlight w:val="none"/>
        </w:rPr>
        <w:t>人次（不包括陪同人员），共计支出</w:t>
      </w:r>
      <w:r>
        <w:rPr>
          <w:rFonts w:hint="eastAsia" w:ascii="仿宋_GB2312" w:hAnsi="仿宋_GB2312" w:eastAsia="仿宋_GB2312" w:cs="仿宋_GB2312"/>
          <w:bCs/>
          <w:sz w:val="32"/>
          <w:szCs w:val="32"/>
          <w:highlight w:val="none"/>
          <w:lang w:val="en-US" w:eastAsia="zh-CN"/>
        </w:rPr>
        <w:t>0.07</w:t>
      </w:r>
      <w:r>
        <w:rPr>
          <w:rFonts w:hint="eastAsia" w:ascii="仿宋_GB2312" w:hAnsi="仿宋_GB2312" w:eastAsia="仿宋_GB2312" w:cs="仿宋_GB2312"/>
          <w:bCs/>
          <w:sz w:val="32"/>
          <w:szCs w:val="32"/>
          <w:highlight w:val="none"/>
        </w:rPr>
        <w:t>万元，具体内容包括：</w:t>
      </w:r>
      <w:r>
        <w:rPr>
          <w:rFonts w:hint="eastAsia" w:ascii="仿宋_GB2312" w:hAnsi="仿宋_GB2312" w:eastAsia="仿宋_GB2312" w:cs="仿宋_GB2312"/>
          <w:bCs/>
          <w:sz w:val="32"/>
          <w:szCs w:val="32"/>
          <w:highlight w:val="none"/>
          <w:lang w:val="en-US" w:eastAsia="zh-CN"/>
        </w:rPr>
        <w:t>用餐费</w:t>
      </w:r>
      <w:r>
        <w:rPr>
          <w:rFonts w:hint="eastAsia" w:ascii="仿宋_GB2312" w:hAnsi="仿宋_GB2312" w:eastAsia="仿宋_GB2312" w:cs="仿宋_GB2312"/>
          <w:bCs/>
          <w:sz w:val="32"/>
          <w:szCs w:val="32"/>
          <w:highlight w:val="none"/>
        </w:rPr>
        <w:t>。</w:t>
      </w:r>
    </w:p>
    <w:p w14:paraId="6EAA11EA">
      <w:pPr>
        <w:spacing w:line="600" w:lineRule="exact"/>
        <w:ind w:firstLine="640"/>
        <w:outlineLvl w:val="1"/>
        <w:rPr>
          <w:rFonts w:hint="eastAsia" w:ascii="黑体" w:eastAsia="黑体"/>
          <w:sz w:val="32"/>
          <w:szCs w:val="32"/>
        </w:rPr>
      </w:pPr>
      <w:bookmarkStart w:id="40" w:name="_Toc15377218"/>
      <w:bookmarkStart w:id="41" w:name="_Toc15396610"/>
    </w:p>
    <w:p w14:paraId="4CC9D458">
      <w:pPr>
        <w:spacing w:line="600" w:lineRule="exact"/>
        <w:ind w:firstLine="640"/>
        <w:outlineLvl w:val="1"/>
        <w:rPr>
          <w:rStyle w:val="25"/>
          <w:rFonts w:ascii="黑体" w:hAnsi="黑体" w:eastAsia="黑体"/>
        </w:rPr>
      </w:pPr>
      <w:r>
        <w:rPr>
          <w:rFonts w:hint="eastAsia" w:ascii="黑体" w:eastAsia="黑体"/>
          <w:sz w:val="32"/>
          <w:szCs w:val="32"/>
        </w:rPr>
        <w:t>八、</w:t>
      </w:r>
      <w:r>
        <w:rPr>
          <w:rStyle w:val="25"/>
          <w:rFonts w:hint="eastAsia" w:ascii="黑体" w:hAnsi="黑体" w:eastAsia="黑体"/>
          <w:b w:val="0"/>
        </w:rPr>
        <w:t>政府性基金预算支出决算情况说明</w:t>
      </w:r>
      <w:bookmarkEnd w:id="40"/>
      <w:bookmarkEnd w:id="41"/>
    </w:p>
    <w:p w14:paraId="52B55CEA">
      <w:pPr>
        <w:spacing w:line="600" w:lineRule="exact"/>
        <w:ind w:firstLine="640"/>
        <w:rPr>
          <w:rFonts w:ascii="仿宋_GB2312" w:eastAsia="仿宋_GB2312"/>
          <w:sz w:val="32"/>
          <w:szCs w:val="32"/>
        </w:rPr>
      </w:pPr>
      <w:r>
        <w:rPr>
          <w:rFonts w:ascii="仿宋_GB2312" w:eastAsia="仿宋_GB2312"/>
          <w:sz w:val="32"/>
          <w:szCs w:val="32"/>
        </w:rPr>
        <w:t>20</w:t>
      </w:r>
      <w:r>
        <w:rPr>
          <w:rFonts w:hint="eastAsia" w:ascii="仿宋_GB2312" w:eastAsia="仿宋_GB2312"/>
          <w:sz w:val="32"/>
          <w:szCs w:val="32"/>
        </w:rPr>
        <w:t>21年政府性基金预算财政拨款支出</w:t>
      </w:r>
      <w:r>
        <w:rPr>
          <w:rFonts w:hint="eastAsia" w:ascii="仿宋_GB2312" w:eastAsia="仿宋_GB2312"/>
          <w:sz w:val="32"/>
          <w:szCs w:val="32"/>
          <w:lang w:val="en-US" w:eastAsia="zh-CN"/>
        </w:rPr>
        <w:t>0</w:t>
      </w:r>
      <w:r>
        <w:rPr>
          <w:rFonts w:hint="eastAsia" w:ascii="仿宋_GB2312" w:eastAsia="仿宋_GB2312"/>
          <w:sz w:val="32"/>
          <w:szCs w:val="32"/>
        </w:rPr>
        <w:t>万元。</w:t>
      </w:r>
    </w:p>
    <w:p w14:paraId="407D850A">
      <w:pPr>
        <w:spacing w:line="600" w:lineRule="exact"/>
        <w:ind w:firstLine="640"/>
        <w:rPr>
          <w:rFonts w:ascii="仿宋_GB2312" w:eastAsia="仿宋_GB2312"/>
          <w:sz w:val="32"/>
          <w:szCs w:val="32"/>
        </w:rPr>
      </w:pPr>
    </w:p>
    <w:p w14:paraId="0AF895B2">
      <w:pPr>
        <w:numPr>
          <w:ilvl w:val="0"/>
          <w:numId w:val="1"/>
        </w:numPr>
        <w:spacing w:line="600" w:lineRule="exact"/>
        <w:ind w:firstLine="640"/>
        <w:outlineLvl w:val="1"/>
        <w:rPr>
          <w:rStyle w:val="25"/>
          <w:rFonts w:ascii="黑体" w:hAnsi="黑体" w:eastAsia="黑体"/>
          <w:b w:val="0"/>
        </w:rPr>
      </w:pPr>
      <w:bookmarkStart w:id="42" w:name="_Toc15396611"/>
      <w:bookmarkStart w:id="43" w:name="_Toc15377219"/>
      <w:r>
        <w:rPr>
          <w:rStyle w:val="25"/>
          <w:rFonts w:hint="eastAsia" w:ascii="黑体" w:hAnsi="黑体" w:eastAsia="黑体"/>
          <w:b w:val="0"/>
        </w:rPr>
        <w:t>国有资本经营预算支出决算情况说明</w:t>
      </w:r>
      <w:bookmarkEnd w:id="42"/>
      <w:bookmarkEnd w:id="43"/>
    </w:p>
    <w:p w14:paraId="5DE1F27D">
      <w:pPr>
        <w:spacing w:line="600" w:lineRule="exact"/>
        <w:ind w:firstLine="640"/>
        <w:rPr>
          <w:rFonts w:ascii="仿宋_GB2312" w:eastAsia="仿宋_GB2312"/>
          <w:sz w:val="32"/>
          <w:szCs w:val="32"/>
        </w:rPr>
      </w:pPr>
      <w:r>
        <w:rPr>
          <w:rFonts w:ascii="仿宋_GB2312" w:eastAsia="仿宋_GB2312"/>
          <w:sz w:val="32"/>
          <w:szCs w:val="32"/>
        </w:rPr>
        <w:t>20</w:t>
      </w:r>
      <w:r>
        <w:rPr>
          <w:rFonts w:hint="eastAsia" w:ascii="仿宋_GB2312" w:eastAsia="仿宋_GB2312"/>
          <w:sz w:val="32"/>
          <w:szCs w:val="32"/>
        </w:rPr>
        <w:t>21年国有资本经营预算财政拨款支出</w:t>
      </w:r>
      <w:r>
        <w:rPr>
          <w:rFonts w:hint="eastAsia" w:ascii="仿宋_GB2312" w:eastAsia="仿宋_GB2312"/>
          <w:sz w:val="32"/>
          <w:szCs w:val="32"/>
          <w:lang w:val="en-US" w:eastAsia="zh-CN"/>
        </w:rPr>
        <w:t>0</w:t>
      </w:r>
      <w:r>
        <w:rPr>
          <w:rFonts w:hint="eastAsia" w:ascii="仿宋_GB2312" w:eastAsia="仿宋_GB2312"/>
          <w:sz w:val="32"/>
          <w:szCs w:val="32"/>
        </w:rPr>
        <w:t>万元。</w:t>
      </w:r>
    </w:p>
    <w:p w14:paraId="2951BB84">
      <w:pPr>
        <w:spacing w:line="600" w:lineRule="exact"/>
        <w:jc w:val="center"/>
        <w:rPr>
          <w:rFonts w:ascii="方正小标宋简体" w:hAnsi="方正小标宋简体" w:eastAsia="方正小标宋简体" w:cs="方正小标宋简体"/>
          <w:sz w:val="44"/>
          <w:szCs w:val="44"/>
        </w:rPr>
      </w:pPr>
    </w:p>
    <w:p w14:paraId="731EC93C">
      <w:pPr>
        <w:numPr>
          <w:ilvl w:val="0"/>
          <w:numId w:val="1"/>
        </w:numPr>
        <w:spacing w:line="600" w:lineRule="exact"/>
        <w:ind w:firstLine="640"/>
        <w:outlineLvl w:val="1"/>
        <w:rPr>
          <w:rStyle w:val="25"/>
          <w:rFonts w:ascii="黑体" w:hAnsi="黑体" w:eastAsia="黑体"/>
          <w:b w:val="0"/>
        </w:rPr>
      </w:pPr>
      <w:bookmarkStart w:id="44" w:name="_Toc15396612"/>
      <w:bookmarkStart w:id="45" w:name="_Toc15377221"/>
      <w:r>
        <w:rPr>
          <w:rStyle w:val="25"/>
          <w:rFonts w:hint="eastAsia" w:ascii="黑体" w:hAnsi="黑体" w:eastAsia="黑体"/>
          <w:b w:val="0"/>
        </w:rPr>
        <w:t>其他重要事项的情况说明</w:t>
      </w:r>
      <w:bookmarkEnd w:id="44"/>
      <w:bookmarkEnd w:id="45"/>
    </w:p>
    <w:p w14:paraId="53FA6C02">
      <w:pPr>
        <w:spacing w:line="600" w:lineRule="exact"/>
        <w:ind w:firstLine="640" w:firstLineChars="200"/>
        <w:outlineLvl w:val="2"/>
        <w:rPr>
          <w:rFonts w:ascii="楷体_GB2312" w:hAnsi="楷体_GB2312" w:eastAsia="楷体_GB2312" w:cs="楷体_GB2312"/>
          <w:bCs/>
          <w:sz w:val="32"/>
          <w:szCs w:val="32"/>
          <w:highlight w:val="none"/>
        </w:rPr>
      </w:pPr>
      <w:bookmarkStart w:id="46" w:name="_Toc15377222"/>
      <w:r>
        <w:rPr>
          <w:rFonts w:hint="eastAsia" w:ascii="楷体_GB2312" w:hAnsi="楷体_GB2312" w:eastAsia="楷体_GB2312" w:cs="楷体_GB2312"/>
          <w:bCs/>
          <w:sz w:val="32"/>
          <w:szCs w:val="32"/>
          <w:highlight w:val="none"/>
        </w:rPr>
        <w:t>（一）机关运行经费支出情况</w:t>
      </w:r>
      <w:bookmarkEnd w:id="46"/>
    </w:p>
    <w:p w14:paraId="6F026D94">
      <w:pPr>
        <w:spacing w:line="600" w:lineRule="exact"/>
        <w:ind w:firstLine="640" w:firstLineChars="20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2021年，</w:t>
      </w:r>
      <w:r>
        <w:rPr>
          <w:rFonts w:hint="eastAsia" w:ascii="仿宋_GB2312" w:hAnsi="仿宋_GB2312" w:eastAsia="仿宋_GB2312" w:cs="仿宋_GB2312"/>
          <w:sz w:val="32"/>
          <w:szCs w:val="32"/>
          <w:highlight w:val="none"/>
          <w:lang w:val="en-US" w:eastAsia="zh-CN"/>
        </w:rPr>
        <w:t>峨眉山市防震减灾服务中心</w:t>
      </w:r>
      <w:r>
        <w:rPr>
          <w:rFonts w:hint="eastAsia" w:ascii="仿宋_GB2312" w:hAnsi="仿宋_GB2312" w:eastAsia="仿宋_GB2312" w:cs="仿宋_GB2312"/>
          <w:sz w:val="32"/>
          <w:szCs w:val="32"/>
          <w:highlight w:val="none"/>
        </w:rPr>
        <w:t>机关运行经费支出</w:t>
      </w:r>
      <w:r>
        <w:rPr>
          <w:rFonts w:hint="eastAsia" w:ascii="仿宋_GB2312" w:hAnsi="仿宋_GB2312" w:eastAsia="仿宋_GB2312" w:cs="仿宋_GB2312"/>
          <w:sz w:val="32"/>
          <w:szCs w:val="32"/>
          <w:highlight w:val="none"/>
          <w:lang w:val="en-US" w:eastAsia="zh-CN"/>
        </w:rPr>
        <w:t>68.29</w:t>
      </w:r>
      <w:r>
        <w:rPr>
          <w:rFonts w:hint="eastAsia" w:ascii="仿宋_GB2312" w:hAnsi="仿宋_GB2312" w:eastAsia="仿宋_GB2312" w:cs="仿宋_GB2312"/>
          <w:sz w:val="32"/>
          <w:szCs w:val="32"/>
          <w:highlight w:val="none"/>
        </w:rPr>
        <w:t>万元，比2020年增加</w:t>
      </w:r>
      <w:r>
        <w:rPr>
          <w:rFonts w:hint="eastAsia" w:ascii="仿宋_GB2312" w:hAnsi="仿宋_GB2312" w:eastAsia="仿宋_GB2312" w:cs="仿宋_GB2312"/>
          <w:sz w:val="32"/>
          <w:szCs w:val="32"/>
          <w:highlight w:val="none"/>
          <w:lang w:val="en-US" w:eastAsia="zh-CN"/>
        </w:rPr>
        <w:t>8.3</w:t>
      </w:r>
      <w:r>
        <w:rPr>
          <w:rFonts w:hint="eastAsia" w:ascii="仿宋_GB2312" w:hAnsi="仿宋_GB2312" w:eastAsia="仿宋_GB2312" w:cs="仿宋_GB2312"/>
          <w:sz w:val="32"/>
          <w:szCs w:val="32"/>
          <w:highlight w:val="none"/>
        </w:rPr>
        <w:t>万元，增长</w:t>
      </w:r>
      <w:r>
        <w:rPr>
          <w:rFonts w:hint="eastAsia" w:ascii="仿宋_GB2312" w:hAnsi="仿宋_GB2312" w:eastAsia="仿宋_GB2312" w:cs="仿宋_GB2312"/>
          <w:sz w:val="32"/>
          <w:szCs w:val="32"/>
          <w:highlight w:val="none"/>
          <w:lang w:val="en-US" w:eastAsia="zh-CN"/>
        </w:rPr>
        <w:t>13.8</w:t>
      </w:r>
      <w:r>
        <w:rPr>
          <w:rFonts w:hint="eastAsia" w:ascii="仿宋_GB2312" w:hAnsi="仿宋_GB2312" w:eastAsia="仿宋_GB2312" w:cs="仿宋_GB2312"/>
          <w:sz w:val="32"/>
          <w:szCs w:val="32"/>
          <w:highlight w:val="none"/>
        </w:rPr>
        <w:t>%。主要原因是</w:t>
      </w:r>
      <w:r>
        <w:rPr>
          <w:rStyle w:val="14"/>
          <w:rFonts w:hint="eastAsia" w:ascii="仿宋_GB2312" w:hAnsi="仿宋_GB2312" w:eastAsia="仿宋_GB2312" w:cs="仿宋_GB2312"/>
          <w:b w:val="0"/>
          <w:bCs/>
          <w:sz w:val="32"/>
          <w:szCs w:val="32"/>
          <w:highlight w:val="none"/>
          <w:lang w:val="en-US" w:eastAsia="zh-CN"/>
        </w:rPr>
        <w:t>2021年新</w:t>
      </w:r>
      <w:r>
        <w:rPr>
          <w:rFonts w:hint="eastAsia" w:ascii="仿宋_GB2312" w:hAnsi="仿宋_GB2312" w:eastAsia="仿宋_GB2312" w:cs="仿宋_GB2312"/>
          <w:sz w:val="32"/>
          <w:szCs w:val="32"/>
          <w:highlight w:val="none"/>
          <w:lang w:val="en-US" w:eastAsia="zh-CN"/>
        </w:rPr>
        <w:t>进1名工作人员。</w:t>
      </w:r>
    </w:p>
    <w:p w14:paraId="0EAAB5C0">
      <w:pPr>
        <w:autoSpaceDE w:val="0"/>
        <w:autoSpaceDN w:val="0"/>
        <w:adjustRightInd w:val="0"/>
        <w:spacing w:line="600" w:lineRule="exact"/>
        <w:ind w:firstLine="640" w:firstLineChars="200"/>
        <w:jc w:val="left"/>
        <w:outlineLvl w:val="2"/>
        <w:rPr>
          <w:rFonts w:ascii="楷体_GB2312" w:hAnsi="楷体_GB2312" w:eastAsia="楷体_GB2312" w:cs="楷体_GB2312"/>
          <w:bCs/>
          <w:sz w:val="32"/>
          <w:szCs w:val="32"/>
        </w:rPr>
      </w:pPr>
      <w:bookmarkStart w:id="47" w:name="_Toc15377223"/>
      <w:r>
        <w:rPr>
          <w:rFonts w:hint="eastAsia" w:ascii="楷体_GB2312" w:hAnsi="楷体_GB2312" w:eastAsia="楷体_GB2312" w:cs="楷体_GB2312"/>
          <w:bCs/>
          <w:sz w:val="32"/>
          <w:szCs w:val="32"/>
        </w:rPr>
        <w:t>（二）政府采购支出情况</w:t>
      </w:r>
      <w:bookmarkEnd w:id="47"/>
    </w:p>
    <w:p w14:paraId="551E9779">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2021年，政府采购支出总额</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w:t>
      </w:r>
    </w:p>
    <w:p w14:paraId="4CEC1D4D">
      <w:pPr>
        <w:autoSpaceDE w:val="0"/>
        <w:autoSpaceDN w:val="0"/>
        <w:adjustRightInd w:val="0"/>
        <w:spacing w:line="600" w:lineRule="exact"/>
        <w:ind w:firstLine="640" w:firstLineChars="200"/>
        <w:jc w:val="left"/>
        <w:outlineLvl w:val="2"/>
        <w:rPr>
          <w:rFonts w:ascii="楷体_GB2312" w:hAnsi="楷体_GB2312" w:eastAsia="楷体_GB2312" w:cs="楷体_GB2312"/>
          <w:bCs/>
          <w:sz w:val="32"/>
          <w:szCs w:val="32"/>
        </w:rPr>
      </w:pPr>
      <w:bookmarkStart w:id="48" w:name="_Toc15377224"/>
      <w:r>
        <w:rPr>
          <w:rFonts w:hint="eastAsia" w:ascii="楷体_GB2312" w:hAnsi="楷体_GB2312" w:eastAsia="楷体_GB2312" w:cs="楷体_GB2312"/>
          <w:bCs/>
          <w:sz w:val="32"/>
          <w:szCs w:val="32"/>
        </w:rPr>
        <w:t>（三）国有资产占有使用情况</w:t>
      </w:r>
      <w:bookmarkEnd w:id="48"/>
    </w:p>
    <w:p w14:paraId="2C275041">
      <w:pPr>
        <w:autoSpaceDE w:val="0"/>
        <w:autoSpaceDN w:val="0"/>
        <w:adjustRightInd w:val="0"/>
        <w:spacing w:line="60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截至2021年12月31日，共有车辆</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辆，</w:t>
      </w:r>
      <w:r>
        <w:rPr>
          <w:rFonts w:hint="eastAsia" w:ascii="仿宋_GB2312" w:hAnsi="仿宋_GB2312" w:eastAsia="仿宋_GB2312" w:cs="仿宋_GB2312"/>
          <w:sz w:val="32"/>
          <w:szCs w:val="32"/>
          <w:lang w:val="en-US" w:eastAsia="zh-CN"/>
        </w:rPr>
        <w:t>车辆</w:t>
      </w:r>
      <w:r>
        <w:rPr>
          <w:rFonts w:hint="eastAsia" w:ascii="仿宋_GB2312" w:hAnsi="仿宋_GB2312" w:eastAsia="仿宋_GB2312" w:cs="仿宋_GB2312"/>
          <w:sz w:val="32"/>
          <w:szCs w:val="32"/>
        </w:rPr>
        <w:t>主要是用于</w:t>
      </w:r>
      <w:r>
        <w:rPr>
          <w:rFonts w:hint="eastAsia" w:ascii="仿宋_GB2312" w:hAnsi="仿宋_GB2312" w:eastAsia="仿宋_GB2312" w:cs="仿宋_GB2312"/>
          <w:sz w:val="32"/>
          <w:szCs w:val="32"/>
          <w:lang w:val="en-US" w:eastAsia="zh-CN"/>
        </w:rPr>
        <w:t>地震监测台站及宏观观测点巡查、科普宣传、地震演练等</w:t>
      </w:r>
      <w:r>
        <w:rPr>
          <w:rFonts w:hint="eastAsia" w:ascii="仿宋_GB2312" w:hAnsi="仿宋_GB2312" w:eastAsia="仿宋_GB2312" w:cs="仿宋_GB2312"/>
          <w:sz w:val="32"/>
          <w:szCs w:val="32"/>
        </w:rPr>
        <w:t>。</w:t>
      </w:r>
    </w:p>
    <w:p w14:paraId="0F48195E">
      <w:pPr>
        <w:autoSpaceDE w:val="0"/>
        <w:autoSpaceDN w:val="0"/>
        <w:adjustRightInd w:val="0"/>
        <w:spacing w:line="600" w:lineRule="exact"/>
        <w:ind w:firstLine="640" w:firstLineChars="200"/>
        <w:jc w:val="left"/>
        <w:outlineLvl w:val="2"/>
        <w:rPr>
          <w:rFonts w:ascii="楷体_GB2312" w:hAnsi="楷体_GB2312" w:eastAsia="楷体_GB2312" w:cs="楷体_GB2312"/>
          <w:bCs/>
          <w:sz w:val="32"/>
          <w:szCs w:val="32"/>
        </w:rPr>
      </w:pPr>
      <w:r>
        <w:rPr>
          <w:rFonts w:hint="eastAsia" w:ascii="楷体_GB2312" w:hAnsi="楷体_GB2312" w:eastAsia="楷体_GB2312" w:cs="楷体_GB2312"/>
          <w:bCs/>
          <w:sz w:val="32"/>
          <w:szCs w:val="32"/>
        </w:rPr>
        <w:t>（四）预算绩效管理情况</w:t>
      </w:r>
    </w:p>
    <w:p w14:paraId="75ABAA85">
      <w:pPr>
        <w:autoSpaceDE w:val="0"/>
        <w:autoSpaceDN w:val="0"/>
        <w:adjustRightInd w:val="0"/>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根据预算绩效管理要求，本单位在2021年度预算编制阶段，组织对</w:t>
      </w:r>
      <w:r>
        <w:rPr>
          <w:rFonts w:hint="eastAsia" w:ascii="仿宋_GB2312" w:hAnsi="仿宋_GB2312" w:eastAsia="仿宋_GB2312" w:cs="仿宋_GB2312"/>
          <w:sz w:val="32"/>
          <w:szCs w:val="32"/>
          <w:lang w:val="en-US" w:eastAsia="zh-CN"/>
        </w:rPr>
        <w:t>防震</w:t>
      </w:r>
      <w:r>
        <w:rPr>
          <w:rFonts w:hint="eastAsia" w:ascii="仿宋_GB2312" w:hAnsi="仿宋_GB2312" w:eastAsia="仿宋_GB2312" w:cs="仿宋_GB2312"/>
          <w:sz w:val="32"/>
          <w:szCs w:val="32"/>
        </w:rPr>
        <w:t>减灾综合应急实战演练项目（项目名称）开展了预算事前绩效评估，对</w:t>
      </w:r>
      <w:r>
        <w:rPr>
          <w:rFonts w:hint="eastAsia" w:ascii="仿宋_GB2312" w:hAnsi="仿宋_GB2312" w:eastAsia="仿宋_GB2312" w:cs="仿宋_GB2312"/>
          <w:sz w:val="32"/>
          <w:szCs w:val="32"/>
          <w:lang w:val="en-US" w:eastAsia="zh-CN"/>
        </w:rPr>
        <w:t>该项目</w:t>
      </w:r>
      <w:r>
        <w:rPr>
          <w:rFonts w:hint="eastAsia" w:ascii="仿宋_GB2312" w:hAnsi="仿宋_GB2312" w:eastAsia="仿宋_GB2312" w:cs="仿宋_GB2312"/>
          <w:sz w:val="32"/>
          <w:szCs w:val="32"/>
        </w:rPr>
        <w:t>编制了绩效目标，预算执行过程中，选取</w:t>
      </w:r>
      <w:r>
        <w:rPr>
          <w:rFonts w:hint="eastAsia" w:ascii="仿宋_GB2312" w:hAnsi="仿宋_GB2312" w:eastAsia="仿宋_GB2312" w:cs="仿宋_GB2312"/>
          <w:sz w:val="32"/>
          <w:szCs w:val="32"/>
          <w:lang w:val="en-US" w:eastAsia="zh-CN"/>
        </w:rPr>
        <w:t>该</w:t>
      </w:r>
      <w:r>
        <w:rPr>
          <w:rFonts w:hint="eastAsia" w:ascii="仿宋_GB2312" w:hAnsi="仿宋_GB2312" w:eastAsia="仿宋_GB2312" w:cs="仿宋_GB2312"/>
          <w:sz w:val="32"/>
          <w:szCs w:val="32"/>
        </w:rPr>
        <w:t>项目开展绩效监控，年终执行完毕后，对</w:t>
      </w:r>
      <w:r>
        <w:rPr>
          <w:rFonts w:hint="eastAsia" w:ascii="仿宋_GB2312" w:hAnsi="仿宋_GB2312" w:eastAsia="仿宋_GB2312" w:cs="仿宋_GB2312"/>
          <w:sz w:val="32"/>
          <w:szCs w:val="32"/>
          <w:lang w:val="en-US" w:eastAsia="zh-CN"/>
        </w:rPr>
        <w:t>该</w:t>
      </w:r>
      <w:r>
        <w:rPr>
          <w:rFonts w:hint="eastAsia" w:ascii="仿宋_GB2312" w:hAnsi="仿宋_GB2312" w:eastAsia="仿宋_GB2312" w:cs="仿宋_GB2312"/>
          <w:sz w:val="32"/>
          <w:szCs w:val="32"/>
        </w:rPr>
        <w:t>项目开展了绩效自评</w:t>
      </w:r>
      <w:r>
        <w:rPr>
          <w:rFonts w:hint="eastAsia" w:ascii="仿宋_GB2312" w:hAnsi="仿宋_GB2312" w:eastAsia="仿宋_GB2312" w:cs="仿宋_GB2312"/>
          <w:sz w:val="32"/>
          <w:szCs w:val="32"/>
          <w:lang w:val="en-US" w:eastAsia="zh-CN"/>
        </w:rPr>
        <w:t>。</w:t>
      </w:r>
    </w:p>
    <w:p w14:paraId="39A5A980">
      <w:pPr>
        <w:pStyle w:val="2"/>
        <w:spacing w:before="93" w:line="600" w:lineRule="exact"/>
        <w:rPr>
          <w:rFonts w:hAnsi="仿宋_GB2312" w:cs="仿宋_GB2312"/>
          <w:sz w:val="32"/>
          <w:szCs w:val="32"/>
          <w:highlight w:val="yellow"/>
        </w:rPr>
      </w:pPr>
    </w:p>
    <w:p w14:paraId="7B974C04">
      <w:pPr>
        <w:widowControl/>
        <w:spacing w:line="600" w:lineRule="exact"/>
        <w:jc w:val="left"/>
        <w:rPr>
          <w:rFonts w:ascii="仿宋_GB2312" w:eastAsia="仿宋_GB2312"/>
          <w:b/>
          <w:sz w:val="32"/>
          <w:szCs w:val="32"/>
        </w:rPr>
      </w:pPr>
      <w:r>
        <w:rPr>
          <w:rFonts w:ascii="仿宋_GB2312" w:eastAsia="仿宋_GB2312"/>
          <w:b/>
          <w:sz w:val="32"/>
          <w:szCs w:val="32"/>
        </w:rPr>
        <w:br w:type="page"/>
      </w:r>
    </w:p>
    <w:p w14:paraId="08DBDCE9">
      <w:pPr>
        <w:spacing w:line="600" w:lineRule="exact"/>
        <w:jc w:val="center"/>
        <w:outlineLvl w:val="0"/>
        <w:rPr>
          <w:rStyle w:val="24"/>
          <w:rFonts w:ascii="方正小标宋_GBK" w:hAnsi="方正小标宋_GBK" w:eastAsia="方正小标宋_GBK" w:cs="方正小标宋_GBK"/>
          <w:b w:val="0"/>
        </w:rPr>
      </w:pPr>
      <w:bookmarkStart w:id="49" w:name="_Toc15377225"/>
      <w:bookmarkStart w:id="50" w:name="_Toc15396613"/>
      <w:r>
        <w:rPr>
          <w:rFonts w:hint="eastAsia" w:ascii="方正小标宋_GBK" w:hAnsi="方正小标宋_GBK" w:eastAsia="方正小标宋_GBK" w:cs="方正小标宋_GBK"/>
          <w:sz w:val="44"/>
          <w:szCs w:val="44"/>
        </w:rPr>
        <w:t>第三部分 名</w:t>
      </w:r>
      <w:r>
        <w:rPr>
          <w:rStyle w:val="24"/>
          <w:rFonts w:hint="eastAsia" w:ascii="方正小标宋_GBK" w:hAnsi="方正小标宋_GBK" w:eastAsia="方正小标宋_GBK" w:cs="方正小标宋_GBK"/>
          <w:b w:val="0"/>
        </w:rPr>
        <w:t>词解释</w:t>
      </w:r>
      <w:bookmarkEnd w:id="49"/>
      <w:bookmarkEnd w:id="50"/>
    </w:p>
    <w:p w14:paraId="269C14BC">
      <w:pPr>
        <w:spacing w:line="600" w:lineRule="exact"/>
        <w:jc w:val="left"/>
        <w:rPr>
          <w:rFonts w:ascii="宋体"/>
          <w:b/>
          <w:sz w:val="44"/>
          <w:szCs w:val="44"/>
        </w:rPr>
      </w:pPr>
    </w:p>
    <w:p w14:paraId="1290FF3D">
      <w:pPr>
        <w:pStyle w:val="22"/>
        <w:spacing w:line="60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一、财政拨款收入：指单位从同级财政部门取得的财政预算资金。</w:t>
      </w:r>
    </w:p>
    <w:p w14:paraId="4DA4C203">
      <w:pPr>
        <w:pStyle w:val="22"/>
        <w:spacing w:line="60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二、事业收入：指事业单位开展专业业务活动及辅助活动取得的收入。如…（二级预算单位事业收入情况）等。</w:t>
      </w:r>
    </w:p>
    <w:p w14:paraId="3AB7662F">
      <w:pPr>
        <w:pStyle w:val="22"/>
        <w:spacing w:line="60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三、经营收入：指事业单位在专业业务活动及其辅助活动之外开展非独立核算经营活动取得的收入。如…（二级预算单位经营收入情况）等。</w:t>
      </w:r>
    </w:p>
    <w:p w14:paraId="068D8F30">
      <w:pPr>
        <w:pStyle w:val="22"/>
        <w:spacing w:line="60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四、其他收入：指单位取得的除上述收入以外的各项收入。主要是…（收入类型）等。</w:t>
      </w:r>
      <w:r>
        <w:rPr>
          <w:rFonts w:ascii="仿宋_GB2312" w:eastAsia="仿宋_GB2312"/>
          <w:color w:val="auto"/>
          <w:sz w:val="32"/>
          <w:szCs w:val="32"/>
        </w:rPr>
        <w:t xml:space="preserve"> </w:t>
      </w:r>
    </w:p>
    <w:p w14:paraId="6C3F7674">
      <w:pPr>
        <w:pStyle w:val="22"/>
        <w:spacing w:line="60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五、使用非财政拨款结余：指事业单位使用以前年度积累的非财政拨款结余弥补当年收支差额的金额。</w:t>
      </w:r>
      <w:r>
        <w:rPr>
          <w:rFonts w:ascii="仿宋_GB2312" w:eastAsia="仿宋_GB2312"/>
          <w:color w:val="auto"/>
          <w:sz w:val="32"/>
          <w:szCs w:val="32"/>
        </w:rPr>
        <w:t xml:space="preserve"> </w:t>
      </w:r>
    </w:p>
    <w:p w14:paraId="1DED5B2C">
      <w:pPr>
        <w:pStyle w:val="22"/>
        <w:spacing w:line="60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六、年初结转和结余：指以前年度尚未完成、结转到本年按有关规定继续使用的资金。</w:t>
      </w:r>
      <w:r>
        <w:rPr>
          <w:rFonts w:ascii="仿宋_GB2312" w:eastAsia="仿宋_GB2312"/>
          <w:color w:val="auto"/>
          <w:sz w:val="32"/>
          <w:szCs w:val="32"/>
        </w:rPr>
        <w:t xml:space="preserve"> </w:t>
      </w:r>
    </w:p>
    <w:p w14:paraId="09A684DE">
      <w:pPr>
        <w:pStyle w:val="22"/>
        <w:spacing w:line="60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七、结余分配：指事业单位按照会计制度规定缴纳的所得税、提取的专用结余以及转入非财政拨款结余的金额等。</w:t>
      </w:r>
    </w:p>
    <w:p w14:paraId="1E32DDDD">
      <w:pPr>
        <w:pStyle w:val="22"/>
        <w:spacing w:line="60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八、年末结转和结余：指单位按有关规定结转到下年或以后年度继续使用的资金。</w:t>
      </w:r>
    </w:p>
    <w:p w14:paraId="27F5A875">
      <w:pPr>
        <w:spacing w:line="600" w:lineRule="exact"/>
        <w:ind w:firstLine="640" w:firstLineChars="200"/>
        <w:rPr>
          <w:rFonts w:ascii="仿宋_GB2312" w:eastAsia="仿宋_GB2312"/>
          <w:sz w:val="32"/>
          <w:szCs w:val="32"/>
        </w:rPr>
      </w:pPr>
      <w:r>
        <w:rPr>
          <w:rFonts w:hint="eastAsia" w:ascii="仿宋_GB2312" w:eastAsia="仿宋_GB2312"/>
          <w:sz w:val="32"/>
          <w:szCs w:val="32"/>
        </w:rPr>
        <w:t>九、一般公共服务（类）…（款）…（项）：指……。</w:t>
      </w:r>
    </w:p>
    <w:p w14:paraId="67CBC93D">
      <w:pPr>
        <w:spacing w:line="600" w:lineRule="exact"/>
        <w:ind w:firstLine="640" w:firstLineChars="200"/>
        <w:rPr>
          <w:rFonts w:ascii="仿宋_GB2312" w:eastAsia="仿宋_GB2312"/>
          <w:sz w:val="32"/>
          <w:szCs w:val="32"/>
        </w:rPr>
      </w:pPr>
      <w:r>
        <w:rPr>
          <w:rFonts w:hint="eastAsia" w:ascii="仿宋_GB2312" w:eastAsia="仿宋_GB2312"/>
          <w:sz w:val="32"/>
          <w:szCs w:val="32"/>
        </w:rPr>
        <w:t>十、外交（类）…（款）…（项）：指……。</w:t>
      </w:r>
    </w:p>
    <w:p w14:paraId="559BDA58">
      <w:pPr>
        <w:spacing w:line="600" w:lineRule="exact"/>
        <w:ind w:firstLine="640" w:firstLineChars="200"/>
        <w:rPr>
          <w:rFonts w:ascii="仿宋_GB2312" w:eastAsia="仿宋_GB2312"/>
          <w:sz w:val="32"/>
          <w:szCs w:val="32"/>
        </w:rPr>
      </w:pPr>
      <w:r>
        <w:rPr>
          <w:rFonts w:hint="eastAsia" w:ascii="仿宋_GB2312" w:eastAsia="仿宋_GB2312"/>
          <w:sz w:val="32"/>
          <w:szCs w:val="32"/>
        </w:rPr>
        <w:t>十一、公共安全（类）…（款）…（项）：指……。</w:t>
      </w:r>
    </w:p>
    <w:p w14:paraId="4A84CB19">
      <w:pPr>
        <w:spacing w:line="600" w:lineRule="exact"/>
        <w:ind w:firstLine="640" w:firstLineChars="200"/>
        <w:rPr>
          <w:rFonts w:ascii="仿宋_GB2312" w:eastAsia="仿宋_GB2312"/>
          <w:sz w:val="32"/>
          <w:szCs w:val="32"/>
        </w:rPr>
      </w:pPr>
      <w:r>
        <w:rPr>
          <w:rFonts w:hint="eastAsia" w:ascii="仿宋_GB2312" w:eastAsia="仿宋_GB2312"/>
          <w:sz w:val="32"/>
          <w:szCs w:val="32"/>
        </w:rPr>
        <w:t>十二、教育（类）…（款）…（项）：指……。</w:t>
      </w:r>
    </w:p>
    <w:p w14:paraId="50EE6BCE">
      <w:pPr>
        <w:spacing w:line="600" w:lineRule="exact"/>
        <w:ind w:firstLine="640" w:firstLineChars="200"/>
        <w:rPr>
          <w:rFonts w:ascii="仿宋_GB2312" w:eastAsia="仿宋_GB2312"/>
          <w:sz w:val="32"/>
          <w:szCs w:val="32"/>
        </w:rPr>
      </w:pPr>
      <w:r>
        <w:rPr>
          <w:rFonts w:hint="eastAsia" w:ascii="仿宋_GB2312" w:eastAsia="仿宋_GB2312"/>
          <w:sz w:val="32"/>
          <w:szCs w:val="32"/>
        </w:rPr>
        <w:t>十三、科学技术（类）…（款）…（项）：指……。</w:t>
      </w:r>
    </w:p>
    <w:p w14:paraId="70EF7C09">
      <w:pPr>
        <w:spacing w:line="600" w:lineRule="exact"/>
        <w:ind w:firstLine="640" w:firstLineChars="200"/>
        <w:rPr>
          <w:rFonts w:ascii="仿宋_GB2312" w:eastAsia="仿宋_GB2312"/>
          <w:sz w:val="32"/>
          <w:szCs w:val="32"/>
        </w:rPr>
      </w:pPr>
      <w:r>
        <w:rPr>
          <w:rFonts w:hint="eastAsia" w:ascii="仿宋_GB2312" w:eastAsia="仿宋_GB2312"/>
          <w:sz w:val="32"/>
          <w:szCs w:val="32"/>
        </w:rPr>
        <w:t>十四、文化体育与传媒（类）…（款）…（项）：指……。</w:t>
      </w:r>
    </w:p>
    <w:p w14:paraId="7E5222DF">
      <w:pPr>
        <w:spacing w:line="600" w:lineRule="exact"/>
        <w:ind w:firstLine="640" w:firstLineChars="200"/>
        <w:rPr>
          <w:rFonts w:ascii="仿宋_GB2312" w:eastAsia="仿宋_GB2312"/>
          <w:sz w:val="32"/>
          <w:szCs w:val="32"/>
        </w:rPr>
      </w:pPr>
      <w:r>
        <w:rPr>
          <w:rFonts w:hint="eastAsia" w:ascii="仿宋_GB2312" w:eastAsia="仿宋_GB2312"/>
          <w:sz w:val="32"/>
          <w:szCs w:val="32"/>
        </w:rPr>
        <w:t>十五、社会保障和就业（类）…（款）…（项）：指……。</w:t>
      </w:r>
    </w:p>
    <w:p w14:paraId="25FC10D2">
      <w:pPr>
        <w:spacing w:line="600" w:lineRule="exact"/>
        <w:ind w:firstLine="640" w:firstLineChars="200"/>
        <w:rPr>
          <w:rFonts w:ascii="仿宋_GB2312" w:eastAsia="仿宋_GB2312"/>
          <w:sz w:val="32"/>
          <w:szCs w:val="32"/>
        </w:rPr>
      </w:pPr>
      <w:r>
        <w:rPr>
          <w:rFonts w:hint="eastAsia" w:ascii="仿宋_GB2312" w:eastAsia="仿宋_GB2312"/>
          <w:sz w:val="32"/>
          <w:szCs w:val="32"/>
        </w:rPr>
        <w:t>十六、医疗卫生与计划生育（类）…（款）…（项）：指……。</w:t>
      </w:r>
    </w:p>
    <w:p w14:paraId="434F6BDD">
      <w:pPr>
        <w:spacing w:line="600" w:lineRule="exact"/>
        <w:ind w:firstLine="640" w:firstLineChars="200"/>
        <w:rPr>
          <w:rFonts w:ascii="仿宋_GB2312" w:eastAsia="仿宋_GB2312"/>
          <w:sz w:val="32"/>
          <w:szCs w:val="32"/>
        </w:rPr>
      </w:pPr>
      <w:r>
        <w:rPr>
          <w:rFonts w:hint="eastAsia" w:ascii="仿宋_GB2312" w:eastAsia="仿宋_GB2312"/>
          <w:sz w:val="32"/>
          <w:szCs w:val="32"/>
        </w:rPr>
        <w:t>十七、节能环保（类）…（款）…（项）：指……。</w:t>
      </w:r>
    </w:p>
    <w:p w14:paraId="754B5F64">
      <w:pPr>
        <w:spacing w:line="600" w:lineRule="exact"/>
        <w:ind w:firstLine="640" w:firstLineChars="200"/>
        <w:rPr>
          <w:rFonts w:ascii="仿宋_GB2312" w:eastAsia="仿宋_GB2312"/>
          <w:sz w:val="32"/>
          <w:szCs w:val="32"/>
        </w:rPr>
      </w:pPr>
      <w:r>
        <w:rPr>
          <w:rFonts w:hint="eastAsia" w:ascii="仿宋_GB2312" w:eastAsia="仿宋_GB2312"/>
          <w:sz w:val="32"/>
          <w:szCs w:val="32"/>
        </w:rPr>
        <w:t>十八、城乡社区（类）…（款）…（项）：指……。</w:t>
      </w:r>
    </w:p>
    <w:p w14:paraId="33B7366E">
      <w:pPr>
        <w:spacing w:line="600" w:lineRule="exact"/>
        <w:ind w:firstLine="640" w:firstLineChars="200"/>
        <w:rPr>
          <w:rFonts w:ascii="仿宋_GB2312" w:eastAsia="仿宋_GB2312"/>
          <w:sz w:val="32"/>
          <w:szCs w:val="32"/>
        </w:rPr>
      </w:pPr>
      <w:r>
        <w:rPr>
          <w:rFonts w:hint="eastAsia" w:ascii="仿宋_GB2312" w:eastAsia="仿宋_GB2312"/>
          <w:sz w:val="32"/>
          <w:szCs w:val="32"/>
        </w:rPr>
        <w:t>十九、农林水（类）…（款）…（项）：指……。</w:t>
      </w:r>
    </w:p>
    <w:p w14:paraId="4C1EF5C5">
      <w:pPr>
        <w:spacing w:line="600" w:lineRule="exact"/>
        <w:ind w:firstLine="640" w:firstLineChars="200"/>
        <w:rPr>
          <w:rFonts w:ascii="仿宋_GB2312" w:eastAsia="仿宋_GB2312"/>
          <w:sz w:val="32"/>
          <w:szCs w:val="32"/>
        </w:rPr>
      </w:pPr>
      <w:r>
        <w:rPr>
          <w:rFonts w:hint="eastAsia" w:ascii="仿宋_GB2312" w:eastAsia="仿宋_GB2312"/>
          <w:sz w:val="32"/>
          <w:szCs w:val="32"/>
        </w:rPr>
        <w:t>二十、交通运输（类）…（款）…（项）：指……。</w:t>
      </w:r>
    </w:p>
    <w:p w14:paraId="30DE1A14">
      <w:pPr>
        <w:spacing w:line="600" w:lineRule="exact"/>
        <w:ind w:firstLine="640" w:firstLineChars="200"/>
        <w:rPr>
          <w:rFonts w:ascii="仿宋_GB2312" w:eastAsia="仿宋_GB2312"/>
          <w:sz w:val="32"/>
          <w:szCs w:val="32"/>
        </w:rPr>
      </w:pPr>
      <w:r>
        <w:rPr>
          <w:rFonts w:hint="eastAsia" w:ascii="仿宋_GB2312" w:eastAsia="仿宋_GB2312"/>
          <w:sz w:val="32"/>
          <w:szCs w:val="32"/>
        </w:rPr>
        <w:t>二十一、资源勘探信息等（类）…（款）…（项）：指……。</w:t>
      </w:r>
    </w:p>
    <w:p w14:paraId="4AFF00BA">
      <w:pPr>
        <w:spacing w:line="600" w:lineRule="exact"/>
        <w:ind w:firstLine="640" w:firstLineChars="200"/>
        <w:rPr>
          <w:rFonts w:ascii="仿宋_GB2312" w:eastAsia="仿宋_GB2312"/>
          <w:sz w:val="32"/>
          <w:szCs w:val="32"/>
        </w:rPr>
      </w:pPr>
      <w:r>
        <w:rPr>
          <w:rFonts w:hint="eastAsia" w:ascii="仿宋_GB2312" w:eastAsia="仿宋_GB2312"/>
          <w:sz w:val="32"/>
          <w:szCs w:val="32"/>
        </w:rPr>
        <w:t>二十二、商业服务业（类）…（款）…（项）：指……。</w:t>
      </w:r>
    </w:p>
    <w:p w14:paraId="48CD1F34">
      <w:pPr>
        <w:spacing w:line="600" w:lineRule="exact"/>
        <w:ind w:firstLine="640" w:firstLineChars="200"/>
        <w:rPr>
          <w:rFonts w:ascii="仿宋_GB2312" w:eastAsia="仿宋_GB2312"/>
          <w:sz w:val="32"/>
          <w:szCs w:val="32"/>
        </w:rPr>
      </w:pPr>
      <w:r>
        <w:rPr>
          <w:rFonts w:hint="eastAsia" w:ascii="仿宋_GB2312" w:eastAsia="仿宋_GB2312"/>
          <w:sz w:val="32"/>
          <w:szCs w:val="32"/>
        </w:rPr>
        <w:t>二十三、金融（类）…（款）…（项）：指……。</w:t>
      </w:r>
    </w:p>
    <w:p w14:paraId="5F9DC893">
      <w:pPr>
        <w:spacing w:line="600" w:lineRule="exact"/>
        <w:ind w:firstLine="640" w:firstLineChars="200"/>
        <w:rPr>
          <w:rFonts w:ascii="仿宋_GB2312" w:eastAsia="仿宋_GB2312"/>
          <w:sz w:val="32"/>
          <w:szCs w:val="32"/>
        </w:rPr>
      </w:pPr>
      <w:r>
        <w:rPr>
          <w:rFonts w:hint="eastAsia" w:ascii="仿宋_GB2312" w:eastAsia="仿宋_GB2312"/>
          <w:sz w:val="32"/>
          <w:szCs w:val="32"/>
        </w:rPr>
        <w:t>二十四、国土海洋气象等（类）…（款）…（项）：指……。</w:t>
      </w:r>
    </w:p>
    <w:p w14:paraId="358D8DEE">
      <w:pPr>
        <w:spacing w:line="600" w:lineRule="exact"/>
        <w:ind w:firstLine="640" w:firstLineChars="200"/>
        <w:rPr>
          <w:rFonts w:ascii="仿宋_GB2312" w:eastAsia="仿宋_GB2312"/>
          <w:sz w:val="32"/>
          <w:szCs w:val="32"/>
        </w:rPr>
      </w:pPr>
      <w:r>
        <w:rPr>
          <w:rFonts w:hint="eastAsia" w:ascii="仿宋_GB2312" w:eastAsia="仿宋_GB2312"/>
          <w:sz w:val="32"/>
          <w:szCs w:val="32"/>
        </w:rPr>
        <w:t>二十五、住房保障（类）…（款）…（项）：指……。</w:t>
      </w:r>
    </w:p>
    <w:p w14:paraId="41A3FC44">
      <w:pPr>
        <w:spacing w:line="600" w:lineRule="exact"/>
        <w:ind w:firstLine="640" w:firstLineChars="200"/>
        <w:rPr>
          <w:rFonts w:ascii="仿宋_GB2312" w:eastAsia="仿宋_GB2312"/>
          <w:sz w:val="32"/>
          <w:szCs w:val="32"/>
        </w:rPr>
      </w:pPr>
      <w:r>
        <w:rPr>
          <w:rFonts w:hint="eastAsia" w:ascii="仿宋_GB2312" w:eastAsia="仿宋_GB2312"/>
          <w:sz w:val="32"/>
          <w:szCs w:val="32"/>
        </w:rPr>
        <w:t>二十六、粮油物资储备（类）…（款）…（项）：指……。</w:t>
      </w:r>
    </w:p>
    <w:p w14:paraId="136649B9">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w:t>
      </w:r>
    </w:p>
    <w:p w14:paraId="748EB122">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w:t>
      </w:r>
    </w:p>
    <w:p w14:paraId="052B502E">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w:t>
      </w:r>
    </w:p>
    <w:p w14:paraId="2DA4C039">
      <w:pPr>
        <w:spacing w:line="60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（解释本单位决算报表中涉及的全部功能分类科目至项级，不涉及的科目请自行删除。请参照《2021年政府收支分类科目》增减内容。）</w:t>
      </w:r>
    </w:p>
    <w:p w14:paraId="189586F3">
      <w:pPr>
        <w:spacing w:line="600" w:lineRule="exact"/>
        <w:ind w:firstLine="640" w:firstLineChars="200"/>
        <w:rPr>
          <w:rFonts w:ascii="仿宋_GB2312" w:eastAsia="仿宋_GB2312"/>
          <w:sz w:val="32"/>
          <w:szCs w:val="32"/>
        </w:rPr>
      </w:pPr>
      <w:r>
        <w:rPr>
          <w:rFonts w:hint="eastAsia" w:ascii="仿宋_GB2312" w:eastAsia="仿宋_GB2312"/>
          <w:sz w:val="32"/>
          <w:szCs w:val="32"/>
        </w:rPr>
        <w:t>二十七、基本支出：指为保障机构正常运转、完成日常工作任务而发生的人员支出和公用支出。</w:t>
      </w:r>
    </w:p>
    <w:p w14:paraId="4523448F">
      <w:pPr>
        <w:spacing w:line="600" w:lineRule="exact"/>
        <w:ind w:firstLine="640" w:firstLineChars="200"/>
        <w:rPr>
          <w:rFonts w:ascii="仿宋_GB2312" w:eastAsia="仿宋_GB2312"/>
          <w:sz w:val="32"/>
          <w:szCs w:val="32"/>
        </w:rPr>
      </w:pPr>
      <w:r>
        <w:rPr>
          <w:rFonts w:hint="eastAsia" w:ascii="仿宋_GB2312" w:eastAsia="仿宋_GB2312"/>
          <w:sz w:val="32"/>
          <w:szCs w:val="32"/>
        </w:rPr>
        <w:t>二十八、项目支出：指在基本支出之外为完成特定行政任务和事业发展目标所发生的支出。</w:t>
      </w:r>
      <w:r>
        <w:rPr>
          <w:rFonts w:ascii="仿宋_GB2312" w:eastAsia="仿宋_GB2312"/>
          <w:sz w:val="32"/>
          <w:szCs w:val="32"/>
        </w:rPr>
        <w:t xml:space="preserve"> </w:t>
      </w:r>
    </w:p>
    <w:p w14:paraId="1EDCEB95">
      <w:pPr>
        <w:spacing w:line="600" w:lineRule="exact"/>
        <w:ind w:firstLine="640" w:firstLineChars="200"/>
        <w:rPr>
          <w:rFonts w:ascii="仿宋_GB2312" w:eastAsia="仿宋_GB2312"/>
          <w:sz w:val="32"/>
          <w:szCs w:val="32"/>
        </w:rPr>
      </w:pPr>
      <w:r>
        <w:rPr>
          <w:rFonts w:hint="eastAsia" w:ascii="仿宋_GB2312" w:eastAsia="仿宋_GB2312"/>
          <w:sz w:val="32"/>
          <w:szCs w:val="32"/>
        </w:rPr>
        <w:t>二十九、经营支出：指事业单位在专业业务活动及其辅助活动之外开展非独立核算经营活动发生的支出。</w:t>
      </w:r>
    </w:p>
    <w:p w14:paraId="59FD43A7">
      <w:pPr>
        <w:pStyle w:val="22"/>
        <w:spacing w:line="60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三十、“三公”经费：指单位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14:paraId="6B8188E1">
      <w:pPr>
        <w:pStyle w:val="22"/>
        <w:spacing w:line="60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三十一、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194743CA">
      <w:pPr>
        <w:pStyle w:val="22"/>
        <w:spacing w:line="60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三十二、……。</w:t>
      </w:r>
    </w:p>
    <w:p w14:paraId="359B9F00">
      <w:pPr>
        <w:pStyle w:val="22"/>
        <w:spacing w:line="600" w:lineRule="exact"/>
        <w:ind w:firstLine="640" w:firstLineChars="200"/>
        <w:rPr>
          <w:rFonts w:ascii="仿宋_GB2312" w:hAnsi="仿宋_GB2312" w:eastAsia="仿宋_GB2312" w:cs="仿宋_GB2312"/>
          <w:color w:val="auto"/>
          <w:sz w:val="32"/>
          <w:szCs w:val="32"/>
        </w:rPr>
      </w:pPr>
    </w:p>
    <w:p w14:paraId="05BA234D">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（名词解释部分请根据各单位实际列支情况罗列，并根据本单位职责职能增减名词解释内容。）</w:t>
      </w:r>
    </w:p>
    <w:p w14:paraId="13A10E6E">
      <w:pPr>
        <w:spacing w:line="600" w:lineRule="exact"/>
        <w:jc w:val="center"/>
        <w:outlineLvl w:val="0"/>
        <w:rPr>
          <w:rStyle w:val="24"/>
          <w:rFonts w:ascii="方正小标宋_GBK" w:hAnsi="方正小标宋_GBK" w:eastAsia="方正小标宋_GBK" w:cs="方正小标宋_GBK"/>
          <w:b w:val="0"/>
        </w:rPr>
      </w:pPr>
      <w:bookmarkStart w:id="51" w:name="_Toc15377226"/>
      <w:r>
        <w:rPr>
          <w:rFonts w:ascii="宋体"/>
          <w:b/>
          <w:sz w:val="44"/>
          <w:szCs w:val="44"/>
        </w:rPr>
        <w:br w:type="page"/>
      </w:r>
      <w:bookmarkStart w:id="52" w:name="_Toc15396614"/>
      <w:r>
        <w:rPr>
          <w:rFonts w:hint="eastAsia" w:ascii="方正小标宋_GBK" w:hAnsi="方正小标宋_GBK" w:eastAsia="方正小标宋_GBK" w:cs="方正小标宋_GBK"/>
          <w:sz w:val="44"/>
          <w:szCs w:val="44"/>
        </w:rPr>
        <w:t>第</w:t>
      </w:r>
      <w:r>
        <w:rPr>
          <w:rStyle w:val="24"/>
          <w:rFonts w:hint="eastAsia" w:ascii="方正小标宋_GBK" w:hAnsi="方正小标宋_GBK" w:eastAsia="方正小标宋_GBK" w:cs="方正小标宋_GBK"/>
          <w:b w:val="0"/>
        </w:rPr>
        <w:t>四部分 附  件</w:t>
      </w:r>
      <w:bookmarkEnd w:id="52"/>
    </w:p>
    <w:p w14:paraId="36F137A0">
      <w:pPr>
        <w:spacing w:line="600" w:lineRule="exact"/>
        <w:jc w:val="left"/>
        <w:outlineLvl w:val="0"/>
        <w:rPr>
          <w:rFonts w:ascii="仿宋_GB2312" w:hAnsi="仿宋_GB2312" w:eastAsia="仿宋_GB2312" w:cs="仿宋_GB2312"/>
          <w:sz w:val="32"/>
          <w:szCs w:val="32"/>
        </w:rPr>
      </w:pPr>
      <w:r>
        <w:rPr>
          <w:rFonts w:hint="eastAsia" w:ascii="黑体" w:hAnsi="黑体" w:eastAsia="黑体" w:cs="黑体"/>
          <w:sz w:val="32"/>
          <w:szCs w:val="32"/>
        </w:rPr>
        <w:t>附件</w:t>
      </w:r>
    </w:p>
    <w:p w14:paraId="745833F4">
      <w:pPr>
        <w:spacing w:line="600" w:lineRule="exact"/>
        <w:jc w:val="center"/>
        <w:outlineLvl w:val="0"/>
      </w:pPr>
      <w:bookmarkStart w:id="53" w:name="_Toc15396618"/>
      <w:r>
        <w:rPr>
          <w:rFonts w:hint="eastAsia" w:ascii="宋体" w:hAnsi="宋体" w:cs="宋体"/>
          <w:b/>
          <w:sz w:val="44"/>
          <w:szCs w:val="44"/>
        </w:rPr>
        <w:t>2021年特定目标类部门预算项目绩效目标自评</w:t>
      </w:r>
    </w:p>
    <w:tbl>
      <w:tblPr>
        <w:tblStyle w:val="12"/>
        <w:tblpPr w:leftFromText="180" w:rightFromText="180" w:vertAnchor="text" w:horzAnchor="page" w:tblpXSpec="center" w:tblpY="660"/>
        <w:tblOverlap w:val="never"/>
        <w:tblW w:w="9064" w:type="dxa"/>
        <w:jc w:val="center"/>
        <w:tblLayout w:type="fixed"/>
        <w:tblCellMar>
          <w:top w:w="0" w:type="dxa"/>
          <w:left w:w="108" w:type="dxa"/>
          <w:bottom w:w="0" w:type="dxa"/>
          <w:right w:w="108" w:type="dxa"/>
        </w:tblCellMar>
      </w:tblPr>
      <w:tblGrid>
        <w:gridCol w:w="1654"/>
        <w:gridCol w:w="1086"/>
        <w:gridCol w:w="2205"/>
        <w:gridCol w:w="915"/>
        <w:gridCol w:w="1485"/>
        <w:gridCol w:w="1719"/>
      </w:tblGrid>
      <w:tr w14:paraId="2DF22278">
        <w:tblPrEx>
          <w:tblCellMar>
            <w:top w:w="0" w:type="dxa"/>
            <w:left w:w="108" w:type="dxa"/>
            <w:bottom w:w="0" w:type="dxa"/>
            <w:right w:w="108" w:type="dxa"/>
          </w:tblCellMar>
        </w:tblPrEx>
        <w:trPr>
          <w:trHeight w:val="460" w:hRule="atLeast"/>
          <w:jc w:val="center"/>
        </w:trPr>
        <w:tc>
          <w:tcPr>
            <w:tcW w:w="27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14C163C">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主管部门及代码</w:t>
            </w:r>
          </w:p>
        </w:tc>
        <w:tc>
          <w:tcPr>
            <w:tcW w:w="31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2D773AF">
            <w:pPr>
              <w:widowControl/>
              <w:spacing w:line="320" w:lineRule="exact"/>
              <w:jc w:val="center"/>
              <w:textAlignment w:val="center"/>
              <w:rPr>
                <w:rFonts w:ascii="仿宋_GB2312" w:hAnsi="仿宋_GB2312" w:eastAsia="仿宋_GB2312" w:cs="仿宋_GB2312"/>
                <w:sz w:val="28"/>
                <w:szCs w:val="28"/>
              </w:rPr>
            </w:pP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88EC90">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实施单位</w:t>
            </w:r>
          </w:p>
        </w:tc>
        <w:tc>
          <w:tcPr>
            <w:tcW w:w="1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DB3516">
            <w:pPr>
              <w:widowControl/>
              <w:spacing w:line="320" w:lineRule="exact"/>
              <w:jc w:val="center"/>
              <w:textAlignment w:val="center"/>
              <w:rPr>
                <w:rFonts w:ascii="仿宋_GB2312" w:hAnsi="仿宋_GB2312" w:eastAsia="仿宋_GB2312" w:cs="仿宋_GB2312"/>
                <w:sz w:val="28"/>
                <w:szCs w:val="28"/>
              </w:rPr>
            </w:pPr>
          </w:p>
        </w:tc>
      </w:tr>
      <w:tr w14:paraId="18021763">
        <w:tblPrEx>
          <w:tblCellMar>
            <w:top w:w="0" w:type="dxa"/>
            <w:left w:w="108" w:type="dxa"/>
            <w:bottom w:w="0" w:type="dxa"/>
            <w:right w:w="108" w:type="dxa"/>
          </w:tblCellMar>
        </w:tblPrEx>
        <w:trPr>
          <w:trHeight w:val="496" w:hRule="atLeast"/>
          <w:jc w:val="center"/>
        </w:trPr>
        <w:tc>
          <w:tcPr>
            <w:tcW w:w="274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BCDF900">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项目预算</w:t>
            </w:r>
            <w:r>
              <w:rPr>
                <w:rFonts w:hint="eastAsia" w:ascii="仿宋_GB2312" w:hAnsi="仿宋_GB2312" w:eastAsia="仿宋_GB2312" w:cs="仿宋_GB2312"/>
                <w:kern w:val="0"/>
                <w:sz w:val="28"/>
                <w:szCs w:val="28"/>
                <w:lang w:bidi="ar"/>
              </w:rPr>
              <w:br w:type="textWrapping"/>
            </w:r>
            <w:r>
              <w:rPr>
                <w:rFonts w:hint="eastAsia" w:ascii="仿宋_GB2312" w:hAnsi="仿宋_GB2312" w:eastAsia="仿宋_GB2312" w:cs="仿宋_GB2312"/>
                <w:kern w:val="0"/>
                <w:sz w:val="28"/>
                <w:szCs w:val="28"/>
                <w:lang w:bidi="ar"/>
              </w:rPr>
              <w:t>执行情况</w:t>
            </w:r>
            <w:r>
              <w:rPr>
                <w:rFonts w:hint="eastAsia" w:ascii="仿宋_GB2312" w:hAnsi="仿宋_GB2312" w:eastAsia="仿宋_GB2312" w:cs="仿宋_GB2312"/>
                <w:kern w:val="0"/>
                <w:sz w:val="28"/>
                <w:szCs w:val="28"/>
                <w:lang w:bidi="ar"/>
              </w:rPr>
              <w:br w:type="textWrapping"/>
            </w:r>
            <w:r>
              <w:rPr>
                <w:rFonts w:hint="eastAsia" w:ascii="仿宋_GB2312" w:hAnsi="仿宋_GB2312" w:eastAsia="仿宋_GB2312" w:cs="仿宋_GB2312"/>
                <w:kern w:val="0"/>
                <w:sz w:val="28"/>
                <w:szCs w:val="28"/>
                <w:lang w:bidi="ar"/>
              </w:rPr>
              <w:t>（万元）</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AE2056">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预算数：</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6DA3AB">
            <w:pPr>
              <w:widowControl/>
              <w:spacing w:line="320" w:lineRule="exact"/>
              <w:jc w:val="center"/>
              <w:textAlignment w:val="center"/>
              <w:rPr>
                <w:rFonts w:ascii="仿宋_GB2312" w:hAnsi="仿宋_GB2312" w:eastAsia="仿宋_GB2312" w:cs="仿宋_GB2312"/>
                <w:sz w:val="28"/>
                <w:szCs w:val="28"/>
              </w:rPr>
            </w:pP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74681D">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执行数：</w:t>
            </w:r>
          </w:p>
        </w:tc>
        <w:tc>
          <w:tcPr>
            <w:tcW w:w="1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343A26">
            <w:pPr>
              <w:widowControl/>
              <w:spacing w:line="320" w:lineRule="exact"/>
              <w:jc w:val="center"/>
              <w:textAlignment w:val="center"/>
              <w:rPr>
                <w:rFonts w:ascii="仿宋_GB2312" w:hAnsi="仿宋_GB2312" w:eastAsia="仿宋_GB2312" w:cs="仿宋_GB2312"/>
                <w:sz w:val="28"/>
                <w:szCs w:val="28"/>
              </w:rPr>
            </w:pPr>
          </w:p>
        </w:tc>
      </w:tr>
      <w:tr w14:paraId="5762A66E">
        <w:tblPrEx>
          <w:tblCellMar>
            <w:top w:w="0" w:type="dxa"/>
            <w:left w:w="108" w:type="dxa"/>
            <w:bottom w:w="0" w:type="dxa"/>
            <w:right w:w="108" w:type="dxa"/>
          </w:tblCellMar>
        </w:tblPrEx>
        <w:trPr>
          <w:trHeight w:val="555" w:hRule="atLeast"/>
          <w:jc w:val="center"/>
        </w:trPr>
        <w:tc>
          <w:tcPr>
            <w:tcW w:w="274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826AF8">
            <w:pPr>
              <w:spacing w:line="320" w:lineRule="exact"/>
              <w:jc w:val="center"/>
              <w:rPr>
                <w:rFonts w:ascii="仿宋_GB2312" w:hAnsi="仿宋_GB2312" w:eastAsia="仿宋_GB2312" w:cs="仿宋_GB2312"/>
                <w:sz w:val="28"/>
                <w:szCs w:val="28"/>
              </w:rPr>
            </w:pP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4C0A18">
            <w:pPr>
              <w:widowControl/>
              <w:spacing w:line="320" w:lineRule="exact"/>
              <w:jc w:val="center"/>
              <w:textAlignment w:val="center"/>
              <w:rPr>
                <w:rFonts w:ascii="仿宋_GB2312" w:hAnsi="仿宋_GB2312" w:eastAsia="仿宋_GB2312" w:cs="仿宋_GB2312"/>
                <w:kern w:val="0"/>
                <w:sz w:val="28"/>
                <w:szCs w:val="28"/>
                <w:lang w:bidi="ar"/>
              </w:rPr>
            </w:pPr>
            <w:r>
              <w:rPr>
                <w:rFonts w:hint="eastAsia" w:ascii="仿宋_GB2312" w:hAnsi="仿宋_GB2312" w:eastAsia="仿宋_GB2312" w:cs="仿宋_GB2312"/>
                <w:kern w:val="0"/>
                <w:sz w:val="28"/>
                <w:szCs w:val="28"/>
                <w:lang w:bidi="ar"/>
              </w:rPr>
              <w:t>其中：</w:t>
            </w:r>
          </w:p>
          <w:p w14:paraId="2F12C7A0">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财政拨款</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17C602">
            <w:pPr>
              <w:widowControl/>
              <w:spacing w:line="320" w:lineRule="exact"/>
              <w:jc w:val="center"/>
              <w:textAlignment w:val="center"/>
              <w:rPr>
                <w:rFonts w:ascii="仿宋_GB2312" w:hAnsi="仿宋_GB2312" w:eastAsia="仿宋_GB2312" w:cs="仿宋_GB2312"/>
                <w:sz w:val="28"/>
                <w:szCs w:val="28"/>
              </w:rPr>
            </w:pP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7A5A83">
            <w:pPr>
              <w:widowControl/>
              <w:spacing w:line="320" w:lineRule="exact"/>
              <w:jc w:val="center"/>
              <w:textAlignment w:val="center"/>
              <w:rPr>
                <w:rFonts w:ascii="仿宋_GB2312" w:hAnsi="仿宋_GB2312" w:eastAsia="仿宋_GB2312" w:cs="仿宋_GB2312"/>
                <w:kern w:val="0"/>
                <w:sz w:val="28"/>
                <w:szCs w:val="28"/>
                <w:lang w:bidi="ar"/>
              </w:rPr>
            </w:pPr>
            <w:r>
              <w:rPr>
                <w:rFonts w:hint="eastAsia" w:ascii="仿宋_GB2312" w:hAnsi="仿宋_GB2312" w:eastAsia="仿宋_GB2312" w:cs="仿宋_GB2312"/>
                <w:kern w:val="0"/>
                <w:sz w:val="28"/>
                <w:szCs w:val="28"/>
                <w:lang w:bidi="ar"/>
              </w:rPr>
              <w:t>其中：</w:t>
            </w:r>
          </w:p>
          <w:p w14:paraId="42AD45DD">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财政拨款</w:t>
            </w:r>
          </w:p>
        </w:tc>
        <w:tc>
          <w:tcPr>
            <w:tcW w:w="1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E8480A">
            <w:pPr>
              <w:widowControl/>
              <w:spacing w:line="320" w:lineRule="exact"/>
              <w:jc w:val="center"/>
              <w:textAlignment w:val="center"/>
              <w:rPr>
                <w:rFonts w:ascii="仿宋_GB2312" w:hAnsi="仿宋_GB2312" w:eastAsia="仿宋_GB2312" w:cs="仿宋_GB2312"/>
                <w:sz w:val="28"/>
                <w:szCs w:val="28"/>
              </w:rPr>
            </w:pPr>
          </w:p>
        </w:tc>
      </w:tr>
      <w:tr w14:paraId="6C56DAB8">
        <w:tblPrEx>
          <w:tblCellMar>
            <w:top w:w="0" w:type="dxa"/>
            <w:left w:w="108" w:type="dxa"/>
            <w:bottom w:w="0" w:type="dxa"/>
            <w:right w:w="108" w:type="dxa"/>
          </w:tblCellMar>
        </w:tblPrEx>
        <w:trPr>
          <w:trHeight w:val="341" w:hRule="atLeast"/>
          <w:jc w:val="center"/>
        </w:trPr>
        <w:tc>
          <w:tcPr>
            <w:tcW w:w="274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3DC88F">
            <w:pPr>
              <w:spacing w:line="320" w:lineRule="exact"/>
              <w:jc w:val="center"/>
              <w:rPr>
                <w:rFonts w:ascii="仿宋_GB2312" w:hAnsi="仿宋_GB2312" w:eastAsia="仿宋_GB2312" w:cs="仿宋_GB2312"/>
                <w:sz w:val="28"/>
                <w:szCs w:val="28"/>
              </w:rPr>
            </w:pP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937369">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其他资金</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491062">
            <w:pPr>
              <w:widowControl/>
              <w:spacing w:line="320" w:lineRule="exact"/>
              <w:jc w:val="center"/>
              <w:textAlignment w:val="center"/>
              <w:rPr>
                <w:rFonts w:ascii="仿宋_GB2312" w:hAnsi="仿宋_GB2312" w:eastAsia="仿宋_GB2312" w:cs="仿宋_GB2312"/>
                <w:sz w:val="28"/>
                <w:szCs w:val="28"/>
              </w:rPr>
            </w:pP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3F438F">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其他资金</w:t>
            </w:r>
          </w:p>
        </w:tc>
        <w:tc>
          <w:tcPr>
            <w:tcW w:w="1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F15CB6">
            <w:pPr>
              <w:widowControl/>
              <w:spacing w:line="320" w:lineRule="exact"/>
              <w:jc w:val="center"/>
              <w:textAlignment w:val="center"/>
              <w:rPr>
                <w:rFonts w:ascii="仿宋_GB2312" w:hAnsi="仿宋_GB2312" w:eastAsia="仿宋_GB2312" w:cs="仿宋_GB2312"/>
                <w:sz w:val="28"/>
                <w:szCs w:val="28"/>
              </w:rPr>
            </w:pPr>
          </w:p>
        </w:tc>
      </w:tr>
      <w:tr w14:paraId="00DA9299">
        <w:tblPrEx>
          <w:tblCellMar>
            <w:top w:w="0" w:type="dxa"/>
            <w:left w:w="108" w:type="dxa"/>
            <w:bottom w:w="0" w:type="dxa"/>
            <w:right w:w="108" w:type="dxa"/>
          </w:tblCellMar>
        </w:tblPrEx>
        <w:trPr>
          <w:trHeight w:val="430" w:hRule="atLeast"/>
          <w:jc w:val="center"/>
        </w:trPr>
        <w:tc>
          <w:tcPr>
            <w:tcW w:w="165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B7F944A">
            <w:pPr>
              <w:widowControl/>
              <w:spacing w:line="320" w:lineRule="exact"/>
              <w:jc w:val="center"/>
              <w:textAlignment w:val="center"/>
              <w:rPr>
                <w:rFonts w:ascii="仿宋_GB2312" w:hAnsi="仿宋_GB2312" w:eastAsia="仿宋_GB2312" w:cs="仿宋_GB2312"/>
                <w:kern w:val="0"/>
                <w:sz w:val="28"/>
                <w:szCs w:val="28"/>
                <w:lang w:bidi="ar"/>
              </w:rPr>
            </w:pPr>
            <w:r>
              <w:rPr>
                <w:rFonts w:hint="eastAsia" w:ascii="仿宋_GB2312" w:hAnsi="仿宋_GB2312" w:eastAsia="仿宋_GB2312" w:cs="仿宋_GB2312"/>
                <w:kern w:val="0"/>
                <w:sz w:val="28"/>
                <w:szCs w:val="28"/>
                <w:lang w:bidi="ar"/>
              </w:rPr>
              <w:t>年度总体目标</w:t>
            </w:r>
          </w:p>
          <w:p w14:paraId="6C9DE90B">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完成情况</w:t>
            </w:r>
          </w:p>
        </w:tc>
        <w:tc>
          <w:tcPr>
            <w:tcW w:w="420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B575F63">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预期目标</w:t>
            </w:r>
          </w:p>
        </w:tc>
        <w:tc>
          <w:tcPr>
            <w:tcW w:w="32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8EF825D">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目标实际完成情况</w:t>
            </w:r>
          </w:p>
        </w:tc>
      </w:tr>
      <w:tr w14:paraId="71312692">
        <w:tblPrEx>
          <w:tblCellMar>
            <w:top w:w="0" w:type="dxa"/>
            <w:left w:w="108" w:type="dxa"/>
            <w:bottom w:w="0" w:type="dxa"/>
            <w:right w:w="108" w:type="dxa"/>
          </w:tblCellMar>
        </w:tblPrEx>
        <w:trPr>
          <w:trHeight w:val="797" w:hRule="atLeast"/>
          <w:jc w:val="center"/>
        </w:trPr>
        <w:tc>
          <w:tcPr>
            <w:tcW w:w="16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CC6598">
            <w:pPr>
              <w:spacing w:line="320" w:lineRule="exact"/>
              <w:jc w:val="center"/>
              <w:rPr>
                <w:rFonts w:ascii="仿宋_GB2312" w:hAnsi="仿宋_GB2312" w:eastAsia="仿宋_GB2312" w:cs="仿宋_GB2312"/>
                <w:sz w:val="28"/>
                <w:szCs w:val="28"/>
              </w:rPr>
            </w:pPr>
          </w:p>
        </w:tc>
        <w:tc>
          <w:tcPr>
            <w:tcW w:w="420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30526ED">
            <w:pPr>
              <w:widowControl/>
              <w:spacing w:line="320" w:lineRule="exact"/>
              <w:jc w:val="center"/>
              <w:textAlignment w:val="top"/>
              <w:rPr>
                <w:rFonts w:ascii="仿宋_GB2312" w:hAnsi="仿宋_GB2312" w:eastAsia="仿宋_GB2312" w:cs="仿宋_GB2312"/>
                <w:sz w:val="28"/>
                <w:szCs w:val="28"/>
              </w:rPr>
            </w:pPr>
          </w:p>
        </w:tc>
        <w:tc>
          <w:tcPr>
            <w:tcW w:w="32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42EF040">
            <w:pPr>
              <w:widowControl/>
              <w:spacing w:line="320" w:lineRule="exact"/>
              <w:jc w:val="center"/>
              <w:textAlignment w:val="top"/>
              <w:rPr>
                <w:rFonts w:ascii="仿宋_GB2312" w:hAnsi="仿宋_GB2312" w:eastAsia="仿宋_GB2312" w:cs="仿宋_GB2312"/>
                <w:sz w:val="28"/>
                <w:szCs w:val="28"/>
              </w:rPr>
            </w:pPr>
          </w:p>
        </w:tc>
      </w:tr>
      <w:tr w14:paraId="3CD9C354">
        <w:tblPrEx>
          <w:tblCellMar>
            <w:top w:w="0" w:type="dxa"/>
            <w:left w:w="108" w:type="dxa"/>
            <w:bottom w:w="0" w:type="dxa"/>
            <w:right w:w="108" w:type="dxa"/>
          </w:tblCellMar>
        </w:tblPrEx>
        <w:trPr>
          <w:trHeight w:val="693" w:hRule="atLeast"/>
          <w:jc w:val="center"/>
        </w:trPr>
        <w:tc>
          <w:tcPr>
            <w:tcW w:w="1654" w:type="dxa"/>
            <w:vMerge w:val="restart"/>
            <w:tcBorders>
              <w:top w:val="single" w:color="000000" w:sz="4" w:space="0"/>
              <w:left w:val="single" w:color="000000" w:sz="4" w:space="0"/>
              <w:right w:val="single" w:color="000000" w:sz="4" w:space="0"/>
            </w:tcBorders>
            <w:shd w:val="clear" w:color="auto" w:fill="auto"/>
            <w:vAlign w:val="center"/>
          </w:tcPr>
          <w:p w14:paraId="735C733D">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年度绩效指标完成情况</w:t>
            </w:r>
          </w:p>
        </w:tc>
        <w:tc>
          <w:tcPr>
            <w:tcW w:w="1086" w:type="dxa"/>
            <w:tcBorders>
              <w:top w:val="single" w:color="000000" w:sz="4" w:space="0"/>
              <w:left w:val="nil"/>
              <w:bottom w:val="single" w:color="000000" w:sz="4" w:space="0"/>
              <w:right w:val="single" w:color="000000" w:sz="4" w:space="0"/>
            </w:tcBorders>
            <w:shd w:val="clear" w:color="auto" w:fill="auto"/>
            <w:vAlign w:val="center"/>
          </w:tcPr>
          <w:p w14:paraId="020B71BC">
            <w:pPr>
              <w:widowControl/>
              <w:spacing w:line="320" w:lineRule="exact"/>
              <w:jc w:val="center"/>
              <w:textAlignment w:val="center"/>
              <w:rPr>
                <w:rFonts w:ascii="仿宋_GB2312" w:hAnsi="仿宋_GB2312" w:eastAsia="仿宋_GB2312" w:cs="仿宋_GB2312"/>
                <w:kern w:val="0"/>
                <w:sz w:val="28"/>
                <w:szCs w:val="28"/>
                <w:lang w:bidi="ar"/>
              </w:rPr>
            </w:pPr>
            <w:r>
              <w:rPr>
                <w:rFonts w:hint="eastAsia" w:ascii="仿宋_GB2312" w:hAnsi="仿宋_GB2312" w:eastAsia="仿宋_GB2312" w:cs="仿宋_GB2312"/>
                <w:kern w:val="0"/>
                <w:sz w:val="28"/>
                <w:szCs w:val="28"/>
                <w:lang w:bidi="ar"/>
              </w:rPr>
              <w:t>一级</w:t>
            </w:r>
          </w:p>
          <w:p w14:paraId="1A34E4C9">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指标</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953BB2">
            <w:pPr>
              <w:widowControl/>
              <w:spacing w:line="320" w:lineRule="exact"/>
              <w:jc w:val="center"/>
              <w:textAlignment w:val="center"/>
              <w:rPr>
                <w:rFonts w:ascii="仿宋_GB2312" w:hAnsi="仿宋_GB2312" w:eastAsia="仿宋_GB2312" w:cs="仿宋_GB2312"/>
                <w:kern w:val="0"/>
                <w:sz w:val="28"/>
                <w:szCs w:val="28"/>
                <w:lang w:bidi="ar"/>
              </w:rPr>
            </w:pPr>
            <w:r>
              <w:rPr>
                <w:rFonts w:hint="eastAsia" w:ascii="仿宋_GB2312" w:hAnsi="仿宋_GB2312" w:eastAsia="仿宋_GB2312" w:cs="仿宋_GB2312"/>
                <w:kern w:val="0"/>
                <w:sz w:val="28"/>
                <w:szCs w:val="28"/>
                <w:lang w:bidi="ar"/>
              </w:rPr>
              <w:t>二级</w:t>
            </w:r>
          </w:p>
          <w:p w14:paraId="13AAEF94">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指标</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8A89AC">
            <w:pPr>
              <w:widowControl/>
              <w:spacing w:line="320" w:lineRule="exact"/>
              <w:jc w:val="center"/>
              <w:textAlignment w:val="center"/>
              <w:rPr>
                <w:rFonts w:ascii="仿宋_GB2312" w:hAnsi="仿宋_GB2312" w:eastAsia="仿宋_GB2312" w:cs="仿宋_GB2312"/>
                <w:kern w:val="0"/>
                <w:sz w:val="28"/>
                <w:szCs w:val="28"/>
                <w:lang w:bidi="ar"/>
              </w:rPr>
            </w:pPr>
            <w:r>
              <w:rPr>
                <w:rFonts w:hint="eastAsia" w:ascii="仿宋_GB2312" w:hAnsi="仿宋_GB2312" w:eastAsia="仿宋_GB2312" w:cs="仿宋_GB2312"/>
                <w:kern w:val="0"/>
                <w:sz w:val="28"/>
                <w:szCs w:val="28"/>
                <w:lang w:bidi="ar"/>
              </w:rPr>
              <w:t>三级</w:t>
            </w:r>
          </w:p>
          <w:p w14:paraId="68335FF3">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指标</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617C5F">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预期指标值</w:t>
            </w:r>
          </w:p>
        </w:tc>
        <w:tc>
          <w:tcPr>
            <w:tcW w:w="1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70AA28">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实际完成指标值</w:t>
            </w:r>
          </w:p>
        </w:tc>
      </w:tr>
      <w:tr w14:paraId="2A5DB620">
        <w:tblPrEx>
          <w:tblCellMar>
            <w:top w:w="0" w:type="dxa"/>
            <w:left w:w="108" w:type="dxa"/>
            <w:bottom w:w="0" w:type="dxa"/>
            <w:right w:w="108" w:type="dxa"/>
          </w:tblCellMar>
        </w:tblPrEx>
        <w:trPr>
          <w:trHeight w:val="415" w:hRule="atLeast"/>
          <w:jc w:val="center"/>
        </w:trPr>
        <w:tc>
          <w:tcPr>
            <w:tcW w:w="1654" w:type="dxa"/>
            <w:vMerge w:val="continue"/>
            <w:tcBorders>
              <w:left w:val="single" w:color="000000" w:sz="4" w:space="0"/>
              <w:right w:val="single" w:color="000000" w:sz="4" w:space="0"/>
            </w:tcBorders>
            <w:shd w:val="clear" w:color="auto" w:fill="auto"/>
            <w:vAlign w:val="center"/>
          </w:tcPr>
          <w:p w14:paraId="1DB47DA6">
            <w:pPr>
              <w:spacing w:line="320" w:lineRule="exact"/>
              <w:jc w:val="center"/>
              <w:rPr>
                <w:rFonts w:ascii="仿宋_GB2312" w:hAnsi="仿宋_GB2312" w:eastAsia="仿宋_GB2312" w:cs="仿宋_GB2312"/>
                <w:sz w:val="28"/>
                <w:szCs w:val="28"/>
              </w:rPr>
            </w:pPr>
          </w:p>
        </w:tc>
        <w:tc>
          <w:tcPr>
            <w:tcW w:w="108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7B2050E">
            <w:pPr>
              <w:widowControl/>
              <w:spacing w:line="320" w:lineRule="exact"/>
              <w:jc w:val="center"/>
              <w:textAlignment w:val="bottom"/>
              <w:rPr>
                <w:rFonts w:ascii="仿宋_GB2312" w:hAnsi="仿宋_GB2312" w:eastAsia="仿宋_GB2312" w:cs="仿宋_GB2312"/>
                <w:kern w:val="0"/>
                <w:sz w:val="28"/>
                <w:szCs w:val="28"/>
                <w:lang w:bidi="ar"/>
              </w:rPr>
            </w:pPr>
            <w:r>
              <w:rPr>
                <w:rFonts w:hint="eastAsia" w:ascii="仿宋_GB2312" w:hAnsi="仿宋_GB2312" w:eastAsia="仿宋_GB2312" w:cs="仿宋_GB2312"/>
                <w:kern w:val="0"/>
                <w:sz w:val="28"/>
                <w:szCs w:val="28"/>
                <w:lang w:bidi="ar"/>
              </w:rPr>
              <w:t>完成</w:t>
            </w:r>
          </w:p>
          <w:p w14:paraId="2DF8CC9B">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指标</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E18050">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数量指标</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3E87E4">
            <w:pPr>
              <w:widowControl/>
              <w:spacing w:line="320" w:lineRule="exact"/>
              <w:jc w:val="center"/>
              <w:textAlignment w:val="bottom"/>
              <w:rPr>
                <w:rFonts w:ascii="仿宋_GB2312" w:hAnsi="仿宋_GB2312" w:eastAsia="仿宋_GB2312" w:cs="仿宋_GB2312"/>
                <w:sz w:val="28"/>
                <w:szCs w:val="28"/>
              </w:rPr>
            </w:pP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C4A19A">
            <w:pPr>
              <w:widowControl/>
              <w:spacing w:line="320" w:lineRule="exact"/>
              <w:jc w:val="center"/>
              <w:textAlignment w:val="bottom"/>
              <w:rPr>
                <w:rFonts w:ascii="仿宋_GB2312" w:hAnsi="仿宋_GB2312" w:eastAsia="仿宋_GB2312" w:cs="仿宋_GB2312"/>
                <w:sz w:val="28"/>
                <w:szCs w:val="28"/>
              </w:rPr>
            </w:pPr>
          </w:p>
        </w:tc>
        <w:tc>
          <w:tcPr>
            <w:tcW w:w="1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784A83">
            <w:pPr>
              <w:widowControl/>
              <w:spacing w:line="320" w:lineRule="exact"/>
              <w:jc w:val="center"/>
              <w:textAlignment w:val="bottom"/>
              <w:rPr>
                <w:rFonts w:ascii="仿宋_GB2312" w:hAnsi="仿宋_GB2312" w:eastAsia="仿宋_GB2312" w:cs="仿宋_GB2312"/>
                <w:sz w:val="28"/>
                <w:szCs w:val="28"/>
              </w:rPr>
            </w:pPr>
          </w:p>
        </w:tc>
      </w:tr>
      <w:tr w14:paraId="22681645">
        <w:tblPrEx>
          <w:tblCellMar>
            <w:top w:w="0" w:type="dxa"/>
            <w:left w:w="108" w:type="dxa"/>
            <w:bottom w:w="0" w:type="dxa"/>
            <w:right w:w="108" w:type="dxa"/>
          </w:tblCellMar>
        </w:tblPrEx>
        <w:trPr>
          <w:trHeight w:val="415" w:hRule="atLeast"/>
          <w:jc w:val="center"/>
        </w:trPr>
        <w:tc>
          <w:tcPr>
            <w:tcW w:w="1654" w:type="dxa"/>
            <w:vMerge w:val="continue"/>
            <w:tcBorders>
              <w:left w:val="single" w:color="000000" w:sz="4" w:space="0"/>
              <w:right w:val="single" w:color="000000" w:sz="4" w:space="0"/>
            </w:tcBorders>
            <w:shd w:val="clear" w:color="auto" w:fill="auto"/>
            <w:vAlign w:val="center"/>
          </w:tcPr>
          <w:p w14:paraId="6D0B2799">
            <w:pPr>
              <w:spacing w:line="320" w:lineRule="exact"/>
              <w:jc w:val="center"/>
              <w:rPr>
                <w:rFonts w:ascii="仿宋_GB2312" w:hAnsi="仿宋_GB2312" w:eastAsia="仿宋_GB2312" w:cs="仿宋_GB2312"/>
                <w:sz w:val="28"/>
                <w:szCs w:val="28"/>
              </w:rPr>
            </w:pPr>
          </w:p>
        </w:tc>
        <w:tc>
          <w:tcPr>
            <w:tcW w:w="10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F32304">
            <w:pPr>
              <w:spacing w:line="320" w:lineRule="exact"/>
              <w:jc w:val="center"/>
              <w:rPr>
                <w:rFonts w:ascii="仿宋_GB2312" w:hAnsi="仿宋_GB2312" w:eastAsia="仿宋_GB2312" w:cs="仿宋_GB2312"/>
                <w:sz w:val="28"/>
                <w:szCs w:val="28"/>
              </w:rPr>
            </w:pP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2339C0">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质量指标</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AAF425">
            <w:pPr>
              <w:widowControl/>
              <w:spacing w:line="320" w:lineRule="exact"/>
              <w:jc w:val="center"/>
              <w:textAlignment w:val="bottom"/>
              <w:rPr>
                <w:rFonts w:ascii="仿宋_GB2312" w:hAnsi="仿宋_GB2312" w:eastAsia="仿宋_GB2312" w:cs="仿宋_GB2312"/>
                <w:sz w:val="28"/>
                <w:szCs w:val="28"/>
              </w:rPr>
            </w:pP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D16A38">
            <w:pPr>
              <w:widowControl/>
              <w:spacing w:line="320" w:lineRule="exact"/>
              <w:jc w:val="center"/>
              <w:textAlignment w:val="bottom"/>
              <w:rPr>
                <w:rFonts w:ascii="仿宋_GB2312" w:hAnsi="仿宋_GB2312" w:eastAsia="仿宋_GB2312" w:cs="仿宋_GB2312"/>
                <w:sz w:val="28"/>
                <w:szCs w:val="28"/>
              </w:rPr>
            </w:pPr>
          </w:p>
        </w:tc>
        <w:tc>
          <w:tcPr>
            <w:tcW w:w="1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C58EF4">
            <w:pPr>
              <w:widowControl/>
              <w:spacing w:line="320" w:lineRule="exact"/>
              <w:jc w:val="center"/>
              <w:textAlignment w:val="bottom"/>
              <w:rPr>
                <w:rFonts w:ascii="仿宋_GB2312" w:hAnsi="仿宋_GB2312" w:eastAsia="仿宋_GB2312" w:cs="仿宋_GB2312"/>
                <w:sz w:val="28"/>
                <w:szCs w:val="28"/>
              </w:rPr>
            </w:pPr>
          </w:p>
        </w:tc>
      </w:tr>
      <w:tr w14:paraId="51C58F9A">
        <w:tblPrEx>
          <w:tblCellMar>
            <w:top w:w="0" w:type="dxa"/>
            <w:left w:w="108" w:type="dxa"/>
            <w:bottom w:w="0" w:type="dxa"/>
            <w:right w:w="108" w:type="dxa"/>
          </w:tblCellMar>
        </w:tblPrEx>
        <w:trPr>
          <w:trHeight w:val="415" w:hRule="atLeast"/>
          <w:jc w:val="center"/>
        </w:trPr>
        <w:tc>
          <w:tcPr>
            <w:tcW w:w="1654" w:type="dxa"/>
            <w:vMerge w:val="continue"/>
            <w:tcBorders>
              <w:left w:val="single" w:color="000000" w:sz="4" w:space="0"/>
              <w:right w:val="single" w:color="000000" w:sz="4" w:space="0"/>
            </w:tcBorders>
            <w:shd w:val="clear" w:color="auto" w:fill="auto"/>
            <w:vAlign w:val="center"/>
          </w:tcPr>
          <w:p w14:paraId="49B71F45">
            <w:pPr>
              <w:spacing w:line="320" w:lineRule="exact"/>
              <w:jc w:val="center"/>
              <w:rPr>
                <w:rFonts w:ascii="仿宋_GB2312" w:hAnsi="仿宋_GB2312" w:eastAsia="仿宋_GB2312" w:cs="仿宋_GB2312"/>
                <w:sz w:val="28"/>
                <w:szCs w:val="28"/>
              </w:rPr>
            </w:pPr>
          </w:p>
        </w:tc>
        <w:tc>
          <w:tcPr>
            <w:tcW w:w="10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BBD5A0">
            <w:pPr>
              <w:spacing w:line="320" w:lineRule="exact"/>
              <w:jc w:val="center"/>
              <w:rPr>
                <w:rFonts w:ascii="仿宋_GB2312" w:hAnsi="仿宋_GB2312" w:eastAsia="仿宋_GB2312" w:cs="仿宋_GB2312"/>
                <w:sz w:val="28"/>
                <w:szCs w:val="28"/>
              </w:rPr>
            </w:pP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488A7E">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时效指标</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32E61A">
            <w:pPr>
              <w:widowControl/>
              <w:spacing w:line="320" w:lineRule="exact"/>
              <w:jc w:val="center"/>
              <w:textAlignment w:val="bottom"/>
              <w:rPr>
                <w:rFonts w:ascii="仿宋_GB2312" w:hAnsi="仿宋_GB2312" w:eastAsia="仿宋_GB2312" w:cs="仿宋_GB2312"/>
                <w:sz w:val="28"/>
                <w:szCs w:val="28"/>
              </w:rPr>
            </w:pP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1B8A86">
            <w:pPr>
              <w:widowControl/>
              <w:spacing w:line="320" w:lineRule="exact"/>
              <w:jc w:val="center"/>
              <w:textAlignment w:val="bottom"/>
              <w:rPr>
                <w:rFonts w:ascii="仿宋_GB2312" w:hAnsi="仿宋_GB2312" w:eastAsia="仿宋_GB2312" w:cs="仿宋_GB2312"/>
                <w:sz w:val="28"/>
                <w:szCs w:val="28"/>
              </w:rPr>
            </w:pPr>
          </w:p>
        </w:tc>
        <w:tc>
          <w:tcPr>
            <w:tcW w:w="1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04C783">
            <w:pPr>
              <w:widowControl/>
              <w:spacing w:line="320" w:lineRule="exact"/>
              <w:jc w:val="center"/>
              <w:textAlignment w:val="bottom"/>
              <w:rPr>
                <w:rFonts w:ascii="仿宋_GB2312" w:hAnsi="仿宋_GB2312" w:eastAsia="仿宋_GB2312" w:cs="仿宋_GB2312"/>
                <w:sz w:val="28"/>
                <w:szCs w:val="28"/>
              </w:rPr>
            </w:pPr>
          </w:p>
        </w:tc>
      </w:tr>
      <w:tr w14:paraId="2101A5BF">
        <w:tblPrEx>
          <w:tblCellMar>
            <w:top w:w="0" w:type="dxa"/>
            <w:left w:w="108" w:type="dxa"/>
            <w:bottom w:w="0" w:type="dxa"/>
            <w:right w:w="108" w:type="dxa"/>
          </w:tblCellMar>
        </w:tblPrEx>
        <w:trPr>
          <w:trHeight w:val="480" w:hRule="atLeast"/>
          <w:jc w:val="center"/>
        </w:trPr>
        <w:tc>
          <w:tcPr>
            <w:tcW w:w="1654" w:type="dxa"/>
            <w:vMerge w:val="continue"/>
            <w:tcBorders>
              <w:left w:val="single" w:color="000000" w:sz="4" w:space="0"/>
              <w:right w:val="single" w:color="000000" w:sz="4" w:space="0"/>
            </w:tcBorders>
            <w:shd w:val="clear" w:color="auto" w:fill="auto"/>
            <w:vAlign w:val="center"/>
          </w:tcPr>
          <w:p w14:paraId="0E12FC3E">
            <w:pPr>
              <w:spacing w:line="320" w:lineRule="exact"/>
              <w:jc w:val="center"/>
              <w:rPr>
                <w:rFonts w:ascii="仿宋_GB2312" w:hAnsi="仿宋_GB2312" w:eastAsia="仿宋_GB2312" w:cs="仿宋_GB2312"/>
                <w:sz w:val="28"/>
                <w:szCs w:val="28"/>
              </w:rPr>
            </w:pPr>
          </w:p>
        </w:tc>
        <w:tc>
          <w:tcPr>
            <w:tcW w:w="10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324EE7">
            <w:pPr>
              <w:spacing w:line="320" w:lineRule="exact"/>
              <w:jc w:val="center"/>
              <w:rPr>
                <w:rFonts w:ascii="仿宋_GB2312" w:hAnsi="仿宋_GB2312" w:eastAsia="仿宋_GB2312" w:cs="仿宋_GB2312"/>
                <w:sz w:val="28"/>
                <w:szCs w:val="28"/>
              </w:rPr>
            </w:pP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06AC5E">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成本指标</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17CDCB">
            <w:pPr>
              <w:widowControl/>
              <w:spacing w:line="320" w:lineRule="exact"/>
              <w:jc w:val="center"/>
              <w:textAlignment w:val="bottom"/>
              <w:rPr>
                <w:rFonts w:ascii="仿宋_GB2312" w:hAnsi="仿宋_GB2312" w:eastAsia="仿宋_GB2312" w:cs="仿宋_GB2312"/>
                <w:sz w:val="28"/>
                <w:szCs w:val="28"/>
              </w:rPr>
            </w:pP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6CA2AB">
            <w:pPr>
              <w:widowControl/>
              <w:spacing w:line="320" w:lineRule="exact"/>
              <w:jc w:val="center"/>
              <w:textAlignment w:val="bottom"/>
              <w:rPr>
                <w:rFonts w:ascii="仿宋_GB2312" w:hAnsi="仿宋_GB2312" w:eastAsia="仿宋_GB2312" w:cs="仿宋_GB2312"/>
                <w:sz w:val="28"/>
                <w:szCs w:val="28"/>
              </w:rPr>
            </w:pPr>
          </w:p>
        </w:tc>
        <w:tc>
          <w:tcPr>
            <w:tcW w:w="1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69FFF3">
            <w:pPr>
              <w:widowControl/>
              <w:spacing w:line="320" w:lineRule="exact"/>
              <w:jc w:val="center"/>
              <w:textAlignment w:val="bottom"/>
              <w:rPr>
                <w:rFonts w:ascii="仿宋_GB2312" w:hAnsi="仿宋_GB2312" w:eastAsia="仿宋_GB2312" w:cs="仿宋_GB2312"/>
                <w:sz w:val="28"/>
                <w:szCs w:val="28"/>
              </w:rPr>
            </w:pPr>
          </w:p>
        </w:tc>
      </w:tr>
      <w:tr w14:paraId="06A460E8">
        <w:tblPrEx>
          <w:tblCellMar>
            <w:top w:w="0" w:type="dxa"/>
            <w:left w:w="108" w:type="dxa"/>
            <w:bottom w:w="0" w:type="dxa"/>
            <w:right w:w="108" w:type="dxa"/>
          </w:tblCellMar>
        </w:tblPrEx>
        <w:trPr>
          <w:trHeight w:val="480" w:hRule="atLeast"/>
          <w:jc w:val="center"/>
        </w:trPr>
        <w:tc>
          <w:tcPr>
            <w:tcW w:w="1654" w:type="dxa"/>
            <w:vMerge w:val="continue"/>
            <w:tcBorders>
              <w:left w:val="single" w:color="000000" w:sz="4" w:space="0"/>
              <w:right w:val="single" w:color="000000" w:sz="4" w:space="0"/>
            </w:tcBorders>
            <w:shd w:val="clear" w:color="auto" w:fill="auto"/>
            <w:vAlign w:val="center"/>
          </w:tcPr>
          <w:p w14:paraId="676A77E8">
            <w:pPr>
              <w:spacing w:line="320" w:lineRule="exact"/>
              <w:jc w:val="center"/>
              <w:rPr>
                <w:rFonts w:ascii="仿宋_GB2312" w:hAnsi="仿宋_GB2312" w:eastAsia="仿宋_GB2312" w:cs="仿宋_GB2312"/>
                <w:sz w:val="28"/>
                <w:szCs w:val="28"/>
              </w:rPr>
            </w:pPr>
          </w:p>
        </w:tc>
        <w:tc>
          <w:tcPr>
            <w:tcW w:w="108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5906E63">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效益</w:t>
            </w:r>
            <w:r>
              <w:rPr>
                <w:rFonts w:hint="eastAsia" w:ascii="仿宋_GB2312" w:hAnsi="仿宋_GB2312" w:eastAsia="仿宋_GB2312" w:cs="仿宋_GB2312"/>
                <w:kern w:val="0"/>
                <w:sz w:val="28"/>
                <w:szCs w:val="28"/>
                <w:lang w:bidi="ar"/>
              </w:rPr>
              <w:br w:type="textWrapping"/>
            </w:r>
            <w:r>
              <w:rPr>
                <w:rFonts w:hint="eastAsia" w:ascii="仿宋_GB2312" w:hAnsi="仿宋_GB2312" w:eastAsia="仿宋_GB2312" w:cs="仿宋_GB2312"/>
                <w:kern w:val="0"/>
                <w:sz w:val="28"/>
                <w:szCs w:val="28"/>
                <w:lang w:bidi="ar"/>
              </w:rPr>
              <w:t>指标</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45E9B5">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经济效益指标</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1DB268">
            <w:pPr>
              <w:widowControl/>
              <w:spacing w:line="320" w:lineRule="exact"/>
              <w:jc w:val="center"/>
              <w:textAlignment w:val="bottom"/>
              <w:rPr>
                <w:rFonts w:ascii="仿宋_GB2312" w:hAnsi="仿宋_GB2312" w:eastAsia="仿宋_GB2312" w:cs="仿宋_GB2312"/>
                <w:sz w:val="28"/>
                <w:szCs w:val="28"/>
              </w:rPr>
            </w:pP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15B50B">
            <w:pPr>
              <w:widowControl/>
              <w:spacing w:line="320" w:lineRule="exact"/>
              <w:jc w:val="center"/>
              <w:textAlignment w:val="bottom"/>
              <w:rPr>
                <w:rFonts w:ascii="仿宋_GB2312" w:hAnsi="仿宋_GB2312" w:eastAsia="仿宋_GB2312" w:cs="仿宋_GB2312"/>
                <w:sz w:val="28"/>
                <w:szCs w:val="28"/>
              </w:rPr>
            </w:pPr>
          </w:p>
        </w:tc>
        <w:tc>
          <w:tcPr>
            <w:tcW w:w="1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E76CDC">
            <w:pPr>
              <w:widowControl/>
              <w:spacing w:line="320" w:lineRule="exact"/>
              <w:jc w:val="center"/>
              <w:textAlignment w:val="bottom"/>
              <w:rPr>
                <w:rFonts w:ascii="仿宋_GB2312" w:hAnsi="仿宋_GB2312" w:eastAsia="仿宋_GB2312" w:cs="仿宋_GB2312"/>
                <w:sz w:val="28"/>
                <w:szCs w:val="28"/>
              </w:rPr>
            </w:pPr>
          </w:p>
        </w:tc>
      </w:tr>
      <w:tr w14:paraId="27D7C435">
        <w:tblPrEx>
          <w:tblCellMar>
            <w:top w:w="0" w:type="dxa"/>
            <w:left w:w="108" w:type="dxa"/>
            <w:bottom w:w="0" w:type="dxa"/>
            <w:right w:w="108" w:type="dxa"/>
          </w:tblCellMar>
        </w:tblPrEx>
        <w:trPr>
          <w:trHeight w:val="480" w:hRule="atLeast"/>
          <w:jc w:val="center"/>
        </w:trPr>
        <w:tc>
          <w:tcPr>
            <w:tcW w:w="1654" w:type="dxa"/>
            <w:vMerge w:val="continue"/>
            <w:tcBorders>
              <w:left w:val="single" w:color="000000" w:sz="4" w:space="0"/>
              <w:right w:val="single" w:color="000000" w:sz="4" w:space="0"/>
            </w:tcBorders>
            <w:shd w:val="clear" w:color="auto" w:fill="auto"/>
            <w:vAlign w:val="center"/>
          </w:tcPr>
          <w:p w14:paraId="63083D15">
            <w:pPr>
              <w:spacing w:line="320" w:lineRule="exact"/>
              <w:jc w:val="center"/>
              <w:rPr>
                <w:rFonts w:ascii="仿宋_GB2312" w:hAnsi="仿宋_GB2312" w:eastAsia="仿宋_GB2312" w:cs="仿宋_GB2312"/>
                <w:sz w:val="28"/>
                <w:szCs w:val="28"/>
              </w:rPr>
            </w:pPr>
          </w:p>
        </w:tc>
        <w:tc>
          <w:tcPr>
            <w:tcW w:w="10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B72904">
            <w:pPr>
              <w:spacing w:line="320" w:lineRule="exact"/>
              <w:jc w:val="center"/>
              <w:rPr>
                <w:rFonts w:ascii="仿宋_GB2312" w:hAnsi="仿宋_GB2312" w:eastAsia="仿宋_GB2312" w:cs="仿宋_GB2312"/>
                <w:sz w:val="28"/>
                <w:szCs w:val="28"/>
              </w:rPr>
            </w:pP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4DF709">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社会效益指标</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0DAFB9">
            <w:pPr>
              <w:widowControl/>
              <w:spacing w:line="320" w:lineRule="exact"/>
              <w:jc w:val="center"/>
              <w:textAlignment w:val="bottom"/>
              <w:rPr>
                <w:rFonts w:ascii="仿宋_GB2312" w:hAnsi="仿宋_GB2312" w:eastAsia="仿宋_GB2312" w:cs="仿宋_GB2312"/>
                <w:sz w:val="28"/>
                <w:szCs w:val="28"/>
              </w:rPr>
            </w:pP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6B60A4">
            <w:pPr>
              <w:widowControl/>
              <w:spacing w:line="320" w:lineRule="exact"/>
              <w:jc w:val="center"/>
              <w:textAlignment w:val="bottom"/>
              <w:rPr>
                <w:rFonts w:ascii="仿宋_GB2312" w:hAnsi="仿宋_GB2312" w:eastAsia="仿宋_GB2312" w:cs="仿宋_GB2312"/>
                <w:sz w:val="28"/>
                <w:szCs w:val="28"/>
              </w:rPr>
            </w:pPr>
          </w:p>
        </w:tc>
        <w:tc>
          <w:tcPr>
            <w:tcW w:w="1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1A38BC">
            <w:pPr>
              <w:widowControl/>
              <w:spacing w:line="320" w:lineRule="exact"/>
              <w:jc w:val="center"/>
              <w:textAlignment w:val="bottom"/>
              <w:rPr>
                <w:rFonts w:ascii="仿宋_GB2312" w:hAnsi="仿宋_GB2312" w:eastAsia="仿宋_GB2312" w:cs="仿宋_GB2312"/>
                <w:sz w:val="28"/>
                <w:szCs w:val="28"/>
              </w:rPr>
            </w:pPr>
          </w:p>
        </w:tc>
      </w:tr>
      <w:tr w14:paraId="62756680">
        <w:tblPrEx>
          <w:tblCellMar>
            <w:top w:w="0" w:type="dxa"/>
            <w:left w:w="108" w:type="dxa"/>
            <w:bottom w:w="0" w:type="dxa"/>
            <w:right w:w="108" w:type="dxa"/>
          </w:tblCellMar>
        </w:tblPrEx>
        <w:trPr>
          <w:trHeight w:val="577" w:hRule="atLeast"/>
          <w:jc w:val="center"/>
        </w:trPr>
        <w:tc>
          <w:tcPr>
            <w:tcW w:w="1654" w:type="dxa"/>
            <w:vMerge w:val="continue"/>
            <w:tcBorders>
              <w:left w:val="single" w:color="000000" w:sz="4" w:space="0"/>
              <w:right w:val="single" w:color="000000" w:sz="4" w:space="0"/>
            </w:tcBorders>
            <w:shd w:val="clear" w:color="auto" w:fill="auto"/>
            <w:vAlign w:val="center"/>
          </w:tcPr>
          <w:p w14:paraId="4EC38DC9">
            <w:pPr>
              <w:spacing w:line="320" w:lineRule="exact"/>
              <w:jc w:val="center"/>
              <w:rPr>
                <w:rFonts w:ascii="仿宋_GB2312" w:hAnsi="仿宋_GB2312" w:eastAsia="仿宋_GB2312" w:cs="仿宋_GB2312"/>
                <w:sz w:val="28"/>
                <w:szCs w:val="28"/>
              </w:rPr>
            </w:pPr>
          </w:p>
        </w:tc>
        <w:tc>
          <w:tcPr>
            <w:tcW w:w="10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1015D5">
            <w:pPr>
              <w:spacing w:line="320" w:lineRule="exact"/>
              <w:jc w:val="center"/>
              <w:rPr>
                <w:rFonts w:ascii="仿宋_GB2312" w:hAnsi="仿宋_GB2312" w:eastAsia="仿宋_GB2312" w:cs="仿宋_GB2312"/>
                <w:sz w:val="28"/>
                <w:szCs w:val="28"/>
              </w:rPr>
            </w:pP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0C14E7">
            <w:pPr>
              <w:widowControl/>
              <w:spacing w:line="320" w:lineRule="exact"/>
              <w:ind w:left="463" w:leftChars="87" w:hanging="280" w:hangingChars="100"/>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生态效益指标</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597650">
            <w:pPr>
              <w:widowControl/>
              <w:spacing w:line="320" w:lineRule="exact"/>
              <w:jc w:val="center"/>
              <w:textAlignment w:val="bottom"/>
              <w:rPr>
                <w:rFonts w:ascii="仿宋_GB2312" w:hAnsi="仿宋_GB2312" w:eastAsia="仿宋_GB2312" w:cs="仿宋_GB2312"/>
                <w:sz w:val="28"/>
                <w:szCs w:val="28"/>
              </w:rPr>
            </w:pP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76EDBC">
            <w:pPr>
              <w:widowControl/>
              <w:spacing w:line="320" w:lineRule="exact"/>
              <w:jc w:val="center"/>
              <w:textAlignment w:val="bottom"/>
              <w:rPr>
                <w:rFonts w:ascii="仿宋_GB2312" w:hAnsi="仿宋_GB2312" w:eastAsia="仿宋_GB2312" w:cs="仿宋_GB2312"/>
                <w:sz w:val="28"/>
                <w:szCs w:val="28"/>
              </w:rPr>
            </w:pPr>
          </w:p>
        </w:tc>
        <w:tc>
          <w:tcPr>
            <w:tcW w:w="1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1A8BE1">
            <w:pPr>
              <w:widowControl/>
              <w:spacing w:line="320" w:lineRule="exact"/>
              <w:jc w:val="center"/>
              <w:textAlignment w:val="bottom"/>
              <w:rPr>
                <w:rFonts w:ascii="仿宋_GB2312" w:hAnsi="仿宋_GB2312" w:eastAsia="仿宋_GB2312" w:cs="仿宋_GB2312"/>
                <w:sz w:val="28"/>
                <w:szCs w:val="28"/>
              </w:rPr>
            </w:pPr>
          </w:p>
        </w:tc>
      </w:tr>
      <w:tr w14:paraId="29D77A98">
        <w:tblPrEx>
          <w:tblCellMar>
            <w:top w:w="0" w:type="dxa"/>
            <w:left w:w="108" w:type="dxa"/>
            <w:bottom w:w="0" w:type="dxa"/>
            <w:right w:w="108" w:type="dxa"/>
          </w:tblCellMar>
        </w:tblPrEx>
        <w:trPr>
          <w:trHeight w:val="480" w:hRule="atLeast"/>
          <w:jc w:val="center"/>
        </w:trPr>
        <w:tc>
          <w:tcPr>
            <w:tcW w:w="1654" w:type="dxa"/>
            <w:vMerge w:val="continue"/>
            <w:tcBorders>
              <w:left w:val="single" w:color="000000" w:sz="4" w:space="0"/>
              <w:right w:val="single" w:color="000000" w:sz="4" w:space="0"/>
            </w:tcBorders>
            <w:shd w:val="clear" w:color="auto" w:fill="auto"/>
            <w:vAlign w:val="center"/>
          </w:tcPr>
          <w:p w14:paraId="05CDABB0">
            <w:pPr>
              <w:spacing w:line="320" w:lineRule="exact"/>
              <w:jc w:val="center"/>
              <w:rPr>
                <w:rFonts w:ascii="仿宋_GB2312" w:hAnsi="仿宋_GB2312" w:eastAsia="仿宋_GB2312" w:cs="仿宋_GB2312"/>
                <w:sz w:val="28"/>
                <w:szCs w:val="28"/>
              </w:rPr>
            </w:pPr>
          </w:p>
        </w:tc>
        <w:tc>
          <w:tcPr>
            <w:tcW w:w="10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72B3ED">
            <w:pPr>
              <w:spacing w:line="320" w:lineRule="exact"/>
              <w:jc w:val="center"/>
              <w:rPr>
                <w:rFonts w:ascii="仿宋_GB2312" w:hAnsi="仿宋_GB2312" w:eastAsia="仿宋_GB2312" w:cs="仿宋_GB2312"/>
                <w:sz w:val="28"/>
                <w:szCs w:val="28"/>
              </w:rPr>
            </w:pP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D0985D">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可持续影响指标</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C01105">
            <w:pPr>
              <w:widowControl/>
              <w:spacing w:line="320" w:lineRule="exact"/>
              <w:jc w:val="center"/>
              <w:textAlignment w:val="bottom"/>
              <w:rPr>
                <w:rFonts w:ascii="仿宋_GB2312" w:hAnsi="仿宋_GB2312" w:eastAsia="仿宋_GB2312" w:cs="仿宋_GB2312"/>
                <w:sz w:val="28"/>
                <w:szCs w:val="28"/>
              </w:rPr>
            </w:pP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E3037C">
            <w:pPr>
              <w:widowControl/>
              <w:spacing w:line="320" w:lineRule="exact"/>
              <w:jc w:val="center"/>
              <w:textAlignment w:val="bottom"/>
              <w:rPr>
                <w:rFonts w:ascii="仿宋_GB2312" w:hAnsi="仿宋_GB2312" w:eastAsia="仿宋_GB2312" w:cs="仿宋_GB2312"/>
                <w:sz w:val="28"/>
                <w:szCs w:val="28"/>
              </w:rPr>
            </w:pPr>
          </w:p>
        </w:tc>
        <w:tc>
          <w:tcPr>
            <w:tcW w:w="1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14A1C9">
            <w:pPr>
              <w:widowControl/>
              <w:spacing w:line="320" w:lineRule="exact"/>
              <w:jc w:val="center"/>
              <w:textAlignment w:val="bottom"/>
              <w:rPr>
                <w:rFonts w:ascii="仿宋_GB2312" w:hAnsi="仿宋_GB2312" w:eastAsia="仿宋_GB2312" w:cs="仿宋_GB2312"/>
                <w:sz w:val="28"/>
                <w:szCs w:val="28"/>
              </w:rPr>
            </w:pPr>
          </w:p>
        </w:tc>
      </w:tr>
      <w:tr w14:paraId="72E0DA9D">
        <w:tblPrEx>
          <w:tblCellMar>
            <w:top w:w="0" w:type="dxa"/>
            <w:left w:w="108" w:type="dxa"/>
            <w:bottom w:w="0" w:type="dxa"/>
            <w:right w:w="108" w:type="dxa"/>
          </w:tblCellMar>
        </w:tblPrEx>
        <w:trPr>
          <w:trHeight w:val="770" w:hRule="atLeast"/>
          <w:jc w:val="center"/>
        </w:trPr>
        <w:tc>
          <w:tcPr>
            <w:tcW w:w="1654" w:type="dxa"/>
            <w:vMerge w:val="continue"/>
            <w:tcBorders>
              <w:left w:val="single" w:color="000000" w:sz="4" w:space="0"/>
              <w:bottom w:val="single" w:color="000000" w:sz="4" w:space="0"/>
              <w:right w:val="single" w:color="000000" w:sz="4" w:space="0"/>
            </w:tcBorders>
            <w:shd w:val="clear" w:color="auto" w:fill="auto"/>
            <w:vAlign w:val="center"/>
          </w:tcPr>
          <w:p w14:paraId="194CDF98">
            <w:pPr>
              <w:spacing w:line="320" w:lineRule="exact"/>
              <w:jc w:val="center"/>
              <w:rPr>
                <w:rFonts w:ascii="仿宋_GB2312" w:hAnsi="仿宋_GB2312" w:eastAsia="仿宋_GB2312" w:cs="仿宋_GB2312"/>
                <w:sz w:val="28"/>
                <w:szCs w:val="28"/>
              </w:rPr>
            </w:pPr>
          </w:p>
        </w:tc>
        <w:tc>
          <w:tcPr>
            <w:tcW w:w="1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66E021">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满意</w:t>
            </w:r>
            <w:r>
              <w:rPr>
                <w:rFonts w:hint="eastAsia" w:ascii="仿宋_GB2312" w:hAnsi="仿宋_GB2312" w:eastAsia="仿宋_GB2312" w:cs="仿宋_GB2312"/>
                <w:kern w:val="0"/>
                <w:sz w:val="28"/>
                <w:szCs w:val="28"/>
                <w:lang w:bidi="ar"/>
              </w:rPr>
              <w:br w:type="textWrapping"/>
            </w:r>
            <w:r>
              <w:rPr>
                <w:rFonts w:hint="eastAsia" w:ascii="仿宋_GB2312" w:hAnsi="仿宋_GB2312" w:eastAsia="仿宋_GB2312" w:cs="仿宋_GB2312"/>
                <w:kern w:val="0"/>
                <w:sz w:val="28"/>
                <w:szCs w:val="28"/>
                <w:lang w:bidi="ar"/>
              </w:rPr>
              <w:t>度指标</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DC12C3">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满意度指标</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1F784D">
            <w:pPr>
              <w:widowControl/>
              <w:spacing w:line="320" w:lineRule="exact"/>
              <w:jc w:val="center"/>
              <w:textAlignment w:val="bottom"/>
              <w:rPr>
                <w:rFonts w:ascii="仿宋_GB2312" w:hAnsi="仿宋_GB2312" w:eastAsia="仿宋_GB2312" w:cs="仿宋_GB2312"/>
                <w:sz w:val="28"/>
                <w:szCs w:val="28"/>
              </w:rPr>
            </w:pP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B883CB">
            <w:pPr>
              <w:widowControl/>
              <w:spacing w:line="320" w:lineRule="exact"/>
              <w:jc w:val="center"/>
              <w:textAlignment w:val="bottom"/>
              <w:rPr>
                <w:rFonts w:ascii="仿宋_GB2312" w:hAnsi="仿宋_GB2312" w:eastAsia="仿宋_GB2312" w:cs="仿宋_GB2312"/>
                <w:sz w:val="28"/>
                <w:szCs w:val="28"/>
              </w:rPr>
            </w:pPr>
          </w:p>
        </w:tc>
        <w:tc>
          <w:tcPr>
            <w:tcW w:w="1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213915">
            <w:pPr>
              <w:widowControl/>
              <w:spacing w:line="320" w:lineRule="exact"/>
              <w:jc w:val="center"/>
              <w:textAlignment w:val="bottom"/>
              <w:rPr>
                <w:rFonts w:ascii="仿宋_GB2312" w:hAnsi="仿宋_GB2312" w:eastAsia="仿宋_GB2312" w:cs="仿宋_GB2312"/>
                <w:sz w:val="28"/>
                <w:szCs w:val="28"/>
              </w:rPr>
            </w:pPr>
          </w:p>
        </w:tc>
      </w:tr>
    </w:tbl>
    <w:p w14:paraId="5A192F82">
      <w:pPr>
        <w:widowControl/>
        <w:adjustRightInd w:val="0"/>
        <w:snapToGrid w:val="0"/>
        <w:spacing w:line="580" w:lineRule="exact"/>
        <w:contextualSpacing/>
        <w:jc w:val="left"/>
        <w:rPr>
          <w:rFonts w:ascii="仿宋_GB2312" w:hAnsi="宋体" w:eastAsia="仿宋_GB2312" w:cs="宋体"/>
          <w:color w:val="000000"/>
          <w:kern w:val="0"/>
          <w:sz w:val="32"/>
          <w:szCs w:val="32"/>
          <w:shd w:val="clear" w:color="auto" w:fill="FFFFFF"/>
        </w:rPr>
      </w:pPr>
    </w:p>
    <w:p w14:paraId="61D959B4">
      <w:pPr>
        <w:widowControl/>
        <w:adjustRightInd w:val="0"/>
        <w:snapToGrid w:val="0"/>
        <w:spacing w:line="400" w:lineRule="exact"/>
        <w:ind w:firstLine="560" w:firstLineChars="200"/>
        <w:contextualSpacing/>
        <w:jc w:val="left"/>
        <w:rPr>
          <w:sz w:val="28"/>
          <w:szCs w:val="28"/>
        </w:rPr>
      </w:pPr>
      <w:r>
        <w:rPr>
          <w:rFonts w:hint="eastAsia" w:ascii="仿宋_GB2312" w:hAnsi="宋体" w:eastAsia="仿宋_GB2312" w:cs="宋体"/>
          <w:color w:val="000000"/>
          <w:kern w:val="0"/>
          <w:sz w:val="28"/>
          <w:szCs w:val="28"/>
          <w:shd w:val="clear" w:color="auto" w:fill="FFFFFF"/>
        </w:rPr>
        <w:t>（注：有两个及以上100万元以上（含）特定目标类部门预算项目的，需分别开展绩效目标自评并填写附表;</w:t>
      </w:r>
      <w:r>
        <w:rPr>
          <w:rFonts w:ascii="仿宋_GB2312" w:hAnsi="宋体" w:eastAsia="仿宋_GB2312" w:cs="宋体"/>
          <w:kern w:val="0"/>
          <w:sz w:val="28"/>
          <w:szCs w:val="28"/>
          <w:shd w:val="clear" w:color="auto" w:fill="FFFFFF"/>
        </w:rPr>
        <w:t>100</w:t>
      </w:r>
      <w:r>
        <w:rPr>
          <w:rFonts w:hint="eastAsia" w:ascii="仿宋_GB2312" w:hAnsi="宋体" w:eastAsia="仿宋_GB2312" w:cs="宋体"/>
          <w:kern w:val="0"/>
          <w:sz w:val="28"/>
          <w:szCs w:val="28"/>
          <w:shd w:val="clear" w:color="auto" w:fill="FFFFFF"/>
        </w:rPr>
        <w:t>万元以下的特定目标类部门预算项目，项目数在5个以内的据实</w:t>
      </w:r>
      <w:bookmarkStart w:id="54" w:name="_Hlk112849495"/>
      <w:r>
        <w:rPr>
          <w:rFonts w:hint="eastAsia" w:ascii="仿宋_GB2312" w:hAnsi="宋体" w:eastAsia="仿宋_GB2312" w:cs="宋体"/>
          <w:kern w:val="0"/>
          <w:sz w:val="28"/>
          <w:szCs w:val="28"/>
          <w:shd w:val="clear" w:color="auto" w:fill="FFFFFF"/>
        </w:rPr>
        <w:t>分别开展绩效目标自评并填写附表</w:t>
      </w:r>
      <w:bookmarkEnd w:id="54"/>
      <w:r>
        <w:rPr>
          <w:rFonts w:hint="eastAsia" w:ascii="仿宋_GB2312" w:hAnsi="宋体" w:eastAsia="仿宋_GB2312" w:cs="宋体"/>
          <w:kern w:val="0"/>
          <w:sz w:val="28"/>
          <w:szCs w:val="28"/>
          <w:shd w:val="clear" w:color="auto" w:fill="FFFFFF"/>
        </w:rPr>
        <w:t>，达到或超过5个的至少选择5个分别开展绩效目标自评并填写附表</w:t>
      </w:r>
      <w:r>
        <w:rPr>
          <w:rFonts w:hint="eastAsia" w:ascii="仿宋_GB2312" w:hAnsi="宋体" w:eastAsia="仿宋_GB2312" w:cs="宋体"/>
          <w:color w:val="000000"/>
          <w:kern w:val="0"/>
          <w:sz w:val="28"/>
          <w:szCs w:val="28"/>
          <w:shd w:val="clear" w:color="auto" w:fill="FFFFFF"/>
        </w:rPr>
        <w:t>）</w:t>
      </w:r>
    </w:p>
    <w:p w14:paraId="22FDE1CD">
      <w:pPr>
        <w:spacing w:line="600" w:lineRule="exact"/>
        <w:jc w:val="center"/>
        <w:outlineLvl w:val="0"/>
        <w:rPr>
          <w:rFonts w:ascii="黑体" w:hAnsi="黑体" w:eastAsia="黑体"/>
          <w:sz w:val="44"/>
          <w:szCs w:val="44"/>
        </w:rPr>
      </w:pPr>
    </w:p>
    <w:p w14:paraId="4E6FA3FE">
      <w:pPr>
        <w:numPr>
          <w:ilvl w:val="0"/>
          <w:numId w:val="2"/>
        </w:numPr>
        <w:spacing w:line="600" w:lineRule="exact"/>
        <w:jc w:val="center"/>
        <w:rPr>
          <w:rFonts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附  表</w:t>
      </w:r>
      <w:bookmarkEnd w:id="51"/>
      <w:bookmarkEnd w:id="53"/>
      <w:bookmarkStart w:id="55" w:name="_Toc15396619"/>
    </w:p>
    <w:p w14:paraId="4C40B092">
      <w:pPr>
        <w:pStyle w:val="2"/>
        <w:spacing w:before="93"/>
      </w:pPr>
    </w:p>
    <w:p w14:paraId="27888E26">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一、收入支出决算总表</w:t>
      </w:r>
      <w:bookmarkEnd w:id="55"/>
    </w:p>
    <w:p w14:paraId="1A04D5FD">
      <w:pPr>
        <w:spacing w:line="600" w:lineRule="exact"/>
        <w:ind w:firstLine="640" w:firstLineChars="200"/>
        <w:rPr>
          <w:rFonts w:ascii="仿宋_GB2312" w:hAnsi="仿宋_GB2312" w:eastAsia="仿宋_GB2312" w:cs="仿宋_GB2312"/>
          <w:sz w:val="32"/>
          <w:szCs w:val="32"/>
        </w:rPr>
      </w:pPr>
      <w:bookmarkStart w:id="56" w:name="_Toc15396620"/>
      <w:r>
        <w:rPr>
          <w:rFonts w:hint="eastAsia" w:ascii="仿宋_GB2312" w:hAnsi="仿宋_GB2312" w:eastAsia="仿宋_GB2312" w:cs="仿宋_GB2312"/>
          <w:sz w:val="32"/>
          <w:szCs w:val="32"/>
        </w:rPr>
        <w:t>二、收入决算表</w:t>
      </w:r>
      <w:bookmarkEnd w:id="56"/>
    </w:p>
    <w:p w14:paraId="75471242">
      <w:pPr>
        <w:spacing w:line="600" w:lineRule="exact"/>
        <w:ind w:firstLine="640" w:firstLineChars="200"/>
        <w:rPr>
          <w:rFonts w:ascii="仿宋_GB2312" w:hAnsi="仿宋_GB2312" w:eastAsia="仿宋_GB2312" w:cs="仿宋_GB2312"/>
          <w:sz w:val="32"/>
          <w:szCs w:val="32"/>
        </w:rPr>
      </w:pPr>
      <w:bookmarkStart w:id="57" w:name="_Toc15396621"/>
      <w:r>
        <w:rPr>
          <w:rFonts w:hint="eastAsia" w:ascii="仿宋_GB2312" w:hAnsi="仿宋_GB2312" w:eastAsia="仿宋_GB2312" w:cs="仿宋_GB2312"/>
          <w:sz w:val="32"/>
          <w:szCs w:val="32"/>
        </w:rPr>
        <w:t>三、支出决算表</w:t>
      </w:r>
      <w:bookmarkEnd w:id="57"/>
    </w:p>
    <w:p w14:paraId="16A4C3EF">
      <w:pPr>
        <w:spacing w:line="600" w:lineRule="exact"/>
        <w:ind w:firstLine="640" w:firstLineChars="200"/>
        <w:rPr>
          <w:rFonts w:ascii="仿宋_GB2312" w:hAnsi="仿宋_GB2312" w:eastAsia="仿宋_GB2312" w:cs="仿宋_GB2312"/>
          <w:sz w:val="32"/>
          <w:szCs w:val="32"/>
        </w:rPr>
      </w:pPr>
      <w:bookmarkStart w:id="58" w:name="_Toc15396622"/>
      <w:r>
        <w:rPr>
          <w:rFonts w:hint="eastAsia" w:ascii="仿宋_GB2312" w:hAnsi="仿宋_GB2312" w:eastAsia="仿宋_GB2312" w:cs="仿宋_GB2312"/>
          <w:sz w:val="32"/>
          <w:szCs w:val="32"/>
        </w:rPr>
        <w:t>四、财政拨款收入支出决算总表</w:t>
      </w:r>
      <w:bookmarkEnd w:id="58"/>
    </w:p>
    <w:p w14:paraId="333075EA">
      <w:pPr>
        <w:spacing w:line="600" w:lineRule="exact"/>
        <w:ind w:firstLine="640" w:firstLineChars="200"/>
        <w:rPr>
          <w:rFonts w:ascii="仿宋_GB2312" w:hAnsi="仿宋_GB2312" w:eastAsia="仿宋_GB2312" w:cs="仿宋_GB2312"/>
          <w:sz w:val="32"/>
          <w:szCs w:val="32"/>
        </w:rPr>
      </w:pPr>
      <w:bookmarkStart w:id="59" w:name="_Toc15396623"/>
      <w:r>
        <w:rPr>
          <w:rFonts w:hint="eastAsia" w:ascii="仿宋_GB2312" w:hAnsi="仿宋_GB2312" w:eastAsia="仿宋_GB2312" w:cs="仿宋_GB2312"/>
          <w:sz w:val="32"/>
          <w:szCs w:val="32"/>
        </w:rPr>
        <w:t>五、财政拨款支出决算明细表</w:t>
      </w:r>
      <w:bookmarkEnd w:id="59"/>
      <w:bookmarkStart w:id="60" w:name="_Toc15396624"/>
    </w:p>
    <w:p w14:paraId="76215138">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六、一般公共预算财政拨款支出决算表</w:t>
      </w:r>
      <w:bookmarkEnd w:id="60"/>
    </w:p>
    <w:p w14:paraId="08FD1092">
      <w:pPr>
        <w:spacing w:line="600" w:lineRule="exact"/>
        <w:ind w:firstLine="640" w:firstLineChars="200"/>
        <w:rPr>
          <w:rFonts w:ascii="仿宋_GB2312" w:hAnsi="仿宋_GB2312" w:eastAsia="仿宋_GB2312" w:cs="仿宋_GB2312"/>
          <w:sz w:val="32"/>
          <w:szCs w:val="32"/>
        </w:rPr>
      </w:pPr>
      <w:bookmarkStart w:id="61" w:name="_Toc15396625"/>
      <w:r>
        <w:rPr>
          <w:rFonts w:hint="eastAsia" w:ascii="仿宋_GB2312" w:hAnsi="仿宋_GB2312" w:eastAsia="仿宋_GB2312" w:cs="仿宋_GB2312"/>
          <w:sz w:val="32"/>
          <w:szCs w:val="32"/>
        </w:rPr>
        <w:t>七、一般公共预算财政拨款支出决算明细表</w:t>
      </w:r>
      <w:bookmarkEnd w:id="61"/>
    </w:p>
    <w:p w14:paraId="360211DE">
      <w:pPr>
        <w:spacing w:line="600" w:lineRule="exact"/>
        <w:ind w:firstLine="640" w:firstLineChars="200"/>
        <w:rPr>
          <w:rFonts w:ascii="仿宋_GB2312" w:hAnsi="仿宋_GB2312" w:eastAsia="仿宋_GB2312" w:cs="仿宋_GB2312"/>
          <w:sz w:val="32"/>
          <w:szCs w:val="32"/>
        </w:rPr>
      </w:pPr>
      <w:bookmarkStart w:id="62" w:name="_Toc15396626"/>
      <w:r>
        <w:rPr>
          <w:rFonts w:hint="eastAsia" w:ascii="仿宋_GB2312" w:hAnsi="仿宋_GB2312" w:eastAsia="仿宋_GB2312" w:cs="仿宋_GB2312"/>
          <w:sz w:val="32"/>
          <w:szCs w:val="32"/>
        </w:rPr>
        <w:t>八、一般公共预算财政拨款基本支出决算表</w:t>
      </w:r>
      <w:bookmarkEnd w:id="62"/>
    </w:p>
    <w:p w14:paraId="2849B834">
      <w:pPr>
        <w:spacing w:line="600" w:lineRule="exact"/>
        <w:ind w:firstLine="640" w:firstLineChars="200"/>
        <w:rPr>
          <w:rFonts w:ascii="仿宋_GB2312" w:hAnsi="仿宋_GB2312" w:eastAsia="仿宋_GB2312" w:cs="仿宋_GB2312"/>
          <w:sz w:val="32"/>
          <w:szCs w:val="32"/>
        </w:rPr>
      </w:pPr>
      <w:bookmarkStart w:id="63" w:name="_Toc15396627"/>
      <w:r>
        <w:rPr>
          <w:rFonts w:hint="eastAsia" w:ascii="仿宋_GB2312" w:hAnsi="仿宋_GB2312" w:eastAsia="仿宋_GB2312" w:cs="仿宋_GB2312"/>
          <w:sz w:val="32"/>
          <w:szCs w:val="32"/>
        </w:rPr>
        <w:t>九、一般公共预算财政拨款项目支出决算表</w:t>
      </w:r>
      <w:bookmarkEnd w:id="63"/>
    </w:p>
    <w:p w14:paraId="7F4EBC7C">
      <w:pPr>
        <w:spacing w:line="600" w:lineRule="exact"/>
        <w:ind w:firstLine="640" w:firstLineChars="200"/>
        <w:rPr>
          <w:rFonts w:ascii="仿宋_GB2312" w:hAnsi="仿宋_GB2312" w:eastAsia="仿宋_GB2312" w:cs="仿宋_GB2312"/>
          <w:sz w:val="32"/>
          <w:szCs w:val="32"/>
        </w:rPr>
      </w:pPr>
      <w:bookmarkStart w:id="64" w:name="_Toc15396628"/>
      <w:r>
        <w:rPr>
          <w:rFonts w:hint="eastAsia" w:ascii="仿宋_GB2312" w:hAnsi="仿宋_GB2312" w:eastAsia="仿宋_GB2312" w:cs="仿宋_GB2312"/>
          <w:sz w:val="32"/>
          <w:szCs w:val="32"/>
        </w:rPr>
        <w:t>十、一般公共预算财政拨款“三公”经费支出决算表</w:t>
      </w:r>
      <w:bookmarkEnd w:id="64"/>
    </w:p>
    <w:p w14:paraId="403909D4">
      <w:pPr>
        <w:spacing w:line="600" w:lineRule="exact"/>
        <w:ind w:firstLine="640" w:firstLineChars="200"/>
        <w:rPr>
          <w:rFonts w:ascii="仿宋_GB2312" w:hAnsi="仿宋_GB2312" w:eastAsia="仿宋_GB2312" w:cs="仿宋_GB2312"/>
          <w:sz w:val="32"/>
          <w:szCs w:val="32"/>
        </w:rPr>
      </w:pPr>
      <w:bookmarkStart w:id="65" w:name="_Toc15396629"/>
      <w:r>
        <w:rPr>
          <w:rFonts w:hint="eastAsia" w:ascii="仿宋_GB2312" w:hAnsi="仿宋_GB2312" w:eastAsia="仿宋_GB2312" w:cs="仿宋_GB2312"/>
          <w:sz w:val="32"/>
          <w:szCs w:val="32"/>
        </w:rPr>
        <w:t>十一、政府性基金预算财政拨款收入支出决算表</w:t>
      </w:r>
      <w:bookmarkEnd w:id="65"/>
    </w:p>
    <w:p w14:paraId="49C43CAA">
      <w:pPr>
        <w:spacing w:line="600" w:lineRule="exact"/>
        <w:ind w:firstLine="640" w:firstLineChars="200"/>
        <w:rPr>
          <w:rFonts w:ascii="仿宋_GB2312" w:hAnsi="仿宋_GB2312" w:eastAsia="仿宋_GB2312" w:cs="仿宋_GB2312"/>
          <w:sz w:val="32"/>
          <w:szCs w:val="32"/>
        </w:rPr>
      </w:pPr>
      <w:bookmarkStart w:id="66" w:name="_Toc15396630"/>
      <w:r>
        <w:rPr>
          <w:rFonts w:hint="eastAsia" w:ascii="仿宋_GB2312" w:hAnsi="仿宋_GB2312" w:eastAsia="仿宋_GB2312" w:cs="仿宋_GB2312"/>
          <w:sz w:val="32"/>
          <w:szCs w:val="32"/>
        </w:rPr>
        <w:t>十二、政府性基金预算财政拨款“三公”经费支出决算表</w:t>
      </w:r>
      <w:bookmarkEnd w:id="66"/>
    </w:p>
    <w:p w14:paraId="4C90BA35">
      <w:pPr>
        <w:spacing w:line="600" w:lineRule="exact"/>
        <w:ind w:firstLine="640" w:firstLineChars="200"/>
        <w:rPr>
          <w:rFonts w:ascii="仿宋_GB2312" w:hAnsi="仿宋_GB2312" w:eastAsia="仿宋_GB2312" w:cs="仿宋_GB2312"/>
          <w:sz w:val="32"/>
          <w:szCs w:val="32"/>
        </w:rPr>
      </w:pPr>
      <w:bookmarkStart w:id="67" w:name="_Toc15396631"/>
      <w:r>
        <w:rPr>
          <w:rFonts w:hint="eastAsia" w:ascii="仿宋_GB2312" w:hAnsi="仿宋_GB2312" w:eastAsia="仿宋_GB2312" w:cs="仿宋_GB2312"/>
          <w:sz w:val="32"/>
          <w:szCs w:val="32"/>
        </w:rPr>
        <w:t>十三、国有资本经营预算财政拨款收入支出决算表</w:t>
      </w:r>
      <w:bookmarkEnd w:id="67"/>
    </w:p>
    <w:p w14:paraId="0F153BE2">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十四、国有资本经营预算财政拨款支出决算表</w:t>
      </w:r>
    </w:p>
    <w:sectPr>
      <w:footerReference r:id="rId5" w:type="first"/>
      <w:headerReference r:id="rId3" w:type="default"/>
      <w:footerReference r:id="rId4" w:type="default"/>
      <w:pgSz w:w="11906" w:h="16838"/>
      <w:pgMar w:top="2041" w:right="1474" w:bottom="1587" w:left="1474" w:header="851" w:footer="1134" w:gutter="0"/>
      <w:pgNumType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 w:name="方正小标宋_GBK">
    <w:panose1 w:val="02000000000000000000"/>
    <w:charset w:val="86"/>
    <w:family w:val="auto"/>
    <w:pitch w:val="default"/>
    <w:sig w:usb0="A00002BF" w:usb1="38CF7CFA" w:usb2="00082016" w:usb3="00000000" w:csb0="00040001"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187216">
    <w:pPr>
      <w:pStyle w:val="8"/>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-95250</wp:posOffset>
              </wp:positionV>
              <wp:extent cx="940435" cy="2413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940435" cy="2413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0B5ACBE">
                          <w:pPr>
                            <w:pStyle w:val="8"/>
                            <w:ind w:firstLine="280" w:firstLineChars="100"/>
                            <w:rPr>
                              <w:rFonts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 xml:space="preserve">— </w:t>
                          </w: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2</w:t>
                          </w:r>
                          <w:r>
                            <w:rPr>
                              <w:rFonts w:hint="eastAsia" w:asciiTheme="majorEastAsia" w:hAnsiTheme="majorEastAsia" w:eastAsiaTheme="majorEastAsia" w:cstheme="majorEastAsia"/>
                              <w:sz w:val="28"/>
                              <w:szCs w:val="28"/>
                            </w:rPr>
                            <w:fldChar w:fldCharType="end"/>
                          </w:r>
                          <w:r>
                            <w:rPr>
                              <w:rFonts w:hint="eastAsia" w:asciiTheme="majorEastAsia" w:hAnsiTheme="majorEastAsia" w:eastAsiaTheme="majorEastAsia" w:cstheme="majorEastAsia"/>
                              <w:sz w:val="28"/>
                              <w:szCs w:val="28"/>
                            </w:rPr>
                            <w:t xml:space="preserve"> —</w:t>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7.5pt;height:19pt;width:74.05pt;mso-position-horizontal:outside;mso-position-horizontal-relative:margin;z-index:251659264;mso-width-relative:page;mso-height-relative:page;" filled="f" stroked="f" coordsize="21600,21600" o:gfxdata="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CJpn3H1QAAAAcBAAAPAAAAAAAAAAEAIAAAACIAAABkcnMvZG93bnJldi54bWxQSwEC&#10;FAAUAAAACACHTuJAJYG19zACAABVBAAADgAAAAAAAAABACAAAAAkAQAAZHJzL2Uyb0RvYy54bWxQ&#10;SwUGAAAAAAYABgBZAQAAxgUAAAAA&#10;">
              <v:fill on="f" focussize="0,0"/>
              <v:stroke on="f" weight="0.5pt"/>
              <v:imagedata o:title=""/>
              <o:lock v:ext="edit" aspectratio="f"/>
              <v:textbox inset="0mm,0mm,0mm,0mm">
                <w:txbxContent>
                  <w:p w14:paraId="00B5ACBE">
                    <w:pPr>
                      <w:pStyle w:val="8"/>
                      <w:ind w:firstLine="280" w:firstLineChars="100"/>
                      <w:rPr>
                        <w:rFonts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 xml:space="preserve">— </w:t>
                    </w: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2</w:t>
                    </w:r>
                    <w:r>
                      <w:rPr>
                        <w:rFonts w:hint="eastAsia" w:asciiTheme="majorEastAsia" w:hAnsiTheme="majorEastAsia" w:eastAsiaTheme="majorEastAsia" w:cstheme="majorEastAsia"/>
                        <w:sz w:val="28"/>
                        <w:szCs w:val="28"/>
                      </w:rPr>
                      <w:fldChar w:fldCharType="end"/>
                    </w:r>
                    <w:r>
                      <w:rPr>
                        <w:rFonts w:hint="eastAsia" w:asciiTheme="majorEastAsia" w:hAnsiTheme="majorEastAsia" w:eastAsiaTheme="majorEastAsia" w:cstheme="majorEastAsia"/>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BE4EFA">
    <w:pPr>
      <w:pStyle w:val="8"/>
    </w:pPr>
    <w: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-95250</wp:posOffset>
              </wp:positionV>
              <wp:extent cx="883920" cy="231140"/>
              <wp:effectExtent l="0" t="0" r="0" b="0"/>
              <wp:wrapNone/>
              <wp:docPr id="2" name="文本框 2"/>
              <wp:cNvGraphicFramePr/>
              <a:graphic xmlns:a="http://schemas.openxmlformats.org/drawingml/2006/main">
                <a:graphicData uri="http://schemas.microsoft.com/office/word/2010/wordprocessingShape">
                  <wps:wsp>
                    <wps:cNvSpPr txBox="1"/>
                    <wps:spPr>
                      <a:xfrm>
                        <a:off x="0" y="0"/>
                        <a:ext cx="883920" cy="23114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44DA8CB">
                          <w:pPr>
                            <w:pStyle w:val="8"/>
                            <w:rPr>
                              <w:rFonts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 xml:space="preserve">— </w:t>
                          </w: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1</w:t>
                          </w:r>
                          <w:r>
                            <w:rPr>
                              <w:rFonts w:hint="eastAsia" w:asciiTheme="majorEastAsia" w:hAnsiTheme="majorEastAsia" w:eastAsiaTheme="majorEastAsia" w:cstheme="majorEastAsia"/>
                              <w:sz w:val="28"/>
                              <w:szCs w:val="28"/>
                            </w:rPr>
                            <w:fldChar w:fldCharType="end"/>
                          </w:r>
                          <w:r>
                            <w:rPr>
                              <w:rFonts w:hint="eastAsia" w:asciiTheme="majorEastAsia" w:hAnsiTheme="majorEastAsia" w:eastAsiaTheme="majorEastAsia" w:cstheme="majorEastAsia"/>
                              <w:sz w:val="28"/>
                              <w:szCs w:val="28"/>
                            </w:rPr>
                            <w:t xml:space="preserve"> —</w:t>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7.5pt;height:18.2pt;width:69.6pt;mso-position-horizontal:outside;mso-position-horizontal-relative:margin;z-index:251660288;mso-width-relative:page;mso-height-relative:page;" filled="f" stroked="f" coordsize="21600,21600" o:gfxdata="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hAScpNYAAAAHAQAADwAAAAAAAAABACAAAAAiAAAAZHJzL2Rvd25yZXYueG1sUEsB&#10;AhQAFAAAAAgAh07iQLrPNFIwAgAAVQQAAA4AAAAAAAAAAQAgAAAAJQEAAGRycy9lMm9Eb2MueG1s&#10;UEsFBgAAAAAGAAYAWQEAAMcFAAAAAA==&#10;">
              <v:fill on="f" focussize="0,0"/>
              <v:stroke on="f" weight="0.5pt"/>
              <v:imagedata o:title=""/>
              <o:lock v:ext="edit" aspectratio="f"/>
              <v:textbox inset="0mm,0mm,0mm,0mm">
                <w:txbxContent>
                  <w:p w14:paraId="144DA8CB">
                    <w:pPr>
                      <w:pStyle w:val="8"/>
                      <w:rPr>
                        <w:rFonts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 xml:space="preserve">— </w:t>
                    </w: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1</w:t>
                    </w:r>
                    <w:r>
                      <w:rPr>
                        <w:rFonts w:hint="eastAsia" w:asciiTheme="majorEastAsia" w:hAnsiTheme="majorEastAsia" w:eastAsiaTheme="majorEastAsia" w:cstheme="majorEastAsia"/>
                        <w:sz w:val="28"/>
                        <w:szCs w:val="28"/>
                      </w:rPr>
                      <w:fldChar w:fldCharType="end"/>
                    </w:r>
                    <w:r>
                      <w:rPr>
                        <w:rFonts w:hint="eastAsia" w:asciiTheme="majorEastAsia" w:hAnsiTheme="majorEastAsia" w:eastAsiaTheme="majorEastAsia" w:cstheme="majorEastAsia"/>
                        <w:sz w:val="28"/>
                        <w:szCs w:val="28"/>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D2FA39">
    <w:pPr>
      <w:pStyle w:val="9"/>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159B363"/>
    <w:multiLevelType w:val="singleLevel"/>
    <w:tmpl w:val="8159B363"/>
    <w:lvl w:ilvl="0" w:tentative="0">
      <w:start w:val="5"/>
      <w:numFmt w:val="chineseCounting"/>
      <w:suff w:val="space"/>
      <w:lvlText w:val="第%1部分"/>
      <w:lvlJc w:val="left"/>
      <w:rPr>
        <w:rFonts w:hint="eastAsia"/>
      </w:rPr>
    </w:lvl>
  </w:abstractNum>
  <w:abstractNum w:abstractNumId="1">
    <w:nsid w:val="CF652CEC"/>
    <w:multiLevelType w:val="singleLevel"/>
    <w:tmpl w:val="CF652CEC"/>
    <w:lvl w:ilvl="0" w:tentative="0">
      <w:start w:val="9"/>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361C"/>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42216"/>
    <w:rsid w:val="00144D6A"/>
    <w:rsid w:val="0014729F"/>
    <w:rsid w:val="00157BAB"/>
    <w:rsid w:val="001654D1"/>
    <w:rsid w:val="00174518"/>
    <w:rsid w:val="0018106D"/>
    <w:rsid w:val="001877A7"/>
    <w:rsid w:val="00191536"/>
    <w:rsid w:val="00196687"/>
    <w:rsid w:val="001C0962"/>
    <w:rsid w:val="001D7531"/>
    <w:rsid w:val="001E4397"/>
    <w:rsid w:val="001E737D"/>
    <w:rsid w:val="001F0592"/>
    <w:rsid w:val="001F7506"/>
    <w:rsid w:val="002006CD"/>
    <w:rsid w:val="00202B36"/>
    <w:rsid w:val="00204B7A"/>
    <w:rsid w:val="00204CDE"/>
    <w:rsid w:val="0021101A"/>
    <w:rsid w:val="00220536"/>
    <w:rsid w:val="00235629"/>
    <w:rsid w:val="00260C38"/>
    <w:rsid w:val="002616C0"/>
    <w:rsid w:val="00265372"/>
    <w:rsid w:val="002662AA"/>
    <w:rsid w:val="00280496"/>
    <w:rsid w:val="00294DC9"/>
    <w:rsid w:val="00295495"/>
    <w:rsid w:val="002A31DE"/>
    <w:rsid w:val="002B2613"/>
    <w:rsid w:val="002D6D05"/>
    <w:rsid w:val="002F1818"/>
    <w:rsid w:val="002F567B"/>
    <w:rsid w:val="003216A9"/>
    <w:rsid w:val="00335A74"/>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1B3C"/>
    <w:rsid w:val="003E6F55"/>
    <w:rsid w:val="00406254"/>
    <w:rsid w:val="004223DE"/>
    <w:rsid w:val="00432C7A"/>
    <w:rsid w:val="00434489"/>
    <w:rsid w:val="00437085"/>
    <w:rsid w:val="00443880"/>
    <w:rsid w:val="004464F4"/>
    <w:rsid w:val="00471401"/>
    <w:rsid w:val="00473F31"/>
    <w:rsid w:val="0048263A"/>
    <w:rsid w:val="00487E5D"/>
    <w:rsid w:val="004A711F"/>
    <w:rsid w:val="004B199D"/>
    <w:rsid w:val="004B4690"/>
    <w:rsid w:val="004E0A2D"/>
    <w:rsid w:val="004E206B"/>
    <w:rsid w:val="004E6DF7"/>
    <w:rsid w:val="004F0FBD"/>
    <w:rsid w:val="00505A47"/>
    <w:rsid w:val="00512FDA"/>
    <w:rsid w:val="00520DA0"/>
    <w:rsid w:val="00555741"/>
    <w:rsid w:val="005664BB"/>
    <w:rsid w:val="00566FFA"/>
    <w:rsid w:val="0057481D"/>
    <w:rsid w:val="0058486E"/>
    <w:rsid w:val="00585B33"/>
    <w:rsid w:val="0059014D"/>
    <w:rsid w:val="005B5C64"/>
    <w:rsid w:val="005C5337"/>
    <w:rsid w:val="005C6BD0"/>
    <w:rsid w:val="005D1C8B"/>
    <w:rsid w:val="005D468D"/>
    <w:rsid w:val="005D5CED"/>
    <w:rsid w:val="005F1126"/>
    <w:rsid w:val="005F1A4C"/>
    <w:rsid w:val="00602674"/>
    <w:rsid w:val="00605688"/>
    <w:rsid w:val="006070AF"/>
    <w:rsid w:val="00607E6C"/>
    <w:rsid w:val="006101B1"/>
    <w:rsid w:val="00614E44"/>
    <w:rsid w:val="0062270A"/>
    <w:rsid w:val="00622830"/>
    <w:rsid w:val="00623DA0"/>
    <w:rsid w:val="00630AEF"/>
    <w:rsid w:val="006325F8"/>
    <w:rsid w:val="00633463"/>
    <w:rsid w:val="00634C9A"/>
    <w:rsid w:val="006440E4"/>
    <w:rsid w:val="0066343B"/>
    <w:rsid w:val="00664777"/>
    <w:rsid w:val="006748A4"/>
    <w:rsid w:val="00681A31"/>
    <w:rsid w:val="00683E73"/>
    <w:rsid w:val="006A3141"/>
    <w:rsid w:val="006A5E34"/>
    <w:rsid w:val="006B2422"/>
    <w:rsid w:val="006B2B9A"/>
    <w:rsid w:val="006C1937"/>
    <w:rsid w:val="006F020C"/>
    <w:rsid w:val="007127B7"/>
    <w:rsid w:val="0071798E"/>
    <w:rsid w:val="007416B6"/>
    <w:rsid w:val="00746F48"/>
    <w:rsid w:val="0075404D"/>
    <w:rsid w:val="0076182A"/>
    <w:rsid w:val="00767B7E"/>
    <w:rsid w:val="007770C3"/>
    <w:rsid w:val="00784D24"/>
    <w:rsid w:val="00785FBA"/>
    <w:rsid w:val="00786E4A"/>
    <w:rsid w:val="007875EB"/>
    <w:rsid w:val="0079426B"/>
    <w:rsid w:val="007C093E"/>
    <w:rsid w:val="007D1682"/>
    <w:rsid w:val="007D312A"/>
    <w:rsid w:val="007D3F19"/>
    <w:rsid w:val="007E23B0"/>
    <w:rsid w:val="007E23E5"/>
    <w:rsid w:val="007F1991"/>
    <w:rsid w:val="007F2C2F"/>
    <w:rsid w:val="007F55FC"/>
    <w:rsid w:val="007F5665"/>
    <w:rsid w:val="00800112"/>
    <w:rsid w:val="00810229"/>
    <w:rsid w:val="00813348"/>
    <w:rsid w:val="008253BB"/>
    <w:rsid w:val="0083706E"/>
    <w:rsid w:val="008408F6"/>
    <w:rsid w:val="008423A5"/>
    <w:rsid w:val="00844C43"/>
    <w:rsid w:val="00850625"/>
    <w:rsid w:val="00853718"/>
    <w:rsid w:val="00855221"/>
    <w:rsid w:val="00860645"/>
    <w:rsid w:val="0086435B"/>
    <w:rsid w:val="00871F71"/>
    <w:rsid w:val="00872FD8"/>
    <w:rsid w:val="00885AF4"/>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931C3"/>
    <w:rsid w:val="009B2C43"/>
    <w:rsid w:val="009B4EAE"/>
    <w:rsid w:val="009B7573"/>
    <w:rsid w:val="009C22F4"/>
    <w:rsid w:val="009C2A4B"/>
    <w:rsid w:val="009C2E98"/>
    <w:rsid w:val="009D3447"/>
    <w:rsid w:val="009D4711"/>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5BB7"/>
    <w:rsid w:val="00A56DF2"/>
    <w:rsid w:val="00A56E6E"/>
    <w:rsid w:val="00A67AB5"/>
    <w:rsid w:val="00A733B2"/>
    <w:rsid w:val="00A741C2"/>
    <w:rsid w:val="00A91760"/>
    <w:rsid w:val="00A93B00"/>
    <w:rsid w:val="00A93C21"/>
    <w:rsid w:val="00AB64C9"/>
    <w:rsid w:val="00AC1DB9"/>
    <w:rsid w:val="00AC3C6A"/>
    <w:rsid w:val="00AD5620"/>
    <w:rsid w:val="00AD656B"/>
    <w:rsid w:val="00AD7C1B"/>
    <w:rsid w:val="00AE16BA"/>
    <w:rsid w:val="00AE1EBE"/>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419C"/>
    <w:rsid w:val="00B944D6"/>
    <w:rsid w:val="00BB4DF0"/>
    <w:rsid w:val="00BC289F"/>
    <w:rsid w:val="00BC2D50"/>
    <w:rsid w:val="00BC5361"/>
    <w:rsid w:val="00BC5460"/>
    <w:rsid w:val="00BC6B50"/>
    <w:rsid w:val="00BD0E25"/>
    <w:rsid w:val="00BF5BD6"/>
    <w:rsid w:val="00C03E31"/>
    <w:rsid w:val="00C33E72"/>
    <w:rsid w:val="00C354B2"/>
    <w:rsid w:val="00C35554"/>
    <w:rsid w:val="00C42709"/>
    <w:rsid w:val="00C533CC"/>
    <w:rsid w:val="00C5751C"/>
    <w:rsid w:val="00C61BFC"/>
    <w:rsid w:val="00C62B85"/>
    <w:rsid w:val="00C65438"/>
    <w:rsid w:val="00C87FD8"/>
    <w:rsid w:val="00C90045"/>
    <w:rsid w:val="00C91381"/>
    <w:rsid w:val="00C91CBB"/>
    <w:rsid w:val="00CB4B16"/>
    <w:rsid w:val="00CB4E70"/>
    <w:rsid w:val="00CC09B6"/>
    <w:rsid w:val="00CC666F"/>
    <w:rsid w:val="00CD1E3F"/>
    <w:rsid w:val="00CE44F6"/>
    <w:rsid w:val="00CE49DA"/>
    <w:rsid w:val="00CE7B61"/>
    <w:rsid w:val="00D00095"/>
    <w:rsid w:val="00D114F0"/>
    <w:rsid w:val="00D20620"/>
    <w:rsid w:val="00D254F7"/>
    <w:rsid w:val="00D26091"/>
    <w:rsid w:val="00D2685C"/>
    <w:rsid w:val="00D34E7C"/>
    <w:rsid w:val="00D35489"/>
    <w:rsid w:val="00D36AFE"/>
    <w:rsid w:val="00D51276"/>
    <w:rsid w:val="00D7035F"/>
    <w:rsid w:val="00DA634F"/>
    <w:rsid w:val="00DA65AC"/>
    <w:rsid w:val="00DB1913"/>
    <w:rsid w:val="00DC410D"/>
    <w:rsid w:val="00DC5A81"/>
    <w:rsid w:val="00DC68CA"/>
    <w:rsid w:val="00DC7CBA"/>
    <w:rsid w:val="00DD73B7"/>
    <w:rsid w:val="00DF28BC"/>
    <w:rsid w:val="00DF34B9"/>
    <w:rsid w:val="00E01053"/>
    <w:rsid w:val="00E07ACF"/>
    <w:rsid w:val="00E32D26"/>
    <w:rsid w:val="00E331A1"/>
    <w:rsid w:val="00E33202"/>
    <w:rsid w:val="00E336A9"/>
    <w:rsid w:val="00E472B1"/>
    <w:rsid w:val="00E50624"/>
    <w:rsid w:val="00E52A0E"/>
    <w:rsid w:val="00E568DF"/>
    <w:rsid w:val="00E64269"/>
    <w:rsid w:val="00E82267"/>
    <w:rsid w:val="00E853CE"/>
    <w:rsid w:val="00E867B6"/>
    <w:rsid w:val="00EA010F"/>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A23E8"/>
    <w:rsid w:val="00FD3CC1"/>
    <w:rsid w:val="00FF1E02"/>
    <w:rsid w:val="00FF30B4"/>
    <w:rsid w:val="03C3095F"/>
    <w:rsid w:val="06004843"/>
    <w:rsid w:val="085B0CAA"/>
    <w:rsid w:val="0A2032A3"/>
    <w:rsid w:val="0A4A12C7"/>
    <w:rsid w:val="0B5F0343"/>
    <w:rsid w:val="0B8A37D8"/>
    <w:rsid w:val="0DD116C4"/>
    <w:rsid w:val="10C055FF"/>
    <w:rsid w:val="118107EC"/>
    <w:rsid w:val="11DD6519"/>
    <w:rsid w:val="1534542F"/>
    <w:rsid w:val="167269DC"/>
    <w:rsid w:val="16BB723D"/>
    <w:rsid w:val="18015F3F"/>
    <w:rsid w:val="1BDC0493"/>
    <w:rsid w:val="1BE8440E"/>
    <w:rsid w:val="1D155CEE"/>
    <w:rsid w:val="1F2B5282"/>
    <w:rsid w:val="20F57F95"/>
    <w:rsid w:val="240371BF"/>
    <w:rsid w:val="24567558"/>
    <w:rsid w:val="25C741E6"/>
    <w:rsid w:val="27842671"/>
    <w:rsid w:val="28636F68"/>
    <w:rsid w:val="29FD04D3"/>
    <w:rsid w:val="2A423234"/>
    <w:rsid w:val="2ABE7A3E"/>
    <w:rsid w:val="2AED7287"/>
    <w:rsid w:val="2EFA178C"/>
    <w:rsid w:val="30B46D73"/>
    <w:rsid w:val="319F7F4E"/>
    <w:rsid w:val="348F1F9D"/>
    <w:rsid w:val="354E717D"/>
    <w:rsid w:val="359A00DC"/>
    <w:rsid w:val="378C2EA1"/>
    <w:rsid w:val="39AE70AB"/>
    <w:rsid w:val="3C0C0783"/>
    <w:rsid w:val="3D7B7602"/>
    <w:rsid w:val="3F3E4E85"/>
    <w:rsid w:val="3F9F3A96"/>
    <w:rsid w:val="3FD26988"/>
    <w:rsid w:val="4628740B"/>
    <w:rsid w:val="493C27E9"/>
    <w:rsid w:val="496F39ED"/>
    <w:rsid w:val="49FF41D3"/>
    <w:rsid w:val="4BE068DB"/>
    <w:rsid w:val="4BF6002B"/>
    <w:rsid w:val="4ECE2238"/>
    <w:rsid w:val="50312A77"/>
    <w:rsid w:val="5113382A"/>
    <w:rsid w:val="513405F4"/>
    <w:rsid w:val="51AB2023"/>
    <w:rsid w:val="51DB4B86"/>
    <w:rsid w:val="55333C3E"/>
    <w:rsid w:val="56BB3F91"/>
    <w:rsid w:val="59E4782B"/>
    <w:rsid w:val="5A1F5BF0"/>
    <w:rsid w:val="619247CB"/>
    <w:rsid w:val="62656AA4"/>
    <w:rsid w:val="64CA39A1"/>
    <w:rsid w:val="663D7019"/>
    <w:rsid w:val="6A5B1E48"/>
    <w:rsid w:val="6C4A05C8"/>
    <w:rsid w:val="6C5852CD"/>
    <w:rsid w:val="6CFF77BA"/>
    <w:rsid w:val="72734D90"/>
    <w:rsid w:val="780A68EC"/>
    <w:rsid w:val="790178F3"/>
    <w:rsid w:val="79E7B28D"/>
    <w:rsid w:val="7BE33058"/>
    <w:rsid w:val="7F9F20EE"/>
    <w:rsid w:val="9E3A10E2"/>
    <w:rsid w:val="F2E1F9D4"/>
    <w:rsid w:val="F7880819"/>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4"/>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25"/>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1"/>
    <w:link w:val="28"/>
    <w:unhideWhenUsed/>
    <w:qFormat/>
    <w:uiPriority w:val="9"/>
    <w:pPr>
      <w:keepNext/>
      <w:keepLines/>
      <w:spacing w:before="260" w:after="260" w:line="416" w:lineRule="auto"/>
      <w:outlineLvl w:val="2"/>
    </w:pPr>
    <w:rPr>
      <w:b/>
      <w:bCs/>
      <w:sz w:val="32"/>
      <w:szCs w:val="32"/>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21"/>
    <w:qFormat/>
    <w:uiPriority w:val="99"/>
    <w:pPr>
      <w:spacing w:beforeLines="30"/>
    </w:pPr>
    <w:rPr>
      <w:rFonts w:ascii="仿宋_GB2312" w:eastAsia="仿宋_GB2312"/>
      <w:kern w:val="0"/>
      <w:sz w:val="30"/>
    </w:rPr>
  </w:style>
  <w:style w:type="paragraph" w:styleId="6">
    <w:name w:val="toc 3"/>
    <w:basedOn w:val="1"/>
    <w:next w:val="1"/>
    <w:unhideWhenUsed/>
    <w:qFormat/>
    <w:uiPriority w:val="39"/>
    <w:pPr>
      <w:tabs>
        <w:tab w:val="right" w:leader="dot" w:pos="8296"/>
      </w:tabs>
      <w:ind w:left="840" w:leftChars="400"/>
    </w:pPr>
  </w:style>
  <w:style w:type="paragraph" w:styleId="7">
    <w:name w:val="Balloon Text"/>
    <w:basedOn w:val="1"/>
    <w:link w:val="27"/>
    <w:semiHidden/>
    <w:unhideWhenUsed/>
    <w:qFormat/>
    <w:uiPriority w:val="99"/>
    <w:rPr>
      <w:sz w:val="18"/>
      <w:szCs w:val="18"/>
    </w:rPr>
  </w:style>
  <w:style w:type="paragraph" w:styleId="8">
    <w:name w:val="footer"/>
    <w:basedOn w:val="1"/>
    <w:link w:val="19"/>
    <w:qFormat/>
    <w:uiPriority w:val="99"/>
    <w:pPr>
      <w:tabs>
        <w:tab w:val="center" w:pos="4153"/>
        <w:tab w:val="right" w:pos="8306"/>
      </w:tabs>
      <w:snapToGrid w:val="0"/>
      <w:jc w:val="left"/>
    </w:pPr>
    <w:rPr>
      <w:rFonts w:ascii="Calibri" w:hAnsi="Calibri"/>
      <w:kern w:val="0"/>
      <w:sz w:val="18"/>
      <w:szCs w:val="18"/>
    </w:rPr>
  </w:style>
  <w:style w:type="paragraph" w:styleId="9">
    <w:name w:val="header"/>
    <w:basedOn w:val="1"/>
    <w:link w:val="17"/>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0">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1">
    <w:name w:val="toc 2"/>
    <w:basedOn w:val="1"/>
    <w:next w:val="1"/>
    <w:unhideWhenUsed/>
    <w:qFormat/>
    <w:uiPriority w:val="39"/>
    <w:pPr>
      <w:tabs>
        <w:tab w:val="right" w:leader="dot" w:pos="8296"/>
      </w:tabs>
      <w:ind w:left="420" w:leftChars="200"/>
    </w:pPr>
  </w:style>
  <w:style w:type="character" w:styleId="14">
    <w:name w:val="Strong"/>
    <w:basedOn w:val="13"/>
    <w:qFormat/>
    <w:uiPriority w:val="99"/>
    <w:rPr>
      <w:b/>
    </w:rPr>
  </w:style>
  <w:style w:type="character" w:styleId="15">
    <w:name w:val="Hyperlink"/>
    <w:basedOn w:val="13"/>
    <w:unhideWhenUsed/>
    <w:qFormat/>
    <w:uiPriority w:val="99"/>
    <w:rPr>
      <w:color w:val="0000FF" w:themeColor="hyperlink"/>
      <w:u w:val="single"/>
      <w14:textFill>
        <w14:solidFill>
          <w14:schemeClr w14:val="hlink"/>
        </w14:solidFill>
      </w14:textFill>
    </w:rPr>
  </w:style>
  <w:style w:type="character" w:customStyle="1" w:styleId="16">
    <w:name w:val="Header Char"/>
    <w:basedOn w:val="13"/>
    <w:semiHidden/>
    <w:qFormat/>
    <w:uiPriority w:val="99"/>
    <w:rPr>
      <w:rFonts w:ascii="Times New Roman" w:hAnsi="Times New Roman"/>
      <w:sz w:val="18"/>
      <w:szCs w:val="18"/>
    </w:rPr>
  </w:style>
  <w:style w:type="character" w:customStyle="1" w:styleId="17">
    <w:name w:val="页眉 字符"/>
    <w:link w:val="9"/>
    <w:semiHidden/>
    <w:qFormat/>
    <w:locked/>
    <w:uiPriority w:val="99"/>
    <w:rPr>
      <w:sz w:val="18"/>
    </w:rPr>
  </w:style>
  <w:style w:type="character" w:customStyle="1" w:styleId="18">
    <w:name w:val="Footer Char"/>
    <w:basedOn w:val="13"/>
    <w:semiHidden/>
    <w:qFormat/>
    <w:uiPriority w:val="99"/>
    <w:rPr>
      <w:rFonts w:ascii="Times New Roman" w:hAnsi="Times New Roman"/>
      <w:sz w:val="18"/>
      <w:szCs w:val="18"/>
    </w:rPr>
  </w:style>
  <w:style w:type="character" w:customStyle="1" w:styleId="19">
    <w:name w:val="页脚 字符"/>
    <w:link w:val="8"/>
    <w:qFormat/>
    <w:locked/>
    <w:uiPriority w:val="99"/>
    <w:rPr>
      <w:sz w:val="18"/>
    </w:rPr>
  </w:style>
  <w:style w:type="character" w:customStyle="1" w:styleId="20">
    <w:name w:val="Body Text Char"/>
    <w:basedOn w:val="13"/>
    <w:semiHidden/>
    <w:qFormat/>
    <w:uiPriority w:val="99"/>
    <w:rPr>
      <w:rFonts w:ascii="Times New Roman" w:hAnsi="Times New Roman"/>
      <w:szCs w:val="24"/>
    </w:rPr>
  </w:style>
  <w:style w:type="character" w:customStyle="1" w:styleId="21">
    <w:name w:val="正文文本 字符"/>
    <w:link w:val="2"/>
    <w:qFormat/>
    <w:locked/>
    <w:uiPriority w:val="99"/>
    <w:rPr>
      <w:rFonts w:ascii="仿宋_GB2312" w:hAnsi="Times New Roman" w:eastAsia="仿宋_GB2312"/>
      <w:sz w:val="24"/>
    </w:rPr>
  </w:style>
  <w:style w:type="paragraph" w:customStyle="1" w:styleId="22">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3">
    <w:name w:val="List Paragraph"/>
    <w:basedOn w:val="1"/>
    <w:qFormat/>
    <w:uiPriority w:val="34"/>
    <w:pPr>
      <w:ind w:firstLine="420" w:firstLineChars="200"/>
    </w:pPr>
  </w:style>
  <w:style w:type="character" w:customStyle="1" w:styleId="24">
    <w:name w:val="标题 1 字符"/>
    <w:basedOn w:val="13"/>
    <w:link w:val="3"/>
    <w:qFormat/>
    <w:uiPriority w:val="9"/>
    <w:rPr>
      <w:rFonts w:ascii="Times New Roman" w:hAnsi="Times New Roman"/>
      <w:b/>
      <w:bCs/>
      <w:kern w:val="44"/>
      <w:sz w:val="44"/>
      <w:szCs w:val="44"/>
    </w:rPr>
  </w:style>
  <w:style w:type="character" w:customStyle="1" w:styleId="25">
    <w:name w:val="标题 2 字符"/>
    <w:basedOn w:val="13"/>
    <w:link w:val="4"/>
    <w:qFormat/>
    <w:uiPriority w:val="9"/>
    <w:rPr>
      <w:rFonts w:asciiTheme="majorHAnsi" w:hAnsiTheme="majorHAnsi" w:eastAsiaTheme="majorEastAsia" w:cstheme="majorBidi"/>
      <w:b/>
      <w:bCs/>
      <w:kern w:val="2"/>
      <w:sz w:val="32"/>
      <w:szCs w:val="32"/>
    </w:rPr>
  </w:style>
  <w:style w:type="paragraph" w:customStyle="1" w:styleId="26">
    <w:name w:val="TOC 标题1"/>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27">
    <w:name w:val="批注框文本 字符"/>
    <w:basedOn w:val="13"/>
    <w:link w:val="7"/>
    <w:semiHidden/>
    <w:qFormat/>
    <w:uiPriority w:val="99"/>
    <w:rPr>
      <w:rFonts w:ascii="Times New Roman" w:hAnsi="Times New Roman"/>
      <w:kern w:val="2"/>
      <w:sz w:val="18"/>
      <w:szCs w:val="18"/>
    </w:rPr>
  </w:style>
  <w:style w:type="character" w:customStyle="1" w:styleId="28">
    <w:name w:val="标题 3 字符"/>
    <w:basedOn w:val="13"/>
    <w:link w:val="5"/>
    <w:qFormat/>
    <w:uiPriority w:val="9"/>
    <w:rPr>
      <w:rFonts w:ascii="Times New Roman" w:hAnsi="Times New Roman"/>
      <w:b/>
      <w:bCs/>
      <w:kern w:val="2"/>
      <w:sz w:val="32"/>
      <w:szCs w:val="32"/>
    </w:rPr>
  </w:style>
  <w:style w:type="paragraph" w:customStyle="1" w:styleId="29">
    <w:name w:val="TOC 标题2"/>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s>
</file>

<file path=word/_rels/document.xml.rels><?xml version="1.0" encoding="UTF-8" standalone="yes"?>
<Relationships xmlns="http://schemas.openxmlformats.org/package/2006/relationships"><Relationship Id="rId9" Type="http://schemas.openxmlformats.org/officeDocument/2006/relationships/chart" Target="charts/chart3.xml"/><Relationship Id="rId8" Type="http://schemas.openxmlformats.org/officeDocument/2006/relationships/chart" Target="charts/chart2.xml"/><Relationship Id="rId7" Type="http://schemas.openxmlformats.org/officeDocument/2006/relationships/chart" Target="charts/chart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chart" Target="charts/chart7.xml"/><Relationship Id="rId12" Type="http://schemas.openxmlformats.org/officeDocument/2006/relationships/chart" Target="charts/chart6.xml"/><Relationship Id="rId11" Type="http://schemas.openxmlformats.org/officeDocument/2006/relationships/chart" Target="charts/chart5.xml"/><Relationship Id="rId10" Type="http://schemas.openxmlformats.org/officeDocument/2006/relationships/chart" Target="charts/chart4.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3.xml"/><Relationship Id="rId2" Type="http://schemas.microsoft.com/office/2011/relationships/chartStyle" Target="style3.xml"/><Relationship Id="rId1" Type="http://schemas.openxmlformats.org/officeDocument/2006/relationships/package" Target="../embeddings/Workbook3.xlsx"/></Relationships>
</file>

<file path=word/charts/_rels/chart2.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package" Target="../embeddings/Workbook2.xlsx"/></Relationships>
</file>

<file path=word/charts/_rels/chart3.xml.rels><?xml version="1.0" encoding="UTF-8" standalone="yes"?>
<Relationships xmlns="http://schemas.openxmlformats.org/package/2006/relationships"><Relationship Id="rId3" Type="http://schemas.microsoft.com/office/2011/relationships/chartColorStyle" Target="colors4.xml"/><Relationship Id="rId2" Type="http://schemas.microsoft.com/office/2011/relationships/chartStyle" Target="style4.xml"/><Relationship Id="rId1" Type="http://schemas.openxmlformats.org/officeDocument/2006/relationships/package" Target="../embeddings/Workbook4.xlsx"/></Relationships>
</file>

<file path=word/charts/_rels/chart4.xml.rels><?xml version="1.0" encoding="UTF-8" standalone="yes"?>
<Relationships xmlns="http://schemas.openxmlformats.org/package/2006/relationships"><Relationship Id="rId3" Type="http://schemas.microsoft.com/office/2011/relationships/chartColorStyle" Target="colors7.xml"/><Relationship Id="rId2" Type="http://schemas.microsoft.com/office/2011/relationships/chartStyle" Target="style7.xml"/><Relationship Id="rId1" Type="http://schemas.openxmlformats.org/officeDocument/2006/relationships/package" Target="../embeddings/Workbook7.xlsx"/></Relationships>
</file>

<file path=word/charts/_rels/chart5.xml.rels><?xml version="1.0" encoding="UTF-8" standalone="yes"?>
<Relationships xmlns="http://schemas.openxmlformats.org/package/2006/relationships"><Relationship Id="rId3" Type="http://schemas.microsoft.com/office/2011/relationships/chartColorStyle" Target="colors6.xml"/><Relationship Id="rId2" Type="http://schemas.microsoft.com/office/2011/relationships/chartStyle" Target="style6.xml"/><Relationship Id="rId1" Type="http://schemas.openxmlformats.org/officeDocument/2006/relationships/package" Target="../embeddings/Workbook6.xlsx"/></Relationships>
</file>

<file path=word/charts/_rels/chart6.xml.rels><?xml version="1.0" encoding="UTF-8" standalone="yes"?>
<Relationships xmlns="http://schemas.openxmlformats.org/package/2006/relationships"><Relationship Id="rId3" Type="http://schemas.microsoft.com/office/2011/relationships/chartColorStyle" Target="colors5.xml"/><Relationship Id="rId2" Type="http://schemas.microsoft.com/office/2011/relationships/chartStyle" Target="style5.xml"/><Relationship Id="rId1" Type="http://schemas.openxmlformats.org/officeDocument/2006/relationships/package" Target="../embeddings/Workbook5.xlsx"/></Relationships>
</file>

<file path=word/charts/_rels/chart7.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package" Target="../embeddings/Workbook1.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0890275761973875"/>
          <c:y val="0.099861578010678"/>
          <c:w val="0.889898403483309"/>
          <c:h val="0.689025113703777"/>
        </c:manualLayout>
      </c:layout>
      <c:barChart>
        <c:barDir val="col"/>
        <c:grouping val="clustered"/>
        <c:varyColors val="0"/>
        <c:ser>
          <c:idx val="0"/>
          <c:order val="0"/>
          <c:tx>
            <c:strRef>
              <c:f>Sheet1!$B$1</c:f>
              <c:strCache>
                <c:ptCount val="1"/>
                <c:pt idx="0">
                  <c:v>2020年</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11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收入决算数</c:v>
                </c:pt>
                <c:pt idx="1">
                  <c:v>支出决算数</c:v>
                </c:pt>
              </c:strCache>
            </c:strRef>
          </c:cat>
          <c:val>
            <c:numRef>
              <c:f>Sheet1!$B$2:$B$3</c:f>
              <c:numCache>
                <c:formatCode>General</c:formatCode>
                <c:ptCount val="2"/>
                <c:pt idx="0">
                  <c:v>89.3</c:v>
                </c:pt>
                <c:pt idx="1">
                  <c:v>89.3</c:v>
                </c:pt>
              </c:numCache>
            </c:numRef>
          </c:val>
        </c:ser>
        <c:ser>
          <c:idx val="1"/>
          <c:order val="1"/>
          <c:tx>
            <c:strRef>
              <c:f>Sheet1!$C$1</c:f>
              <c:strCache>
                <c:ptCount val="1"/>
                <c:pt idx="0">
                  <c:v>2021年</c:v>
                </c:pt>
              </c:strCache>
            </c:strRef>
          </c:tx>
          <c:spPr>
            <a:solidFill>
              <a:schemeClr val="accent2"/>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11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收入决算数</c:v>
                </c:pt>
                <c:pt idx="1">
                  <c:v>支出决算数</c:v>
                </c:pt>
              </c:strCache>
            </c:strRef>
          </c:cat>
          <c:val>
            <c:numRef>
              <c:f>Sheet1!$C$2:$C$3</c:f>
              <c:numCache>
                <c:formatCode>General</c:formatCode>
                <c:ptCount val="2"/>
                <c:pt idx="0">
                  <c:v>99.55</c:v>
                </c:pt>
                <c:pt idx="1">
                  <c:v>99.55</c:v>
                </c:pt>
              </c:numCache>
            </c:numRef>
          </c:val>
        </c:ser>
        <c:dLbls>
          <c:showLegendKey val="0"/>
          <c:showVal val="1"/>
          <c:showCatName val="0"/>
          <c:showSerName val="0"/>
          <c:showPercent val="0"/>
          <c:showBubbleSize val="0"/>
        </c:dLbls>
        <c:gapWidth val="219"/>
        <c:overlap val="-27"/>
        <c:axId val="696698702"/>
        <c:axId val="78686073"/>
      </c:barChart>
      <c:catAx>
        <c:axId val="696698702"/>
        <c:scaling>
          <c:orientation val="minMax"/>
        </c:scaling>
        <c:delete val="0"/>
        <c:axPos val="b"/>
        <c:title>
          <c:tx>
            <c:rich>
              <a:bodyPr rot="0" spcFirstLastPara="0" vertOverflow="ellipsis" vert="horz" wrap="square" anchor="ctr" anchorCtr="1"/>
              <a:lstStyle/>
              <a:p>
                <a:pPr defTabSz="914400">
                  <a:defRPr lang="zh-CN" sz="1100" b="0" i="0" u="none" strike="noStrike" kern="1200" baseline="0">
                    <a:solidFill>
                      <a:schemeClr val="tx1">
                        <a:lumMod val="65000"/>
                        <a:lumOff val="35000"/>
                      </a:schemeClr>
                    </a:solidFill>
                    <a:latin typeface="+mn-lt"/>
                    <a:ea typeface="+mn-ea"/>
                    <a:cs typeface="+mn-cs"/>
                  </a:defRPr>
                </a:pPr>
                <a:r>
                  <a:rPr sz="1100" b="0"/>
                  <a:t>单位：万元</a:t>
                </a:r>
                <a:endParaRPr sz="1100" b="0"/>
              </a:p>
            </c:rich>
          </c:tx>
          <c:layout>
            <c:manualLayout>
              <c:xMode val="edge"/>
              <c:yMode val="edge"/>
              <c:x val="0.0222496371552975"/>
              <c:y val="0.861380264979236"/>
            </c:manualLayout>
          </c:layout>
          <c:overlay val="0"/>
          <c:spPr>
            <a:noFill/>
            <a:ln>
              <a:noFill/>
            </a:ln>
            <a:effectLst/>
          </c:spPr>
        </c:title>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1100" b="0" i="0" u="none" strike="noStrike" kern="1200" baseline="0">
                <a:solidFill>
                  <a:schemeClr val="tx1">
                    <a:lumMod val="65000"/>
                    <a:lumOff val="35000"/>
                  </a:schemeClr>
                </a:solidFill>
                <a:latin typeface="+mn-lt"/>
                <a:ea typeface="+mn-ea"/>
                <a:cs typeface="+mn-cs"/>
              </a:defRPr>
            </a:pPr>
          </a:p>
        </c:txPr>
        <c:crossAx val="78686073"/>
        <c:crosses val="autoZero"/>
        <c:auto val="1"/>
        <c:lblAlgn val="ctr"/>
        <c:lblOffset val="100"/>
        <c:noMultiLvlLbl val="0"/>
      </c:catAx>
      <c:valAx>
        <c:axId val="78686073"/>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1100" b="0" i="0" u="none" strike="noStrike" kern="1200" baseline="0">
                <a:solidFill>
                  <a:schemeClr val="tx1">
                    <a:lumMod val="65000"/>
                    <a:lumOff val="35000"/>
                  </a:schemeClr>
                </a:solidFill>
                <a:latin typeface="+mn-lt"/>
                <a:ea typeface="+mn-ea"/>
                <a:cs typeface="+mn-cs"/>
              </a:defRPr>
            </a:pPr>
          </a:p>
        </c:txPr>
        <c:crossAx val="696698702"/>
        <c:crosses val="autoZero"/>
        <c:crossBetween val="between"/>
      </c:valAx>
      <c:spPr>
        <a:noFill/>
        <a:ln>
          <a:noFill/>
        </a:ln>
        <a:effectLst/>
      </c:spPr>
    </c:plotArea>
    <c:legend>
      <c:legendPos val="b"/>
      <c:legendEntry>
        <c:idx val="0"/>
        <c:txPr>
          <a:bodyPr rot="0" spcFirstLastPara="0" vertOverflow="ellipsis" vert="horz" wrap="square" anchor="ctr" anchorCtr="1"/>
          <a:lstStyle/>
          <a:p>
            <a:pPr>
              <a:defRPr lang="zh-CN" sz="1100" b="0" i="0" u="none" strike="noStrike" kern="1200" baseline="0">
                <a:solidFill>
                  <a:schemeClr val="tx1">
                    <a:lumMod val="65000"/>
                    <a:lumOff val="35000"/>
                  </a:schemeClr>
                </a:solidFill>
                <a:latin typeface="+mn-lt"/>
                <a:ea typeface="+mn-ea"/>
                <a:cs typeface="+mn-cs"/>
              </a:defRPr>
            </a:pPr>
          </a:p>
        </c:txPr>
      </c:legendEntry>
      <c:legendEntry>
        <c:idx val="1"/>
        <c:txPr>
          <a:bodyPr rot="0" spcFirstLastPara="0" vertOverflow="ellipsis" vert="horz" wrap="square" anchor="ctr" anchorCtr="1"/>
          <a:lstStyle/>
          <a:p>
            <a:pPr>
              <a:defRPr lang="zh-CN" sz="1100" b="0" i="0" u="none" strike="noStrike" kern="1200" baseline="0">
                <a:solidFill>
                  <a:schemeClr val="tx1">
                    <a:lumMod val="65000"/>
                    <a:lumOff val="35000"/>
                  </a:schemeClr>
                </a:solidFill>
                <a:latin typeface="+mn-lt"/>
                <a:ea typeface="+mn-ea"/>
                <a:cs typeface="+mn-cs"/>
              </a:defRPr>
            </a:pPr>
          </a:p>
        </c:txPr>
      </c:legendEntry>
      <c:layout/>
      <c:overlay val="0"/>
      <c:spPr>
        <a:noFill/>
        <a:ln>
          <a:noFill/>
        </a:ln>
        <a:effectLst/>
      </c:spPr>
      <c:txPr>
        <a:bodyPr rot="0" spcFirstLastPara="0" vertOverflow="ellipsis" vert="horz" wrap="square" anchor="ctr" anchorCtr="1"/>
        <a:lstStyle/>
        <a:p>
          <a:pPr>
            <a:defRPr lang="zh-CN" sz="11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8b9a6e36-4cd7-40c2-8f78-1e670aeaf55c}"/>
      </c:ext>
    </c:extLst>
  </c:chart>
  <c:spPr>
    <a:solidFill>
      <a:schemeClr val="bg1"/>
    </a:solidFill>
    <a:ln w="9525" cap="flat" cmpd="sng" algn="ctr">
      <a:solidFill>
        <a:schemeClr val="tx1"/>
      </a:solidFill>
      <a:round/>
    </a:ln>
    <a:effectLst/>
  </c:spPr>
  <c:txPr>
    <a:bodyPr/>
    <a:lstStyle/>
    <a:p>
      <a:pPr>
        <a:defRPr lang="zh-CN" sz="1100" b="0"/>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320" b="0" i="0" u="none" strike="noStrike" kern="1200" spc="0" baseline="0">
                <a:solidFill>
                  <a:schemeClr val="tx1">
                    <a:lumMod val="65000"/>
                    <a:lumOff val="35000"/>
                  </a:schemeClr>
                </a:solidFill>
                <a:latin typeface="+mn-lt"/>
                <a:ea typeface="+mn-ea"/>
                <a:cs typeface="+mn-cs"/>
              </a:defRPr>
            </a:pPr>
            <a:r>
              <a:rPr sz="1320"/>
              <a:t>收入决算结构图</a:t>
            </a:r>
            <a:endParaRPr sz="1320"/>
          </a:p>
        </c:rich>
      </c:tx>
      <c:layout>
        <c:manualLayout>
          <c:xMode val="edge"/>
          <c:yMode val="edge"/>
          <c:x val="0.374407923065882"/>
          <c:y val="0.11166253101737"/>
        </c:manualLayout>
      </c:layout>
      <c:overlay val="0"/>
      <c:spPr>
        <a:noFill/>
        <a:ln>
          <a:noFill/>
        </a:ln>
        <a:effectLst/>
      </c:spPr>
    </c:title>
    <c:autoTitleDeleted val="0"/>
    <c:view3D>
      <c:rotX val="30"/>
      <c:rotY val="0"/>
      <c:depthPercent val="100"/>
      <c:rAngAx val="0"/>
    </c:view3D>
    <c:floor>
      <c:thickness val="0"/>
      <c:spPr>
        <a:noFill/>
        <a:effectLst/>
      </c:spPr>
    </c:floor>
    <c:sideWall>
      <c:thickness val="0"/>
      <c:spPr>
        <a:noFill/>
        <a:effectLst/>
      </c:spPr>
    </c:sideWall>
    <c:backWall>
      <c:thickness val="0"/>
      <c:spPr>
        <a:noFill/>
        <a:effectLst/>
      </c:spPr>
    </c:backWall>
    <c:plotArea>
      <c:layout>
        <c:manualLayout>
          <c:layoutTarget val="inner"/>
          <c:xMode val="edge"/>
          <c:yMode val="edge"/>
          <c:x val="0.0229654083536673"/>
          <c:y val="0.214688531149578"/>
          <c:w val="0.570625"/>
          <c:h val="0.760833333333333"/>
        </c:manualLayout>
      </c:layout>
      <c:pie3DChart>
        <c:varyColors val="1"/>
        <c:ser>
          <c:idx val="0"/>
          <c:order val="0"/>
          <c:tx>
            <c:strRef>
              <c:f>Sheet1!$B$1</c:f>
              <c:strCache>
                <c:ptCount val="1"/>
                <c:pt idx="0">
                  <c:v>收入决算</c:v>
                </c:pt>
              </c:strCache>
            </c:strRef>
          </c:tx>
          <c:spPr/>
          <c:explosion val="0"/>
          <c:dPt>
            <c:idx val="0"/>
            <c:bubble3D val="0"/>
            <c:explosion val="0"/>
            <c:spPr>
              <a:solidFill>
                <a:schemeClr val="accent1"/>
              </a:solidFill>
              <a:ln w="25400">
                <a:solidFill>
                  <a:schemeClr val="lt1"/>
                </a:solidFill>
              </a:ln>
              <a:effectLst/>
            </c:spPr>
          </c:dPt>
          <c:dPt>
            <c:idx val="1"/>
            <c:bubble3D val="0"/>
            <c:spPr>
              <a:solidFill>
                <a:schemeClr val="accent2"/>
              </a:solidFill>
              <a:ln w="25400">
                <a:solidFill>
                  <a:schemeClr val="lt1"/>
                </a:solidFill>
              </a:ln>
              <a:effectLst/>
            </c:spPr>
          </c:dPt>
          <c:dPt>
            <c:idx val="2"/>
            <c:bubble3D val="0"/>
            <c:spPr>
              <a:solidFill>
                <a:schemeClr val="accent3"/>
              </a:solidFill>
              <a:ln w="25400">
                <a:solidFill>
                  <a:schemeClr val="lt1"/>
                </a:solidFill>
              </a:ln>
              <a:effectLst/>
            </c:spPr>
          </c:dPt>
          <c:dPt>
            <c:idx val="3"/>
            <c:bubble3D val="0"/>
            <c:spPr>
              <a:solidFill>
                <a:schemeClr val="accent4"/>
              </a:solidFill>
              <a:ln w="25400">
                <a:solidFill>
                  <a:schemeClr val="lt1"/>
                </a:solidFill>
              </a:ln>
              <a:effectLst/>
            </c:spPr>
          </c:dPt>
          <c:dPt>
            <c:idx val="4"/>
            <c:bubble3D val="0"/>
            <c:explosion val="0"/>
            <c:spPr>
              <a:solidFill>
                <a:schemeClr val="accent5"/>
              </a:solidFill>
              <a:ln w="25400">
                <a:solidFill>
                  <a:schemeClr val="lt1"/>
                </a:solidFill>
              </a:ln>
              <a:effectLst/>
            </c:spPr>
          </c:dPt>
          <c:dLbls>
            <c:spPr>
              <a:noFill/>
              <a:ln>
                <a:noFill/>
              </a:ln>
              <a:effectLst/>
            </c:spPr>
            <c:txPr>
              <a:bodyPr rot="0" spcFirstLastPara="0" vertOverflow="ellipsis" vert="horz" wrap="square" lIns="38100" tIns="19050" rIns="38100" bIns="19050" anchor="ctr" anchorCtr="1"/>
              <a:lstStyle/>
              <a:p>
                <a:pPr>
                  <a:defRPr lang="zh-CN" sz="1100" b="0" i="0" u="none" strike="noStrike" kern="1200" baseline="0">
                    <a:solidFill>
                      <a:schemeClr val="tx1">
                        <a:lumMod val="75000"/>
                        <a:lumOff val="25000"/>
                      </a:schemeClr>
                    </a:solidFill>
                    <a:latin typeface="+mn-lt"/>
                    <a:ea typeface="+mn-ea"/>
                    <a:cs typeface="+mn-cs"/>
                  </a:defRPr>
                </a:pPr>
              </a:p>
            </c:txPr>
            <c:dLblPos val="inEnd"/>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extLst>
                <c:ext xmlns:c15="http://schemas.microsoft.com/office/drawing/2012/chart" uri="{02D57815-91ED-43cb-92C2-25804820EDAC}">
                  <c15:fullRef>
                    <c15:sqref>Sheet1!$A$2:$A$9</c15:sqref>
                  </c15:fullRef>
                </c:ext>
              </c:extLst>
              <c:f>(Sheet1!$A$2,Sheet1!$A$6:$A$9)</c:f>
              <c:strCache>
                <c:ptCount val="5"/>
                <c:pt idx="0">
                  <c:v>一般公共预算财政拨款收入</c:v>
                </c:pt>
                <c:pt idx="1">
                  <c:v>事业收入</c:v>
                </c:pt>
                <c:pt idx="2">
                  <c:v>经营收入</c:v>
                </c:pt>
                <c:pt idx="3">
                  <c:v>附属单位上缴收入</c:v>
                </c:pt>
                <c:pt idx="4">
                  <c:v>其他收入</c:v>
                </c:pt>
              </c:strCache>
            </c:strRef>
          </c:cat>
          <c:val>
            <c:numRef>
              <c:extLst>
                <c:ext xmlns:c15="http://schemas.microsoft.com/office/drawing/2012/chart" uri="{02D57815-91ED-43cb-92C2-25804820EDAC}">
                  <c15:fullRef>
                    <c15:sqref>Sheet1!$B$2:$B$9</c15:sqref>
                  </c15:fullRef>
                </c:ext>
              </c:extLst>
              <c:f>(Sheet1!$B$2,Sheet1!$B$6:$B$9)</c:f>
              <c:numCache>
                <c:formatCode>General</c:formatCode>
                <c:ptCount val="5"/>
                <c:pt idx="0">
                  <c:v>100</c:v>
                </c:pt>
                <c:pt idx="1">
                  <c:v>0</c:v>
                </c:pt>
                <c:pt idx="2">
                  <c:v>0</c:v>
                </c:pt>
                <c:pt idx="3">
                  <c:v>0</c:v>
                </c:pt>
                <c:pt idx="4">
                  <c:v>0</c:v>
                </c:pt>
              </c:numCache>
            </c:numRef>
          </c:val>
        </c:ser>
        <c:dLbls>
          <c:showLegendKey val="0"/>
          <c:showVal val="0"/>
          <c:showCatName val="0"/>
          <c:showSerName val="0"/>
          <c:showPercent val="1"/>
          <c:showBubbleSize val="0"/>
        </c:dLbls>
      </c:pie3DChart>
      <c:spPr>
        <a:noFill/>
        <a:ln>
          <a:noFill/>
        </a:ln>
        <a:effectLst/>
      </c:spPr>
    </c:plotArea>
    <c:legend>
      <c:legendPos val="r"/>
      <c:legendEntry>
        <c:idx val="0"/>
        <c:txPr>
          <a:bodyPr rot="0" spcFirstLastPara="0" vertOverflow="ellipsis" vert="horz" wrap="square" anchor="ctr" anchorCtr="1"/>
          <a:lstStyle/>
          <a:p>
            <a:pPr>
              <a:defRPr lang="zh-CN" sz="1100" b="0" i="0" u="none" strike="noStrike" kern="1200" baseline="0">
                <a:solidFill>
                  <a:schemeClr val="tx1">
                    <a:lumMod val="65000"/>
                    <a:lumOff val="35000"/>
                  </a:schemeClr>
                </a:solidFill>
                <a:latin typeface="+mn-lt"/>
                <a:ea typeface="+mn-ea"/>
                <a:cs typeface="+mn-cs"/>
              </a:defRPr>
            </a:pPr>
          </a:p>
        </c:txPr>
      </c:legendEntry>
      <c:layout>
        <c:manualLayout>
          <c:xMode val="edge"/>
          <c:yMode val="edge"/>
          <c:x val="0.633558202956796"/>
          <c:y val="0.289385008238763"/>
          <c:w val="0.344911726711641"/>
          <c:h val="0.544310528181496"/>
        </c:manualLayout>
      </c:layout>
      <c:overlay val="0"/>
      <c:spPr>
        <a:noFill/>
        <a:ln>
          <a:noFill/>
        </a:ln>
        <a:effectLst/>
      </c:spPr>
      <c:txPr>
        <a:bodyPr rot="0" spcFirstLastPara="0" vertOverflow="ellipsis" vert="horz" wrap="square" anchor="ctr" anchorCtr="1"/>
        <a:lstStyle/>
        <a:p>
          <a:pPr>
            <a:defRPr lang="zh-CN" sz="11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de92fa3c-8844-49c7-bab2-127be8b41252}"/>
      </c:ext>
    </c:extLst>
  </c:chart>
  <c:spPr>
    <a:solidFill>
      <a:schemeClr val="bg1"/>
    </a:solidFill>
    <a:ln w="9525" cap="flat" cmpd="sng" algn="ctr">
      <a:solidFill>
        <a:schemeClr val="tx1"/>
      </a:solidFill>
      <a:round/>
    </a:ln>
    <a:effectLst/>
  </c:spPr>
  <c:txPr>
    <a:bodyPr/>
    <a:lstStyle/>
    <a:p>
      <a:pPr>
        <a:defRPr lang="zh-CN" sz="1100"/>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320" b="0" i="0" u="none" strike="noStrike" kern="1200" spc="0" baseline="0">
                <a:solidFill>
                  <a:schemeClr val="tx1">
                    <a:lumMod val="65000"/>
                    <a:lumOff val="35000"/>
                  </a:schemeClr>
                </a:solidFill>
                <a:latin typeface="+mn-lt"/>
                <a:ea typeface="+mn-ea"/>
                <a:cs typeface="+mn-cs"/>
              </a:defRPr>
            </a:pPr>
            <a:r>
              <a:rPr sz="1320"/>
              <a:t>支出决算结构图</a:t>
            </a:r>
            <a:endParaRPr sz="1320"/>
          </a:p>
        </c:rich>
      </c:tx>
      <c:layout>
        <c:manualLayout>
          <c:xMode val="edge"/>
          <c:yMode val="edge"/>
          <c:x val="0.364504090713363"/>
          <c:y val="0.0717830556540234"/>
        </c:manualLayout>
      </c:layout>
      <c:overlay val="0"/>
      <c:spPr>
        <a:noFill/>
        <a:ln>
          <a:noFill/>
        </a:ln>
        <a:effectLst/>
      </c:spPr>
    </c:title>
    <c:autoTitleDeleted val="0"/>
    <c:view3D>
      <c:rotX val="30"/>
      <c:rotY val="0"/>
      <c:depthPercent val="100"/>
      <c:rAngAx val="0"/>
    </c:view3D>
    <c:floor>
      <c:thickness val="0"/>
      <c:spPr>
        <a:noFill/>
        <a:effectLst/>
      </c:spPr>
    </c:floor>
    <c:sideWall>
      <c:thickness val="0"/>
      <c:spPr>
        <a:noFill/>
        <a:effectLst/>
      </c:spPr>
    </c:sideWall>
    <c:backWall>
      <c:thickness val="0"/>
      <c:spPr>
        <a:noFill/>
        <a:effectLst/>
      </c:spPr>
    </c:backWall>
    <c:plotArea>
      <c:layout/>
      <c:pie3DChart>
        <c:varyColors val="1"/>
        <c:ser>
          <c:idx val="0"/>
          <c:order val="0"/>
          <c:tx>
            <c:strRef>
              <c:f>Sheet1!$B$1</c:f>
              <c:strCache>
                <c:ptCount val="1"/>
                <c:pt idx="0">
                  <c:v>收入决算</c:v>
                </c:pt>
              </c:strCache>
            </c:strRef>
          </c:tx>
          <c:spPr/>
          <c:explosion val="0"/>
          <c:dPt>
            <c:idx val="0"/>
            <c:bubble3D val="0"/>
            <c:explosion val="0"/>
            <c:spPr>
              <a:solidFill>
                <a:schemeClr val="accent1"/>
              </a:solidFill>
              <a:ln w="25400">
                <a:solidFill>
                  <a:schemeClr val="lt1"/>
                </a:solidFill>
              </a:ln>
              <a:effectLst/>
            </c:spPr>
          </c:dPt>
          <c:dPt>
            <c:idx val="1"/>
            <c:bubble3D val="0"/>
            <c:explosion val="27"/>
            <c:spPr>
              <a:solidFill>
                <a:schemeClr val="accent2"/>
              </a:solidFill>
              <a:ln w="25400">
                <a:solidFill>
                  <a:schemeClr val="lt1"/>
                </a:solidFill>
              </a:ln>
              <a:effectLst/>
            </c:spPr>
          </c:dPt>
          <c:dPt>
            <c:idx val="2"/>
            <c:bubble3D val="0"/>
            <c:spPr>
              <a:solidFill>
                <a:schemeClr val="accent3"/>
              </a:solidFill>
              <a:ln w="25400">
                <a:solidFill>
                  <a:schemeClr val="lt1"/>
                </a:solidFill>
              </a:ln>
              <a:effectLst/>
            </c:spPr>
          </c:dPt>
          <c:dPt>
            <c:idx val="3"/>
            <c:bubble3D val="0"/>
            <c:spPr>
              <a:solidFill>
                <a:schemeClr val="accent4"/>
              </a:solidFill>
              <a:ln w="25400">
                <a:solidFill>
                  <a:schemeClr val="lt1"/>
                </a:solidFill>
              </a:ln>
              <a:effectLst/>
            </c:spPr>
          </c:dPt>
          <c:dPt>
            <c:idx val="4"/>
            <c:bubble3D val="0"/>
            <c:explosion val="0"/>
            <c:spPr>
              <a:solidFill>
                <a:schemeClr val="accent5"/>
              </a:solidFill>
              <a:ln w="25400">
                <a:solidFill>
                  <a:schemeClr val="lt1"/>
                </a:solidFill>
              </a:ln>
              <a:effectLst/>
            </c:spPr>
          </c:dPt>
          <c:dLbls>
            <c:dLbl>
              <c:idx val="0"/>
              <c:layout>
                <c:manualLayout>
                  <c:x val="-0.00929841692521574"/>
                  <c:y val="-0.00922077508607912"/>
                </c:manualLayout>
              </c:layout>
              <c:tx>
                <c:rich>
                  <a:bodyPr rot="0" spcFirstLastPara="0" vertOverflow="ellipsis" vert="horz" wrap="square" lIns="38100" tIns="19050" rIns="38100" bIns="19050" anchor="ctr" anchorCtr="1"/>
                  <a:lstStyle/>
                  <a:p>
                    <a:pPr defTabSz="914400">
                      <a:defRPr lang="zh-CN" sz="1100" b="0" i="0" u="none" strike="noStrike" kern="1200" baseline="0">
                        <a:solidFill>
                          <a:schemeClr val="tx1">
                            <a:lumMod val="75000"/>
                            <a:lumOff val="25000"/>
                          </a:schemeClr>
                        </a:solidFill>
                        <a:latin typeface="+mn-lt"/>
                        <a:ea typeface="+mn-ea"/>
                        <a:cs typeface="+mn-cs"/>
                      </a:defRPr>
                    </a:pPr>
                    <a:r>
                      <a:rPr sz="1100"/>
                      <a:t>基本支出90%</a:t>
                    </a:r>
                    <a:endParaRPr sz="1100"/>
                  </a:p>
                </c:rich>
              </c:tx>
              <c:dLblPos val="bestFit"/>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0.00938241169268697"/>
                  <c:y val="-0.0375098102693608"/>
                </c:manualLayout>
              </c:layout>
              <c:tx>
                <c:rich>
                  <a:bodyPr rot="0" spcFirstLastPara="0" vertOverflow="ellipsis" vert="horz" wrap="square" lIns="38100" tIns="19050" rIns="38100" bIns="19050" anchor="ctr" anchorCtr="1"/>
                  <a:lstStyle/>
                  <a:p>
                    <a:pPr defTabSz="914400">
                      <a:defRPr lang="zh-CN" sz="1100" b="0" i="0" u="none" strike="noStrike" kern="1200" baseline="0">
                        <a:solidFill>
                          <a:schemeClr val="tx1">
                            <a:lumMod val="75000"/>
                            <a:lumOff val="25000"/>
                          </a:schemeClr>
                        </a:solidFill>
                        <a:latin typeface="+mn-lt"/>
                        <a:ea typeface="+mn-ea"/>
                        <a:cs typeface="+mn-cs"/>
                      </a:defRPr>
                    </a:pPr>
                    <a:r>
                      <a:rPr sz="1100"/>
                      <a:t>项目支出10%</a:t>
                    </a:r>
                    <a:endParaRPr sz="1100"/>
                  </a:p>
                </c:rich>
              </c:tx>
              <c:dLblPos val="bestFit"/>
              <c:showLegendKey val="0"/>
              <c:showVal val="1"/>
              <c:showCatName val="0"/>
              <c:showSerName val="0"/>
              <c:showPercent val="0"/>
              <c:showBubbleSize val="0"/>
              <c:extLst>
                <c:ext xmlns:c15="http://schemas.microsoft.com/office/drawing/2012/chart" uri="{CE6537A1-D6FC-4f65-9D91-7224C49458BB}">
                  <c15:layout/>
                </c:ext>
              </c:extLst>
            </c:dLbl>
            <c:dLbl>
              <c:idx val="4"/>
              <c:delete val="1"/>
            </c:dLbl>
            <c:spPr>
              <a:noFill/>
              <a:ln>
                <a:noFill/>
              </a:ln>
              <a:effectLst/>
            </c:spPr>
            <c:txPr>
              <a:bodyPr rot="0" spcFirstLastPara="0" vertOverflow="ellipsis" vert="horz" wrap="square" lIns="38100" tIns="19050" rIns="38100" bIns="19050" anchor="ctr" anchorCtr="1"/>
              <a:lstStyle/>
              <a:p>
                <a:pPr>
                  <a:defRPr lang="zh-CN" sz="1100" b="0" i="0" u="none" strike="noStrike" kern="1200" baseline="0">
                    <a:solidFill>
                      <a:schemeClr val="tx1">
                        <a:lumMod val="75000"/>
                        <a:lumOff val="25000"/>
                      </a:schemeClr>
                    </a:solidFill>
                    <a:latin typeface="+mn-lt"/>
                    <a:ea typeface="+mn-ea"/>
                    <a:cs typeface="+mn-cs"/>
                  </a:defRPr>
                </a:pPr>
              </a:p>
            </c:txPr>
            <c:dLblPos val="inEnd"/>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Sheet1!$A$2:$A$6</c:f>
              <c:strCache>
                <c:ptCount val="5"/>
                <c:pt idx="0">
                  <c:v>基本支出</c:v>
                </c:pt>
                <c:pt idx="1">
                  <c:v>项目支出</c:v>
                </c:pt>
                <c:pt idx="2">
                  <c:v>上缴上级支出</c:v>
                </c:pt>
                <c:pt idx="3">
                  <c:v>经营支出</c:v>
                </c:pt>
                <c:pt idx="4">
                  <c:v>对附属单位补助支出</c:v>
                </c:pt>
              </c:strCache>
            </c:strRef>
          </c:cat>
          <c:val>
            <c:numRef>
              <c:f>Sheet1!$B$2:$B$6</c:f>
              <c:numCache>
                <c:formatCode>0%</c:formatCode>
                <c:ptCount val="5"/>
                <c:pt idx="0">
                  <c:v>0.9</c:v>
                </c:pt>
                <c:pt idx="1">
                  <c:v>0.1</c:v>
                </c:pt>
                <c:pt idx="2" c:formatCode="General">
                  <c:v>0</c:v>
                </c:pt>
                <c:pt idx="3" c:formatCode="General">
                  <c:v>0</c:v>
                </c:pt>
                <c:pt idx="4" c:formatCode="General">
                  <c:v>0</c:v>
                </c:pt>
              </c:numCache>
            </c:numRef>
          </c:val>
        </c:ser>
        <c:dLbls>
          <c:showLegendKey val="0"/>
          <c:showVal val="1"/>
          <c:showCatName val="0"/>
          <c:showSerName val="0"/>
          <c:showPercent val="0"/>
          <c:showBubbleSize val="0"/>
        </c:dLbls>
      </c:pie3DChart>
      <c:spPr>
        <a:noFill/>
        <a:ln>
          <a:noFill/>
        </a:ln>
        <a:effectLst/>
      </c:spPr>
    </c:plotArea>
    <c:legend>
      <c:legendPos val="r"/>
      <c:legendEntry>
        <c:idx val="0"/>
        <c:txPr>
          <a:bodyPr rot="0" spcFirstLastPara="0" vertOverflow="ellipsis" vert="horz" wrap="square" anchor="ctr" anchorCtr="1"/>
          <a:lstStyle/>
          <a:p>
            <a:pPr>
              <a:defRPr lang="zh-CN" sz="1100" b="0" i="0" u="none" strike="noStrike" kern="1200" baseline="0">
                <a:solidFill>
                  <a:schemeClr val="tx1">
                    <a:lumMod val="65000"/>
                    <a:lumOff val="35000"/>
                  </a:schemeClr>
                </a:solidFill>
                <a:latin typeface="+mn-lt"/>
                <a:ea typeface="+mn-ea"/>
                <a:cs typeface="+mn-cs"/>
              </a:defRPr>
            </a:pPr>
          </a:p>
        </c:txPr>
      </c:legendEntry>
      <c:legendEntry>
        <c:idx val="1"/>
        <c:txPr>
          <a:bodyPr rot="0" spcFirstLastPara="0" vertOverflow="ellipsis" vert="horz" wrap="square" anchor="ctr" anchorCtr="1"/>
          <a:lstStyle/>
          <a:p>
            <a:pPr>
              <a:defRPr lang="zh-CN" sz="1100" b="0" i="0" u="none" strike="noStrike" kern="1200" baseline="0">
                <a:solidFill>
                  <a:schemeClr val="tx1">
                    <a:lumMod val="65000"/>
                    <a:lumOff val="35000"/>
                  </a:schemeClr>
                </a:solidFill>
                <a:latin typeface="+mn-lt"/>
                <a:ea typeface="+mn-ea"/>
                <a:cs typeface="+mn-cs"/>
              </a:defRPr>
            </a:pPr>
          </a:p>
        </c:txPr>
      </c:legendEntry>
      <c:legendEntry>
        <c:idx val="2"/>
        <c:txPr>
          <a:bodyPr rot="0" spcFirstLastPara="0" vertOverflow="ellipsis" vert="horz" wrap="square" anchor="ctr" anchorCtr="1"/>
          <a:lstStyle/>
          <a:p>
            <a:pPr>
              <a:defRPr lang="zh-CN" sz="1100" b="0" i="0" u="none" strike="noStrike" kern="1200" baseline="0">
                <a:solidFill>
                  <a:schemeClr val="tx1">
                    <a:lumMod val="65000"/>
                    <a:lumOff val="35000"/>
                  </a:schemeClr>
                </a:solidFill>
                <a:latin typeface="+mn-lt"/>
                <a:ea typeface="+mn-ea"/>
                <a:cs typeface="+mn-cs"/>
              </a:defRPr>
            </a:pPr>
          </a:p>
        </c:txPr>
      </c:legendEntry>
      <c:legendEntry>
        <c:idx val="3"/>
        <c:txPr>
          <a:bodyPr rot="0" spcFirstLastPara="0" vertOverflow="ellipsis" vert="horz" wrap="square" anchor="ctr" anchorCtr="1"/>
          <a:lstStyle/>
          <a:p>
            <a:pPr>
              <a:defRPr lang="zh-CN" sz="1100" b="0" i="0" u="none" strike="noStrike" kern="1200" baseline="0">
                <a:solidFill>
                  <a:schemeClr val="tx1">
                    <a:lumMod val="65000"/>
                    <a:lumOff val="35000"/>
                  </a:schemeClr>
                </a:solidFill>
                <a:latin typeface="+mn-lt"/>
                <a:ea typeface="+mn-ea"/>
                <a:cs typeface="+mn-cs"/>
              </a:defRPr>
            </a:pPr>
          </a:p>
        </c:txPr>
      </c:legendEntry>
      <c:legendEntry>
        <c:idx val="4"/>
        <c:txPr>
          <a:bodyPr rot="0" spcFirstLastPara="0" vertOverflow="ellipsis" vert="horz" wrap="square" anchor="ctr" anchorCtr="1"/>
          <a:lstStyle/>
          <a:p>
            <a:pPr>
              <a:defRPr lang="zh-CN" sz="1100" b="0" i="0" u="none" strike="noStrike" kern="1200" baseline="0">
                <a:solidFill>
                  <a:schemeClr val="tx1">
                    <a:lumMod val="65000"/>
                    <a:lumOff val="35000"/>
                  </a:schemeClr>
                </a:solidFill>
                <a:latin typeface="+mn-lt"/>
                <a:ea typeface="+mn-ea"/>
                <a:cs typeface="+mn-cs"/>
              </a:defRPr>
            </a:pPr>
          </a:p>
        </c:txPr>
      </c:legendEntry>
      <c:layout/>
      <c:overlay val="0"/>
      <c:spPr>
        <a:noFill/>
        <a:ln>
          <a:noFill/>
        </a:ln>
        <a:effectLst/>
      </c:spPr>
      <c:txPr>
        <a:bodyPr rot="0" spcFirstLastPara="0" vertOverflow="ellipsis" vert="horz" wrap="square" anchor="ctr" anchorCtr="1"/>
        <a:lstStyle/>
        <a:p>
          <a:pPr>
            <a:defRPr lang="zh-CN" sz="11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adde33c7-5bc8-4f90-8d76-0a1394ceec98}"/>
      </c:ext>
    </c:extLst>
  </c:chart>
  <c:spPr>
    <a:solidFill>
      <a:schemeClr val="bg1"/>
    </a:solidFill>
    <a:ln w="9525" cap="flat" cmpd="sng" algn="ctr">
      <a:solidFill>
        <a:schemeClr val="tx1"/>
      </a:solidFill>
      <a:round/>
    </a:ln>
    <a:effectLst/>
  </c:spPr>
  <c:txPr>
    <a:bodyPr/>
    <a:lstStyle/>
    <a:p>
      <a:pPr>
        <a:defRPr lang="zh-CN" sz="1100"/>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财政拨款收、支决算总体变动情况表</a:t>
            </a:r>
          </a:p>
        </c:rich>
      </c:tx>
      <c:layout/>
      <c:overlay val="0"/>
      <c:spPr>
        <a:noFill/>
        <a:ln>
          <a:noFill/>
        </a:ln>
        <a:effectLst/>
      </c:spPr>
    </c:title>
    <c:autoTitleDeleted val="0"/>
    <c:plotArea>
      <c:layout>
        <c:manualLayout>
          <c:layoutTarget val="inner"/>
          <c:xMode val="edge"/>
          <c:yMode val="edge"/>
          <c:x val="0.0677677494615936"/>
          <c:y val="0.11950936329588"/>
          <c:w val="0.927925"/>
          <c:h val="0.716566666666667"/>
        </c:manualLayout>
      </c:layout>
      <c:barChart>
        <c:barDir val="col"/>
        <c:grouping val="clustered"/>
        <c:varyColors val="0"/>
        <c:ser>
          <c:idx val="0"/>
          <c:order val="0"/>
          <c:tx>
            <c:strRef>
              <c:f>Sheet1!$B$1</c:f>
              <c:strCache>
                <c:ptCount val="1"/>
                <c:pt idx="0">
                  <c:v>2020年</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ct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财政拨款收入决算数</c:v>
                </c:pt>
                <c:pt idx="1">
                  <c:v>财政拨款支出决算数</c:v>
                </c:pt>
              </c:strCache>
            </c:strRef>
          </c:cat>
          <c:val>
            <c:numRef>
              <c:f>Sheet1!$B$2:$B$3</c:f>
              <c:numCache>
                <c:formatCode>General</c:formatCode>
                <c:ptCount val="2"/>
                <c:pt idx="0">
                  <c:v>89.35</c:v>
                </c:pt>
                <c:pt idx="1">
                  <c:v>89.31</c:v>
                </c:pt>
              </c:numCache>
            </c:numRef>
          </c:val>
        </c:ser>
        <c:ser>
          <c:idx val="1"/>
          <c:order val="1"/>
          <c:tx>
            <c:strRef>
              <c:f>Sheet1!$C$1</c:f>
              <c:strCache>
                <c:ptCount val="1"/>
                <c:pt idx="0">
                  <c:v>2021年</c:v>
                </c:pt>
              </c:strCache>
            </c:strRef>
          </c:tx>
          <c:spPr>
            <a:solidFill>
              <a:schemeClr val="accent2"/>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ct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财政拨款收入决算数</c:v>
                </c:pt>
                <c:pt idx="1">
                  <c:v>财政拨款支出决算数</c:v>
                </c:pt>
              </c:strCache>
            </c:strRef>
          </c:cat>
          <c:val>
            <c:numRef>
              <c:f>Sheet1!$C$2:$C$3</c:f>
              <c:numCache>
                <c:formatCode>General</c:formatCode>
                <c:ptCount val="2"/>
                <c:pt idx="0">
                  <c:v>99.26</c:v>
                </c:pt>
                <c:pt idx="1">
                  <c:v>99.16</c:v>
                </c:pt>
              </c:numCache>
            </c:numRef>
          </c:val>
        </c:ser>
        <c:dLbls>
          <c:showLegendKey val="0"/>
          <c:showVal val="1"/>
          <c:showCatName val="0"/>
          <c:showSerName val="0"/>
          <c:showPercent val="0"/>
          <c:showBubbleSize val="0"/>
        </c:dLbls>
        <c:gapWidth val="219"/>
        <c:overlap val="-27"/>
        <c:axId val="313726847"/>
        <c:axId val="484170810"/>
      </c:barChart>
      <c:catAx>
        <c:axId val="313726847"/>
        <c:scaling>
          <c:orientation val="minMax"/>
        </c:scaling>
        <c:delete val="0"/>
        <c:axPos val="b"/>
        <c:title>
          <c:tx>
            <c:rich>
              <a:bodyPr rot="0" spcFirstLastPara="0" vertOverflow="ellipsis" vert="horz" wrap="square" anchor="ctr" anchorCtr="1"/>
              <a:lstStyle/>
              <a:p>
                <a:pPr defTabSz="914400">
                  <a:defRPr lang="zh-CN" sz="1000" b="0" i="0" u="none" strike="noStrike" kern="1200" baseline="0">
                    <a:solidFill>
                      <a:schemeClr val="tx1">
                        <a:lumMod val="65000"/>
                        <a:lumOff val="35000"/>
                      </a:schemeClr>
                    </a:solidFill>
                    <a:latin typeface="+mn-lt"/>
                    <a:ea typeface="+mn-ea"/>
                    <a:cs typeface="+mn-cs"/>
                  </a:defRPr>
                </a:pPr>
                <a:r>
                  <a:t>单位：万元</a:t>
                </a:r>
              </a:p>
            </c:rich>
          </c:tx>
          <c:layout>
            <c:manualLayout>
              <c:xMode val="edge"/>
              <c:yMode val="edge"/>
              <c:x val="0.00472292191435768"/>
              <c:y val="0.884054325955734"/>
            </c:manualLayout>
          </c:layout>
          <c:overlay val="0"/>
          <c:spPr>
            <a:noFill/>
            <a:ln>
              <a:noFill/>
            </a:ln>
            <a:effectLst/>
          </c:spPr>
        </c:title>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484170810"/>
        <c:crosses val="autoZero"/>
        <c:auto val="1"/>
        <c:lblAlgn val="ctr"/>
        <c:lblOffset val="100"/>
        <c:noMultiLvlLbl val="0"/>
      </c:catAx>
      <c:valAx>
        <c:axId val="48417081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313726847"/>
        <c:crosses val="autoZero"/>
        <c:crossBetween val="between"/>
      </c:valAx>
      <c:spPr>
        <a:noFill/>
        <a:ln>
          <a:noFill/>
        </a:ln>
        <a:effectLst/>
      </c:spPr>
    </c:plotArea>
    <c:legend>
      <c:legendPos val="b"/>
      <c:layout>
        <c:manualLayout>
          <c:xMode val="edge"/>
          <c:yMode val="edge"/>
          <c:x val="0.40457408905891"/>
          <c:y val="0.908863920099875"/>
        </c:manualLayou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fb560bde-25d2-4b7d-8d98-db01fd4d48af}"/>
      </c:ext>
    </c:extLst>
  </c:chart>
  <c:spPr>
    <a:solidFill>
      <a:schemeClr val="bg1"/>
    </a:solidFill>
    <a:ln w="9525" cap="flat" cmpd="sng" algn="ctr">
      <a:solidFill>
        <a:schemeClr val="tx1"/>
      </a:solidFill>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一般公共预算财政拨款支出决算变动情况表</a:t>
            </a:r>
          </a:p>
        </c:rich>
      </c:tx>
      <c:layout>
        <c:manualLayout>
          <c:xMode val="edge"/>
          <c:yMode val="edge"/>
          <c:x val="0.104803033494839"/>
          <c:y val="0.031520418811076"/>
        </c:manualLayout>
      </c:layout>
      <c:overlay val="0"/>
      <c:spPr>
        <a:noFill/>
        <a:ln>
          <a:noFill/>
        </a:ln>
        <a:effectLst/>
      </c:spPr>
    </c:title>
    <c:autoTitleDeleted val="0"/>
    <c:plotArea>
      <c:layout>
        <c:manualLayout>
          <c:layoutTarget val="inner"/>
          <c:xMode val="edge"/>
          <c:yMode val="edge"/>
          <c:x val="0.136687382103711"/>
          <c:y val="0.222246303522907"/>
          <c:w val="0.725047709923664"/>
          <c:h val="0.592467127256519"/>
        </c:manualLayout>
      </c:layout>
      <c:barChart>
        <c:barDir val="col"/>
        <c:grouping val="clustered"/>
        <c:varyColors val="0"/>
        <c:ser>
          <c:idx val="0"/>
          <c:order val="0"/>
          <c:tx>
            <c:strRef>
              <c:f>Sheet1!$B$1</c:f>
              <c:strCache>
                <c:ptCount val="1"/>
                <c:pt idx="0">
                  <c:v>2020年</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in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c:f>
              <c:strCache>
                <c:ptCount val="1"/>
                <c:pt idx="0">
                  <c:v>一般公共预算财政拨款支出</c:v>
                </c:pt>
              </c:strCache>
            </c:strRef>
          </c:cat>
          <c:val>
            <c:numRef>
              <c:f>Sheet1!$B$2</c:f>
              <c:numCache>
                <c:formatCode>General</c:formatCode>
                <c:ptCount val="1"/>
                <c:pt idx="0">
                  <c:v>89.31</c:v>
                </c:pt>
              </c:numCache>
            </c:numRef>
          </c:val>
        </c:ser>
        <c:ser>
          <c:idx val="1"/>
          <c:order val="1"/>
          <c:tx>
            <c:strRef>
              <c:f>Sheet1!$C$1</c:f>
              <c:strCache>
                <c:ptCount val="1"/>
                <c:pt idx="0">
                  <c:v>2021年</c:v>
                </c:pt>
              </c:strCache>
            </c:strRef>
          </c:tx>
          <c:spPr>
            <a:solidFill>
              <a:schemeClr val="accent2"/>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in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c:f>
              <c:strCache>
                <c:ptCount val="1"/>
                <c:pt idx="0">
                  <c:v>一般公共预算财政拨款支出</c:v>
                </c:pt>
              </c:strCache>
            </c:strRef>
          </c:cat>
          <c:val>
            <c:numRef>
              <c:f>Sheet1!$C$2</c:f>
              <c:numCache>
                <c:formatCode>General</c:formatCode>
                <c:ptCount val="1"/>
                <c:pt idx="0">
                  <c:v>99.16</c:v>
                </c:pt>
              </c:numCache>
            </c:numRef>
          </c:val>
        </c:ser>
        <c:dLbls>
          <c:showLegendKey val="0"/>
          <c:showVal val="1"/>
          <c:showCatName val="0"/>
          <c:showSerName val="0"/>
          <c:showPercent val="0"/>
          <c:showBubbleSize val="0"/>
        </c:dLbls>
        <c:gapWidth val="219"/>
        <c:overlap val="-27"/>
        <c:axId val="359085999"/>
        <c:axId val="818793149"/>
      </c:barChart>
      <c:catAx>
        <c:axId val="359085999"/>
        <c:scaling>
          <c:orientation val="minMax"/>
        </c:scaling>
        <c:delete val="0"/>
        <c:axPos val="b"/>
        <c:title>
          <c:tx>
            <c:rich>
              <a:bodyPr rot="0" spcFirstLastPara="0" vertOverflow="ellipsis" vert="horz" wrap="square" anchor="ctr" anchorCtr="1"/>
              <a:lstStyle/>
              <a:p>
                <a:pPr defTabSz="914400">
                  <a:defRPr lang="zh-CN" sz="1000" b="0" i="0" u="none" strike="noStrike" kern="1200" baseline="0">
                    <a:solidFill>
                      <a:schemeClr val="tx1">
                        <a:lumMod val="65000"/>
                        <a:lumOff val="35000"/>
                      </a:schemeClr>
                    </a:solidFill>
                    <a:latin typeface="+mn-lt"/>
                    <a:ea typeface="+mn-ea"/>
                    <a:cs typeface="+mn-cs"/>
                  </a:defRPr>
                </a:pPr>
                <a:r>
                  <a:t>单位：万元</a:t>
                </a:r>
              </a:p>
            </c:rich>
          </c:tx>
          <c:layout>
            <c:manualLayout>
              <c:xMode val="edge"/>
              <c:yMode val="edge"/>
              <c:x val="0.0134519270507528"/>
              <c:y val="0.863700885170056"/>
            </c:manualLayout>
          </c:layout>
          <c:overlay val="0"/>
          <c:spPr>
            <a:noFill/>
            <a:ln>
              <a:noFill/>
            </a:ln>
            <a:effectLst/>
          </c:spPr>
        </c:title>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18793149"/>
        <c:crosses val="autoZero"/>
        <c:auto val="1"/>
        <c:lblAlgn val="ctr"/>
        <c:lblOffset val="100"/>
        <c:noMultiLvlLbl val="0"/>
      </c:catAx>
      <c:valAx>
        <c:axId val="818793149"/>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359085999"/>
        <c:crosses val="autoZero"/>
        <c:crossBetween val="between"/>
      </c:valAx>
      <c:spPr>
        <a:noFill/>
        <a:ln>
          <a:noFill/>
        </a:ln>
        <a:effectLst/>
      </c:spPr>
    </c:plotArea>
    <c:legend>
      <c:legendPos val="b"/>
      <c:layout>
        <c:manualLayout>
          <c:xMode val="edge"/>
          <c:yMode val="edge"/>
          <c:x val="0.357305375297896"/>
          <c:y val="0.900874758700214"/>
        </c:manualLayou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6afff805-006f-4650-a1c9-20ce18e09a66}"/>
      </c:ext>
    </c:extLst>
  </c:chart>
  <c:spPr>
    <a:solidFill>
      <a:schemeClr val="bg1"/>
    </a:solidFill>
    <a:ln w="9525" cap="flat" cmpd="sng" algn="ctr">
      <a:solidFill>
        <a:schemeClr val="tx1"/>
      </a:solidFill>
      <a:round/>
    </a:ln>
    <a:effectLst/>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200" b="0" i="0" u="none" strike="noStrike" kern="1200" spc="0" baseline="0">
                <a:solidFill>
                  <a:schemeClr val="tx1">
                    <a:lumMod val="65000"/>
                    <a:lumOff val="35000"/>
                  </a:schemeClr>
                </a:solidFill>
                <a:latin typeface="+mn-lt"/>
                <a:ea typeface="+mn-ea"/>
                <a:cs typeface="+mn-cs"/>
              </a:defRPr>
            </a:pPr>
            <a:r>
              <a:rPr sz="1200"/>
              <a:t>一般公共预算财政拨款支出决算结构图</a:t>
            </a:r>
            <a:endParaRPr sz="1200"/>
          </a:p>
        </c:rich>
      </c:tx>
      <c:layout/>
      <c:overlay val="0"/>
      <c:spPr>
        <a:noFill/>
        <a:ln>
          <a:noFill/>
        </a:ln>
        <a:effectLst/>
      </c:spPr>
    </c:title>
    <c:autoTitleDeleted val="0"/>
    <c:view3D>
      <c:rotX val="30"/>
      <c:rotY val="0"/>
      <c:depthPercent val="100"/>
      <c:rAngAx val="0"/>
    </c:view3D>
    <c:floor>
      <c:thickness val="0"/>
      <c:spPr>
        <a:noFill/>
        <a:effectLst/>
      </c:spPr>
    </c:floor>
    <c:sideWall>
      <c:thickness val="0"/>
      <c:spPr>
        <a:noFill/>
        <a:effectLst/>
      </c:spPr>
    </c:sideWall>
    <c:backWall>
      <c:thickness val="0"/>
      <c:spPr>
        <a:noFill/>
        <a:effectLst/>
      </c:spPr>
    </c:backWall>
    <c:plotArea>
      <c:layout>
        <c:manualLayout>
          <c:layoutTarget val="inner"/>
          <c:xMode val="edge"/>
          <c:yMode val="edge"/>
          <c:x val="0.0972711267605634"/>
          <c:y val="0.128172263522174"/>
          <c:w val="0.849178403755869"/>
          <c:h val="0.619072032812099"/>
        </c:manualLayout>
      </c:layout>
      <c:pie3DChart>
        <c:varyColors val="1"/>
        <c:ser>
          <c:idx val="0"/>
          <c:order val="0"/>
          <c:tx>
            <c:strRef>
              <c:f>Sheet1!$B$1</c:f>
              <c:strCache>
                <c:ptCount val="1"/>
                <c:pt idx="0">
                  <c:v>销售额</c:v>
                </c:pt>
              </c:strCache>
            </c:strRef>
          </c:tx>
          <c:spPr>
            <a:scene3d>
              <a:camera prst="orthographicFront"/>
              <a:lightRig rig="threePt" dir="t"/>
            </a:scene3d>
            <a:sp3d contourW="25400"/>
          </c:spPr>
          <c:explosion val="0"/>
          <c:dPt>
            <c:idx val="0"/>
            <c:bubble3D val="0"/>
            <c:spPr>
              <a:solidFill>
                <a:schemeClr val="accent1"/>
              </a:solidFill>
              <a:ln w="25400">
                <a:solidFill>
                  <a:schemeClr val="lt1"/>
                </a:solidFill>
              </a:ln>
              <a:effectLst/>
              <a:scene3d>
                <a:camera prst="orthographicFront"/>
                <a:lightRig rig="threePt" dir="t"/>
              </a:scene3d>
              <a:sp3d contourW="25400"/>
            </c:spPr>
          </c:dPt>
          <c:dPt>
            <c:idx val="1"/>
            <c:bubble3D val="0"/>
            <c:spPr>
              <a:solidFill>
                <a:schemeClr val="accent2"/>
              </a:solidFill>
              <a:ln w="25400">
                <a:solidFill>
                  <a:schemeClr val="lt1"/>
                </a:solidFill>
              </a:ln>
              <a:effectLst/>
              <a:scene3d>
                <a:camera prst="orthographicFront"/>
                <a:lightRig rig="threePt" dir="t"/>
              </a:scene3d>
              <a:sp3d contourW="25400"/>
            </c:spPr>
          </c:dPt>
          <c:dPt>
            <c:idx val="2"/>
            <c:bubble3D val="0"/>
            <c:spPr>
              <a:solidFill>
                <a:schemeClr val="accent3"/>
              </a:solidFill>
              <a:ln w="25400">
                <a:solidFill>
                  <a:schemeClr val="lt1"/>
                </a:solidFill>
              </a:ln>
              <a:effectLst/>
              <a:scene3d>
                <a:camera prst="orthographicFront"/>
                <a:lightRig rig="threePt" dir="t"/>
              </a:scene3d>
              <a:sp3d contourW="25400"/>
            </c:spPr>
          </c:dPt>
          <c:dPt>
            <c:idx val="3"/>
            <c:bubble3D val="0"/>
            <c:spPr>
              <a:solidFill>
                <a:schemeClr val="accent4"/>
              </a:solidFill>
              <a:ln w="25400">
                <a:solidFill>
                  <a:schemeClr val="lt1"/>
                </a:solidFill>
              </a:ln>
              <a:effectLst/>
              <a:scene3d>
                <a:camera prst="orthographicFront"/>
                <a:lightRig rig="threePt" dir="t"/>
              </a:scene3d>
              <a:sp3d contourW="25400"/>
            </c:spPr>
          </c:dPt>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Sheet1!$A$2:$A$5</c:f>
              <c:strCache>
                <c:ptCount val="4"/>
                <c:pt idx="0">
                  <c:v>社会保障和就业（类）支出</c:v>
                </c:pt>
                <c:pt idx="1">
                  <c:v>卫生健康支出</c:v>
                </c:pt>
                <c:pt idx="2">
                  <c:v>住房保障支出</c:v>
                </c:pt>
                <c:pt idx="3">
                  <c:v>灾害防治及应急管理支出</c:v>
                </c:pt>
              </c:strCache>
            </c:strRef>
          </c:cat>
          <c:val>
            <c:numRef>
              <c:f>Sheet1!$B$2:$B$5</c:f>
              <c:numCache>
                <c:formatCode>0.00%</c:formatCode>
                <c:ptCount val="4"/>
                <c:pt idx="0">
                  <c:v>0.0914</c:v>
                </c:pt>
                <c:pt idx="1">
                  <c:v>0.0347</c:v>
                </c:pt>
                <c:pt idx="2">
                  <c:v>0.0854</c:v>
                </c:pt>
                <c:pt idx="3">
                  <c:v>0.7885</c:v>
                </c:pt>
              </c:numCache>
            </c:numRef>
          </c:val>
        </c:ser>
        <c:dLbls>
          <c:showLegendKey val="0"/>
          <c:showVal val="1"/>
          <c:showCatName val="0"/>
          <c:showSerName val="0"/>
          <c:showPercent val="0"/>
          <c:showBubbleSize val="0"/>
        </c:dLbls>
      </c:pie3DChart>
      <c:spPr>
        <a:noFill/>
        <a:ln>
          <a:noFill/>
        </a:ln>
        <a:effectLst/>
      </c:spPr>
    </c:plotArea>
    <c:legend>
      <c:legendPos val="b"/>
      <c:legendEntry>
        <c:idx val="0"/>
        <c:txPr>
          <a:bodyPr rot="0" spcFirstLastPara="0" vertOverflow="ellipsis" vert="horz" wrap="square" anchor="ctr" anchorCtr="1"/>
          <a:lstStyle/>
          <a:p>
            <a:pPr>
              <a:defRPr lang="zh-CN" sz="1000" b="0" i="0" u="none" strike="noStrike" kern="1200" baseline="0">
                <a:solidFill>
                  <a:schemeClr val="tx1">
                    <a:lumMod val="65000"/>
                    <a:lumOff val="35000"/>
                  </a:schemeClr>
                </a:solidFill>
                <a:latin typeface="+mn-lt"/>
                <a:ea typeface="+mn-ea"/>
                <a:cs typeface="+mn-cs"/>
              </a:defRPr>
            </a:pPr>
          </a:p>
        </c:txPr>
      </c:legendEntry>
      <c:legendEntry>
        <c:idx val="1"/>
        <c:txPr>
          <a:bodyPr rot="0" spcFirstLastPara="0" vertOverflow="ellipsis" vert="horz" wrap="square" anchor="ctr" anchorCtr="1"/>
          <a:lstStyle/>
          <a:p>
            <a:pPr>
              <a:defRPr lang="zh-CN" sz="1000" b="0" i="0" u="none" strike="noStrike" kern="1200" baseline="0">
                <a:solidFill>
                  <a:schemeClr val="tx1">
                    <a:lumMod val="65000"/>
                    <a:lumOff val="35000"/>
                  </a:schemeClr>
                </a:solidFill>
                <a:latin typeface="+mn-lt"/>
                <a:ea typeface="+mn-ea"/>
                <a:cs typeface="+mn-cs"/>
              </a:defRPr>
            </a:pPr>
          </a:p>
        </c:txPr>
      </c:legendEntry>
      <c:legendEntry>
        <c:idx val="2"/>
        <c:txPr>
          <a:bodyPr rot="0" spcFirstLastPara="0" vertOverflow="ellipsis" vert="horz" wrap="square" anchor="ctr" anchorCtr="1"/>
          <a:lstStyle/>
          <a:p>
            <a:pPr>
              <a:defRPr lang="zh-CN" sz="1000" b="0" i="0" u="none" strike="noStrike" kern="1200" baseline="0">
                <a:solidFill>
                  <a:schemeClr val="tx1">
                    <a:lumMod val="65000"/>
                    <a:lumOff val="35000"/>
                  </a:schemeClr>
                </a:solidFill>
                <a:latin typeface="+mn-lt"/>
                <a:ea typeface="+mn-ea"/>
                <a:cs typeface="+mn-cs"/>
              </a:defRPr>
            </a:pPr>
          </a:p>
        </c:txPr>
      </c:legendEntry>
      <c:legendEntry>
        <c:idx val="3"/>
        <c:txPr>
          <a:bodyPr rot="0" spcFirstLastPara="0" vertOverflow="ellipsis" vert="horz" wrap="square" anchor="ctr" anchorCtr="1"/>
          <a:lstStyle/>
          <a:p>
            <a:pPr>
              <a:defRPr lang="zh-CN" sz="1000" b="0" i="0" u="none" strike="noStrike" kern="1200" baseline="0">
                <a:solidFill>
                  <a:schemeClr val="tx1">
                    <a:lumMod val="65000"/>
                    <a:lumOff val="35000"/>
                  </a:schemeClr>
                </a:solidFill>
                <a:latin typeface="+mn-lt"/>
                <a:ea typeface="+mn-ea"/>
                <a:cs typeface="+mn-cs"/>
              </a:defRPr>
            </a:pPr>
          </a:p>
        </c:txPr>
      </c:legendEntry>
      <c:layout>
        <c:manualLayout>
          <c:xMode val="edge"/>
          <c:yMode val="edge"/>
          <c:x val="0.0914025821596244"/>
          <c:y val="0.704947449371956"/>
          <c:w val="0.790786384976526"/>
          <c:h val="0.251217636503461"/>
        </c:manualLayout>
      </c:layout>
      <c:overlay val="0"/>
      <c:spPr>
        <a:noFill/>
        <a:ln>
          <a:noFill/>
        </a:ln>
        <a:effectLst/>
      </c:spPr>
      <c:txPr>
        <a:bodyPr rot="0" spcFirstLastPara="0" vertOverflow="ellipsis" vert="horz" wrap="square" anchor="ctr" anchorCtr="1"/>
        <a:lstStyle/>
        <a:p>
          <a:pPr>
            <a:defRPr lang="zh-CN" sz="10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110a01f5-23d0-434f-b084-442a9c6fbd1a}"/>
      </c:ext>
    </c:extLst>
  </c:chart>
  <c:spPr>
    <a:solidFill>
      <a:schemeClr val="bg1"/>
    </a:solidFill>
    <a:ln w="9525" cap="flat" cmpd="sng" algn="ctr">
      <a:solidFill>
        <a:schemeClr val="tx1"/>
      </a:solidFill>
      <a:round/>
    </a:ln>
    <a:effectLst/>
  </c:spPr>
  <c:txPr>
    <a:bodyPr/>
    <a:lstStyle/>
    <a:p>
      <a:pPr>
        <a:defRPr lang="zh-CN" sz="1000"/>
      </a:pP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0"/>
    <c:view3D>
      <c:rotX val="30"/>
      <c:rotY val="0"/>
      <c:depthPercent val="100"/>
      <c:rAngAx val="0"/>
    </c:view3D>
    <c:floor>
      <c:thickness val="0"/>
      <c:spPr>
        <a:noFill/>
        <a:effectLst/>
      </c:spPr>
    </c:floor>
    <c:sideWall>
      <c:thickness val="0"/>
      <c:spPr>
        <a:noFill/>
        <a:effectLst/>
      </c:spPr>
    </c:sideWall>
    <c:backWall>
      <c:thickness val="0"/>
      <c:spPr>
        <a:noFill/>
        <a:effectLst/>
      </c:spPr>
    </c:backWall>
    <c:plotArea>
      <c:layout>
        <c:manualLayout>
          <c:layoutTarget val="inner"/>
          <c:xMode val="edge"/>
          <c:yMode val="edge"/>
          <c:x val="0.0342412451361868"/>
          <c:y val="0.102370990237099"/>
          <c:w val="0.954863813229572"/>
          <c:h val="0.709902370990237"/>
        </c:manualLayout>
      </c:layout>
      <c:pie3DChart>
        <c:varyColors val="1"/>
        <c:ser>
          <c:idx val="0"/>
          <c:order val="0"/>
          <c:tx>
            <c:strRef>
              <c:f>Sheet1!$B$1</c:f>
              <c:strCache>
                <c:ptCount val="1"/>
                <c:pt idx="0">
                  <c:v>“三公”经费财政拨款支出结构</c:v>
                </c:pt>
              </c:strCache>
            </c:strRef>
          </c:tx>
          <c:spPr>
            <a:scene3d>
              <a:camera prst="orthographicFront"/>
              <a:lightRig rig="threePt" dir="t"/>
            </a:scene3d>
            <a:sp3d contourW="25400"/>
          </c:spPr>
          <c:explosion val="0"/>
          <c:dPt>
            <c:idx val="0"/>
            <c:bubble3D val="0"/>
            <c:spPr>
              <a:solidFill>
                <a:schemeClr val="accent1"/>
              </a:solidFill>
              <a:ln w="25400">
                <a:solidFill>
                  <a:schemeClr val="lt1"/>
                </a:solidFill>
              </a:ln>
              <a:effectLst/>
              <a:scene3d>
                <a:camera prst="orthographicFront"/>
                <a:lightRig rig="threePt" dir="t"/>
              </a:scene3d>
              <a:sp3d contourW="25400"/>
            </c:spPr>
          </c:dPt>
          <c:dPt>
            <c:idx val="1"/>
            <c:bubble3D val="0"/>
            <c:spPr>
              <a:solidFill>
                <a:schemeClr val="accent2"/>
              </a:solidFill>
              <a:ln w="25400">
                <a:solidFill>
                  <a:schemeClr val="lt1"/>
                </a:solidFill>
              </a:ln>
              <a:effectLst/>
              <a:scene3d>
                <a:camera prst="orthographicFront"/>
                <a:lightRig rig="threePt" dir="t"/>
              </a:scene3d>
              <a:sp3d contourW="25400"/>
            </c:spPr>
          </c:dPt>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公务车购置及运行维护费支出决算</c:v>
                </c:pt>
                <c:pt idx="1">
                  <c:v>公务接待费支出决算</c:v>
                </c:pt>
              </c:strCache>
            </c:strRef>
          </c:cat>
          <c:val>
            <c:numRef>
              <c:f>Sheet1!$B$2:$B$3</c:f>
              <c:numCache>
                <c:formatCode>0.00%</c:formatCode>
                <c:ptCount val="2"/>
                <c:pt idx="0">
                  <c:v>0.944</c:v>
                </c:pt>
                <c:pt idx="1">
                  <c:v>0.056</c:v>
                </c:pt>
              </c:numCache>
            </c:numRef>
          </c:val>
        </c:ser>
        <c:dLbls>
          <c:showLegendKey val="0"/>
          <c:showVal val="1"/>
          <c:showCatName val="0"/>
          <c:showSerName val="0"/>
          <c:showPercent val="0"/>
          <c:showBubbleSize val="0"/>
        </c:dLbls>
      </c:pie3DChart>
      <c:spPr>
        <a:noFill/>
        <a:ln>
          <a:noFill/>
        </a:ln>
        <a:effectLst/>
      </c:spPr>
    </c:plotArea>
    <c:legend>
      <c:legendPos val="b"/>
      <c:layout>
        <c:manualLayout>
          <c:xMode val="edge"/>
          <c:yMode val="edge"/>
          <c:x val="0.0771984435797665"/>
          <c:y val="0.873640167364017"/>
          <c:w val="0.856809338521401"/>
          <c:h val="0.0928870292887029"/>
        </c:manualLayou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555f60cf-9299-469e-81e4-9e2a8021a6f3}"/>
      </c:ext>
    </c:extLst>
  </c:chart>
  <c:spPr>
    <a:solidFill>
      <a:schemeClr val="bg1"/>
    </a:solidFill>
    <a:ln w="9525" cap="flat" cmpd="sng" algn="ctr">
      <a:solidFill>
        <a:schemeClr val="tx1"/>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6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6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四川省财政厅</Company>
  <Pages>20</Pages>
  <Words>6068</Words>
  <Characters>6497</Characters>
  <Lines>45</Lines>
  <Paragraphs>12</Paragraphs>
  <TotalTime>44</TotalTime>
  <ScaleCrop>false</ScaleCrop>
  <LinksUpToDate>false</LinksUpToDate>
  <CharactersWithSpaces>6520</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2022-10-18T08:10:00Z</dcterms:created>
  <dc:creator>曹颖</dc:creator>
  <cp:lastModifiedBy>王茜</cp:lastModifiedBy>
  <cp:lastPrinted>2022-10-31T03:11:00Z</cp:lastPrinted>
  <dcterms:modified xsi:type="dcterms:W3CDTF">2024-12-23T08:59:08Z</dcterms:modified>
  <dc:title>四川省***</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F0A881D1EE764A37BF3A3A63F63CC243_12</vt:lpwstr>
  </property>
</Properties>
</file>