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黑体" w:hAnsi="黑体" w:eastAsia="黑体" w:cs="黑体"/>
          <w:color w:val="000000"/>
          <w:sz w:val="32"/>
          <w:szCs w:val="32"/>
        </w:rPr>
      </w:pPr>
      <w:bookmarkStart w:id="0" w:name="_Toc15306267"/>
      <w:r>
        <w:rPr>
          <w:rFonts w:hint="eastAsia" w:ascii="黑体" w:hAnsi="黑体" w:eastAsia="黑体" w:cs="黑体"/>
          <w:color w:val="000000"/>
          <w:sz w:val="32"/>
          <w:szCs w:val="32"/>
        </w:rPr>
        <w:t>附件3</w:t>
      </w: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96475"/>
      <w:bookmarkStart w:id="3" w:name="_Toc15377425"/>
      <w:bookmarkStart w:id="4" w:name="_Toc15377193"/>
      <w:bookmarkStart w:id="5" w:name="_Toc15378441"/>
      <w:r>
        <w:rPr>
          <w:rFonts w:ascii="黑体" w:hAnsi="黑体" w:eastAsia="黑体"/>
          <w:color w:val="000000"/>
          <w:sz w:val="72"/>
          <w:szCs w:val="72"/>
        </w:rPr>
        <w:t>202</w:t>
      </w:r>
      <w:r>
        <w:rPr>
          <w:rFonts w:hint="eastAsia" w:ascii="黑体" w:hAnsi="黑体" w:eastAsia="黑体"/>
          <w:color w:val="000000"/>
          <w:sz w:val="72"/>
          <w:szCs w:val="72"/>
          <w:lang w:val="en-US" w:eastAsia="zh-CN"/>
        </w:rPr>
        <w:t>1</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77194"/>
      <w:bookmarkStart w:id="7" w:name="_Toc15396598"/>
      <w:bookmarkStart w:id="8" w:name="_Toc15378442"/>
      <w:bookmarkStart w:id="9" w:name="_Toc15377426"/>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峨眉山市民政中心</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pStyle w:val="2"/>
        <w:pageBreakBefore w:val="0"/>
        <w:kinsoku/>
        <w:wordWrap/>
        <w:overflowPunct/>
        <w:topLinePunct w:val="0"/>
        <w:bidi w:val="0"/>
        <w:spacing w:line="600" w:lineRule="exact"/>
        <w:jc w:val="center"/>
        <w:textAlignment w:val="auto"/>
        <w:rPr>
          <w:rStyle w:val="10"/>
          <w:rFonts w:ascii="黑体" w:hAnsi="黑体" w:eastAsia="黑体"/>
          <w:b/>
          <w:bCs w:val="0"/>
        </w:rPr>
      </w:pPr>
      <w:r>
        <w:rPr>
          <w:rFonts w:ascii="方正小标宋简体" w:hAnsi="宋体" w:eastAsia="方正小标宋简体"/>
          <w:color w:val="000000"/>
          <w:sz w:val="36"/>
          <w:szCs w:val="36"/>
        </w:rPr>
        <w:br w:type="page"/>
      </w:r>
      <w:r>
        <w:rPr>
          <w:rFonts w:hint="eastAsia" w:ascii="黑体" w:hAnsi="黑体" w:eastAsia="黑体"/>
          <w:b w:val="0"/>
        </w:rPr>
        <w:t>第一部分</w:t>
      </w:r>
      <w:r>
        <w:rPr>
          <w:rFonts w:ascii="黑体" w:hAnsi="黑体" w:eastAsia="黑体"/>
          <w:b w:val="0"/>
        </w:rPr>
        <w:t xml:space="preserve"> </w:t>
      </w:r>
      <w:r>
        <w:rPr>
          <w:rStyle w:val="10"/>
          <w:rFonts w:hint="eastAsia" w:ascii="黑体" w:hAnsi="黑体" w:eastAsia="黑体"/>
          <w:b w:val="0"/>
          <w:bCs w:val="0"/>
        </w:rPr>
        <w:t>部门概况</w:t>
      </w:r>
    </w:p>
    <w:p>
      <w:pPr>
        <w:pageBreakBefore w:val="0"/>
        <w:widowControl/>
        <w:kinsoku/>
        <w:wordWrap/>
        <w:overflowPunct/>
        <w:topLinePunct w:val="0"/>
        <w:bidi w:val="0"/>
        <w:spacing w:line="600" w:lineRule="exact"/>
        <w:jc w:val="left"/>
        <w:textAlignment w:val="auto"/>
        <w:rPr>
          <w:rFonts w:ascii="黑体" w:eastAsia="黑体"/>
          <w:color w:val="000000"/>
          <w:sz w:val="32"/>
          <w:szCs w:val="32"/>
        </w:rPr>
      </w:pPr>
    </w:p>
    <w:p>
      <w:pPr>
        <w:pStyle w:val="3"/>
        <w:pageBreakBefore w:val="0"/>
        <w:kinsoku/>
        <w:wordWrap/>
        <w:overflowPunct/>
        <w:topLinePunct w:val="0"/>
        <w:bidi w:val="0"/>
        <w:spacing w:line="600" w:lineRule="exact"/>
        <w:textAlignment w:val="auto"/>
        <w:rPr>
          <w:rStyle w:val="11"/>
          <w:rFonts w:ascii="仿宋" w:hAnsi="仿宋" w:eastAsia="仿宋"/>
          <w:b w:val="0"/>
          <w:bCs w:val="0"/>
        </w:rPr>
      </w:pPr>
      <w:bookmarkStart w:id="12" w:name="_Toc15396600"/>
      <w:bookmarkStart w:id="13" w:name="_Toc15377197"/>
      <w:r>
        <w:rPr>
          <w:rFonts w:hint="eastAsia" w:ascii="黑体" w:hAnsi="黑体" w:eastAsia="黑体"/>
          <w:b w:val="0"/>
          <w:color w:val="000000"/>
        </w:rPr>
        <w:t>一、基</w:t>
      </w:r>
      <w:r>
        <w:rPr>
          <w:rStyle w:val="11"/>
          <w:rFonts w:hint="eastAsia" w:ascii="黑体" w:hAnsi="黑体" w:eastAsia="黑体"/>
          <w:b w:val="0"/>
          <w:bCs w:val="0"/>
        </w:rPr>
        <w:t>本职能及主要工作</w:t>
      </w:r>
      <w:bookmarkEnd w:id="12"/>
      <w:bookmarkEnd w:id="13"/>
    </w:p>
    <w:p>
      <w:pPr>
        <w:pStyle w:val="4"/>
        <w:pageBreakBefore w:val="0"/>
        <w:kinsoku/>
        <w:wordWrap/>
        <w:overflowPunct/>
        <w:topLinePunct w:val="0"/>
        <w:bidi w:val="0"/>
        <w:adjustRightInd w:val="0"/>
        <w:snapToGrid w:val="0"/>
        <w:spacing w:before="93" w:line="600" w:lineRule="exact"/>
        <w:ind w:firstLine="672" w:firstLineChars="210"/>
        <w:textAlignment w:val="auto"/>
        <w:outlineLvl w:val="2"/>
        <w:rPr>
          <w:rFonts w:hint="eastAsia" w:ascii="仿宋_GB2312" w:hAnsi="仿宋_GB2312" w:eastAsia="仿宋_GB2312" w:cs="仿宋_GB2312"/>
          <w:bCs/>
          <w:color w:val="000000"/>
          <w:sz w:val="32"/>
          <w:szCs w:val="32"/>
        </w:rPr>
      </w:pPr>
      <w:bookmarkStart w:id="14" w:name="_Toc15377198"/>
      <w:bookmarkStart w:id="15" w:name="_Toc15378445"/>
      <w:r>
        <w:rPr>
          <w:rFonts w:hint="eastAsia" w:ascii="仿宋" w:hAnsi="仿宋" w:eastAsia="仿宋"/>
          <w:bCs/>
          <w:color w:val="000000"/>
          <w:sz w:val="32"/>
          <w:szCs w:val="32"/>
        </w:rPr>
        <w:t>（</w:t>
      </w:r>
      <w:r>
        <w:rPr>
          <w:rFonts w:hint="eastAsia" w:ascii="仿宋_GB2312" w:hAnsi="仿宋_GB2312" w:eastAsia="仿宋_GB2312" w:cs="仿宋_GB2312"/>
          <w:bCs/>
          <w:color w:val="000000"/>
          <w:sz w:val="32"/>
          <w:szCs w:val="32"/>
        </w:rPr>
        <w:t>一）主要职能。</w:t>
      </w:r>
      <w:bookmarkEnd w:id="14"/>
      <w:bookmarkEnd w:id="15"/>
    </w:p>
    <w:p>
      <w:pPr>
        <w:snapToGrid w:val="0"/>
        <w:spacing w:line="520" w:lineRule="exact"/>
        <w:ind w:firstLine="640" w:firstLineChars="200"/>
        <w:rPr>
          <w:rFonts w:hint="eastAsia" w:ascii="仿宋_GB2312" w:hAnsi="仿宋" w:eastAsia="仿宋_GB2312"/>
          <w:sz w:val="32"/>
          <w:szCs w:val="32"/>
          <w:lang w:eastAsia="zh-CN"/>
        </w:rPr>
      </w:pPr>
      <w:bookmarkStart w:id="16" w:name="_Toc15378446"/>
      <w:bookmarkStart w:id="17" w:name="_Toc15377199"/>
      <w:r>
        <w:rPr>
          <w:rFonts w:hint="eastAsia" w:ascii="仿宋_GB2312" w:hAnsi="仿宋" w:eastAsia="仿宋_GB2312"/>
          <w:sz w:val="32"/>
          <w:szCs w:val="32"/>
        </w:rPr>
        <w:t>1．主要职能。</w:t>
      </w:r>
      <w:r>
        <w:rPr>
          <w:rFonts w:hint="eastAsia" w:ascii="仿宋_GB2312" w:hAnsi="仿宋" w:eastAsia="仿宋_GB2312"/>
          <w:sz w:val="32"/>
          <w:szCs w:val="32"/>
          <w:lang w:eastAsia="zh-CN"/>
        </w:rPr>
        <w:t>峨眉山市民政中心，社会养老服务中心，主要为社会五保老人、贫困老人、社会流浪乞讨人员提供生活服务保障。</w:t>
      </w:r>
    </w:p>
    <w:p>
      <w:pPr>
        <w:pStyle w:val="4"/>
        <w:pageBreakBefore w:val="0"/>
        <w:kinsoku/>
        <w:wordWrap/>
        <w:overflowPunct/>
        <w:topLinePunct w:val="0"/>
        <w:bidi w:val="0"/>
        <w:adjustRightInd w:val="0"/>
        <w:snapToGrid w:val="0"/>
        <w:spacing w:before="93" w:line="600" w:lineRule="exact"/>
        <w:ind w:firstLine="640" w:firstLineChars="200"/>
        <w:textAlignment w:val="auto"/>
        <w:outlineLvl w:val="2"/>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（二）202</w:t>
      </w:r>
      <w:r>
        <w:rPr>
          <w:rFonts w:hint="eastAsia" w:hAnsi="仿宋_GB2312" w:cs="仿宋_GB2312"/>
          <w:bCs/>
          <w:color w:val="000000"/>
          <w:sz w:val="32"/>
          <w:szCs w:val="32"/>
          <w:lang w:val="en-US" w:eastAsia="zh-CN"/>
        </w:rPr>
        <w:t>1</w:t>
      </w:r>
      <w:r>
        <w:rPr>
          <w:rFonts w:hint="eastAsia" w:ascii="仿宋_GB2312" w:hAnsi="仿宋_GB2312" w:eastAsia="仿宋_GB2312" w:cs="仿宋_GB2312"/>
          <w:bCs/>
          <w:color w:val="000000"/>
          <w:sz w:val="32"/>
          <w:szCs w:val="32"/>
        </w:rPr>
        <w:t>年重点工作完成情况。</w:t>
      </w:r>
      <w:bookmarkEnd w:id="16"/>
      <w:bookmarkEnd w:id="17"/>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敬老院内</w:t>
      </w:r>
      <w:r>
        <w:rPr>
          <w:rFonts w:hint="eastAsia" w:ascii="仿宋_GB2312" w:hAnsi="仿宋" w:eastAsia="仿宋_GB2312"/>
          <w:sz w:val="32"/>
          <w:szCs w:val="32"/>
          <w:lang w:val="en-US" w:eastAsia="zh-CN"/>
        </w:rPr>
        <w:t>2021年正常运转，为养老服务提供运转保障。各喷淋消防设施设备检测更换，老人居住环境提升改造。老人膳食进一步完善。为老人提供了更舒适、更安全的环境。切实保障了老人吃、住、用、行。多次举行志愿者表演及捐赠，让老人生活充满阳光和爱的希望。</w:t>
      </w:r>
    </w:p>
    <w:p>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救助站、未保中心</w:t>
      </w:r>
      <w:r>
        <w:rPr>
          <w:rFonts w:hint="eastAsia" w:ascii="仿宋" w:hAnsi="仿宋" w:eastAsia="仿宋" w:cs="仿宋_GB2312"/>
          <w:sz w:val="32"/>
          <w:szCs w:val="32"/>
        </w:rPr>
        <w:t>年救助</w:t>
      </w:r>
      <w:r>
        <w:rPr>
          <w:rFonts w:hint="eastAsia" w:ascii="仿宋" w:hAnsi="仿宋" w:eastAsia="仿宋" w:cs="仿宋_GB2312"/>
          <w:sz w:val="32"/>
          <w:szCs w:val="32"/>
          <w:lang w:val="en-US" w:eastAsia="zh-CN"/>
        </w:rPr>
        <w:t>共救助</w:t>
      </w:r>
      <w:r>
        <w:rPr>
          <w:rFonts w:hint="eastAsia" w:ascii="仿宋" w:hAnsi="仿宋" w:eastAsia="仿宋" w:cs="仿宋_GB2312"/>
          <w:sz w:val="32"/>
          <w:szCs w:val="32"/>
        </w:rPr>
        <w:t>各类受助人员</w:t>
      </w:r>
      <w:r>
        <w:rPr>
          <w:rFonts w:hint="eastAsia" w:ascii="仿宋" w:hAnsi="仿宋" w:eastAsia="仿宋" w:cs="仿宋_GB2312"/>
          <w:sz w:val="32"/>
          <w:szCs w:val="32"/>
          <w:lang w:val="en-US" w:eastAsia="zh-CN"/>
        </w:rPr>
        <w:t>228</w:t>
      </w:r>
      <w:r>
        <w:rPr>
          <w:rFonts w:hint="eastAsia" w:ascii="仿宋" w:hAnsi="仿宋" w:eastAsia="仿宋" w:cs="仿宋_GB2312"/>
          <w:sz w:val="32"/>
          <w:szCs w:val="32"/>
        </w:rPr>
        <w:t>人次，</w:t>
      </w:r>
      <w:r>
        <w:rPr>
          <w:rFonts w:hint="eastAsia" w:ascii="仿宋" w:hAnsi="仿宋" w:eastAsia="仿宋" w:cs="仿宋_GB2312"/>
          <w:color w:val="000000"/>
          <w:kern w:val="0"/>
          <w:sz w:val="32"/>
          <w:szCs w:val="32"/>
        </w:rPr>
        <w:t>救助帮扶留守儿童</w:t>
      </w:r>
      <w:r>
        <w:rPr>
          <w:rFonts w:hint="eastAsia" w:ascii="仿宋" w:hAnsi="仿宋" w:eastAsia="仿宋" w:cs="仿宋_GB2312"/>
          <w:color w:val="000000"/>
          <w:kern w:val="0"/>
          <w:sz w:val="32"/>
          <w:szCs w:val="32"/>
          <w:lang w:eastAsia="zh-CN"/>
        </w:rPr>
        <w:t>、</w:t>
      </w:r>
      <w:r>
        <w:rPr>
          <w:rFonts w:hint="eastAsia" w:ascii="仿宋" w:hAnsi="仿宋" w:eastAsia="仿宋" w:cs="仿宋_GB2312"/>
          <w:color w:val="000000"/>
          <w:kern w:val="0"/>
          <w:sz w:val="32"/>
          <w:szCs w:val="32"/>
        </w:rPr>
        <w:t>困境</w:t>
      </w:r>
      <w:r>
        <w:rPr>
          <w:rFonts w:hint="eastAsia" w:ascii="仿宋" w:hAnsi="仿宋" w:eastAsia="仿宋" w:cs="仿宋_GB2312"/>
          <w:color w:val="000000"/>
          <w:kern w:val="0"/>
          <w:sz w:val="32"/>
          <w:szCs w:val="32"/>
          <w:lang w:eastAsia="zh-CN"/>
        </w:rPr>
        <w:t>儿童</w:t>
      </w:r>
      <w:r>
        <w:rPr>
          <w:rFonts w:hint="eastAsia" w:ascii="仿宋" w:hAnsi="仿宋" w:eastAsia="仿宋" w:cs="仿宋_GB2312"/>
          <w:color w:val="000000"/>
          <w:kern w:val="0"/>
          <w:sz w:val="32"/>
          <w:szCs w:val="32"/>
        </w:rPr>
        <w:t xml:space="preserve"> </w:t>
      </w:r>
      <w:r>
        <w:rPr>
          <w:rFonts w:hint="eastAsia" w:ascii="仿宋" w:hAnsi="仿宋" w:eastAsia="仿宋" w:cs="仿宋_GB2312"/>
          <w:color w:val="000000"/>
          <w:kern w:val="0"/>
          <w:sz w:val="32"/>
          <w:szCs w:val="32"/>
          <w:lang w:val="en-US" w:eastAsia="zh-CN"/>
        </w:rPr>
        <w:t>2740</w:t>
      </w:r>
      <w:r>
        <w:rPr>
          <w:rFonts w:hint="eastAsia" w:ascii="仿宋" w:hAnsi="仿宋" w:eastAsia="仿宋" w:cs="仿宋_GB2312"/>
          <w:color w:val="000000"/>
          <w:kern w:val="0"/>
          <w:sz w:val="32"/>
          <w:szCs w:val="32"/>
        </w:rPr>
        <w:t>人次</w:t>
      </w:r>
      <w:r>
        <w:rPr>
          <w:rFonts w:hint="eastAsia" w:ascii="仿宋" w:hAnsi="仿宋" w:eastAsia="仿宋" w:cs="仿宋_GB2312"/>
          <w:color w:val="000000"/>
          <w:kern w:val="0"/>
          <w:sz w:val="32"/>
          <w:szCs w:val="32"/>
          <w:lang w:val="en-US" w:eastAsia="zh-CN"/>
        </w:rPr>
        <w:t>,13个乡镇摸底排查上报农村留守儿童279人、困境儿童1055人</w:t>
      </w:r>
      <w:r>
        <w:rPr>
          <w:rFonts w:hint="eastAsia" w:ascii="仿宋" w:hAnsi="仿宋" w:eastAsia="仿宋" w:cs="仿宋_GB2312"/>
          <w:color w:val="000000"/>
          <w:kern w:val="0"/>
          <w:sz w:val="32"/>
          <w:szCs w:val="32"/>
        </w:rPr>
        <w:t>；</w:t>
      </w:r>
      <w:r>
        <w:rPr>
          <w:rFonts w:hint="eastAsia" w:ascii="仿宋" w:hAnsi="仿宋" w:eastAsia="仿宋"/>
          <w:sz w:val="32"/>
          <w:szCs w:val="32"/>
        </w:rPr>
        <w:t>通过不断加快未成年人社会保护体系建设，着力健全未成年人社会保护工作机制，提升未成年人保护工作水平，有力推动了儿童福利事业的发展，为我市农村留守儿童和困境儿童健康成长创造了良好环境，为社会的和谐稳定作出了努力。</w:t>
      </w:r>
    </w:p>
    <w:p>
      <w:pPr>
        <w:pStyle w:val="4"/>
        <w:pageBreakBefore w:val="0"/>
        <w:kinsoku/>
        <w:wordWrap/>
        <w:overflowPunct/>
        <w:topLinePunct w:val="0"/>
        <w:bidi w:val="0"/>
        <w:adjustRightInd w:val="0"/>
        <w:snapToGrid w:val="0"/>
        <w:spacing w:before="93" w:line="600" w:lineRule="exact"/>
        <w:ind w:firstLine="640" w:firstLineChars="200"/>
        <w:textAlignment w:val="auto"/>
        <w:outlineLvl w:val="2"/>
        <w:rPr>
          <w:rFonts w:hint="eastAsia" w:ascii="仿宋_GB2312" w:hAnsi="仿宋_GB2312" w:eastAsia="仿宋_GB2312" w:cs="仿宋_GB2312"/>
          <w:bCs/>
          <w:color w:val="000000"/>
          <w:sz w:val="32"/>
          <w:szCs w:val="32"/>
        </w:rPr>
      </w:pPr>
    </w:p>
    <w:p>
      <w:pPr>
        <w:pStyle w:val="3"/>
        <w:pageBreakBefore w:val="0"/>
        <w:kinsoku/>
        <w:wordWrap/>
        <w:overflowPunct/>
        <w:topLinePunct w:val="0"/>
        <w:bidi w:val="0"/>
        <w:spacing w:line="600" w:lineRule="exact"/>
        <w:textAlignment w:val="auto"/>
        <w:rPr>
          <w:rStyle w:val="11"/>
          <w:b w:val="0"/>
          <w:bCs w:val="0"/>
        </w:rPr>
      </w:pPr>
      <w:bookmarkStart w:id="18" w:name="_Toc15396601"/>
      <w:bookmarkStart w:id="19" w:name="_Toc15377200"/>
      <w:r>
        <w:rPr>
          <w:rFonts w:hint="eastAsia" w:ascii="黑体" w:eastAsia="黑体"/>
          <w:b w:val="0"/>
          <w:color w:val="000000"/>
        </w:rPr>
        <w:t>二、</w:t>
      </w:r>
      <w:r>
        <w:rPr>
          <w:rFonts w:hint="eastAsia" w:ascii="黑体" w:hAnsi="黑体" w:eastAsia="黑体"/>
          <w:b w:val="0"/>
          <w:color w:val="000000"/>
        </w:rPr>
        <w:t>机</w:t>
      </w:r>
      <w:r>
        <w:rPr>
          <w:rStyle w:val="11"/>
          <w:rFonts w:hint="eastAsia" w:ascii="黑体" w:hAnsi="黑体" w:eastAsia="黑体"/>
          <w:b w:val="0"/>
          <w:bCs w:val="0"/>
        </w:rPr>
        <w:t>构设置</w:t>
      </w:r>
      <w:bookmarkEnd w:id="18"/>
      <w:bookmarkEnd w:id="19"/>
    </w:p>
    <w:p>
      <w:pPr>
        <w:numPr>
          <w:ilvl w:val="0"/>
          <w:numId w:val="0"/>
        </w:numPr>
        <w:snapToGrid w:val="0"/>
        <w:spacing w:line="520" w:lineRule="exact"/>
        <w:ind w:firstLine="960" w:firstLineChars="300"/>
        <w:rPr>
          <w:rFonts w:hint="eastAsia" w:ascii="仿宋_GB2312" w:hAnsi="仿宋" w:eastAsia="仿宋_GB2312"/>
          <w:sz w:val="32"/>
          <w:szCs w:val="32"/>
          <w:lang w:eastAsia="zh-CN"/>
        </w:rPr>
      </w:pPr>
      <w:r>
        <w:rPr>
          <w:rFonts w:hint="eastAsia" w:ascii="仿宋_GB2312" w:hAnsi="仿宋" w:eastAsia="仿宋_GB2312"/>
          <w:sz w:val="32"/>
          <w:szCs w:val="32"/>
          <w:lang w:eastAsia="zh-CN"/>
        </w:rPr>
        <w:t>包含有民政中心敬老院、救助站、未保中心。</w:t>
      </w:r>
    </w:p>
    <w:p>
      <w:pPr>
        <w:snapToGrid w:val="0"/>
        <w:spacing w:line="520" w:lineRule="exact"/>
        <w:ind w:firstLine="2560" w:firstLineChars="8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民政中心：养老院为养老服务中心，</w:t>
      </w:r>
    </w:p>
    <w:p>
      <w:pPr>
        <w:snapToGrid w:val="0"/>
        <w:spacing w:line="520" w:lineRule="exact"/>
        <w:ind w:firstLine="2560" w:firstLineChars="8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救助站为：社会流浪乞讨救助中心，</w:t>
      </w:r>
    </w:p>
    <w:p>
      <w:pPr>
        <w:snapToGrid w:val="0"/>
        <w:spacing w:line="520" w:lineRule="exact"/>
        <w:ind w:firstLine="2560" w:firstLineChars="8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未保中心：是未成年人保护救助站。</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100"/>
        <w:jc w:val="both"/>
        <w:textAlignment w:val="auto"/>
        <w:rPr>
          <w:rFonts w:hint="eastAsia" w:ascii="方正小标宋_GBK" w:hAnsi="方正小标宋_GBK" w:eastAsia="方正小标宋_GBK" w:cs="方正小标宋_GBK"/>
          <w:sz w:val="44"/>
          <w:szCs w:val="44"/>
        </w:rPr>
      </w:pPr>
      <w:bookmarkStart w:id="20" w:name="_Toc15396602"/>
      <w:bookmarkStart w:id="21" w:name="_Toc15377204"/>
    </w:p>
    <w:p>
      <w:pPr>
        <w:keepNext w:val="0"/>
        <w:keepLines w:val="0"/>
        <w:pageBreakBefore w:val="0"/>
        <w:widowControl w:val="0"/>
        <w:kinsoku/>
        <w:wordWrap/>
        <w:overflowPunct/>
        <w:topLinePunct w:val="0"/>
        <w:autoSpaceDE/>
        <w:autoSpaceDN/>
        <w:bidi w:val="0"/>
        <w:adjustRightInd/>
        <w:snapToGrid/>
        <w:spacing w:line="600" w:lineRule="exact"/>
        <w:ind w:firstLine="440" w:firstLineChars="100"/>
        <w:jc w:val="both"/>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440" w:firstLineChars="100"/>
        <w:jc w:val="both"/>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第二部分 202</w:t>
      </w:r>
      <w:r>
        <w:rPr>
          <w:rFonts w:hint="eastAsia" w:ascii="方正小标宋_GBK" w:hAnsi="方正小标宋_GBK" w:eastAsia="方正小标宋_GBK" w:cs="方正小标宋_GBK"/>
          <w:sz w:val="44"/>
          <w:szCs w:val="44"/>
          <w:lang w:val="en-US" w:eastAsia="zh-CN"/>
        </w:rPr>
        <w:t>1</w:t>
      </w:r>
      <w:r>
        <w:rPr>
          <w:rFonts w:hint="eastAsia" w:ascii="方正小标宋_GBK" w:hAnsi="方正小标宋_GBK" w:eastAsia="方正小标宋_GBK" w:cs="方正小标宋_GBK"/>
          <w:sz w:val="44"/>
          <w:szCs w:val="44"/>
        </w:rPr>
        <w:t>年度部门决算情况说明</w:t>
      </w:r>
      <w:bookmarkEnd w:id="20"/>
      <w:bookmarkEnd w:id="21"/>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pStyle w:val="12"/>
        <w:pageBreakBefore w:val="0"/>
        <w:numPr>
          <w:ilvl w:val="0"/>
          <w:numId w:val="1"/>
        </w:numPr>
        <w:kinsoku/>
        <w:wordWrap/>
        <w:overflowPunct/>
        <w:topLinePunct w:val="0"/>
        <w:bidi w:val="0"/>
        <w:spacing w:line="600" w:lineRule="exact"/>
        <w:ind w:firstLineChars="0"/>
        <w:textAlignment w:val="auto"/>
        <w:outlineLvl w:val="1"/>
        <w:rPr>
          <w:rStyle w:val="11"/>
          <w:rFonts w:ascii="黑体" w:hAnsi="黑体" w:eastAsia="黑体"/>
          <w:b w:val="0"/>
        </w:rPr>
      </w:pPr>
      <w:bookmarkStart w:id="22" w:name="_Toc15396603"/>
      <w:bookmarkStart w:id="23" w:name="_Toc15377205"/>
      <w:r>
        <w:rPr>
          <w:rFonts w:hint="eastAsia" w:ascii="黑体" w:hAnsi="黑体" w:eastAsia="黑体"/>
          <w:color w:val="000000"/>
          <w:sz w:val="32"/>
          <w:szCs w:val="32"/>
        </w:rPr>
        <w:t>收</w:t>
      </w:r>
      <w:r>
        <w:rPr>
          <w:rStyle w:val="11"/>
          <w:rFonts w:hint="eastAsia" w:ascii="黑体" w:hAnsi="黑体" w:eastAsia="黑体"/>
          <w:b w:val="0"/>
        </w:rPr>
        <w:t>入支出决算总体情况说明</w:t>
      </w:r>
      <w:bookmarkEnd w:id="22"/>
      <w:bookmarkEnd w:id="23"/>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年度收、支总计</w:t>
      </w:r>
      <w:r>
        <w:rPr>
          <w:rFonts w:hint="eastAsia" w:ascii="仿宋_GB2312" w:hAnsi="仿宋_GB2312" w:eastAsia="仿宋_GB2312" w:cs="仿宋_GB2312"/>
          <w:b w:val="0"/>
          <w:bCs w:val="0"/>
          <w:color w:val="000000"/>
          <w:sz w:val="32"/>
          <w:szCs w:val="32"/>
          <w:lang w:val="en-US" w:eastAsia="zh-CN"/>
        </w:rPr>
        <w:t>1145.2</w:t>
      </w:r>
      <w:r>
        <w:rPr>
          <w:rFonts w:hint="eastAsia" w:ascii="仿宋_GB2312" w:hAnsi="仿宋_GB2312" w:eastAsia="仿宋_GB2312" w:cs="仿宋_GB2312"/>
          <w:b w:val="0"/>
          <w:bCs w:val="0"/>
          <w:color w:val="000000"/>
          <w:sz w:val="32"/>
          <w:szCs w:val="32"/>
        </w:rPr>
        <w:t>万元。与2019年相比，收、支总计各增加</w:t>
      </w:r>
      <w:r>
        <w:rPr>
          <w:rFonts w:hint="eastAsia" w:ascii="仿宋_GB2312" w:hAnsi="仿宋_GB2312" w:eastAsia="仿宋_GB2312" w:cs="仿宋_GB2312"/>
          <w:b w:val="0"/>
          <w:bCs w:val="0"/>
          <w:color w:val="000000"/>
          <w:sz w:val="32"/>
          <w:szCs w:val="32"/>
          <w:lang w:val="en-US" w:eastAsia="zh-CN"/>
        </w:rPr>
        <w:t>56.83</w:t>
      </w:r>
      <w:r>
        <w:rPr>
          <w:rFonts w:hint="eastAsia" w:ascii="仿宋_GB2312" w:hAnsi="仿宋_GB2312" w:eastAsia="仿宋_GB2312" w:cs="仿宋_GB2312"/>
          <w:b w:val="0"/>
          <w:bCs w:val="0"/>
          <w:color w:val="000000"/>
          <w:sz w:val="32"/>
          <w:szCs w:val="32"/>
        </w:rPr>
        <w:t>万元，增长</w:t>
      </w: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%。主要变动原因是</w:t>
      </w:r>
      <w:r>
        <w:rPr>
          <w:rFonts w:hint="eastAsia" w:ascii="仿宋_GB2312" w:hAnsi="仿宋_GB2312" w:eastAsia="仿宋_GB2312" w:cs="仿宋_GB2312"/>
          <w:b w:val="0"/>
          <w:bCs w:val="0"/>
          <w:color w:val="000000"/>
          <w:sz w:val="32"/>
          <w:szCs w:val="32"/>
          <w:lang w:eastAsia="zh-CN"/>
        </w:rPr>
        <w:t>项目支出增长。</w:t>
      </w:r>
    </w:p>
    <w:p>
      <w:pPr>
        <w:pStyle w:val="12"/>
        <w:pageBreakBefore w:val="0"/>
        <w:numPr>
          <w:ilvl w:val="0"/>
          <w:numId w:val="0"/>
        </w:numPr>
        <w:kinsoku/>
        <w:wordWrap/>
        <w:overflowPunct/>
        <w:topLinePunct w:val="0"/>
        <w:bidi w:val="0"/>
        <w:spacing w:line="600" w:lineRule="exact"/>
        <w:ind w:left="640" w:leftChars="0"/>
        <w:textAlignment w:val="auto"/>
        <w:outlineLvl w:val="1"/>
        <w:rPr>
          <w:rStyle w:val="11"/>
          <w:rFonts w:ascii="黑体" w:hAnsi="黑体" w:eastAsia="黑体"/>
          <w:b w:val="0"/>
        </w:rPr>
      </w:pPr>
    </w:p>
    <w:p>
      <w:pPr>
        <w:pStyle w:val="12"/>
        <w:pageBreakBefore w:val="0"/>
        <w:numPr>
          <w:ilvl w:val="0"/>
          <w:numId w:val="1"/>
        </w:numPr>
        <w:kinsoku/>
        <w:wordWrap/>
        <w:overflowPunct/>
        <w:topLinePunct w:val="0"/>
        <w:bidi w:val="0"/>
        <w:spacing w:line="600" w:lineRule="exact"/>
        <w:ind w:firstLineChars="0"/>
        <w:textAlignment w:val="auto"/>
        <w:outlineLvl w:val="1"/>
        <w:rPr>
          <w:rStyle w:val="11"/>
          <w:rFonts w:ascii="黑体" w:hAnsi="黑体" w:eastAsia="黑体"/>
          <w:b w:val="0"/>
        </w:rPr>
      </w:pPr>
      <w:bookmarkStart w:id="24" w:name="_Toc15377206"/>
      <w:bookmarkStart w:id="25" w:name="_Toc15396604"/>
      <w:r>
        <w:rPr>
          <w:rFonts w:hint="eastAsia" w:ascii="黑体" w:hAnsi="黑体" w:eastAsia="黑体"/>
          <w:color w:val="000000"/>
          <w:sz w:val="32"/>
          <w:szCs w:val="32"/>
        </w:rPr>
        <w:t>收</w:t>
      </w:r>
      <w:r>
        <w:rPr>
          <w:rStyle w:val="11"/>
          <w:rFonts w:hint="eastAsia" w:ascii="黑体" w:hAnsi="黑体" w:eastAsia="黑体"/>
          <w:b w:val="0"/>
        </w:rPr>
        <w:t>入决算情况说明</w:t>
      </w:r>
      <w:bookmarkEnd w:id="24"/>
      <w:bookmarkEnd w:id="25"/>
    </w:p>
    <w:p>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 w:hAnsi="仿宋" w:eastAsia="仿宋" w:cs="仿宋"/>
          <w:b w:val="0"/>
          <w:bCs/>
          <w:sz w:val="32"/>
          <w:szCs w:val="32"/>
          <w:lang w:val="en-US" w:eastAsia="zh-CN"/>
        </w:rPr>
        <w:t>2021年总收入426万元，其中</w:t>
      </w:r>
      <w:r>
        <w:rPr>
          <w:rFonts w:hint="eastAsia" w:ascii="仿宋_GB2312" w:hAnsi="仿宋" w:eastAsia="仿宋_GB2312"/>
          <w:sz w:val="32"/>
          <w:szCs w:val="32"/>
          <w:lang w:val="en-US" w:eastAsia="zh-CN"/>
        </w:rPr>
        <w:t>财政拨款收入426万元。</w:t>
      </w:r>
      <w:r>
        <w:rPr>
          <w:rFonts w:hint="eastAsia" w:ascii="仿宋" w:hAnsi="仿宋" w:eastAsia="仿宋" w:cs="仿宋"/>
          <w:b w:val="0"/>
          <w:bCs/>
          <w:sz w:val="32"/>
          <w:szCs w:val="32"/>
          <w:lang w:val="en-US" w:eastAsia="zh-CN"/>
        </w:rPr>
        <w:t>2021年总支出426万元，其中</w:t>
      </w:r>
      <w:r>
        <w:rPr>
          <w:rFonts w:hint="eastAsia" w:ascii="仿宋_GB2312" w:hAnsi="仿宋" w:eastAsia="仿宋_GB2312"/>
          <w:sz w:val="32"/>
          <w:szCs w:val="32"/>
          <w:lang w:val="en-US" w:eastAsia="zh-CN"/>
        </w:rPr>
        <w:t>财政拨款支出426万元。</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社会福利事业：  收入171.47万元。支出171.47万元</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其他社会福利支出：收入1.83万元，支出1.83万元。</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流浪乞讨支出：收入151.06万元。支出151.06万元。</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人员经费类支出：收入55.05万元，支出55.05万元。</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日常公用类支出：收入0.96万元，支出0.96万元。</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项目类支出：收入404.78万元，支出404.78万元。</w:t>
      </w:r>
    </w:p>
    <w:p>
      <w:pPr>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（注：数据来源于财决01表）</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p>
    <w:p>
      <w:pPr>
        <w:pStyle w:val="12"/>
        <w:pageBreakBefore w:val="0"/>
        <w:numPr>
          <w:ilvl w:val="0"/>
          <w:numId w:val="1"/>
        </w:numPr>
        <w:kinsoku/>
        <w:wordWrap/>
        <w:overflowPunct/>
        <w:topLinePunct w:val="0"/>
        <w:bidi w:val="0"/>
        <w:spacing w:line="600" w:lineRule="exact"/>
        <w:ind w:firstLineChars="0"/>
        <w:textAlignment w:val="auto"/>
        <w:outlineLvl w:val="1"/>
        <w:rPr>
          <w:rStyle w:val="11"/>
          <w:rFonts w:ascii="黑体" w:hAnsi="黑体" w:eastAsia="黑体"/>
          <w:b w:val="0"/>
        </w:rPr>
      </w:pPr>
      <w:bookmarkStart w:id="26" w:name="_Toc15396605"/>
      <w:bookmarkStart w:id="27" w:name="_Toc15377207"/>
      <w:r>
        <w:rPr>
          <w:rFonts w:hint="eastAsia" w:ascii="黑体" w:hAnsi="黑体" w:eastAsia="黑体"/>
          <w:color w:val="000000"/>
          <w:sz w:val="32"/>
          <w:szCs w:val="32"/>
        </w:rPr>
        <w:t>支</w:t>
      </w:r>
      <w:r>
        <w:rPr>
          <w:rStyle w:val="11"/>
          <w:rFonts w:hint="eastAsia" w:ascii="黑体" w:hAnsi="黑体" w:eastAsia="黑体"/>
          <w:b w:val="0"/>
        </w:rPr>
        <w:t>出决算情况说明</w:t>
      </w:r>
      <w:bookmarkEnd w:id="26"/>
      <w:bookmarkEnd w:id="27"/>
    </w:p>
    <w:p>
      <w:pPr>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年本年支出合计</w:t>
      </w:r>
      <w:r>
        <w:rPr>
          <w:rFonts w:hint="eastAsia" w:ascii="仿宋_GB2312" w:hAnsi="仿宋_GB2312" w:eastAsia="仿宋_GB2312" w:cs="仿宋_GB2312"/>
          <w:b w:val="0"/>
          <w:bCs w:val="0"/>
          <w:color w:val="000000"/>
          <w:sz w:val="32"/>
          <w:szCs w:val="32"/>
          <w:lang w:val="en-US" w:eastAsia="zh-CN"/>
        </w:rPr>
        <w:t>426</w:t>
      </w:r>
      <w:r>
        <w:rPr>
          <w:rFonts w:hint="eastAsia" w:ascii="仿宋_GB2312" w:hAnsi="仿宋_GB2312" w:eastAsia="仿宋_GB2312" w:cs="仿宋_GB2312"/>
          <w:b w:val="0"/>
          <w:bCs w:val="0"/>
          <w:color w:val="000000"/>
          <w:sz w:val="32"/>
          <w:szCs w:val="32"/>
        </w:rPr>
        <w:t>万元，其中：基本支出</w:t>
      </w:r>
      <w:r>
        <w:rPr>
          <w:rFonts w:hint="eastAsia" w:ascii="仿宋_GB2312" w:hAnsi="仿宋_GB2312" w:eastAsia="仿宋_GB2312" w:cs="仿宋_GB2312"/>
          <w:b w:val="0"/>
          <w:bCs w:val="0"/>
          <w:color w:val="000000"/>
          <w:sz w:val="32"/>
          <w:szCs w:val="32"/>
          <w:lang w:val="en-US" w:eastAsia="zh-CN"/>
        </w:rPr>
        <w:t>56.02</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13</w:t>
      </w:r>
      <w:r>
        <w:rPr>
          <w:rFonts w:hint="eastAsia" w:ascii="仿宋_GB2312" w:hAnsi="仿宋_GB2312" w:eastAsia="仿宋_GB2312" w:cs="仿宋_GB2312"/>
          <w:b w:val="0"/>
          <w:bCs w:val="0"/>
          <w:color w:val="000000"/>
          <w:sz w:val="32"/>
          <w:szCs w:val="32"/>
        </w:rPr>
        <w:t>%；项目支出</w:t>
      </w:r>
      <w:r>
        <w:rPr>
          <w:rFonts w:hint="eastAsia" w:ascii="仿宋_GB2312" w:hAnsi="仿宋_GB2312" w:eastAsia="仿宋_GB2312" w:cs="仿宋_GB2312"/>
          <w:b w:val="0"/>
          <w:bCs w:val="0"/>
          <w:color w:val="000000"/>
          <w:sz w:val="32"/>
          <w:szCs w:val="32"/>
          <w:lang w:val="en-US" w:eastAsia="zh-CN"/>
        </w:rPr>
        <w:t>404.78</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89</w:t>
      </w:r>
      <w:r>
        <w:rPr>
          <w:rFonts w:hint="eastAsia" w:ascii="仿宋_GB2312" w:hAnsi="仿宋_GB2312" w:eastAsia="仿宋_GB2312" w:cs="仿宋_GB2312"/>
          <w:b w:val="0"/>
          <w:bCs w:val="0"/>
          <w:color w:val="000000"/>
          <w:sz w:val="32"/>
          <w:szCs w:val="32"/>
        </w:rPr>
        <w:t>%；上缴上级支出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%；经营支出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%；对附属单位补助支出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（注：数据来源于财决04表）</w:t>
      </w:r>
    </w:p>
    <w:p>
      <w:pPr>
        <w:pageBreakBefore w:val="0"/>
        <w:kinsoku/>
        <w:wordWrap/>
        <w:overflowPunct/>
        <w:topLinePunct w:val="0"/>
        <w:bidi w:val="0"/>
        <w:spacing w:line="600" w:lineRule="exact"/>
        <w:ind w:firstLine="640" w:firstLineChars="200"/>
        <w:textAlignment w:val="auto"/>
        <w:outlineLvl w:val="1"/>
        <w:rPr>
          <w:rStyle w:val="11"/>
          <w:rFonts w:ascii="黑体" w:hAnsi="黑体" w:eastAsia="黑体"/>
          <w:b w:val="0"/>
        </w:rPr>
      </w:pPr>
      <w:bookmarkStart w:id="28" w:name="_Toc15396606"/>
      <w:bookmarkStart w:id="29" w:name="_Toc15377208"/>
      <w:r>
        <w:rPr>
          <w:rFonts w:hint="eastAsia" w:ascii="黑体" w:hAnsi="黑体" w:eastAsia="黑体"/>
          <w:color w:val="000000"/>
          <w:sz w:val="32"/>
          <w:szCs w:val="32"/>
        </w:rPr>
        <w:t>四、财</w:t>
      </w:r>
      <w:r>
        <w:rPr>
          <w:rStyle w:val="11"/>
          <w:rFonts w:hint="eastAsia" w:ascii="黑体" w:hAnsi="黑体" w:eastAsia="黑体"/>
          <w:b w:val="0"/>
        </w:rPr>
        <w:t>政拨款收入支出决算总体情况说明</w:t>
      </w:r>
      <w:bookmarkEnd w:id="28"/>
      <w:bookmarkEnd w:id="29"/>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202年财政拨款收</w:t>
      </w:r>
      <w:r>
        <w:rPr>
          <w:rFonts w:hint="eastAsia" w:ascii="仿宋_GB2312" w:hAnsi="仿宋_GB2312" w:eastAsia="仿宋_GB2312" w:cs="仿宋_GB2312"/>
          <w:b w:val="0"/>
          <w:bCs w:val="0"/>
          <w:color w:val="000000"/>
          <w:sz w:val="32"/>
          <w:szCs w:val="32"/>
          <w:lang w:eastAsia="zh-CN"/>
        </w:rPr>
        <w:t>、支</w:t>
      </w:r>
      <w:r>
        <w:rPr>
          <w:rFonts w:hint="eastAsia" w:ascii="仿宋_GB2312" w:hAnsi="仿宋_GB2312" w:eastAsia="仿宋_GB2312" w:cs="仿宋_GB2312"/>
          <w:b w:val="0"/>
          <w:bCs w:val="0"/>
          <w:color w:val="000000"/>
          <w:sz w:val="32"/>
          <w:szCs w:val="32"/>
        </w:rPr>
        <w:t>总计</w:t>
      </w:r>
      <w:r>
        <w:rPr>
          <w:rFonts w:hint="eastAsia" w:ascii="仿宋_GB2312" w:hAnsi="仿宋_GB2312" w:eastAsia="仿宋_GB2312" w:cs="仿宋_GB2312"/>
          <w:b w:val="0"/>
          <w:bCs w:val="0"/>
          <w:color w:val="000000"/>
          <w:sz w:val="32"/>
          <w:szCs w:val="32"/>
          <w:lang w:val="en-US" w:eastAsia="zh-CN"/>
        </w:rPr>
        <w:t>426</w:t>
      </w:r>
      <w:r>
        <w:rPr>
          <w:rFonts w:hint="eastAsia" w:ascii="仿宋_GB2312" w:hAnsi="仿宋_GB2312" w:eastAsia="仿宋_GB2312" w:cs="仿宋_GB2312"/>
          <w:b w:val="0"/>
          <w:bCs w:val="0"/>
          <w:color w:val="000000"/>
          <w:sz w:val="32"/>
          <w:szCs w:val="32"/>
        </w:rPr>
        <w:t>万元。与20</w:t>
      </w:r>
      <w:r>
        <w:rPr>
          <w:rFonts w:hint="eastAsia" w:ascii="仿宋_GB2312" w:hAnsi="仿宋_GB2312" w:eastAsia="仿宋_GB2312" w:cs="仿宋_GB2312"/>
          <w:b w:val="0"/>
          <w:bCs w:val="0"/>
          <w:color w:val="000000"/>
          <w:sz w:val="32"/>
          <w:szCs w:val="32"/>
          <w:lang w:val="en-US" w:eastAsia="zh-CN"/>
        </w:rPr>
        <w:t>20</w:t>
      </w:r>
      <w:r>
        <w:rPr>
          <w:rFonts w:hint="eastAsia" w:ascii="仿宋_GB2312" w:hAnsi="仿宋_GB2312" w:eastAsia="仿宋_GB2312" w:cs="仿宋_GB2312"/>
          <w:b w:val="0"/>
          <w:bCs w:val="0"/>
          <w:color w:val="000000"/>
          <w:sz w:val="32"/>
          <w:szCs w:val="32"/>
        </w:rPr>
        <w:t>年相比，财政拨款收</w:t>
      </w:r>
      <w:r>
        <w:rPr>
          <w:rFonts w:hint="eastAsia" w:ascii="仿宋_GB2312" w:hAnsi="仿宋_GB2312" w:eastAsia="仿宋_GB2312" w:cs="仿宋_GB2312"/>
          <w:b w:val="0"/>
          <w:bCs w:val="0"/>
          <w:color w:val="000000"/>
          <w:sz w:val="32"/>
          <w:szCs w:val="32"/>
          <w:lang w:eastAsia="zh-CN"/>
        </w:rPr>
        <w:t>减少</w:t>
      </w:r>
      <w:r>
        <w:rPr>
          <w:rFonts w:hint="eastAsia" w:ascii="仿宋_GB2312" w:hAnsi="仿宋_GB2312" w:eastAsia="仿宋_GB2312" w:cs="仿宋_GB2312"/>
          <w:b w:val="0"/>
          <w:bCs w:val="0"/>
          <w:color w:val="000000"/>
          <w:sz w:val="32"/>
          <w:szCs w:val="32"/>
          <w:lang w:val="en-US" w:eastAsia="zh-CN"/>
        </w:rPr>
        <w:t>386</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lang w:eastAsia="zh-CN"/>
        </w:rPr>
        <w:t>减少</w:t>
      </w:r>
      <w:r>
        <w:rPr>
          <w:rFonts w:hint="eastAsia" w:ascii="仿宋_GB2312" w:hAnsi="仿宋_GB2312" w:eastAsia="仿宋_GB2312" w:cs="仿宋_GB2312"/>
          <w:b w:val="0"/>
          <w:bCs w:val="0"/>
          <w:color w:val="000000"/>
          <w:sz w:val="32"/>
          <w:szCs w:val="32"/>
          <w:lang w:val="en-US" w:eastAsia="zh-CN"/>
        </w:rPr>
        <w:t>47</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，支减少</w:t>
      </w:r>
      <w:r>
        <w:rPr>
          <w:rFonts w:hint="eastAsia" w:ascii="仿宋_GB2312" w:hAnsi="仿宋_GB2312" w:eastAsia="仿宋_GB2312" w:cs="仿宋_GB2312"/>
          <w:b w:val="0"/>
          <w:bCs w:val="0"/>
          <w:color w:val="000000"/>
          <w:sz w:val="32"/>
          <w:szCs w:val="32"/>
          <w:lang w:val="en-US" w:eastAsia="zh-CN"/>
        </w:rPr>
        <w:t>386万元，减少47%</w:t>
      </w:r>
      <w:r>
        <w:rPr>
          <w:rFonts w:hint="eastAsia" w:ascii="仿宋_GB2312" w:hAnsi="仿宋_GB2312" w:eastAsia="仿宋_GB2312" w:cs="仿宋_GB2312"/>
          <w:b w:val="0"/>
          <w:bCs w:val="0"/>
          <w:color w:val="000000"/>
          <w:sz w:val="32"/>
          <w:szCs w:val="32"/>
        </w:rPr>
        <w:t>。主要变动原因是</w:t>
      </w:r>
      <w:r>
        <w:rPr>
          <w:rFonts w:hint="eastAsia" w:ascii="仿宋_GB2312" w:hAnsi="仿宋_GB2312" w:eastAsia="仿宋_GB2312" w:cs="仿宋_GB2312"/>
          <w:b w:val="0"/>
          <w:bCs w:val="0"/>
          <w:color w:val="000000"/>
          <w:sz w:val="32"/>
          <w:szCs w:val="32"/>
          <w:lang w:val="en-US" w:eastAsia="zh-CN"/>
        </w:rPr>
        <w:t>2021年项目性支出减少床位改造、喷淋系统完工</w:t>
      </w:r>
      <w:r>
        <w:rPr>
          <w:rFonts w:hint="eastAsia" w:ascii="仿宋" w:hAnsi="仿宋" w:eastAsia="仿宋" w:cs="仿宋"/>
          <w:b w:val="0"/>
          <w:bCs/>
          <w:sz w:val="32"/>
          <w:szCs w:val="32"/>
          <w:lang w:val="en-US" w:eastAsia="zh-CN"/>
        </w:rPr>
        <w:t>。</w:t>
      </w:r>
      <w:r>
        <w:rPr>
          <w:rFonts w:hint="eastAsia" w:ascii="仿宋_GB2312" w:hAnsi="仿宋_GB2312" w:eastAsia="仿宋_GB2312" w:cs="仿宋_GB2312"/>
          <w:b w:val="0"/>
          <w:bCs w:val="0"/>
          <w:color w:val="000000"/>
          <w:sz w:val="32"/>
          <w:szCs w:val="32"/>
        </w:rPr>
        <w:t>（注：除国有资本经营预算外，数据来源于财决Z01-1表，口径为“总计”数+国有资本经营预算。）</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p>
    <w:p>
      <w:pPr>
        <w:pageBreakBefore w:val="0"/>
        <w:kinsoku/>
        <w:wordWrap/>
        <w:overflowPunct/>
        <w:topLinePunct w:val="0"/>
        <w:bidi w:val="0"/>
        <w:spacing w:line="600" w:lineRule="exact"/>
        <w:ind w:firstLine="640" w:firstLineChars="200"/>
        <w:textAlignment w:val="auto"/>
        <w:outlineLvl w:val="1"/>
        <w:rPr>
          <w:rStyle w:val="11"/>
          <w:rFonts w:ascii="黑体" w:hAnsi="黑体" w:eastAsia="黑体"/>
          <w:b w:val="0"/>
        </w:rPr>
      </w:pPr>
      <w:bookmarkStart w:id="30" w:name="_Toc15396607"/>
      <w:bookmarkStart w:id="3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1"/>
          <w:rFonts w:hint="eastAsia" w:ascii="黑体" w:hAnsi="黑体" w:eastAsia="黑体"/>
          <w:b w:val="0"/>
        </w:rPr>
        <w:t>般公共预算财政拨款支出决算情况说明</w:t>
      </w:r>
      <w:bookmarkEnd w:id="30"/>
      <w:bookmarkEnd w:id="31"/>
    </w:p>
    <w:p>
      <w:pPr>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val="0"/>
          <w:color w:val="000000"/>
          <w:sz w:val="32"/>
          <w:szCs w:val="32"/>
        </w:rPr>
      </w:pPr>
      <w:bookmarkStart w:id="32" w:name="_Toc15377210"/>
      <w:r>
        <w:rPr>
          <w:rFonts w:hint="eastAsia" w:ascii="楷体_GB2312" w:hAnsi="楷体_GB2312" w:eastAsia="楷体_GB2312" w:cs="楷体_GB2312"/>
          <w:b w:val="0"/>
          <w:bCs w:val="0"/>
          <w:color w:val="000000"/>
          <w:sz w:val="32"/>
          <w:szCs w:val="32"/>
        </w:rPr>
        <w:t>（一）一般公共预算财政拨款支出决算总体情况</w:t>
      </w:r>
      <w:bookmarkEnd w:id="32"/>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426</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%。与20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年相比，一般公共预算财政拨款</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386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47%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val="0"/>
          <w:bCs w:val="0"/>
          <w:color w:val="000000"/>
          <w:sz w:val="32"/>
          <w:szCs w:val="32"/>
        </w:rPr>
        <w:t>要变动原因是</w:t>
      </w:r>
      <w:r>
        <w:rPr>
          <w:rFonts w:hint="eastAsia" w:ascii="仿宋_GB2312" w:hAnsi="仿宋_GB2312" w:eastAsia="仿宋_GB2312" w:cs="仿宋_GB2312"/>
          <w:b w:val="0"/>
          <w:bCs w:val="0"/>
          <w:color w:val="000000"/>
          <w:sz w:val="32"/>
          <w:szCs w:val="32"/>
          <w:lang w:val="en-US" w:eastAsia="zh-CN"/>
        </w:rPr>
        <w:t>2021年项目性支出减少床位改造、喷淋系统完工</w:t>
      </w:r>
      <w:r>
        <w:rPr>
          <w:rFonts w:hint="eastAsia" w:ascii="仿宋" w:hAnsi="仿宋" w:eastAsia="仿宋" w:cs="仿宋"/>
          <w:b w:val="0"/>
          <w:bCs/>
          <w:sz w:val="32"/>
          <w:szCs w:val="32"/>
          <w:lang w:val="en-US" w:eastAsia="zh-CN"/>
        </w:rPr>
        <w:t>。</w:t>
      </w:r>
    </w:p>
    <w:p>
      <w:pPr>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val="0"/>
          <w:color w:val="000000"/>
          <w:sz w:val="32"/>
          <w:szCs w:val="32"/>
        </w:rPr>
      </w:pPr>
      <w:bookmarkStart w:id="33" w:name="_Toc15377211"/>
      <w:r>
        <w:rPr>
          <w:rFonts w:hint="eastAsia" w:ascii="楷体_GB2312" w:hAnsi="楷体_GB2312" w:eastAsia="楷体_GB2312" w:cs="楷体_GB2312"/>
          <w:b w:val="0"/>
          <w:bCs w:val="0"/>
          <w:color w:val="000000"/>
          <w:sz w:val="32"/>
          <w:szCs w:val="32"/>
        </w:rPr>
        <w:t>（二）一般公共预算财政拨款支出决算结构情况</w:t>
      </w:r>
      <w:bookmarkEnd w:id="33"/>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年一般公共预算财政拨款支出</w:t>
      </w:r>
      <w:r>
        <w:rPr>
          <w:rFonts w:hint="eastAsia" w:ascii="仿宋_GB2312" w:hAnsi="仿宋_GB2312" w:eastAsia="仿宋_GB2312" w:cs="仿宋_GB2312"/>
          <w:b w:val="0"/>
          <w:bCs w:val="0"/>
          <w:color w:val="000000"/>
          <w:sz w:val="32"/>
          <w:szCs w:val="32"/>
          <w:lang w:val="en-US" w:eastAsia="zh-CN"/>
        </w:rPr>
        <w:t>426</w:t>
      </w:r>
      <w:r>
        <w:rPr>
          <w:rFonts w:hint="eastAsia" w:ascii="仿宋_GB2312" w:hAnsi="仿宋_GB2312" w:eastAsia="仿宋_GB2312" w:cs="仿宋_GB2312"/>
          <w:b w:val="0"/>
          <w:bCs w:val="0"/>
          <w:color w:val="000000"/>
          <w:sz w:val="32"/>
          <w:szCs w:val="32"/>
        </w:rPr>
        <w:t>万元，主要用于以下方面:一般公共服务（类）支出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%；教育支出（类）</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%；科学技术（类）支出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%；文化旅游体育与传媒（类）支出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%；社会保障和就业（类）支出</w:t>
      </w:r>
      <w:r>
        <w:rPr>
          <w:rFonts w:hint="eastAsia" w:ascii="仿宋_GB2312" w:hAnsi="仿宋_GB2312" w:eastAsia="仿宋_GB2312" w:cs="仿宋_GB2312"/>
          <w:b w:val="0"/>
          <w:bCs w:val="0"/>
          <w:color w:val="000000"/>
          <w:sz w:val="32"/>
          <w:szCs w:val="32"/>
          <w:lang w:val="en-US" w:eastAsia="zh-CN"/>
        </w:rPr>
        <w:t>426</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99</w:t>
      </w:r>
      <w:r>
        <w:rPr>
          <w:rFonts w:hint="eastAsia" w:ascii="仿宋_GB2312" w:hAnsi="仿宋_GB2312" w:eastAsia="仿宋_GB2312" w:cs="仿宋_GB2312"/>
          <w:b w:val="0"/>
          <w:bCs w:val="0"/>
          <w:color w:val="000000"/>
          <w:sz w:val="32"/>
          <w:szCs w:val="32"/>
        </w:rPr>
        <w:t>%；卫生健康支出</w:t>
      </w:r>
      <w:r>
        <w:rPr>
          <w:rFonts w:hint="eastAsia" w:ascii="仿宋_GB2312" w:hAnsi="仿宋_GB2312" w:eastAsia="仿宋_GB2312" w:cs="仿宋_GB2312"/>
          <w:b w:val="0"/>
          <w:bCs w:val="0"/>
          <w:color w:val="000000"/>
          <w:sz w:val="32"/>
          <w:szCs w:val="32"/>
          <w:lang w:val="en-US" w:eastAsia="zh-CN"/>
        </w:rPr>
        <w:t>0.31</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0.1</w:t>
      </w:r>
      <w:r>
        <w:rPr>
          <w:rFonts w:hint="eastAsia" w:ascii="仿宋_GB2312" w:hAnsi="仿宋_GB2312" w:eastAsia="仿宋_GB2312" w:cs="仿宋_GB2312"/>
          <w:b w:val="0"/>
          <w:bCs w:val="0"/>
          <w:color w:val="000000"/>
          <w:sz w:val="32"/>
          <w:szCs w:val="32"/>
        </w:rPr>
        <w:t>%；住房保障支出</w:t>
      </w:r>
      <w:r>
        <w:rPr>
          <w:rFonts w:hint="eastAsia" w:ascii="仿宋_GB2312" w:hAnsi="仿宋_GB2312" w:eastAsia="仿宋_GB2312" w:cs="仿宋_GB2312"/>
          <w:b w:val="0"/>
          <w:bCs w:val="0"/>
          <w:color w:val="000000"/>
          <w:sz w:val="32"/>
          <w:szCs w:val="32"/>
          <w:lang w:val="en-US" w:eastAsia="zh-CN"/>
        </w:rPr>
        <w:t>1.1</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0.9</w:t>
      </w:r>
      <w:r>
        <w:rPr>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p>
    <w:p>
      <w:pPr>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color w:val="000000"/>
          <w:sz w:val="32"/>
          <w:szCs w:val="32"/>
        </w:rPr>
      </w:pPr>
      <w:bookmarkStart w:id="34" w:name="_Toc15377212"/>
      <w:r>
        <w:rPr>
          <w:rFonts w:hint="eastAsia" w:ascii="楷体_GB2312" w:hAnsi="楷体_GB2312" w:eastAsia="楷体_GB2312" w:cs="楷体_GB2312"/>
          <w:b w:val="0"/>
          <w:bCs/>
          <w:color w:val="000000"/>
          <w:sz w:val="32"/>
          <w:szCs w:val="32"/>
        </w:rPr>
        <w:t>（三）一般公共预算财政拨款支出决算具体情况</w:t>
      </w:r>
      <w:bookmarkEnd w:id="34"/>
    </w:p>
    <w:p>
      <w:pPr>
        <w:pageBreakBefore w:val="0"/>
        <w:kinsoku/>
        <w:wordWrap/>
        <w:overflowPunct/>
        <w:topLinePunct w:val="0"/>
        <w:bidi w:val="0"/>
        <w:spacing w:line="600" w:lineRule="exact"/>
        <w:ind w:firstLine="640" w:firstLineChars="200"/>
        <w:textAlignment w:val="auto"/>
        <w:outlineLvl w:val="2"/>
        <w:rPr>
          <w:rFonts w:hint="eastAsia" w:ascii="仿宋_GB2312" w:hAnsi="仿宋_GB2312" w:eastAsia="仿宋_GB2312" w:cs="仿宋_GB2312"/>
          <w:b w:val="0"/>
          <w:bCs/>
          <w:color w:val="000000"/>
          <w:sz w:val="32"/>
          <w:szCs w:val="32"/>
          <w:highlight w:val="none"/>
        </w:rPr>
      </w:pPr>
      <w:bookmarkStart w:id="35" w:name="_Toc15377213"/>
      <w:bookmarkStart w:id="36" w:name="_Toc15378460"/>
      <w:bookmarkStart w:id="37" w:name="_Toc15377444"/>
      <w:r>
        <w:rPr>
          <w:rFonts w:hint="eastAsia" w:ascii="仿宋_GB2312" w:hAnsi="仿宋_GB2312" w:eastAsia="仿宋_GB2312" w:cs="仿宋_GB2312"/>
          <w:b w:val="0"/>
          <w:bCs/>
          <w:color w:val="000000"/>
          <w:sz w:val="32"/>
          <w:szCs w:val="32"/>
          <w:highlight w:val="none"/>
        </w:rPr>
        <w:t>202</w:t>
      </w:r>
      <w:r>
        <w:rPr>
          <w:rFonts w:hint="eastAsia" w:ascii="仿宋_GB2312" w:hAnsi="仿宋_GB2312" w:eastAsia="仿宋_GB2312" w:cs="仿宋_GB2312"/>
          <w:b w:val="0"/>
          <w:bCs/>
          <w:color w:val="000000"/>
          <w:sz w:val="32"/>
          <w:szCs w:val="32"/>
          <w:highlight w:val="none"/>
          <w:lang w:val="en-US" w:eastAsia="zh-CN"/>
        </w:rPr>
        <w:t>1</w:t>
      </w:r>
      <w:r>
        <w:rPr>
          <w:rFonts w:hint="eastAsia" w:ascii="仿宋_GB2312" w:hAnsi="仿宋_GB2312" w:eastAsia="仿宋_GB2312" w:cs="仿宋_GB2312"/>
          <w:b w:val="0"/>
          <w:bCs/>
          <w:color w:val="000000"/>
          <w:sz w:val="32"/>
          <w:szCs w:val="32"/>
          <w:highlight w:val="none"/>
        </w:rPr>
        <w:t>年一般公共预算支出决算数为</w:t>
      </w:r>
      <w:r>
        <w:rPr>
          <w:rFonts w:hint="eastAsia" w:ascii="仿宋_GB2312" w:hAnsi="仿宋_GB2312" w:eastAsia="仿宋_GB2312" w:cs="仿宋_GB2312"/>
          <w:b w:val="0"/>
          <w:bCs/>
          <w:color w:val="000000"/>
          <w:sz w:val="32"/>
          <w:szCs w:val="32"/>
          <w:highlight w:val="none"/>
          <w:lang w:val="en-US" w:eastAsia="zh-CN"/>
        </w:rPr>
        <w:t>426</w:t>
      </w:r>
      <w:r>
        <w:rPr>
          <w:rFonts w:hint="eastAsia" w:ascii="仿宋_GB2312" w:hAnsi="仿宋_GB2312" w:eastAsia="仿宋_GB2312" w:cs="仿宋_GB2312"/>
          <w:b w:val="0"/>
          <w:bCs/>
          <w:color w:val="000000"/>
          <w:sz w:val="32"/>
          <w:szCs w:val="32"/>
          <w:highlight w:val="none"/>
        </w:rPr>
        <w:t>，</w:t>
      </w:r>
      <w:r>
        <w:rPr>
          <w:rStyle w:val="9"/>
          <w:rFonts w:hint="eastAsia" w:ascii="仿宋_GB2312" w:hAnsi="仿宋_GB2312" w:eastAsia="仿宋_GB2312" w:cs="仿宋_GB2312"/>
          <w:b w:val="0"/>
          <w:bCs/>
          <w:color w:val="000000"/>
          <w:sz w:val="32"/>
          <w:szCs w:val="32"/>
          <w:highlight w:val="none"/>
        </w:rPr>
        <w:t>完成预算</w:t>
      </w:r>
      <w:r>
        <w:rPr>
          <w:rStyle w:val="9"/>
          <w:rFonts w:hint="eastAsia" w:ascii="仿宋_GB2312" w:hAnsi="仿宋_GB2312" w:eastAsia="仿宋_GB2312" w:cs="仿宋_GB2312"/>
          <w:b w:val="0"/>
          <w:bCs/>
          <w:color w:val="000000"/>
          <w:sz w:val="32"/>
          <w:szCs w:val="32"/>
          <w:highlight w:val="none"/>
          <w:lang w:val="en-US" w:eastAsia="zh-CN"/>
        </w:rPr>
        <w:t>100</w:t>
      </w:r>
      <w:r>
        <w:rPr>
          <w:rStyle w:val="9"/>
          <w:rFonts w:hint="eastAsia" w:ascii="仿宋_GB2312" w:hAnsi="仿宋_GB2312" w:eastAsia="仿宋_GB2312" w:cs="仿宋_GB2312"/>
          <w:b w:val="0"/>
          <w:bCs/>
          <w:color w:val="000000"/>
          <w:sz w:val="32"/>
          <w:szCs w:val="32"/>
          <w:highlight w:val="none"/>
        </w:rPr>
        <w:t>%。其中：</w:t>
      </w:r>
      <w:bookmarkEnd w:id="35"/>
      <w:bookmarkEnd w:id="36"/>
      <w:bookmarkEnd w:id="37"/>
    </w:p>
    <w:p>
      <w:pPr>
        <w:pageBreakBefore w:val="0"/>
        <w:numPr>
          <w:ilvl w:val="0"/>
          <w:numId w:val="2"/>
        </w:numPr>
        <w:kinsoku/>
        <w:wordWrap/>
        <w:overflowPunct/>
        <w:topLinePunct w:val="0"/>
        <w:bidi w:val="0"/>
        <w:spacing w:line="600" w:lineRule="exact"/>
        <w:ind w:firstLine="640" w:firstLineChars="200"/>
        <w:textAlignment w:val="auto"/>
        <w:rPr>
          <w:rStyle w:val="9"/>
          <w:rFonts w:hint="eastAsia" w:ascii="仿宋_GB2312" w:hAnsi="仿宋_GB2312" w:eastAsia="仿宋_GB2312" w:cs="仿宋_GB2312"/>
          <w:b w:val="0"/>
          <w:bCs/>
          <w:color w:val="000000"/>
          <w:sz w:val="32"/>
          <w:szCs w:val="32"/>
          <w:highlight w:val="none"/>
        </w:rPr>
      </w:pPr>
      <w:r>
        <w:rPr>
          <w:rStyle w:val="9"/>
          <w:rFonts w:hint="eastAsia" w:ascii="仿宋_GB2312" w:hAnsi="仿宋_GB2312" w:eastAsia="仿宋_GB2312" w:cs="仿宋_GB2312"/>
          <w:b w:val="0"/>
          <w:bCs/>
          <w:color w:val="000000"/>
          <w:sz w:val="32"/>
          <w:szCs w:val="32"/>
          <w:highlight w:val="none"/>
        </w:rPr>
        <w:t>社会保障和就业</w:t>
      </w:r>
      <w:r>
        <w:rPr>
          <w:rStyle w:val="9"/>
          <w:rFonts w:hint="eastAsia" w:ascii="仿宋_GB2312" w:hAnsi="仿宋_GB2312" w:eastAsia="仿宋_GB2312" w:cs="仿宋_GB2312"/>
          <w:b w:val="0"/>
          <w:bCs/>
          <w:color w:val="000000"/>
          <w:sz w:val="32"/>
          <w:szCs w:val="32"/>
          <w:highlight w:val="none"/>
          <w:lang w:val="en-US" w:eastAsia="zh-CN"/>
        </w:rPr>
        <w:t>208</w:t>
      </w:r>
      <w:r>
        <w:rPr>
          <w:rStyle w:val="9"/>
          <w:rFonts w:hint="eastAsia" w:ascii="仿宋_GB2312" w:hAnsi="仿宋_GB2312" w:eastAsia="仿宋_GB2312" w:cs="仿宋_GB2312"/>
          <w:b w:val="0"/>
          <w:bCs/>
          <w:color w:val="000000"/>
          <w:sz w:val="32"/>
          <w:szCs w:val="32"/>
          <w:highlight w:val="none"/>
        </w:rPr>
        <w:t>:</w:t>
      </w:r>
    </w:p>
    <w:p>
      <w:pPr>
        <w:pageBreakBefore w:val="0"/>
        <w:numPr>
          <w:ilvl w:val="0"/>
          <w:numId w:val="0"/>
        </w:numPr>
        <w:kinsoku/>
        <w:wordWrap/>
        <w:overflowPunct/>
        <w:topLinePunct w:val="0"/>
        <w:bidi w:val="0"/>
        <w:spacing w:line="600" w:lineRule="exact"/>
        <w:ind w:firstLine="320" w:firstLineChars="100"/>
        <w:textAlignment w:val="auto"/>
        <w:rPr>
          <w:rStyle w:val="9"/>
          <w:rFonts w:hint="default" w:ascii="仿宋_GB2312" w:hAnsi="仿宋_GB2312" w:eastAsia="仿宋_GB2312" w:cs="仿宋_GB2312"/>
          <w:b w:val="0"/>
          <w:bCs/>
          <w:color w:val="000000"/>
          <w:sz w:val="32"/>
          <w:szCs w:val="32"/>
          <w:highlight w:val="none"/>
          <w:lang w:val="en-US" w:eastAsia="zh-CN"/>
        </w:rPr>
      </w:pPr>
      <w:r>
        <w:rPr>
          <w:rStyle w:val="9"/>
          <w:rFonts w:hint="eastAsia" w:ascii="仿宋_GB2312" w:hAnsi="仿宋_GB2312" w:eastAsia="仿宋_GB2312" w:cs="仿宋_GB2312"/>
          <w:b w:val="0"/>
          <w:bCs/>
          <w:color w:val="000000"/>
          <w:sz w:val="32"/>
          <w:szCs w:val="32"/>
          <w:highlight w:val="none"/>
          <w:lang w:val="en-US" w:eastAsia="zh-CN"/>
        </w:rPr>
        <w:t>2080505--机关事业单位基本养老保险缴费</w:t>
      </w:r>
      <w:r>
        <w:rPr>
          <w:rStyle w:val="9"/>
          <w:rFonts w:hint="eastAsia" w:ascii="仿宋_GB2312" w:hAnsi="仿宋_GB2312" w:eastAsia="仿宋_GB2312" w:cs="仿宋_GB2312"/>
          <w:b w:val="0"/>
          <w:bCs/>
          <w:color w:val="000000"/>
          <w:sz w:val="32"/>
          <w:szCs w:val="32"/>
          <w:highlight w:val="none"/>
        </w:rPr>
        <w:t>支出</w:t>
      </w:r>
      <w:r>
        <w:rPr>
          <w:rStyle w:val="9"/>
          <w:rFonts w:hint="eastAsia" w:ascii="仿宋_GB2312" w:hAnsi="仿宋_GB2312" w:eastAsia="仿宋_GB2312" w:cs="仿宋_GB2312"/>
          <w:b w:val="0"/>
          <w:bCs/>
          <w:color w:val="000000"/>
          <w:sz w:val="32"/>
          <w:szCs w:val="32"/>
          <w:highlight w:val="none"/>
          <w:lang w:val="en-US" w:eastAsia="zh-CN"/>
        </w:rPr>
        <w:t>0.83万元</w:t>
      </w:r>
    </w:p>
    <w:p>
      <w:pPr>
        <w:pageBreakBefore w:val="0"/>
        <w:numPr>
          <w:ilvl w:val="0"/>
          <w:numId w:val="0"/>
        </w:numPr>
        <w:kinsoku/>
        <w:wordWrap/>
        <w:overflowPunct/>
        <w:topLinePunct w:val="0"/>
        <w:bidi w:val="0"/>
        <w:spacing w:line="600" w:lineRule="exact"/>
        <w:textAlignment w:val="auto"/>
        <w:rPr>
          <w:rStyle w:val="9"/>
          <w:rFonts w:hint="eastAsia" w:ascii="仿宋_GB2312" w:hAnsi="仿宋_GB2312" w:eastAsia="仿宋_GB2312" w:cs="仿宋_GB2312"/>
          <w:b w:val="0"/>
          <w:bCs/>
          <w:color w:val="000000"/>
          <w:sz w:val="32"/>
          <w:szCs w:val="32"/>
          <w:highlight w:val="none"/>
          <w:lang w:val="en-US" w:eastAsia="zh-CN"/>
        </w:rPr>
      </w:pPr>
      <w:r>
        <w:rPr>
          <w:rStyle w:val="9"/>
          <w:rFonts w:hint="eastAsia" w:ascii="仿宋_GB2312" w:hAnsi="仿宋_GB2312" w:eastAsia="仿宋_GB2312" w:cs="仿宋_GB2312"/>
          <w:b w:val="0"/>
          <w:bCs/>
          <w:color w:val="000000"/>
          <w:sz w:val="32"/>
          <w:szCs w:val="32"/>
          <w:highlight w:val="none"/>
          <w:lang w:val="en-US" w:eastAsia="zh-CN"/>
        </w:rPr>
        <w:t xml:space="preserve">  2080506--机关事业单位职业年金缴费支出0.42万元</w:t>
      </w:r>
    </w:p>
    <w:p>
      <w:pPr>
        <w:pageBreakBefore w:val="0"/>
        <w:numPr>
          <w:ilvl w:val="0"/>
          <w:numId w:val="0"/>
        </w:numPr>
        <w:kinsoku/>
        <w:wordWrap/>
        <w:overflowPunct/>
        <w:topLinePunct w:val="0"/>
        <w:bidi w:val="0"/>
        <w:spacing w:line="600" w:lineRule="exact"/>
        <w:textAlignment w:val="auto"/>
        <w:rPr>
          <w:rStyle w:val="9"/>
          <w:rFonts w:hint="eastAsia" w:ascii="仿宋_GB2312" w:hAnsi="仿宋_GB2312" w:eastAsia="仿宋_GB2312" w:cs="仿宋_GB2312"/>
          <w:b w:val="0"/>
          <w:bCs/>
          <w:color w:val="000000"/>
          <w:sz w:val="32"/>
          <w:szCs w:val="32"/>
          <w:highlight w:val="none"/>
          <w:lang w:val="en-US" w:eastAsia="zh-CN"/>
        </w:rPr>
      </w:pPr>
      <w:r>
        <w:rPr>
          <w:rStyle w:val="9"/>
          <w:rFonts w:hint="eastAsia" w:ascii="仿宋_GB2312" w:hAnsi="仿宋_GB2312" w:eastAsia="仿宋_GB2312" w:cs="仿宋_GB2312"/>
          <w:b w:val="0"/>
          <w:bCs/>
          <w:color w:val="000000"/>
          <w:sz w:val="32"/>
          <w:szCs w:val="32"/>
          <w:highlight w:val="none"/>
          <w:lang w:val="en-US" w:eastAsia="zh-CN"/>
        </w:rPr>
        <w:t xml:space="preserve">  2081005--社会福利事业单位支出185.77万元</w:t>
      </w:r>
    </w:p>
    <w:p>
      <w:pPr>
        <w:pageBreakBefore w:val="0"/>
        <w:numPr>
          <w:ilvl w:val="0"/>
          <w:numId w:val="0"/>
        </w:numPr>
        <w:kinsoku/>
        <w:wordWrap/>
        <w:overflowPunct/>
        <w:topLinePunct w:val="0"/>
        <w:bidi w:val="0"/>
        <w:spacing w:line="600" w:lineRule="exact"/>
        <w:ind w:firstLine="320" w:firstLineChars="100"/>
        <w:textAlignment w:val="auto"/>
        <w:rPr>
          <w:rStyle w:val="9"/>
          <w:rFonts w:hint="default" w:ascii="仿宋_GB2312" w:hAnsi="仿宋_GB2312" w:eastAsia="仿宋_GB2312" w:cs="仿宋_GB2312"/>
          <w:b w:val="0"/>
          <w:bCs/>
          <w:color w:val="000000"/>
          <w:sz w:val="32"/>
          <w:szCs w:val="32"/>
          <w:highlight w:val="none"/>
          <w:lang w:val="en-US" w:eastAsia="zh-CN"/>
        </w:rPr>
      </w:pPr>
      <w:r>
        <w:rPr>
          <w:rStyle w:val="9"/>
          <w:rFonts w:hint="eastAsia" w:ascii="仿宋_GB2312" w:hAnsi="仿宋_GB2312" w:eastAsia="仿宋_GB2312" w:cs="仿宋_GB2312"/>
          <w:b w:val="0"/>
          <w:bCs/>
          <w:color w:val="000000"/>
          <w:sz w:val="32"/>
          <w:szCs w:val="32"/>
          <w:highlight w:val="none"/>
          <w:lang w:val="en-US" w:eastAsia="zh-CN"/>
        </w:rPr>
        <w:t>2101102--行政事业单位医疗0.31万元</w:t>
      </w:r>
    </w:p>
    <w:p>
      <w:pPr>
        <w:pageBreakBefore w:val="0"/>
        <w:numPr>
          <w:ilvl w:val="0"/>
          <w:numId w:val="0"/>
        </w:numPr>
        <w:kinsoku/>
        <w:wordWrap/>
        <w:overflowPunct/>
        <w:topLinePunct w:val="0"/>
        <w:bidi w:val="0"/>
        <w:spacing w:line="600" w:lineRule="exact"/>
        <w:textAlignment w:val="auto"/>
        <w:rPr>
          <w:rStyle w:val="9"/>
          <w:rFonts w:hint="eastAsia" w:ascii="仿宋_GB2312" w:hAnsi="仿宋_GB2312" w:eastAsia="仿宋_GB2312" w:cs="仿宋_GB2312"/>
          <w:b w:val="0"/>
          <w:bCs/>
          <w:color w:val="000000"/>
          <w:sz w:val="32"/>
          <w:szCs w:val="32"/>
          <w:highlight w:val="none"/>
          <w:lang w:val="en-US" w:eastAsia="zh-CN"/>
        </w:rPr>
      </w:pPr>
      <w:r>
        <w:rPr>
          <w:rStyle w:val="9"/>
          <w:rFonts w:hint="eastAsia" w:ascii="仿宋_GB2312" w:hAnsi="仿宋_GB2312" w:eastAsia="仿宋_GB2312" w:cs="仿宋_GB2312"/>
          <w:b w:val="0"/>
          <w:bCs/>
          <w:color w:val="000000"/>
          <w:sz w:val="32"/>
          <w:szCs w:val="32"/>
          <w:highlight w:val="none"/>
          <w:lang w:val="en-US" w:eastAsia="zh-CN"/>
        </w:rPr>
        <w:t xml:space="preserve">  2089999--其他社会保障缴费支出1.83万元</w:t>
      </w:r>
    </w:p>
    <w:p>
      <w:pPr>
        <w:pageBreakBefore w:val="0"/>
        <w:numPr>
          <w:ilvl w:val="0"/>
          <w:numId w:val="0"/>
        </w:numPr>
        <w:kinsoku/>
        <w:wordWrap/>
        <w:overflowPunct/>
        <w:topLinePunct w:val="0"/>
        <w:bidi w:val="0"/>
        <w:spacing w:line="600" w:lineRule="exact"/>
        <w:textAlignment w:val="auto"/>
        <w:rPr>
          <w:rStyle w:val="9"/>
          <w:rFonts w:hint="eastAsia" w:ascii="仿宋_GB2312" w:hAnsi="仿宋_GB2312" w:eastAsia="仿宋_GB2312" w:cs="仿宋_GB2312"/>
          <w:b w:val="0"/>
          <w:bCs/>
          <w:color w:val="000000"/>
          <w:sz w:val="32"/>
          <w:szCs w:val="32"/>
          <w:highlight w:val="none"/>
          <w:lang w:val="en-US" w:eastAsia="zh-CN"/>
        </w:rPr>
      </w:pPr>
      <w:r>
        <w:rPr>
          <w:rStyle w:val="9"/>
          <w:rFonts w:hint="eastAsia" w:ascii="仿宋_GB2312" w:hAnsi="仿宋_GB2312" w:eastAsia="仿宋_GB2312" w:cs="仿宋_GB2312"/>
          <w:b w:val="0"/>
          <w:bCs/>
          <w:color w:val="000000"/>
          <w:sz w:val="32"/>
          <w:szCs w:val="32"/>
          <w:highlight w:val="none"/>
          <w:lang w:val="en-US" w:eastAsia="zh-CN"/>
        </w:rPr>
        <w:t xml:space="preserve">  2082002--流浪其他人员救助支出136.74万元</w:t>
      </w:r>
    </w:p>
    <w:p>
      <w:pPr>
        <w:pageBreakBefore w:val="0"/>
        <w:numPr>
          <w:ilvl w:val="0"/>
          <w:numId w:val="0"/>
        </w:numPr>
        <w:kinsoku/>
        <w:wordWrap/>
        <w:overflowPunct/>
        <w:topLinePunct w:val="0"/>
        <w:bidi w:val="0"/>
        <w:spacing w:line="600" w:lineRule="exact"/>
        <w:ind w:firstLine="320" w:firstLineChars="100"/>
        <w:textAlignment w:val="auto"/>
        <w:rPr>
          <w:rStyle w:val="9"/>
          <w:rFonts w:hint="default" w:ascii="仿宋_GB2312" w:hAnsi="仿宋_GB2312" w:eastAsia="仿宋_GB2312" w:cs="仿宋_GB2312"/>
          <w:b w:val="0"/>
          <w:bCs/>
          <w:color w:val="000000"/>
          <w:sz w:val="32"/>
          <w:szCs w:val="32"/>
          <w:highlight w:val="none"/>
          <w:lang w:val="en-US" w:eastAsia="zh-CN"/>
        </w:rPr>
      </w:pPr>
      <w:r>
        <w:rPr>
          <w:rStyle w:val="9"/>
          <w:rFonts w:hint="eastAsia" w:ascii="仿宋_GB2312" w:hAnsi="仿宋_GB2312" w:eastAsia="仿宋_GB2312" w:cs="仿宋_GB2312"/>
          <w:b w:val="0"/>
          <w:bCs/>
          <w:color w:val="000000"/>
          <w:sz w:val="32"/>
          <w:szCs w:val="32"/>
          <w:highlight w:val="none"/>
          <w:lang w:val="en-US" w:eastAsia="zh-CN"/>
        </w:rPr>
        <w:t>2210201--住房保障支出1.1万元</w:t>
      </w:r>
    </w:p>
    <w:p>
      <w:pPr>
        <w:pageBreakBefore w:val="0"/>
        <w:numPr>
          <w:ilvl w:val="0"/>
          <w:numId w:val="0"/>
        </w:numPr>
        <w:kinsoku/>
        <w:wordWrap/>
        <w:overflowPunct/>
        <w:topLinePunct w:val="0"/>
        <w:bidi w:val="0"/>
        <w:spacing w:line="600" w:lineRule="exact"/>
        <w:ind w:firstLine="320" w:firstLineChars="100"/>
        <w:textAlignment w:val="auto"/>
        <w:rPr>
          <w:rStyle w:val="9"/>
          <w:rFonts w:hint="default" w:ascii="仿宋_GB2312" w:hAnsi="仿宋_GB2312" w:eastAsia="仿宋_GB2312" w:cs="仿宋_GB2312"/>
          <w:b w:val="0"/>
          <w:bCs/>
          <w:color w:val="000000"/>
          <w:sz w:val="32"/>
          <w:szCs w:val="32"/>
          <w:highlight w:val="none"/>
          <w:lang w:val="en-US" w:eastAsia="zh-CN"/>
        </w:rPr>
      </w:pPr>
      <w:r>
        <w:rPr>
          <w:rStyle w:val="9"/>
          <w:rFonts w:hint="eastAsia" w:ascii="仿宋_GB2312" w:hAnsi="仿宋_GB2312" w:eastAsia="仿宋_GB2312" w:cs="仿宋_GB2312"/>
          <w:b w:val="0"/>
          <w:bCs/>
          <w:color w:val="000000"/>
          <w:sz w:val="32"/>
          <w:szCs w:val="32"/>
          <w:highlight w:val="none"/>
          <w:lang w:val="en-US" w:eastAsia="zh-CN"/>
        </w:rPr>
        <w:t>合计决算数426万元。完成预算100%。</w:t>
      </w:r>
    </w:p>
    <w:p>
      <w:pPr>
        <w:pageBreakBefore w:val="0"/>
        <w:numPr>
          <w:ilvl w:val="0"/>
          <w:numId w:val="0"/>
        </w:numPr>
        <w:kinsoku/>
        <w:wordWrap/>
        <w:overflowPunct/>
        <w:topLinePunct w:val="0"/>
        <w:bidi w:val="0"/>
        <w:spacing w:line="600" w:lineRule="exact"/>
        <w:ind w:firstLine="640" w:firstLineChars="200"/>
        <w:textAlignment w:val="auto"/>
        <w:rPr>
          <w:rStyle w:val="9"/>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lang w:val="en-US" w:eastAsia="zh-CN"/>
        </w:rPr>
        <w:t>2.</w:t>
      </w:r>
      <w:r>
        <w:rPr>
          <w:rFonts w:hint="eastAsia" w:ascii="仿宋_GB2312" w:hAnsi="仿宋_GB2312" w:eastAsia="仿宋_GB2312" w:cs="仿宋_GB2312"/>
          <w:b w:val="0"/>
          <w:bCs/>
          <w:color w:val="000000"/>
          <w:sz w:val="32"/>
          <w:szCs w:val="32"/>
          <w:highlight w:val="none"/>
        </w:rPr>
        <w:t>卫生健康</w:t>
      </w:r>
      <w:r>
        <w:rPr>
          <w:rStyle w:val="9"/>
          <w:rFonts w:hint="eastAsia" w:ascii="仿宋_GB2312" w:hAnsi="仿宋_GB2312" w:eastAsia="仿宋_GB2312" w:cs="仿宋_GB2312"/>
          <w:b w:val="0"/>
          <w:bCs/>
          <w:color w:val="000000"/>
          <w:sz w:val="32"/>
          <w:szCs w:val="32"/>
          <w:highlight w:val="none"/>
          <w:lang w:val="en-US" w:eastAsia="zh-CN"/>
        </w:rPr>
        <w:t>2101102</w:t>
      </w:r>
      <w:r>
        <w:rPr>
          <w:rStyle w:val="9"/>
          <w:rFonts w:hint="eastAsia" w:ascii="仿宋_GB2312" w:hAnsi="仿宋_GB2312" w:eastAsia="仿宋_GB2312" w:cs="仿宋_GB2312"/>
          <w:b w:val="0"/>
          <w:bCs/>
          <w:color w:val="000000"/>
          <w:sz w:val="32"/>
          <w:szCs w:val="32"/>
          <w:highlight w:val="none"/>
        </w:rPr>
        <w:t>:支出决算为</w:t>
      </w:r>
      <w:r>
        <w:rPr>
          <w:rStyle w:val="9"/>
          <w:rFonts w:hint="eastAsia" w:ascii="仿宋_GB2312" w:hAnsi="仿宋_GB2312" w:eastAsia="仿宋_GB2312" w:cs="仿宋_GB2312"/>
          <w:b w:val="0"/>
          <w:bCs/>
          <w:color w:val="000000"/>
          <w:sz w:val="32"/>
          <w:szCs w:val="32"/>
          <w:highlight w:val="none"/>
          <w:lang w:val="en-US" w:eastAsia="zh-CN"/>
        </w:rPr>
        <w:t>0.31</w:t>
      </w:r>
      <w:r>
        <w:rPr>
          <w:rStyle w:val="9"/>
          <w:rFonts w:hint="eastAsia" w:ascii="仿宋_GB2312" w:hAnsi="仿宋_GB2312" w:eastAsia="仿宋_GB2312" w:cs="仿宋_GB2312"/>
          <w:b w:val="0"/>
          <w:bCs/>
          <w:color w:val="000000"/>
          <w:sz w:val="32"/>
          <w:szCs w:val="32"/>
          <w:highlight w:val="none"/>
        </w:rPr>
        <w:t>万元，完成预算</w:t>
      </w:r>
      <w:r>
        <w:rPr>
          <w:rStyle w:val="9"/>
          <w:rFonts w:hint="eastAsia" w:ascii="仿宋_GB2312" w:hAnsi="仿宋_GB2312" w:eastAsia="仿宋_GB2312" w:cs="仿宋_GB2312"/>
          <w:b w:val="0"/>
          <w:bCs/>
          <w:color w:val="000000"/>
          <w:sz w:val="32"/>
          <w:szCs w:val="32"/>
          <w:highlight w:val="none"/>
          <w:lang w:val="en-US" w:eastAsia="zh-CN"/>
        </w:rPr>
        <w:t>100</w:t>
      </w:r>
      <w:r>
        <w:rPr>
          <w:rStyle w:val="9"/>
          <w:rFonts w:hint="eastAsia" w:ascii="仿宋_GB2312" w:hAnsi="仿宋_GB2312" w:eastAsia="仿宋_GB2312" w:cs="仿宋_GB2312"/>
          <w:b w:val="0"/>
          <w:bCs/>
          <w:color w:val="000000"/>
          <w:sz w:val="32"/>
          <w:szCs w:val="32"/>
          <w:highlight w:val="none"/>
        </w:rPr>
        <w:t>%，</w:t>
      </w:r>
    </w:p>
    <w:p>
      <w:pPr>
        <w:pageBreakBefore w:val="0"/>
        <w:numPr>
          <w:ilvl w:val="0"/>
          <w:numId w:val="0"/>
        </w:numPr>
        <w:kinsoku/>
        <w:wordWrap/>
        <w:overflowPunct/>
        <w:topLinePunct w:val="0"/>
        <w:bidi w:val="0"/>
        <w:spacing w:line="600" w:lineRule="exact"/>
        <w:ind w:left="210" w:leftChars="0" w:firstLine="320" w:firstLineChars="100"/>
        <w:textAlignment w:val="auto"/>
        <w:rPr>
          <w:rStyle w:val="9"/>
          <w:rFonts w:hint="eastAsia" w:ascii="仿宋_GB2312" w:hAnsi="仿宋_GB2312" w:eastAsia="仿宋_GB2312" w:cs="仿宋_GB2312"/>
          <w:b w:val="0"/>
          <w:bCs/>
          <w:color w:val="000000"/>
          <w:sz w:val="32"/>
          <w:szCs w:val="32"/>
          <w:highlight w:val="none"/>
          <w:lang w:val="en-US" w:eastAsia="zh-CN"/>
        </w:rPr>
      </w:pPr>
      <w:r>
        <w:rPr>
          <w:rStyle w:val="9"/>
          <w:rFonts w:hint="eastAsia" w:ascii="仿宋_GB2312" w:hAnsi="仿宋_GB2312" w:eastAsia="仿宋_GB2312" w:cs="仿宋_GB2312"/>
          <w:b w:val="0"/>
          <w:bCs/>
          <w:color w:val="000000"/>
          <w:sz w:val="32"/>
          <w:szCs w:val="32"/>
          <w:highlight w:val="none"/>
          <w:lang w:val="en-US" w:eastAsia="zh-CN"/>
        </w:rPr>
        <w:t>3.住房保障支出2210201支出决算数为1.1万元。完成100%</w:t>
      </w:r>
    </w:p>
    <w:p>
      <w:pPr>
        <w:pageBreakBefore w:val="0"/>
        <w:numPr>
          <w:ilvl w:val="0"/>
          <w:numId w:val="0"/>
        </w:numPr>
        <w:kinsoku/>
        <w:wordWrap/>
        <w:overflowPunct/>
        <w:topLinePunct w:val="0"/>
        <w:bidi w:val="0"/>
        <w:spacing w:line="600" w:lineRule="exact"/>
        <w:ind w:firstLine="640" w:firstLineChars="200"/>
        <w:textAlignment w:val="auto"/>
        <w:rPr>
          <w:rStyle w:val="9"/>
          <w:rFonts w:hint="default" w:ascii="仿宋_GB2312" w:hAnsi="仿宋_GB2312" w:eastAsia="仿宋_GB2312" w:cs="仿宋_GB2312"/>
          <w:b w:val="0"/>
          <w:bCs/>
          <w:color w:val="000000"/>
          <w:sz w:val="32"/>
          <w:szCs w:val="32"/>
          <w:highlight w:val="none"/>
          <w:lang w:val="en-US" w:eastAsia="zh-CN"/>
        </w:rPr>
      </w:pPr>
      <w:r>
        <w:rPr>
          <w:rStyle w:val="9"/>
          <w:rFonts w:hint="eastAsia" w:ascii="仿宋_GB2312" w:hAnsi="仿宋_GB2312" w:eastAsia="仿宋_GB2312" w:cs="仿宋_GB2312"/>
          <w:b w:val="0"/>
          <w:bCs/>
          <w:color w:val="000000"/>
          <w:sz w:val="32"/>
          <w:szCs w:val="32"/>
          <w:highlight w:val="none"/>
          <w:lang w:val="en-US" w:eastAsia="zh-CN"/>
        </w:rPr>
        <w:t>4.2120802--土地开发支出99万元。完成100%</w:t>
      </w:r>
    </w:p>
    <w:p>
      <w:pPr>
        <w:pageBreakBefore w:val="0"/>
        <w:numPr>
          <w:ilvl w:val="0"/>
          <w:numId w:val="0"/>
        </w:numPr>
        <w:kinsoku/>
        <w:wordWrap/>
        <w:overflowPunct/>
        <w:topLinePunct w:val="0"/>
        <w:bidi w:val="0"/>
        <w:spacing w:line="600" w:lineRule="exact"/>
        <w:ind w:left="210" w:leftChars="0" w:firstLine="320" w:firstLineChars="100"/>
        <w:textAlignment w:val="auto"/>
        <w:rPr>
          <w:rStyle w:val="9"/>
          <w:rFonts w:hint="default" w:ascii="仿宋_GB2312" w:hAnsi="仿宋_GB2312" w:eastAsia="仿宋_GB2312" w:cs="仿宋_GB2312"/>
          <w:b w:val="0"/>
          <w:bCs/>
          <w:color w:val="000000"/>
          <w:sz w:val="32"/>
          <w:szCs w:val="32"/>
          <w:highlight w:val="none"/>
          <w:lang w:val="en-US" w:eastAsia="zh-CN"/>
        </w:rPr>
      </w:pP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p>
    <w:p>
      <w:pPr>
        <w:pageBreakBefore w:val="0"/>
        <w:tabs>
          <w:tab w:val="right" w:pos="8306"/>
        </w:tabs>
        <w:kinsoku/>
        <w:wordWrap/>
        <w:overflowPunct/>
        <w:topLinePunct w:val="0"/>
        <w:bidi w:val="0"/>
        <w:spacing w:line="600" w:lineRule="exact"/>
        <w:ind w:firstLine="640"/>
        <w:textAlignment w:val="auto"/>
        <w:outlineLvl w:val="1"/>
        <w:rPr>
          <w:rStyle w:val="11"/>
        </w:rPr>
      </w:pPr>
      <w:bookmarkStart w:id="38" w:name="_Toc15396608"/>
      <w:bookmarkStart w:id="39"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1"/>
          <w:rFonts w:hint="eastAsia" w:ascii="黑体" w:hAnsi="黑体" w:eastAsia="黑体"/>
          <w:b w:val="0"/>
        </w:rPr>
        <w:t>般公共预算财政拨款基本支出决算情况说明</w:t>
      </w:r>
      <w:bookmarkEnd w:id="38"/>
      <w:bookmarkEnd w:id="39"/>
      <w:r>
        <w:rPr>
          <w:rStyle w:val="11"/>
          <w:rFonts w:ascii="黑体" w:hAnsi="黑体" w:eastAsia="黑体"/>
          <w:b w:val="0"/>
        </w:rPr>
        <w:tab/>
      </w:r>
    </w:p>
    <w:p>
      <w:pPr>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年一般公共预算财政拨款基本支出</w:t>
      </w:r>
      <w:r>
        <w:rPr>
          <w:rFonts w:hint="eastAsia" w:ascii="仿宋_GB2312" w:hAnsi="仿宋_GB2312" w:eastAsia="仿宋_GB2312" w:cs="仿宋_GB2312"/>
          <w:b w:val="0"/>
          <w:bCs w:val="0"/>
          <w:color w:val="000000"/>
          <w:sz w:val="32"/>
          <w:szCs w:val="32"/>
          <w:lang w:val="en-US" w:eastAsia="zh-CN"/>
        </w:rPr>
        <w:t>56.02</w:t>
      </w:r>
      <w:r>
        <w:rPr>
          <w:rFonts w:hint="eastAsia" w:ascii="仿宋_GB2312" w:hAnsi="仿宋_GB2312" w:eastAsia="仿宋_GB2312" w:cs="仿宋_GB2312"/>
          <w:b w:val="0"/>
          <w:bCs w:val="0"/>
          <w:color w:val="000000"/>
          <w:sz w:val="32"/>
          <w:szCs w:val="32"/>
        </w:rPr>
        <w:t>万元，其中：</w:t>
      </w:r>
    </w:p>
    <w:p>
      <w:pPr>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人员经费</w:t>
      </w:r>
      <w:r>
        <w:rPr>
          <w:rFonts w:hint="eastAsia" w:ascii="仿宋_GB2312" w:hAnsi="仿宋_GB2312" w:eastAsia="仿宋_GB2312" w:cs="仿宋_GB2312"/>
          <w:b w:val="0"/>
          <w:bCs w:val="0"/>
          <w:color w:val="000000"/>
          <w:sz w:val="32"/>
          <w:szCs w:val="32"/>
          <w:lang w:val="en-US" w:eastAsia="zh-CN"/>
        </w:rPr>
        <w:t>55.05</w:t>
      </w:r>
      <w:r>
        <w:rPr>
          <w:rFonts w:hint="eastAsia" w:ascii="仿宋_GB2312" w:hAnsi="仿宋_GB2312" w:eastAsia="仿宋_GB2312" w:cs="仿宋_GB2312"/>
          <w:b w:val="0"/>
          <w:bCs w:val="0"/>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日常公用经费</w:t>
      </w:r>
      <w:r>
        <w:rPr>
          <w:rFonts w:hint="eastAsia" w:ascii="仿宋_GB2312" w:hAnsi="仿宋_GB2312" w:eastAsia="仿宋_GB2312" w:cs="仿宋_GB2312"/>
          <w:b w:val="0"/>
          <w:bCs w:val="0"/>
          <w:color w:val="000000"/>
          <w:sz w:val="32"/>
          <w:szCs w:val="32"/>
          <w:lang w:val="en-US" w:eastAsia="zh-CN"/>
        </w:rPr>
        <w:t>0.96</w:t>
      </w:r>
      <w:r>
        <w:rPr>
          <w:rFonts w:hint="eastAsia" w:ascii="仿宋_GB2312" w:hAnsi="仿宋_GB2312" w:eastAsia="仿宋_GB2312" w:cs="仿宋_GB2312"/>
          <w:b w:val="0"/>
          <w:bCs w:val="0"/>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（注：数据来源于财决07表，根据本部门实际支出情况罗列全部经济分类科目。）</w:t>
      </w:r>
    </w:p>
    <w:p>
      <w:pPr>
        <w:pageBreakBefore w:val="0"/>
        <w:kinsoku/>
        <w:wordWrap/>
        <w:overflowPunct/>
        <w:topLinePunct w:val="0"/>
        <w:bidi w:val="0"/>
        <w:spacing w:line="600" w:lineRule="exact"/>
        <w:ind w:firstLine="640"/>
        <w:textAlignment w:val="auto"/>
        <w:outlineLvl w:val="1"/>
        <w:rPr>
          <w:rStyle w:val="11"/>
          <w:rFonts w:ascii="黑体" w:hAnsi="黑体" w:eastAsia="黑体"/>
          <w:b w:val="0"/>
        </w:rPr>
      </w:pPr>
      <w:bookmarkStart w:id="40" w:name="_Toc15396609"/>
      <w:bookmarkStart w:id="41" w:name="_Toc15377215"/>
      <w:r>
        <w:rPr>
          <w:rFonts w:hint="eastAsia" w:ascii="黑体" w:eastAsia="黑体"/>
          <w:color w:val="000000"/>
          <w:sz w:val="32"/>
          <w:szCs w:val="32"/>
        </w:rPr>
        <w:t>七、</w:t>
      </w:r>
      <w:r>
        <w:rPr>
          <w:rStyle w:val="11"/>
          <w:rFonts w:hint="eastAsia" w:ascii="黑体" w:hAnsi="黑体" w:eastAsia="黑体"/>
        </w:rPr>
        <w:t>“</w:t>
      </w:r>
      <w:r>
        <w:rPr>
          <w:rStyle w:val="11"/>
          <w:rFonts w:hint="eastAsia" w:ascii="黑体" w:hAnsi="黑体" w:eastAsia="黑体"/>
          <w:b w:val="0"/>
        </w:rPr>
        <w:t>三公”经费财政拨款支出决算情况说明</w:t>
      </w:r>
      <w:bookmarkEnd w:id="40"/>
      <w:bookmarkEnd w:id="41"/>
    </w:p>
    <w:p>
      <w:pPr>
        <w:pageBreakBefore w:val="0"/>
        <w:kinsoku/>
        <w:wordWrap/>
        <w:overflowPunct/>
        <w:topLinePunct w:val="0"/>
        <w:bidi w:val="0"/>
        <w:spacing w:line="600" w:lineRule="exact"/>
        <w:ind w:firstLine="640"/>
        <w:textAlignment w:val="auto"/>
        <w:outlineLvl w:val="2"/>
        <w:rPr>
          <w:rFonts w:hint="eastAsia" w:ascii="楷体_GB2312" w:hAnsi="楷体_GB2312" w:eastAsia="楷体_GB2312" w:cs="楷体_GB2312"/>
          <w:b w:val="0"/>
          <w:bCs/>
          <w:color w:val="000000"/>
          <w:sz w:val="32"/>
          <w:szCs w:val="32"/>
        </w:rPr>
      </w:pPr>
      <w:bookmarkStart w:id="42" w:name="_Toc15377216"/>
      <w:r>
        <w:rPr>
          <w:rFonts w:hint="eastAsia" w:ascii="楷体_GB2312" w:hAnsi="楷体_GB2312" w:eastAsia="楷体_GB2312" w:cs="楷体_GB2312"/>
          <w:b w:val="0"/>
          <w:bCs/>
          <w:color w:val="000000"/>
          <w:sz w:val="32"/>
          <w:szCs w:val="32"/>
        </w:rPr>
        <w:t>（一）“三公”经费财政拨款支出决算总体情况说明</w:t>
      </w:r>
      <w:bookmarkEnd w:id="42"/>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年“三公”经费财政拨款支出决算为</w:t>
      </w:r>
      <w:r>
        <w:rPr>
          <w:rFonts w:hint="eastAsia" w:ascii="仿宋_GB2312" w:hAnsi="仿宋_GB2312" w:eastAsia="仿宋_GB2312" w:cs="仿宋_GB2312"/>
          <w:b w:val="0"/>
          <w:bCs w:val="0"/>
          <w:color w:val="000000"/>
          <w:sz w:val="32"/>
          <w:szCs w:val="32"/>
          <w:lang w:val="en-US" w:eastAsia="zh-CN"/>
        </w:rPr>
        <w:t>8.17</w:t>
      </w:r>
      <w:r>
        <w:rPr>
          <w:rFonts w:hint="eastAsia" w:ascii="仿宋_GB2312" w:hAnsi="仿宋_GB2312" w:eastAsia="仿宋_GB2312" w:cs="仿宋_GB2312"/>
          <w:b w:val="0"/>
          <w:bCs w:val="0"/>
          <w:color w:val="000000"/>
          <w:sz w:val="32"/>
          <w:szCs w:val="32"/>
        </w:rPr>
        <w:t>万元，完成预算</w:t>
      </w:r>
      <w:r>
        <w:rPr>
          <w:rFonts w:hint="eastAsia" w:ascii="仿宋_GB2312" w:hAnsi="仿宋_GB2312" w:eastAsia="仿宋_GB2312" w:cs="仿宋_GB2312"/>
          <w:b w:val="0"/>
          <w:bCs w:val="0"/>
          <w:color w:val="000000"/>
          <w:sz w:val="32"/>
          <w:szCs w:val="32"/>
          <w:lang w:val="en-US" w:eastAsia="zh-CN"/>
        </w:rPr>
        <w:t>100</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w:t>
      </w:r>
    </w:p>
    <w:p>
      <w:pPr>
        <w:pageBreakBefore w:val="0"/>
        <w:kinsoku/>
        <w:wordWrap/>
        <w:overflowPunct/>
        <w:topLinePunct w:val="0"/>
        <w:bidi w:val="0"/>
        <w:spacing w:line="600" w:lineRule="exact"/>
        <w:ind w:firstLine="640"/>
        <w:textAlignment w:val="auto"/>
        <w:outlineLvl w:val="2"/>
        <w:rPr>
          <w:rFonts w:hint="eastAsia" w:ascii="楷体_GB2312" w:hAnsi="楷体_GB2312" w:eastAsia="楷体_GB2312" w:cs="楷体_GB2312"/>
          <w:b w:val="0"/>
          <w:bCs/>
          <w:color w:val="000000"/>
          <w:sz w:val="32"/>
          <w:szCs w:val="32"/>
        </w:rPr>
      </w:pPr>
      <w:bookmarkStart w:id="43" w:name="_Toc15377217"/>
      <w:r>
        <w:rPr>
          <w:rFonts w:hint="eastAsia" w:ascii="楷体_GB2312" w:hAnsi="楷体_GB2312" w:eastAsia="楷体_GB2312" w:cs="楷体_GB2312"/>
          <w:b w:val="0"/>
          <w:bCs/>
          <w:color w:val="000000"/>
          <w:sz w:val="32"/>
          <w:szCs w:val="32"/>
        </w:rPr>
        <w:t>（二）“三公”经费财政拨款支出决算具体情况说明</w:t>
      </w:r>
      <w:bookmarkEnd w:id="43"/>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年“三公”经费财政拨款支出决算中，因公出国（境）费支出决算</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%；公务用车购置及运行维护费支出决算</w:t>
      </w:r>
      <w:r>
        <w:rPr>
          <w:rFonts w:hint="eastAsia" w:ascii="仿宋_GB2312" w:hAnsi="仿宋_GB2312" w:eastAsia="仿宋_GB2312" w:cs="仿宋_GB2312"/>
          <w:b w:val="0"/>
          <w:bCs w:val="0"/>
          <w:color w:val="000000"/>
          <w:sz w:val="32"/>
          <w:szCs w:val="32"/>
          <w:lang w:val="en-US" w:eastAsia="zh-CN"/>
        </w:rPr>
        <w:t>8.17</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99</w:t>
      </w:r>
      <w:r>
        <w:rPr>
          <w:rFonts w:hint="eastAsia" w:ascii="仿宋_GB2312" w:hAnsi="仿宋_GB2312" w:eastAsia="仿宋_GB2312" w:cs="仿宋_GB2312"/>
          <w:b w:val="0"/>
          <w:bCs w:val="0"/>
          <w:color w:val="000000"/>
          <w:sz w:val="32"/>
          <w:szCs w:val="32"/>
        </w:rPr>
        <w:t>%；公务接待费支出决算</w:t>
      </w:r>
      <w:r>
        <w:rPr>
          <w:rFonts w:hint="eastAsia" w:ascii="仿宋_GB2312" w:hAnsi="仿宋_GB2312" w:eastAsia="仿宋_GB2312" w:cs="仿宋_GB2312"/>
          <w:b w:val="0"/>
          <w:bCs w:val="0"/>
          <w:color w:val="000000"/>
          <w:sz w:val="32"/>
          <w:szCs w:val="32"/>
          <w:lang w:val="en-US" w:eastAsia="zh-CN"/>
        </w:rPr>
        <w:t>0.08</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w:t>
      </w:r>
    </w:p>
    <w:p>
      <w:pPr>
        <w:pageBreakBefore w:val="0"/>
        <w:numPr>
          <w:ilvl w:val="0"/>
          <w:numId w:val="3"/>
        </w:numPr>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因公出国（境）经费支出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w:t>
      </w:r>
      <w:r>
        <w:rPr>
          <w:rStyle w:val="9"/>
          <w:rFonts w:hint="eastAsia" w:ascii="仿宋_GB2312" w:hAnsi="仿宋_GB2312" w:eastAsia="仿宋_GB2312" w:cs="仿宋_GB2312"/>
          <w:b w:val="0"/>
          <w:bCs w:val="0"/>
          <w:color w:val="000000"/>
          <w:sz w:val="32"/>
          <w:szCs w:val="32"/>
        </w:rPr>
        <w:t>完成预算</w:t>
      </w:r>
      <w:r>
        <w:rPr>
          <w:rStyle w:val="9"/>
          <w:rFonts w:hint="eastAsia" w:ascii="仿宋_GB2312" w:hAnsi="仿宋_GB2312" w:eastAsia="仿宋_GB2312" w:cs="仿宋_GB2312"/>
          <w:b w:val="0"/>
          <w:bCs w:val="0"/>
          <w:color w:val="000000"/>
          <w:sz w:val="32"/>
          <w:szCs w:val="32"/>
          <w:lang w:val="en-US" w:eastAsia="zh-CN"/>
        </w:rPr>
        <w:t>0</w:t>
      </w:r>
      <w:r>
        <w:rPr>
          <w:rStyle w:val="9"/>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全年安排因公出国（境）团组</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次，出国（境）</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人。因公出国（境）支出决算比20</w:t>
      </w:r>
      <w:r>
        <w:rPr>
          <w:rFonts w:hint="eastAsia" w:ascii="仿宋_GB2312" w:hAnsi="仿宋_GB2312" w:eastAsia="仿宋_GB2312" w:cs="仿宋_GB2312"/>
          <w:b w:val="0"/>
          <w:bCs w:val="0"/>
          <w:color w:val="000000"/>
          <w:sz w:val="32"/>
          <w:szCs w:val="32"/>
          <w:lang w:val="en-US" w:eastAsia="zh-CN"/>
        </w:rPr>
        <w:t>20</w:t>
      </w:r>
      <w:r>
        <w:rPr>
          <w:rFonts w:hint="eastAsia" w:ascii="仿宋_GB2312" w:hAnsi="仿宋_GB2312" w:eastAsia="仿宋_GB2312" w:cs="仿宋_GB2312"/>
          <w:b w:val="0"/>
          <w:bCs w:val="0"/>
          <w:color w:val="000000"/>
          <w:sz w:val="32"/>
          <w:szCs w:val="32"/>
        </w:rPr>
        <w:t>年增加/减少</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万元，增长/下降</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公务用车购置及运行维护费支出</w:t>
      </w:r>
      <w:r>
        <w:rPr>
          <w:rFonts w:hint="eastAsia" w:ascii="仿宋_GB2312" w:hAnsi="仿宋_GB2312" w:eastAsia="仿宋_GB2312" w:cs="仿宋_GB2312"/>
          <w:b w:val="0"/>
          <w:bCs w:val="0"/>
          <w:color w:val="000000"/>
          <w:sz w:val="32"/>
          <w:szCs w:val="32"/>
          <w:lang w:val="en-US" w:eastAsia="zh-CN"/>
        </w:rPr>
        <w:t>8.17</w:t>
      </w:r>
      <w:r>
        <w:rPr>
          <w:rFonts w:hint="eastAsia" w:ascii="仿宋_GB2312" w:hAnsi="仿宋_GB2312" w:eastAsia="仿宋_GB2312" w:cs="仿宋_GB2312"/>
          <w:b w:val="0"/>
          <w:bCs w:val="0"/>
          <w:color w:val="000000"/>
          <w:sz w:val="32"/>
          <w:szCs w:val="32"/>
        </w:rPr>
        <w:t>万元,</w:t>
      </w:r>
      <w:r>
        <w:rPr>
          <w:rStyle w:val="9"/>
          <w:rFonts w:hint="eastAsia" w:ascii="仿宋_GB2312" w:hAnsi="仿宋_GB2312" w:eastAsia="仿宋_GB2312" w:cs="仿宋_GB2312"/>
          <w:b w:val="0"/>
          <w:bCs w:val="0"/>
          <w:color w:val="000000"/>
          <w:sz w:val="32"/>
          <w:szCs w:val="32"/>
        </w:rPr>
        <w:t>完成预算</w:t>
      </w:r>
      <w:r>
        <w:rPr>
          <w:rStyle w:val="9"/>
          <w:rFonts w:hint="eastAsia" w:ascii="仿宋_GB2312" w:hAnsi="仿宋_GB2312" w:eastAsia="仿宋_GB2312" w:cs="仿宋_GB2312"/>
          <w:b w:val="0"/>
          <w:bCs w:val="0"/>
          <w:color w:val="000000"/>
          <w:sz w:val="32"/>
          <w:szCs w:val="32"/>
          <w:lang w:val="en-US" w:eastAsia="zh-CN"/>
        </w:rPr>
        <w:t>100</w:t>
      </w:r>
      <w:r>
        <w:rPr>
          <w:rStyle w:val="9"/>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公务用车购置及运行维护费支出决算比20</w:t>
      </w:r>
      <w:r>
        <w:rPr>
          <w:rFonts w:hint="eastAsia" w:ascii="仿宋_GB2312" w:hAnsi="仿宋_GB2312" w:eastAsia="仿宋_GB2312" w:cs="仿宋_GB2312"/>
          <w:b w:val="0"/>
          <w:bCs w:val="0"/>
          <w:color w:val="000000"/>
          <w:sz w:val="32"/>
          <w:szCs w:val="32"/>
          <w:lang w:val="en-US" w:eastAsia="zh-CN"/>
        </w:rPr>
        <w:t>20</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lang w:eastAsia="zh-CN"/>
        </w:rPr>
        <w:t>增加</w:t>
      </w:r>
      <w:r>
        <w:rPr>
          <w:rFonts w:hint="eastAsia" w:ascii="仿宋_GB2312" w:hAnsi="仿宋_GB2312" w:eastAsia="仿宋_GB2312" w:cs="仿宋_GB2312"/>
          <w:b w:val="0"/>
          <w:bCs w:val="0"/>
          <w:color w:val="000000"/>
          <w:sz w:val="32"/>
          <w:szCs w:val="32"/>
          <w:lang w:val="en-US" w:eastAsia="zh-CN"/>
        </w:rPr>
        <w:t>1.96</w:t>
      </w:r>
      <w:r>
        <w:rPr>
          <w:rFonts w:hint="eastAsia" w:ascii="仿宋_GB2312" w:hAnsi="仿宋_GB2312" w:eastAsia="仿宋_GB2312" w:cs="仿宋_GB2312"/>
          <w:b w:val="0"/>
          <w:bCs w:val="0"/>
          <w:color w:val="000000"/>
          <w:sz w:val="32"/>
          <w:szCs w:val="32"/>
        </w:rPr>
        <w:t>万元，。主要原因是</w:t>
      </w:r>
      <w:r>
        <w:rPr>
          <w:rFonts w:hint="eastAsia" w:ascii="仿宋_GB2312" w:hAnsi="仿宋_GB2312" w:eastAsia="仿宋_GB2312" w:cs="仿宋_GB2312"/>
          <w:b w:val="0"/>
          <w:bCs w:val="0"/>
          <w:color w:val="000000"/>
          <w:sz w:val="32"/>
          <w:szCs w:val="32"/>
          <w:lang w:eastAsia="zh-CN"/>
        </w:rPr>
        <w:t>街头救助巡查增加时间及接待老人到院参观次数增长</w:t>
      </w:r>
      <w:r>
        <w:rPr>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其中：公务用车购置支出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万元。全年按规定更新购置公务用车</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辆，其中：轿车</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辆、金额</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万元，越野车</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辆、金额</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万元，载客汽车</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辆、金额</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万元，主要用于…。截至202</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年12月底，单位共有公务用车</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辆，其中：轿车</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辆、越野车</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辆、载客汽车</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辆。</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公务用车运行维护费支出</w:t>
      </w:r>
      <w:r>
        <w:rPr>
          <w:rFonts w:hint="eastAsia" w:ascii="仿宋_GB2312" w:hAnsi="仿宋_GB2312" w:eastAsia="仿宋_GB2312" w:cs="仿宋_GB2312"/>
          <w:b w:val="0"/>
          <w:bCs w:val="0"/>
          <w:color w:val="000000"/>
          <w:sz w:val="32"/>
          <w:szCs w:val="32"/>
          <w:lang w:val="en-US" w:eastAsia="zh-CN"/>
        </w:rPr>
        <w:t>8.17</w:t>
      </w:r>
      <w:r>
        <w:rPr>
          <w:rFonts w:hint="eastAsia" w:ascii="仿宋_GB2312" w:hAnsi="仿宋_GB2312" w:eastAsia="仿宋_GB2312" w:cs="仿宋_GB2312"/>
          <w:b w:val="0"/>
          <w:bCs w:val="0"/>
          <w:color w:val="000000"/>
          <w:sz w:val="32"/>
          <w:szCs w:val="32"/>
        </w:rPr>
        <w:t>万元。主要用</w:t>
      </w:r>
      <w:r>
        <w:rPr>
          <w:rFonts w:hint="eastAsia" w:ascii="仿宋_GB2312" w:hAnsi="仿宋_GB2312" w:eastAsia="仿宋_GB2312" w:cs="仿宋_GB2312"/>
          <w:b w:val="0"/>
          <w:bCs w:val="0"/>
          <w:color w:val="000000"/>
          <w:sz w:val="32"/>
          <w:szCs w:val="32"/>
          <w:lang w:eastAsia="zh-CN"/>
        </w:rPr>
        <w:t>于开会、出差、救助、护送</w:t>
      </w:r>
      <w:r>
        <w:rPr>
          <w:rFonts w:hint="eastAsia" w:ascii="仿宋_GB2312" w:hAnsi="仿宋_GB2312" w:eastAsia="仿宋_GB2312" w:cs="仿宋_GB2312"/>
          <w:b w:val="0"/>
          <w:bCs w:val="0"/>
          <w:color w:val="000000"/>
          <w:sz w:val="32"/>
          <w:szCs w:val="32"/>
        </w:rPr>
        <w:t>等所需的公务用车燃料费、维修费、过路过桥费、保险费等支出。</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公务接待费支出</w:t>
      </w:r>
      <w:r>
        <w:rPr>
          <w:rFonts w:hint="eastAsia" w:ascii="仿宋_GB2312" w:hAnsi="仿宋_GB2312" w:eastAsia="仿宋_GB2312" w:cs="仿宋_GB2312"/>
          <w:b w:val="0"/>
          <w:bCs w:val="0"/>
          <w:color w:val="000000"/>
          <w:sz w:val="32"/>
          <w:szCs w:val="32"/>
          <w:lang w:val="en-US" w:eastAsia="zh-CN"/>
        </w:rPr>
        <w:t>0.08</w:t>
      </w:r>
      <w:r>
        <w:rPr>
          <w:rFonts w:hint="eastAsia" w:ascii="仿宋_GB2312" w:hAnsi="仿宋_GB2312" w:eastAsia="仿宋_GB2312" w:cs="仿宋_GB2312"/>
          <w:b w:val="0"/>
          <w:bCs w:val="0"/>
          <w:color w:val="000000"/>
          <w:sz w:val="32"/>
          <w:szCs w:val="32"/>
        </w:rPr>
        <w:t>万元，</w:t>
      </w:r>
      <w:r>
        <w:rPr>
          <w:rStyle w:val="9"/>
          <w:rFonts w:hint="eastAsia" w:ascii="仿宋_GB2312" w:hAnsi="仿宋_GB2312" w:eastAsia="仿宋_GB2312" w:cs="仿宋_GB2312"/>
          <w:b w:val="0"/>
          <w:bCs w:val="0"/>
          <w:color w:val="000000"/>
          <w:sz w:val="32"/>
          <w:szCs w:val="32"/>
        </w:rPr>
        <w:t>完成预算</w:t>
      </w:r>
      <w:r>
        <w:rPr>
          <w:rStyle w:val="9"/>
          <w:rFonts w:hint="eastAsia" w:ascii="仿宋_GB2312" w:hAnsi="仿宋_GB2312" w:eastAsia="仿宋_GB2312" w:cs="仿宋_GB2312"/>
          <w:b w:val="0"/>
          <w:bCs w:val="0"/>
          <w:color w:val="000000"/>
          <w:sz w:val="32"/>
          <w:szCs w:val="32"/>
          <w:lang w:val="en-US" w:eastAsia="zh-CN"/>
        </w:rPr>
        <w:t>100</w:t>
      </w:r>
      <w:r>
        <w:rPr>
          <w:rStyle w:val="9"/>
          <w:rFonts w:hint="eastAsia" w:ascii="仿宋_GB2312" w:hAnsi="仿宋_GB2312" w:eastAsia="仿宋_GB2312" w:cs="仿宋_GB2312"/>
          <w:b w:val="0"/>
          <w:bCs w:val="0"/>
          <w:color w:val="000000"/>
          <w:sz w:val="32"/>
          <w:szCs w:val="32"/>
        </w:rPr>
        <w:t>%。</w:t>
      </w:r>
      <w:r>
        <w:rPr>
          <w:rStyle w:val="9"/>
          <w:rFonts w:hint="eastAsia" w:ascii="仿宋_GB2312" w:hAnsi="仿宋_GB2312" w:eastAsia="仿宋_GB2312" w:cs="仿宋_GB2312"/>
          <w:b w:val="0"/>
          <w:bCs w:val="0"/>
          <w:color w:val="000000"/>
          <w:sz w:val="32"/>
          <w:szCs w:val="32"/>
          <w:lang w:eastAsia="zh-CN"/>
        </w:rPr>
        <w:t>比</w:t>
      </w:r>
      <w:r>
        <w:rPr>
          <w:rStyle w:val="9"/>
          <w:rFonts w:hint="eastAsia" w:ascii="仿宋_GB2312" w:hAnsi="仿宋_GB2312" w:eastAsia="仿宋_GB2312" w:cs="仿宋_GB2312"/>
          <w:b w:val="0"/>
          <w:bCs w:val="0"/>
          <w:color w:val="000000"/>
          <w:sz w:val="32"/>
          <w:szCs w:val="32"/>
          <w:lang w:val="en-US" w:eastAsia="zh-CN"/>
        </w:rPr>
        <w:t>2020年减少46%。</w:t>
      </w:r>
      <w:r>
        <w:rPr>
          <w:rFonts w:hint="eastAsia" w:ascii="仿宋_GB2312" w:hAnsi="仿宋_GB2312" w:eastAsia="仿宋_GB2312" w:cs="仿宋_GB2312"/>
          <w:b w:val="0"/>
          <w:bCs w:val="0"/>
          <w:color w:val="000000"/>
          <w:sz w:val="32"/>
          <w:szCs w:val="32"/>
        </w:rPr>
        <w:t>其中：</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国内公务接待支出</w:t>
      </w:r>
      <w:r>
        <w:rPr>
          <w:rFonts w:hint="eastAsia" w:ascii="仿宋_GB2312" w:hAnsi="仿宋_GB2312" w:eastAsia="仿宋_GB2312" w:cs="仿宋_GB2312"/>
          <w:b w:val="0"/>
          <w:bCs w:val="0"/>
          <w:color w:val="000000"/>
          <w:sz w:val="32"/>
          <w:szCs w:val="32"/>
          <w:lang w:val="en-US" w:eastAsia="zh-CN"/>
        </w:rPr>
        <w:t>0.08</w:t>
      </w:r>
      <w:r>
        <w:rPr>
          <w:rFonts w:hint="eastAsia" w:ascii="仿宋_GB2312" w:hAnsi="仿宋_GB2312" w:eastAsia="仿宋_GB2312" w:cs="仿宋_GB2312"/>
          <w:b w:val="0"/>
          <w:bCs w:val="0"/>
          <w:color w:val="000000"/>
          <w:sz w:val="32"/>
          <w:szCs w:val="32"/>
        </w:rPr>
        <w:t>万元，主要用于</w:t>
      </w:r>
      <w:r>
        <w:rPr>
          <w:rFonts w:hint="eastAsia" w:ascii="仿宋_GB2312" w:hAnsi="仿宋_GB2312" w:eastAsia="仿宋_GB2312" w:cs="仿宋_GB2312"/>
          <w:b w:val="0"/>
          <w:bCs w:val="0"/>
          <w:color w:val="000000"/>
          <w:sz w:val="32"/>
          <w:szCs w:val="32"/>
          <w:lang w:eastAsia="zh-CN"/>
        </w:rPr>
        <w:t>用餐费</w:t>
      </w:r>
      <w:r>
        <w:rPr>
          <w:rFonts w:hint="eastAsia" w:ascii="仿宋_GB2312" w:hAnsi="仿宋_GB2312" w:eastAsia="仿宋_GB2312" w:cs="仿宋_GB2312"/>
          <w:b w:val="0"/>
          <w:bCs w:val="0"/>
          <w:color w:val="000000"/>
          <w:sz w:val="32"/>
          <w:szCs w:val="32"/>
        </w:rPr>
        <w:t>(执行公务、开展业务活动开支的交通费、住宿费、用餐费等)。国内公务接待</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批次，共计支出</w:t>
      </w:r>
      <w:r>
        <w:rPr>
          <w:rFonts w:hint="eastAsia" w:ascii="仿宋_GB2312" w:hAnsi="仿宋_GB2312" w:eastAsia="仿宋_GB2312" w:cs="仿宋_GB2312"/>
          <w:b w:val="0"/>
          <w:bCs w:val="0"/>
          <w:color w:val="000000"/>
          <w:sz w:val="32"/>
          <w:szCs w:val="32"/>
          <w:lang w:val="en-US" w:eastAsia="zh-CN"/>
        </w:rPr>
        <w:t>0.08</w:t>
      </w:r>
      <w:r>
        <w:rPr>
          <w:rFonts w:hint="eastAsia" w:ascii="仿宋_GB2312" w:hAnsi="仿宋_GB2312" w:eastAsia="仿宋_GB2312" w:cs="仿宋_GB2312"/>
          <w:b w:val="0"/>
          <w:bCs w:val="0"/>
          <w:color w:val="000000"/>
          <w:sz w:val="32"/>
          <w:szCs w:val="32"/>
        </w:rPr>
        <w:t>万元，具体内容包括：</w:t>
      </w:r>
      <w:r>
        <w:rPr>
          <w:rFonts w:hint="eastAsia" w:ascii="仿宋_GB2312" w:hAnsi="仿宋_GB2312" w:eastAsia="仿宋_GB2312" w:cs="仿宋_GB2312"/>
          <w:b w:val="0"/>
          <w:bCs w:val="0"/>
          <w:color w:val="000000"/>
          <w:sz w:val="32"/>
          <w:szCs w:val="32"/>
          <w:lang w:eastAsia="zh-CN"/>
        </w:rPr>
        <w:t>接待西宁救助站来访用餐</w:t>
      </w:r>
      <w:r>
        <w:rPr>
          <w:rFonts w:hint="eastAsia" w:ascii="仿宋_GB2312" w:hAnsi="仿宋_GB2312" w:eastAsia="仿宋_GB2312" w:cs="仿宋_GB2312"/>
          <w:b w:val="0"/>
          <w:bCs w:val="0"/>
          <w:color w:val="000000"/>
          <w:sz w:val="32"/>
          <w:szCs w:val="32"/>
          <w:lang w:val="en-US" w:eastAsia="zh-CN"/>
        </w:rPr>
        <w:t>540元，接待沙湾救助站护送用餐300元，接待夹江县救助站来访学习用餐费840元</w:t>
      </w:r>
      <w:r>
        <w:rPr>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外事接待支出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万元，外事接待</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批次，</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人，共计支出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万元，主要用于接待…（具体项目）。主要用于……</w:t>
      </w:r>
    </w:p>
    <w:p>
      <w:pPr>
        <w:pageBreakBefore w:val="0"/>
        <w:kinsoku/>
        <w:wordWrap/>
        <w:overflowPunct/>
        <w:topLinePunct w:val="0"/>
        <w:bidi w:val="0"/>
        <w:spacing w:line="600" w:lineRule="exact"/>
        <w:ind w:firstLine="640"/>
        <w:textAlignment w:val="auto"/>
        <w:outlineLvl w:val="1"/>
        <w:rPr>
          <w:rStyle w:val="11"/>
          <w:rFonts w:ascii="黑体" w:hAnsi="黑体" w:eastAsia="黑体"/>
        </w:rPr>
      </w:pPr>
      <w:bookmarkStart w:id="44" w:name="_Toc15396610"/>
      <w:bookmarkStart w:id="45" w:name="_Toc15377218"/>
      <w:r>
        <w:rPr>
          <w:rFonts w:hint="eastAsia" w:ascii="黑体" w:eastAsia="黑体"/>
          <w:color w:val="000000"/>
          <w:sz w:val="32"/>
          <w:szCs w:val="32"/>
        </w:rPr>
        <w:t>八、</w:t>
      </w:r>
      <w:r>
        <w:rPr>
          <w:rStyle w:val="11"/>
          <w:rFonts w:hint="eastAsia" w:ascii="黑体" w:hAnsi="黑体" w:eastAsia="黑体"/>
          <w:b w:val="0"/>
        </w:rPr>
        <w:t>政府性基金预算支出决算情况说明</w:t>
      </w:r>
      <w:bookmarkEnd w:id="44"/>
      <w:bookmarkEnd w:id="45"/>
    </w:p>
    <w:p>
      <w:pPr>
        <w:pageBreakBefore w:val="0"/>
        <w:kinsoku/>
        <w:wordWrap/>
        <w:overflowPunct/>
        <w:topLinePunct w:val="0"/>
        <w:bidi w:val="0"/>
        <w:spacing w:line="600" w:lineRule="exact"/>
        <w:ind w:firstLine="640"/>
        <w:textAlignment w:val="auto"/>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万元。</w:t>
      </w:r>
    </w:p>
    <w:p>
      <w:pPr>
        <w:pageBreakBefore w:val="0"/>
        <w:numPr>
          <w:ilvl w:val="0"/>
          <w:numId w:val="4"/>
        </w:numPr>
        <w:kinsoku/>
        <w:wordWrap/>
        <w:overflowPunct/>
        <w:topLinePunct w:val="0"/>
        <w:bidi w:val="0"/>
        <w:spacing w:line="600" w:lineRule="exact"/>
        <w:ind w:firstLine="640"/>
        <w:textAlignment w:val="auto"/>
        <w:outlineLvl w:val="1"/>
        <w:rPr>
          <w:rStyle w:val="11"/>
          <w:rFonts w:ascii="黑体" w:hAnsi="黑体" w:eastAsia="黑体"/>
          <w:b w:val="0"/>
        </w:rPr>
      </w:pPr>
      <w:bookmarkStart w:id="46" w:name="_Toc15396611"/>
      <w:bookmarkStart w:id="47" w:name="_Toc15377219"/>
      <w:r>
        <w:rPr>
          <w:rStyle w:val="11"/>
          <w:rFonts w:hint="eastAsia" w:ascii="黑体" w:hAnsi="黑体" w:eastAsia="黑体"/>
          <w:b w:val="0"/>
        </w:rPr>
        <w:t>国有资本经营预算支出决算情况说明</w:t>
      </w:r>
      <w:bookmarkEnd w:id="46"/>
      <w:bookmarkEnd w:id="47"/>
    </w:p>
    <w:p>
      <w:pPr>
        <w:pageBreakBefore w:val="0"/>
        <w:kinsoku/>
        <w:wordWrap/>
        <w:overflowPunct/>
        <w:topLinePunct w:val="0"/>
        <w:bidi w:val="0"/>
        <w:spacing w:line="600" w:lineRule="exact"/>
        <w:ind w:firstLine="640"/>
        <w:textAlignment w:val="auto"/>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kinsoku/>
        <w:wordWrap/>
        <w:overflowPunct/>
        <w:topLinePunct w:val="0"/>
        <w:bidi w:val="0"/>
        <w:spacing w:line="600" w:lineRule="exact"/>
        <w:ind w:firstLine="800" w:firstLineChars="250"/>
        <w:textAlignment w:val="auto"/>
        <w:outlineLvl w:val="1"/>
        <w:rPr>
          <w:rStyle w:val="11"/>
          <w:rFonts w:ascii="黑体" w:hAnsi="黑体" w:eastAsia="黑体"/>
        </w:rPr>
      </w:pPr>
      <w:bookmarkStart w:id="48" w:name="_Toc15396612"/>
      <w:bookmarkStart w:id="49" w:name="_Toc15377221"/>
      <w:r>
        <w:rPr>
          <w:rFonts w:hint="eastAsia" w:ascii="黑体" w:hAnsi="黑体" w:eastAsia="黑体"/>
          <w:color w:val="000000"/>
          <w:sz w:val="32"/>
          <w:szCs w:val="32"/>
        </w:rPr>
        <w:t>十</w:t>
      </w:r>
      <w:r>
        <w:rPr>
          <w:rStyle w:val="11"/>
          <w:rFonts w:hint="eastAsia" w:ascii="黑体" w:hAnsi="黑体" w:eastAsia="黑体"/>
        </w:rPr>
        <w:t>、</w:t>
      </w:r>
      <w:r>
        <w:rPr>
          <w:rStyle w:val="11"/>
          <w:rFonts w:hint="eastAsia" w:ascii="黑体" w:hAnsi="黑体" w:eastAsia="黑体"/>
          <w:b w:val="0"/>
        </w:rPr>
        <w:t>其他重要事项的情况说明</w:t>
      </w:r>
      <w:bookmarkEnd w:id="48"/>
      <w:bookmarkEnd w:id="49"/>
    </w:p>
    <w:p>
      <w:pPr>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color w:val="000000"/>
          <w:sz w:val="32"/>
          <w:szCs w:val="32"/>
        </w:rPr>
      </w:pPr>
      <w:bookmarkStart w:id="50" w:name="_Toc15377222"/>
      <w:r>
        <w:rPr>
          <w:rFonts w:hint="eastAsia" w:ascii="楷体_GB2312" w:hAnsi="楷体_GB2312" w:eastAsia="楷体_GB2312" w:cs="楷体_GB2312"/>
          <w:b w:val="0"/>
          <w:bCs/>
          <w:color w:val="000000"/>
          <w:sz w:val="32"/>
          <w:szCs w:val="32"/>
        </w:rPr>
        <w:t>（一）机关运行经费支出情况</w:t>
      </w:r>
      <w:bookmarkEnd w:id="50"/>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年，机关运行经费支出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万元，比2019年增加/减少</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万元，增长/下降</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%（或与2019年决算数持平）。（注：数据来源于财决附03表）</w:t>
      </w:r>
    </w:p>
    <w:p>
      <w:pPr>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color w:val="000000"/>
          <w:sz w:val="32"/>
          <w:szCs w:val="32"/>
        </w:rPr>
      </w:pPr>
      <w:bookmarkStart w:id="51" w:name="_Toc15377223"/>
      <w:r>
        <w:rPr>
          <w:rFonts w:hint="eastAsia" w:ascii="楷体_GB2312" w:hAnsi="楷体_GB2312" w:eastAsia="楷体_GB2312" w:cs="楷体_GB2312"/>
          <w:b w:val="0"/>
          <w:bCs/>
          <w:color w:val="000000"/>
          <w:sz w:val="32"/>
          <w:szCs w:val="32"/>
        </w:rPr>
        <w:t>（二）政府采购支出情况</w:t>
      </w:r>
      <w:bookmarkEnd w:id="51"/>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2020年，政府采购支出总额</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万元，其中：政府采购货物支出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万元、政府采购工程支出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万元、政府采购服务支出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万元。主要用于…（具体工作）。授予中小企业合同金额</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万元，占政府采购支出总额的</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%，其中：授予小微企业合同金额</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万元，占政府采购支出总额的</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（注：数据来源于财决附03表）</w:t>
      </w:r>
    </w:p>
    <w:p>
      <w:pPr>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color w:val="000000"/>
          <w:sz w:val="32"/>
          <w:szCs w:val="32"/>
        </w:rPr>
      </w:pPr>
      <w:bookmarkStart w:id="52" w:name="_Toc15377224"/>
      <w:r>
        <w:rPr>
          <w:rFonts w:hint="eastAsia" w:ascii="楷体_GB2312" w:hAnsi="楷体_GB2312" w:eastAsia="楷体_GB2312" w:cs="楷体_GB2312"/>
          <w:b w:val="0"/>
          <w:bCs/>
          <w:color w:val="000000"/>
          <w:sz w:val="32"/>
          <w:szCs w:val="32"/>
        </w:rPr>
        <w:t>（三）国有资产占有使用情况</w:t>
      </w:r>
      <w:bookmarkEnd w:id="52"/>
    </w:p>
    <w:p>
      <w:pPr>
        <w:pageBreakBefore w:val="0"/>
        <w:kinsoku/>
        <w:wordWrap/>
        <w:overflowPunct/>
        <w:topLinePunct w:val="0"/>
        <w:autoSpaceDE w:val="0"/>
        <w:autoSpaceDN w:val="0"/>
        <w:bidi w:val="0"/>
        <w:adjustRightInd w:val="0"/>
        <w:spacing w:line="600" w:lineRule="exact"/>
        <w:ind w:firstLine="640" w:firstLineChars="200"/>
        <w:jc w:val="lef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截至202</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年12月31日，共有车辆</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辆，其中：主要领导干部用车</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辆、机要通信用车</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辆、应急保障用车</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辆、其他用车</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辆……其他用车主要是用于</w:t>
      </w:r>
      <w:r>
        <w:rPr>
          <w:rFonts w:hint="eastAsia" w:ascii="仿宋_GB2312" w:hAnsi="仿宋_GB2312" w:eastAsia="仿宋_GB2312" w:cs="仿宋_GB2312"/>
          <w:b w:val="0"/>
          <w:bCs w:val="0"/>
          <w:color w:val="000000"/>
          <w:sz w:val="32"/>
          <w:szCs w:val="32"/>
          <w:lang w:eastAsia="zh-CN"/>
        </w:rPr>
        <w:t>流浪乞讨救助</w:t>
      </w:r>
      <w:r>
        <w:rPr>
          <w:rFonts w:hint="eastAsia" w:ascii="仿宋_GB2312" w:hAnsi="仿宋_GB2312" w:eastAsia="仿宋_GB2312" w:cs="仿宋_GB2312"/>
          <w:b w:val="0"/>
          <w:bCs w:val="0"/>
          <w:color w:val="000000"/>
          <w:sz w:val="32"/>
          <w:szCs w:val="32"/>
        </w:rPr>
        <w:t>……单价50万元以上通用设备</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台（套），单价100万元以上专用设备</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台（套）。（注：数据来源财决附03表，按部门决算报表填报数据罗列车辆情况。）</w:t>
      </w:r>
    </w:p>
    <w:p>
      <w:pPr>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（四）预算绩效管理情况</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管护人员工资、保险及机构运行经费</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本部门按要求对202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eastAsia="zh-CN"/>
        </w:rPr>
        <w:t>我单位重点项目申请资金</w:t>
      </w:r>
      <w:r>
        <w:rPr>
          <w:rFonts w:hint="eastAsia" w:ascii="仿宋_GB2312" w:hAnsi="仿宋_GB2312" w:eastAsia="仿宋_GB2312" w:cs="仿宋_GB2312"/>
          <w:sz w:val="32"/>
          <w:szCs w:val="32"/>
          <w:lang w:val="en-US" w:eastAsia="zh-CN"/>
        </w:rPr>
        <w:t>100%，进度使用情况100%</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val="en-US" w:eastAsia="zh-CN"/>
        </w:rPr>
        <w:t>及时性100%，满意度100%。</w:t>
      </w:r>
    </w:p>
    <w:p>
      <w:pPr>
        <w:pageBreakBefore w:val="0"/>
        <w:numPr>
          <w:ilvl w:val="0"/>
          <w:numId w:val="5"/>
        </w:numPr>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项目绩效目标完成情况</w:t>
      </w:r>
    </w:p>
    <w:p>
      <w:pPr>
        <w:pageBreakBefore w:val="0"/>
        <w:numPr>
          <w:ilvl w:val="0"/>
          <w:numId w:val="5"/>
        </w:numPr>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本部门在202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eastAsia="zh-CN"/>
        </w:rPr>
        <w:t>管护人员工资、保险及机构运行经费</w:t>
      </w:r>
      <w:r>
        <w:rPr>
          <w:rFonts w:hint="eastAsia" w:ascii="仿宋_GB2312" w:hAnsi="仿宋_GB2312" w:eastAsia="仿宋_GB2312" w:cs="仿宋_GB2312"/>
          <w:sz w:val="32"/>
          <w:szCs w:val="32"/>
        </w:rPr>
        <w:t>项目等</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p>
    <w:p>
      <w:pPr>
        <w:pageBreakBefore w:val="0"/>
        <w:numPr>
          <w:ilvl w:val="0"/>
          <w:numId w:val="5"/>
        </w:numPr>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管护人员工资、保险及机构运行经费</w:t>
      </w:r>
      <w:r>
        <w:rPr>
          <w:rFonts w:hint="eastAsia" w:ascii="仿宋_GB2312" w:hAnsi="仿宋_GB2312" w:eastAsia="仿宋_GB2312" w:cs="仿宋_GB2312"/>
          <w:sz w:val="32"/>
          <w:szCs w:val="32"/>
        </w:rPr>
        <w:t>项目项目绩效目标完成情况综述。项目全年预算数</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人员工资、保险等正常开支，促进了机构运转正常，提高服务质量，让老人更满意。</w:t>
      </w:r>
      <w:r>
        <w:rPr>
          <w:rFonts w:hint="eastAsia" w:ascii="仿宋_GB2312" w:hAnsi="仿宋_GB2312" w:eastAsia="仿宋_GB2312" w:cs="仿宋_GB2312"/>
          <w:sz w:val="32"/>
          <w:szCs w:val="32"/>
        </w:rPr>
        <w:t>（支持、促进、提高……）了(按照项目总体目标简要描述项目成效），发现的主要问题：</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w:t>
      </w:r>
    </w:p>
    <w:p>
      <w:pPr>
        <w:pageBreakBefore w:val="0"/>
        <w:numPr>
          <w:ilvl w:val="0"/>
          <w:numId w:val="0"/>
        </w:numPr>
        <w:kinsoku/>
        <w:wordWrap/>
        <w:overflowPunct/>
        <w:topLinePunct w:val="0"/>
        <w:bidi w:val="0"/>
        <w:spacing w:line="600" w:lineRule="exact"/>
        <w:textAlignment w:val="auto"/>
        <w:rPr>
          <w:rFonts w:ascii="仿宋_GB2312" w:hAnsi="仿宋_GB2312" w:eastAsia="仿宋_GB2312" w:cs="仿宋_GB2312"/>
          <w:sz w:val="32"/>
          <w:szCs w:val="32"/>
        </w:rPr>
      </w:pPr>
    </w:p>
    <w:p>
      <w:pPr>
        <w:spacing w:line="58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部门绩效评价结果。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峨眉山市民政中心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年部门整体支出绩效评价报告》见附件（附件1）。</w:t>
      </w:r>
    </w:p>
    <w:p>
      <w:pPr>
        <w:spacing w:line="580" w:lineRule="exact"/>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管护人员工资、保险及机构运行经费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峨眉山市民政中心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绩效评价报告》见附件（附件2）。（非涉密部门均需公开部门整体支出评价报告，部门自行组织的绩效评价情况根据部门实际公开，若未组织项目绩效评价，则只需说明部门整体支出绩效评价情况）</w:t>
      </w:r>
    </w:p>
    <w:p>
      <w:pPr>
        <w:keepNext w:val="0"/>
        <w:keepLines w:val="0"/>
        <w:pageBreakBefore w:val="0"/>
        <w:widowControl/>
        <w:kinsoku/>
        <w:wordWrap/>
        <w:overflowPunct/>
        <w:topLinePunct w:val="0"/>
        <w:bidi w:val="0"/>
        <w:snapToGrid/>
        <w:spacing w:line="600" w:lineRule="exact"/>
        <w:jc w:val="center"/>
        <w:textAlignment w:val="auto"/>
        <w:rPr>
          <w:rStyle w:val="10"/>
          <w:rFonts w:hint="eastAsia" w:ascii="方正小标宋_GBK" w:hAnsi="方正小标宋_GBK" w:eastAsia="方正小标宋_GBK" w:cs="方正小标宋_GBK"/>
          <w:b w:val="0"/>
          <w:bCs/>
          <w:sz w:val="44"/>
          <w:szCs w:val="44"/>
        </w:rPr>
      </w:pPr>
      <w:r>
        <w:rPr>
          <w:rFonts w:ascii="仿宋_GB2312" w:eastAsia="仿宋_GB2312"/>
          <w:b/>
          <w:color w:val="000000"/>
          <w:sz w:val="32"/>
          <w:szCs w:val="32"/>
        </w:rPr>
        <w:br w:type="page"/>
      </w:r>
      <w:bookmarkStart w:id="53" w:name="_Toc15396613"/>
      <w:bookmarkStart w:id="54" w:name="_Toc15377225"/>
      <w:r>
        <w:rPr>
          <w:rFonts w:hint="eastAsia" w:ascii="方正小标宋_GBK" w:hAnsi="方正小标宋_GBK" w:eastAsia="方正小标宋_GBK" w:cs="方正小标宋_GBK"/>
          <w:b w:val="0"/>
          <w:bCs/>
          <w:color w:val="000000"/>
          <w:sz w:val="44"/>
          <w:szCs w:val="44"/>
          <w:lang w:eastAsia="zh-CN"/>
        </w:rPr>
        <w:t>第三部分</w:t>
      </w:r>
      <w:r>
        <w:rPr>
          <w:rFonts w:hint="eastAsia" w:ascii="方正小标宋_GBK" w:hAnsi="方正小标宋_GBK" w:eastAsia="方正小标宋_GBK" w:cs="方正小标宋_GBK"/>
          <w:b w:val="0"/>
          <w:bCs/>
          <w:color w:val="000000"/>
          <w:sz w:val="44"/>
          <w:szCs w:val="44"/>
          <w:lang w:val="en-US" w:eastAsia="zh-CN"/>
        </w:rPr>
        <w:t xml:space="preserve"> </w:t>
      </w:r>
      <w:r>
        <w:rPr>
          <w:rFonts w:hint="eastAsia" w:ascii="方正小标宋_GBK" w:hAnsi="方正小标宋_GBK" w:eastAsia="方正小标宋_GBK" w:cs="方正小标宋_GBK"/>
          <w:b w:val="0"/>
          <w:bCs/>
          <w:color w:val="000000"/>
          <w:sz w:val="44"/>
          <w:szCs w:val="44"/>
        </w:rPr>
        <w:t>名</w:t>
      </w:r>
      <w:r>
        <w:rPr>
          <w:rStyle w:val="10"/>
          <w:rFonts w:hint="eastAsia" w:ascii="方正小标宋_GBK" w:hAnsi="方正小标宋_GBK" w:eastAsia="方正小标宋_GBK" w:cs="方正小标宋_GBK"/>
          <w:b w:val="0"/>
          <w:bCs/>
          <w:sz w:val="44"/>
          <w:szCs w:val="44"/>
        </w:rPr>
        <w:t>词解释</w:t>
      </w:r>
      <w:bookmarkEnd w:id="53"/>
      <w:bookmarkEnd w:id="54"/>
    </w:p>
    <w:p>
      <w:pPr>
        <w:keepNext w:val="0"/>
        <w:keepLines w:val="0"/>
        <w:pageBreakBefore w:val="0"/>
        <w:kinsoku/>
        <w:wordWrap/>
        <w:overflowPunct/>
        <w:topLinePunct w:val="0"/>
        <w:bidi w:val="0"/>
        <w:snapToGrid/>
        <w:spacing w:line="600" w:lineRule="exact"/>
        <w:jc w:val="left"/>
        <w:textAlignment w:val="auto"/>
        <w:rPr>
          <w:rFonts w:ascii="宋体"/>
          <w:b/>
          <w:color w:val="000000"/>
          <w:sz w:val="44"/>
          <w:szCs w:val="44"/>
        </w:rPr>
      </w:pP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财政拨款收入：指单位从同级财政部门取得的财政预算资金。</w:t>
      </w: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事业收入：指事业单位开展专业业务活动及辅助活动取得的收入。如…（二级预算单位事业收入情况）等。</w:t>
      </w: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其他收入：指单位取得的除上述收入以外的各项收入。主要是</w:t>
      </w:r>
      <w:r>
        <w:rPr>
          <w:rFonts w:hint="eastAsia" w:ascii="仿宋_GB2312" w:eastAsia="仿宋_GB2312"/>
          <w:sz w:val="32"/>
          <w:szCs w:val="32"/>
          <w:lang w:eastAsia="zh-CN"/>
        </w:rPr>
        <w:t>参保、精准扶贫、社会代养老人生活服务费</w:t>
      </w:r>
      <w:r>
        <w:rPr>
          <w:rFonts w:hint="eastAsia" w:ascii="仿宋_GB2312" w:eastAsia="仿宋_GB2312"/>
          <w:sz w:val="32"/>
          <w:szCs w:val="32"/>
        </w:rPr>
        <w:t>。</w:t>
      </w:r>
      <w:r>
        <w:rPr>
          <w:rFonts w:ascii="仿宋_GB2312" w:eastAsia="仿宋_GB2312"/>
          <w:sz w:val="32"/>
          <w:szCs w:val="32"/>
        </w:rPr>
        <w:t xml:space="preserve"> </w:t>
      </w: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结余分配：指事业单位按照会计制度规定缴纳的所得税、提取的专用结余以及转入非财政拨款结余的金额等。</w:t>
      </w: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八、</w:t>
      </w:r>
      <w:r>
        <w:rPr>
          <w:rFonts w:hint="eastAsia" w:ascii="仿宋_GB2312" w:eastAsia="仿宋_GB2312"/>
          <w:sz w:val="32"/>
          <w:szCs w:val="32"/>
        </w:rPr>
        <w:t>年末结转和结余：指单位按有关规定结转到下年或以后年度继续使用的资金。</w:t>
      </w:r>
    </w:p>
    <w:p>
      <w:pPr>
        <w:pStyle w:val="13"/>
        <w:spacing w:line="560" w:lineRule="exact"/>
        <w:ind w:firstLine="640" w:firstLineChars="200"/>
        <w:rPr>
          <w:rFonts w:hint="eastAsia" w:ascii="仿宋_GB2312" w:eastAsia="仿宋_GB2312"/>
          <w:sz w:val="32"/>
          <w:szCs w:val="32"/>
        </w:rPr>
      </w:pPr>
      <w:r>
        <w:rPr>
          <w:rFonts w:hint="eastAsia" w:ascii="仿宋_GB2312" w:eastAsia="仿宋_GB2312"/>
          <w:color w:val="000000"/>
          <w:sz w:val="32"/>
          <w:szCs w:val="32"/>
          <w:lang w:eastAsia="zh-CN"/>
        </w:rPr>
        <w:t>九、</w:t>
      </w:r>
      <w:r>
        <w:rPr>
          <w:rFonts w:hint="eastAsia" w:ascii="仿宋_GB2312" w:eastAsia="仿宋_GB2312" w:cs="仿宋_GB2312"/>
          <w:color w:val="000000"/>
          <w:sz w:val="32"/>
          <w:szCs w:val="32"/>
        </w:rPr>
        <w:t>社会保障和就业支出：</w:t>
      </w:r>
      <w:r>
        <w:rPr>
          <w:rFonts w:hint="eastAsia" w:ascii="仿宋_GB2312" w:eastAsia="仿宋_GB2312"/>
          <w:sz w:val="32"/>
          <w:szCs w:val="32"/>
        </w:rPr>
        <w:t xml:space="preserve"> </w:t>
      </w:r>
    </w:p>
    <w:p>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2080505--机关事业单位基本养老保险缴费支出：在职人人员养老保险缴费支出。</w:t>
      </w:r>
    </w:p>
    <w:p>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2080506--机关事业单位职业年金缴费支出：在职人人员职业年金缴费支出。</w:t>
      </w:r>
    </w:p>
    <w:p>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2081005--社会福利事业单位：民政中心敬老院工资、福利、保险及运行经费，养老服务生活支出。</w:t>
      </w:r>
    </w:p>
    <w:p>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2081099--其他社会福利支出：敬老院床位升级改造、大型修缮等其他用于养老服务支出。</w:t>
      </w:r>
    </w:p>
    <w:p>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2082002--流浪乞讨人员救助支出：民政中心救助站用于流浪机构基本运行、流浪乞讨人员救助、未保儿童关爱保护保障支出。</w:t>
      </w:r>
    </w:p>
    <w:p>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2101102--事业单位医疗：在职人员医疗保险缴费支出。</w:t>
      </w:r>
    </w:p>
    <w:p>
      <w:pPr>
        <w:pStyle w:val="13"/>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2120802--土地开发支出：用于养老服务保障建设。</w:t>
      </w:r>
    </w:p>
    <w:p>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2210201--住房公积金：在职人员住房公积金缴费支出。</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（解释本部门决算报表中全部功能分类科目至项级，请参照《2020年政府收支分类科目》增减内容。）</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十、</w:t>
      </w:r>
      <w:r>
        <w:rPr>
          <w:rFonts w:hint="eastAsia" w:ascii="仿宋_GB2312" w:hAnsi="仿宋_GB2312" w:eastAsia="仿宋_GB2312" w:cs="仿宋_GB2312"/>
          <w:b w:val="0"/>
          <w:bCs/>
          <w:color w:val="000000"/>
          <w:sz w:val="32"/>
          <w:szCs w:val="32"/>
        </w:rPr>
        <w:t>基本支出：指为保障机构正常运转、完成日常工作任务而发生的人员支出和公用支出。</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十一、</w:t>
      </w:r>
      <w:r>
        <w:rPr>
          <w:rFonts w:hint="eastAsia" w:ascii="仿宋_GB2312" w:hAnsi="仿宋_GB2312" w:eastAsia="仿宋_GB2312" w:cs="仿宋_GB2312"/>
          <w:b w:val="0"/>
          <w:bCs/>
          <w:color w:val="000000"/>
          <w:sz w:val="32"/>
          <w:szCs w:val="32"/>
        </w:rPr>
        <w:t xml:space="preserve">项目支出：指在基本支出之外为完成特定行政任务和事业发展目标所发生的支出。 </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十二、</w:t>
      </w:r>
      <w:r>
        <w:rPr>
          <w:rFonts w:hint="eastAsia" w:ascii="仿宋_GB2312" w:hAnsi="仿宋_GB2312" w:eastAsia="仿宋_GB2312" w:cs="仿宋_GB2312"/>
          <w:b w:val="0"/>
          <w:bCs/>
          <w:color w:val="000000"/>
          <w:sz w:val="32"/>
          <w:szCs w:val="32"/>
        </w:rPr>
        <w:t>经营支出：指事业单位在专业业务活动及其辅助活动之外开展非独立核算经营活动发生的支出。</w:t>
      </w:r>
    </w:p>
    <w:p>
      <w:pPr>
        <w:pStyle w:val="1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十三、</w:t>
      </w:r>
      <w:r>
        <w:rPr>
          <w:rFonts w:hint="eastAsia" w:ascii="仿宋_GB2312" w:hAnsi="仿宋_GB2312" w:eastAsia="仿宋_GB2312" w:cs="仿宋_GB2312"/>
          <w:b w:val="0"/>
          <w:bCs/>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十四、</w:t>
      </w:r>
      <w:r>
        <w:rPr>
          <w:rFonts w:hint="eastAsia" w:ascii="仿宋_GB2312" w:hAnsi="仿宋_GB2312" w:eastAsia="仿宋_GB2312" w:cs="仿宋_GB2312"/>
          <w:b w:val="0"/>
          <w:bCs/>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（名词解释部分请根据各部门实际列支情况罗列，并根据本部门职责职能增减名词解释内容。）</w:t>
      </w:r>
    </w:p>
    <w:p>
      <w:pPr>
        <w:keepNext w:val="0"/>
        <w:keepLines w:val="0"/>
        <w:pageBreakBefore w:val="0"/>
        <w:kinsoku/>
        <w:wordWrap/>
        <w:overflowPunct/>
        <w:topLinePunct w:val="0"/>
        <w:autoSpaceDE/>
        <w:autoSpaceDN/>
        <w:bidi w:val="0"/>
        <w:snapToGrid/>
        <w:spacing w:line="600" w:lineRule="exact"/>
        <w:jc w:val="center"/>
        <w:textAlignment w:val="auto"/>
        <w:outlineLvl w:val="0"/>
        <w:rPr>
          <w:rFonts w:ascii="宋体"/>
          <w:b/>
          <w:color w:val="000000"/>
          <w:sz w:val="44"/>
          <w:szCs w:val="44"/>
        </w:rPr>
      </w:pPr>
      <w:bookmarkStart w:id="55" w:name="_Toc15377226"/>
      <w:r>
        <w:rPr>
          <w:rFonts w:ascii="宋体"/>
          <w:b/>
          <w:color w:val="000000"/>
          <w:sz w:val="44"/>
          <w:szCs w:val="44"/>
        </w:rPr>
        <w:br w:type="page"/>
      </w:r>
      <w:bookmarkStart w:id="56" w:name="_Toc15396614"/>
    </w:p>
    <w:bookmarkEnd w:id="56"/>
    <w:p>
      <w:pPr>
        <w:keepNext w:val="0"/>
        <w:keepLines w:val="0"/>
        <w:pageBreakBefore w:val="0"/>
        <w:kinsoku/>
        <w:wordWrap/>
        <w:overflowPunct/>
        <w:topLinePunct w:val="0"/>
        <w:autoSpaceDE/>
        <w:autoSpaceDN/>
        <w:bidi w:val="0"/>
        <w:spacing w:line="600" w:lineRule="exact"/>
        <w:jc w:val="left"/>
        <w:textAlignment w:val="auto"/>
        <w:outlineLvl w:val="0"/>
        <w:rPr>
          <w:rFonts w:ascii="方正小标宋简体" w:hAnsi="方正小标宋简体" w:eastAsia="方正小标宋简体" w:cs="方正小标宋简体"/>
          <w:sz w:val="32"/>
          <w:szCs w:val="32"/>
        </w:rPr>
      </w:pPr>
    </w:p>
    <w:p>
      <w:pPr>
        <w:spacing w:line="600" w:lineRule="exact"/>
        <w:jc w:val="center"/>
        <w:outlineLvl w:val="0"/>
        <w:rPr>
          <w:rStyle w:val="10"/>
          <w:rFonts w:ascii="方正小标宋_GBK" w:hAnsi="方正小标宋_GBK" w:eastAsia="方正小标宋_GBK" w:cs="方正小标宋_GBK"/>
          <w:b w:val="0"/>
        </w:rPr>
      </w:pPr>
      <w:r>
        <w:rPr>
          <w:rFonts w:hint="eastAsia" w:ascii="方正小标宋_GBK" w:hAnsi="方正小标宋_GBK" w:eastAsia="方正小标宋_GBK" w:cs="方正小标宋_GBK"/>
          <w:sz w:val="44"/>
          <w:szCs w:val="44"/>
        </w:rPr>
        <w:t>第</w:t>
      </w:r>
      <w:r>
        <w:rPr>
          <w:rStyle w:val="10"/>
          <w:rFonts w:hint="eastAsia" w:ascii="方正小标宋_GBK" w:hAnsi="方正小标宋_GBK" w:eastAsia="方正小标宋_GBK" w:cs="方正小标宋_GBK"/>
          <w:b w:val="0"/>
        </w:rPr>
        <w:t>四部分 附  件</w:t>
      </w:r>
    </w:p>
    <w:p>
      <w:pPr>
        <w:keepNext w:val="0"/>
        <w:keepLines w:val="0"/>
        <w:pageBreakBefore w:val="0"/>
        <w:kinsoku/>
        <w:wordWrap/>
        <w:overflowPunct/>
        <w:topLinePunct w:val="0"/>
        <w:autoSpaceDE/>
        <w:autoSpaceDN/>
        <w:bidi w:val="0"/>
        <w:spacing w:line="60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宋体" w:eastAsia="方正小标宋简体"/>
          <w:color w:val="000000"/>
          <w:kern w:val="0"/>
          <w:sz w:val="40"/>
          <w:szCs w:val="44"/>
          <w:lang w:eastAsia="zh-CN"/>
        </w:rPr>
      </w:pPr>
      <w:r>
        <w:rPr>
          <w:rFonts w:hint="eastAsia" w:ascii="方正小标宋简体" w:hAnsi="宋体" w:eastAsia="方正小标宋简体"/>
          <w:color w:val="000000"/>
          <w:kern w:val="0"/>
          <w:sz w:val="40"/>
          <w:szCs w:val="44"/>
          <w:lang w:eastAsia="zh-CN"/>
        </w:rPr>
        <w:t>峨眉山市民政中心</w:t>
      </w: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202</w:t>
      </w:r>
      <w:r>
        <w:rPr>
          <w:rFonts w:hint="eastAsia" w:ascii="方正小标宋简体" w:hAnsi="宋体" w:eastAsia="方正小标宋简体"/>
          <w:color w:val="000000"/>
          <w:kern w:val="0"/>
          <w:sz w:val="40"/>
          <w:szCs w:val="44"/>
          <w:lang w:val="en-US" w:eastAsia="zh-CN"/>
        </w:rPr>
        <w:t>1</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spacing w:line="600" w:lineRule="exact"/>
        <w:jc w:val="left"/>
        <w:outlineLvl w:val="0"/>
        <w:rPr>
          <w:rFonts w:hint="eastAsia" w:ascii="黑体" w:hAnsi="黑体" w:eastAsia="黑体" w:cs="黑体"/>
          <w:sz w:val="32"/>
          <w:szCs w:val="32"/>
        </w:rPr>
      </w:pPr>
      <w:r>
        <w:rPr>
          <w:rFonts w:hint="eastAsia" w:ascii="黑体" w:hAnsi="黑体" w:eastAsia="黑体" w:cs="黑体"/>
          <w:sz w:val="32"/>
          <w:szCs w:val="32"/>
        </w:rPr>
        <w:t>附件</w:t>
      </w:r>
    </w:p>
    <w:p>
      <w:pPr>
        <w:spacing w:line="600" w:lineRule="exact"/>
        <w:ind w:firstLine="792" w:firstLineChars="200"/>
        <w:jc w:val="left"/>
        <w:outlineLvl w:val="0"/>
        <w:rPr>
          <w:w w:val="90"/>
        </w:rPr>
      </w:pPr>
      <w:r>
        <w:rPr>
          <w:rFonts w:hint="eastAsia" w:ascii="方正小标宋简体" w:hAnsi="方正小标宋简体" w:eastAsia="方正小标宋简体" w:cs="方正小标宋简体"/>
          <w:b w:val="0"/>
          <w:bCs/>
          <w:w w:val="90"/>
          <w:sz w:val="44"/>
          <w:szCs w:val="44"/>
        </w:rPr>
        <w:t>2021年</w:t>
      </w:r>
      <w:r>
        <w:rPr>
          <w:rFonts w:hint="eastAsia" w:ascii="方正小标宋简体" w:hAnsi="方正小标宋简体" w:eastAsia="方正小标宋简体" w:cs="方正小标宋简体"/>
          <w:b w:val="0"/>
          <w:bCs/>
          <w:w w:val="90"/>
          <w:sz w:val="44"/>
          <w:szCs w:val="44"/>
          <w:lang w:eastAsia="zh-CN"/>
        </w:rPr>
        <w:t>生产成本</w:t>
      </w:r>
      <w:r>
        <w:rPr>
          <w:rFonts w:hint="eastAsia" w:ascii="方正小标宋简体" w:hAnsi="方正小标宋简体" w:eastAsia="方正小标宋简体" w:cs="方正小标宋简体"/>
          <w:b w:val="0"/>
          <w:bCs/>
          <w:w w:val="90"/>
          <w:sz w:val="44"/>
          <w:szCs w:val="44"/>
        </w:rPr>
        <w:t>预算项目绩效目</w:t>
      </w:r>
      <w:r>
        <w:rPr>
          <w:rFonts w:hint="eastAsia" w:ascii="方正小标宋简体" w:hAnsi="方正小标宋简体" w:eastAsia="方正小标宋简体" w:cs="方正小标宋简体"/>
          <w:b w:val="0"/>
          <w:bCs/>
          <w:w w:val="90"/>
          <w:sz w:val="44"/>
          <w:szCs w:val="44"/>
          <w:lang w:eastAsia="zh-CN"/>
        </w:rPr>
        <w:t>标</w:t>
      </w:r>
      <w:r>
        <w:rPr>
          <w:rFonts w:hint="eastAsia" w:ascii="方正小标宋简体" w:hAnsi="方正小标宋简体" w:eastAsia="方正小标宋简体" w:cs="方正小标宋简体"/>
          <w:b w:val="0"/>
          <w:bCs/>
          <w:w w:val="90"/>
          <w:sz w:val="44"/>
          <w:szCs w:val="44"/>
        </w:rPr>
        <w:t>自评</w:t>
      </w:r>
    </w:p>
    <w:tbl>
      <w:tblPr>
        <w:tblStyle w:val="7"/>
        <w:tblpPr w:leftFromText="180" w:rightFromText="180" w:vertAnchor="text" w:horzAnchor="page" w:tblpXSpec="center" w:tblpY="423"/>
        <w:tblOverlap w:val="never"/>
        <w:tblW w:w="9386" w:type="dxa"/>
        <w:jc w:val="center"/>
        <w:tblLayout w:type="fixed"/>
        <w:tblCellMar>
          <w:top w:w="0" w:type="dxa"/>
          <w:left w:w="0" w:type="dxa"/>
          <w:bottom w:w="0" w:type="dxa"/>
          <w:right w:w="0" w:type="dxa"/>
        </w:tblCellMar>
      </w:tblPr>
      <w:tblGrid>
        <w:gridCol w:w="1753"/>
        <w:gridCol w:w="666"/>
        <w:gridCol w:w="1267"/>
        <w:gridCol w:w="1728"/>
        <w:gridCol w:w="2156"/>
        <w:gridCol w:w="1816"/>
      </w:tblGrid>
      <w:tr>
        <w:tblPrEx>
          <w:tblCellMar>
            <w:top w:w="0" w:type="dxa"/>
            <w:left w:w="0" w:type="dxa"/>
            <w:bottom w:w="0" w:type="dxa"/>
            <w:right w:w="0" w:type="dxa"/>
          </w:tblCellMar>
        </w:tblPrEx>
        <w:trPr>
          <w:trHeight w:val="276" w:hRule="atLeast"/>
          <w:jc w:val="center"/>
        </w:trPr>
        <w:tc>
          <w:tcPr>
            <w:tcW w:w="175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eastAsia="zh-CN" w:bidi="ar"/>
              </w:rPr>
              <w:t>主管部门及代码</w:t>
            </w:r>
          </w:p>
        </w:tc>
        <w:tc>
          <w:tcPr>
            <w:tcW w:w="3661"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lang w:eastAsia="zh-CN" w:bidi="ar"/>
              </w:rPr>
              <w:t>民政局</w:t>
            </w:r>
            <w:r>
              <w:rPr>
                <w:rFonts w:hint="eastAsia" w:ascii="仿宋" w:hAnsi="仿宋" w:eastAsia="仿宋" w:cs="仿宋"/>
                <w:color w:val="000000"/>
                <w:kern w:val="0"/>
                <w:sz w:val="24"/>
                <w:lang w:val="en-US" w:eastAsia="zh-CN" w:bidi="ar"/>
              </w:rPr>
              <w:t>501</w:t>
            </w:r>
          </w:p>
        </w:tc>
        <w:tc>
          <w:tcPr>
            <w:tcW w:w="215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实施单位</w:t>
            </w:r>
          </w:p>
        </w:tc>
        <w:tc>
          <w:tcPr>
            <w:tcW w:w="181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峨眉山市民政中心</w:t>
            </w:r>
          </w:p>
        </w:tc>
      </w:tr>
      <w:tr>
        <w:tblPrEx>
          <w:tblCellMar>
            <w:top w:w="0" w:type="dxa"/>
            <w:left w:w="0" w:type="dxa"/>
            <w:bottom w:w="0" w:type="dxa"/>
            <w:right w:w="0" w:type="dxa"/>
          </w:tblCellMar>
        </w:tblPrEx>
        <w:trPr>
          <w:trHeight w:val="276" w:hRule="atLeast"/>
          <w:jc w:val="center"/>
        </w:trPr>
        <w:tc>
          <w:tcPr>
            <w:tcW w:w="17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eastAsia="zh-CN" w:bidi="ar"/>
              </w:rPr>
              <w:t>项目</w:t>
            </w:r>
            <w:r>
              <w:rPr>
                <w:rFonts w:hint="eastAsia" w:ascii="仿宋" w:hAnsi="仿宋" w:eastAsia="仿宋" w:cs="仿宋"/>
                <w:color w:val="000000"/>
                <w:kern w:val="0"/>
                <w:sz w:val="24"/>
                <w:lang w:bidi="ar"/>
              </w:rPr>
              <w:t>预算执行情况(万元)</w:t>
            </w:r>
          </w:p>
        </w:tc>
        <w:tc>
          <w:tcPr>
            <w:tcW w:w="19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预算数:</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120万元</w:t>
            </w:r>
          </w:p>
        </w:tc>
        <w:tc>
          <w:tcPr>
            <w:tcW w:w="2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执行数:</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120万元</w:t>
            </w:r>
          </w:p>
        </w:tc>
      </w:tr>
      <w:tr>
        <w:tblPrEx>
          <w:tblCellMar>
            <w:top w:w="0" w:type="dxa"/>
            <w:left w:w="0" w:type="dxa"/>
            <w:bottom w:w="0" w:type="dxa"/>
            <w:right w:w="0" w:type="dxa"/>
          </w:tblCellMar>
        </w:tblPrEx>
        <w:trPr>
          <w:trHeight w:val="90" w:hRule="atLeast"/>
          <w:jc w:val="center"/>
        </w:trPr>
        <w:tc>
          <w:tcPr>
            <w:tcW w:w="17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19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其中-财政拨款:</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120万元</w:t>
            </w:r>
          </w:p>
        </w:tc>
        <w:tc>
          <w:tcPr>
            <w:tcW w:w="2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其中-财政拨款:</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120万元</w:t>
            </w:r>
          </w:p>
        </w:tc>
      </w:tr>
      <w:tr>
        <w:tblPrEx>
          <w:tblCellMar>
            <w:top w:w="0" w:type="dxa"/>
            <w:left w:w="0" w:type="dxa"/>
            <w:bottom w:w="0" w:type="dxa"/>
            <w:right w:w="0" w:type="dxa"/>
          </w:tblCellMar>
        </w:tblPrEx>
        <w:trPr>
          <w:trHeight w:val="412" w:hRule="atLeast"/>
          <w:jc w:val="center"/>
        </w:trPr>
        <w:tc>
          <w:tcPr>
            <w:tcW w:w="17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19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其它资金:</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其它资金:</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276" w:hRule="atLeast"/>
          <w:jc w:val="center"/>
        </w:trPr>
        <w:tc>
          <w:tcPr>
            <w:tcW w:w="17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年度</w:t>
            </w:r>
            <w:r>
              <w:rPr>
                <w:rFonts w:hint="eastAsia" w:ascii="仿宋" w:hAnsi="仿宋" w:eastAsia="仿宋" w:cs="仿宋"/>
                <w:color w:val="000000"/>
                <w:kern w:val="0"/>
                <w:sz w:val="24"/>
                <w:lang w:eastAsia="zh-CN" w:bidi="ar"/>
              </w:rPr>
              <w:t>总体</w:t>
            </w:r>
            <w:r>
              <w:rPr>
                <w:rFonts w:hint="eastAsia" w:ascii="仿宋" w:hAnsi="仿宋" w:eastAsia="仿宋" w:cs="仿宋"/>
                <w:color w:val="000000"/>
                <w:kern w:val="0"/>
                <w:sz w:val="24"/>
                <w:lang w:bidi="ar"/>
              </w:rPr>
              <w:t>目标完成情况</w:t>
            </w:r>
          </w:p>
        </w:tc>
        <w:tc>
          <w:tcPr>
            <w:tcW w:w="366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预期目标</w:t>
            </w:r>
          </w:p>
        </w:tc>
        <w:tc>
          <w:tcPr>
            <w:tcW w:w="39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实际完成目标</w:t>
            </w:r>
          </w:p>
        </w:tc>
      </w:tr>
      <w:tr>
        <w:tblPrEx>
          <w:tblCellMar>
            <w:top w:w="0" w:type="dxa"/>
            <w:left w:w="0" w:type="dxa"/>
            <w:bottom w:w="0" w:type="dxa"/>
            <w:right w:w="0" w:type="dxa"/>
          </w:tblCellMar>
        </w:tblPrEx>
        <w:trPr>
          <w:trHeight w:val="486" w:hRule="atLeast"/>
          <w:jc w:val="center"/>
        </w:trPr>
        <w:tc>
          <w:tcPr>
            <w:tcW w:w="17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366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61名管护人员工资、保险，机构运行正常维护，基础工作运行</w:t>
            </w:r>
          </w:p>
        </w:tc>
        <w:tc>
          <w:tcPr>
            <w:tcW w:w="39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工资正常发放、保险购买及时，提供服务正常，机构运行正常</w:t>
            </w:r>
          </w:p>
        </w:tc>
      </w:tr>
      <w:tr>
        <w:tblPrEx>
          <w:tblCellMar>
            <w:top w:w="0" w:type="dxa"/>
            <w:left w:w="0" w:type="dxa"/>
            <w:bottom w:w="0" w:type="dxa"/>
            <w:right w:w="0" w:type="dxa"/>
          </w:tblCellMar>
        </w:tblPrEx>
        <w:trPr>
          <w:trHeight w:val="739" w:hRule="atLeast"/>
          <w:jc w:val="center"/>
        </w:trPr>
        <w:tc>
          <w:tcPr>
            <w:tcW w:w="175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年度</w:t>
            </w:r>
            <w:r>
              <w:rPr>
                <w:rFonts w:hint="eastAsia" w:ascii="仿宋" w:hAnsi="仿宋" w:eastAsia="仿宋" w:cs="仿宋"/>
                <w:color w:val="000000"/>
                <w:sz w:val="24"/>
              </w:rPr>
              <w:t>绩效指标完成情况</w:t>
            </w:r>
          </w:p>
        </w:tc>
        <w:tc>
          <w:tcPr>
            <w:tcW w:w="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一级指标</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二级指标</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三级指标</w:t>
            </w:r>
          </w:p>
        </w:tc>
        <w:tc>
          <w:tcPr>
            <w:tcW w:w="2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预期指标值</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实际完成指标值</w:t>
            </w:r>
          </w:p>
        </w:tc>
      </w:tr>
      <w:tr>
        <w:tblPrEx>
          <w:tblCellMar>
            <w:top w:w="0" w:type="dxa"/>
            <w:left w:w="0" w:type="dxa"/>
            <w:bottom w:w="0" w:type="dxa"/>
            <w:right w:w="0" w:type="dxa"/>
          </w:tblCellMar>
        </w:tblPrEx>
        <w:trPr>
          <w:trHeight w:val="883"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完成指标</w:t>
            </w:r>
          </w:p>
          <w:p>
            <w:pPr>
              <w:widowControl/>
              <w:jc w:val="center"/>
              <w:textAlignment w:val="center"/>
              <w:rPr>
                <w:rFonts w:hint="eastAsia" w:ascii="仿宋" w:hAnsi="仿宋" w:eastAsia="仿宋" w:cs="仿宋"/>
                <w:color w:val="000000"/>
                <w:kern w:val="0"/>
                <w:sz w:val="24"/>
                <w:lang w:bidi="ar"/>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数量指标</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61名管护人员工资、保险</w:t>
            </w:r>
          </w:p>
        </w:tc>
        <w:tc>
          <w:tcPr>
            <w:tcW w:w="2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61名管护人员工资、保险</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61名管护人员工资、保险</w:t>
            </w:r>
          </w:p>
        </w:tc>
      </w:tr>
      <w:tr>
        <w:tblPrEx>
          <w:tblCellMar>
            <w:top w:w="0" w:type="dxa"/>
            <w:left w:w="0" w:type="dxa"/>
            <w:bottom w:w="0" w:type="dxa"/>
            <w:right w:w="0" w:type="dxa"/>
          </w:tblCellMar>
        </w:tblPrEx>
        <w:trPr>
          <w:trHeight w:val="781"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质量指标</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仿宋" w:hAnsi="仿宋" w:eastAsia="仿宋" w:cs="仿宋"/>
                <w:color w:val="000000"/>
                <w:sz w:val="24"/>
                <w:lang w:val="en-US" w:eastAsia="zh-CN"/>
              </w:rPr>
              <w:t>单位基本运行正常、设施设备维护正常</w:t>
            </w:r>
          </w:p>
        </w:tc>
        <w:tc>
          <w:tcPr>
            <w:tcW w:w="2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宋体" w:hAnsi="宋体" w:eastAsia="宋体" w:cs="宋体"/>
                <w:i w:val="0"/>
                <w:iCs w:val="0"/>
                <w:color w:val="000000"/>
                <w:kern w:val="0"/>
                <w:sz w:val="20"/>
                <w:szCs w:val="20"/>
                <w:u w:val="none"/>
                <w:lang w:val="en-US" w:eastAsia="zh-CN" w:bidi="ar"/>
              </w:rPr>
              <w:t>单</w:t>
            </w:r>
            <w:r>
              <w:rPr>
                <w:rFonts w:hint="eastAsia" w:ascii="仿宋" w:hAnsi="仿宋" w:eastAsia="仿宋" w:cs="仿宋"/>
                <w:color w:val="000000"/>
                <w:sz w:val="24"/>
                <w:lang w:val="en-US" w:eastAsia="zh-CN"/>
              </w:rPr>
              <w:t>位基本运行正常、设施设备维护正常</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宋体" w:hAnsi="宋体" w:eastAsia="宋体" w:cs="宋体"/>
                <w:i w:val="0"/>
                <w:iCs w:val="0"/>
                <w:color w:val="000000"/>
                <w:kern w:val="0"/>
                <w:sz w:val="20"/>
                <w:szCs w:val="20"/>
                <w:u w:val="none"/>
                <w:lang w:val="en-US" w:eastAsia="zh-CN" w:bidi="ar"/>
              </w:rPr>
              <w:t>单</w:t>
            </w:r>
            <w:r>
              <w:rPr>
                <w:rFonts w:hint="eastAsia" w:ascii="仿宋" w:hAnsi="仿宋" w:eastAsia="仿宋" w:cs="仿宋"/>
                <w:color w:val="000000"/>
                <w:sz w:val="24"/>
                <w:lang w:val="en-US" w:eastAsia="zh-CN"/>
              </w:rPr>
              <w:t>位基本运行正常、设施设备维护正常</w:t>
            </w:r>
          </w:p>
        </w:tc>
      </w:tr>
      <w:tr>
        <w:tblPrEx>
          <w:tblCellMar>
            <w:top w:w="0" w:type="dxa"/>
            <w:left w:w="0" w:type="dxa"/>
            <w:bottom w:w="0" w:type="dxa"/>
            <w:right w:w="0" w:type="dxa"/>
          </w:tblCellMar>
        </w:tblPrEx>
        <w:trPr>
          <w:trHeight w:val="525"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时效指标</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一年内</w:t>
            </w:r>
          </w:p>
        </w:tc>
        <w:tc>
          <w:tcPr>
            <w:tcW w:w="2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按期完成目标</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按期完成目标任务</w:t>
            </w:r>
          </w:p>
        </w:tc>
      </w:tr>
      <w:tr>
        <w:tblPrEx>
          <w:tblCellMar>
            <w:top w:w="0" w:type="dxa"/>
            <w:left w:w="0" w:type="dxa"/>
            <w:bottom w:w="0" w:type="dxa"/>
            <w:right w:w="0" w:type="dxa"/>
          </w:tblCellMar>
        </w:tblPrEx>
        <w:trPr>
          <w:trHeight w:val="542"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成本指标</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基本办公用品</w:t>
            </w:r>
          </w:p>
        </w:tc>
        <w:tc>
          <w:tcPr>
            <w:tcW w:w="2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正常提供办公</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正常提供办公</w:t>
            </w:r>
          </w:p>
        </w:tc>
      </w:tr>
      <w:tr>
        <w:tblPrEx>
          <w:tblCellMar>
            <w:top w:w="0" w:type="dxa"/>
            <w:left w:w="0" w:type="dxa"/>
            <w:bottom w:w="0" w:type="dxa"/>
            <w:right w:w="0" w:type="dxa"/>
          </w:tblCellMar>
        </w:tblPrEx>
        <w:trPr>
          <w:gridAfter w:val="4"/>
          <w:wAfter w:w="6967" w:type="dxa"/>
          <w:trHeight w:val="312"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效益指标</w:t>
            </w:r>
          </w:p>
          <w:p>
            <w:pPr>
              <w:widowControl/>
              <w:jc w:val="center"/>
              <w:textAlignment w:val="center"/>
              <w:rPr>
                <w:rFonts w:hint="eastAsia" w:ascii="仿宋" w:hAnsi="仿宋" w:eastAsia="仿宋" w:cs="仿宋"/>
                <w:color w:val="000000"/>
                <w:kern w:val="0"/>
                <w:sz w:val="24"/>
                <w:lang w:bidi="ar"/>
              </w:rPr>
            </w:pPr>
          </w:p>
        </w:tc>
      </w:tr>
      <w:tr>
        <w:tblPrEx>
          <w:tblCellMar>
            <w:top w:w="0" w:type="dxa"/>
            <w:left w:w="0" w:type="dxa"/>
            <w:bottom w:w="0" w:type="dxa"/>
            <w:right w:w="0" w:type="dxa"/>
          </w:tblCellMar>
        </w:tblPrEx>
        <w:trPr>
          <w:trHeight w:val="656"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eastAsia="zh-CN"/>
              </w:rPr>
              <w:t>社会效益</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仿宋" w:hAnsi="仿宋" w:eastAsia="仿宋" w:cs="仿宋"/>
                <w:color w:val="000000"/>
                <w:sz w:val="24"/>
                <w:lang w:val="en-US" w:eastAsia="zh-CN"/>
              </w:rPr>
              <w:t>为参保、特困老人提供基础生活保障</w:t>
            </w:r>
          </w:p>
        </w:tc>
        <w:tc>
          <w:tcPr>
            <w:tcW w:w="2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eastAsia="zh-CN"/>
              </w:rPr>
              <w:t>有效保障</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eastAsia="zh-CN"/>
              </w:rPr>
              <w:t>有效保障</w:t>
            </w:r>
          </w:p>
        </w:tc>
      </w:tr>
      <w:tr>
        <w:tblPrEx>
          <w:tblCellMar>
            <w:top w:w="0" w:type="dxa"/>
            <w:left w:w="0" w:type="dxa"/>
            <w:bottom w:w="0" w:type="dxa"/>
            <w:right w:w="0" w:type="dxa"/>
          </w:tblCellMar>
        </w:tblPrEx>
        <w:trPr>
          <w:trHeight w:val="620"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p>
        </w:tc>
        <w:tc>
          <w:tcPr>
            <w:tcW w:w="126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生态效益指标</w:t>
            </w:r>
          </w:p>
        </w:tc>
        <w:tc>
          <w:tcPr>
            <w:tcW w:w="172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促进生态文明建设</w:t>
            </w:r>
          </w:p>
        </w:tc>
        <w:tc>
          <w:tcPr>
            <w:tcW w:w="215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eastAsia="zh-CN"/>
              </w:rPr>
              <w:t>有效保障</w:t>
            </w:r>
          </w:p>
        </w:tc>
        <w:tc>
          <w:tcPr>
            <w:tcW w:w="181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eastAsia="zh-CN"/>
              </w:rPr>
              <w:t>有效保障</w:t>
            </w:r>
          </w:p>
        </w:tc>
      </w:tr>
      <w:tr>
        <w:tblPrEx>
          <w:tblCellMar>
            <w:top w:w="0" w:type="dxa"/>
            <w:left w:w="0" w:type="dxa"/>
            <w:bottom w:w="0" w:type="dxa"/>
            <w:right w:w="0" w:type="dxa"/>
          </w:tblCellMar>
        </w:tblPrEx>
        <w:trPr>
          <w:trHeight w:val="277" w:hRule="atLeast"/>
          <w:jc w:val="center"/>
        </w:trPr>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p>
        </w:tc>
        <w:tc>
          <w:tcPr>
            <w:tcW w:w="126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可持续影响指标</w:t>
            </w:r>
          </w:p>
        </w:tc>
        <w:tc>
          <w:tcPr>
            <w:tcW w:w="172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每年持续进行</w:t>
            </w:r>
          </w:p>
        </w:tc>
        <w:tc>
          <w:tcPr>
            <w:tcW w:w="215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每年持续完成</w:t>
            </w:r>
          </w:p>
        </w:tc>
        <w:tc>
          <w:tcPr>
            <w:tcW w:w="181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每年持续完成</w:t>
            </w:r>
          </w:p>
        </w:tc>
      </w:tr>
      <w:tr>
        <w:tblPrEx>
          <w:tblCellMar>
            <w:top w:w="0" w:type="dxa"/>
            <w:left w:w="0" w:type="dxa"/>
            <w:bottom w:w="0" w:type="dxa"/>
            <w:right w:w="0" w:type="dxa"/>
          </w:tblCellMar>
        </w:tblPrEx>
        <w:trPr>
          <w:trHeight w:val="811" w:hRule="atLeast"/>
          <w:jc w:val="center"/>
        </w:trPr>
        <w:tc>
          <w:tcPr>
            <w:tcW w:w="175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满意度指标</w:t>
            </w:r>
          </w:p>
        </w:tc>
        <w:tc>
          <w:tcPr>
            <w:tcW w:w="126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群众满意度</w:t>
            </w:r>
          </w:p>
        </w:tc>
        <w:tc>
          <w:tcPr>
            <w:tcW w:w="172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得到社会和群众满意</w:t>
            </w:r>
          </w:p>
        </w:tc>
        <w:tc>
          <w:tcPr>
            <w:tcW w:w="2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95%</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95%</w:t>
            </w:r>
          </w:p>
        </w:tc>
      </w:tr>
    </w:tbl>
    <w:p>
      <w:pPr>
        <w:spacing w:line="580" w:lineRule="exact"/>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spacing w:line="600" w:lineRule="exact"/>
        <w:textAlignment w:val="auto"/>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val="0"/>
          <w:color w:val="000000"/>
          <w:kern w:val="0"/>
          <w:sz w:val="44"/>
          <w:szCs w:val="44"/>
          <w:lang w:val="zh-CN"/>
        </w:rPr>
      </w:pPr>
      <w:r>
        <w:rPr>
          <w:rFonts w:hint="eastAsia" w:ascii="方正小标宋_GBK" w:hAnsi="方正小标宋_GBK" w:eastAsia="方正小标宋_GBK" w:cs="方正小标宋_GBK"/>
          <w:b w:val="0"/>
          <w:bCs w:val="0"/>
          <w:color w:val="000000"/>
          <w:kern w:val="0"/>
          <w:sz w:val="44"/>
          <w:szCs w:val="44"/>
          <w:lang w:val="zh-CN" w:eastAsia="zh-CN"/>
        </w:rPr>
        <w:t>管护人员工作、保险及机构运行经费</w:t>
      </w:r>
      <w:r>
        <w:rPr>
          <w:rFonts w:hint="eastAsia" w:ascii="方正小标宋_GBK" w:hAnsi="方正小标宋_GBK" w:eastAsia="方正小标宋_GBK" w:cs="方正小标宋_GBK"/>
          <w:b w:val="0"/>
          <w:bCs w:val="0"/>
          <w:color w:val="000000"/>
          <w:kern w:val="0"/>
          <w:sz w:val="44"/>
          <w:szCs w:val="44"/>
          <w:lang w:val="zh-CN"/>
        </w:rPr>
        <w:t>项目</w:t>
      </w: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val="0"/>
          <w:color w:val="000000"/>
          <w:kern w:val="0"/>
          <w:sz w:val="44"/>
          <w:szCs w:val="44"/>
          <w:lang w:val="zh-CN"/>
        </w:rPr>
      </w:pPr>
      <w:r>
        <w:rPr>
          <w:rFonts w:hint="eastAsia" w:ascii="方正小标宋_GBK" w:hAnsi="方正小标宋_GBK" w:eastAsia="方正小标宋_GBK" w:cs="方正小标宋_GBK"/>
          <w:b w:val="0"/>
          <w:bCs w:val="0"/>
          <w:color w:val="000000"/>
          <w:kern w:val="0"/>
          <w:sz w:val="44"/>
          <w:szCs w:val="44"/>
        </w:rPr>
        <w:t>202</w:t>
      </w:r>
      <w:r>
        <w:rPr>
          <w:rFonts w:hint="eastAsia" w:ascii="方正小标宋_GBK" w:hAnsi="方正小标宋_GBK" w:eastAsia="方正小标宋_GBK" w:cs="方正小标宋_GBK"/>
          <w:b w:val="0"/>
          <w:bCs w:val="0"/>
          <w:color w:val="000000"/>
          <w:kern w:val="0"/>
          <w:sz w:val="44"/>
          <w:szCs w:val="44"/>
          <w:lang w:val="en-US" w:eastAsia="zh-CN"/>
        </w:rPr>
        <w:t>1</w:t>
      </w:r>
      <w:r>
        <w:rPr>
          <w:rFonts w:hint="eastAsia" w:ascii="方正小标宋_GBK" w:hAnsi="方正小标宋_GBK" w:eastAsia="方正小标宋_GBK" w:cs="方正小标宋_GBK"/>
          <w:b w:val="0"/>
          <w:bCs w:val="0"/>
          <w:color w:val="000000"/>
          <w:kern w:val="0"/>
          <w:sz w:val="44"/>
          <w:szCs w:val="44"/>
        </w:rPr>
        <w:t>年</w:t>
      </w:r>
      <w:r>
        <w:rPr>
          <w:rFonts w:hint="eastAsia" w:ascii="方正小标宋_GBK" w:hAnsi="方正小标宋_GBK" w:eastAsia="方正小标宋_GBK" w:cs="方正小标宋_GBK"/>
          <w:b w:val="0"/>
          <w:bCs w:val="0"/>
          <w:color w:val="000000"/>
          <w:kern w:val="0"/>
          <w:sz w:val="44"/>
          <w:szCs w:val="44"/>
          <w:lang w:val="zh-CN"/>
        </w:rPr>
        <w:t>绩效评价报告</w:t>
      </w:r>
    </w:p>
    <w:p>
      <w:pPr>
        <w:keepNext w:val="0"/>
        <w:keepLines w:val="0"/>
        <w:pageBreakBefore w:val="0"/>
        <w:kinsoku/>
        <w:wordWrap/>
        <w:overflowPunct/>
        <w:topLinePunct w:val="0"/>
        <w:autoSpaceDE/>
        <w:autoSpaceDN/>
        <w:bidi w:val="0"/>
        <w:spacing w:line="600" w:lineRule="exact"/>
        <w:textAlignment w:val="auto"/>
        <w:rPr>
          <w:rFonts w:ascii="宋体"/>
          <w:sz w:val="32"/>
          <w:szCs w:val="32"/>
          <w:lang w:val="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．说明项目主管部门（单位）在该项目管理中的职能。</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项目主管部门为峨眉山市民政局，在该项目中主要负责指导、监督、和统筹管理。</w:t>
      </w:r>
    </w:p>
    <w:p>
      <w:pPr>
        <w:keepNext w:val="0"/>
        <w:keepLines w:val="0"/>
        <w:pageBreakBefore w:val="0"/>
        <w:numPr>
          <w:ilvl w:val="0"/>
          <w:numId w:val="5"/>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项目立项、资金申报的依据。</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仿宋" w:eastAsia="仿宋_GB2312"/>
          <w:sz w:val="32"/>
          <w:szCs w:val="32"/>
          <w:lang w:val="en-US" w:eastAsia="zh-CN"/>
        </w:rPr>
      </w:pPr>
      <w:r>
        <w:rPr>
          <w:rFonts w:hint="eastAsia" w:ascii="仿宋_GB2312" w:hAnsi="宋体" w:eastAsia="仿宋_GB2312"/>
          <w:sz w:val="32"/>
          <w:szCs w:val="32"/>
          <w:lang w:val="zh-CN"/>
        </w:rPr>
        <w:t>项目依据</w:t>
      </w:r>
      <w:r>
        <w:rPr>
          <w:rFonts w:hint="eastAsia" w:ascii="仿宋_GB2312" w:hAnsi="仿宋" w:eastAsia="仿宋_GB2312"/>
          <w:sz w:val="32"/>
          <w:szCs w:val="32"/>
          <w:lang w:val="zh-CN" w:eastAsia="zh-CN"/>
        </w:rPr>
        <w:t>峨眉山市人民政府</w:t>
      </w:r>
      <w:r>
        <w:rPr>
          <w:rFonts w:hint="eastAsia" w:ascii="仿宋_GB2312" w:hAnsi="仿宋" w:eastAsia="仿宋_GB2312"/>
          <w:sz w:val="32"/>
          <w:szCs w:val="32"/>
          <w:lang w:val="en-US" w:eastAsia="zh-CN"/>
        </w:rPr>
        <w:t>2012年3月30日下达的《关于中心敬老院和民政福利院有关问题的决定》峨府定【2012】20号文件为依据，有本级财政正式下达指标分配财政专项资金。</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200"/>
        <w:textAlignment w:val="auto"/>
        <w:rPr>
          <w:rFonts w:hint="eastAsia" w:ascii="仿宋_GB2312" w:hAnsi="宋体" w:eastAsia="仿宋_GB2312"/>
          <w:sz w:val="32"/>
          <w:szCs w:val="32"/>
          <w:lang w:val="zh-CN"/>
        </w:rPr>
      </w:pPr>
    </w:p>
    <w:p>
      <w:pPr>
        <w:keepNext w:val="0"/>
        <w:keepLines w:val="0"/>
        <w:pageBreakBefore w:val="0"/>
        <w:numPr>
          <w:ilvl w:val="0"/>
          <w:numId w:val="5"/>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资金管理办法制定情况，资金支持具体项目的条件、范围与支持方式概况。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200"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该项目决策依据充分，设立经过严格评估论证，程序严密，制度完善，主要用于单位工作正常运转</w:t>
      </w:r>
      <w:r>
        <w:rPr>
          <w:rFonts w:hint="eastAsia" w:ascii="仿宋_GB2312" w:hAnsi="仿宋" w:eastAsia="仿宋_GB2312"/>
          <w:sz w:val="32"/>
          <w:szCs w:val="32"/>
          <w:lang w:val="en-US" w:eastAsia="zh-CN"/>
        </w:rPr>
        <w:t>。</w:t>
      </w:r>
    </w:p>
    <w:p>
      <w:pPr>
        <w:keepNext w:val="0"/>
        <w:keepLines w:val="0"/>
        <w:pageBreakBefore w:val="0"/>
        <w:numPr>
          <w:ilvl w:val="0"/>
          <w:numId w:val="5"/>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资金分配的原则及考虑因素。</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分配合理，使用合规，主要分配人员工资及保险及机构基本正常运行。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该项目主要用于人员经费保障、机构基本运行、各设施设备正常运行。</w:t>
      </w:r>
    </w:p>
    <w:p>
      <w:pPr>
        <w:keepNext w:val="0"/>
        <w:keepLines w:val="0"/>
        <w:pageBreakBefore w:val="0"/>
        <w:numPr>
          <w:ilvl w:val="0"/>
          <w:numId w:val="3"/>
        </w:numPr>
        <w:kinsoku/>
        <w:wordWrap/>
        <w:overflowPunct/>
        <w:topLinePunct w:val="0"/>
        <w:autoSpaceDE/>
        <w:autoSpaceDN/>
        <w:bidi w:val="0"/>
        <w:adjustRightInd w:val="0"/>
        <w:snapToGrid w:val="0"/>
        <w:spacing w:line="600" w:lineRule="exact"/>
        <w:ind w:left="0" w:leftChars="0" w:firstLine="640" w:firstLineChars="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项目应实现的具体绩效目标，包括目标的量化、细化情况以及项目实施进度计划等。</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仿宋" w:eastAsia="仿宋_GB2312"/>
          <w:sz w:val="32"/>
          <w:szCs w:val="32"/>
          <w:lang w:val="en-US" w:eastAsia="zh-CN"/>
        </w:rPr>
        <w:t>该项目主要用于对人员经费保障、机构基本运行、各设施设备正常运行、工作正常开展的前提下提升对老人的服务质量，提高老人满意度</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640" w:leftChars="0"/>
        <w:textAlignment w:val="auto"/>
        <w:rPr>
          <w:rFonts w:hint="eastAsia" w:ascii="仿宋_GB2312" w:hAnsi="宋体" w:eastAsia="仿宋_GB2312"/>
          <w:sz w:val="32"/>
          <w:szCs w:val="32"/>
          <w:lang w:val="zh-CN"/>
        </w:rPr>
      </w:pPr>
    </w:p>
    <w:p>
      <w:pPr>
        <w:keepNext w:val="0"/>
        <w:keepLines w:val="0"/>
        <w:pageBreakBefore w:val="0"/>
        <w:numPr>
          <w:ilvl w:val="0"/>
          <w:numId w:val="3"/>
        </w:numPr>
        <w:kinsoku/>
        <w:wordWrap/>
        <w:overflowPunct/>
        <w:topLinePunct w:val="0"/>
        <w:autoSpaceDE/>
        <w:autoSpaceDN/>
        <w:bidi w:val="0"/>
        <w:adjustRightInd w:val="0"/>
        <w:snapToGrid w:val="0"/>
        <w:spacing w:line="600" w:lineRule="exact"/>
        <w:ind w:left="0" w:leftChars="0" w:firstLine="640" w:firstLineChars="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分析评价申报内容是否与实际相符，申报目标是否合理可行。</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640" w:leftChars="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该醒目申报内容属实、申报目标合理可行。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说明项目资金申报、批复及预算调整等程序的相关情况。</w:t>
      </w:r>
    </w:p>
    <w:p>
      <w:pPr>
        <w:snapToGrid w:val="0"/>
        <w:spacing w:line="520" w:lineRule="exact"/>
        <w:ind w:firstLine="2560" w:firstLineChars="800"/>
        <w:rPr>
          <w:rFonts w:hint="eastAsia" w:ascii="仿宋_GB2312" w:hAnsi="仿宋" w:eastAsia="仿宋_GB2312"/>
          <w:sz w:val="32"/>
          <w:szCs w:val="32"/>
          <w:lang w:val="zh-CN" w:eastAsia="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b w:val="0"/>
          <w:bCs/>
          <w:sz w:val="32"/>
          <w:szCs w:val="32"/>
          <w:lang w:val="zh-CN"/>
        </w:rPr>
      </w:pPr>
      <w:r>
        <w:rPr>
          <w:rFonts w:hint="eastAsia" w:ascii="楷体_GB2312" w:hAnsi="宋体" w:eastAsia="楷体_GB2312"/>
          <w:b w:val="0"/>
          <w:bCs/>
          <w:sz w:val="32"/>
          <w:szCs w:val="32"/>
          <w:lang w:val="zh-CN"/>
        </w:rPr>
        <w:t>（二）资金计划、到位及使用情况（可用表格形式反映）</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在说明该项目全省资金计划的基础上，分项目大类或市（州）分别说明各类资金计划情况，包括中央、省、市（州）、县（市、区）财政资金、项目单位自筹、其他渠道资金（包括银行贷款及其他资金等）。</w:t>
      </w:r>
      <w:r>
        <w:rPr>
          <w:rFonts w:hint="eastAsia" w:ascii="仿宋_GB2312" w:hAnsi="仿宋" w:eastAsia="仿宋_GB2312"/>
          <w:sz w:val="32"/>
          <w:szCs w:val="32"/>
          <w:lang w:val="en-US" w:eastAsia="zh-CN"/>
        </w:rPr>
        <w:t>1月、3月、4月、7月、9月分别申报运行项目资金19万、21万、30万、20万、30万。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p>
    <w:p>
      <w:pPr>
        <w:keepNext w:val="0"/>
        <w:keepLines w:val="0"/>
        <w:pageBreakBefore w:val="0"/>
        <w:numPr>
          <w:ilvl w:val="0"/>
          <w:numId w:val="2"/>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宋体" w:eastAsia="仿宋_GB2312"/>
          <w:sz w:val="32"/>
          <w:szCs w:val="32"/>
          <w:lang w:val="zh-CN"/>
        </w:rPr>
      </w:pPr>
      <w:r>
        <w:rPr>
          <w:rFonts w:hint="eastAsia" w:ascii="楷体_GB2312" w:hAnsi="宋体" w:eastAsia="楷体_GB2312"/>
          <w:sz w:val="32"/>
          <w:szCs w:val="32"/>
          <w:lang w:val="zh-CN"/>
        </w:rPr>
        <w:t>资金到位。</w:t>
      </w:r>
      <w:r>
        <w:rPr>
          <w:rFonts w:hint="eastAsia" w:ascii="仿宋_GB2312" w:hAnsi="宋体" w:eastAsia="仿宋_GB2312"/>
          <w:sz w:val="32"/>
          <w:szCs w:val="32"/>
          <w:lang w:val="zh-CN"/>
        </w:rPr>
        <w:t>汇总统计截止评价时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作出分析说明。</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仿宋" w:eastAsia="仿宋_GB2312"/>
          <w:sz w:val="32"/>
          <w:szCs w:val="32"/>
          <w:lang w:val="en-US" w:eastAsia="zh-CN"/>
        </w:rPr>
        <w:t>1月、3月、4月、7月、9月分别申报运行项目资金19万、21万、30万、20万、30万。</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200" w:firstLine="640" w:firstLineChars="200"/>
        <w:textAlignment w:val="auto"/>
        <w:rPr>
          <w:rFonts w:hint="eastAsia" w:ascii="仿宋_GB2312" w:hAnsi="宋体" w:eastAsia="仿宋_GB2312"/>
          <w:sz w:val="32"/>
          <w:szCs w:val="32"/>
          <w:lang w:val="zh-CN"/>
        </w:rPr>
      </w:pPr>
      <w:bookmarkStart w:id="71" w:name="_GoBack"/>
      <w:bookmarkEnd w:id="71"/>
      <w:r>
        <w:rPr>
          <w:rFonts w:hint="eastAsia" w:ascii="仿宋_GB2312" w:hAnsi="仿宋" w:eastAsia="仿宋_GB2312"/>
          <w:sz w:val="32"/>
          <w:szCs w:val="32"/>
          <w:lang w:val="en-US" w:eastAsia="zh-CN"/>
        </w:rPr>
        <w:t>资金按时到位。</w:t>
      </w:r>
    </w:p>
    <w:p>
      <w:pPr>
        <w:keepNext w:val="0"/>
        <w:keepLines w:val="0"/>
        <w:pageBreakBefore w:val="0"/>
        <w:numPr>
          <w:ilvl w:val="0"/>
          <w:numId w:val="2"/>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宋体" w:eastAsia="仿宋_GB2312"/>
          <w:sz w:val="32"/>
          <w:szCs w:val="32"/>
          <w:lang w:val="zh-CN"/>
        </w:rPr>
      </w:pPr>
      <w:r>
        <w:rPr>
          <w:rFonts w:hint="eastAsia" w:ascii="楷体_GB2312" w:hAnsi="宋体" w:eastAsia="楷体_GB2312"/>
          <w:sz w:val="32"/>
          <w:szCs w:val="32"/>
          <w:lang w:val="zh-CN"/>
        </w:rPr>
        <w:t>资金使用。</w:t>
      </w:r>
      <w:r>
        <w:rPr>
          <w:rFonts w:hint="eastAsia" w:ascii="仿宋_GB2312" w:hAnsi="宋体" w:eastAsia="仿宋_GB2312"/>
          <w:sz w:val="32"/>
          <w:szCs w:val="32"/>
          <w:lang w:val="zh-CN"/>
        </w:rPr>
        <w:t>汇总统计截止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200"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zh-CN"/>
        </w:rPr>
        <w:t>该项目资金使用安全、规范、有效，支付进度</w:t>
      </w:r>
      <w:r>
        <w:rPr>
          <w:rFonts w:hint="eastAsia" w:ascii="仿宋_GB2312" w:hAnsi="宋体" w:eastAsia="仿宋_GB2312"/>
          <w:sz w:val="32"/>
          <w:szCs w:val="32"/>
          <w:lang w:val="en-US" w:eastAsia="zh-CN"/>
        </w:rPr>
        <w:t>100%，支付依据充分，合规合理。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总体评价各项目实施单位财务管理制度是否健全，是否严格执行财务管理制度，账务处理是否及时，会计核算是否规范等。</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该项目实施依据充分，财务管理制度健全，严格执行财务管理制度，账务处理及时，会计核算合规合理。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（一）项目组织架构及实施流程</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宋体" w:eastAsia="仿宋_GB2312"/>
          <w:sz w:val="32"/>
          <w:szCs w:val="32"/>
          <w:lang w:val="zh-CN"/>
        </w:rPr>
        <w:t>结合项目特点，总体评价各项目实施单位执行相关法律法规及项目管理制度等情况，如招投标、政府采购、项目公示制等相关规定。</w:t>
      </w:r>
    </w:p>
    <w:p>
      <w:pPr>
        <w:keepNext w:val="0"/>
        <w:keepLines w:val="0"/>
        <w:pageBreakBefore w:val="0"/>
        <w:numPr>
          <w:ilvl w:val="0"/>
          <w:numId w:val="6"/>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项目监管情况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说明项目主管部门为加强项目管理所采取的监管手段、监管程序、监管工作开展情况及实现的效果等。</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对于该项目组织成立监督小组对项目全程实施全面监督、监管。</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包括项目完成数量、质量、时效、成本等情况，对照项目计划完成目标，对截止评价时点的任务量完成、质量标准、进度计划、成本控制目标的实现程度进行评价，并进行分析说明。</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zh-CN"/>
        </w:rPr>
        <w:t>项目完成数量</w:t>
      </w:r>
      <w:r>
        <w:rPr>
          <w:rFonts w:hint="eastAsia" w:ascii="仿宋_GB2312" w:hAnsi="宋体" w:eastAsia="仿宋_GB2312"/>
          <w:sz w:val="32"/>
          <w:szCs w:val="32"/>
          <w:lang w:val="en-US" w:eastAsia="zh-CN"/>
        </w:rPr>
        <w:t>1个，质量100%，时效100%，完成计划目标100%，分配合理，使用合规，执行有效。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从项目经济效益、社会效益、生态效益、可持续效益以及服务对象满意度等方面对项目效益进行全面分析评价。</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该项目的完成，不仅保障了基本运行，且切实有效提升了服务质量，从而让服务对象更加满意。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结合项目自身特点、评价重点及管理办法等要求，围绕专项项目支出绩效评价指标体系对项目进行总体评价。</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宋体" w:eastAsia="仿宋_GB2312"/>
          <w:sz w:val="32"/>
          <w:szCs w:val="32"/>
          <w:lang w:val="zh-CN"/>
        </w:rPr>
        <w:t>该项目执行程序严密，严格使用专项资金，依据</w:t>
      </w:r>
      <w:r>
        <w:rPr>
          <w:rFonts w:hint="eastAsia" w:ascii="仿宋_GB2312" w:hAnsi="仿宋" w:eastAsia="仿宋_GB2312"/>
          <w:sz w:val="32"/>
          <w:szCs w:val="32"/>
          <w:lang w:val="zh-CN" w:eastAsia="zh-CN"/>
        </w:rPr>
        <w:t>峨眉山市人民政府</w:t>
      </w:r>
      <w:r>
        <w:rPr>
          <w:rFonts w:hint="eastAsia" w:ascii="仿宋_GB2312" w:hAnsi="仿宋" w:eastAsia="仿宋_GB2312"/>
          <w:sz w:val="32"/>
          <w:szCs w:val="32"/>
          <w:lang w:val="en-US" w:eastAsia="zh-CN"/>
        </w:rPr>
        <w:t>2012年3月30日下达的《关于中心敬老院和民政福利院有关问题的决定》峨府定【2012】20号文件为依据，有本级财政正式下达指标分配财政专项资金。</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sz w:val="32"/>
          <w:szCs w:val="32"/>
          <w:lang w:val="zh-CN" w:eastAsia="zh-CN"/>
        </w:rPr>
      </w:pPr>
      <w:r>
        <w:rPr>
          <w:rFonts w:hint="eastAsia" w:ascii="仿宋_GB2312" w:hAnsi="仿宋" w:eastAsia="仿宋_GB2312"/>
          <w:sz w:val="32"/>
          <w:szCs w:val="32"/>
          <w:lang w:val="en-US" w:eastAsia="zh-CN"/>
        </w:rPr>
        <w:t>规划合理且财务制度健全，分配合理，使用合规。</w:t>
      </w:r>
    </w:p>
    <w:p>
      <w:pPr>
        <w:keepNext w:val="0"/>
        <w:keepLines w:val="0"/>
        <w:pageBreakBefore w:val="0"/>
        <w:numPr>
          <w:ilvl w:val="0"/>
          <w:numId w:val="7"/>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存在的问题</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仿宋_GB2312" w:hAnsi="仿宋" w:eastAsia="仿宋_GB2312"/>
          <w:sz w:val="32"/>
          <w:szCs w:val="32"/>
          <w:lang w:val="zh-CN" w:eastAsia="zh-CN"/>
        </w:rPr>
        <w:t>预算绩效项目管理目标欠细软</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楷体_GB2312" w:hAnsi="宋体" w:eastAsia="楷体_GB2312"/>
          <w:b w:val="0"/>
          <w:bCs/>
          <w:sz w:val="32"/>
          <w:szCs w:val="32"/>
          <w:lang w:val="zh-CN"/>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val="0"/>
          <w:bCs/>
          <w:sz w:val="32"/>
          <w:szCs w:val="32"/>
          <w:lang w:val="zh-CN"/>
        </w:rPr>
      </w:pPr>
      <w:r>
        <w:rPr>
          <w:rFonts w:ascii="仿宋_GB2312" w:hAnsi="宋体" w:eastAsia="仿宋_GB2312"/>
          <w:sz w:val="32"/>
          <w:szCs w:val="32"/>
          <w:lang w:val="zh-CN"/>
        </w:rPr>
        <w:tab/>
      </w:r>
      <w:r>
        <w:rPr>
          <w:rFonts w:hint="eastAsia" w:ascii="楷体_GB2312" w:hAnsi="宋体" w:eastAsia="楷体_GB2312"/>
          <w:b w:val="0"/>
          <w:bCs/>
          <w:sz w:val="32"/>
          <w:szCs w:val="32"/>
          <w:lang w:val="zh-CN"/>
        </w:rPr>
        <w:t>（三）相关建议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针对项目自评中发现的问题，提出下一步改进完善的意见及有关政策性建议。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zh-CN"/>
        </w:rPr>
        <w:t>完善项目填报制度，填报全面预算管理。</w:t>
      </w:r>
    </w:p>
    <w:p>
      <w:pPr>
        <w:keepNext w:val="0"/>
        <w:keepLines w:val="0"/>
        <w:pageBreakBefore w:val="0"/>
        <w:kinsoku/>
        <w:wordWrap/>
        <w:overflowPunct/>
        <w:topLinePunct w:val="0"/>
        <w:autoSpaceDE/>
        <w:autoSpaceDN/>
        <w:bidi w:val="0"/>
        <w:spacing w:line="600" w:lineRule="exact"/>
        <w:ind w:firstLine="64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textAlignment w:val="auto"/>
        <w:rPr>
          <w:rFonts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pacing w:line="600" w:lineRule="exact"/>
        <w:jc w:val="left"/>
        <w:textAlignment w:val="auto"/>
        <w:rPr>
          <w:rStyle w:val="10"/>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Style w:val="10"/>
          <w:rFonts w:ascii="黑体" w:hAnsi="黑体" w:eastAsia="黑体"/>
          <w:b w:val="0"/>
        </w:rPr>
        <w:br w:type="page"/>
      </w:r>
      <w:bookmarkStart w:id="57" w:name="_Toc15396618"/>
      <w:r>
        <w:rPr>
          <w:rFonts w:hint="eastAsia" w:ascii="方正小标宋_GBK" w:hAnsi="方正小标宋_GBK" w:eastAsia="方正小标宋_GBK" w:cs="方正小标宋_GBK"/>
          <w:sz w:val="44"/>
          <w:szCs w:val="44"/>
        </w:rPr>
        <w:t>第五部分 附表</w:t>
      </w:r>
      <w:bookmarkEnd w:id="55"/>
      <w:bookmarkEnd w:id="57"/>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58" w:name="_Toc15396619"/>
      <w:r>
        <w:rPr>
          <w:rFonts w:hint="eastAsia" w:ascii="仿宋_GB2312" w:hAnsi="仿宋_GB2312" w:eastAsia="仿宋_GB2312" w:cs="仿宋_GB2312"/>
          <w:sz w:val="32"/>
          <w:szCs w:val="32"/>
        </w:rPr>
        <w:t>一、收入支出决算总表</w:t>
      </w:r>
      <w:bookmarkEnd w:id="5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59" w:name="_Toc15396620"/>
      <w:r>
        <w:rPr>
          <w:rFonts w:hint="eastAsia" w:ascii="仿宋_GB2312" w:hAnsi="仿宋_GB2312" w:eastAsia="仿宋_GB2312" w:cs="仿宋_GB2312"/>
          <w:sz w:val="32"/>
          <w:szCs w:val="32"/>
        </w:rPr>
        <w:t>二、收入决算表</w:t>
      </w:r>
      <w:bookmarkEnd w:id="5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0" w:name="_Toc15396621"/>
      <w:r>
        <w:rPr>
          <w:rFonts w:hint="eastAsia" w:ascii="仿宋_GB2312" w:hAnsi="仿宋_GB2312" w:eastAsia="仿宋_GB2312" w:cs="仿宋_GB2312"/>
          <w:sz w:val="32"/>
          <w:szCs w:val="32"/>
        </w:rPr>
        <w:t>三、支出决算表</w:t>
      </w:r>
      <w:bookmarkEnd w:id="6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1" w:name="_Toc15396622"/>
      <w:r>
        <w:rPr>
          <w:rFonts w:hint="eastAsia" w:ascii="仿宋_GB2312" w:hAnsi="仿宋_GB2312" w:eastAsia="仿宋_GB2312" w:cs="仿宋_GB2312"/>
          <w:sz w:val="32"/>
          <w:szCs w:val="32"/>
        </w:rPr>
        <w:t>四、财政拨款收入支出决算总表</w:t>
      </w:r>
      <w:bookmarkEnd w:id="6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2" w:name="_Toc15396623"/>
      <w:r>
        <w:rPr>
          <w:rFonts w:hint="eastAsia" w:ascii="仿宋_GB2312" w:hAnsi="仿宋_GB2312" w:eastAsia="仿宋_GB2312" w:cs="仿宋_GB2312"/>
          <w:sz w:val="32"/>
          <w:szCs w:val="32"/>
        </w:rPr>
        <w:t>五、财政拨款支出决算明细表</w:t>
      </w:r>
      <w:bookmarkEnd w:id="62"/>
      <w:bookmarkStart w:id="63" w:name="_Toc153966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4" w:name="_Toc15396625"/>
      <w:r>
        <w:rPr>
          <w:rFonts w:hint="eastAsia" w:ascii="仿宋_GB2312" w:hAnsi="仿宋_GB2312" w:eastAsia="仿宋_GB2312" w:cs="仿宋_GB2312"/>
          <w:sz w:val="32"/>
          <w:szCs w:val="32"/>
        </w:rPr>
        <w:t>七、一般公共预算财政拨款支出决算明细表</w:t>
      </w:r>
      <w:bookmarkEnd w:id="6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5" w:name="_Toc15396626"/>
      <w:r>
        <w:rPr>
          <w:rFonts w:hint="eastAsia" w:ascii="仿宋_GB2312" w:hAnsi="仿宋_GB2312" w:eastAsia="仿宋_GB2312" w:cs="仿宋_GB2312"/>
          <w:sz w:val="32"/>
          <w:szCs w:val="32"/>
        </w:rPr>
        <w:t>八、一般公共预算财政拨款基本支出决算表</w:t>
      </w:r>
      <w:bookmarkEnd w:id="6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6" w:name="_Toc15396627"/>
      <w:r>
        <w:rPr>
          <w:rFonts w:hint="eastAsia" w:ascii="仿宋_GB2312" w:hAnsi="仿宋_GB2312" w:eastAsia="仿宋_GB2312" w:cs="仿宋_GB2312"/>
          <w:sz w:val="32"/>
          <w:szCs w:val="32"/>
        </w:rPr>
        <w:t>九、一般公共预算财政拨款项目支出决算表</w:t>
      </w:r>
      <w:bookmarkEnd w:id="6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7" w:name="_Toc15396628"/>
      <w:r>
        <w:rPr>
          <w:rFonts w:hint="eastAsia" w:ascii="仿宋_GB2312" w:hAnsi="仿宋_GB2312" w:eastAsia="仿宋_GB2312" w:cs="仿宋_GB2312"/>
          <w:sz w:val="32"/>
          <w:szCs w:val="32"/>
        </w:rPr>
        <w:t>十、一般公共预算财政拨款“三公”经费支出决算表</w:t>
      </w:r>
      <w:bookmarkEnd w:id="6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8" w:name="_Toc15396629"/>
      <w:r>
        <w:rPr>
          <w:rFonts w:hint="eastAsia" w:ascii="仿宋_GB2312" w:hAnsi="仿宋_GB2312" w:eastAsia="仿宋_GB2312" w:cs="仿宋_GB2312"/>
          <w:sz w:val="32"/>
          <w:szCs w:val="32"/>
        </w:rPr>
        <w:t>十一、政府性基金预算财政拨款收入支出决算表</w:t>
      </w:r>
      <w:bookmarkEnd w:id="6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9" w:name="_Toc15396630"/>
      <w:r>
        <w:rPr>
          <w:rFonts w:hint="eastAsia" w:ascii="仿宋_GB2312" w:hAnsi="仿宋_GB2312" w:eastAsia="仿宋_GB2312" w:cs="仿宋_GB2312"/>
          <w:sz w:val="32"/>
          <w:szCs w:val="32"/>
        </w:rPr>
        <w:t>十二、政府性基金预算财政拨款“三公”经费支出决算表</w:t>
      </w:r>
      <w:bookmarkEnd w:id="6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0" w:name="_Toc15396631"/>
      <w:r>
        <w:rPr>
          <w:rFonts w:hint="eastAsia" w:ascii="仿宋_GB2312" w:hAnsi="仿宋_GB2312" w:eastAsia="仿宋_GB2312" w:cs="仿宋_GB2312"/>
          <w:sz w:val="32"/>
          <w:szCs w:val="32"/>
        </w:rPr>
        <w:t>十三、国有资本经营预算财政拨款支出决算表</w:t>
      </w:r>
      <w:bookmarkEnd w:id="70"/>
    </w:p>
    <w:p/>
    <w:sectPr>
      <w:headerReference r:id="rId3" w:type="default"/>
      <w:footerReference r:id="rId4" w:type="default"/>
      <w:pgSz w:w="11906" w:h="16838"/>
      <w:pgMar w:top="2041" w:right="1469" w:bottom="1587" w:left="1469" w:header="851" w:footer="1134"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-133350</wp:posOffset>
              </wp:positionV>
              <wp:extent cx="1037590" cy="2813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37590" cy="281305"/>
                      </a:xfrm>
                      <a:prstGeom prst="rect">
                        <a:avLst/>
                      </a:prstGeom>
                      <a:noFill/>
                      <a:ln>
                        <a:noFill/>
                      </a:ln>
                    </wps:spPr>
                    <wps:txbx>
                      <w:txbxContent>
                        <w:p>
                          <w:pPr>
                            <w:pStyle w:val="5"/>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10.5pt;height:22.15pt;width:81.7pt;mso-position-horizontal:outside;mso-position-horizontal-relative:margin;z-index:251659264;mso-width-relative:page;mso-height-relative:page;" filled="f" stroked="f" coordsize="21600,21600" o:gfxdata="UEsDBAoAAAAAAIdO4kAAAAAAAAAAAAAAAAAEAAAAZHJzL1BLAwQUAAAACACHTuJAi+c5vNYAAAAH&#10;AQAADwAAAGRycy9kb3ducmV2LnhtbE2PS0/DMBCE70j8B2uRuLXOA0UQsqkQghMSIg0Hjk68TazG&#10;6xC7D/497gluO5rRzLfV5mwncaTFG8cI6ToBQdw7bXhA+GxfV/cgfFCs1eSYEH7Iw6a+vqpUqd2J&#10;GzpuwyBiCftSIYwhzKWUvh/JKr92M3H0dm6xKkS5DFIv6hTL7SSzJCmkVYbjwqhmeh6p328PFuHp&#10;i5sX8/3efTS7xrTtQ8JvxR7x9iZNHkEEOoe/MFzwIzrUkalzB9ZeTAjxkYCwytJ4XOwivwPRIWR5&#10;DrKu5H/++hdQSwMEFAAAAAgAh07iQOSXVHm6AQAAcgMAAA4AAABkcnMvZTJvRG9jLnhtbK1TzY7T&#10;MBC+I/EOlu80aVcLS9R0JVQtQkKAtLsP4Dp2Y8l/mnGb9AXgDThx4c5z9TkYJ2kLy2UPXJzxzPjz&#10;933jLG97Z9leAZrgaz6flZwpL0Nj/Lbmjw93r244wyR8I2zwquYHhfx29fLFsouVWoQ22EYBIxCP&#10;VRdr3qYUq6JA2SoncBai8lTUAZxItIVt0YDoCN3ZYlGWr4suQBMhSIVI2fVY5BMiPAcwaG2kWge5&#10;c8qnERWUFYkkYWsi8tXAVmsl02etUSVma05K07DSJRRv8lqslqLagoitkRMF8RwKTzQ5YTxdeoZa&#10;iyTYDsw/UM5ICBh0msngilHI4AipmJdPvLlvRVSDFrIa49l0/H+w8tP+CzDT0EvgzAtHAz9+/3b8&#10;8ev48yubZ3u6iBV13UfqS/270OfWKY+UzKp7DS5/SQ+jOpl7OJur+sRkPlRevbl+SyVJtcXN/Kq8&#10;zjDF5XQETO9VcCwHNQca3uCp2H/ENLaeWvJlPtwZaykvKuv/ShBmzhSZ+kgxR6nf9BPvTWgOJMd+&#10;8GRlfhanAE7B5hTsIphtO7ybTCED0SgG3tOzybP+cz90XX6V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L5zm81gAAAAcBAAAPAAAAAAAAAAEAIAAAACIAAABkcnMvZG93bnJldi54bWxQSwECFAAU&#10;AAAACACHTuJA5JdUeboBAAByAwAADgAAAAAAAAABACAAAAAlAQAAZHJzL2Uyb0RvYy54bWxQSwUG&#10;AAAAAAYABgBZAQAAUQUAAAAA&#10;">
              <v:fill on="f" focussize="0,0"/>
              <v:stroke on="f"/>
              <v:imagedata o:title=""/>
              <o:lock v:ext="edit" aspectratio="f"/>
              <v:textbox inset="0mm,0mm,0mm,0mm">
                <w:txbxContent>
                  <w:p>
                    <w:pPr>
                      <w:pStyle w:val="5"/>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D6ECA814"/>
    <w:multiLevelType w:val="singleLevel"/>
    <w:tmpl w:val="D6ECA814"/>
    <w:lvl w:ilvl="0" w:tentative="0">
      <w:start w:val="2"/>
      <w:numFmt w:val="chineseCounting"/>
      <w:suff w:val="nothing"/>
      <w:lvlText w:val="（%1）"/>
      <w:lvlJc w:val="left"/>
      <w:rPr>
        <w:rFonts w:hint="eastAsia"/>
      </w:rPr>
    </w:lvl>
  </w:abstractNum>
  <w:abstractNum w:abstractNumId="2">
    <w:nsid w:val="06F6151D"/>
    <w:multiLevelType w:val="singleLevel"/>
    <w:tmpl w:val="06F6151D"/>
    <w:lvl w:ilvl="0" w:tentative="0">
      <w:start w:val="3"/>
      <w:numFmt w:val="chineseCounting"/>
      <w:suff w:val="nothing"/>
      <w:lvlText w:val="（%1）"/>
      <w:lvlJc w:val="left"/>
      <w:rPr>
        <w:rFonts w:hint="eastAsia"/>
      </w:rPr>
    </w:lvl>
  </w:abstractNum>
  <w:abstractNum w:abstractNumId="3">
    <w:nsid w:val="1167F545"/>
    <w:multiLevelType w:val="singleLevel"/>
    <w:tmpl w:val="1167F545"/>
    <w:lvl w:ilvl="0" w:tentative="0">
      <w:start w:val="1"/>
      <w:numFmt w:val="decimal"/>
      <w:suff w:val="nothing"/>
      <w:lvlText w:val="%1．"/>
      <w:lvlJc w:val="left"/>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6FC1DFBF"/>
    <w:multiLevelType w:val="singleLevel"/>
    <w:tmpl w:val="6FC1DFBF"/>
    <w:lvl w:ilvl="0" w:tentative="0">
      <w:start w:val="1"/>
      <w:numFmt w:val="decimal"/>
      <w:suff w:val="nothing"/>
      <w:lvlText w:val="%1．"/>
      <w:lvlJc w:val="left"/>
    </w:lvl>
  </w:abstractNum>
  <w:abstractNum w:abstractNumId="6">
    <w:nsid w:val="7BDC925A"/>
    <w:multiLevelType w:val="singleLevel"/>
    <w:tmpl w:val="7BDC925A"/>
    <w:lvl w:ilvl="0" w:tentative="0">
      <w:start w:val="1"/>
      <w:numFmt w:val="decimal"/>
      <w:suff w:val="nothing"/>
      <w:lvlText w:val="%1．"/>
      <w:lvlJc w:val="left"/>
    </w:lvl>
  </w:abstractNum>
  <w:num w:numId="1">
    <w:abstractNumId w:val="4"/>
  </w:num>
  <w:num w:numId="2">
    <w:abstractNumId w:val="3"/>
  </w:num>
  <w:num w:numId="3">
    <w:abstractNumId w:val="6"/>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iOTFhYTM2ZjQxMGUxNzFjYTU5ZTQyZGZiMjRmZTYifQ=="/>
  </w:docVars>
  <w:rsids>
    <w:rsidRoot w:val="5EBF27DF"/>
    <w:rsid w:val="079E5DBC"/>
    <w:rsid w:val="348B45C9"/>
    <w:rsid w:val="3C7D607B"/>
    <w:rsid w:val="44B72EE5"/>
    <w:rsid w:val="4A8629B5"/>
    <w:rsid w:val="4DAD2D0F"/>
    <w:rsid w:val="51603A96"/>
    <w:rsid w:val="542E7689"/>
    <w:rsid w:val="54527617"/>
    <w:rsid w:val="57A13332"/>
    <w:rsid w:val="59ED42BF"/>
    <w:rsid w:val="5CBE19A8"/>
    <w:rsid w:val="5EBF27DF"/>
    <w:rsid w:val="6CB85C96"/>
    <w:rsid w:val="7C135B8A"/>
    <w:rsid w:val="7DED2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24"/>
      <w:szCs w:val="20"/>
    </w:rPr>
  </w:style>
  <w:style w:type="paragraph" w:styleId="5">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character" w:styleId="9">
    <w:name w:val="Strong"/>
    <w:qFormat/>
    <w:uiPriority w:val="99"/>
    <w:rPr>
      <w:rFonts w:cs="Times New Roman"/>
      <w:b/>
    </w:rPr>
  </w:style>
  <w:style w:type="character" w:customStyle="1" w:styleId="10">
    <w:name w:val="标题 1 字符"/>
    <w:basedOn w:val="8"/>
    <w:link w:val="2"/>
    <w:qFormat/>
    <w:locked/>
    <w:uiPriority w:val="9"/>
    <w:rPr>
      <w:b/>
      <w:bCs/>
      <w:kern w:val="44"/>
      <w:sz w:val="44"/>
      <w:szCs w:val="44"/>
    </w:rPr>
  </w:style>
  <w:style w:type="character" w:customStyle="1" w:styleId="11">
    <w:name w:val="标题 2 字符"/>
    <w:link w:val="3"/>
    <w:qFormat/>
    <w:locked/>
    <w:uiPriority w:val="9"/>
    <w:rPr>
      <w:rFonts w:ascii="Cambria" w:hAnsi="Cambria"/>
      <w:b/>
      <w:bCs/>
      <w:sz w:val="32"/>
      <w:szCs w:val="32"/>
    </w:rPr>
  </w:style>
  <w:style w:type="paragraph" w:customStyle="1" w:styleId="12">
    <w:name w:val="List Paragraph"/>
    <w:basedOn w:val="1"/>
    <w:qFormat/>
    <w:uiPriority w:val="34"/>
    <w:pPr>
      <w:ind w:firstLine="420" w:firstLineChars="200"/>
    </w:pPr>
  </w:style>
  <w:style w:type="paragraph" w:customStyle="1" w:styleId="1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7505</Words>
  <Characters>8139</Characters>
  <Lines>0</Lines>
  <Paragraphs>0</Paragraphs>
  <TotalTime>2</TotalTime>
  <ScaleCrop>false</ScaleCrop>
  <LinksUpToDate>false</LinksUpToDate>
  <CharactersWithSpaces>8171</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2021-10-25T08:00:00Z</dcterms:created>
  <dc:creator>Administrator</dc:creator>
  <cp:lastModifiedBy>Administrator</cp:lastModifiedBy>
  <dcterms:modified xsi:type="dcterms:W3CDTF">2022-10-28T01:42:25Z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5D0B0FA68B81445C82BEDBE7EB5BF32B</vt:lpwstr>
  </property>
</Properties>
</file>