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黑体" w:hAnsi="黑体" w:eastAsia="黑体" w:cs="黑体"/>
          <w:color w:val="000000"/>
          <w:sz w:val="32"/>
          <w:szCs w:val="32"/>
        </w:rPr>
      </w:pPr>
      <w:bookmarkStart w:id="0" w:name="_Toc15306267"/>
      <w:r>
        <w:rPr>
          <w:rFonts w:hint="eastAsia" w:ascii="黑体" w:hAnsi="黑体" w:eastAsia="黑体" w:cs="黑体"/>
          <w:color w:val="000000"/>
          <w:sz w:val="32"/>
          <w:szCs w:val="32"/>
        </w:rPr>
        <w:t>附件3</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475"/>
      <w:bookmarkStart w:id="3" w:name="_Toc15378441"/>
      <w:bookmarkStart w:id="4" w:name="_Toc15377193"/>
      <w:bookmarkStart w:id="5" w:name="_Toc15396597"/>
      <w:r>
        <w:rPr>
          <w:rFonts w:ascii="黑体" w:hAnsi="黑体" w:eastAsia="黑体"/>
          <w:color w:val="000000"/>
          <w:sz w:val="72"/>
          <w:szCs w:val="72"/>
        </w:rPr>
        <w:t>202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194"/>
      <w:bookmarkStart w:id="7" w:name="_Toc15396598"/>
      <w:bookmarkStart w:id="8" w:name="_Toc15396476"/>
      <w:bookmarkStart w:id="9" w:name="_Toc1537742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公墓服务中心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pStyle w:val="2"/>
        <w:pageBreakBefore w:val="0"/>
        <w:kinsoku/>
        <w:wordWrap/>
        <w:overflowPunct/>
        <w:topLinePunct w:val="0"/>
        <w:bidi w:val="0"/>
        <w:spacing w:line="600" w:lineRule="exact"/>
        <w:jc w:val="center"/>
        <w:textAlignment w:val="auto"/>
        <w:rPr>
          <w:rStyle w:val="10"/>
          <w:rFonts w:ascii="黑体" w:hAnsi="黑体" w:eastAsia="黑体"/>
          <w:b/>
          <w:bCs w:val="0"/>
        </w:rPr>
      </w:pPr>
      <w:r>
        <w:rPr>
          <w:rFonts w:ascii="方正小标宋简体" w:hAnsi="宋体" w:eastAsia="方正小标宋简体"/>
          <w:color w:val="000000"/>
          <w:sz w:val="36"/>
          <w:szCs w:val="36"/>
        </w:rPr>
        <w:br w:type="page"/>
      </w:r>
      <w:r>
        <w:rPr>
          <w:rFonts w:hint="eastAsia" w:ascii="黑体" w:hAnsi="黑体" w:eastAsia="黑体"/>
          <w:b w:val="0"/>
        </w:rPr>
        <w:t>第一部分</w:t>
      </w:r>
      <w:r>
        <w:rPr>
          <w:rFonts w:ascii="黑体" w:hAnsi="黑体" w:eastAsia="黑体"/>
          <w:b w:val="0"/>
        </w:rPr>
        <w:t xml:space="preserve"> </w:t>
      </w:r>
      <w:r>
        <w:rPr>
          <w:rStyle w:val="10"/>
          <w:rFonts w:hint="eastAsia" w:ascii="黑体" w:hAnsi="黑体" w:eastAsia="黑体"/>
          <w:b w:val="0"/>
          <w:bCs w:val="0"/>
        </w:rPr>
        <w:t>部门概况</w:t>
      </w:r>
    </w:p>
    <w:p>
      <w:pPr>
        <w:pageBreakBefore w:val="0"/>
        <w:widowControl/>
        <w:kinsoku/>
        <w:wordWrap/>
        <w:overflowPunct/>
        <w:topLinePunct w:val="0"/>
        <w:bidi w:val="0"/>
        <w:spacing w:line="600" w:lineRule="exact"/>
        <w:jc w:val="left"/>
        <w:textAlignment w:val="auto"/>
        <w:rPr>
          <w:rFonts w:ascii="黑体" w:eastAsia="黑体"/>
          <w:color w:val="000000"/>
          <w:sz w:val="32"/>
          <w:szCs w:val="32"/>
        </w:rPr>
      </w:pPr>
    </w:p>
    <w:p>
      <w:pPr>
        <w:pStyle w:val="3"/>
        <w:pageBreakBefore w:val="0"/>
        <w:kinsoku/>
        <w:wordWrap/>
        <w:overflowPunct/>
        <w:topLinePunct w:val="0"/>
        <w:bidi w:val="0"/>
        <w:spacing w:line="600" w:lineRule="exact"/>
        <w:textAlignment w:val="auto"/>
        <w:rPr>
          <w:rStyle w:val="11"/>
          <w:rFonts w:ascii="仿宋" w:hAnsi="仿宋" w:eastAsia="仿宋"/>
          <w:b w:val="0"/>
          <w:bCs w:val="0"/>
        </w:rPr>
      </w:pPr>
      <w:bookmarkStart w:id="12" w:name="_Toc15396600"/>
      <w:bookmarkStart w:id="13" w:name="_Toc15377197"/>
      <w:r>
        <w:rPr>
          <w:rFonts w:hint="eastAsia" w:ascii="黑体" w:hAnsi="黑体" w:eastAsia="黑体"/>
          <w:b w:val="0"/>
          <w:color w:val="000000"/>
        </w:rPr>
        <w:t>一、基</w:t>
      </w:r>
      <w:r>
        <w:rPr>
          <w:rStyle w:val="11"/>
          <w:rFonts w:hint="eastAsia" w:ascii="黑体" w:hAnsi="黑体" w:eastAsia="黑体"/>
          <w:b w:val="0"/>
          <w:bCs w:val="0"/>
        </w:rPr>
        <w:t>本职能及主要工作</w:t>
      </w:r>
      <w:bookmarkEnd w:id="12"/>
      <w:bookmarkEnd w:id="13"/>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峨眉山市公墓服务中心位于峨眉山市绥山镇大南村一组，主管局为峨眉山市民政局，本单位为自收自支事业单位，主要职能是办理骨灰安葬、墓碑雕刻、金属像制作和鲜花出售等服务</w:t>
      </w:r>
    </w:p>
    <w:p>
      <w:pPr>
        <w:spacing w:line="600" w:lineRule="exact"/>
        <w:ind w:firstLine="640" w:firstLineChars="200"/>
        <w:outlineLvl w:val="1"/>
        <w:rPr>
          <w:rFonts w:hint="eastAsia" w:ascii="仿宋_GB2312" w:hAnsi="仿宋_GB2312" w:eastAsia="仿宋_GB2312" w:cs="仿宋_GB2312"/>
          <w:bCs/>
          <w:color w:val="000000"/>
          <w:sz w:val="32"/>
          <w:szCs w:val="32"/>
        </w:rPr>
      </w:pPr>
      <w:bookmarkStart w:id="14" w:name="_Toc15377199"/>
      <w:bookmarkStart w:id="15" w:name="_Toc15378446"/>
      <w:r>
        <w:rPr>
          <w:rFonts w:hint="eastAsia" w:ascii="仿宋_GB2312" w:hAnsi="仿宋_GB2312" w:eastAsia="仿宋_GB2312" w:cs="仿宋_GB2312"/>
          <w:bCs/>
          <w:color w:val="000000"/>
          <w:sz w:val="32"/>
          <w:szCs w:val="32"/>
        </w:rPr>
        <w:t>（二）202</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rPr>
        <w:t>年重点工作完成情况。</w:t>
      </w:r>
      <w:bookmarkEnd w:id="14"/>
      <w:bookmarkEnd w:id="15"/>
    </w:p>
    <w:p>
      <w:pPr>
        <w:spacing w:line="600" w:lineRule="exact"/>
        <w:ind w:firstLine="560" w:firstLineChars="200"/>
        <w:outlineLvl w:val="1"/>
        <w:rPr>
          <w:rFonts w:hint="eastAsia" w:ascii="宋体" w:hAnsi="宋体" w:eastAsia="宋体" w:cs="宋体"/>
          <w:sz w:val="28"/>
          <w:szCs w:val="28"/>
          <w:lang w:val="en-US" w:eastAsia="zh-CN"/>
        </w:rPr>
      </w:pPr>
      <w:bookmarkStart w:id="16" w:name="_Toc15377200"/>
      <w:bookmarkStart w:id="17" w:name="_Toc15396601"/>
      <w:r>
        <w:rPr>
          <w:rFonts w:hint="eastAsia" w:ascii="宋体" w:hAnsi="宋体" w:cs="宋体"/>
          <w:sz w:val="28"/>
          <w:szCs w:val="28"/>
        </w:rPr>
        <w:t>2020年我服务中心在主管局的正确领导和大力支持下，以邓小平理论和习近平总书记重要思想为指导，认真学习贯彻党的十九大和十九届五中全会精神，坚持开展不忘初心，牢记使命教育活动。在市委、市政府的正确领导下，在市民政局的关心支持下，结合我服务中心工作实际，取得了较好的成绩</w:t>
      </w:r>
      <w:r>
        <w:rPr>
          <w:rFonts w:hint="eastAsia" w:ascii="宋体" w:hAnsi="宋体" w:cs="宋体"/>
          <w:sz w:val="28"/>
          <w:szCs w:val="28"/>
          <w:lang w:val="en-US" w:eastAsia="zh-CN"/>
        </w:rPr>
        <w:t>,</w:t>
      </w:r>
      <w:r>
        <w:rPr>
          <w:rFonts w:hint="eastAsia" w:ascii="宋体" w:hAnsi="宋体" w:cs="宋体"/>
          <w:sz w:val="28"/>
          <w:szCs w:val="28"/>
        </w:rPr>
        <w:t>认真做好绿色殡葬工作</w:t>
      </w:r>
      <w:r>
        <w:rPr>
          <w:rFonts w:hint="eastAsia" w:ascii="宋体" w:hAnsi="宋体" w:cs="宋体"/>
          <w:sz w:val="28"/>
          <w:szCs w:val="28"/>
          <w:lang w:val="en-US" w:eastAsia="zh-CN"/>
        </w:rPr>
        <w:t>.</w:t>
      </w:r>
    </w:p>
    <w:bookmarkEnd w:id="16"/>
    <w:bookmarkEnd w:id="17"/>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bookmarkStart w:id="18" w:name="_Toc15396602"/>
      <w:bookmarkStart w:id="19" w:name="_Toc15377204"/>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 2020年度部门决算情况说明</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pStyle w:val="12"/>
        <w:pageBreakBefore w:val="0"/>
        <w:numPr>
          <w:ilvl w:val="0"/>
          <w:numId w:val="1"/>
        </w:numPr>
        <w:kinsoku/>
        <w:wordWrap/>
        <w:overflowPunct/>
        <w:topLinePunct w:val="0"/>
        <w:bidi w:val="0"/>
        <w:spacing w:line="600" w:lineRule="exact"/>
        <w:ind w:firstLineChars="0"/>
        <w:textAlignment w:val="auto"/>
        <w:outlineLvl w:val="1"/>
        <w:rPr>
          <w:rStyle w:val="11"/>
          <w:rFonts w:ascii="黑体" w:hAnsi="黑体" w:eastAsia="黑体"/>
          <w:b w:val="0"/>
        </w:rPr>
      </w:pPr>
      <w:bookmarkStart w:id="20" w:name="_Toc15396603"/>
      <w:bookmarkStart w:id="21" w:name="_Toc15377205"/>
      <w:r>
        <w:rPr>
          <w:rFonts w:hint="eastAsia" w:ascii="黑体" w:hAnsi="黑体" w:eastAsia="黑体"/>
          <w:color w:val="000000"/>
          <w:sz w:val="32"/>
          <w:szCs w:val="32"/>
        </w:rPr>
        <w:t>收</w:t>
      </w:r>
      <w:r>
        <w:rPr>
          <w:rStyle w:val="11"/>
          <w:rFonts w:hint="eastAsia" w:ascii="黑体" w:hAnsi="黑体" w:eastAsia="黑体"/>
          <w:b w:val="0"/>
        </w:rPr>
        <w:t>入支出决算总体情况说明</w:t>
      </w:r>
      <w:bookmarkEnd w:id="20"/>
      <w:bookmarkEnd w:id="21"/>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w:t>
      </w:r>
      <w:r>
        <w:rPr>
          <w:rFonts w:hint="eastAsia" w:ascii="仿宋_GB2312" w:eastAsia="仿宋_GB2312"/>
          <w:sz w:val="32"/>
          <w:szCs w:val="32"/>
          <w:lang w:eastAsia="zh-CN"/>
        </w:rPr>
        <w:t>公墓管理处</w:t>
      </w:r>
      <w:r>
        <w:rPr>
          <w:rFonts w:hint="eastAsia" w:ascii="仿宋_GB2312" w:eastAsia="仿宋_GB2312"/>
          <w:sz w:val="32"/>
          <w:szCs w:val="32"/>
        </w:rPr>
        <w:t>所有收入和支出均纳入部门预算管理。</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年峨眉山市</w:t>
      </w:r>
      <w:r>
        <w:rPr>
          <w:rFonts w:hint="eastAsia" w:ascii="仿宋_GB2312" w:eastAsia="仿宋_GB2312"/>
          <w:sz w:val="32"/>
          <w:szCs w:val="32"/>
          <w:lang w:eastAsia="zh-CN"/>
        </w:rPr>
        <w:t>公墓管理处</w:t>
      </w:r>
      <w:r>
        <w:rPr>
          <w:rFonts w:hint="eastAsia" w:ascii="仿宋_GB2312" w:eastAsia="仿宋_GB2312"/>
          <w:sz w:val="32"/>
          <w:szCs w:val="32"/>
        </w:rPr>
        <w:t>收入预算总额为</w:t>
      </w:r>
      <w:r>
        <w:rPr>
          <w:rFonts w:hint="eastAsia" w:ascii="仿宋_GB2312" w:eastAsia="仿宋_GB2312"/>
          <w:sz w:val="32"/>
          <w:szCs w:val="32"/>
          <w:lang w:val="en-US" w:eastAsia="zh-CN"/>
        </w:rPr>
        <w:t>368.52</w:t>
      </w:r>
      <w:r>
        <w:rPr>
          <w:rFonts w:hint="eastAsia" w:ascii="仿宋_GB2312" w:eastAsia="仿宋_GB2312"/>
          <w:sz w:val="32"/>
          <w:szCs w:val="32"/>
        </w:rPr>
        <w:t>万元。其中：当年一般公共预算收入</w:t>
      </w:r>
      <w:r>
        <w:rPr>
          <w:rFonts w:hint="eastAsia" w:ascii="仿宋_GB2312" w:eastAsia="仿宋_GB2312"/>
          <w:sz w:val="32"/>
          <w:szCs w:val="32"/>
          <w:lang w:val="en-US" w:eastAsia="zh-CN"/>
        </w:rPr>
        <w:t>368.52</w:t>
      </w:r>
      <w:r>
        <w:rPr>
          <w:rFonts w:hint="eastAsia" w:ascii="仿宋_GB2312" w:eastAsia="仿宋_GB2312"/>
          <w:sz w:val="32"/>
          <w:szCs w:val="32"/>
        </w:rPr>
        <w:t>万元，。相应安排支出预算</w:t>
      </w:r>
      <w:r>
        <w:rPr>
          <w:rFonts w:hint="eastAsia" w:ascii="仿宋_GB2312" w:eastAsia="仿宋_GB2312"/>
          <w:sz w:val="32"/>
          <w:szCs w:val="32"/>
          <w:lang w:val="en-US" w:eastAsia="zh-CN"/>
        </w:rPr>
        <w:t>368.52</w:t>
      </w:r>
      <w:r>
        <w:rPr>
          <w:rFonts w:hint="eastAsia" w:ascii="仿宋_GB2312" w:eastAsia="仿宋_GB2312"/>
          <w:sz w:val="32"/>
          <w:szCs w:val="32"/>
        </w:rPr>
        <w:t>万元，其中：人员支出</w:t>
      </w:r>
      <w:r>
        <w:rPr>
          <w:rFonts w:hint="eastAsia" w:ascii="仿宋_GB2312" w:eastAsia="仿宋_GB2312"/>
          <w:sz w:val="32"/>
          <w:szCs w:val="32"/>
          <w:lang w:val="en-US" w:eastAsia="zh-CN"/>
        </w:rPr>
        <w:t>9.64</w:t>
      </w:r>
      <w:r>
        <w:rPr>
          <w:rFonts w:hint="eastAsia" w:ascii="仿宋_GB2312" w:eastAsia="仿宋_GB2312"/>
          <w:sz w:val="32"/>
          <w:szCs w:val="32"/>
        </w:rPr>
        <w:t>万元，日常公用支出</w:t>
      </w:r>
      <w:r>
        <w:rPr>
          <w:rFonts w:hint="eastAsia" w:ascii="仿宋_GB2312" w:eastAsia="仿宋_GB2312"/>
          <w:sz w:val="32"/>
          <w:szCs w:val="32"/>
          <w:lang w:val="en-US" w:eastAsia="zh-CN"/>
        </w:rPr>
        <w:t>0.6</w:t>
      </w:r>
      <w:r>
        <w:rPr>
          <w:rFonts w:hint="eastAsia" w:ascii="仿宋_GB2312" w:eastAsia="仿宋_GB2312"/>
          <w:sz w:val="32"/>
          <w:szCs w:val="32"/>
        </w:rPr>
        <w:t>万元，专项支出</w:t>
      </w:r>
      <w:r>
        <w:rPr>
          <w:rFonts w:hint="eastAsia" w:ascii="仿宋_GB2312" w:eastAsia="仿宋_GB2312"/>
          <w:sz w:val="32"/>
          <w:szCs w:val="32"/>
          <w:lang w:val="en-US" w:eastAsia="zh-CN"/>
        </w:rPr>
        <w:t>358.27</w:t>
      </w:r>
      <w:r>
        <w:rPr>
          <w:rFonts w:hint="eastAsia" w:ascii="仿宋_GB2312" w:eastAsia="仿宋_GB2312"/>
          <w:sz w:val="32"/>
          <w:szCs w:val="32"/>
        </w:rPr>
        <w:t>万元。</w:t>
      </w:r>
    </w:p>
    <w:p>
      <w:pPr>
        <w:pStyle w:val="12"/>
        <w:pageBreakBefore w:val="0"/>
        <w:numPr>
          <w:ilvl w:val="0"/>
          <w:numId w:val="0"/>
        </w:numPr>
        <w:kinsoku/>
        <w:wordWrap/>
        <w:overflowPunct/>
        <w:topLinePunct w:val="0"/>
        <w:bidi w:val="0"/>
        <w:spacing w:line="600" w:lineRule="exact"/>
        <w:ind w:left="640" w:leftChars="0"/>
        <w:textAlignment w:val="auto"/>
        <w:outlineLvl w:val="1"/>
        <w:rPr>
          <w:rStyle w:val="11"/>
          <w:rFonts w:ascii="黑体" w:hAnsi="黑体" w:eastAsia="黑体"/>
          <w:b w:val="0"/>
        </w:rPr>
      </w:pPr>
    </w:p>
    <w:p>
      <w:pPr>
        <w:keepNext w:val="0"/>
        <w:keepLines w:val="0"/>
        <w:pageBreakBefore w:val="0"/>
        <w:widowControl/>
        <w:kinsoku/>
        <w:wordWrap/>
        <w:overflowPunct/>
        <w:topLinePunct w:val="0"/>
        <w:bidi w:val="0"/>
        <w:snapToGrid/>
        <w:spacing w:line="600" w:lineRule="exact"/>
        <w:jc w:val="center"/>
        <w:textAlignment w:val="auto"/>
        <w:rPr>
          <w:rStyle w:val="10"/>
          <w:rFonts w:hint="eastAsia" w:ascii="方正小标宋_GBK" w:hAnsi="方正小标宋_GBK" w:eastAsia="方正小标宋_GBK" w:cs="方正小标宋_GBK"/>
          <w:b w:val="0"/>
          <w:bCs/>
          <w:sz w:val="44"/>
          <w:szCs w:val="44"/>
        </w:rPr>
      </w:pPr>
      <w:bookmarkStart w:id="22" w:name="_Toc15396613"/>
      <w:bookmarkStart w:id="23" w:name="_Toc15377225"/>
      <w:r>
        <w:rPr>
          <w:rFonts w:hint="eastAsia" w:ascii="方正小标宋_GBK" w:hAnsi="方正小标宋_GBK" w:eastAsia="方正小标宋_GBK" w:cs="方正小标宋_GBK"/>
          <w:b w:val="0"/>
          <w:bCs/>
          <w:color w:val="000000"/>
          <w:sz w:val="44"/>
          <w:szCs w:val="44"/>
          <w:lang w:eastAsia="zh-CN"/>
        </w:rPr>
        <w:t>第三部分</w:t>
      </w:r>
      <w:r>
        <w:rPr>
          <w:rFonts w:hint="eastAsia" w:ascii="方正小标宋_GBK" w:hAnsi="方正小标宋_GBK" w:eastAsia="方正小标宋_GBK" w:cs="方正小标宋_GBK"/>
          <w:b w:val="0"/>
          <w:bCs/>
          <w:color w:val="000000"/>
          <w:sz w:val="44"/>
          <w:szCs w:val="44"/>
          <w:lang w:val="en-US" w:eastAsia="zh-CN"/>
        </w:rPr>
        <w:t xml:space="preserve"> </w:t>
      </w:r>
      <w:r>
        <w:rPr>
          <w:rFonts w:hint="eastAsia" w:ascii="方正小标宋_GBK" w:hAnsi="方正小标宋_GBK" w:eastAsia="方正小标宋_GBK" w:cs="方正小标宋_GBK"/>
          <w:b w:val="0"/>
          <w:bCs/>
          <w:color w:val="000000"/>
          <w:sz w:val="44"/>
          <w:szCs w:val="44"/>
        </w:rPr>
        <w:t>名</w:t>
      </w:r>
      <w:r>
        <w:rPr>
          <w:rStyle w:val="10"/>
          <w:rFonts w:hint="eastAsia" w:ascii="方正小标宋_GBK" w:hAnsi="方正小标宋_GBK" w:eastAsia="方正小标宋_GBK" w:cs="方正小标宋_GBK"/>
          <w:b w:val="0"/>
          <w:bCs/>
          <w:sz w:val="44"/>
          <w:szCs w:val="44"/>
        </w:rPr>
        <w:t>词解释</w:t>
      </w:r>
      <w:bookmarkEnd w:id="22"/>
      <w:bookmarkEnd w:id="23"/>
    </w:p>
    <w:p>
      <w:pPr>
        <w:keepNext w:val="0"/>
        <w:keepLines w:val="0"/>
        <w:pageBreakBefore w:val="0"/>
        <w:kinsoku/>
        <w:wordWrap/>
        <w:overflowPunct/>
        <w:topLinePunct w:val="0"/>
        <w:bidi w:val="0"/>
        <w:snapToGrid/>
        <w:spacing w:line="600" w:lineRule="exact"/>
        <w:jc w:val="left"/>
        <w:textAlignment w:val="auto"/>
        <w:rPr>
          <w:rFonts w:ascii="宋体"/>
          <w:b/>
          <w:color w:val="000000"/>
          <w:sz w:val="44"/>
          <w:szCs w:val="44"/>
        </w:rPr>
      </w:pP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财政拨款收入：指单位从同级财政部门取得的财政预算资金。</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事业收入：指事业单位开展专业业务活动及辅助活动取得的收入。如…（二级预算单位事业收入情况）等。</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参保、精准扶贫、社会代养老人生活服务费</w:t>
      </w:r>
      <w:r>
        <w:rPr>
          <w:rFonts w:hint="eastAsia" w:ascii="仿宋_GB2312" w:eastAsia="仿宋_GB2312"/>
          <w:sz w:val="32"/>
          <w:szCs w:val="32"/>
        </w:rPr>
        <w:t>。</w:t>
      </w:r>
      <w:r>
        <w:rPr>
          <w:rFonts w:ascii="仿宋_GB2312" w:eastAsia="仿宋_GB2312"/>
          <w:sz w:val="32"/>
          <w:szCs w:val="32"/>
        </w:rPr>
        <w:t xml:space="preserve"> </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结余分配：指事业单位按照会计制度规定缴纳的所得税、提取的专用结余以及转入非财政拨款结余的金额等。</w:t>
      </w:r>
    </w:p>
    <w:p>
      <w:pPr>
        <w:pStyle w:val="13"/>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年末结转和结余：指单位按有关规定结转到下年或以后年度继续使用的资金。</w:t>
      </w:r>
    </w:p>
    <w:p>
      <w:pPr>
        <w:pStyle w:val="13"/>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lang w:eastAsia="zh-CN"/>
        </w:rPr>
        <w:t>九、</w:t>
      </w:r>
      <w:r>
        <w:rPr>
          <w:rFonts w:hint="eastAsia" w:ascii="仿宋_GB2312" w:eastAsia="仿宋_GB2312" w:cs="仿宋_GB2312"/>
          <w:color w:val="000000"/>
          <w:sz w:val="32"/>
          <w:szCs w:val="32"/>
        </w:rPr>
        <w:t>社会保障和就业支出：</w:t>
      </w:r>
      <w:r>
        <w:rPr>
          <w:rFonts w:hint="eastAsia" w:ascii="仿宋_GB2312" w:eastAsia="仿宋_GB2312"/>
          <w:sz w:val="32"/>
          <w:szCs w:val="32"/>
        </w:rPr>
        <w:t xml:space="preserve"> </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2080505--机关事业单位基本养老保险缴费支出：在职人人员养老保险缴费支出。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2080506--机关事业单位职业年金缴费支出：在职人人员职业年金缴费支出。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2081004--社会福利就业支出：公墓工资、福利、保险及运行经费。</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2101102--事业单位医疗：在职人员医疗保险缴费支出。</w:t>
      </w:r>
    </w:p>
    <w:p>
      <w:pPr>
        <w:pStyle w:val="13"/>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2210201--住房公积金：在职人员住房公积金缴费支出。</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（解释本部门决算报表中全部功能分类科目至项级，请参照《2020年政府收支分类科目》增减内容。）</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二十七、</w:t>
      </w:r>
      <w:r>
        <w:rPr>
          <w:rFonts w:hint="eastAsia" w:ascii="仿宋_GB2312" w:hAnsi="仿宋_GB2312" w:eastAsia="仿宋_GB2312" w:cs="仿宋_GB2312"/>
          <w:b w:val="0"/>
          <w:bCs/>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二十八、</w:t>
      </w:r>
      <w:r>
        <w:rPr>
          <w:rFonts w:hint="eastAsia" w:ascii="仿宋_GB2312" w:hAnsi="仿宋_GB2312" w:eastAsia="仿宋_GB2312" w:cs="仿宋_GB2312"/>
          <w:b w:val="0"/>
          <w:bCs/>
          <w:color w:val="000000"/>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二十九、</w:t>
      </w:r>
      <w:r>
        <w:rPr>
          <w:rFonts w:hint="eastAsia" w:ascii="仿宋_GB2312" w:hAnsi="仿宋_GB2312" w:eastAsia="仿宋_GB2312" w:cs="仿宋_GB2312"/>
          <w:b w:val="0"/>
          <w:bCs/>
          <w:color w:val="000000"/>
          <w:sz w:val="32"/>
          <w:szCs w:val="32"/>
        </w:rPr>
        <w:t>经营支出：指事业单位在专业业务活动及其辅助活动之外开展非独立核算经营活动发生的支出。</w:t>
      </w:r>
    </w:p>
    <w:p>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三十、</w:t>
      </w:r>
      <w:r>
        <w:rPr>
          <w:rFonts w:hint="eastAsia" w:ascii="仿宋_GB2312" w:hAnsi="仿宋_GB2312" w:eastAsia="仿宋_GB2312" w:cs="仿宋_GB2312"/>
          <w:b w:val="0"/>
          <w:bCs/>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三十一、</w:t>
      </w:r>
      <w:r>
        <w:rPr>
          <w:rFonts w:hint="eastAsia" w:ascii="仿宋_GB2312" w:hAnsi="仿宋_GB2312" w:eastAsia="仿宋_GB2312" w:cs="仿宋_GB2312"/>
          <w:b w:val="0"/>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3"/>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三十二、</w:t>
      </w:r>
      <w:r>
        <w:rPr>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（名词解释部分请根据各部门实际列支情况罗列，并根据本部门职责职能增减名词解释内容。）</w:t>
      </w:r>
    </w:p>
    <w:p>
      <w:pPr>
        <w:keepNext w:val="0"/>
        <w:keepLines w:val="0"/>
        <w:pageBreakBefore w:val="0"/>
        <w:kinsoku/>
        <w:wordWrap/>
        <w:overflowPunct/>
        <w:topLinePunct w:val="0"/>
        <w:autoSpaceDE/>
        <w:autoSpaceDN/>
        <w:bidi w:val="0"/>
        <w:snapToGrid/>
        <w:spacing w:line="600" w:lineRule="exact"/>
        <w:jc w:val="both"/>
        <w:textAlignment w:val="auto"/>
        <w:outlineLvl w:val="0"/>
        <w:rPr>
          <w:rFonts w:ascii="黑体" w:hAnsi="宋体" w:eastAsia="黑体" w:cs="宋体"/>
          <w:color w:val="000000"/>
          <w:kern w:val="0"/>
          <w:sz w:val="24"/>
          <w:szCs w:val="32"/>
          <w:shd w:val="clear" w:color="auto" w:fill="FFFFFF"/>
        </w:rPr>
      </w:pPr>
      <w:bookmarkStart w:id="24" w:name="_Toc15377226"/>
    </w:p>
    <w:tbl>
      <w:tblPr>
        <w:tblStyle w:val="7"/>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860"/>
        <w:gridCol w:w="1325"/>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w:t>
            </w:r>
            <w:r>
              <w:rPr>
                <w:rFonts w:hint="eastAsia" w:ascii="仿宋_GB2312" w:eastAsia="仿宋_GB2312"/>
                <w:sz w:val="32"/>
                <w:szCs w:val="32"/>
                <w:lang w:eastAsia="zh-CN"/>
              </w:rPr>
              <w:t>公墓管理处</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368.52</w:t>
            </w:r>
            <w:r>
              <w:rPr>
                <w:rFonts w:hint="eastAsia" w:ascii="仿宋_GB2312" w:eastAsia="仿宋_GB2312"/>
                <w:sz w:val="32"/>
                <w:szCs w:val="32"/>
              </w:rPr>
              <w:t>万元，主要用于保障民政局机构正常运转、完成日常工作任务以及承担民政事业发展相关工作。其中：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10.52</w:t>
            </w:r>
            <w:r>
              <w:rPr>
                <w:rFonts w:hint="eastAsia" w:ascii="仿宋_GB2312" w:eastAsia="仿宋_GB2312"/>
                <w:sz w:val="32"/>
                <w:szCs w:val="32"/>
              </w:rPr>
              <w:t>万元，是用于保障单位等机构正常运转的日常支出，包括基本工资、津贴补贴等人员经费以及办公费、印刷费、水电费、办公设备购置等日常公用经费。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358.27</w:t>
            </w:r>
            <w:r>
              <w:rPr>
                <w:rFonts w:hint="eastAsia" w:ascii="仿宋_GB2312" w:eastAsia="仿宋_GB2312"/>
                <w:sz w:val="32"/>
                <w:szCs w:val="32"/>
              </w:rPr>
              <w:t>万元，是用于保障单位等机构为完成特定的行政工作任务或事业发展目标，用于专项业务工作的经费支出。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公墓管理处</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368.52</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ascii="仿宋_GB2312" w:eastAsia="仿宋_GB2312"/>
                <w:sz w:val="32"/>
                <w:szCs w:val="32"/>
              </w:rPr>
              <w:t>208-08</w:t>
            </w:r>
            <w:r>
              <w:rPr>
                <w:rFonts w:hint="eastAsia" w:ascii="仿宋_GB2312" w:eastAsia="仿宋_GB2312"/>
                <w:sz w:val="32"/>
                <w:szCs w:val="32"/>
              </w:rPr>
              <w:t>社会保障和就业支出</w:t>
            </w:r>
            <w:r>
              <w:rPr>
                <w:rFonts w:hint="eastAsia" w:ascii="仿宋_GB2312" w:eastAsia="仿宋_GB2312"/>
                <w:sz w:val="32"/>
                <w:szCs w:val="32"/>
                <w:lang w:val="en-US" w:eastAsia="zh-CN"/>
              </w:rPr>
              <w:t>366.86</w:t>
            </w:r>
            <w:r>
              <w:rPr>
                <w:rFonts w:hint="eastAsia" w:ascii="仿宋_GB2312" w:eastAsia="仿宋_GB2312"/>
                <w:sz w:val="32"/>
                <w:szCs w:val="32"/>
              </w:rPr>
              <w:t>万元，占</w:t>
            </w:r>
            <w:r>
              <w:rPr>
                <w:rFonts w:ascii="仿宋_GB2312" w:eastAsia="仿宋_GB2312"/>
                <w:sz w:val="32"/>
                <w:szCs w:val="32"/>
              </w:rPr>
              <w:t>9</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208-10</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0.41</w:t>
            </w:r>
            <w:r>
              <w:rPr>
                <w:rFonts w:hint="eastAsia" w:ascii="仿宋_GB2312" w:eastAsia="仿宋_GB2312"/>
                <w:sz w:val="32"/>
                <w:szCs w:val="32"/>
              </w:rPr>
              <w:t>万元，</w:t>
            </w:r>
            <w:r>
              <w:rPr>
                <w:rFonts w:ascii="仿宋_GB2312" w:eastAsia="仿宋_GB2312"/>
                <w:sz w:val="32"/>
                <w:szCs w:val="32"/>
              </w:rPr>
              <w:t>221-02</w:t>
            </w:r>
            <w:r>
              <w:rPr>
                <w:rFonts w:hint="eastAsia" w:ascii="仿宋_GB2312" w:eastAsia="仿宋_GB2312"/>
                <w:sz w:val="32"/>
                <w:szCs w:val="32"/>
              </w:rPr>
              <w:t>住房保障支出</w:t>
            </w:r>
            <w:r>
              <w:rPr>
                <w:rFonts w:hint="eastAsia" w:ascii="仿宋_GB2312" w:eastAsia="仿宋_GB2312"/>
                <w:sz w:val="32"/>
                <w:szCs w:val="32"/>
                <w:lang w:val="en-US" w:eastAsia="zh-CN"/>
              </w:rPr>
              <w:t>1.25</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（类）</w:t>
            </w:r>
            <w:r>
              <w:rPr>
                <w:rFonts w:ascii="仿宋_GB2312" w:eastAsia="仿宋_GB2312"/>
                <w:sz w:val="32"/>
                <w:szCs w:val="32"/>
              </w:rPr>
              <w:t>05</w:t>
            </w:r>
            <w:r>
              <w:rPr>
                <w:rFonts w:hint="eastAsia" w:ascii="仿宋_GB2312" w:eastAsia="仿宋_GB2312"/>
                <w:sz w:val="32"/>
                <w:szCs w:val="32"/>
              </w:rPr>
              <w:t>（项）机关事业单位基本养老保险缴费支出</w:t>
            </w:r>
            <w:r>
              <w:rPr>
                <w:rFonts w:hint="eastAsia" w:ascii="仿宋_GB2312" w:eastAsia="仿宋_GB2312"/>
                <w:sz w:val="32"/>
                <w:szCs w:val="32"/>
                <w:lang w:val="en-US" w:eastAsia="zh-CN"/>
              </w:rPr>
              <w:t>1.02</w:t>
            </w:r>
            <w:r>
              <w:rPr>
                <w:rFonts w:hint="eastAsia" w:ascii="仿宋_GB2312" w:eastAsia="仿宋_GB2312"/>
                <w:sz w:val="32"/>
                <w:szCs w:val="32"/>
              </w:rPr>
              <w:t>万元，主要用于机关及下属事业单位按照规定标准为职工缴纳的养老保险支出。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（类）</w:t>
            </w:r>
            <w:r>
              <w:rPr>
                <w:rFonts w:ascii="仿宋_GB2312" w:eastAsia="仿宋_GB2312"/>
                <w:sz w:val="32"/>
                <w:szCs w:val="32"/>
              </w:rPr>
              <w:t>06</w:t>
            </w:r>
            <w:r>
              <w:rPr>
                <w:rFonts w:hint="eastAsia" w:ascii="仿宋_GB2312" w:eastAsia="仿宋_GB2312"/>
                <w:sz w:val="32"/>
                <w:szCs w:val="32"/>
              </w:rPr>
              <w:t>（项）机关事业单位职业年金缴费支出</w:t>
            </w:r>
            <w:r>
              <w:rPr>
                <w:rFonts w:hint="eastAsia" w:ascii="仿宋_GB2312" w:eastAsia="仿宋_GB2312"/>
                <w:sz w:val="32"/>
                <w:szCs w:val="32"/>
                <w:lang w:val="en-US" w:eastAsia="zh-CN"/>
              </w:rPr>
              <w:t>0.51</w:t>
            </w:r>
            <w:r>
              <w:rPr>
                <w:rFonts w:hint="eastAsia" w:ascii="仿宋_GB2312" w:eastAsia="仿宋_GB2312"/>
                <w:sz w:val="32"/>
                <w:szCs w:val="32"/>
              </w:rPr>
              <w:t>万元，主要用于机关及下属事业单位按照规定标准为职工缴纳的职业年金支出。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、医疗卫生与计划生育支出</w:t>
            </w:r>
            <w:r>
              <w:rPr>
                <w:rFonts w:ascii="仿宋_GB2312" w:eastAsia="仿宋_GB2312"/>
                <w:sz w:val="32"/>
                <w:szCs w:val="32"/>
              </w:rPr>
              <w:t>210</w:t>
            </w:r>
            <w:r>
              <w:rPr>
                <w:rFonts w:hint="eastAsia" w:ascii="仿宋_GB2312" w:eastAsia="仿宋_GB2312"/>
                <w:sz w:val="32"/>
                <w:szCs w:val="32"/>
              </w:rPr>
              <w:t>（款）</w:t>
            </w:r>
            <w:r>
              <w:rPr>
                <w:rFonts w:ascii="仿宋_GB2312" w:eastAsia="仿宋_GB2312"/>
                <w:sz w:val="32"/>
                <w:szCs w:val="32"/>
              </w:rPr>
              <w:t>11</w:t>
            </w:r>
            <w:r>
              <w:rPr>
                <w:rFonts w:hint="eastAsia" w:ascii="仿宋_GB2312" w:eastAsia="仿宋_GB2312"/>
                <w:sz w:val="32"/>
                <w:szCs w:val="32"/>
              </w:rPr>
              <w:t>（类）</w:t>
            </w:r>
            <w:r>
              <w:rPr>
                <w:rFonts w:ascii="仿宋_GB2312" w:eastAsia="仿宋_GB2312"/>
                <w:sz w:val="32"/>
                <w:szCs w:val="32"/>
              </w:rPr>
              <w:t>0</w:t>
            </w:r>
            <w:r>
              <w:rPr>
                <w:rFonts w:hint="eastAsia" w:ascii="仿宋_GB2312" w:eastAsia="仿宋_GB2312"/>
                <w:sz w:val="32"/>
                <w:szCs w:val="32"/>
                <w:lang w:val="en-US" w:eastAsia="zh-CN"/>
              </w:rPr>
              <w:t>2</w:t>
            </w:r>
            <w:r>
              <w:rPr>
                <w:rFonts w:hint="eastAsia" w:ascii="仿宋_GB2312" w:eastAsia="仿宋_GB2312"/>
                <w:sz w:val="32"/>
                <w:szCs w:val="32"/>
              </w:rPr>
              <w:t>（项）行政单位医疗支出</w:t>
            </w:r>
            <w:r>
              <w:rPr>
                <w:rFonts w:hint="eastAsia" w:ascii="仿宋_GB2312" w:eastAsia="仿宋_GB2312"/>
                <w:sz w:val="32"/>
                <w:szCs w:val="32"/>
                <w:lang w:val="en-US" w:eastAsia="zh-CN"/>
              </w:rPr>
              <w:t>0.41</w:t>
            </w:r>
            <w:r>
              <w:rPr>
                <w:rFonts w:hint="eastAsia" w:ascii="仿宋_GB2312" w:eastAsia="仿宋_GB2312"/>
                <w:sz w:val="32"/>
                <w:szCs w:val="32"/>
              </w:rPr>
              <w:t>万元，主要用于机关按照规定标准为职工缴纳的基本医疗保险及公务员医疗补助等支出和城乡医疗救助补助及城乡医疗救助支出。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（款）</w:t>
            </w:r>
            <w:r>
              <w:rPr>
                <w:rFonts w:ascii="仿宋_GB2312" w:eastAsia="仿宋_GB2312"/>
                <w:sz w:val="32"/>
                <w:szCs w:val="32"/>
              </w:rPr>
              <w:t>02</w:t>
            </w:r>
            <w:r>
              <w:rPr>
                <w:rFonts w:hint="eastAsia" w:ascii="仿宋_GB2312" w:eastAsia="仿宋_GB2312"/>
                <w:sz w:val="32"/>
                <w:szCs w:val="32"/>
              </w:rPr>
              <w:t>（类）</w:t>
            </w:r>
            <w:r>
              <w:rPr>
                <w:rFonts w:ascii="仿宋_GB2312" w:eastAsia="仿宋_GB2312"/>
                <w:sz w:val="32"/>
                <w:szCs w:val="32"/>
              </w:rPr>
              <w:t>01</w:t>
            </w:r>
            <w:r>
              <w:rPr>
                <w:rFonts w:hint="eastAsia" w:ascii="仿宋_GB2312" w:eastAsia="仿宋_GB2312"/>
                <w:sz w:val="32"/>
                <w:szCs w:val="32"/>
              </w:rPr>
              <w:t>（项）</w:t>
            </w:r>
            <w:r>
              <w:rPr>
                <w:rFonts w:hint="eastAsia" w:ascii="仿宋_GB2312" w:eastAsia="仿宋_GB2312"/>
                <w:sz w:val="32"/>
                <w:szCs w:val="32"/>
                <w:lang w:val="en-US" w:eastAsia="zh-CN"/>
              </w:rPr>
              <w:t>1.25</w:t>
            </w:r>
            <w:r>
              <w:rPr>
                <w:rFonts w:hint="eastAsia" w:ascii="仿宋_GB2312" w:eastAsia="仿宋_GB2312"/>
                <w:sz w:val="32"/>
                <w:szCs w:val="32"/>
              </w:rPr>
              <w:t>万元，用于按人力资源和社会保障部、财政部规定的基本工资和津贴补贴以及规定比例为职工缴纳的住房公积金支出。。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公墓管理处</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10.25</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9.64</w:t>
            </w:r>
            <w:r>
              <w:rPr>
                <w:rFonts w:hint="eastAsia" w:ascii="仿宋_GB2312" w:eastAsia="仿宋_GB2312"/>
                <w:sz w:val="32"/>
                <w:szCs w:val="32"/>
              </w:rPr>
              <w:t>万元，主要包括：基本工资、津贴补贴、绩效工资、奖金、社会保险缴费、职工遗属补助等。</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0.6</w:t>
            </w:r>
            <w:r>
              <w:rPr>
                <w:rFonts w:hint="eastAsia" w:ascii="仿宋_GB2312" w:eastAsia="仿宋_GB2312"/>
                <w:sz w:val="32"/>
                <w:szCs w:val="32"/>
              </w:rPr>
              <w:t>万元，主要包括：办公费、印刷费、手续费、水费、电费、公务用车费用、公务接待费用等。</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公墓管理处</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年“三公”经费预算数</w:t>
            </w:r>
            <w:r>
              <w:rPr>
                <w:rFonts w:hint="eastAsia" w:ascii="仿宋_GB2312" w:eastAsia="仿宋_GB2312"/>
                <w:sz w:val="32"/>
                <w:szCs w:val="32"/>
                <w:lang w:val="en-US" w:eastAsia="zh-CN"/>
              </w:rPr>
              <w:t>7</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7</w:t>
            </w:r>
            <w:r>
              <w:rPr>
                <w:rFonts w:hint="eastAsia" w:ascii="仿宋_GB2312" w:eastAsia="仿宋_GB2312"/>
                <w:sz w:val="32"/>
                <w:szCs w:val="32"/>
              </w:rPr>
              <w:t>万元。因公出国（境）经费</w:t>
            </w:r>
            <w:r>
              <w:rPr>
                <w:rFonts w:ascii="仿宋_GB2312" w:eastAsia="仿宋_GB2312"/>
                <w:sz w:val="32"/>
                <w:szCs w:val="32"/>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7</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b/>
                <w:sz w:val="32"/>
                <w:szCs w:val="32"/>
              </w:rPr>
              <w:t>无因公出国（境）预算。</w:t>
            </w:r>
            <w:r>
              <w:rPr>
                <w:rFonts w:ascii="仿宋_GB2312" w:eastAsia="仿宋_GB2312"/>
                <w:b/>
                <w:sz w:val="32"/>
                <w:szCs w:val="32"/>
              </w:rPr>
              <w:t>2021</w:t>
            </w:r>
            <w:r>
              <w:rPr>
                <w:rFonts w:hint="eastAsia" w:ascii="仿宋_GB2312" w:eastAsia="仿宋_GB2312"/>
                <w:b/>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w:t>
            </w:r>
            <w:r>
              <w:rPr>
                <w:rFonts w:hint="eastAsia" w:ascii="仿宋_GB2312" w:eastAsia="仿宋_GB2312"/>
                <w:sz w:val="32"/>
                <w:szCs w:val="32"/>
                <w:lang w:val="en-US" w:eastAsia="zh-CN"/>
              </w:rPr>
              <w:t>0万元</w:t>
            </w:r>
            <w:r>
              <w:rPr>
                <w:rFonts w:hint="eastAsia" w:ascii="仿宋_GB2312" w:eastAsia="仿宋_GB2312"/>
                <w:sz w:val="32"/>
                <w:szCs w:val="32"/>
              </w:rPr>
              <w:t>。</w:t>
            </w:r>
          </w:p>
          <w:p>
            <w:pPr>
              <w:pStyle w:val="14"/>
            </w:pPr>
            <w:r>
              <w:t>2021</w:t>
            </w:r>
            <w:r>
              <w:rPr>
                <w:rFonts w:hint="eastAsia"/>
              </w:rPr>
              <w:t>年公务接待费计划用于：</w:t>
            </w:r>
          </w:p>
          <w:p>
            <w:pPr>
              <w:pStyle w:val="14"/>
            </w:pPr>
            <w:r>
              <w:rPr>
                <w:rFonts w:hint="eastAsia"/>
              </w:rPr>
              <w:t>（</w:t>
            </w:r>
            <w:r>
              <w:t>1</w:t>
            </w:r>
            <w:r>
              <w:rPr>
                <w:rFonts w:hint="eastAsia"/>
              </w:rPr>
              <w:t>）、上级检查。</w:t>
            </w:r>
          </w:p>
          <w:p>
            <w:pPr>
              <w:pStyle w:val="14"/>
            </w:pPr>
            <w:r>
              <w:rPr>
                <w:rFonts w:hint="eastAsia"/>
              </w:rPr>
              <w:t>（</w:t>
            </w:r>
            <w:r>
              <w:t>2</w:t>
            </w:r>
            <w:r>
              <w:rPr>
                <w:rFonts w:hint="eastAsia"/>
              </w:rPr>
              <w:t>）、省内外来宾考察学习参观峨眉山市养老建设、殡葬事业等。</w:t>
            </w:r>
          </w:p>
          <w:p>
            <w:pPr>
              <w:pStyle w:val="14"/>
            </w:pPr>
            <w:r>
              <w:rPr>
                <w:rFonts w:hint="eastAsia"/>
              </w:rPr>
              <w:t>（</w:t>
            </w:r>
            <w:r>
              <w:t>3</w:t>
            </w:r>
            <w:r>
              <w:rPr>
                <w:rFonts w:hint="eastAsia"/>
              </w:rPr>
              <w:t>）、周边区县学习交流。</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公务用车购置及运行维护费</w:t>
            </w:r>
            <w:r>
              <w:rPr>
                <w:rFonts w:hint="eastAsia" w:ascii="仿宋_GB2312" w:eastAsia="仿宋_GB2312"/>
                <w:sz w:val="32"/>
                <w:szCs w:val="32"/>
                <w:lang w:val="en-US" w:eastAsia="zh-CN"/>
              </w:rPr>
              <w:t>7</w:t>
            </w:r>
            <w:r>
              <w:rPr>
                <w:rFonts w:hint="eastAsia" w:ascii="仿宋_GB2312" w:eastAsia="仿宋_GB2312"/>
                <w:sz w:val="32"/>
                <w:szCs w:val="32"/>
              </w:rPr>
              <w:t>万元。单财政拨款公务用车</w:t>
            </w:r>
            <w:r>
              <w:rPr>
                <w:rFonts w:hint="eastAsia" w:ascii="仿宋_GB2312" w:eastAsia="仿宋_GB2312"/>
                <w:sz w:val="32"/>
                <w:szCs w:val="32"/>
                <w:lang w:val="en-US" w:eastAsia="zh-CN"/>
              </w:rPr>
              <w:t>1</w:t>
            </w:r>
            <w:r>
              <w:rPr>
                <w:rFonts w:hint="eastAsia" w:ascii="仿宋_GB2312" w:eastAsia="仿宋_GB2312"/>
                <w:sz w:val="32"/>
                <w:szCs w:val="32"/>
              </w:rPr>
              <w:t>辆，其中：多功能乘用车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年安排公务用车购置费</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年安排公务用车运行维护</w:t>
            </w:r>
            <w:r>
              <w:rPr>
                <w:rFonts w:hint="eastAsia" w:ascii="仿宋_GB2312" w:eastAsia="仿宋_GB2312"/>
                <w:sz w:val="32"/>
                <w:szCs w:val="32"/>
                <w:lang w:val="en-US" w:eastAsia="zh-CN"/>
              </w:rPr>
              <w:t>7</w:t>
            </w:r>
            <w:r>
              <w:rPr>
                <w:rFonts w:hint="eastAsia" w:ascii="仿宋_GB2312" w:eastAsia="仿宋_GB2312"/>
                <w:sz w:val="32"/>
                <w:szCs w:val="32"/>
              </w:rPr>
              <w:t>万元，用于峨眉山市民政局及下属单位社会救助、福利、社区规划建设、殡葬等民政事务所需的公务用车燃料费、维修费、过路过桥费、保险费支出。</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（一）运行经费。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公墓管理处</w:t>
            </w:r>
            <w:r>
              <w:rPr>
                <w:rFonts w:hint="eastAsia" w:ascii="仿宋_GB2312" w:eastAsia="仿宋_GB2312"/>
                <w:sz w:val="32"/>
                <w:szCs w:val="32"/>
              </w:rPr>
              <w:t>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7</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公墓管理处</w:t>
            </w:r>
            <w:r>
              <w:rPr>
                <w:rFonts w:hint="eastAsia" w:ascii="仿宋_GB2312" w:eastAsia="仿宋_GB2312"/>
                <w:sz w:val="32"/>
                <w:szCs w:val="32"/>
              </w:rPr>
              <w:t>安排政府采购预算</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eastAsia="zh-CN"/>
              </w:rPr>
              <w:t>公墓管理处</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w:t>
            </w:r>
            <w:r>
              <w:rPr>
                <w:rFonts w:hint="eastAsia" w:ascii="仿宋_GB2312" w:eastAsia="仿宋_GB2312"/>
                <w:sz w:val="32"/>
                <w:szCs w:val="32"/>
                <w:lang w:val="en-US" w:eastAsia="zh-CN"/>
              </w:rPr>
              <w:t>27.85</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 xml:space="preserve">    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公墓管理处</w:t>
            </w:r>
            <w:r>
              <w:rPr>
                <w:rFonts w:hint="eastAsia" w:ascii="仿宋_GB2312" w:eastAsia="仿宋_GB2312"/>
                <w:sz w:val="32"/>
                <w:szCs w:val="32"/>
              </w:rPr>
              <w:t>预算安排购置车辆</w:t>
            </w:r>
            <w:r>
              <w:rPr>
                <w:rFonts w:ascii="仿宋_GB2312" w:eastAsia="仿宋_GB2312"/>
                <w:sz w:val="32"/>
                <w:szCs w:val="32"/>
              </w:rPr>
              <w:t>0</w:t>
            </w:r>
            <w:r>
              <w:rPr>
                <w:rFonts w:hint="eastAsia" w:ascii="仿宋_GB2312" w:eastAsia="仿宋_GB2312"/>
                <w:sz w:val="32"/>
                <w:szCs w:val="32"/>
              </w:rPr>
              <w:t>辆及单位价值</w:t>
            </w:r>
            <w:r>
              <w:rPr>
                <w:rFonts w:ascii="仿宋_GB2312" w:eastAsia="仿宋_GB2312"/>
                <w:sz w:val="32"/>
                <w:szCs w:val="32"/>
              </w:rPr>
              <w:t>200</w:t>
            </w:r>
            <w:r>
              <w:rPr>
                <w:rFonts w:hint="eastAsia" w:ascii="仿宋_GB2312" w:eastAsia="仿宋_GB2312"/>
                <w:sz w:val="32"/>
                <w:szCs w:val="32"/>
              </w:rPr>
              <w:t>万元以上大型设备</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公墓管理处</w:t>
            </w:r>
            <w:r>
              <w:rPr>
                <w:rFonts w:hint="eastAsia" w:ascii="仿宋_GB2312" w:eastAsia="仿宋_GB2312"/>
                <w:sz w:val="32"/>
                <w:szCs w:val="32"/>
              </w:rPr>
              <w:t>按要求实行绩效目标管理，部门整体绩效目标涉及预算安排</w:t>
            </w:r>
            <w:r>
              <w:rPr>
                <w:rFonts w:hint="eastAsia" w:ascii="仿宋_GB2312" w:eastAsia="仿宋_GB2312"/>
                <w:sz w:val="32"/>
                <w:szCs w:val="32"/>
                <w:lang w:val="en-US" w:eastAsia="zh-CN"/>
              </w:rPr>
              <w:t>368.52</w:t>
            </w:r>
            <w:r>
              <w:rPr>
                <w:rFonts w:hint="eastAsia" w:ascii="仿宋_GB2312" w:eastAsia="仿宋_GB2312"/>
                <w:sz w:val="32"/>
                <w:szCs w:val="32"/>
              </w:rPr>
              <w:t>万元，其中基本支出</w:t>
            </w:r>
            <w:r>
              <w:rPr>
                <w:rFonts w:hint="eastAsia" w:ascii="仿宋_GB2312" w:eastAsia="仿宋_GB2312"/>
                <w:sz w:val="32"/>
                <w:szCs w:val="32"/>
                <w:lang w:val="en-US" w:eastAsia="zh-CN"/>
              </w:rPr>
              <w:t>10.25</w:t>
            </w:r>
            <w:r>
              <w:rPr>
                <w:rFonts w:hint="eastAsia" w:ascii="仿宋_GB2312" w:eastAsia="仿宋_GB2312"/>
                <w:sz w:val="32"/>
                <w:szCs w:val="32"/>
              </w:rPr>
              <w:t>万元，项目支出</w:t>
            </w:r>
            <w:r>
              <w:rPr>
                <w:rFonts w:hint="eastAsia" w:ascii="仿宋_GB2312" w:eastAsia="仿宋_GB2312"/>
                <w:sz w:val="32"/>
                <w:szCs w:val="32"/>
                <w:lang w:val="en-US" w:eastAsia="zh-CN"/>
              </w:rPr>
              <w:t>358.27</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368.52</w:t>
            </w:r>
            <w:r>
              <w:rPr>
                <w:rFonts w:hint="eastAsia" w:ascii="仿宋_GB2312" w:eastAsia="仿宋_GB2312"/>
                <w:sz w:val="32"/>
                <w:szCs w:val="32"/>
              </w:rPr>
              <w:t>万元，主要为</w:t>
            </w:r>
            <w:r>
              <w:rPr>
                <w:rFonts w:hint="eastAsia" w:ascii="仿宋_GB2312" w:eastAsia="仿宋_GB2312"/>
                <w:sz w:val="32"/>
                <w:szCs w:val="32"/>
                <w:lang w:eastAsia="zh-CN"/>
              </w:rPr>
              <w:t>惠民殡葬</w:t>
            </w:r>
            <w:r>
              <w:rPr>
                <w:rFonts w:hint="eastAsia" w:ascii="仿宋_GB2312" w:eastAsia="仿宋_GB2312"/>
                <w:sz w:val="32"/>
                <w:szCs w:val="32"/>
              </w:rPr>
              <w:t>，单位运转等项目。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1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财政拨款收支情况：指一般公共预算、政府性基金预算、国有资产经营预算拨款收支情况。</w:t>
            </w:r>
            <w:r>
              <w:rPr>
                <w:rFonts w:ascii="仿宋_GB2312" w:eastAsia="仿宋_GB2312"/>
                <w:sz w:val="32"/>
                <w:szCs w:val="32"/>
              </w:rPr>
              <w:t xml:space="preserve"> </w:t>
            </w:r>
          </w:p>
          <w:p>
            <w:pPr>
              <w:pStyle w:val="1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一般公共预算拨款收入：指本级财政当年拨付的资金。</w:t>
            </w:r>
          </w:p>
          <w:p>
            <w:pPr>
              <w:pStyle w:val="13"/>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其他收入：指除“财政拨款收入”、“事业收入”、“经营收入”等以外的收入。主要是民政福利院、民政中心社会老人居住的缴费等。</w:t>
            </w:r>
            <w:r>
              <w:rPr>
                <w:rFonts w:ascii="仿宋_GB2312" w:eastAsia="仿宋_GB2312"/>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（类）</w:t>
            </w:r>
            <w:r>
              <w:rPr>
                <w:rFonts w:ascii="仿宋_GB2312" w:eastAsia="仿宋_GB2312"/>
                <w:sz w:val="32"/>
                <w:szCs w:val="32"/>
              </w:rPr>
              <w:t>05</w:t>
            </w:r>
            <w:r>
              <w:rPr>
                <w:rFonts w:hint="eastAsia" w:ascii="仿宋_GB2312" w:eastAsia="仿宋_GB2312"/>
                <w:sz w:val="32"/>
                <w:szCs w:val="32"/>
              </w:rPr>
              <w:t>（项）</w:t>
            </w:r>
            <w:r>
              <w:rPr>
                <w:rFonts w:hint="eastAsia" w:ascii="仿宋_GB2312" w:eastAsia="仿宋_GB2312"/>
                <w:color w:val="000000"/>
                <w:sz w:val="32"/>
                <w:szCs w:val="32"/>
              </w:rPr>
              <w:t>指反映机关事业单位实施养老保险制度由单位缴纳的养老保险支出。</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（类）</w:t>
            </w:r>
            <w:r>
              <w:rPr>
                <w:rFonts w:ascii="仿宋_GB2312" w:eastAsia="仿宋_GB2312"/>
                <w:sz w:val="32"/>
                <w:szCs w:val="32"/>
              </w:rPr>
              <w:t>06</w:t>
            </w:r>
            <w:r>
              <w:rPr>
                <w:rFonts w:hint="eastAsia" w:ascii="仿宋_GB2312" w:eastAsia="仿宋_GB2312"/>
                <w:sz w:val="32"/>
                <w:szCs w:val="32"/>
              </w:rPr>
              <w:t>（项）</w:t>
            </w:r>
            <w:r>
              <w:rPr>
                <w:rFonts w:hint="eastAsia" w:ascii="仿宋_GB2312" w:eastAsia="仿宋_GB2312"/>
                <w:color w:val="000000"/>
                <w:sz w:val="32"/>
                <w:szCs w:val="32"/>
              </w:rPr>
              <w:t>指反映机关事业单位实施职业年金制度由单位缴纳的职业年金支出。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10</w:t>
            </w:r>
            <w:r>
              <w:rPr>
                <w:rFonts w:hint="eastAsia" w:ascii="仿宋_GB2312" w:eastAsia="仿宋_GB2312"/>
                <w:sz w:val="32"/>
                <w:szCs w:val="32"/>
              </w:rPr>
              <w:t>（类）</w:t>
            </w:r>
            <w:r>
              <w:rPr>
                <w:rFonts w:ascii="仿宋_GB2312" w:eastAsia="仿宋_GB2312"/>
                <w:sz w:val="32"/>
                <w:szCs w:val="32"/>
              </w:rPr>
              <w:t>04</w:t>
            </w:r>
            <w:r>
              <w:rPr>
                <w:rFonts w:hint="eastAsia" w:ascii="仿宋_GB2312" w:eastAsia="仿宋_GB2312"/>
                <w:sz w:val="32"/>
                <w:szCs w:val="32"/>
              </w:rPr>
              <w:t>（项）</w:t>
            </w:r>
            <w:r>
              <w:rPr>
                <w:rFonts w:hint="eastAsia" w:ascii="仿宋_GB2312" w:eastAsia="仿宋_GB2312"/>
                <w:color w:val="000000"/>
                <w:sz w:val="32"/>
                <w:szCs w:val="32"/>
              </w:rPr>
              <w:t>指财政对民政及其他部门举办的火葬场等殡仪事业单位的补助支出等。</w:t>
            </w:r>
          </w:p>
          <w:p>
            <w:pPr>
              <w:spacing w:line="600" w:lineRule="exact"/>
              <w:ind w:firstLine="627" w:firstLineChars="196"/>
              <w:rPr>
                <w:rFonts w:ascii="仿宋_GB2312" w:eastAsia="仿宋_GB2312"/>
                <w:color w:val="000000"/>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、医疗卫生与计划生育支出</w:t>
            </w:r>
            <w:r>
              <w:rPr>
                <w:rFonts w:ascii="仿宋_GB2312" w:eastAsia="仿宋_GB2312"/>
                <w:sz w:val="32"/>
                <w:szCs w:val="32"/>
              </w:rPr>
              <w:t>210</w:t>
            </w:r>
            <w:r>
              <w:rPr>
                <w:rFonts w:hint="eastAsia" w:ascii="仿宋_GB2312" w:eastAsia="仿宋_GB2312"/>
                <w:sz w:val="32"/>
                <w:szCs w:val="32"/>
              </w:rPr>
              <w:t>（款）</w:t>
            </w:r>
            <w:r>
              <w:rPr>
                <w:rFonts w:ascii="仿宋_GB2312" w:eastAsia="仿宋_GB2312"/>
                <w:sz w:val="32"/>
                <w:szCs w:val="32"/>
              </w:rPr>
              <w:t>11</w:t>
            </w:r>
            <w:r>
              <w:rPr>
                <w:rFonts w:hint="eastAsia" w:ascii="仿宋_GB2312" w:eastAsia="仿宋_GB2312"/>
                <w:sz w:val="32"/>
                <w:szCs w:val="32"/>
              </w:rPr>
              <w:t>（类）</w:t>
            </w:r>
            <w:r>
              <w:rPr>
                <w:rFonts w:ascii="仿宋_GB2312" w:eastAsia="仿宋_GB2312"/>
                <w:sz w:val="32"/>
                <w:szCs w:val="32"/>
              </w:rPr>
              <w:t>02</w:t>
            </w:r>
            <w:r>
              <w:rPr>
                <w:rFonts w:hint="eastAsia" w:ascii="仿宋_GB2312" w:eastAsia="仿宋_GB2312"/>
                <w:sz w:val="32"/>
                <w:szCs w:val="32"/>
              </w:rPr>
              <w:t>（项）</w:t>
            </w:r>
            <w:r>
              <w:rPr>
                <w:rFonts w:hint="eastAsia" w:ascii="仿宋_GB2312" w:eastAsia="仿宋_GB2312"/>
                <w:color w:val="000000"/>
                <w:sz w:val="32"/>
                <w:szCs w:val="32"/>
              </w:rPr>
              <w:t>指财政部门集中安排的事业单位基本医疗缴费经费，按国家规定享受离休人员待遇人员的医疗经费</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（款）</w:t>
            </w:r>
            <w:r>
              <w:rPr>
                <w:rFonts w:ascii="仿宋_GB2312" w:eastAsia="仿宋_GB2312"/>
                <w:sz w:val="32"/>
                <w:szCs w:val="32"/>
              </w:rPr>
              <w:t>02</w:t>
            </w:r>
            <w:r>
              <w:rPr>
                <w:rFonts w:hint="eastAsia" w:ascii="仿宋_GB2312" w:eastAsia="仿宋_GB2312"/>
                <w:sz w:val="32"/>
                <w:szCs w:val="32"/>
              </w:rPr>
              <w:t>（类）</w:t>
            </w:r>
            <w:r>
              <w:rPr>
                <w:rFonts w:ascii="仿宋_GB2312" w:eastAsia="仿宋_GB2312"/>
                <w:sz w:val="32"/>
                <w:szCs w:val="32"/>
              </w:rPr>
              <w:t>01</w:t>
            </w:r>
            <w:r>
              <w:rPr>
                <w:rFonts w:hint="eastAsia" w:ascii="仿宋_GB2312" w:eastAsia="仿宋_GB2312"/>
                <w:sz w:val="32"/>
                <w:szCs w:val="32"/>
              </w:rPr>
              <w:t>（项）</w:t>
            </w:r>
            <w:r>
              <w:rPr>
                <w:rFonts w:hint="eastAsia" w:ascii="仿宋_GB2312" w:eastAsia="仿宋_GB2312" w:cs="仿宋"/>
                <w:color w:val="000000"/>
                <w:kern w:val="0"/>
                <w:sz w:val="32"/>
                <w:szCs w:val="32"/>
              </w:rPr>
              <w:t>指用于机关及下属事业单位按照规定标准为职工缴纳住房公积金等支出。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1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 xml:space="preserve">. </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snapToGrid/>
              <w:spacing w:line="600" w:lineRule="exact"/>
              <w:jc w:val="both"/>
              <w:textAlignment w:val="auto"/>
              <w:outlineLvl w:val="0"/>
              <w:rPr>
                <w:rFonts w:hint="eastAsia" w:ascii="宋体"/>
                <w:b/>
                <w:color w:val="000000"/>
                <w:sz w:val="44"/>
                <w:szCs w:val="44"/>
                <w:lang w:eastAsia="zh-CN"/>
              </w:rPr>
            </w:pPr>
          </w:p>
          <w:p>
            <w:pPr>
              <w:keepNext w:val="0"/>
              <w:keepLines w:val="0"/>
              <w:pageBreakBefore w:val="0"/>
              <w:kinsoku/>
              <w:wordWrap/>
              <w:overflowPunct/>
              <w:topLinePunct w:val="0"/>
              <w:autoSpaceDE/>
              <w:autoSpaceDN/>
              <w:bidi w:val="0"/>
              <w:snapToGrid/>
              <w:spacing w:line="600" w:lineRule="exact"/>
              <w:jc w:val="both"/>
              <w:textAlignment w:val="auto"/>
              <w:outlineLvl w:val="0"/>
              <w:rPr>
                <w:rFonts w:hint="eastAsia" w:ascii="宋体"/>
                <w:b/>
                <w:color w:val="000000"/>
                <w:sz w:val="44"/>
                <w:szCs w:val="44"/>
                <w:lang w:eastAsia="zh-CN"/>
              </w:rPr>
            </w:pPr>
          </w:p>
          <w:p>
            <w:pPr>
              <w:keepNext w:val="0"/>
              <w:keepLines w:val="0"/>
              <w:pageBreakBefore w:val="0"/>
              <w:kinsoku/>
              <w:wordWrap/>
              <w:overflowPunct/>
              <w:topLinePunct w:val="0"/>
              <w:autoSpaceDE/>
              <w:autoSpaceDN/>
              <w:bidi w:val="0"/>
              <w:snapToGrid/>
              <w:spacing w:line="600" w:lineRule="exact"/>
              <w:jc w:val="both"/>
              <w:textAlignment w:val="auto"/>
              <w:outlineLvl w:val="0"/>
              <w:rPr>
                <w:rFonts w:hint="default" w:ascii="宋体" w:eastAsia="宋体"/>
                <w:b/>
                <w:color w:val="000000"/>
                <w:sz w:val="44"/>
                <w:szCs w:val="44"/>
                <w:lang w:val="en-US" w:eastAsia="zh-CN"/>
              </w:rPr>
            </w:pPr>
            <w:bookmarkStart w:id="39" w:name="_GoBack"/>
            <w:bookmarkEnd w:id="39"/>
            <w:r>
              <w:rPr>
                <w:rFonts w:hint="eastAsia" w:ascii="宋体"/>
                <w:b/>
                <w:color w:val="000000"/>
                <w:sz w:val="44"/>
                <w:szCs w:val="44"/>
                <w:lang w:eastAsia="zh-CN"/>
              </w:rPr>
              <w:t>附件</w:t>
            </w:r>
            <w:r>
              <w:rPr>
                <w:rFonts w:hint="eastAsia" w:ascii="宋体"/>
                <w:b/>
                <w:color w:val="000000"/>
                <w:sz w:val="44"/>
                <w:szCs w:val="44"/>
                <w:lang w:val="en-US" w:eastAsia="zh-CN"/>
              </w:rPr>
              <w:t>1</w:t>
            </w:r>
          </w:p>
          <w:p>
            <w:pPr>
              <w:keepNext w:val="0"/>
              <w:keepLines w:val="0"/>
              <w:pageBreakBefore w:val="0"/>
              <w:kinsoku/>
              <w:wordWrap/>
              <w:overflowPunct/>
              <w:topLinePunct w:val="0"/>
              <w:autoSpaceDE/>
              <w:autoSpaceDN/>
              <w:bidi w:val="0"/>
              <w:snapToGrid/>
              <w:spacing w:line="600" w:lineRule="exact"/>
              <w:jc w:val="center"/>
              <w:textAlignment w:val="auto"/>
              <w:outlineLvl w:val="0"/>
              <w:rPr>
                <w:rFonts w:ascii="宋体"/>
                <w:b/>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Style w:val="10"/>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color w:val="000000"/>
                <w:sz w:val="44"/>
                <w:szCs w:val="44"/>
              </w:rPr>
              <w:t>第</w:t>
            </w:r>
            <w:r>
              <w:rPr>
                <w:rStyle w:val="10"/>
                <w:rFonts w:hint="eastAsia" w:ascii="方正小标宋_GBK" w:hAnsi="方正小标宋_GBK" w:eastAsia="方正小标宋_GBK" w:cs="方正小标宋_GBK"/>
                <w:b w:val="0"/>
                <w:bCs w:val="0"/>
              </w:rPr>
              <w:t>四部分 附件</w:t>
            </w:r>
          </w:p>
          <w:p>
            <w:pPr>
              <w:keepNext w:val="0"/>
              <w:keepLines w:val="0"/>
              <w:pageBreakBefore w:val="0"/>
              <w:kinsoku/>
              <w:wordWrap/>
              <w:overflowPunct/>
              <w:topLinePunct w:val="0"/>
              <w:autoSpaceDE/>
              <w:autoSpaceDN/>
              <w:bidi w:val="0"/>
              <w:spacing w:line="600" w:lineRule="exact"/>
              <w:jc w:val="left"/>
              <w:textAlignment w:val="auto"/>
              <w:outlineLvl w:val="0"/>
              <w:rPr>
                <w:rFonts w:ascii="方正小标宋简体" w:hAnsi="方正小标宋简体" w:eastAsia="方正小标宋简体" w:cs="方正小标宋简体"/>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峨眉山市公墓服务中心</w:t>
            </w: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lang w:val="en-US" w:eastAsia="zh-CN"/>
              </w:rPr>
              <w:t>1</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keepNext w:val="0"/>
              <w:keepLines w:val="0"/>
              <w:pageBreakBefore w:val="0"/>
              <w:widowControl/>
              <w:kinsoku/>
              <w:wordWrap/>
              <w:overflowPunct/>
              <w:topLinePunct w:val="0"/>
              <w:autoSpaceDE/>
              <w:autoSpaceDN/>
              <w:bidi w:val="0"/>
              <w:spacing w:line="600" w:lineRule="exact"/>
              <w:ind w:firstLine="640" w:firstLineChars="200"/>
              <w:contextualSpacing/>
              <w:jc w:val="center"/>
              <w:textAlignment w:val="auto"/>
              <w:rPr>
                <w:rFonts w:ascii="仿宋_GB2312" w:hAnsi="宋体" w:eastAsia="仿宋_GB2312"/>
                <w:sz w:val="32"/>
                <w:szCs w:val="32"/>
                <w:shd w:val="clear" w:color="auto" w:fill="FFFFFF"/>
              </w:rPr>
            </w:pPr>
          </w:p>
          <w:p>
            <w:pPr>
              <w:pStyle w:val="13"/>
              <w:spacing w:line="560" w:lineRule="exact"/>
              <w:ind w:firstLine="640" w:firstLineChars="200"/>
              <w:rPr>
                <w:rFonts w:hint="eastAsia" w:ascii="仿宋_GB2312" w:eastAsia="仿宋_GB2312"/>
                <w:sz w:val="32"/>
                <w:szCs w:val="32"/>
              </w:rPr>
            </w:pPr>
          </w:p>
          <w:p>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pPr>
              <w:widowControl/>
              <w:jc w:val="center"/>
              <w:textAlignment w:val="center"/>
              <w:rPr>
                <w:rFonts w:hint="eastAsia" w:ascii="方正小标宋_GBK" w:hAnsi="方正小标宋_GBK" w:eastAsia="方正小标宋_GBK" w:cs="方正小标宋_GBK"/>
                <w:b w:val="0"/>
                <w:bCs w:val="0"/>
                <w:color w:val="000000"/>
                <w:kern w:val="0"/>
                <w:sz w:val="36"/>
                <w:szCs w:val="36"/>
                <w:lang w:eastAsia="zh-CN" w:bidi="ar"/>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p>
          <w:p>
            <w:pPr>
              <w:widowControl/>
              <w:jc w:val="center"/>
              <w:textAlignment w:val="center"/>
              <w:rPr>
                <w:rFonts w:ascii="宋体" w:cs="宋体"/>
                <w:color w:val="000000"/>
                <w:sz w:val="36"/>
                <w:szCs w:val="36"/>
              </w:rPr>
            </w:pPr>
            <w:r>
              <w:rPr>
                <w:rFonts w:hint="eastAsia" w:ascii="楷体_GB2312" w:hAnsi="楷体_GB2312" w:eastAsia="楷体_GB2312" w:cs="楷体_GB2312"/>
                <w:color w:val="000000"/>
                <w:kern w:val="0"/>
                <w:sz w:val="32"/>
                <w:szCs w:val="32"/>
                <w:lang w:bidi="ar"/>
              </w:rPr>
              <w:t>(202</w:t>
            </w:r>
            <w:r>
              <w:rPr>
                <w:rFonts w:hint="eastAsia" w:ascii="楷体_GB2312" w:hAnsi="楷体_GB2312" w:eastAsia="楷体_GB2312" w:cs="楷体_GB2312"/>
                <w:color w:val="000000"/>
                <w:kern w:val="0"/>
                <w:sz w:val="32"/>
                <w:szCs w:val="32"/>
                <w:lang w:val="en-US" w:eastAsia="zh-CN" w:bidi="ar"/>
              </w:rPr>
              <w:t>1</w:t>
            </w:r>
            <w:r>
              <w:rPr>
                <w:rFonts w:hint="eastAsia" w:ascii="楷体_GB2312" w:hAnsi="楷体_GB2312" w:eastAsia="楷体_GB2312" w:cs="楷体_GB2312"/>
                <w:color w:val="000000"/>
                <w:kern w:val="0"/>
                <w:sz w:val="32"/>
                <w:szCs w:val="32"/>
                <w:lang w:bidi="ar"/>
              </w:rPr>
              <w:t>年度)</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32"/>
                <w:szCs w:val="32"/>
                <w:lang w:eastAsia="zh-CN"/>
              </w:rPr>
              <w:t>殡葬运转经费</w:t>
            </w:r>
          </w:p>
        </w:tc>
      </w:tr>
      <w:tr>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1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峨眉山市民政中心</w:t>
            </w: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363万元</w:t>
            </w:r>
          </w:p>
        </w:tc>
      </w:tr>
      <w:tr>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363万元</w:t>
            </w:r>
          </w:p>
        </w:tc>
      </w:tr>
      <w:tr>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3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保障机构正常运转，提升服务质量，提升满意度</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机构正常运转、人员经费正常开支，提升了服务质量与满意度</w:t>
            </w:r>
          </w:p>
        </w:tc>
      </w:tr>
      <w:tr>
        <w:tblPrEx>
          <w:tblCellMar>
            <w:top w:w="0" w:type="dxa"/>
            <w:left w:w="0" w:type="dxa"/>
            <w:bottom w:w="0" w:type="dxa"/>
            <w:right w:w="0" w:type="dxa"/>
          </w:tblCellMar>
        </w:tblPrEx>
        <w:trPr>
          <w:trHeight w:val="712" w:hRule="atLeast"/>
          <w:jc w:val="center"/>
        </w:trPr>
        <w:tc>
          <w:tcPr>
            <w:tcW w:w="8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748"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人员工资及保险</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人员基本保障</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p>
            <w:pPr>
              <w:widowControl/>
              <w:jc w:val="both"/>
              <w:textAlignment w:val="center"/>
              <w:rPr>
                <w:rFonts w:hint="default" w:ascii="仿宋_GB2312" w:hAnsi="仿宋_GB2312" w:eastAsia="仿宋_GB2312" w:cs="仿宋_GB2312"/>
                <w:color w:val="000000"/>
                <w:sz w:val="24"/>
                <w:lang w:val="en-US" w:eastAsia="zh-CN"/>
              </w:rPr>
            </w:pPr>
          </w:p>
        </w:tc>
      </w:tr>
      <w:tr>
        <w:tblPrEx>
          <w:tblCellMar>
            <w:top w:w="0" w:type="dxa"/>
            <w:left w:w="0" w:type="dxa"/>
            <w:bottom w:w="0" w:type="dxa"/>
            <w:right w:w="0" w:type="dxa"/>
          </w:tblCellMar>
        </w:tblPrEx>
        <w:trPr>
          <w:trHeight w:val="80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机构正常运转</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水电气设施设备正常</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r>
        <w:tblPrEx>
          <w:tblCellMar>
            <w:top w:w="0" w:type="dxa"/>
            <w:left w:w="0" w:type="dxa"/>
            <w:bottom w:w="0" w:type="dxa"/>
            <w:right w:w="0" w:type="dxa"/>
          </w:tblCellMar>
        </w:tblPrEx>
        <w:trPr>
          <w:trHeight w:val="79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7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82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60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6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服务质量提升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r>
        <w:tblPrEx>
          <w:tblCellMar>
            <w:top w:w="0" w:type="dxa"/>
            <w:left w:w="0" w:type="dxa"/>
            <w:bottom w:w="0" w:type="dxa"/>
            <w:right w:w="0" w:type="dxa"/>
          </w:tblCellMar>
        </w:tblPrEx>
        <w:trPr>
          <w:trHeight w:val="64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57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jc w:val="center"/>
        </w:trPr>
        <w:tc>
          <w:tcPr>
            <w:tcW w:w="8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满意诶提升</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r>
    </w:tbl>
    <w:p>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峨眉山市公墓服务中心</w:t>
      </w:r>
      <w:r>
        <w:rPr>
          <w:rFonts w:hint="eastAsia" w:ascii="仿宋_GB2312" w:hAnsi="仿宋_GB2312" w:eastAsia="仿宋_GB2312" w:cs="仿宋_GB2312"/>
          <w:sz w:val="32"/>
          <w:szCs w:val="32"/>
        </w:rPr>
        <w:t>2020年部门整体支出绩效评价报告》见附件（附件1）。</w:t>
      </w:r>
    </w:p>
    <w:p>
      <w:pPr>
        <w:spacing w:line="58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管护人员工资、保险及机构运行经费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峨眉山市公墓服务中心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绩效评价报告》见附件（附件2）。（非涉密部门均需公开部门整体支出评价报告，部门自行组织的绩效评价情况根据部门实际公开，若未组织项目绩效评价，则只需说明部门整体支出绩效评价情况）</w:t>
      </w:r>
    </w:p>
    <w:p>
      <w:pPr>
        <w:snapToGrid w:val="0"/>
        <w:spacing w:line="520" w:lineRule="exact"/>
        <w:rPr>
          <w:rFonts w:ascii="仿宋_GB2312" w:hAnsi="仿宋_GB2312" w:eastAsia="仿宋_GB2312" w:cs="仿宋_GB2312"/>
          <w:sz w:val="32"/>
          <w:szCs w:val="32"/>
        </w:rPr>
      </w:pPr>
      <w:r>
        <w:rPr>
          <w:rFonts w:ascii="仿宋_GB2312" w:eastAsia="仿宋_GB2312"/>
          <w:b/>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25" w:name="_Toc15396618"/>
      <w:r>
        <w:rPr>
          <w:rFonts w:hint="eastAsia" w:ascii="方正小标宋_GBK" w:hAnsi="方正小标宋_GBK" w:eastAsia="方正小标宋_GBK" w:cs="方正小标宋_GBK"/>
          <w:sz w:val="44"/>
          <w:szCs w:val="44"/>
        </w:rPr>
        <w:t>第五部分 附表</w:t>
      </w:r>
      <w:bookmarkEnd w:id="24"/>
      <w:bookmarkEnd w:id="2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6" w:name="_Toc15396619"/>
      <w:r>
        <w:rPr>
          <w:rFonts w:hint="eastAsia" w:ascii="仿宋_GB2312" w:hAnsi="仿宋_GB2312" w:eastAsia="仿宋_GB2312" w:cs="仿宋_GB2312"/>
          <w:sz w:val="32"/>
          <w:szCs w:val="32"/>
        </w:rPr>
        <w:t>一、收入支出决算总表</w:t>
      </w:r>
      <w:bookmarkEnd w:id="2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7" w:name="_Toc15396620"/>
      <w:r>
        <w:rPr>
          <w:rFonts w:hint="eastAsia" w:ascii="仿宋_GB2312" w:hAnsi="仿宋_GB2312" w:eastAsia="仿宋_GB2312" w:cs="仿宋_GB2312"/>
          <w:sz w:val="32"/>
          <w:szCs w:val="32"/>
        </w:rPr>
        <w:t>二、收入决算表</w:t>
      </w:r>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8" w:name="_Toc15396621"/>
      <w:r>
        <w:rPr>
          <w:rFonts w:hint="eastAsia" w:ascii="仿宋_GB2312" w:hAnsi="仿宋_GB2312" w:eastAsia="仿宋_GB2312" w:cs="仿宋_GB2312"/>
          <w:sz w:val="32"/>
          <w:szCs w:val="32"/>
        </w:rPr>
        <w:t>三、支出决算表</w:t>
      </w:r>
      <w:bookmarkEnd w:id="2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9" w:name="_Toc15396622"/>
      <w:r>
        <w:rPr>
          <w:rFonts w:hint="eastAsia" w:ascii="仿宋_GB2312" w:hAnsi="仿宋_GB2312" w:eastAsia="仿宋_GB2312" w:cs="仿宋_GB2312"/>
          <w:sz w:val="32"/>
          <w:szCs w:val="32"/>
        </w:rPr>
        <w:t>四、财政拨款收入支出决算总表</w:t>
      </w:r>
      <w:bookmarkEnd w:id="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0" w:name="_Toc15396623"/>
      <w:r>
        <w:rPr>
          <w:rFonts w:hint="eastAsia" w:ascii="仿宋_GB2312" w:hAnsi="仿宋_GB2312" w:eastAsia="仿宋_GB2312" w:cs="仿宋_GB2312"/>
          <w:sz w:val="32"/>
          <w:szCs w:val="32"/>
        </w:rPr>
        <w:t>五、财政拨款支出决算明细表</w:t>
      </w:r>
      <w:bookmarkEnd w:id="30"/>
      <w:bookmarkStart w:id="31"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3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2" w:name="_Toc15396625"/>
      <w:r>
        <w:rPr>
          <w:rFonts w:hint="eastAsia" w:ascii="仿宋_GB2312" w:hAnsi="仿宋_GB2312" w:eastAsia="仿宋_GB2312" w:cs="仿宋_GB2312"/>
          <w:sz w:val="32"/>
          <w:szCs w:val="32"/>
        </w:rPr>
        <w:t>七、一般公共预算财政拨款支出决算明细表</w:t>
      </w:r>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3" w:name="_Toc15396626"/>
      <w:r>
        <w:rPr>
          <w:rFonts w:hint="eastAsia" w:ascii="仿宋_GB2312" w:hAnsi="仿宋_GB2312" w:eastAsia="仿宋_GB2312" w:cs="仿宋_GB2312"/>
          <w:sz w:val="32"/>
          <w:szCs w:val="32"/>
        </w:rPr>
        <w:t>八、一般公共预算财政拨款基本支出决算表</w:t>
      </w:r>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4" w:name="_Toc15396627"/>
      <w:r>
        <w:rPr>
          <w:rFonts w:hint="eastAsia" w:ascii="仿宋_GB2312" w:hAnsi="仿宋_GB2312" w:eastAsia="仿宋_GB2312" w:cs="仿宋_GB2312"/>
          <w:sz w:val="32"/>
          <w:szCs w:val="32"/>
        </w:rPr>
        <w:t>九、一般公共预算财政拨款项目支出决算表</w:t>
      </w:r>
      <w:bookmarkEnd w:id="3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5" w:name="_Toc15396628"/>
      <w:r>
        <w:rPr>
          <w:rFonts w:hint="eastAsia" w:ascii="仿宋_GB2312" w:hAnsi="仿宋_GB2312" w:eastAsia="仿宋_GB2312" w:cs="仿宋_GB2312"/>
          <w:sz w:val="32"/>
          <w:szCs w:val="32"/>
        </w:rPr>
        <w:t>十、一般公共预算财政拨款“三公”经费支出决算表</w:t>
      </w:r>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6" w:name="_Toc15396629"/>
      <w:r>
        <w:rPr>
          <w:rFonts w:hint="eastAsia" w:ascii="仿宋_GB2312" w:hAnsi="仿宋_GB2312" w:eastAsia="仿宋_GB2312" w:cs="仿宋_GB2312"/>
          <w:sz w:val="32"/>
          <w:szCs w:val="32"/>
        </w:rPr>
        <w:t>十一、政府性基金预算财政拨款收入支出决算表</w:t>
      </w:r>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7" w:name="_Toc15396630"/>
      <w:r>
        <w:rPr>
          <w:rFonts w:hint="eastAsia" w:ascii="仿宋_GB2312" w:hAnsi="仿宋_GB2312" w:eastAsia="仿宋_GB2312" w:cs="仿宋_GB2312"/>
          <w:sz w:val="32"/>
          <w:szCs w:val="32"/>
        </w:rPr>
        <w:t>十二、政府性基金预算财政拨款“三公”经费支出决算表</w:t>
      </w:r>
      <w:bookmarkEnd w:id="3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8" w:name="_Toc15396631"/>
      <w:r>
        <w:rPr>
          <w:rFonts w:hint="eastAsia" w:ascii="仿宋_GB2312" w:hAnsi="仿宋_GB2312" w:eastAsia="仿宋_GB2312" w:cs="仿宋_GB2312"/>
          <w:sz w:val="32"/>
          <w:szCs w:val="32"/>
        </w:rPr>
        <w:t>十三、国有资本经营预算财政拨款支出决算表</w:t>
      </w:r>
      <w:bookmarkEnd w:id="38"/>
    </w:p>
    <w:p/>
    <w:sectPr>
      <w:headerReference r:id="rId3" w:type="default"/>
      <w:footerReference r:id="rId4" w:type="default"/>
      <w:pgSz w:w="11906" w:h="16838"/>
      <w:pgMar w:top="2041" w:right="1469" w:bottom="1587" w:left="1469" w:header="851" w:footer="1134"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037590" cy="281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281305"/>
                      </a:xfrm>
                      <a:prstGeom prst="rect">
                        <a:avLst/>
                      </a:prstGeom>
                      <a:noFill/>
                      <a:ln>
                        <a:noFill/>
                      </a:ln>
                    </wps:spPr>
                    <wps:txbx>
                      <w:txbxContent>
                        <w:p>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10.5pt;height:22.15pt;width:81.7pt;mso-position-horizontal:outside;mso-position-horizontal-relative:margin;z-index:251659264;mso-width-relative:page;mso-height-relative:page;" filled="f" stroked="f" coordsize="21600,21600" o:gfxdata="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5zm81gAAAAcBAAAPAAAAAAAAAAEAIAAAACIAAABkcnMvZG93bnJldi54bWxQSwECFAAU&#10;AAAACACHTuJA5JdUeboBAAByAwAADgAAAAAAAAABACAAAAAlAQAAZHJzL2Uyb0RvYy54bWxQSwUG&#10;AAAAAAYABgBZAQAAUQUAAAAA&#10;">
              <v:fill on="f" focussize="0,0"/>
              <v:stroke on="f"/>
              <v:imagedata o:title=""/>
              <o:lock v:ext="edit" aspectratio="f"/>
              <v:textbox inset="0mm,0mm,0mm,0mm">
                <w:txbxContent>
                  <w:p>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iOTFhYTM2ZjQxMGUxNzFjYTU5ZTQyZGZiMjRmZTYifQ=="/>
  </w:docVars>
  <w:rsids>
    <w:rsidRoot w:val="5EBF27DF"/>
    <w:rsid w:val="079E5DBC"/>
    <w:rsid w:val="3C7D607B"/>
    <w:rsid w:val="44B72EE5"/>
    <w:rsid w:val="4A8629B5"/>
    <w:rsid w:val="51603A96"/>
    <w:rsid w:val="542E7689"/>
    <w:rsid w:val="54527617"/>
    <w:rsid w:val="57A13332"/>
    <w:rsid w:val="59ED42BF"/>
    <w:rsid w:val="5EBF27DF"/>
    <w:rsid w:val="6C9151BE"/>
    <w:rsid w:val="70247CE8"/>
    <w:rsid w:val="7DED2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24"/>
      <w:szCs w:val="2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character" w:styleId="9">
    <w:name w:val="Strong"/>
    <w:qFormat/>
    <w:uiPriority w:val="99"/>
    <w:rPr>
      <w:rFonts w:cs="Times New Roman"/>
      <w:b/>
    </w:rPr>
  </w:style>
  <w:style w:type="character" w:customStyle="1" w:styleId="10">
    <w:name w:val="标题 1 字符"/>
    <w:link w:val="2"/>
    <w:qFormat/>
    <w:locked/>
    <w:uiPriority w:val="9"/>
    <w:rPr>
      <w:b/>
      <w:bCs/>
      <w:kern w:val="44"/>
      <w:sz w:val="44"/>
      <w:szCs w:val="44"/>
    </w:rPr>
  </w:style>
  <w:style w:type="character" w:customStyle="1" w:styleId="11">
    <w:name w:val="标题 2 字符"/>
    <w:link w:val="3"/>
    <w:qFormat/>
    <w:locked/>
    <w:uiPriority w:val="9"/>
    <w:rPr>
      <w:rFonts w:ascii="Cambria" w:hAnsi="Cambria"/>
      <w:b/>
      <w:bCs/>
      <w:sz w:val="32"/>
      <w:szCs w:val="32"/>
    </w:rPr>
  </w:style>
  <w:style w:type="paragraph" w:customStyle="1" w:styleId="12">
    <w:name w:val="List Paragraph"/>
    <w:basedOn w:val="1"/>
    <w:qFormat/>
    <w:uiPriority w:val="34"/>
    <w:pPr>
      <w:ind w:firstLine="420" w:firstLineChars="200"/>
    </w:pPr>
  </w:style>
  <w:style w:type="paragraph" w:customStyle="1" w:styleId="1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4">
    <w:name w:val="〖C01〗正文"/>
    <w:basedOn w:val="1"/>
    <w:qFormat/>
    <w:uiPriority w:val="99"/>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8073</Words>
  <Characters>8834</Characters>
  <Lines>0</Lines>
  <Paragraphs>0</Paragraphs>
  <TotalTime>0</TotalTime>
  <ScaleCrop>false</ScaleCrop>
  <LinksUpToDate>false</LinksUpToDate>
  <CharactersWithSpaces>8863</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2021-10-25T08:00:00Z</dcterms:created>
  <dc:creator>Administrator</dc:creator>
  <cp:lastModifiedBy>Administrator</cp:lastModifiedBy>
  <dcterms:modified xsi:type="dcterms:W3CDTF">2022-10-28T01:09:25Z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840DC334B16A426A9A92F9AC7CA46577</vt:lpwstr>
  </property>
</Properties>
</file>