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2C5EE">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78441"/>
      <w:bookmarkStart w:id="3" w:name="_Toc15396475"/>
      <w:bookmarkStart w:id="4" w:name="_Toc15377193"/>
      <w:bookmarkStart w:id="5" w:name="_Toc15306267"/>
    </w:p>
    <w:p w14:paraId="5860589E">
      <w:pPr>
        <w:spacing w:line="600" w:lineRule="exact"/>
        <w:jc w:val="center"/>
        <w:outlineLvl w:val="0"/>
        <w:rPr>
          <w:rFonts w:ascii="方正小标宋简体" w:hAnsi="宋体" w:eastAsia="方正小标宋简体"/>
          <w:sz w:val="72"/>
          <w:szCs w:val="72"/>
        </w:rPr>
      </w:pPr>
    </w:p>
    <w:p w14:paraId="7C8F507A">
      <w:pPr>
        <w:spacing w:line="600" w:lineRule="exact"/>
        <w:jc w:val="center"/>
        <w:outlineLvl w:val="0"/>
        <w:rPr>
          <w:rFonts w:ascii="方正小标宋简体" w:hAnsi="宋体" w:eastAsia="方正小标宋简体"/>
          <w:sz w:val="72"/>
          <w:szCs w:val="72"/>
        </w:rPr>
      </w:pPr>
    </w:p>
    <w:p w14:paraId="084F0B82">
      <w:pPr>
        <w:spacing w:line="600" w:lineRule="exact"/>
        <w:jc w:val="center"/>
        <w:outlineLvl w:val="0"/>
        <w:rPr>
          <w:rFonts w:ascii="方正小标宋简体" w:hAnsi="宋体" w:eastAsia="方正小标宋简体"/>
          <w:sz w:val="72"/>
          <w:szCs w:val="72"/>
        </w:rPr>
      </w:pPr>
    </w:p>
    <w:p w14:paraId="080384C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14:paraId="10575E0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598"/>
      <w:bookmarkStart w:id="8" w:name="_Toc15377194"/>
      <w:bookmarkStart w:id="9" w:name="_Toc15396476"/>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峨眉山市应急管理局部门决算</w:t>
      </w:r>
      <w:bookmarkEnd w:id="6"/>
      <w:bookmarkEnd w:id="7"/>
      <w:bookmarkEnd w:id="8"/>
      <w:bookmarkEnd w:id="9"/>
      <w:bookmarkEnd w:id="10"/>
      <w:bookmarkEnd w:id="11"/>
    </w:p>
    <w:p w14:paraId="5D74454A">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目录</w:t>
      </w:r>
    </w:p>
    <w:p w14:paraId="607BF203">
      <w:pPr>
        <w:pStyle w:val="10"/>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公开时间：2022年10月9日</w:t>
      </w:r>
    </w:p>
    <w:p w14:paraId="771D0B6B">
      <w:pPr>
        <w:spacing w:line="600" w:lineRule="exact"/>
      </w:pPr>
    </w:p>
    <w:p w14:paraId="4E4231FB">
      <w:pPr>
        <w:pStyle w:val="10"/>
        <w:tabs>
          <w:tab w:val="right" w:leader="dot" w:pos="7980"/>
        </w:tabs>
        <w:adjustRightInd w:val="0"/>
        <w:snapToGrid w:val="0"/>
        <w:spacing w:before="0" w:line="600" w:lineRule="exact"/>
        <w:jc w:val="right"/>
        <w:rPr>
          <w:rFonts w:ascii="黑体" w:hAnsi="黑体" w:eastAsia="黑体" w:cs="黑体"/>
          <w:sz w:val="32"/>
          <w:szCs w:val="32"/>
        </w:rPr>
      </w:pPr>
      <w:r>
        <w:rPr>
          <w:rFonts w:hint="eastAsia" w:ascii="黑体" w:hAnsi="黑体" w:eastAsia="黑体" w:cs="黑体"/>
          <w:sz w:val="32"/>
          <w:szCs w:val="32"/>
        </w:rPr>
        <w:t>第一部分 部门概况………………………………………………3</w:t>
      </w:r>
    </w:p>
    <w:p w14:paraId="4D07F192">
      <w:pPr>
        <w:pStyle w:val="10"/>
        <w:bidi w:val="0"/>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一、基本职能及主要工作</w:t>
      </w:r>
      <w:r>
        <w:rPr>
          <w:rFonts w:hint="eastAsia" w:ascii="黑体" w:hAnsi="黑体" w:eastAsia="黑体" w:cs="黑体"/>
          <w:sz w:val="32"/>
          <w:szCs w:val="32"/>
        </w:rPr>
        <w:t>………………………………………3</w:t>
      </w:r>
    </w:p>
    <w:p w14:paraId="300E323B">
      <w:pPr>
        <w:pStyle w:val="10"/>
        <w:bidi w:val="0"/>
        <w:jc w:val="right"/>
        <w:rPr>
          <w:rFonts w:hint="eastAsia" w:ascii="黑体" w:hAnsi="黑体" w:eastAsia="黑体" w:cs="黑体"/>
          <w:sz w:val="32"/>
          <w:szCs w:val="32"/>
        </w:rPr>
      </w:pPr>
      <w:r>
        <w:rPr>
          <w:rFonts w:hint="eastAsia" w:ascii="楷体_GB2312" w:hAnsi="楷体_GB2312" w:eastAsia="楷体_GB2312" w:cs="楷体_GB2312"/>
          <w:sz w:val="32"/>
          <w:szCs w:val="32"/>
        </w:rPr>
        <w:t>二、机构设置</w:t>
      </w:r>
      <w:r>
        <w:rPr>
          <w:rFonts w:hint="eastAsia" w:ascii="黑体" w:hAnsi="黑体" w:eastAsia="黑体" w:cs="黑体"/>
          <w:sz w:val="32"/>
          <w:szCs w:val="32"/>
        </w:rPr>
        <w:t>……………………………………………………7</w:t>
      </w:r>
    </w:p>
    <w:p w14:paraId="33C036C0">
      <w:pPr>
        <w:pStyle w:val="10"/>
        <w:tabs>
          <w:tab w:val="right" w:leader="dot" w:pos="7980"/>
        </w:tabs>
        <w:adjustRightInd w:val="0"/>
        <w:snapToGrid w:val="0"/>
        <w:spacing w:before="0" w:line="600" w:lineRule="exact"/>
        <w:jc w:val="right"/>
        <w:rPr>
          <w:rFonts w:ascii="黑体" w:hAnsi="黑体" w:eastAsia="黑体" w:cs="黑体"/>
          <w:sz w:val="32"/>
          <w:szCs w:val="32"/>
        </w:rPr>
      </w:pPr>
      <w:r>
        <w:rPr>
          <w:rFonts w:hint="eastAsia" w:ascii="黑体" w:hAnsi="黑体" w:eastAsia="黑体" w:cs="黑体"/>
          <w:sz w:val="32"/>
          <w:szCs w:val="32"/>
        </w:rPr>
        <w:t>第二部分 2021年度部门决算情况说明…………………………8</w:t>
      </w:r>
    </w:p>
    <w:p w14:paraId="1D578815">
      <w:pPr>
        <w:pStyle w:val="10"/>
        <w:bidi w:val="0"/>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一、收入支出决算总体情况说明</w:t>
      </w:r>
      <w:r>
        <w:rPr>
          <w:rFonts w:hint="eastAsia" w:ascii="黑体" w:hAnsi="黑体" w:eastAsia="黑体" w:cs="黑体"/>
          <w:sz w:val="32"/>
          <w:szCs w:val="32"/>
        </w:rPr>
        <w:t>………………………………8</w:t>
      </w:r>
    </w:p>
    <w:p w14:paraId="68DF927A">
      <w:pPr>
        <w:pStyle w:val="10"/>
        <w:bidi w:val="0"/>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二、收入决算情况说明</w:t>
      </w:r>
      <w:r>
        <w:rPr>
          <w:rFonts w:hint="eastAsia" w:ascii="黑体" w:hAnsi="黑体" w:eastAsia="黑体" w:cs="黑体"/>
          <w:sz w:val="32"/>
          <w:szCs w:val="32"/>
        </w:rPr>
        <w:t>…………………………………………8</w:t>
      </w:r>
    </w:p>
    <w:p w14:paraId="7B95D5D5">
      <w:pPr>
        <w:pStyle w:val="10"/>
        <w:bidi w:val="0"/>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三、支出决算情况说明</w:t>
      </w:r>
      <w:r>
        <w:rPr>
          <w:rFonts w:hint="eastAsia" w:ascii="黑体" w:hAnsi="黑体" w:eastAsia="黑体" w:cs="黑体"/>
          <w:sz w:val="32"/>
          <w:szCs w:val="32"/>
        </w:rPr>
        <w:t>…………………………………………9</w:t>
      </w:r>
    </w:p>
    <w:p w14:paraId="780C5449">
      <w:pPr>
        <w:pStyle w:val="10"/>
        <w:bidi w:val="0"/>
        <w:ind w:firstLine="320" w:firstLineChars="100"/>
        <w:jc w:val="right"/>
        <w:rPr>
          <w:rFonts w:hint="eastAsia" w:ascii="黑体" w:hAnsi="黑体" w:eastAsia="黑体" w:cs="黑体"/>
          <w:sz w:val="32"/>
          <w:szCs w:val="32"/>
        </w:rPr>
      </w:pPr>
      <w:r>
        <w:rPr>
          <w:rFonts w:hint="eastAsia" w:ascii="楷体_GB2312" w:hAnsi="楷体_GB2312" w:eastAsia="楷体_GB2312" w:cs="楷体_GB2312"/>
          <w:sz w:val="32"/>
          <w:szCs w:val="32"/>
        </w:rPr>
        <w:t>四、财政拨款收入支出决算总体情况说明</w:t>
      </w:r>
      <w:r>
        <w:rPr>
          <w:rFonts w:hint="eastAsia" w:ascii="黑体" w:hAnsi="黑体" w:eastAsia="黑体" w:cs="黑体"/>
          <w:sz w:val="32"/>
          <w:szCs w:val="32"/>
        </w:rPr>
        <w:t>………</w:t>
      </w:r>
      <w:r>
        <w:rPr>
          <w:rFonts w:hint="eastAsia" w:ascii="黑体" w:hAnsi="黑体" w:eastAsia="黑体" w:cs="黑体"/>
          <w:sz w:val="32"/>
          <w:szCs w:val="32"/>
        </w:rPr>
        <w:tab/>
      </w:r>
      <w:r>
        <w:rPr>
          <w:rFonts w:hint="eastAsia" w:ascii="黑体" w:hAnsi="黑体" w:eastAsia="黑体" w:cs="黑体"/>
          <w:sz w:val="32"/>
          <w:szCs w:val="32"/>
        </w:rPr>
        <w:t>…………</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10</w:t>
      </w:r>
    </w:p>
    <w:p w14:paraId="49638E6A">
      <w:pPr>
        <w:pStyle w:val="10"/>
        <w:bidi w:val="0"/>
        <w:jc w:val="right"/>
        <w:rPr>
          <w:rFonts w:hint="eastAsia" w:ascii="黑体" w:hAnsi="黑体" w:eastAsia="黑体" w:cs="黑体"/>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一般公共预算财政拨款支出决算情况说明</w:t>
      </w:r>
      <w:r>
        <w:rPr>
          <w:rFonts w:hint="eastAsia" w:ascii="黑体" w:hAnsi="黑体" w:eastAsia="黑体" w:cs="黑体"/>
          <w:sz w:val="32"/>
          <w:szCs w:val="32"/>
        </w:rPr>
        <w:t>…………</w:t>
      </w:r>
      <w:r>
        <w:rPr>
          <w:rFonts w:hint="eastAsia" w:ascii="黑体" w:hAnsi="黑体" w:eastAsia="黑体" w:cs="黑体"/>
          <w:sz w:val="32"/>
          <w:szCs w:val="32"/>
        </w:rPr>
        <w:tab/>
      </w:r>
      <w:r>
        <w:rPr>
          <w:rFonts w:hint="eastAsia" w:ascii="黑体" w:hAnsi="黑体" w:eastAsia="黑体" w:cs="黑体"/>
          <w:sz w:val="32"/>
          <w:szCs w:val="32"/>
        </w:rPr>
        <w:t>……11</w:t>
      </w:r>
    </w:p>
    <w:p w14:paraId="67C81F35">
      <w:pPr>
        <w:pStyle w:val="10"/>
        <w:bidi w:val="0"/>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六、一般公共预算财政拨款基本支出决算情况说明 </w:t>
      </w:r>
      <w:r>
        <w:rPr>
          <w:rFonts w:hint="eastAsia" w:ascii="黑体" w:hAnsi="黑体" w:eastAsia="黑体" w:cs="黑体"/>
          <w:sz w:val="32"/>
          <w:szCs w:val="32"/>
        </w:rPr>
        <w:t>………16</w:t>
      </w:r>
    </w:p>
    <w:p w14:paraId="1FAE72C9">
      <w:pPr>
        <w:pStyle w:val="10"/>
        <w:bidi w:val="0"/>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七、“三公”经费财政拨款支出决算情况说明</w:t>
      </w:r>
      <w:r>
        <w:rPr>
          <w:rFonts w:hint="eastAsia" w:ascii="黑体" w:hAnsi="黑体" w:eastAsia="黑体" w:cs="黑体"/>
          <w:sz w:val="32"/>
          <w:szCs w:val="32"/>
        </w:rPr>
        <w:t xml:space="preserve"> ……………17</w:t>
      </w:r>
    </w:p>
    <w:p w14:paraId="3A256E4F">
      <w:pPr>
        <w:pStyle w:val="10"/>
        <w:bidi w:val="0"/>
        <w:jc w:val="right"/>
        <w:rPr>
          <w:rFonts w:hint="eastAsia" w:ascii="黑体" w:hAnsi="黑体" w:eastAsia="黑体" w:cs="黑体"/>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八、政府性基金预算支出决算情况说明</w:t>
      </w:r>
      <w:r>
        <w:rPr>
          <w:rFonts w:hint="eastAsia" w:ascii="黑体" w:hAnsi="黑体" w:eastAsia="黑体" w:cs="黑体"/>
          <w:sz w:val="32"/>
          <w:szCs w:val="32"/>
        </w:rPr>
        <w:t>……………………19</w:t>
      </w:r>
    </w:p>
    <w:p w14:paraId="6BF0F037">
      <w:pPr>
        <w:pStyle w:val="10"/>
        <w:bidi w:val="0"/>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九、国有资本经营预算支出决算情况说明</w:t>
      </w:r>
      <w:r>
        <w:rPr>
          <w:rFonts w:hint="eastAsia" w:ascii="黑体" w:hAnsi="黑体" w:eastAsia="黑体" w:cs="黑体"/>
          <w:sz w:val="32"/>
          <w:szCs w:val="32"/>
        </w:rPr>
        <w:t>…………………20</w:t>
      </w:r>
    </w:p>
    <w:p w14:paraId="09B47A2D">
      <w:pPr>
        <w:pStyle w:val="10"/>
        <w:bidi w:val="0"/>
        <w:jc w:val="righ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十、其他重要事项的情况说明</w:t>
      </w:r>
      <w:r>
        <w:rPr>
          <w:rFonts w:hint="eastAsia" w:ascii="黑体" w:hAnsi="黑体" w:eastAsia="黑体" w:cs="黑体"/>
          <w:sz w:val="32"/>
          <w:szCs w:val="32"/>
        </w:rPr>
        <w:t>……………………………………20</w:t>
      </w:r>
    </w:p>
    <w:p w14:paraId="572CE3BE">
      <w:pPr>
        <w:pStyle w:val="10"/>
        <w:tabs>
          <w:tab w:val="right" w:leader="dot" w:pos="7980"/>
        </w:tabs>
        <w:adjustRightInd w:val="0"/>
        <w:snapToGrid w:val="0"/>
        <w:spacing w:before="0" w:line="600" w:lineRule="exact"/>
        <w:jc w:val="right"/>
        <w:rPr>
          <w:rFonts w:ascii="黑体" w:hAnsi="黑体" w:eastAsia="黑体" w:cs="黑体"/>
          <w:sz w:val="32"/>
          <w:szCs w:val="32"/>
        </w:rPr>
      </w:pPr>
      <w:r>
        <w:rPr>
          <w:rFonts w:hint="eastAsia" w:ascii="黑体" w:hAnsi="黑体" w:eastAsia="黑体" w:cs="黑体"/>
          <w:sz w:val="32"/>
          <w:szCs w:val="32"/>
        </w:rPr>
        <w:t>第三部分 名词解释………………………………………………22</w:t>
      </w:r>
    </w:p>
    <w:p w14:paraId="0A8B6A27">
      <w:pPr>
        <w:pStyle w:val="10"/>
        <w:tabs>
          <w:tab w:val="right" w:leader="dot" w:pos="7980"/>
        </w:tabs>
        <w:adjustRightInd w:val="0"/>
        <w:snapToGrid w:val="0"/>
        <w:spacing w:before="0" w:line="600" w:lineRule="exact"/>
        <w:jc w:val="right"/>
        <w:rPr>
          <w:rFonts w:ascii="黑体" w:hAnsi="黑体" w:eastAsia="黑体" w:cs="黑体"/>
          <w:sz w:val="32"/>
          <w:szCs w:val="32"/>
        </w:rPr>
      </w:pPr>
      <w:r>
        <w:rPr>
          <w:rFonts w:hint="eastAsia" w:ascii="黑体" w:hAnsi="黑体" w:eastAsia="黑体" w:cs="黑体"/>
          <w:sz w:val="32"/>
          <w:szCs w:val="32"/>
        </w:rPr>
        <w:t>第四部分 附件……………………………………………………27</w:t>
      </w:r>
    </w:p>
    <w:p w14:paraId="1DCDFC4B">
      <w:pPr>
        <w:pStyle w:val="10"/>
        <w:tabs>
          <w:tab w:val="right" w:leader="dot" w:pos="7980"/>
        </w:tabs>
        <w:adjustRightInd w:val="0"/>
        <w:snapToGrid w:val="0"/>
        <w:spacing w:before="0" w:line="600" w:lineRule="exact"/>
        <w:jc w:val="right"/>
        <w:rPr>
          <w:rFonts w:ascii="黑体" w:hAnsi="黑体" w:eastAsia="黑体" w:cs="黑体"/>
          <w:sz w:val="32"/>
          <w:szCs w:val="32"/>
        </w:rPr>
      </w:pPr>
      <w:r>
        <w:rPr>
          <w:rFonts w:hint="eastAsia" w:ascii="黑体" w:hAnsi="黑体" w:eastAsia="黑体" w:cs="黑体"/>
          <w:sz w:val="32"/>
          <w:szCs w:val="32"/>
        </w:rPr>
        <w:t>第五部分 附表……………………………………………………51</w:t>
      </w:r>
    </w:p>
    <w:p w14:paraId="003DC9F5">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006B48DE">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70AE88D3">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77427306">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67F2AFA0">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22AF9BA6">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709CAE86">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7F9809C4">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37D6BCA0">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21F0DA89">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15C681B8">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2FA0ABA3">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4F9B2D74">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1C910ADB">
      <w:pPr>
        <w:pStyle w:val="11"/>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3FC0DD39">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14:paraId="351D0581">
      <w:pPr>
        <w:widowControl/>
        <w:spacing w:line="600" w:lineRule="exact"/>
        <w:jc w:val="left"/>
        <w:rPr>
          <w:rFonts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14:paraId="02B4D6E8">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14:paraId="0C82651A">
      <w:pPr>
        <w:spacing w:line="600" w:lineRule="exact"/>
        <w:rPr>
          <w:rFonts w:ascii="仿宋_GB2312" w:hAnsi="仿宋_GB2312" w:eastAsia="仿宋_GB2312" w:cs="仿宋_GB2312"/>
          <w:sz w:val="32"/>
          <w:szCs w:val="32"/>
        </w:rPr>
      </w:pPr>
    </w:p>
    <w:p w14:paraId="172A2B4D">
      <w:pPr>
        <w:spacing w:line="600" w:lineRule="exact"/>
        <w:ind w:firstLine="640" w:firstLineChars="200"/>
        <w:outlineLvl w:val="1"/>
        <w:rPr>
          <w:rStyle w:val="26"/>
          <w:rFonts w:ascii="黑体" w:hAnsi="黑体" w:eastAsia="黑体"/>
          <w:b w:val="0"/>
        </w:rPr>
      </w:pPr>
      <w:bookmarkStart w:id="14" w:name="_Toc15377197"/>
      <w:bookmarkStart w:id="15" w:name="_Toc15396600"/>
      <w:r>
        <w:rPr>
          <w:rStyle w:val="26"/>
          <w:rFonts w:hint="eastAsia" w:ascii="黑体" w:hAnsi="黑体" w:eastAsia="黑体"/>
          <w:b w:val="0"/>
        </w:rPr>
        <w:t>一、基本职能及主要工作</w:t>
      </w:r>
      <w:bookmarkEnd w:id="14"/>
      <w:bookmarkEnd w:id="15"/>
    </w:p>
    <w:p w14:paraId="54E4CFF2">
      <w:pPr>
        <w:snapToGrid w:val="0"/>
        <w:spacing w:line="520" w:lineRule="exact"/>
        <w:ind w:firstLine="643" w:firstLineChars="200"/>
        <w:rPr>
          <w:rFonts w:ascii="仿宋_GB2312" w:hAnsi="宋体" w:eastAsia="仿宋_GB2312" w:cs="宋体"/>
          <w:b/>
          <w:bCs/>
          <w:kern w:val="0"/>
          <w:sz w:val="32"/>
          <w:szCs w:val="32"/>
        </w:rPr>
      </w:pPr>
      <w:bookmarkStart w:id="16" w:name="_Toc15378446"/>
      <w:bookmarkStart w:id="17" w:name="_Toc15377199"/>
      <w:r>
        <w:rPr>
          <w:rFonts w:hint="eastAsia" w:ascii="仿宋_GB2312" w:hAnsi="宋体" w:eastAsia="仿宋_GB2312" w:cs="宋体"/>
          <w:b/>
          <w:bCs/>
          <w:kern w:val="0"/>
          <w:sz w:val="32"/>
          <w:szCs w:val="32"/>
        </w:rPr>
        <w:t>（一）主要职能</w:t>
      </w:r>
    </w:p>
    <w:p w14:paraId="328D9CA4">
      <w:pPr>
        <w:snapToGrid w:val="0"/>
        <w:spacing w:line="520" w:lineRule="exact"/>
        <w:ind w:firstLine="640" w:firstLineChars="200"/>
        <w:rPr>
          <w:rFonts w:ascii="仿宋" w:hAnsi="仿宋" w:eastAsia="仿宋" w:cs="宋体"/>
          <w:color w:val="FF0000"/>
          <w:kern w:val="0"/>
          <w:sz w:val="32"/>
          <w:szCs w:val="32"/>
          <w:lang w:val="zh-CN"/>
        </w:rPr>
      </w:pPr>
      <w:r>
        <w:rPr>
          <w:rFonts w:hint="eastAsia" w:ascii="仿宋" w:hAnsi="仿宋" w:eastAsia="仿宋" w:cs="宋体"/>
          <w:kern w:val="0"/>
          <w:sz w:val="32"/>
          <w:szCs w:val="32"/>
        </w:rPr>
        <w:t>依法行使综合监督管理职责，指导协调、监督检查各镇乡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开展应急管理和安全方面的交流与合作，组织参与安全生产类、自然灾害类等突发事件的跨区域救援工作；制定</w:t>
      </w:r>
      <w:r>
        <w:rPr>
          <w:rFonts w:hint="eastAsia" w:ascii="仿宋" w:hAnsi="仿宋" w:eastAsia="仿宋" w:cs="宋体"/>
          <w:kern w:val="0"/>
          <w:sz w:val="32"/>
          <w:szCs w:val="32"/>
          <w:lang w:eastAsia="zh-CN"/>
        </w:rPr>
        <w:t>应急物资</w:t>
      </w:r>
      <w:bookmarkStart w:id="71" w:name="_GoBack"/>
      <w:bookmarkEnd w:id="71"/>
      <w:r>
        <w:rPr>
          <w:rFonts w:hint="eastAsia" w:ascii="仿宋" w:hAnsi="仿宋" w:eastAsia="仿宋" w:cs="宋体"/>
          <w:kern w:val="0"/>
          <w:sz w:val="32"/>
          <w:szCs w:val="32"/>
        </w:rPr>
        <w:t>储备和应急救援装备规划并组织实施，会同有关部门建立健全</w:t>
      </w:r>
      <w:r>
        <w:rPr>
          <w:rFonts w:hint="eastAsia" w:ascii="仿宋" w:hAnsi="仿宋" w:eastAsia="仿宋" w:cs="宋体"/>
          <w:kern w:val="0"/>
          <w:sz w:val="32"/>
          <w:szCs w:val="32"/>
          <w:lang w:eastAsia="zh-CN"/>
        </w:rPr>
        <w:t>应急物资</w:t>
      </w:r>
      <w:r>
        <w:rPr>
          <w:rFonts w:hint="eastAsia" w:ascii="仿宋" w:hAnsi="仿宋" w:eastAsia="仿宋" w:cs="宋体"/>
          <w:kern w:val="0"/>
          <w:sz w:val="32"/>
          <w:szCs w:val="32"/>
        </w:rPr>
        <w:t>信息平台和调拨制度，在救灾时统一调度；负责应急管理、安全生产宣传教育和培训共同工作，组织和指导应急管理、安全生产的科学技术研究、推广应用和信息化建设工作；</w:t>
      </w:r>
      <w:r>
        <w:rPr>
          <w:rFonts w:hint="eastAsia" w:ascii="仿宋" w:hAnsi="仿宋" w:eastAsia="仿宋"/>
          <w:sz w:val="32"/>
        </w:rPr>
        <w:t>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w:t>
      </w:r>
      <w:r>
        <w:rPr>
          <w:rFonts w:hint="eastAsia" w:ascii="仿宋" w:hAnsi="仿宋" w:eastAsia="仿宋" w:cs="宋体"/>
          <w:kern w:val="0"/>
          <w:sz w:val="32"/>
          <w:szCs w:val="32"/>
        </w:rPr>
        <w:t>完成市委、市政府交办的其它工作。</w:t>
      </w:r>
    </w:p>
    <w:p w14:paraId="691372C1">
      <w:pPr>
        <w:snapToGrid w:val="0"/>
        <w:spacing w:line="520" w:lineRule="exact"/>
        <w:ind w:firstLine="643"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（二）2021年重点工作完成情况。</w:t>
      </w:r>
      <w:bookmarkEnd w:id="16"/>
      <w:bookmarkEnd w:id="17"/>
    </w:p>
    <w:p w14:paraId="4FFB83B3">
      <w:pPr>
        <w:spacing w:line="580" w:lineRule="exact"/>
        <w:ind w:firstLine="643" w:firstLineChars="200"/>
        <w:rPr>
          <w:rFonts w:ascii="仿宋" w:hAnsi="仿宋" w:eastAsia="仿宋"/>
          <w:b/>
          <w:bCs/>
          <w:sz w:val="32"/>
          <w:szCs w:val="32"/>
        </w:rPr>
      </w:pPr>
      <w:r>
        <w:rPr>
          <w:rFonts w:hint="eastAsia" w:ascii="仿宋_GB2312" w:hAnsi="仿宋_GB2312" w:eastAsia="仿宋_GB2312" w:cs="仿宋_GB2312"/>
          <w:b/>
          <w:bCs/>
          <w:sz w:val="32"/>
          <w:szCs w:val="32"/>
        </w:rPr>
        <w:t>1、</w:t>
      </w:r>
      <w:r>
        <w:rPr>
          <w:rFonts w:hint="eastAsia" w:ascii="仿宋" w:hAnsi="仿宋" w:eastAsia="仿宋"/>
          <w:b/>
          <w:bCs/>
          <w:sz w:val="32"/>
          <w:szCs w:val="32"/>
        </w:rPr>
        <w:t>安全生产形势稳定好转。</w:t>
      </w:r>
    </w:p>
    <w:p w14:paraId="52F3CB21">
      <w:pPr>
        <w:spacing w:line="580" w:lineRule="exact"/>
        <w:ind w:firstLine="640" w:firstLineChars="200"/>
      </w:pPr>
      <w:r>
        <w:rPr>
          <w:rFonts w:hint="eastAsia" w:ascii="仿宋" w:hAnsi="仿宋" w:eastAsia="仿宋"/>
          <w:sz w:val="32"/>
          <w:szCs w:val="32"/>
        </w:rPr>
        <w:t>2021年全市共发生各类事故13起，死亡11人，受伤8人，直接经济损失240.77万元。与上年同期相比，死亡人数下降26.7%，直接经济损失下降17.9%</w:t>
      </w:r>
      <w:r>
        <w:rPr>
          <w:rFonts w:hint="eastAsia" w:eastAsia="仿宋"/>
          <w:color w:val="000000"/>
          <w:sz w:val="32"/>
          <w:szCs w:val="32"/>
        </w:rPr>
        <w:t>。无较大及以上安全生产事故和</w:t>
      </w:r>
      <w:r>
        <w:rPr>
          <w:rFonts w:hint="eastAsia" w:ascii="仿宋" w:hAnsi="仿宋" w:eastAsia="仿宋"/>
          <w:sz w:val="32"/>
          <w:szCs w:val="32"/>
        </w:rPr>
        <w:t>自然灾害类事故，安</w:t>
      </w:r>
      <w:r>
        <w:rPr>
          <w:rFonts w:ascii="仿宋" w:hAnsi="仿宋" w:eastAsia="仿宋"/>
          <w:sz w:val="32"/>
          <w:szCs w:val="32"/>
        </w:rPr>
        <w:t>全生产和自然灾害防治形势</w:t>
      </w:r>
      <w:r>
        <w:rPr>
          <w:rFonts w:hint="eastAsia" w:ascii="仿宋" w:hAnsi="仿宋" w:eastAsia="仿宋"/>
          <w:sz w:val="32"/>
          <w:szCs w:val="32"/>
        </w:rPr>
        <w:t>总体稳定可控。</w:t>
      </w:r>
    </w:p>
    <w:p w14:paraId="6A418B57">
      <w:pPr>
        <w:spacing w:line="58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2、森林防灭火</w:t>
      </w:r>
    </w:p>
    <w:p w14:paraId="6C318A15">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全省率先开展风险隐患评估。编制《峨眉山市森林防灭火风险隐患评估调查报告》《峨眉山风景名胜区森林防灭火风险隐患评估调查报告》全省率先通过省级专家评审，森林火灾风险普查工作位列乐山市第一名。</w:t>
      </w:r>
    </w:p>
    <w:p w14:paraId="17CD04C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（2）全省率先推行“坟地联保”制度。摸排坟头16186座，涉及9282户，组建联保组781组，在峨眉山景区及其周边村组建立十户联保责任机制，有效促进了森林防灭火工作。</w:t>
      </w:r>
    </w:p>
    <w:p w14:paraId="2925D5F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（3）全省率先建立森林防灭火一览图。统揽森林资源、责任人、隐患设施、救援物资、力量等要素，为出现火情时实施统一指挥、科学扑救提供保障。</w:t>
      </w:r>
    </w:p>
    <w:p w14:paraId="116DF64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（4）全省率先建立视频监控平台。依托“雪亮工程”监控系统建立全市林区29个重要区域卡口视频监控，专人专责监控。</w:t>
      </w:r>
    </w:p>
    <w:p w14:paraId="4A8AD997">
      <w:pPr>
        <w:pStyle w:val="2"/>
        <w:spacing w:before="72"/>
        <w:rPr>
          <w:rFonts w:ascii="仿宋" w:hAnsi="仿宋" w:eastAsia="仿宋"/>
        </w:rPr>
      </w:pPr>
    </w:p>
    <w:p w14:paraId="61E7885F">
      <w:pPr>
        <w:ind w:firstLine="321" w:firstLineChars="100"/>
        <w:rPr>
          <w:rFonts w:ascii="仿宋" w:hAnsi="仿宋" w:eastAsia="仿宋"/>
          <w:b/>
          <w:sz w:val="32"/>
          <w:szCs w:val="32"/>
        </w:rPr>
      </w:pPr>
      <w:r>
        <w:rPr>
          <w:rFonts w:hint="eastAsia" w:ascii="仿宋" w:hAnsi="仿宋" w:eastAsia="仿宋" w:cs="仿宋_GB2312"/>
          <w:b/>
          <w:bCs/>
          <w:sz w:val="32"/>
          <w:szCs w:val="32"/>
        </w:rPr>
        <w:t>3、</w:t>
      </w:r>
      <w:r>
        <w:rPr>
          <w:rFonts w:hint="eastAsia" w:ascii="仿宋" w:hAnsi="仿宋" w:eastAsia="仿宋"/>
          <w:b/>
          <w:sz w:val="32"/>
          <w:szCs w:val="32"/>
        </w:rPr>
        <w:t>应急管理体系和能力建设</w:t>
      </w:r>
    </w:p>
    <w:p w14:paraId="3ACFF6AF">
      <w:pPr>
        <w:spacing w:beforeLines="30"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创新建立“1+19N”突发事件专项应急指挥体系，建成应急指挥信息系统，进一步优化统筹我市应急能力建设，推动形成统一指挥、专常兼备、反应灵敏、上下联动、平战结合的指挥体系和应急机制。修订印发了《峨眉山市综合性应急救援联动响应机制实施方案》，建立全市各类突发事件综合应急救援联动响应机制。制定《峨眉山市总体应急预案（试行）》《峨眉山市一般自然灾害救助管理办法》，规范自然灾害救助标准。试点开展应急物资前置，采购通讯、防汛和救灾物资补充到乡镇，着力提高区域应急联动保障。配强消防救援站，已建成13支乡镇（街道）应急分队443人，154个村（社区）应急小队2540人，防灾减灾网格员1534名，建立地灾重点村紧急转移安置点。</w:t>
      </w:r>
    </w:p>
    <w:p w14:paraId="58D1DE24">
      <w:pPr>
        <w:pStyle w:val="2"/>
        <w:spacing w:before="72" w:line="600" w:lineRule="exact"/>
      </w:pPr>
    </w:p>
    <w:p w14:paraId="6D64653D">
      <w:pPr>
        <w:ind w:firstLine="643" w:firstLineChars="200"/>
        <w:rPr>
          <w:rFonts w:ascii="仿宋" w:hAnsi="仿宋" w:eastAsia="仿宋"/>
          <w:b/>
          <w:bCs/>
          <w:sz w:val="32"/>
          <w:szCs w:val="32"/>
        </w:rPr>
      </w:pPr>
      <w:r>
        <w:rPr>
          <w:rFonts w:hint="eastAsia" w:ascii="仿宋" w:hAnsi="仿宋" w:eastAsia="仿宋"/>
          <w:b/>
          <w:bCs/>
          <w:sz w:val="32"/>
          <w:szCs w:val="32"/>
        </w:rPr>
        <w:t>4、安全生产三年行动集中攻坚</w:t>
      </w:r>
    </w:p>
    <w:p w14:paraId="2A89D900">
      <w:pPr>
        <w:spacing w:before="100" w:beforeAutospacing="1" w:after="100" w:afterAutospacing="1" w:line="560" w:lineRule="exact"/>
        <w:ind w:firstLine="640" w:firstLineChars="200"/>
        <w:contextualSpacing/>
        <w:rPr>
          <w:rFonts w:ascii="仿宋" w:hAnsi="仿宋" w:eastAsia="仿宋"/>
          <w:sz w:val="32"/>
          <w:szCs w:val="32"/>
        </w:rPr>
      </w:pPr>
      <w:r>
        <w:rPr>
          <w:rFonts w:hint="eastAsia" w:ascii="仿宋" w:hAnsi="仿宋" w:eastAsia="仿宋" w:cs="仿宋_GB2312"/>
          <w:sz w:val="32"/>
          <w:szCs w:val="32"/>
        </w:rPr>
        <w:t>成立了以2名市委常委为双组长的领导小组，强力推动“两个专项”整治工作。开展</w:t>
      </w:r>
      <w:r>
        <w:rPr>
          <w:rFonts w:hint="eastAsia" w:ascii="仿宋" w:hAnsi="仿宋" w:eastAsia="仿宋"/>
          <w:sz w:val="32"/>
          <w:szCs w:val="32"/>
        </w:rPr>
        <w:t>安全生产、食品饮料大排查大整治，共排查各类企业场所461家，排查整改一般风险隐患624条、食品安全隐患136条，停产停业2家矿山企业，强拆2处消防通道封堵。推进民办幼儿园安全管理专项整治，排查民办幼儿园66家，排查整改隐患1254条。实施节假日安全专项整治，发现并及时排除安全隐患152处，确保假日安全稳定。紧抓危险化学品和易燃易爆物品、交通运输、非煤矿山等重点领域，执法检查企业156家/次，行政处罚23次，罚款80.7万元，发出“两书一函”20份，并全部整改落实，挂牌督办完成重大隐患整改4项。</w:t>
      </w:r>
    </w:p>
    <w:p w14:paraId="603EA69A">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5、安全发展示范城市创建稳步推进</w:t>
      </w:r>
    </w:p>
    <w:p w14:paraId="715829DF">
      <w:pPr>
        <w:spacing w:before="100" w:beforeAutospacing="1" w:after="100" w:afterAutospacing="1" w:line="560" w:lineRule="exact"/>
        <w:ind w:firstLine="640" w:firstLineChars="200"/>
        <w:contextualSpacing/>
        <w:rPr>
          <w:rFonts w:ascii="仿宋" w:hAnsi="仿宋" w:eastAsia="仿宋"/>
          <w:sz w:val="32"/>
          <w:szCs w:val="32"/>
        </w:rPr>
      </w:pPr>
      <w:r>
        <w:rPr>
          <w:rFonts w:hint="eastAsia" w:ascii="仿宋" w:hAnsi="仿宋" w:eastAsia="仿宋"/>
          <w:sz w:val="32"/>
          <w:szCs w:val="32"/>
        </w:rPr>
        <w:t>扎实推进省级安全发展示范城市创建。顺利完成创建、信息化清单制与应急资源资料收集、应急资源普</w:t>
      </w:r>
      <w:r>
        <w:rPr>
          <w:rFonts w:hint="eastAsia" w:ascii="仿宋" w:hAnsi="仿宋" w:eastAsia="仿宋" w:cs="仿宋_GB2312"/>
          <w:sz w:val="32"/>
          <w:szCs w:val="32"/>
        </w:rPr>
        <w:t>查、信息化需求调研、信息化清单制数据收集，城市风险现场排查及评估、信息化系统、城市应急管理综合应用平台、城市安全清单制管理信息化系统设计等</w:t>
      </w:r>
      <w:r>
        <w:rPr>
          <w:rFonts w:hint="eastAsia" w:ascii="仿宋" w:hAnsi="仿宋" w:eastAsia="仿宋"/>
          <w:sz w:val="32"/>
          <w:szCs w:val="32"/>
        </w:rPr>
        <w:t>工作，迎检工作稳步推进中。</w:t>
      </w:r>
    </w:p>
    <w:p w14:paraId="28886330">
      <w:pPr>
        <w:pStyle w:val="2"/>
        <w:spacing w:before="72"/>
        <w:rPr>
          <w:rFonts w:ascii="仿宋" w:hAnsi="仿宋" w:eastAsia="仿宋"/>
          <w:sz w:val="32"/>
          <w:szCs w:val="32"/>
        </w:rPr>
      </w:pPr>
    </w:p>
    <w:p w14:paraId="580D1E93">
      <w:pPr>
        <w:ind w:firstLine="643" w:firstLineChars="200"/>
        <w:rPr>
          <w:rFonts w:ascii="仿宋" w:hAnsi="仿宋" w:eastAsia="仿宋"/>
          <w:b/>
          <w:bCs/>
          <w:sz w:val="32"/>
          <w:szCs w:val="32"/>
        </w:rPr>
      </w:pPr>
      <w:r>
        <w:rPr>
          <w:rFonts w:hint="eastAsia" w:ascii="仿宋" w:hAnsi="仿宋" w:eastAsia="仿宋"/>
          <w:b/>
          <w:bCs/>
          <w:sz w:val="32"/>
          <w:szCs w:val="32"/>
        </w:rPr>
        <w:t>6、地震监测和预警</w:t>
      </w:r>
    </w:p>
    <w:p w14:paraId="1B70732D">
      <w:pPr>
        <w:pStyle w:val="2"/>
        <w:spacing w:before="72" w:line="60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一是配合省地震局完成县级地震转发平台建设，已投入运行；二是积极配合省地震局开展国家烈度速报与预警工程项目，派具体经办人员参加相关培训，龙池中学基本站已建成，峨眉一小、峨眉三中地震预警终端运行正常，高桥、双福一般站运行正常；三是对现已建成的3台“多分量AETA地震监测系统”试验站进行日常检查和保护，对运行情况每日记录，保障数据及时上传。</w:t>
      </w:r>
    </w:p>
    <w:p w14:paraId="75E42386">
      <w:pPr>
        <w:pStyle w:val="2"/>
        <w:spacing w:before="72"/>
        <w:ind w:left="630"/>
        <w:rPr>
          <w:rFonts w:ascii="仿宋" w:hAnsi="仿宋" w:eastAsia="仿宋"/>
          <w:b/>
          <w:bCs/>
          <w:sz w:val="32"/>
          <w:szCs w:val="32"/>
        </w:rPr>
      </w:pPr>
      <w:r>
        <w:rPr>
          <w:rFonts w:hint="eastAsia" w:ascii="仿宋" w:hAnsi="仿宋" w:eastAsia="仿宋"/>
          <w:b/>
          <w:bCs/>
          <w:sz w:val="32"/>
          <w:szCs w:val="32"/>
        </w:rPr>
        <w:t>7、群测群防</w:t>
      </w:r>
    </w:p>
    <w:p w14:paraId="6A079619">
      <w:pPr>
        <w:pStyle w:val="2"/>
        <w:spacing w:before="72" w:line="60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一是积极配合乐山市防震减灾服务中心在我市各乡镇共建设了11个地震宏观观测站；设置了32个宏观观测点，每个乡镇（街道）均配备了防震减灾助理员，及时对“三网一员”人员进行了更新备案；11月25日，召开了我市2021年“三网一员”培训会暨地震灾害风险普查工作推进会，全市各乡镇（街道）共计26人参加。二是制定了《2021年震情跟踪工作方案》，成立了包括各乡镇防震减灾助理员和宏观观测员为成员的震情跟踪工作领导小组，对震情跟踪各项工作进行了布署。全面加强异常核实工作，实行分级负责、责任包干制度，坚决做到异常核实“不过夜”，有一起核实一起，做到件件有落实，事事有回音。</w:t>
      </w:r>
    </w:p>
    <w:p w14:paraId="04AB400D">
      <w:pPr>
        <w:pStyle w:val="2"/>
        <w:spacing w:before="72"/>
        <w:ind w:left="630"/>
        <w:rPr>
          <w:rFonts w:ascii="仿宋" w:hAnsi="仿宋" w:eastAsia="仿宋"/>
          <w:b/>
          <w:bCs/>
          <w:sz w:val="32"/>
          <w:szCs w:val="32"/>
        </w:rPr>
      </w:pPr>
      <w:r>
        <w:rPr>
          <w:rFonts w:hint="eastAsia" w:ascii="仿宋" w:hAnsi="仿宋" w:eastAsia="仿宋"/>
          <w:b/>
          <w:bCs/>
          <w:sz w:val="32"/>
          <w:szCs w:val="32"/>
        </w:rPr>
        <w:t>8、震害防御</w:t>
      </w:r>
    </w:p>
    <w:p w14:paraId="3B16B2F7">
      <w:pPr>
        <w:spacing w:before="100" w:beforeAutospacing="1" w:after="100" w:afterAutospacing="1" w:line="600" w:lineRule="exact"/>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一是制定了《峨眉山市2021年防震减灾科普宣传教育工作方案》，结合防震减灾科普宣传“七进”活动，进学校向教职工讲解防震避震知识，向各中小学校发放防震减灾书签40000余份，利用“科普宣传月”“防灾减灾日”以及农民夜校和大走访等时机，发放宣传资料2000余份；结合“乡村培训大行动”，向各乡镇（街道）发放宣传资料50000余份，发放防震避震明白卡158000余份。二是邀请西南交通大学专家对全市基层民兵进行了防震减灾科普知识和应急救援基础知识培训。三是积极开展应急演练，2021年5月14日，配合市应急局开展了“‘应急使命·2021’演习暨峨眉山市2021年抗震救灾桌面推演”。</w:t>
      </w:r>
    </w:p>
    <w:p w14:paraId="5AE2BC08">
      <w:pPr>
        <w:spacing w:line="600" w:lineRule="exact"/>
        <w:ind w:firstLine="640" w:firstLineChars="200"/>
        <w:outlineLvl w:val="1"/>
        <w:rPr>
          <w:rStyle w:val="26"/>
          <w:rFonts w:ascii="黑体" w:hAnsi="黑体" w:eastAsia="黑体"/>
          <w:b w:val="0"/>
        </w:rPr>
      </w:pPr>
      <w:bookmarkStart w:id="18" w:name="_Toc15396601"/>
      <w:bookmarkStart w:id="19" w:name="_Toc15377200"/>
      <w:r>
        <w:rPr>
          <w:rStyle w:val="26"/>
          <w:rFonts w:hint="eastAsia" w:ascii="黑体" w:hAnsi="黑体" w:eastAsia="黑体"/>
          <w:b w:val="0"/>
        </w:rPr>
        <w:t>二、机构设置</w:t>
      </w:r>
      <w:bookmarkEnd w:id="18"/>
      <w:bookmarkEnd w:id="19"/>
    </w:p>
    <w:p w14:paraId="472D112D">
      <w:pPr>
        <w:spacing w:before="100" w:beforeAutospacing="1" w:after="100" w:afterAutospacing="1" w:line="560" w:lineRule="exact"/>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应急局下属二级单位5个，其中行政单位1，参照公务员法管理的事业单位2个，其他事业单位2个。</w:t>
      </w:r>
    </w:p>
    <w:p w14:paraId="4756419D">
      <w:pPr>
        <w:spacing w:before="100" w:beforeAutospacing="1" w:after="100" w:afterAutospacing="1" w:line="560" w:lineRule="exact"/>
        <w:ind w:firstLine="640" w:firstLineChars="200"/>
        <w:contextualSpacing/>
        <w:rPr>
          <w:rFonts w:ascii="仿宋" w:hAnsi="仿宋" w:eastAsia="仿宋"/>
          <w:kern w:val="0"/>
          <w:sz w:val="32"/>
          <w:szCs w:val="32"/>
        </w:rPr>
      </w:pPr>
      <w:r>
        <w:rPr>
          <w:rFonts w:hint="eastAsia" w:ascii="仿宋" w:hAnsi="仿宋" w:eastAsia="仿宋" w:cs="仿宋_GB2312"/>
          <w:sz w:val="32"/>
          <w:szCs w:val="32"/>
        </w:rPr>
        <w:t>纳入应急局2021年度部门决算编制范围的二级预算单位包括：峨眉山市防震减灾服务中心。</w:t>
      </w:r>
      <w:r>
        <w:rPr>
          <w:rFonts w:ascii="仿宋" w:hAnsi="仿宋" w:eastAsia="仿宋"/>
          <w:sz w:val="32"/>
          <w:szCs w:val="32"/>
        </w:rPr>
        <w:br w:type="page"/>
      </w:r>
    </w:p>
    <w:p w14:paraId="68C910AA">
      <w:pPr>
        <w:spacing w:line="600" w:lineRule="exact"/>
        <w:jc w:val="center"/>
        <w:rPr>
          <w:rFonts w:ascii="方正小标宋_GBK" w:hAnsi="方正小标宋_GBK" w:eastAsia="方正小标宋_GBK" w:cs="方正小标宋_GBK"/>
          <w:sz w:val="44"/>
          <w:szCs w:val="44"/>
        </w:rPr>
      </w:pPr>
      <w:bookmarkStart w:id="20" w:name="_Toc15396602"/>
      <w:bookmarkStart w:id="21" w:name="_Toc15377204"/>
      <w:r>
        <w:rPr>
          <w:rFonts w:hint="eastAsia" w:ascii="方正小标宋_GBK" w:hAnsi="方正小标宋_GBK" w:eastAsia="方正小标宋_GBK" w:cs="方正小标宋_GBK"/>
          <w:sz w:val="44"/>
          <w:szCs w:val="44"/>
        </w:rPr>
        <w:t>第二部分 2021年度部门决算情况说明</w:t>
      </w:r>
      <w:bookmarkEnd w:id="20"/>
      <w:bookmarkEnd w:id="21"/>
    </w:p>
    <w:p w14:paraId="0B36C6B7">
      <w:pPr>
        <w:spacing w:line="600" w:lineRule="exact"/>
      </w:pPr>
    </w:p>
    <w:p w14:paraId="02E6EF72">
      <w:pPr>
        <w:pStyle w:val="24"/>
        <w:numPr>
          <w:ilvl w:val="0"/>
          <w:numId w:val="1"/>
        </w:numPr>
        <w:spacing w:line="600" w:lineRule="exact"/>
        <w:ind w:firstLineChars="0"/>
        <w:outlineLvl w:val="1"/>
        <w:rPr>
          <w:rStyle w:val="26"/>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2"/>
      <w:bookmarkEnd w:id="23"/>
    </w:p>
    <w:p w14:paraId="59429BF6">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2021年度收、支总计5488.47万元。与2020年相比，收、支总计各增加3166.80万元，增长136.40%。主要变动原因是付煤矿关闭奖补资金、付安全发展示范城市创建和自然灾害救灾资金以及备灾点物资采购等。</w:t>
      </w:r>
    </w:p>
    <w:p w14:paraId="20668DC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14:paraId="40871B6C">
      <w:pPr>
        <w:pStyle w:val="2"/>
        <w:spacing w:before="72"/>
      </w:pPr>
      <w:r>
        <w:rPr>
          <w:rFonts w:hint="eastAsia"/>
        </w:rPr>
        <w:drawing>
          <wp:anchor distT="0" distB="0" distL="114300" distR="114300" simplePos="0" relativeHeight="251659264" behindDoc="0" locked="0" layoutInCell="1" allowOverlap="1">
            <wp:simplePos x="0" y="0"/>
            <wp:positionH relativeFrom="column">
              <wp:posOffset>-361315</wp:posOffset>
            </wp:positionH>
            <wp:positionV relativeFrom="paragraph">
              <wp:posOffset>34290</wp:posOffset>
            </wp:positionV>
            <wp:extent cx="5981700" cy="472440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srcRect/>
                    <a:stretch>
                      <a:fillRect/>
                    </a:stretch>
                  </pic:blipFill>
                  <pic:spPr>
                    <a:xfrm>
                      <a:off x="0" y="0"/>
                      <a:ext cx="5981700" cy="4724400"/>
                    </a:xfrm>
                    <a:prstGeom prst="rect">
                      <a:avLst/>
                    </a:prstGeom>
                    <a:noFill/>
                  </pic:spPr>
                </pic:pic>
              </a:graphicData>
            </a:graphic>
          </wp:anchor>
        </w:drawing>
      </w:r>
    </w:p>
    <w:p w14:paraId="4FBEFE8A">
      <w:pPr>
        <w:pStyle w:val="2"/>
        <w:spacing w:before="72"/>
      </w:pPr>
    </w:p>
    <w:p w14:paraId="22363C95">
      <w:pPr>
        <w:pStyle w:val="2"/>
        <w:spacing w:before="72"/>
      </w:pPr>
    </w:p>
    <w:p w14:paraId="20493112">
      <w:pPr>
        <w:pStyle w:val="2"/>
        <w:spacing w:before="72"/>
      </w:pPr>
    </w:p>
    <w:p w14:paraId="4C278C4C">
      <w:pPr>
        <w:pStyle w:val="2"/>
        <w:spacing w:before="72"/>
      </w:pPr>
    </w:p>
    <w:p w14:paraId="2A249643">
      <w:pPr>
        <w:pStyle w:val="2"/>
        <w:spacing w:before="72"/>
      </w:pPr>
    </w:p>
    <w:p w14:paraId="7FCD29B1">
      <w:pPr>
        <w:pStyle w:val="2"/>
        <w:spacing w:before="72"/>
      </w:pPr>
    </w:p>
    <w:p w14:paraId="59E84BA6">
      <w:pPr>
        <w:pStyle w:val="2"/>
        <w:spacing w:before="72"/>
      </w:pPr>
      <w:r>
        <w:rPr>
          <w:rFonts w:hint="eastAsia"/>
        </w:rPr>
        <w:t xml:space="preserve"> </w:t>
      </w:r>
    </w:p>
    <w:p w14:paraId="2376D0AF">
      <w:pPr>
        <w:pStyle w:val="2"/>
        <w:spacing w:before="72"/>
      </w:pPr>
    </w:p>
    <w:p w14:paraId="3BD59F79">
      <w:pPr>
        <w:pStyle w:val="2"/>
        <w:spacing w:before="72"/>
      </w:pPr>
    </w:p>
    <w:p w14:paraId="60A6A46F">
      <w:pPr>
        <w:pStyle w:val="2"/>
        <w:spacing w:before="72"/>
      </w:pPr>
    </w:p>
    <w:p w14:paraId="61BAB6B6">
      <w:pPr>
        <w:pStyle w:val="2"/>
        <w:spacing w:before="72"/>
      </w:pPr>
    </w:p>
    <w:p w14:paraId="0ADE5A78">
      <w:pPr>
        <w:pStyle w:val="2"/>
        <w:spacing w:before="72"/>
      </w:pPr>
    </w:p>
    <w:p w14:paraId="6E6F5094">
      <w:pPr>
        <w:pStyle w:val="2"/>
        <w:spacing w:before="72"/>
      </w:pPr>
    </w:p>
    <w:p w14:paraId="630AFA84">
      <w:pPr>
        <w:pStyle w:val="2"/>
        <w:spacing w:before="72"/>
      </w:pPr>
    </w:p>
    <w:p w14:paraId="6332F919">
      <w:pPr>
        <w:pStyle w:val="2"/>
        <w:spacing w:before="72"/>
      </w:pPr>
    </w:p>
    <w:p w14:paraId="5A187060">
      <w:pPr>
        <w:pStyle w:val="24"/>
        <w:numPr>
          <w:ilvl w:val="0"/>
          <w:numId w:val="1"/>
        </w:numPr>
        <w:spacing w:line="600" w:lineRule="exact"/>
        <w:ind w:firstLineChars="0"/>
        <w:outlineLvl w:val="1"/>
        <w:rPr>
          <w:rStyle w:val="26"/>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26"/>
          <w:rFonts w:hint="eastAsia" w:ascii="黑体" w:hAnsi="黑体" w:eastAsia="黑体"/>
          <w:b w:val="0"/>
        </w:rPr>
        <w:t>入决算情况说明</w:t>
      </w:r>
      <w:bookmarkEnd w:id="24"/>
      <w:bookmarkEnd w:id="25"/>
    </w:p>
    <w:p w14:paraId="555B31FE">
      <w:pPr>
        <w:spacing w:line="600" w:lineRule="exact"/>
        <w:ind w:firstLine="640" w:firstLineChars="200"/>
        <w:outlineLvl w:val="1"/>
        <w:rPr>
          <w:rFonts w:ascii="仿宋" w:hAnsi="仿宋" w:eastAsia="仿宋" w:cs="仿宋_GB2312"/>
          <w:sz w:val="32"/>
          <w:szCs w:val="32"/>
        </w:rPr>
      </w:pPr>
      <w:r>
        <w:rPr>
          <w:rFonts w:hint="eastAsia" w:ascii="仿宋" w:hAnsi="仿宋" w:eastAsia="仿宋" w:cs="仿宋_GB2312"/>
          <w:sz w:val="32"/>
          <w:szCs w:val="32"/>
        </w:rPr>
        <w:t>2021年本年收入合计5215.97万元，其中：一般公共预算财政拨款收入2513.79万元，占48.19%；政府性基金预算财政拨款收入2702.18万元，占51.81%；国有资本经营预算财政拨款收入0万元，占0%；上级补助收入0万元，占0%；事业收入0万元，占0%；经营收入0万元，占0%；附属单位上缴收入0万元，占0%；其他收入0万元，占0%。</w:t>
      </w:r>
    </w:p>
    <w:p w14:paraId="0057D3DF">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（注：数据来源于财决01表，仅罗列本部门涉及的收入。）</w:t>
      </w:r>
    </w:p>
    <w:p w14:paraId="53BE805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018728BC">
      <w:pPr>
        <w:spacing w:line="60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0288" behindDoc="0" locked="0" layoutInCell="1" allowOverlap="1">
            <wp:simplePos x="0" y="0"/>
            <wp:positionH relativeFrom="column">
              <wp:posOffset>-142240</wp:posOffset>
            </wp:positionH>
            <wp:positionV relativeFrom="paragraph">
              <wp:posOffset>129540</wp:posOffset>
            </wp:positionV>
            <wp:extent cx="5686425" cy="4362450"/>
            <wp:effectExtent l="19050" t="0" r="9525"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0"/>
                    <a:srcRect/>
                    <a:stretch>
                      <a:fillRect/>
                    </a:stretch>
                  </pic:blipFill>
                  <pic:spPr>
                    <a:xfrm>
                      <a:off x="0" y="0"/>
                      <a:ext cx="5686425" cy="4362450"/>
                    </a:xfrm>
                    <a:prstGeom prst="rect">
                      <a:avLst/>
                    </a:prstGeom>
                    <a:noFill/>
                  </pic:spPr>
                </pic:pic>
              </a:graphicData>
            </a:graphic>
          </wp:anchor>
        </w:drawing>
      </w:r>
    </w:p>
    <w:p w14:paraId="655A18E9">
      <w:pPr>
        <w:pStyle w:val="2"/>
        <w:spacing w:before="72"/>
      </w:pPr>
    </w:p>
    <w:p w14:paraId="06E6B122">
      <w:pPr>
        <w:pStyle w:val="2"/>
        <w:spacing w:before="72"/>
      </w:pPr>
    </w:p>
    <w:p w14:paraId="2ED1F93C">
      <w:pPr>
        <w:pStyle w:val="2"/>
        <w:spacing w:before="72"/>
      </w:pPr>
    </w:p>
    <w:p w14:paraId="0CC66A7A">
      <w:pPr>
        <w:pStyle w:val="2"/>
        <w:spacing w:before="72"/>
      </w:pPr>
    </w:p>
    <w:p w14:paraId="3272922C">
      <w:pPr>
        <w:pStyle w:val="2"/>
        <w:spacing w:before="72"/>
      </w:pPr>
    </w:p>
    <w:p w14:paraId="076C3C7E">
      <w:pPr>
        <w:pStyle w:val="2"/>
        <w:spacing w:before="72"/>
      </w:pPr>
    </w:p>
    <w:p w14:paraId="5F3B5BB1">
      <w:pPr>
        <w:pStyle w:val="2"/>
        <w:spacing w:before="72"/>
      </w:pPr>
    </w:p>
    <w:p w14:paraId="1644F0AD">
      <w:pPr>
        <w:pStyle w:val="2"/>
        <w:spacing w:before="72"/>
      </w:pPr>
    </w:p>
    <w:p w14:paraId="1947B168">
      <w:pPr>
        <w:pStyle w:val="2"/>
        <w:spacing w:before="72"/>
      </w:pPr>
    </w:p>
    <w:p w14:paraId="10D0EC25">
      <w:pPr>
        <w:pStyle w:val="24"/>
        <w:spacing w:line="600" w:lineRule="exact"/>
        <w:ind w:left="640" w:firstLine="0" w:firstLineChars="0"/>
        <w:outlineLvl w:val="1"/>
        <w:rPr>
          <w:rFonts w:ascii="黑体" w:hAnsi="黑体" w:eastAsia="黑体"/>
          <w:sz w:val="32"/>
          <w:szCs w:val="32"/>
        </w:rPr>
      </w:pPr>
      <w:bookmarkStart w:id="26" w:name="_Toc15396605"/>
      <w:bookmarkStart w:id="27" w:name="_Toc15377207"/>
    </w:p>
    <w:p w14:paraId="52993DB3">
      <w:pPr>
        <w:pStyle w:val="24"/>
        <w:spacing w:line="600" w:lineRule="exact"/>
        <w:ind w:left="640" w:firstLine="0" w:firstLineChars="0"/>
        <w:outlineLvl w:val="1"/>
        <w:rPr>
          <w:rFonts w:ascii="黑体" w:hAnsi="黑体" w:eastAsia="黑体"/>
          <w:sz w:val="32"/>
          <w:szCs w:val="32"/>
        </w:rPr>
      </w:pPr>
    </w:p>
    <w:p w14:paraId="0116566F">
      <w:pPr>
        <w:pStyle w:val="24"/>
        <w:spacing w:line="600" w:lineRule="exact"/>
        <w:ind w:left="640" w:firstLine="0" w:firstLineChars="0"/>
        <w:outlineLvl w:val="1"/>
        <w:rPr>
          <w:rFonts w:ascii="黑体" w:hAnsi="黑体" w:eastAsia="黑体"/>
          <w:sz w:val="32"/>
          <w:szCs w:val="32"/>
        </w:rPr>
      </w:pPr>
    </w:p>
    <w:p w14:paraId="01F89B1D">
      <w:pPr>
        <w:pStyle w:val="24"/>
        <w:spacing w:line="600" w:lineRule="exact"/>
        <w:ind w:left="640" w:firstLine="0" w:firstLineChars="0"/>
        <w:outlineLvl w:val="1"/>
        <w:rPr>
          <w:rFonts w:ascii="黑体" w:hAnsi="黑体" w:eastAsia="黑体"/>
          <w:sz w:val="32"/>
          <w:szCs w:val="32"/>
        </w:rPr>
      </w:pPr>
    </w:p>
    <w:p w14:paraId="3CE523AB">
      <w:pPr>
        <w:pStyle w:val="24"/>
        <w:spacing w:line="600" w:lineRule="exact"/>
        <w:ind w:left="640" w:firstLine="0" w:firstLineChars="0"/>
        <w:outlineLvl w:val="1"/>
        <w:rPr>
          <w:rStyle w:val="26"/>
          <w:rFonts w:ascii="黑体" w:hAnsi="黑体" w:eastAsia="黑体"/>
          <w:b w:val="0"/>
        </w:rPr>
      </w:pPr>
      <w:r>
        <w:rPr>
          <w:rFonts w:hint="eastAsia" w:ascii="黑体" w:hAnsi="黑体" w:eastAsia="黑体"/>
          <w:sz w:val="32"/>
          <w:szCs w:val="32"/>
        </w:rPr>
        <w:t>三、支</w:t>
      </w:r>
      <w:r>
        <w:rPr>
          <w:rStyle w:val="26"/>
          <w:rFonts w:hint="eastAsia" w:ascii="黑体" w:hAnsi="黑体" w:eastAsia="黑体"/>
          <w:b w:val="0"/>
        </w:rPr>
        <w:t>出决算情况说明</w:t>
      </w:r>
      <w:bookmarkEnd w:id="26"/>
      <w:bookmarkEnd w:id="27"/>
    </w:p>
    <w:p w14:paraId="6329D470">
      <w:pPr>
        <w:spacing w:line="600" w:lineRule="exact"/>
        <w:ind w:firstLine="640" w:firstLineChars="200"/>
        <w:outlineLvl w:val="1"/>
        <w:rPr>
          <w:rFonts w:ascii="仿宋" w:hAnsi="仿宋" w:eastAsia="仿宋" w:cs="仿宋_GB2312"/>
          <w:sz w:val="32"/>
          <w:szCs w:val="32"/>
        </w:rPr>
      </w:pPr>
      <w:r>
        <w:rPr>
          <w:rFonts w:hint="eastAsia" w:ascii="仿宋" w:hAnsi="仿宋" w:eastAsia="仿宋" w:cs="仿宋_GB2312"/>
          <w:sz w:val="32"/>
          <w:szCs w:val="32"/>
        </w:rPr>
        <w:t>2021年本年支出合计4359.56万元，其中：基本支出737.41万元，占16.91%；项目支出3622.15万元，占83.09%；上缴上级支出0万元，占0%；经营支出0万元，占0%；对附属单位补助支出0万元，占0%。</w:t>
      </w:r>
    </w:p>
    <w:p w14:paraId="31544845">
      <w:pPr>
        <w:spacing w:line="600"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（注：数据来源于财决04表，仅罗列本部门涉及的支出。）</w:t>
      </w:r>
    </w:p>
    <w:p w14:paraId="3D389A08">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（图3：支出决算结构图）（饼状图）</w:t>
      </w:r>
    </w:p>
    <w:p w14:paraId="36C69C44">
      <w:pPr>
        <w:spacing w:line="60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1312" behindDoc="0" locked="0" layoutInCell="1" allowOverlap="1">
            <wp:simplePos x="0" y="0"/>
            <wp:positionH relativeFrom="column">
              <wp:posOffset>133985</wp:posOffset>
            </wp:positionH>
            <wp:positionV relativeFrom="paragraph">
              <wp:posOffset>81915</wp:posOffset>
            </wp:positionV>
            <wp:extent cx="5405755" cy="4391025"/>
            <wp:effectExtent l="19050" t="0" r="4445"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11"/>
                    <a:srcRect/>
                    <a:stretch>
                      <a:fillRect/>
                    </a:stretch>
                  </pic:blipFill>
                  <pic:spPr>
                    <a:xfrm>
                      <a:off x="0" y="0"/>
                      <a:ext cx="5405755" cy="4391025"/>
                    </a:xfrm>
                    <a:prstGeom prst="rect">
                      <a:avLst/>
                    </a:prstGeom>
                    <a:noFill/>
                  </pic:spPr>
                </pic:pic>
              </a:graphicData>
            </a:graphic>
          </wp:anchor>
        </w:drawing>
      </w:r>
    </w:p>
    <w:p w14:paraId="0D61AA03">
      <w:pPr>
        <w:pStyle w:val="2"/>
        <w:spacing w:before="72"/>
      </w:pPr>
    </w:p>
    <w:p w14:paraId="202460FD">
      <w:pPr>
        <w:pStyle w:val="2"/>
        <w:spacing w:before="72"/>
      </w:pPr>
    </w:p>
    <w:p w14:paraId="1738968F">
      <w:pPr>
        <w:pStyle w:val="2"/>
        <w:spacing w:before="72"/>
      </w:pPr>
    </w:p>
    <w:p w14:paraId="2E0C20A2">
      <w:pPr>
        <w:pStyle w:val="2"/>
        <w:spacing w:before="72"/>
      </w:pPr>
    </w:p>
    <w:p w14:paraId="35ECAE7A">
      <w:pPr>
        <w:pStyle w:val="2"/>
        <w:spacing w:before="72"/>
      </w:pPr>
    </w:p>
    <w:p w14:paraId="5A39791B">
      <w:pPr>
        <w:pStyle w:val="2"/>
        <w:spacing w:before="72"/>
      </w:pPr>
    </w:p>
    <w:p w14:paraId="77D1ACE9">
      <w:pPr>
        <w:pStyle w:val="2"/>
        <w:spacing w:before="72"/>
      </w:pPr>
    </w:p>
    <w:p w14:paraId="51C71BC6">
      <w:pPr>
        <w:pStyle w:val="2"/>
        <w:spacing w:before="72"/>
      </w:pPr>
    </w:p>
    <w:p w14:paraId="30BBA8F3">
      <w:pPr>
        <w:pStyle w:val="2"/>
        <w:spacing w:before="72"/>
      </w:pPr>
    </w:p>
    <w:p w14:paraId="7DE057A1">
      <w:pPr>
        <w:pStyle w:val="2"/>
        <w:spacing w:before="72"/>
      </w:pPr>
    </w:p>
    <w:p w14:paraId="39519283">
      <w:pPr>
        <w:pStyle w:val="2"/>
        <w:spacing w:before="72"/>
      </w:pPr>
    </w:p>
    <w:p w14:paraId="7A957E52">
      <w:pPr>
        <w:pStyle w:val="2"/>
        <w:spacing w:before="72"/>
      </w:pPr>
    </w:p>
    <w:p w14:paraId="0AE8EB53">
      <w:pPr>
        <w:pStyle w:val="2"/>
        <w:spacing w:before="72"/>
      </w:pPr>
    </w:p>
    <w:p w14:paraId="325EBECC">
      <w:pPr>
        <w:pStyle w:val="2"/>
        <w:spacing w:before="72"/>
      </w:pPr>
    </w:p>
    <w:p w14:paraId="1544C8DD">
      <w:pPr>
        <w:spacing w:line="600" w:lineRule="exact"/>
        <w:ind w:firstLine="640" w:firstLineChars="200"/>
        <w:outlineLvl w:val="1"/>
        <w:rPr>
          <w:rFonts w:ascii="黑体" w:hAnsi="黑体" w:eastAsia="黑体"/>
          <w:sz w:val="32"/>
          <w:szCs w:val="32"/>
        </w:rPr>
      </w:pPr>
      <w:bookmarkStart w:id="28" w:name="_Toc15396606"/>
      <w:bookmarkStart w:id="29" w:name="_Toc15377208"/>
    </w:p>
    <w:p w14:paraId="74BF5451">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8"/>
      <w:bookmarkEnd w:id="29"/>
    </w:p>
    <w:p w14:paraId="7015B0AF">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财政拨款收、支总计5488.43万元。与2020年相比，财政拨款收、支总计各增加3166.92万元，增长136.42%。主要变动原因是付煤矿关闭奖补资金、付安全发展示范城市创建和自然灾害救灾资金以及备灾点物资采购等。</w:t>
      </w:r>
    </w:p>
    <w:p w14:paraId="7F0A846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14:paraId="730A13C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14:paraId="68DD07AC">
      <w:pPr>
        <w:spacing w:line="600" w:lineRule="exact"/>
        <w:ind w:firstLine="640"/>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86360</wp:posOffset>
            </wp:positionH>
            <wp:positionV relativeFrom="paragraph">
              <wp:posOffset>-241935</wp:posOffset>
            </wp:positionV>
            <wp:extent cx="5638800" cy="4438650"/>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2"/>
                    <a:srcRect/>
                    <a:stretch>
                      <a:fillRect/>
                    </a:stretch>
                  </pic:blipFill>
                  <pic:spPr>
                    <a:xfrm>
                      <a:off x="0" y="0"/>
                      <a:ext cx="5638800" cy="4438650"/>
                    </a:xfrm>
                    <a:prstGeom prst="rect">
                      <a:avLst/>
                    </a:prstGeom>
                    <a:noFill/>
                  </pic:spPr>
                </pic:pic>
              </a:graphicData>
            </a:graphic>
          </wp:anchor>
        </w:drawing>
      </w:r>
    </w:p>
    <w:p w14:paraId="15495718">
      <w:pPr>
        <w:pStyle w:val="2"/>
        <w:spacing w:before="72"/>
      </w:pPr>
    </w:p>
    <w:p w14:paraId="0719EE47">
      <w:pPr>
        <w:pStyle w:val="2"/>
        <w:spacing w:before="72"/>
      </w:pPr>
    </w:p>
    <w:p w14:paraId="27226166">
      <w:pPr>
        <w:pStyle w:val="2"/>
        <w:spacing w:before="72"/>
      </w:pPr>
    </w:p>
    <w:p w14:paraId="1C1D6C3C">
      <w:pPr>
        <w:pStyle w:val="2"/>
        <w:spacing w:before="72"/>
      </w:pPr>
    </w:p>
    <w:p w14:paraId="18508E1A">
      <w:pPr>
        <w:pStyle w:val="2"/>
        <w:spacing w:before="72"/>
      </w:pPr>
    </w:p>
    <w:p w14:paraId="413F4BA9">
      <w:pPr>
        <w:pStyle w:val="2"/>
        <w:spacing w:before="72"/>
      </w:pPr>
    </w:p>
    <w:p w14:paraId="470AD2D4">
      <w:pPr>
        <w:pStyle w:val="2"/>
        <w:spacing w:before="72"/>
      </w:pPr>
    </w:p>
    <w:p w14:paraId="37A0B0AE">
      <w:pPr>
        <w:pStyle w:val="2"/>
        <w:spacing w:before="72"/>
      </w:pPr>
    </w:p>
    <w:p w14:paraId="63E7EF83">
      <w:pPr>
        <w:pStyle w:val="2"/>
        <w:spacing w:before="72"/>
      </w:pPr>
    </w:p>
    <w:p w14:paraId="2AE2F6D0">
      <w:pPr>
        <w:pStyle w:val="2"/>
        <w:spacing w:before="72"/>
      </w:pPr>
    </w:p>
    <w:p w14:paraId="483A963D">
      <w:pPr>
        <w:pStyle w:val="2"/>
        <w:spacing w:before="72"/>
      </w:pPr>
    </w:p>
    <w:p w14:paraId="57795F4A">
      <w:pPr>
        <w:pStyle w:val="2"/>
        <w:spacing w:before="72"/>
      </w:pPr>
    </w:p>
    <w:p w14:paraId="0020FA97">
      <w:pPr>
        <w:pStyle w:val="2"/>
        <w:spacing w:before="72"/>
      </w:pPr>
    </w:p>
    <w:p w14:paraId="77744F9D">
      <w:pPr>
        <w:pStyle w:val="2"/>
        <w:spacing w:before="72"/>
      </w:pPr>
    </w:p>
    <w:p w14:paraId="112138CC">
      <w:pPr>
        <w:spacing w:line="600" w:lineRule="exact"/>
        <w:ind w:firstLine="640" w:firstLineChars="200"/>
        <w:outlineLvl w:val="1"/>
        <w:rPr>
          <w:rStyle w:val="26"/>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0"/>
      <w:bookmarkEnd w:id="31"/>
    </w:p>
    <w:p w14:paraId="4C001CC6">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14:paraId="1A906467">
      <w:pPr>
        <w:spacing w:line="600" w:lineRule="exact"/>
        <w:ind w:firstLine="640" w:firstLineChars="20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21年一般公共预算财政拨款支出1657.34万元，占本年支出合计的38.02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20年相比，一般公共预算财政拨款支出增加376.07万元，增长29.35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_GB2312"/>
          <w:sz w:val="32"/>
          <w:szCs w:val="32"/>
        </w:rPr>
        <w:t>付安全发展示范城市创建和自然灾害救灾资金以及备灾点物资采购等。</w:t>
      </w:r>
    </w:p>
    <w:p w14:paraId="030A5815">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7DC0ECF">
      <w:pPr>
        <w:spacing w:line="600" w:lineRule="exact"/>
        <w:ind w:firstLine="640" w:firstLineChars="200"/>
        <w:rPr>
          <w:rFonts w:ascii="仿宋" w:hAnsi="仿宋" w:eastAsia="仿宋"/>
          <w:sz w:val="32"/>
          <w:szCs w:val="32"/>
        </w:rPr>
      </w:pPr>
    </w:p>
    <w:p w14:paraId="49F8CBB7">
      <w:pPr>
        <w:pStyle w:val="2"/>
        <w:spacing w:before="72"/>
      </w:pPr>
      <w:r>
        <w:drawing>
          <wp:anchor distT="0" distB="0" distL="114300" distR="114300" simplePos="0" relativeHeight="251663360" behindDoc="0" locked="0" layoutInCell="1" allowOverlap="1">
            <wp:simplePos x="0" y="0"/>
            <wp:positionH relativeFrom="column">
              <wp:posOffset>181610</wp:posOffset>
            </wp:positionH>
            <wp:positionV relativeFrom="paragraph">
              <wp:posOffset>139065</wp:posOffset>
            </wp:positionV>
            <wp:extent cx="5381625" cy="4191000"/>
            <wp:effectExtent l="19050" t="0" r="9525" b="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13"/>
                    <a:srcRect/>
                    <a:stretch>
                      <a:fillRect/>
                    </a:stretch>
                  </pic:blipFill>
                  <pic:spPr>
                    <a:xfrm>
                      <a:off x="0" y="0"/>
                      <a:ext cx="5381625" cy="4191000"/>
                    </a:xfrm>
                    <a:prstGeom prst="rect">
                      <a:avLst/>
                    </a:prstGeom>
                    <a:noFill/>
                  </pic:spPr>
                </pic:pic>
              </a:graphicData>
            </a:graphic>
          </wp:anchor>
        </w:drawing>
      </w:r>
    </w:p>
    <w:p w14:paraId="4CC77B03">
      <w:pPr>
        <w:pStyle w:val="2"/>
        <w:spacing w:before="72"/>
      </w:pPr>
    </w:p>
    <w:p w14:paraId="2AA3B753">
      <w:pPr>
        <w:pStyle w:val="2"/>
        <w:spacing w:before="72"/>
      </w:pPr>
    </w:p>
    <w:p w14:paraId="6BD2A3B8">
      <w:pPr>
        <w:pStyle w:val="2"/>
        <w:spacing w:before="72"/>
      </w:pPr>
    </w:p>
    <w:p w14:paraId="1B7016E7">
      <w:pPr>
        <w:pStyle w:val="2"/>
        <w:spacing w:before="72"/>
      </w:pPr>
    </w:p>
    <w:p w14:paraId="6323771F">
      <w:pPr>
        <w:pStyle w:val="2"/>
        <w:spacing w:before="72"/>
      </w:pPr>
    </w:p>
    <w:p w14:paraId="05876272">
      <w:pPr>
        <w:pStyle w:val="2"/>
        <w:spacing w:before="72"/>
      </w:pPr>
    </w:p>
    <w:p w14:paraId="6E4ECB38">
      <w:pPr>
        <w:pStyle w:val="2"/>
        <w:spacing w:before="72"/>
      </w:pPr>
    </w:p>
    <w:p w14:paraId="75B3310C">
      <w:pPr>
        <w:pStyle w:val="2"/>
        <w:spacing w:before="72"/>
      </w:pPr>
    </w:p>
    <w:p w14:paraId="33FD7443">
      <w:pPr>
        <w:pStyle w:val="2"/>
        <w:spacing w:before="72"/>
      </w:pPr>
    </w:p>
    <w:p w14:paraId="287751DC">
      <w:pPr>
        <w:pStyle w:val="2"/>
        <w:spacing w:before="72"/>
      </w:pPr>
    </w:p>
    <w:p w14:paraId="413ED0E6">
      <w:pPr>
        <w:pStyle w:val="2"/>
        <w:spacing w:before="72"/>
      </w:pPr>
    </w:p>
    <w:p w14:paraId="34C133D3">
      <w:pPr>
        <w:pStyle w:val="2"/>
        <w:spacing w:before="72"/>
      </w:pPr>
    </w:p>
    <w:p w14:paraId="402B62D1">
      <w:pPr>
        <w:pStyle w:val="2"/>
        <w:spacing w:before="72"/>
      </w:pPr>
    </w:p>
    <w:p w14:paraId="35BBBB8D">
      <w:pPr>
        <w:pStyle w:val="2"/>
        <w:spacing w:before="72"/>
      </w:pPr>
    </w:p>
    <w:p w14:paraId="3E38A845">
      <w:pPr>
        <w:pStyle w:val="2"/>
        <w:spacing w:before="72"/>
      </w:pPr>
    </w:p>
    <w:p w14:paraId="0176C96C">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14:paraId="06FB0597">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2021年一般公共预算财政拨款支出1657.34万元，主要用于以下方面:一般公共服务（类）支出0万元，占0%；教育支出（类）0万元，占0%；科学技术（类）支出0万元，占0%；文化旅游体育与传媒（类）支出0万元，占0%；社会保障和就业（类）支出77.39万元，占4.67%；卫生健康支出23.48万元，占1.41%；城乡社区支出3.50万元，占0.21%；灾害防治及应急管理支出1495.87万元，占90.26%；住房保障支出57.10万元，占3.45%；。</w:t>
      </w:r>
    </w:p>
    <w:p w14:paraId="0670C16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（注：数据来源于财决01-1表，仅罗列本部门涉及的全部功能分类科目，至类级。）</w:t>
      </w:r>
    </w:p>
    <w:p w14:paraId="3DE0D5C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30F97D22">
      <w:pPr>
        <w:pStyle w:val="2"/>
        <w:spacing w:before="72"/>
        <w:rPr>
          <w:rFonts w:hint="eastAsia"/>
        </w:rPr>
      </w:pPr>
    </w:p>
    <w:p w14:paraId="1E5F39A6">
      <w:pPr>
        <w:pStyle w:val="2"/>
        <w:spacing w:before="72"/>
        <w:rPr>
          <w:rFonts w:hint="eastAsia"/>
        </w:rPr>
      </w:pPr>
    </w:p>
    <w:p w14:paraId="3363E718">
      <w:pPr>
        <w:pStyle w:val="2"/>
        <w:spacing w:before="72"/>
      </w:pPr>
    </w:p>
    <w:p w14:paraId="1F3C2965">
      <w:pPr>
        <w:spacing w:line="600" w:lineRule="exact"/>
        <w:ind w:firstLine="640" w:firstLineChars="200"/>
        <w:rPr>
          <w:rFonts w:hint="eastAsia" w:ascii="仿宋_GB2312" w:hAnsi="仿宋_GB2312" w:eastAsia="仿宋_GB2312" w:cs="仿宋_GB2312"/>
          <w:sz w:val="32"/>
          <w:szCs w:val="32"/>
        </w:rPr>
      </w:pPr>
    </w:p>
    <w:p w14:paraId="4BF2A31D">
      <w:pPr>
        <w:pStyle w:val="2"/>
        <w:spacing w:before="72"/>
        <w:rPr>
          <w:rFonts w:hint="eastAsia"/>
        </w:rPr>
      </w:pPr>
    </w:p>
    <w:p w14:paraId="350B4D6D">
      <w:pPr>
        <w:pStyle w:val="2"/>
        <w:spacing w:before="72"/>
      </w:pPr>
    </w:p>
    <w:p w14:paraId="4CC7B4AE">
      <w:pPr>
        <w:pStyle w:val="2"/>
        <w:spacing w:before="72"/>
      </w:pPr>
    </w:p>
    <w:p w14:paraId="0017707F">
      <w:pPr>
        <w:pStyle w:val="2"/>
        <w:spacing w:before="72"/>
      </w:pPr>
    </w:p>
    <w:p w14:paraId="612DF24E">
      <w:pPr>
        <w:pStyle w:val="2"/>
        <w:spacing w:before="72"/>
      </w:pPr>
    </w:p>
    <w:p w14:paraId="3BF88404">
      <w:pPr>
        <w:pStyle w:val="2"/>
        <w:spacing w:before="72"/>
      </w:pPr>
    </w:p>
    <w:p w14:paraId="56FD47A3">
      <w:pPr>
        <w:pStyle w:val="2"/>
        <w:spacing w:before="72"/>
      </w:pPr>
      <w:r>
        <w:drawing>
          <wp:anchor distT="0" distB="0" distL="114300" distR="114300" simplePos="0" relativeHeight="251664384" behindDoc="0" locked="0" layoutInCell="1" allowOverlap="1">
            <wp:simplePos x="0" y="0"/>
            <wp:positionH relativeFrom="column">
              <wp:posOffset>95885</wp:posOffset>
            </wp:positionH>
            <wp:positionV relativeFrom="paragraph">
              <wp:posOffset>281940</wp:posOffset>
            </wp:positionV>
            <wp:extent cx="5543550" cy="4752975"/>
            <wp:effectExtent l="19050" t="0" r="0" b="0"/>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14"/>
                    <a:srcRect/>
                    <a:stretch>
                      <a:fillRect/>
                    </a:stretch>
                  </pic:blipFill>
                  <pic:spPr>
                    <a:xfrm>
                      <a:off x="0" y="0"/>
                      <a:ext cx="5543550" cy="4752975"/>
                    </a:xfrm>
                    <a:prstGeom prst="rect">
                      <a:avLst/>
                    </a:prstGeom>
                    <a:noFill/>
                  </pic:spPr>
                </pic:pic>
              </a:graphicData>
            </a:graphic>
          </wp:anchor>
        </w:drawing>
      </w:r>
    </w:p>
    <w:p w14:paraId="69B4EF8F">
      <w:pPr>
        <w:pStyle w:val="2"/>
        <w:spacing w:before="72"/>
      </w:pPr>
    </w:p>
    <w:p w14:paraId="69D012B9">
      <w:pPr>
        <w:pStyle w:val="2"/>
        <w:spacing w:before="72"/>
      </w:pPr>
    </w:p>
    <w:p w14:paraId="66CD7C4F">
      <w:pPr>
        <w:pStyle w:val="2"/>
        <w:spacing w:before="72"/>
      </w:pPr>
    </w:p>
    <w:p w14:paraId="5B9ADB46">
      <w:pPr>
        <w:pStyle w:val="2"/>
        <w:spacing w:before="72"/>
      </w:pPr>
    </w:p>
    <w:p w14:paraId="1A5261E2">
      <w:pPr>
        <w:pStyle w:val="2"/>
        <w:spacing w:before="72"/>
      </w:pPr>
    </w:p>
    <w:p w14:paraId="75460653">
      <w:pPr>
        <w:pStyle w:val="2"/>
        <w:spacing w:before="72"/>
      </w:pPr>
    </w:p>
    <w:p w14:paraId="39DC5D1A">
      <w:pPr>
        <w:pStyle w:val="2"/>
        <w:spacing w:before="72"/>
      </w:pPr>
    </w:p>
    <w:p w14:paraId="45662FF6">
      <w:pPr>
        <w:pStyle w:val="2"/>
        <w:spacing w:before="72"/>
      </w:pPr>
    </w:p>
    <w:p w14:paraId="360B630D">
      <w:pPr>
        <w:pStyle w:val="2"/>
        <w:spacing w:before="72"/>
      </w:pPr>
    </w:p>
    <w:p w14:paraId="5BCF0513">
      <w:pPr>
        <w:pStyle w:val="2"/>
        <w:spacing w:before="72"/>
      </w:pPr>
    </w:p>
    <w:p w14:paraId="55AC6C58">
      <w:pPr>
        <w:pStyle w:val="2"/>
        <w:spacing w:before="72"/>
      </w:pPr>
    </w:p>
    <w:p w14:paraId="2C7DE18E">
      <w:pPr>
        <w:pStyle w:val="2"/>
        <w:spacing w:before="72"/>
      </w:pPr>
    </w:p>
    <w:p w14:paraId="5880530B">
      <w:pPr>
        <w:pStyle w:val="2"/>
        <w:spacing w:before="72"/>
      </w:pPr>
    </w:p>
    <w:p w14:paraId="5DED5900">
      <w:pPr>
        <w:pStyle w:val="2"/>
        <w:spacing w:before="72"/>
      </w:pPr>
    </w:p>
    <w:p w14:paraId="3C397280">
      <w:pPr>
        <w:spacing w:line="600" w:lineRule="exact"/>
        <w:ind w:firstLine="640" w:firstLineChars="200"/>
        <w:outlineLvl w:val="2"/>
        <w:rPr>
          <w:rFonts w:ascii="楷体_GB2312" w:hAnsi="楷体_GB2312" w:eastAsia="楷体_GB2312" w:cs="楷体_GB2312"/>
          <w:bCs/>
          <w:sz w:val="32"/>
          <w:szCs w:val="32"/>
        </w:rPr>
      </w:pPr>
      <w:bookmarkStart w:id="34" w:name="_Toc15377212"/>
      <w:r>
        <w:rPr>
          <w:rFonts w:hint="eastAsia" w:ascii="楷体_GB2312" w:hAnsi="楷体_GB2312" w:eastAsia="楷体_GB2312" w:cs="楷体_GB2312"/>
          <w:bCs/>
          <w:sz w:val="32"/>
          <w:szCs w:val="32"/>
        </w:rPr>
        <w:t>（三）一般公共预算财政拨款支出决算具体情况</w:t>
      </w:r>
      <w:bookmarkEnd w:id="34"/>
    </w:p>
    <w:p w14:paraId="43E6397E">
      <w:pPr>
        <w:spacing w:line="600" w:lineRule="exact"/>
        <w:ind w:firstLine="640" w:firstLineChars="200"/>
        <w:outlineLvl w:val="2"/>
        <w:rPr>
          <w:rFonts w:ascii="仿宋" w:hAnsi="仿宋" w:eastAsia="仿宋" w:cs="仿宋_GB2312"/>
          <w:bCs/>
          <w:sz w:val="32"/>
          <w:szCs w:val="32"/>
        </w:rPr>
      </w:pPr>
      <w:bookmarkStart w:id="35" w:name="_Toc15377213"/>
      <w:bookmarkStart w:id="36" w:name="_Toc15378460"/>
      <w:bookmarkStart w:id="37" w:name="_Toc15377444"/>
      <w:r>
        <w:rPr>
          <w:rFonts w:hint="eastAsia" w:ascii="仿宋" w:hAnsi="仿宋" w:eastAsia="仿宋" w:cs="仿宋_GB2312"/>
          <w:bCs/>
          <w:sz w:val="32"/>
          <w:szCs w:val="32"/>
        </w:rPr>
        <w:t>2021年一般公共预算支出决算数为1657.34万元，</w:t>
      </w:r>
      <w:r>
        <w:rPr>
          <w:rStyle w:val="15"/>
          <w:rFonts w:hint="eastAsia" w:ascii="仿宋" w:hAnsi="仿宋" w:eastAsia="仿宋" w:cs="仿宋_GB2312"/>
          <w:b w:val="0"/>
          <w:bCs/>
          <w:sz w:val="32"/>
          <w:szCs w:val="32"/>
        </w:rPr>
        <w:t>完成预算100%。其中：</w:t>
      </w:r>
      <w:bookmarkEnd w:id="35"/>
      <w:bookmarkEnd w:id="36"/>
      <w:bookmarkEnd w:id="37"/>
    </w:p>
    <w:p w14:paraId="3B2979B5">
      <w:pPr>
        <w:spacing w:line="600" w:lineRule="exact"/>
        <w:ind w:firstLine="640" w:firstLineChars="200"/>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1．</w:t>
      </w:r>
      <w:r>
        <w:rPr>
          <w:rStyle w:val="15"/>
          <w:rFonts w:hint="eastAsia" w:ascii="仿宋" w:hAnsi="仿宋" w:eastAsia="仿宋" w:cs="仿宋_GB2312"/>
          <w:b w:val="0"/>
          <w:bCs/>
          <w:sz w:val="32"/>
          <w:szCs w:val="32"/>
        </w:rPr>
        <w:t>一般公共服务（类）***（款）***（项）</w:t>
      </w:r>
      <w:r>
        <w:rPr>
          <w:rStyle w:val="15"/>
          <w:rFonts w:hint="eastAsia" w:ascii="仿宋" w:hAnsi="仿宋" w:eastAsia="仿宋" w:cs="仿宋_GB2312"/>
          <w:b w:val="0"/>
          <w:bCs/>
          <w:color w:val="000000"/>
          <w:sz w:val="32"/>
          <w:szCs w:val="32"/>
        </w:rPr>
        <w:t>: 本年无此项业务发生。</w:t>
      </w:r>
    </w:p>
    <w:p w14:paraId="079148B4">
      <w:pPr>
        <w:spacing w:line="600" w:lineRule="exact"/>
        <w:ind w:firstLine="640" w:firstLineChars="200"/>
        <w:rPr>
          <w:rFonts w:ascii="仿宋" w:hAnsi="仿宋" w:eastAsia="仿宋" w:cs="仿宋_GB2312"/>
          <w:bCs/>
          <w:color w:val="000000"/>
          <w:sz w:val="32"/>
          <w:szCs w:val="32"/>
        </w:rPr>
      </w:pPr>
      <w:r>
        <w:rPr>
          <w:rStyle w:val="15"/>
          <w:rFonts w:hint="eastAsia" w:ascii="仿宋" w:hAnsi="仿宋" w:eastAsia="仿宋" w:cs="仿宋_GB2312"/>
          <w:b w:val="0"/>
          <w:bCs/>
          <w:color w:val="000000"/>
          <w:sz w:val="32"/>
          <w:szCs w:val="32"/>
        </w:rPr>
        <w:t>2．教育（类）***（款）***（项）: 本年无此项业务发生。</w:t>
      </w:r>
    </w:p>
    <w:p w14:paraId="25CE9F3E">
      <w:pPr>
        <w:spacing w:line="600" w:lineRule="exact"/>
        <w:ind w:firstLine="640" w:firstLineChars="200"/>
        <w:rPr>
          <w:rFonts w:ascii="仿宋" w:hAnsi="仿宋" w:eastAsia="仿宋" w:cs="仿宋_GB2312"/>
          <w:bCs/>
          <w:color w:val="000000"/>
          <w:sz w:val="32"/>
          <w:szCs w:val="32"/>
        </w:rPr>
      </w:pPr>
      <w:r>
        <w:rPr>
          <w:rStyle w:val="15"/>
          <w:rFonts w:hint="eastAsia" w:ascii="仿宋" w:hAnsi="仿宋" w:eastAsia="仿宋" w:cs="仿宋_GB2312"/>
          <w:b w:val="0"/>
          <w:bCs/>
          <w:color w:val="000000"/>
          <w:sz w:val="32"/>
          <w:szCs w:val="32"/>
        </w:rPr>
        <w:t>3．科学技术（类）***（款）***（项）: 本年无此项业务发生。</w:t>
      </w:r>
    </w:p>
    <w:p w14:paraId="744CF5ED">
      <w:pPr>
        <w:spacing w:line="600" w:lineRule="exact"/>
        <w:ind w:firstLine="640" w:firstLineChars="200"/>
        <w:rPr>
          <w:rFonts w:ascii="仿宋" w:hAnsi="仿宋" w:eastAsia="仿宋" w:cs="仿宋_GB2312"/>
          <w:bCs/>
          <w:color w:val="000000"/>
          <w:sz w:val="32"/>
          <w:szCs w:val="32"/>
        </w:rPr>
      </w:pPr>
      <w:r>
        <w:rPr>
          <w:rStyle w:val="15"/>
          <w:rFonts w:hint="eastAsia" w:ascii="仿宋" w:hAnsi="仿宋" w:eastAsia="仿宋" w:cs="仿宋_GB2312"/>
          <w:b w:val="0"/>
          <w:bCs/>
          <w:color w:val="000000"/>
          <w:sz w:val="32"/>
          <w:szCs w:val="32"/>
        </w:rPr>
        <w:t>4．文化旅游体育与传媒（类）***（款）***（项）:本年无此项业务发生。</w:t>
      </w:r>
    </w:p>
    <w:p w14:paraId="4998FFB2">
      <w:pPr>
        <w:spacing w:line="600" w:lineRule="exact"/>
        <w:ind w:firstLine="640" w:firstLineChars="200"/>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5．社会保障和就业（类）行政事业单位养老（款）机关事业单位基本养老保险缴费（项）: 支出决算为40.23万元，完成预算100%，决算数与于预算数持平。</w:t>
      </w:r>
    </w:p>
    <w:p w14:paraId="0A416AAC">
      <w:pPr>
        <w:spacing w:line="600" w:lineRule="exact"/>
        <w:ind w:firstLine="640" w:firstLineChars="200"/>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6．社会保障和就业（类）行政事业单位养老（款）机关事业单位职业年金缴费（项）: 支出决算为20.32万元，完成预算100%，决算数与于预算数持平。</w:t>
      </w:r>
    </w:p>
    <w:p w14:paraId="76C904CA">
      <w:pPr>
        <w:spacing w:line="600" w:lineRule="exact"/>
        <w:ind w:firstLine="640" w:firstLineChars="200"/>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7．社会保障和就业（类）企业改革补助（款）其他企业改革发展补助（项）: 支出决算为9.18万元，完成预算100%，决算数与于预算数持平。</w:t>
      </w:r>
    </w:p>
    <w:p w14:paraId="69EFD395">
      <w:pPr>
        <w:spacing w:line="600" w:lineRule="exact"/>
        <w:ind w:firstLine="640" w:firstLineChars="200"/>
        <w:rPr>
          <w:rFonts w:ascii="仿宋" w:hAnsi="仿宋" w:eastAsia="仿宋" w:cs="仿宋_GB2312"/>
          <w:bCs/>
          <w:color w:val="000000"/>
          <w:sz w:val="32"/>
          <w:szCs w:val="32"/>
        </w:rPr>
      </w:pPr>
      <w:r>
        <w:rPr>
          <w:rStyle w:val="15"/>
          <w:rFonts w:hint="eastAsia" w:ascii="仿宋" w:hAnsi="仿宋" w:eastAsia="仿宋" w:cs="仿宋_GB2312"/>
          <w:b w:val="0"/>
          <w:bCs/>
          <w:color w:val="000000"/>
          <w:sz w:val="32"/>
          <w:szCs w:val="32"/>
        </w:rPr>
        <w:t>8．社会保障和就业（类）抚恤（款）其他优抚支出（项）: 支出决算为1.95万元，完成预算100%，决算数与于预算数持平。</w:t>
      </w:r>
    </w:p>
    <w:p w14:paraId="537C2ABF">
      <w:pPr>
        <w:spacing w:line="600" w:lineRule="exact"/>
        <w:ind w:firstLine="640" w:firstLineChars="200"/>
        <w:rPr>
          <w:rFonts w:ascii="仿宋" w:hAnsi="仿宋" w:eastAsia="仿宋" w:cs="仿宋_GB2312"/>
          <w:bCs/>
          <w:color w:val="000000"/>
          <w:sz w:val="32"/>
          <w:szCs w:val="32"/>
        </w:rPr>
      </w:pPr>
      <w:r>
        <w:rPr>
          <w:rStyle w:val="15"/>
          <w:rFonts w:hint="eastAsia" w:ascii="仿宋" w:hAnsi="仿宋" w:eastAsia="仿宋" w:cs="仿宋_GB2312"/>
          <w:b w:val="0"/>
          <w:bCs/>
          <w:color w:val="000000"/>
          <w:sz w:val="32"/>
          <w:szCs w:val="32"/>
        </w:rPr>
        <w:t>9．社会保障和就业（类）其他社会保障和就业（款）其他社会保障和就业（项）: 支出决算为5.71万元，完成预算100%，决算数与于预算数持平。</w:t>
      </w:r>
    </w:p>
    <w:p w14:paraId="360498EC">
      <w:pPr>
        <w:spacing w:line="600" w:lineRule="exact"/>
        <w:ind w:firstLine="640" w:firstLineChars="200"/>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10．</w:t>
      </w:r>
      <w:r>
        <w:rPr>
          <w:rFonts w:hint="eastAsia" w:ascii="仿宋" w:hAnsi="仿宋" w:eastAsia="仿宋" w:cs="仿宋_GB2312"/>
          <w:bCs/>
          <w:color w:val="000000"/>
          <w:sz w:val="32"/>
          <w:szCs w:val="32"/>
        </w:rPr>
        <w:t>卫生健康</w:t>
      </w:r>
      <w:r>
        <w:rPr>
          <w:rStyle w:val="15"/>
          <w:rFonts w:hint="eastAsia" w:ascii="仿宋" w:hAnsi="仿宋" w:eastAsia="仿宋" w:cs="仿宋_GB2312"/>
          <w:b w:val="0"/>
          <w:bCs/>
          <w:color w:val="000000"/>
          <w:sz w:val="32"/>
          <w:szCs w:val="32"/>
        </w:rPr>
        <w:t>（类）行政事业单位医疗（款）行政单位医疗（项）:支出决算为12.97万元，完成预算100%，决算数与于预算数持平。</w:t>
      </w:r>
    </w:p>
    <w:p w14:paraId="3E193F5D">
      <w:pPr>
        <w:spacing w:line="600" w:lineRule="exact"/>
        <w:ind w:firstLine="640" w:firstLineChars="200"/>
        <w:rPr>
          <w:rFonts w:ascii="仿宋" w:hAnsi="仿宋" w:eastAsia="仿宋" w:cs="仿宋_GB2312"/>
          <w:bCs/>
          <w:color w:val="000000"/>
          <w:sz w:val="32"/>
          <w:szCs w:val="32"/>
        </w:rPr>
      </w:pPr>
      <w:r>
        <w:rPr>
          <w:rStyle w:val="15"/>
          <w:rFonts w:hint="eastAsia" w:ascii="仿宋" w:hAnsi="仿宋" w:eastAsia="仿宋" w:cs="仿宋_GB2312"/>
          <w:b w:val="0"/>
          <w:bCs/>
          <w:color w:val="000000"/>
          <w:sz w:val="32"/>
          <w:szCs w:val="32"/>
        </w:rPr>
        <w:t>11．</w:t>
      </w:r>
      <w:r>
        <w:rPr>
          <w:rFonts w:hint="eastAsia" w:ascii="仿宋" w:hAnsi="仿宋" w:eastAsia="仿宋" w:cs="仿宋_GB2312"/>
          <w:bCs/>
          <w:color w:val="000000"/>
          <w:sz w:val="32"/>
          <w:szCs w:val="32"/>
        </w:rPr>
        <w:t>卫生健康</w:t>
      </w:r>
      <w:r>
        <w:rPr>
          <w:rStyle w:val="15"/>
          <w:rFonts w:hint="eastAsia" w:ascii="仿宋" w:hAnsi="仿宋" w:eastAsia="仿宋" w:cs="仿宋_GB2312"/>
          <w:b w:val="0"/>
          <w:bCs/>
          <w:color w:val="000000"/>
          <w:sz w:val="32"/>
          <w:szCs w:val="32"/>
        </w:rPr>
        <w:t>（类）行政事业单位医疗（款）事业单位医疗（项）:支出决算为3.61万元，完成预算100%，决算数与于预算数持平。</w:t>
      </w:r>
    </w:p>
    <w:p w14:paraId="70A21F15">
      <w:pPr>
        <w:spacing w:line="600" w:lineRule="exact"/>
        <w:ind w:firstLine="640" w:firstLineChars="200"/>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12．</w:t>
      </w:r>
      <w:r>
        <w:rPr>
          <w:rFonts w:hint="eastAsia" w:ascii="仿宋" w:hAnsi="仿宋" w:eastAsia="仿宋" w:cs="仿宋_GB2312"/>
          <w:bCs/>
          <w:color w:val="000000"/>
          <w:sz w:val="32"/>
          <w:szCs w:val="32"/>
        </w:rPr>
        <w:t>卫生健康</w:t>
      </w:r>
      <w:r>
        <w:rPr>
          <w:rStyle w:val="15"/>
          <w:rFonts w:hint="eastAsia" w:ascii="仿宋" w:hAnsi="仿宋" w:eastAsia="仿宋" w:cs="仿宋_GB2312"/>
          <w:b w:val="0"/>
          <w:bCs/>
          <w:color w:val="000000"/>
          <w:sz w:val="32"/>
          <w:szCs w:val="32"/>
        </w:rPr>
        <w:t>（类）行政事业单位医疗（款）公务员医疗补助（项）:支出决算为6.90万元，完成预算100%，决算数与于预算数持平。</w:t>
      </w:r>
    </w:p>
    <w:p w14:paraId="62AECEA9">
      <w:pPr>
        <w:spacing w:line="600" w:lineRule="exact"/>
        <w:ind w:firstLine="640" w:firstLineChars="200"/>
        <w:rPr>
          <w:rFonts w:ascii="仿宋" w:hAnsi="仿宋" w:eastAsia="仿宋" w:cs="仿宋_GB2312"/>
          <w:bCs/>
          <w:color w:val="000000"/>
          <w:sz w:val="32"/>
          <w:szCs w:val="32"/>
        </w:rPr>
      </w:pPr>
      <w:r>
        <w:rPr>
          <w:rStyle w:val="15"/>
          <w:rFonts w:hint="eastAsia" w:ascii="仿宋" w:hAnsi="仿宋" w:eastAsia="仿宋" w:cs="仿宋_GB2312"/>
          <w:b w:val="0"/>
          <w:bCs/>
          <w:color w:val="000000"/>
          <w:sz w:val="32"/>
          <w:szCs w:val="32"/>
        </w:rPr>
        <w:t>13．</w:t>
      </w:r>
      <w:r>
        <w:rPr>
          <w:rFonts w:hint="eastAsia" w:ascii="仿宋" w:hAnsi="仿宋" w:eastAsia="仿宋" w:cs="仿宋_GB2312"/>
          <w:bCs/>
          <w:color w:val="000000"/>
          <w:sz w:val="32"/>
          <w:szCs w:val="32"/>
        </w:rPr>
        <w:t>城乡社区支出</w:t>
      </w:r>
      <w:r>
        <w:rPr>
          <w:rStyle w:val="15"/>
          <w:rFonts w:hint="eastAsia" w:ascii="仿宋" w:hAnsi="仿宋" w:eastAsia="仿宋" w:cs="仿宋_GB2312"/>
          <w:b w:val="0"/>
          <w:bCs/>
          <w:color w:val="000000"/>
          <w:sz w:val="32"/>
          <w:szCs w:val="32"/>
        </w:rPr>
        <w:t>（类）其他城乡社区支出（款）其他城乡社区支出（项）:支出决算为3.50万元，完成预算100%，决算数与于预算数持平。</w:t>
      </w:r>
    </w:p>
    <w:p w14:paraId="02AA81DF">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14．</w:t>
      </w:r>
      <w:r>
        <w:rPr>
          <w:rFonts w:hint="eastAsia" w:ascii="仿宋" w:hAnsi="仿宋" w:eastAsia="仿宋" w:cs="仿宋_GB2312"/>
          <w:bCs/>
          <w:color w:val="000000"/>
          <w:sz w:val="32"/>
          <w:szCs w:val="32"/>
        </w:rPr>
        <w:t>住房保障</w:t>
      </w:r>
      <w:r>
        <w:rPr>
          <w:rStyle w:val="15"/>
          <w:rFonts w:hint="eastAsia" w:ascii="仿宋" w:hAnsi="仿宋" w:eastAsia="仿宋" w:cs="仿宋_GB2312"/>
          <w:b w:val="0"/>
          <w:bCs/>
          <w:color w:val="000000"/>
          <w:sz w:val="32"/>
          <w:szCs w:val="32"/>
        </w:rPr>
        <w:t>（类）住房改革（款）住房公积金（项）:支出决算为57.10万元，完成预算100%，决算数与于预算数持平。</w:t>
      </w:r>
    </w:p>
    <w:p w14:paraId="087DF506">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15．</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（类）应急管理事务（款）行政运行（项）:支出决算为449.90万元，完成预算100%，决算数与于预算数持平。</w:t>
      </w:r>
    </w:p>
    <w:p w14:paraId="70951F8C">
      <w:pPr>
        <w:pStyle w:val="2"/>
        <w:spacing w:before="72"/>
        <w:rPr>
          <w:rFonts w:ascii="仿宋" w:hAnsi="仿宋" w:eastAsia="仿宋"/>
        </w:rPr>
      </w:pPr>
      <w:r>
        <w:rPr>
          <w:rStyle w:val="15"/>
          <w:rFonts w:hint="eastAsia" w:ascii="仿宋" w:hAnsi="仿宋" w:eastAsia="仿宋" w:cs="仿宋_GB2312"/>
          <w:b w:val="0"/>
          <w:bCs/>
          <w:color w:val="000000"/>
          <w:sz w:val="32"/>
          <w:szCs w:val="32"/>
        </w:rPr>
        <w:t xml:space="preserve">    16．</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（类）应急管理事务（款）一般行政事务管理（项）:支出决算为2.84万元，完成预算100%，决算数与于预算数持平。</w:t>
      </w:r>
    </w:p>
    <w:p w14:paraId="73BBB383">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17．</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（类）应急管理事务（款）安全监管（项）:支出决算为17.00万元，完成预算100%，决算数与于预算数持平。</w:t>
      </w:r>
    </w:p>
    <w:p w14:paraId="70247FBF">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18．</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（类）应急管理事务（款）应急管理（项）:支出决算为83.00万元，完成预算100%，决算数与于预算数持平。</w:t>
      </w:r>
    </w:p>
    <w:p w14:paraId="59B57662">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19．</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（类）应急管理事务（款）事业运行（项）:支出决算为74.15万元，完成预算100%，决算数与于预算数持平。</w:t>
      </w:r>
    </w:p>
    <w:p w14:paraId="5F3EF448">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20．</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（类）应急管理事务（款）其他应急管理（项）:支出决算为294.59万元，完成预算100%，决算数与于预算数持平。</w:t>
      </w:r>
    </w:p>
    <w:p w14:paraId="113C4C4A">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21．</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（类）地震事务（款）行政运行（项）:支出决算为68.29万元，完成预算100%，决算数与于预算数持平。</w:t>
      </w:r>
    </w:p>
    <w:p w14:paraId="5F101713">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22．</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（类）地震事务（款）一般行政事务管理（项）:支出决算为0.10万元，完成预算100%，决算数与于预算数持平。</w:t>
      </w:r>
    </w:p>
    <w:p w14:paraId="6A87E4E4">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23．</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（类）地震事务（款）其他地震事务支出（项）:支出决算为9.79万元，完成预算100%，决算数与于预算数持平。</w:t>
      </w:r>
    </w:p>
    <w:p w14:paraId="0E32AC3D">
      <w:pPr>
        <w:pStyle w:val="2"/>
        <w:spacing w:before="72"/>
        <w:rPr>
          <w:rStyle w:val="15"/>
          <w:rFonts w:ascii="仿宋" w:hAnsi="仿宋" w:eastAsia="仿宋" w:cs="仿宋_GB2312"/>
          <w:b w:val="0"/>
          <w:bCs/>
          <w:color w:val="000000"/>
          <w:sz w:val="32"/>
          <w:szCs w:val="32"/>
        </w:rPr>
      </w:pPr>
      <w:r>
        <w:rPr>
          <w:rStyle w:val="15"/>
          <w:rFonts w:hint="eastAsia" w:ascii="仿宋" w:hAnsi="仿宋" w:eastAsia="仿宋" w:cs="仿宋_GB2312"/>
          <w:b w:val="0"/>
          <w:bCs/>
          <w:color w:val="000000"/>
          <w:sz w:val="32"/>
          <w:szCs w:val="32"/>
        </w:rPr>
        <w:t xml:space="preserve">    24．</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（类）自然灾害防治（款）地质灾害防治（项）:支出决算为30.00万元，完成预算100%，决算数与于预算数持平。</w:t>
      </w:r>
    </w:p>
    <w:p w14:paraId="0153DBC1">
      <w:pPr>
        <w:pStyle w:val="2"/>
        <w:spacing w:before="72"/>
        <w:rPr>
          <w:rFonts w:ascii="仿宋" w:hAnsi="仿宋" w:eastAsia="仿宋"/>
        </w:rPr>
      </w:pPr>
      <w:r>
        <w:rPr>
          <w:rStyle w:val="15"/>
          <w:rFonts w:hint="eastAsia" w:ascii="仿宋" w:hAnsi="仿宋" w:eastAsia="仿宋" w:cs="仿宋_GB2312"/>
          <w:b w:val="0"/>
          <w:bCs/>
          <w:color w:val="000000"/>
          <w:sz w:val="32"/>
          <w:szCs w:val="32"/>
        </w:rPr>
        <w:t xml:space="preserve">    25．</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（类）自然灾害救灾及恢重建支出（款）自然灾害救灾补助（项）:支出决算为264.37万元，完成预算100%，决算数与于预算数持平。</w:t>
      </w:r>
    </w:p>
    <w:p w14:paraId="3A97FC47">
      <w:pPr>
        <w:pStyle w:val="2"/>
        <w:spacing w:before="72"/>
        <w:rPr>
          <w:rFonts w:ascii="仿宋" w:hAnsi="仿宋" w:eastAsia="仿宋"/>
        </w:rPr>
      </w:pPr>
      <w:r>
        <w:rPr>
          <w:rStyle w:val="15"/>
          <w:rFonts w:hint="eastAsia" w:ascii="仿宋" w:hAnsi="仿宋" w:eastAsia="仿宋" w:cs="仿宋_GB2312"/>
          <w:b w:val="0"/>
          <w:bCs/>
          <w:color w:val="000000"/>
          <w:sz w:val="32"/>
          <w:szCs w:val="32"/>
        </w:rPr>
        <w:t xml:space="preserve">    26．</w:t>
      </w:r>
      <w:r>
        <w:rPr>
          <w:rFonts w:hint="eastAsia" w:ascii="仿宋" w:hAnsi="仿宋" w:eastAsia="仿宋" w:cs="仿宋_GB2312"/>
          <w:bCs/>
          <w:color w:val="000000"/>
          <w:sz w:val="32"/>
          <w:szCs w:val="32"/>
        </w:rPr>
        <w:t>灾害防治及应急管理支出</w:t>
      </w:r>
      <w:r>
        <w:rPr>
          <w:rStyle w:val="15"/>
          <w:rFonts w:hint="eastAsia" w:ascii="仿宋" w:hAnsi="仿宋" w:eastAsia="仿宋" w:cs="仿宋_GB2312"/>
          <w:b w:val="0"/>
          <w:bCs/>
          <w:color w:val="000000"/>
          <w:sz w:val="32"/>
          <w:szCs w:val="32"/>
        </w:rPr>
        <w:t>（类）其他灾害防治及应急管理（款）其他灾害防治及应急管理（项）:支出决算为201.84万元，完成预算100%，决算数与于预算数持平。</w:t>
      </w:r>
    </w:p>
    <w:p w14:paraId="5C907310">
      <w:pPr>
        <w:spacing w:line="60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注：数据来源于财决01-1表和财决08表，仅罗列本部门涉及的全部功能分类科目，至项级。上述“预算”口径为调整预算数。增减变动原因为决算数&lt;项级&gt;和调整预算数&lt;项级&gt;比较，与预算数持平可以不写原因。）</w:t>
      </w:r>
    </w:p>
    <w:p w14:paraId="4C69F29E">
      <w:pPr>
        <w:spacing w:line="600" w:lineRule="exact"/>
        <w:ind w:firstLine="640"/>
        <w:rPr>
          <w:rFonts w:ascii="仿宋_GB2312" w:hAnsi="仿宋_GB2312" w:eastAsia="仿宋_GB2312" w:cs="仿宋_GB2312"/>
          <w:bCs/>
          <w:sz w:val="32"/>
          <w:szCs w:val="32"/>
        </w:rPr>
      </w:pPr>
    </w:p>
    <w:p w14:paraId="79066224">
      <w:pPr>
        <w:tabs>
          <w:tab w:val="right" w:pos="8306"/>
        </w:tabs>
        <w:spacing w:line="600" w:lineRule="exact"/>
        <w:ind w:firstLine="640"/>
        <w:outlineLvl w:val="1"/>
        <w:rPr>
          <w:rStyle w:val="26"/>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8"/>
      <w:bookmarkEnd w:id="39"/>
      <w:r>
        <w:rPr>
          <w:rStyle w:val="26"/>
          <w:rFonts w:ascii="黑体" w:hAnsi="黑体" w:eastAsia="黑体"/>
          <w:b w:val="0"/>
        </w:rPr>
        <w:tab/>
      </w:r>
    </w:p>
    <w:p w14:paraId="2B7BDA87">
      <w:pPr>
        <w:spacing w:line="600" w:lineRule="exact"/>
        <w:ind w:firstLine="645"/>
        <w:rPr>
          <w:rFonts w:ascii="仿宋" w:hAnsi="仿宋" w:eastAsia="仿宋" w:cs="仿宋_GB2312"/>
          <w:sz w:val="32"/>
          <w:szCs w:val="32"/>
        </w:rPr>
      </w:pPr>
      <w:r>
        <w:rPr>
          <w:rFonts w:hint="eastAsia" w:ascii="仿宋" w:hAnsi="仿宋" w:eastAsia="仿宋" w:cs="仿宋_GB2312"/>
          <w:sz w:val="32"/>
          <w:szCs w:val="32"/>
        </w:rPr>
        <w:t>2021年一般公共预算财政拨款基本支出737.41万元，其中：</w:t>
      </w:r>
    </w:p>
    <w:p w14:paraId="05177F9C">
      <w:pPr>
        <w:spacing w:line="600" w:lineRule="exact"/>
        <w:ind w:firstLine="645"/>
        <w:rPr>
          <w:rFonts w:ascii="仿宋" w:hAnsi="仿宋" w:eastAsia="仿宋" w:cs="仿宋_GB2312"/>
          <w:sz w:val="32"/>
          <w:szCs w:val="32"/>
        </w:rPr>
      </w:pPr>
      <w:r>
        <w:rPr>
          <w:rFonts w:hint="eastAsia" w:ascii="仿宋" w:hAnsi="仿宋" w:eastAsia="仿宋" w:cs="仿宋_GB2312"/>
          <w:sz w:val="32"/>
          <w:szCs w:val="32"/>
        </w:rPr>
        <w:t>人员经费617.35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0734337">
      <w:pPr>
        <w:spacing w:line="600" w:lineRule="exact"/>
        <w:ind w:firstLine="645"/>
        <w:rPr>
          <w:rFonts w:ascii="仿宋" w:hAnsi="仿宋" w:eastAsia="仿宋" w:cs="仿宋_GB2312"/>
          <w:sz w:val="32"/>
          <w:szCs w:val="32"/>
        </w:rPr>
      </w:pPr>
      <w:r>
        <w:rPr>
          <w:rFonts w:hint="eastAsia" w:ascii="仿宋" w:hAnsi="仿宋" w:eastAsia="仿宋" w:cs="仿宋_GB2312"/>
          <w:sz w:val="32"/>
          <w:szCs w:val="32"/>
        </w:rPr>
        <w:t>　　公用经费120.06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5D264DE">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（注：数据来源于财决07表和财决08-1表，仅罗列本部门实际支出涉及的经济分类科目。）</w:t>
      </w:r>
    </w:p>
    <w:p w14:paraId="0080F1CA">
      <w:pPr>
        <w:spacing w:line="600" w:lineRule="exact"/>
        <w:ind w:firstLine="640"/>
        <w:outlineLvl w:val="1"/>
        <w:rPr>
          <w:rStyle w:val="26"/>
          <w:rFonts w:ascii="黑体" w:hAnsi="黑体" w:eastAsia="黑体"/>
          <w:b w:val="0"/>
        </w:rPr>
      </w:pPr>
      <w:bookmarkStart w:id="40" w:name="_Toc15377215"/>
      <w:bookmarkStart w:id="41"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0"/>
      <w:bookmarkEnd w:id="41"/>
    </w:p>
    <w:p w14:paraId="2EC10D1A">
      <w:pPr>
        <w:spacing w:line="600" w:lineRule="exact"/>
        <w:ind w:firstLine="640"/>
        <w:outlineLvl w:val="2"/>
        <w:rPr>
          <w:rFonts w:ascii="楷体_GB2312" w:hAnsi="楷体_GB2312" w:eastAsia="楷体_GB2312" w:cs="楷体_GB2312"/>
          <w:bCs/>
          <w:sz w:val="32"/>
          <w:szCs w:val="32"/>
        </w:rPr>
      </w:pPr>
      <w:bookmarkStart w:id="42" w:name="_Toc15377216"/>
      <w:r>
        <w:rPr>
          <w:rFonts w:hint="eastAsia" w:ascii="楷体_GB2312" w:hAnsi="楷体_GB2312" w:eastAsia="楷体_GB2312" w:cs="楷体_GB2312"/>
          <w:bCs/>
          <w:sz w:val="32"/>
          <w:szCs w:val="32"/>
        </w:rPr>
        <w:t>（一）“三公”经费财政拨款支出决算总体情况说明</w:t>
      </w:r>
      <w:bookmarkEnd w:id="42"/>
    </w:p>
    <w:p w14:paraId="53F4A82A">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2021年“三公”经费财政拨款支出决算为11.39万元，完成预算100%，决算数与预算数持平。</w:t>
      </w:r>
    </w:p>
    <w:p w14:paraId="263F300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w:t>
      </w:r>
    </w:p>
    <w:p w14:paraId="53953CCB">
      <w:pPr>
        <w:spacing w:line="600" w:lineRule="exact"/>
        <w:ind w:firstLine="640"/>
        <w:outlineLvl w:val="2"/>
        <w:rPr>
          <w:rFonts w:ascii="楷体_GB2312" w:hAnsi="楷体_GB2312" w:eastAsia="楷体_GB2312" w:cs="楷体_GB2312"/>
          <w:bCs/>
          <w:sz w:val="32"/>
          <w:szCs w:val="32"/>
        </w:rPr>
      </w:pPr>
      <w:bookmarkStart w:id="43" w:name="_Toc15377217"/>
      <w:r>
        <w:rPr>
          <w:rFonts w:hint="eastAsia" w:ascii="楷体_GB2312" w:hAnsi="楷体_GB2312" w:eastAsia="楷体_GB2312" w:cs="楷体_GB2312"/>
          <w:bCs/>
          <w:sz w:val="32"/>
          <w:szCs w:val="32"/>
        </w:rPr>
        <w:t>（二）“三公”经费财政拨款支出决算具体情况说明</w:t>
      </w:r>
      <w:bookmarkEnd w:id="43"/>
    </w:p>
    <w:p w14:paraId="040881A9">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2021年“三公”经费财政拨款支出决算中，因公出国（境）费支出决算0万元，占0%；公务用车购置及运行维护费支出决算9.72万元，占85.34%；公务接待费支出决算1.67万元，占14.66%。具体情况如下：</w:t>
      </w:r>
    </w:p>
    <w:p w14:paraId="25A15F8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14:paraId="2D5243CE">
      <w:pPr>
        <w:pStyle w:val="2"/>
        <w:spacing w:before="72"/>
      </w:pPr>
    </w:p>
    <w:p w14:paraId="2945DF68">
      <w:pPr>
        <w:pStyle w:val="2"/>
        <w:spacing w:before="72"/>
      </w:pPr>
    </w:p>
    <w:p w14:paraId="0FA73024">
      <w:pPr>
        <w:pStyle w:val="2"/>
        <w:spacing w:before="72"/>
      </w:pPr>
    </w:p>
    <w:p w14:paraId="6552C038">
      <w:pPr>
        <w:pStyle w:val="2"/>
        <w:spacing w:before="72"/>
      </w:pPr>
    </w:p>
    <w:p w14:paraId="2B553E9F">
      <w:pPr>
        <w:pStyle w:val="2"/>
        <w:spacing w:before="72"/>
      </w:pPr>
    </w:p>
    <w:p w14:paraId="51F9738D">
      <w:pPr>
        <w:pStyle w:val="2"/>
        <w:spacing w:before="72"/>
      </w:pPr>
    </w:p>
    <w:p w14:paraId="4DE36C13">
      <w:pPr>
        <w:pStyle w:val="2"/>
        <w:spacing w:before="72"/>
      </w:pPr>
      <w:r>
        <w:drawing>
          <wp:anchor distT="0" distB="0" distL="114300" distR="114300" simplePos="0" relativeHeight="251665408" behindDoc="0" locked="0" layoutInCell="1" allowOverlap="1">
            <wp:simplePos x="0" y="0"/>
            <wp:positionH relativeFrom="column">
              <wp:posOffset>-104140</wp:posOffset>
            </wp:positionH>
            <wp:positionV relativeFrom="paragraph">
              <wp:posOffset>148590</wp:posOffset>
            </wp:positionV>
            <wp:extent cx="5762625" cy="4305300"/>
            <wp:effectExtent l="1905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5"/>
                    <a:srcRect/>
                    <a:stretch>
                      <a:fillRect/>
                    </a:stretch>
                  </pic:blipFill>
                  <pic:spPr>
                    <a:xfrm>
                      <a:off x="0" y="0"/>
                      <a:ext cx="5762625" cy="4305300"/>
                    </a:xfrm>
                    <a:prstGeom prst="rect">
                      <a:avLst/>
                    </a:prstGeom>
                    <a:noFill/>
                  </pic:spPr>
                </pic:pic>
              </a:graphicData>
            </a:graphic>
          </wp:anchor>
        </w:drawing>
      </w:r>
    </w:p>
    <w:p w14:paraId="1E7986F8">
      <w:pPr>
        <w:pStyle w:val="2"/>
        <w:spacing w:before="72"/>
      </w:pPr>
    </w:p>
    <w:p w14:paraId="3C0EB7F7">
      <w:pPr>
        <w:pStyle w:val="2"/>
        <w:spacing w:before="72"/>
      </w:pPr>
    </w:p>
    <w:p w14:paraId="653B2C1C">
      <w:pPr>
        <w:pStyle w:val="2"/>
        <w:spacing w:before="72"/>
      </w:pPr>
    </w:p>
    <w:p w14:paraId="562C1B1A">
      <w:pPr>
        <w:pStyle w:val="2"/>
        <w:spacing w:before="72"/>
      </w:pPr>
    </w:p>
    <w:p w14:paraId="2D31948D">
      <w:pPr>
        <w:pStyle w:val="2"/>
        <w:spacing w:before="72"/>
      </w:pPr>
    </w:p>
    <w:p w14:paraId="180972DA">
      <w:pPr>
        <w:pStyle w:val="2"/>
        <w:spacing w:before="72"/>
      </w:pPr>
    </w:p>
    <w:p w14:paraId="6F7AC3BC">
      <w:pPr>
        <w:pStyle w:val="2"/>
        <w:spacing w:before="72"/>
      </w:pPr>
    </w:p>
    <w:p w14:paraId="701A702C">
      <w:pPr>
        <w:pStyle w:val="2"/>
        <w:spacing w:before="72"/>
      </w:pPr>
    </w:p>
    <w:p w14:paraId="0F7A0E12">
      <w:pPr>
        <w:pStyle w:val="2"/>
        <w:spacing w:before="72"/>
      </w:pPr>
    </w:p>
    <w:p w14:paraId="63F14D05">
      <w:pPr>
        <w:pStyle w:val="2"/>
        <w:spacing w:before="72"/>
      </w:pPr>
    </w:p>
    <w:p w14:paraId="2D78B8D2">
      <w:pPr>
        <w:pStyle w:val="2"/>
        <w:spacing w:before="72"/>
      </w:pPr>
    </w:p>
    <w:p w14:paraId="678F21B6">
      <w:pPr>
        <w:pStyle w:val="2"/>
        <w:spacing w:before="72"/>
      </w:pPr>
    </w:p>
    <w:p w14:paraId="667FA9BE">
      <w:pPr>
        <w:pStyle w:val="2"/>
        <w:spacing w:before="72"/>
      </w:pPr>
    </w:p>
    <w:p w14:paraId="674D746B">
      <w:pPr>
        <w:pStyle w:val="2"/>
        <w:spacing w:before="72"/>
      </w:pPr>
    </w:p>
    <w:p w14:paraId="5D7D23BA">
      <w:pPr>
        <w:pStyle w:val="2"/>
        <w:spacing w:before="72"/>
      </w:pPr>
    </w:p>
    <w:p w14:paraId="2AC2366E">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1．因公出国（境）经费支出0万元，</w:t>
      </w:r>
      <w:r>
        <w:rPr>
          <w:rStyle w:val="15"/>
          <w:rFonts w:hint="eastAsia" w:ascii="仿宋" w:hAnsi="仿宋" w:eastAsia="仿宋" w:cs="仿宋_GB2312"/>
          <w:b w:val="0"/>
          <w:sz w:val="32"/>
          <w:szCs w:val="32"/>
        </w:rPr>
        <w:t>完成预算0%。</w:t>
      </w:r>
      <w:r>
        <w:rPr>
          <w:rFonts w:hint="eastAsia" w:ascii="仿宋" w:hAnsi="仿宋" w:eastAsia="仿宋" w:cs="仿宋_GB2312"/>
          <w:sz w:val="32"/>
          <w:szCs w:val="32"/>
        </w:rPr>
        <w:t>全年安排因公出国（境）团组0次，出国（境）0人。本年无此项业务发生。</w:t>
      </w:r>
    </w:p>
    <w:p w14:paraId="1D734789">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2．公务用车购置及运行维护费支出9.72万元,</w:t>
      </w:r>
      <w:r>
        <w:rPr>
          <w:rStyle w:val="15"/>
          <w:rFonts w:hint="eastAsia" w:ascii="仿宋" w:hAnsi="仿宋" w:eastAsia="仿宋" w:cs="仿宋_GB2312"/>
          <w:b w:val="0"/>
          <w:sz w:val="32"/>
          <w:szCs w:val="32"/>
        </w:rPr>
        <w:t>完成预算100%。</w:t>
      </w:r>
      <w:r>
        <w:rPr>
          <w:rFonts w:hint="eastAsia" w:ascii="仿宋" w:hAnsi="仿宋" w:eastAsia="仿宋" w:cs="仿宋_GB2312"/>
          <w:sz w:val="32"/>
          <w:szCs w:val="32"/>
        </w:rPr>
        <w:t>公务用车购置及运行维护费支出决算比2020年减少4.38万元，下降31.06%。主要原因节省开</w:t>
      </w:r>
      <w:r>
        <w:rPr>
          <w:rFonts w:hint="eastAsia" w:ascii="仿宋" w:hAnsi="仿宋" w:eastAsia="仿宋" w:cs="仿宋_GB2312"/>
          <w:bCs/>
          <w:sz w:val="32"/>
          <w:szCs w:val="32"/>
        </w:rPr>
        <w:t>支，公务用车整改等原因。</w:t>
      </w:r>
    </w:p>
    <w:p w14:paraId="4BFE6F64">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其中：公务用车购置支出0万元。全年按规定更新购置公务用车0辆，其中：轿车0辆、金额0万元，越野车0辆、金额0万元，载客汽车0辆、金额0元。截至2021年12月底，单位共有公务用车4辆，其中：轿车1辆、越野车3辆、载客汽车0辆。</w:t>
      </w:r>
    </w:p>
    <w:p w14:paraId="621A5F7C">
      <w:pPr>
        <w:spacing w:line="600" w:lineRule="exact"/>
        <w:ind w:firstLine="640"/>
        <w:rPr>
          <w:rFonts w:ascii="仿宋" w:hAnsi="仿宋" w:eastAsia="仿宋" w:cs="仿宋_GB2312"/>
          <w:bCs/>
          <w:sz w:val="32"/>
          <w:szCs w:val="32"/>
        </w:rPr>
      </w:pPr>
      <w:r>
        <w:rPr>
          <w:rFonts w:hint="eastAsia" w:ascii="仿宋" w:hAnsi="仿宋" w:eastAsia="仿宋" w:cs="仿宋_GB2312"/>
          <w:sz w:val="32"/>
          <w:szCs w:val="32"/>
        </w:rPr>
        <w:t>公务用车运行维护费支出9.72万元。主要用于矿山</w:t>
      </w:r>
      <w:r>
        <w:rPr>
          <w:rFonts w:hint="eastAsia" w:ascii="仿宋" w:hAnsi="仿宋" w:eastAsia="仿宋" w:cs="仿宋_GB2312"/>
          <w:bCs/>
          <w:sz w:val="32"/>
          <w:szCs w:val="32"/>
        </w:rPr>
        <w:t>检查、应急处置及各项安全生产检查和防震减灾工作等所需的公务用车燃料费、维修费、过路过桥费、保险费等支出。</w:t>
      </w:r>
    </w:p>
    <w:p w14:paraId="3052E484">
      <w:pPr>
        <w:numPr>
          <w:ilvl w:val="0"/>
          <w:numId w:val="2"/>
        </w:num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公务接待费支出1.67万元，</w:t>
      </w:r>
      <w:r>
        <w:rPr>
          <w:rStyle w:val="15"/>
          <w:rFonts w:hint="eastAsia" w:ascii="仿宋" w:hAnsi="仿宋" w:eastAsia="仿宋" w:cs="仿宋_GB2312"/>
          <w:b w:val="0"/>
          <w:sz w:val="32"/>
          <w:szCs w:val="32"/>
        </w:rPr>
        <w:t>完成预算100%。</w:t>
      </w:r>
      <w:r>
        <w:rPr>
          <w:rFonts w:hint="eastAsia" w:ascii="仿宋" w:hAnsi="仿宋" w:eastAsia="仿宋" w:cs="仿宋_GB2312"/>
          <w:sz w:val="32"/>
          <w:szCs w:val="32"/>
        </w:rPr>
        <w:t>公务接待费支出决算比2020年增加0.53万元，增长46.49%。主要原因是森林防灭火防汛抗旱、安全生产等上级检查督查，省市各级安委办巡察、执法工作检查等。</w:t>
      </w:r>
    </w:p>
    <w:p w14:paraId="4F3CBB39">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其中：</w:t>
      </w:r>
    </w:p>
    <w:p w14:paraId="194834DB">
      <w:pPr>
        <w:spacing w:line="600" w:lineRule="exact"/>
        <w:ind w:firstLine="64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国内公务接待支出1.67万元，主要用于安全生产等上级检查督查，省市各级安委办巡察、执法工作检查(执行公务、开展业务活动开支的交通费、住宿费、用餐费等)。国内公务接待19批次，178人次（不包括陪同人员），共计支出1.67万元，具体内容包括：安全生产等上级检查督查，省市各级安委办巡察</w:t>
      </w:r>
      <w:r>
        <w:rPr>
          <w:rFonts w:hint="eastAsia" w:ascii="仿宋" w:hAnsi="仿宋" w:eastAsia="仿宋" w:cs="仿宋_GB2312"/>
          <w:bCs/>
          <w:color w:val="000000" w:themeColor="text1"/>
          <w:sz w:val="32"/>
          <w:szCs w:val="32"/>
        </w:rPr>
        <w:t>、执法工作检查等共计1.67万元。</w:t>
      </w:r>
    </w:p>
    <w:p w14:paraId="5A410B0E">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外事接待支出0万元，外事接待0批次，0人，共计支出0万元，本年无此项业务支出。</w:t>
      </w:r>
      <w:r>
        <w:rPr>
          <w:rFonts w:ascii="仿宋" w:hAnsi="仿宋" w:eastAsia="仿宋" w:cs="仿宋_GB2312"/>
          <w:sz w:val="32"/>
          <w:szCs w:val="32"/>
        </w:rPr>
        <w:t xml:space="preserve"> </w:t>
      </w:r>
      <w:bookmarkStart w:id="44" w:name="_Toc15396610"/>
      <w:bookmarkStart w:id="45" w:name="_Toc15377218"/>
    </w:p>
    <w:p w14:paraId="45031DD9">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4"/>
      <w:bookmarkEnd w:id="45"/>
    </w:p>
    <w:p w14:paraId="6910128E">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21年政府性基金预算财政拨款支出2702.18万元。</w:t>
      </w:r>
    </w:p>
    <w:p w14:paraId="785B9FC5">
      <w:pPr>
        <w:numPr>
          <w:ilvl w:val="0"/>
          <w:numId w:val="3"/>
        </w:numPr>
        <w:spacing w:line="600" w:lineRule="exact"/>
        <w:ind w:firstLine="640"/>
        <w:outlineLvl w:val="1"/>
        <w:rPr>
          <w:rStyle w:val="26"/>
          <w:rFonts w:ascii="黑体" w:hAnsi="黑体" w:eastAsia="黑体"/>
          <w:b w:val="0"/>
        </w:rPr>
      </w:pPr>
      <w:bookmarkStart w:id="46" w:name="_Toc15396611"/>
      <w:bookmarkStart w:id="47" w:name="_Toc15377219"/>
      <w:r>
        <w:rPr>
          <w:rStyle w:val="26"/>
          <w:rFonts w:hint="eastAsia" w:ascii="黑体" w:hAnsi="黑体" w:eastAsia="黑体"/>
          <w:b w:val="0"/>
        </w:rPr>
        <w:t>国有资本经营预算支出决算情况说明</w:t>
      </w:r>
      <w:bookmarkEnd w:id="46"/>
      <w:bookmarkEnd w:id="47"/>
    </w:p>
    <w:p w14:paraId="4206619D">
      <w:pPr>
        <w:spacing w:line="600" w:lineRule="exact"/>
        <w:ind w:firstLine="640"/>
        <w:rPr>
          <w:rFonts w:ascii="仿宋" w:hAnsi="仿宋" w:eastAsia="仿宋" w:cs="方正小标宋简体"/>
          <w:sz w:val="44"/>
          <w:szCs w:val="44"/>
        </w:rPr>
      </w:pPr>
      <w:r>
        <w:rPr>
          <w:rFonts w:ascii="仿宋" w:hAnsi="仿宋" w:eastAsia="仿宋"/>
          <w:sz w:val="32"/>
          <w:szCs w:val="32"/>
        </w:rPr>
        <w:t>20</w:t>
      </w:r>
      <w:r>
        <w:rPr>
          <w:rFonts w:hint="eastAsia" w:ascii="仿宋" w:hAnsi="仿宋" w:eastAsia="仿宋"/>
          <w:sz w:val="32"/>
          <w:szCs w:val="32"/>
        </w:rPr>
        <w:t>21年国有资本经营预算财政拨款支出0万元。</w:t>
      </w:r>
    </w:p>
    <w:p w14:paraId="04DD0343">
      <w:pPr>
        <w:numPr>
          <w:ilvl w:val="0"/>
          <w:numId w:val="3"/>
        </w:numPr>
        <w:spacing w:line="600" w:lineRule="exact"/>
        <w:ind w:firstLine="640"/>
        <w:outlineLvl w:val="1"/>
        <w:rPr>
          <w:rStyle w:val="26"/>
          <w:rFonts w:ascii="黑体" w:hAnsi="黑体" w:eastAsia="黑体"/>
          <w:b w:val="0"/>
        </w:rPr>
      </w:pPr>
      <w:bookmarkStart w:id="48" w:name="_Toc15396612"/>
      <w:bookmarkStart w:id="49" w:name="_Toc15377221"/>
      <w:r>
        <w:rPr>
          <w:rStyle w:val="26"/>
          <w:rFonts w:hint="eastAsia" w:ascii="黑体" w:hAnsi="黑体" w:eastAsia="黑体"/>
          <w:b w:val="0"/>
        </w:rPr>
        <w:t>其他重要事项的情况说明</w:t>
      </w:r>
      <w:bookmarkEnd w:id="48"/>
      <w:bookmarkEnd w:id="49"/>
    </w:p>
    <w:p w14:paraId="5F0BDCFA">
      <w:pPr>
        <w:spacing w:line="600" w:lineRule="exact"/>
        <w:ind w:firstLine="640" w:firstLineChars="200"/>
        <w:outlineLvl w:val="2"/>
        <w:rPr>
          <w:rFonts w:ascii="楷体_GB2312" w:hAnsi="楷体_GB2312" w:eastAsia="楷体_GB2312" w:cs="楷体_GB2312"/>
          <w:bCs/>
          <w:sz w:val="32"/>
          <w:szCs w:val="32"/>
        </w:rPr>
      </w:pPr>
      <w:bookmarkStart w:id="50" w:name="_Toc15377222"/>
      <w:r>
        <w:rPr>
          <w:rFonts w:hint="eastAsia" w:ascii="楷体_GB2312" w:hAnsi="楷体_GB2312" w:eastAsia="楷体_GB2312" w:cs="楷体_GB2312"/>
          <w:bCs/>
          <w:sz w:val="32"/>
          <w:szCs w:val="32"/>
        </w:rPr>
        <w:t>（一）机关运行经费支出情况</w:t>
      </w:r>
      <w:bookmarkEnd w:id="50"/>
    </w:p>
    <w:p w14:paraId="35E4C9E1">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2021年，峨眉山市应急管理局机关运行经费支出120.06万元，比2020年增加0.13万元，增长0.11%。主要原因是人员增加等。</w:t>
      </w:r>
    </w:p>
    <w:p w14:paraId="68C8FBA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14:paraId="703EA65B">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1" w:name="_Toc15377223"/>
      <w:r>
        <w:rPr>
          <w:rFonts w:hint="eastAsia" w:ascii="楷体_GB2312" w:hAnsi="楷体_GB2312" w:eastAsia="楷体_GB2312" w:cs="楷体_GB2312"/>
          <w:bCs/>
          <w:sz w:val="32"/>
          <w:szCs w:val="32"/>
        </w:rPr>
        <w:t>（二）政府采购支出情况</w:t>
      </w:r>
      <w:bookmarkEnd w:id="51"/>
    </w:p>
    <w:p w14:paraId="2D2C3F30">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2021年，峨眉山市应急管理局政府采购支出总额44.26万元，其中：政府采购货物支出44.26万元、政府采购工程支出0万元、政府采购服务支出0万元。主要用于应急救灾使用的卫星电话采购。授予中小企业合同金额0万元，占政府采购支出总额的0%，其中：授予小微企业合同金额0万元，占政府采购支出总额的0%。</w:t>
      </w:r>
    </w:p>
    <w:p w14:paraId="4ABF890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14:paraId="64C353DE">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2" w:name="_Toc15377224"/>
      <w:r>
        <w:rPr>
          <w:rFonts w:hint="eastAsia" w:ascii="楷体_GB2312" w:hAnsi="楷体_GB2312" w:eastAsia="楷体_GB2312" w:cs="楷体_GB2312"/>
          <w:bCs/>
          <w:sz w:val="32"/>
          <w:szCs w:val="32"/>
        </w:rPr>
        <w:t>（三）国有资产占有使用情况</w:t>
      </w:r>
      <w:bookmarkEnd w:id="52"/>
    </w:p>
    <w:p w14:paraId="2697706D">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截至2021年12月31日，峨眉山市应急管理局共有车辆4辆，其中：主要领导干部用车0辆、机要通信用车0辆、应急保障用车0辆、其他用车4辆，其他用车主要是用于安全生产检查、矿山、危化企业安全督查、森林防灭火地质灾害点巡察以及防震减灾工作公务用车费用等。单价50万元以上通用设备0台（套），单价100万元以上专用设备0台（套）。</w:t>
      </w:r>
    </w:p>
    <w:p w14:paraId="14055F69">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（注：数据来源于财决附03表，按部门决算报表填报数据罗列车辆情况。）</w:t>
      </w:r>
    </w:p>
    <w:p w14:paraId="5B62DF6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63259BE">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在2021年度预算编制阶段，组织对安全生产监督检查工作、安全生产综合监管信息化平台、防灾减灾等8个项目开展了预算事前绩效评估，对8个项目编制了绩效目标，预算执行过程中，选取8个项目开展绩效监控，年终执行完毕后，对8个项目开展了绩效自评。同时，本部门对2021年部门整体开展绩效自评，《2021年应急管理局部门整体绩效评价报告》见附件（第四部分）。</w:t>
      </w:r>
    </w:p>
    <w:p w14:paraId="06217E55">
      <w:pPr>
        <w:widowControl/>
        <w:spacing w:line="600" w:lineRule="exact"/>
        <w:jc w:val="left"/>
        <w:rPr>
          <w:rFonts w:ascii="仿宋_GB2312" w:eastAsia="仿宋_GB2312"/>
          <w:b/>
          <w:sz w:val="32"/>
          <w:szCs w:val="32"/>
        </w:rPr>
      </w:pPr>
      <w:r>
        <w:rPr>
          <w:rFonts w:ascii="仿宋_GB2312" w:eastAsia="仿宋_GB2312"/>
          <w:b/>
          <w:sz w:val="32"/>
          <w:szCs w:val="32"/>
        </w:rPr>
        <w:br w:type="page"/>
      </w:r>
    </w:p>
    <w:p w14:paraId="1AFC8051">
      <w:pPr>
        <w:spacing w:line="600" w:lineRule="exact"/>
        <w:jc w:val="center"/>
        <w:outlineLvl w:val="0"/>
        <w:rPr>
          <w:rStyle w:val="25"/>
          <w:rFonts w:ascii="方正小标宋_GBK" w:hAnsi="方正小标宋_GBK" w:eastAsia="方正小标宋_GBK" w:cs="方正小标宋_GBK"/>
          <w:b w:val="0"/>
        </w:rPr>
      </w:pPr>
      <w:bookmarkStart w:id="53" w:name="_Toc15396613"/>
      <w:bookmarkStart w:id="54" w:name="_Toc15377225"/>
      <w:r>
        <w:rPr>
          <w:rFonts w:hint="eastAsia" w:ascii="方正小标宋_GBK" w:hAnsi="方正小标宋_GBK" w:eastAsia="方正小标宋_GBK" w:cs="方正小标宋_GBK"/>
          <w:sz w:val="44"/>
          <w:szCs w:val="44"/>
        </w:rPr>
        <w:t>第三部分名</w:t>
      </w:r>
      <w:r>
        <w:rPr>
          <w:rStyle w:val="25"/>
          <w:rFonts w:hint="eastAsia" w:ascii="方正小标宋_GBK" w:hAnsi="方正小标宋_GBK" w:eastAsia="方正小标宋_GBK" w:cs="方正小标宋_GBK"/>
          <w:b w:val="0"/>
        </w:rPr>
        <w:t>词解释</w:t>
      </w:r>
      <w:bookmarkEnd w:id="53"/>
      <w:bookmarkEnd w:id="54"/>
    </w:p>
    <w:p w14:paraId="2110C0B2">
      <w:pPr>
        <w:spacing w:line="600" w:lineRule="exact"/>
        <w:jc w:val="left"/>
        <w:rPr>
          <w:rFonts w:ascii="宋体"/>
          <w:b/>
          <w:sz w:val="44"/>
          <w:szCs w:val="44"/>
        </w:rPr>
      </w:pPr>
    </w:p>
    <w:p w14:paraId="52B92F9D">
      <w:pPr>
        <w:pStyle w:val="23"/>
        <w:spacing w:line="600" w:lineRule="exact"/>
        <w:ind w:firstLine="640" w:firstLineChars="200"/>
        <w:rPr>
          <w:rFonts w:hAnsi="仿宋"/>
          <w:color w:val="auto"/>
          <w:sz w:val="32"/>
          <w:szCs w:val="32"/>
        </w:rPr>
      </w:pPr>
      <w:r>
        <w:rPr>
          <w:rFonts w:hint="eastAsia" w:hAnsi="仿宋"/>
          <w:color w:val="auto"/>
          <w:sz w:val="32"/>
          <w:szCs w:val="32"/>
        </w:rPr>
        <w:t>一、财政拨款收入：指单位从同级财政部门取得的财政预算资金。</w:t>
      </w:r>
    </w:p>
    <w:p w14:paraId="63208955">
      <w:pPr>
        <w:pStyle w:val="23"/>
        <w:spacing w:line="600" w:lineRule="exact"/>
        <w:ind w:firstLine="640" w:firstLineChars="200"/>
        <w:rPr>
          <w:rFonts w:hAnsi="仿宋"/>
          <w:color w:val="auto"/>
          <w:sz w:val="32"/>
          <w:szCs w:val="32"/>
        </w:rPr>
      </w:pPr>
      <w:r>
        <w:rPr>
          <w:rFonts w:hint="eastAsia" w:hAnsi="仿宋"/>
          <w:color w:val="auto"/>
          <w:sz w:val="32"/>
          <w:szCs w:val="32"/>
        </w:rPr>
        <w:t>二、事业收入：指事业单位开展专业业务活动及辅助活动取得的收入。如…（二级预算单位事业收入情况）等。</w:t>
      </w:r>
    </w:p>
    <w:p w14:paraId="680F896B">
      <w:pPr>
        <w:pStyle w:val="23"/>
        <w:spacing w:line="600" w:lineRule="exact"/>
        <w:ind w:firstLine="640" w:firstLineChars="200"/>
        <w:rPr>
          <w:rFonts w:hAnsi="仿宋"/>
          <w:color w:val="auto"/>
          <w:sz w:val="32"/>
          <w:szCs w:val="32"/>
        </w:rPr>
      </w:pPr>
      <w:r>
        <w:rPr>
          <w:rFonts w:hint="eastAsia" w:hAnsi="仿宋"/>
          <w:color w:val="auto"/>
          <w:sz w:val="32"/>
          <w:szCs w:val="32"/>
        </w:rPr>
        <w:t>三、经营收入：指事业单位在专业业务活动及其辅助活动之外开展非独立核算经营活动取得的收入。</w:t>
      </w:r>
    </w:p>
    <w:p w14:paraId="1EF5F001">
      <w:pPr>
        <w:pStyle w:val="23"/>
        <w:spacing w:beforeLines="30" w:line="600" w:lineRule="exact"/>
        <w:ind w:firstLine="640" w:firstLineChars="200"/>
        <w:rPr>
          <w:rFonts w:hAnsi="仿宋"/>
          <w:color w:val="auto"/>
          <w:sz w:val="32"/>
          <w:szCs w:val="32"/>
        </w:rPr>
      </w:pPr>
      <w:r>
        <w:rPr>
          <w:rFonts w:hint="eastAsia" w:hAnsi="仿宋"/>
          <w:color w:val="auto"/>
          <w:sz w:val="32"/>
          <w:szCs w:val="32"/>
        </w:rPr>
        <w:t>四、其他收入：指单位取得的除上述收入以外的各项收入。</w:t>
      </w:r>
    </w:p>
    <w:p w14:paraId="03C4F74A">
      <w:pPr>
        <w:pStyle w:val="23"/>
        <w:spacing w:beforeLines="30" w:line="600" w:lineRule="exact"/>
        <w:ind w:firstLine="640" w:firstLineChars="200"/>
        <w:rPr>
          <w:rFonts w:hAnsi="仿宋"/>
          <w:color w:val="auto"/>
          <w:sz w:val="32"/>
          <w:szCs w:val="32"/>
        </w:rPr>
      </w:pPr>
      <w:r>
        <w:rPr>
          <w:rFonts w:hint="eastAsia" w:hAnsi="仿宋"/>
          <w:color w:val="auto"/>
          <w:sz w:val="32"/>
          <w:szCs w:val="32"/>
        </w:rPr>
        <w:t>五、使用非财政拨款结余：指事业单位使用以前年度积累的非财政拨款结余弥补当年收支差额的金额。</w:t>
      </w:r>
    </w:p>
    <w:p w14:paraId="2292F18E">
      <w:pPr>
        <w:pStyle w:val="23"/>
        <w:spacing w:line="600" w:lineRule="exact"/>
        <w:ind w:firstLine="640" w:firstLineChars="200"/>
        <w:rPr>
          <w:rFonts w:hAnsi="仿宋"/>
          <w:color w:val="auto"/>
          <w:sz w:val="32"/>
          <w:szCs w:val="32"/>
        </w:rPr>
      </w:pPr>
      <w:r>
        <w:rPr>
          <w:rFonts w:hint="eastAsia" w:hAnsi="仿宋"/>
          <w:color w:val="auto"/>
          <w:sz w:val="32"/>
          <w:szCs w:val="32"/>
        </w:rPr>
        <w:t>六、年初结转和结余：指以前年度尚未完成、结转到本年按有关规定继续使用的资金。</w:t>
      </w:r>
    </w:p>
    <w:p w14:paraId="2163A217">
      <w:pPr>
        <w:pStyle w:val="23"/>
        <w:spacing w:line="600" w:lineRule="exact"/>
        <w:ind w:firstLine="640" w:firstLineChars="200"/>
        <w:rPr>
          <w:rFonts w:hAnsi="仿宋"/>
          <w:color w:val="auto"/>
          <w:sz w:val="32"/>
          <w:szCs w:val="32"/>
        </w:rPr>
      </w:pPr>
      <w:r>
        <w:rPr>
          <w:rFonts w:hint="eastAsia" w:hAnsi="仿宋"/>
          <w:color w:val="auto"/>
          <w:sz w:val="32"/>
          <w:szCs w:val="32"/>
        </w:rPr>
        <w:t>七、结余分配：指事业单位按照会计制度规定缴纳的所得税、提取的专用结余以及转入非财政拨款结余的金额等。</w:t>
      </w:r>
    </w:p>
    <w:p w14:paraId="32D3A07A">
      <w:pPr>
        <w:pStyle w:val="23"/>
        <w:spacing w:line="600" w:lineRule="exact"/>
        <w:ind w:firstLine="640" w:firstLineChars="200"/>
        <w:rPr>
          <w:rFonts w:hAnsi="仿宋"/>
          <w:color w:val="auto"/>
          <w:sz w:val="32"/>
          <w:szCs w:val="32"/>
        </w:rPr>
      </w:pPr>
      <w:r>
        <w:rPr>
          <w:rFonts w:hint="eastAsia" w:hAnsi="仿宋"/>
          <w:color w:val="auto"/>
          <w:sz w:val="32"/>
          <w:szCs w:val="32"/>
        </w:rPr>
        <w:t>八、年末结转和结余：指单位按有关规定结转到下年或以后年度继续使用的资金。</w:t>
      </w:r>
    </w:p>
    <w:p w14:paraId="7573BA6C">
      <w:pPr>
        <w:pStyle w:val="23"/>
        <w:spacing w:line="600" w:lineRule="exact"/>
        <w:ind w:firstLine="640" w:firstLineChars="200"/>
        <w:rPr>
          <w:rFonts w:hAnsi="仿宋"/>
          <w:sz w:val="32"/>
          <w:szCs w:val="32"/>
        </w:rPr>
      </w:pPr>
      <w:r>
        <w:rPr>
          <w:rFonts w:hint="eastAsia" w:hAnsi="仿宋"/>
          <w:sz w:val="32"/>
          <w:szCs w:val="32"/>
        </w:rPr>
        <w:t>九、社会保障和就业（类）行政事业单位养老支出（款）机关事业单位基本养老保险缴费支出（项）：是指反映机关事业单位实施养老保险制度由单位缴纳的基本养老保险支出。</w:t>
      </w:r>
    </w:p>
    <w:p w14:paraId="6900048C">
      <w:pPr>
        <w:pStyle w:val="23"/>
        <w:spacing w:line="600" w:lineRule="exact"/>
        <w:ind w:firstLine="640" w:firstLineChars="200"/>
        <w:rPr>
          <w:rFonts w:hAnsi="仿宋"/>
          <w:sz w:val="32"/>
          <w:szCs w:val="32"/>
        </w:rPr>
      </w:pPr>
      <w:r>
        <w:rPr>
          <w:rFonts w:hint="eastAsia" w:hAnsi="仿宋"/>
          <w:sz w:val="32"/>
          <w:szCs w:val="32"/>
        </w:rPr>
        <w:t>十、社会保障和就业（类）行政事业单位养老支出（款）机关事业单位职业年金缴费支出（项）：是指反映机关事业单位实施养老保险制度由单位缴纳的职业年金支出。</w:t>
      </w:r>
    </w:p>
    <w:p w14:paraId="490927DF">
      <w:pPr>
        <w:pStyle w:val="23"/>
        <w:spacing w:line="600" w:lineRule="exact"/>
        <w:ind w:firstLine="640" w:firstLineChars="200"/>
        <w:rPr>
          <w:rFonts w:hAnsi="仿宋"/>
          <w:sz w:val="32"/>
          <w:szCs w:val="32"/>
        </w:rPr>
      </w:pPr>
      <w:r>
        <w:rPr>
          <w:rFonts w:hint="eastAsia" w:hAnsi="仿宋"/>
          <w:sz w:val="32"/>
          <w:szCs w:val="32"/>
        </w:rPr>
        <w:t>十一、社会保障和就业（类）企业改革补助（款）其他企业改革发展补助（项）：</w:t>
      </w:r>
      <w:r>
        <w:rPr>
          <w:rFonts w:hAnsi="仿宋"/>
          <w:sz w:val="32"/>
          <w:szCs w:val="32"/>
        </w:rPr>
        <w:t>反映除上述项目以外财政用</w:t>
      </w:r>
      <w:r>
        <w:rPr>
          <w:rFonts w:hint="eastAsia" w:hAnsi="仿宋"/>
          <w:sz w:val="32"/>
          <w:szCs w:val="32"/>
        </w:rPr>
        <w:t>于</w:t>
      </w:r>
      <w:r>
        <w:rPr>
          <w:rFonts w:hAnsi="仿宋"/>
          <w:sz w:val="32"/>
          <w:szCs w:val="32"/>
        </w:rPr>
        <w:t>企业改革发展方面的补助。</w:t>
      </w:r>
    </w:p>
    <w:p w14:paraId="6125A3F5">
      <w:pPr>
        <w:pStyle w:val="23"/>
        <w:spacing w:line="560" w:lineRule="exact"/>
        <w:ind w:firstLine="640" w:firstLineChars="200"/>
        <w:rPr>
          <w:rFonts w:hAnsi="仿宋"/>
          <w:sz w:val="32"/>
          <w:szCs w:val="32"/>
        </w:rPr>
      </w:pPr>
      <w:r>
        <w:rPr>
          <w:rFonts w:hint="eastAsia" w:hAnsi="仿宋"/>
          <w:sz w:val="32"/>
          <w:szCs w:val="32"/>
        </w:rPr>
        <w:t>十二、社会保障和就业（类）抚恤（款）其他优抚支出（项）:反映除上述项目以外其他用于优抚方面的支出，包括向优抚对象发放的价格临时补贴等支出。</w:t>
      </w:r>
    </w:p>
    <w:p w14:paraId="155BF674">
      <w:pPr>
        <w:pStyle w:val="23"/>
        <w:spacing w:line="560" w:lineRule="exact"/>
        <w:ind w:firstLine="640" w:firstLineChars="200"/>
        <w:rPr>
          <w:rFonts w:hAnsi="仿宋"/>
          <w:sz w:val="32"/>
          <w:szCs w:val="32"/>
        </w:rPr>
      </w:pPr>
      <w:r>
        <w:rPr>
          <w:rFonts w:hint="eastAsia" w:hAnsi="仿宋"/>
          <w:sz w:val="32"/>
          <w:szCs w:val="32"/>
        </w:rPr>
        <w:t>十三、社会保障和就业（类）其他社会保障和就业支出（款）其他社会保障和就业支出（项）:是指反映除上述项目以外其他用于社会保障和就业方面的支出。</w:t>
      </w:r>
    </w:p>
    <w:p w14:paraId="6E08CB20">
      <w:pPr>
        <w:pStyle w:val="23"/>
        <w:spacing w:line="600" w:lineRule="exact"/>
        <w:ind w:firstLine="640" w:firstLineChars="200"/>
        <w:rPr>
          <w:rFonts w:hAnsi="仿宋"/>
          <w:sz w:val="32"/>
          <w:szCs w:val="32"/>
        </w:rPr>
      </w:pPr>
      <w:r>
        <w:rPr>
          <w:rFonts w:hint="eastAsia" w:hAnsi="仿宋"/>
          <w:sz w:val="32"/>
          <w:szCs w:val="32"/>
        </w:rPr>
        <w:t>十四、卫生健康（类）行政事业单位医疗（款）行政单位医疗（项）:是指反映财政部门集中安排的行政单位基本医疗保险缴费经费，未参加医疗保险的行政单位的公费医疗经费，按国家规定享受离退休人员、红军老战士待遇人员的医疗经费。</w:t>
      </w:r>
    </w:p>
    <w:p w14:paraId="5B3D6194">
      <w:pPr>
        <w:pStyle w:val="23"/>
        <w:spacing w:line="560" w:lineRule="exact"/>
        <w:ind w:firstLine="640" w:firstLineChars="200"/>
        <w:rPr>
          <w:rFonts w:hAnsi="仿宋"/>
          <w:sz w:val="32"/>
          <w:szCs w:val="32"/>
        </w:rPr>
      </w:pPr>
      <w:r>
        <w:rPr>
          <w:rFonts w:hint="eastAsia" w:hAnsi="仿宋"/>
          <w:sz w:val="32"/>
          <w:szCs w:val="32"/>
        </w:rPr>
        <w:t>十五、卫生健康（类）行政事业单位医疗（款）事业单位医疗（项）:</w:t>
      </w:r>
      <w:r>
        <w:rPr>
          <w:rFonts w:hAnsi="仿宋"/>
          <w:w w:val="105"/>
          <w:sz w:val="18"/>
        </w:rPr>
        <w:t xml:space="preserve"> </w:t>
      </w:r>
      <w:r>
        <w:rPr>
          <w:rFonts w:hAnsi="仿宋"/>
          <w:sz w:val="32"/>
          <w:szCs w:val="32"/>
        </w:rPr>
        <w:t>反映财政部门安排的事业单位基本医疗保险缴费经费，未参加医疗保险的事业单位的公费医疗经费，按国家规定享受离休人员待遇的医疗经费</w:t>
      </w:r>
      <w:r>
        <w:rPr>
          <w:rFonts w:hint="eastAsia" w:hAnsi="仿宋"/>
          <w:sz w:val="32"/>
          <w:szCs w:val="32"/>
        </w:rPr>
        <w:t>。</w:t>
      </w:r>
    </w:p>
    <w:p w14:paraId="2231EF96">
      <w:pPr>
        <w:pStyle w:val="23"/>
        <w:spacing w:line="560" w:lineRule="exact"/>
        <w:ind w:firstLine="640" w:firstLineChars="200"/>
        <w:rPr>
          <w:rFonts w:hAnsi="仿宋"/>
          <w:sz w:val="32"/>
          <w:szCs w:val="32"/>
        </w:rPr>
      </w:pPr>
      <w:r>
        <w:rPr>
          <w:rFonts w:hint="eastAsia" w:hAnsi="仿宋"/>
          <w:sz w:val="32"/>
          <w:szCs w:val="32"/>
        </w:rPr>
        <w:t>十六、卫生健康（类）行政事业单位医疗（款）公务员医疗补助（项）:反映财政部安排的公务员医疗补助经费。</w:t>
      </w:r>
    </w:p>
    <w:p w14:paraId="4406F6AF">
      <w:pPr>
        <w:pStyle w:val="23"/>
        <w:spacing w:line="560" w:lineRule="exact"/>
        <w:ind w:firstLine="640" w:firstLineChars="200"/>
        <w:rPr>
          <w:rFonts w:hAnsi="仿宋"/>
          <w:sz w:val="32"/>
          <w:szCs w:val="32"/>
        </w:rPr>
      </w:pPr>
      <w:r>
        <w:rPr>
          <w:rFonts w:hint="eastAsia" w:hAnsi="仿宋"/>
          <w:sz w:val="32"/>
          <w:szCs w:val="32"/>
        </w:rPr>
        <w:t>十七、城乡社区（类）其他城乡社区（款）其他城乡社区支出（项）:</w:t>
      </w:r>
      <w:r>
        <w:rPr>
          <w:rFonts w:hAnsi="仿宋"/>
          <w:sz w:val="32"/>
          <w:szCs w:val="32"/>
        </w:rPr>
        <w:t xml:space="preserve"> 反映除上述项目以外其他用</w:t>
      </w:r>
      <w:r>
        <w:rPr>
          <w:rFonts w:hint="eastAsia" w:hAnsi="仿宋"/>
          <w:sz w:val="32"/>
          <w:szCs w:val="32"/>
        </w:rPr>
        <w:t>于</w:t>
      </w:r>
      <w:r>
        <w:rPr>
          <w:rFonts w:hAnsi="仿宋"/>
          <w:sz w:val="32"/>
          <w:szCs w:val="32"/>
        </w:rPr>
        <w:t>城乡社区方面的支出。</w:t>
      </w:r>
      <w:r>
        <w:rPr>
          <w:rFonts w:hint="eastAsia" w:hAnsi="仿宋"/>
          <w:sz w:val="32"/>
          <w:szCs w:val="32"/>
        </w:rPr>
        <w:t>。</w:t>
      </w:r>
    </w:p>
    <w:p w14:paraId="2BF6C58C">
      <w:pPr>
        <w:pStyle w:val="23"/>
        <w:spacing w:line="600" w:lineRule="exact"/>
        <w:ind w:firstLine="640" w:firstLineChars="200"/>
        <w:rPr>
          <w:rFonts w:hAnsi="仿宋"/>
          <w:sz w:val="32"/>
          <w:szCs w:val="32"/>
        </w:rPr>
      </w:pPr>
      <w:r>
        <w:rPr>
          <w:rFonts w:hint="eastAsia" w:hAnsi="仿宋"/>
          <w:sz w:val="32"/>
          <w:szCs w:val="32"/>
        </w:rPr>
        <w:t>十八、住房保障支出（类）住房改革支出（款）住房公积金（项）:是指反映行政事业单位按人力资源和社会保障部、财政部规定的基本工资和津贴补贴以及规定比例为职工缴纳的住房公积金。</w:t>
      </w:r>
    </w:p>
    <w:p w14:paraId="2EAF63CA">
      <w:pPr>
        <w:pStyle w:val="23"/>
        <w:spacing w:line="600" w:lineRule="exact"/>
        <w:ind w:firstLine="640" w:firstLineChars="200"/>
        <w:rPr>
          <w:rFonts w:hAnsi="仿宋"/>
          <w:sz w:val="32"/>
          <w:szCs w:val="32"/>
        </w:rPr>
      </w:pPr>
      <w:r>
        <w:rPr>
          <w:rFonts w:hint="eastAsia" w:hAnsi="仿宋"/>
          <w:sz w:val="32"/>
          <w:szCs w:val="32"/>
        </w:rPr>
        <w:t>十九、灾害防治及应急管理（类）应急管理事务（款）行政运行（项）:</w:t>
      </w:r>
      <w:r>
        <w:rPr>
          <w:rFonts w:hAnsi="仿宋"/>
          <w:sz w:val="32"/>
          <w:szCs w:val="32"/>
        </w:rPr>
        <w:t xml:space="preserve"> 反映</w:t>
      </w:r>
      <w:r>
        <w:rPr>
          <w:rFonts w:hint="eastAsia" w:hAnsi="仿宋"/>
          <w:sz w:val="32"/>
          <w:szCs w:val="32"/>
        </w:rPr>
        <w:t>应急管理</w:t>
      </w:r>
      <w:r>
        <w:rPr>
          <w:rFonts w:hAnsi="仿宋"/>
          <w:sz w:val="32"/>
          <w:szCs w:val="32"/>
        </w:rPr>
        <w:t>行政单位（包括实行公务员管理的事业单位）的基本支出。</w:t>
      </w:r>
    </w:p>
    <w:p w14:paraId="219CA767">
      <w:pPr>
        <w:pStyle w:val="23"/>
        <w:spacing w:line="600" w:lineRule="exact"/>
        <w:ind w:firstLine="640" w:firstLineChars="200"/>
        <w:rPr>
          <w:rFonts w:hAnsi="仿宋"/>
          <w:sz w:val="32"/>
          <w:szCs w:val="32"/>
        </w:rPr>
      </w:pPr>
      <w:r>
        <w:rPr>
          <w:rFonts w:hint="eastAsia" w:hAnsi="仿宋"/>
          <w:sz w:val="32"/>
          <w:szCs w:val="32"/>
        </w:rPr>
        <w:t>二十、灾害防治及应急管理（类）应急管理事务（款）一般行政管理事务（项）:</w:t>
      </w:r>
      <w:r>
        <w:rPr>
          <w:rFonts w:hAnsi="仿宋"/>
          <w:sz w:val="32"/>
          <w:szCs w:val="32"/>
        </w:rPr>
        <w:t xml:space="preserve"> 反映</w:t>
      </w:r>
      <w:r>
        <w:rPr>
          <w:rFonts w:hint="eastAsia" w:hAnsi="仿宋"/>
          <w:sz w:val="32"/>
          <w:szCs w:val="32"/>
        </w:rPr>
        <w:t>应急管理</w:t>
      </w:r>
      <w:r>
        <w:rPr>
          <w:rFonts w:hAnsi="仿宋"/>
          <w:sz w:val="32"/>
          <w:szCs w:val="32"/>
        </w:rPr>
        <w:t>行政单位（包括实行公务员管理的事业单位）未单独设置项级科目的其他项目支出。</w:t>
      </w:r>
    </w:p>
    <w:p w14:paraId="5B26F26F">
      <w:pPr>
        <w:pStyle w:val="23"/>
        <w:spacing w:line="600" w:lineRule="exact"/>
        <w:ind w:firstLine="640" w:firstLineChars="200"/>
        <w:rPr>
          <w:rFonts w:hAnsi="仿宋"/>
          <w:sz w:val="32"/>
          <w:szCs w:val="32"/>
        </w:rPr>
      </w:pPr>
      <w:r>
        <w:rPr>
          <w:rFonts w:hint="eastAsia" w:hAnsi="仿宋"/>
          <w:sz w:val="32"/>
          <w:szCs w:val="32"/>
        </w:rPr>
        <w:t>二十一、灾害防治及应急管理（类）应急管理事务（款）安全监管（项）:</w:t>
      </w:r>
      <w:r>
        <w:rPr>
          <w:rFonts w:hAnsi="仿宋"/>
          <w:sz w:val="32"/>
          <w:szCs w:val="32"/>
        </w:rPr>
        <w:t xml:space="preserve"> 反映</w:t>
      </w:r>
      <w:r>
        <w:rPr>
          <w:rFonts w:hint="eastAsia" w:hAnsi="仿宋"/>
          <w:sz w:val="32"/>
          <w:szCs w:val="32"/>
        </w:rPr>
        <w:t>安全生产监管方面的</w:t>
      </w:r>
      <w:r>
        <w:rPr>
          <w:rFonts w:hAnsi="仿宋"/>
          <w:sz w:val="32"/>
          <w:szCs w:val="32"/>
        </w:rPr>
        <w:t>支出。</w:t>
      </w:r>
    </w:p>
    <w:p w14:paraId="79E8ECF5">
      <w:pPr>
        <w:pStyle w:val="23"/>
        <w:spacing w:line="600" w:lineRule="exact"/>
        <w:ind w:firstLine="640" w:firstLineChars="200"/>
        <w:rPr>
          <w:rFonts w:hAnsi="仿宋"/>
          <w:sz w:val="32"/>
          <w:szCs w:val="32"/>
        </w:rPr>
      </w:pPr>
      <w:r>
        <w:rPr>
          <w:rFonts w:hint="eastAsia" w:hAnsi="仿宋"/>
          <w:sz w:val="32"/>
          <w:szCs w:val="32"/>
        </w:rPr>
        <w:t>二十二、灾害防治及应急管理（类）应急管理事务（款）事业运行（项）:</w:t>
      </w:r>
      <w:r>
        <w:rPr>
          <w:rFonts w:hAnsi="仿宋"/>
          <w:sz w:val="32"/>
          <w:szCs w:val="32"/>
        </w:rPr>
        <w:t xml:space="preserve"> 反映事业单位的基本支出，不包括行政单位（包括实行公务员管理的事业单位）后勤服务中心、医务室等附属事业单位。</w:t>
      </w:r>
    </w:p>
    <w:p w14:paraId="28247C5F">
      <w:pPr>
        <w:pStyle w:val="23"/>
        <w:spacing w:line="600" w:lineRule="exact"/>
        <w:ind w:firstLine="640" w:firstLineChars="200"/>
        <w:rPr>
          <w:rFonts w:hAnsi="仿宋"/>
          <w:sz w:val="32"/>
          <w:szCs w:val="32"/>
        </w:rPr>
      </w:pPr>
      <w:r>
        <w:rPr>
          <w:rFonts w:hint="eastAsia" w:hAnsi="仿宋"/>
          <w:sz w:val="32"/>
          <w:szCs w:val="32"/>
        </w:rPr>
        <w:t>二十三、灾害防治及应急管理（类）应急管理事务（款）其他应急管理支出（项）:</w:t>
      </w:r>
      <w:r>
        <w:rPr>
          <w:rFonts w:hAnsi="仿宋"/>
          <w:sz w:val="32"/>
          <w:szCs w:val="32"/>
        </w:rPr>
        <w:t xml:space="preserve"> 反映除上述项目外的其他应急管理方面的支出。</w:t>
      </w:r>
    </w:p>
    <w:p w14:paraId="29BF7D55">
      <w:pPr>
        <w:pStyle w:val="23"/>
        <w:spacing w:line="600" w:lineRule="exact"/>
        <w:ind w:firstLine="640" w:firstLineChars="200"/>
        <w:rPr>
          <w:rFonts w:hAnsi="仿宋"/>
          <w:sz w:val="32"/>
          <w:szCs w:val="32"/>
        </w:rPr>
      </w:pPr>
      <w:r>
        <w:rPr>
          <w:rFonts w:hint="eastAsia" w:hAnsi="仿宋"/>
          <w:sz w:val="32"/>
          <w:szCs w:val="32"/>
        </w:rPr>
        <w:t>二十四、灾害防治及应急管理（类）地震事务（款）行政运行（项）:</w:t>
      </w:r>
      <w:r>
        <w:rPr>
          <w:rFonts w:hAnsi="仿宋"/>
          <w:sz w:val="32"/>
          <w:szCs w:val="32"/>
        </w:rPr>
        <w:t xml:space="preserve"> 反映</w:t>
      </w:r>
      <w:r>
        <w:rPr>
          <w:rFonts w:hint="eastAsia" w:hAnsi="仿宋"/>
          <w:sz w:val="32"/>
          <w:szCs w:val="32"/>
        </w:rPr>
        <w:t>行政单位（包括实行公务员管理的事业单位）的基本支出</w:t>
      </w:r>
      <w:r>
        <w:rPr>
          <w:rFonts w:hAnsi="仿宋"/>
          <w:sz w:val="32"/>
          <w:szCs w:val="32"/>
        </w:rPr>
        <w:t>。</w:t>
      </w:r>
    </w:p>
    <w:p w14:paraId="5B894E51">
      <w:pPr>
        <w:pStyle w:val="23"/>
        <w:spacing w:line="600" w:lineRule="exact"/>
        <w:ind w:firstLine="640" w:firstLineChars="200"/>
        <w:rPr>
          <w:rFonts w:hAnsi="仿宋"/>
          <w:sz w:val="32"/>
          <w:szCs w:val="32"/>
        </w:rPr>
      </w:pPr>
      <w:r>
        <w:rPr>
          <w:rFonts w:hint="eastAsia" w:hAnsi="仿宋"/>
          <w:sz w:val="32"/>
          <w:szCs w:val="32"/>
        </w:rPr>
        <w:t>二十五、灾害防治及应急管理（类）地震事务（款）一般行政管理事务（项）:</w:t>
      </w:r>
      <w:r>
        <w:rPr>
          <w:rFonts w:hAnsi="仿宋"/>
          <w:sz w:val="32"/>
          <w:szCs w:val="32"/>
        </w:rPr>
        <w:t xml:space="preserve"> 反映</w:t>
      </w:r>
      <w:r>
        <w:rPr>
          <w:rFonts w:hint="eastAsia" w:hAnsi="仿宋"/>
          <w:sz w:val="32"/>
          <w:szCs w:val="32"/>
        </w:rPr>
        <w:t>行政单位（包括实行公务员管理的事业单位）未单独设置项级科目的其他项目支出</w:t>
      </w:r>
      <w:r>
        <w:rPr>
          <w:rFonts w:hAnsi="仿宋"/>
          <w:sz w:val="32"/>
          <w:szCs w:val="32"/>
        </w:rPr>
        <w:t>。</w:t>
      </w:r>
    </w:p>
    <w:p w14:paraId="4857A3C6">
      <w:pPr>
        <w:pStyle w:val="23"/>
        <w:spacing w:line="600" w:lineRule="exact"/>
        <w:ind w:firstLine="640" w:firstLineChars="200"/>
        <w:rPr>
          <w:rFonts w:hAnsi="仿宋"/>
          <w:sz w:val="32"/>
          <w:szCs w:val="32"/>
        </w:rPr>
      </w:pPr>
      <w:r>
        <w:rPr>
          <w:rFonts w:hint="eastAsia" w:hAnsi="仿宋"/>
          <w:sz w:val="32"/>
          <w:szCs w:val="32"/>
        </w:rPr>
        <w:t>二十六、灾害防治及应急管理（类）地震事务（款）其他地震事务支出（项）:</w:t>
      </w:r>
      <w:r>
        <w:rPr>
          <w:rFonts w:hAnsi="仿宋"/>
          <w:sz w:val="32"/>
          <w:szCs w:val="32"/>
        </w:rPr>
        <w:t xml:space="preserve"> 反映</w:t>
      </w:r>
      <w:r>
        <w:rPr>
          <w:rFonts w:hint="eastAsia" w:hAnsi="仿宋"/>
          <w:sz w:val="32"/>
          <w:szCs w:val="32"/>
        </w:rPr>
        <w:t>除上述项目以外其他用于灾害防治及应急管理的支出</w:t>
      </w:r>
      <w:r>
        <w:rPr>
          <w:rFonts w:hAnsi="仿宋"/>
          <w:sz w:val="32"/>
          <w:szCs w:val="32"/>
        </w:rPr>
        <w:t>。</w:t>
      </w:r>
    </w:p>
    <w:p w14:paraId="1BAB04D7">
      <w:pPr>
        <w:pStyle w:val="23"/>
        <w:spacing w:line="600" w:lineRule="exact"/>
        <w:ind w:firstLine="640" w:firstLineChars="200"/>
        <w:rPr>
          <w:rFonts w:hAnsi="仿宋"/>
          <w:sz w:val="32"/>
          <w:szCs w:val="32"/>
        </w:rPr>
      </w:pPr>
      <w:r>
        <w:rPr>
          <w:rFonts w:hint="eastAsia" w:hAnsi="仿宋"/>
          <w:sz w:val="32"/>
          <w:szCs w:val="32"/>
        </w:rPr>
        <w:t>二十七、灾害防治及应急管理（类）自然灾害防治（款）地质灾害防治（项）:</w:t>
      </w:r>
      <w:r>
        <w:rPr>
          <w:rFonts w:hAnsi="仿宋"/>
          <w:sz w:val="32"/>
          <w:szCs w:val="32"/>
        </w:rPr>
        <w:t xml:space="preserve"> 反映</w:t>
      </w:r>
      <w:r>
        <w:rPr>
          <w:rFonts w:hint="eastAsia" w:hAnsi="仿宋"/>
          <w:sz w:val="32"/>
          <w:szCs w:val="32"/>
        </w:rPr>
        <w:t>防治地质灾害方面的支出</w:t>
      </w:r>
      <w:r>
        <w:rPr>
          <w:rFonts w:hAnsi="仿宋"/>
          <w:sz w:val="32"/>
          <w:szCs w:val="32"/>
        </w:rPr>
        <w:t>。</w:t>
      </w:r>
    </w:p>
    <w:p w14:paraId="3BE853E9">
      <w:pPr>
        <w:spacing w:line="600" w:lineRule="exact"/>
        <w:ind w:firstLine="640" w:firstLineChars="200"/>
        <w:rPr>
          <w:rFonts w:ascii="仿宋" w:hAnsi="仿宋" w:eastAsia="仿宋"/>
          <w:sz w:val="32"/>
          <w:szCs w:val="32"/>
        </w:rPr>
      </w:pPr>
      <w:r>
        <w:rPr>
          <w:rFonts w:hint="eastAsia" w:ascii="仿宋" w:hAnsi="仿宋" w:eastAsia="仿宋"/>
          <w:sz w:val="32"/>
          <w:szCs w:val="32"/>
        </w:rPr>
        <w:t>二十八、灾害防治及应急管理（类）自然灾害救灾及恢复重建支出（款）自然灾害救灾补助（项）:</w:t>
      </w:r>
      <w:r>
        <w:rPr>
          <w:rFonts w:ascii="仿宋" w:hAnsi="仿宋" w:eastAsia="仿宋"/>
          <w:sz w:val="32"/>
          <w:szCs w:val="32"/>
        </w:rPr>
        <w:t xml:space="preserve"> 反映用</w:t>
      </w:r>
      <w:r>
        <w:rPr>
          <w:rFonts w:hint="eastAsia" w:ascii="仿宋" w:hAnsi="仿宋" w:eastAsia="仿宋"/>
          <w:sz w:val="32"/>
          <w:szCs w:val="32"/>
        </w:rPr>
        <w:t>于</w:t>
      </w:r>
      <w:r>
        <w:rPr>
          <w:rFonts w:ascii="仿宋" w:hAnsi="仿宋" w:eastAsia="仿宋"/>
          <w:sz w:val="32"/>
          <w:szCs w:val="32"/>
        </w:rPr>
        <w:t>应对重大自然灾害应急救援和受灾群众救助的支出。</w:t>
      </w:r>
    </w:p>
    <w:p w14:paraId="336A9924">
      <w:pPr>
        <w:spacing w:line="600" w:lineRule="exact"/>
        <w:ind w:firstLine="640" w:firstLineChars="200"/>
        <w:rPr>
          <w:rFonts w:ascii="仿宋" w:hAnsi="仿宋" w:eastAsia="仿宋"/>
          <w:sz w:val="32"/>
          <w:szCs w:val="32"/>
        </w:rPr>
      </w:pPr>
      <w:r>
        <w:rPr>
          <w:rFonts w:hint="eastAsia" w:ascii="仿宋" w:hAnsi="仿宋" w:eastAsia="仿宋"/>
          <w:sz w:val="32"/>
          <w:szCs w:val="32"/>
        </w:rPr>
        <w:t>二十九、灾害防治及应急管理（类）其他灾害防治及应急管理（款）其他灾害防治及应急管理（项）:</w:t>
      </w:r>
      <w:r>
        <w:rPr>
          <w:rFonts w:ascii="仿宋" w:hAnsi="仿宋" w:eastAsia="仿宋"/>
          <w:sz w:val="32"/>
          <w:szCs w:val="32"/>
        </w:rPr>
        <w:t xml:space="preserve"> 反映除上述项目以外其他用</w:t>
      </w:r>
      <w:r>
        <w:rPr>
          <w:rFonts w:hint="eastAsia" w:ascii="仿宋" w:hAnsi="仿宋" w:eastAsia="仿宋"/>
          <w:sz w:val="32"/>
          <w:szCs w:val="32"/>
        </w:rPr>
        <w:t>于</w:t>
      </w:r>
      <w:r>
        <w:rPr>
          <w:rFonts w:ascii="仿宋" w:hAnsi="仿宋" w:eastAsia="仿宋"/>
          <w:sz w:val="32"/>
          <w:szCs w:val="32"/>
        </w:rPr>
        <w:t>灾害防治及应急管理的支出。</w:t>
      </w:r>
    </w:p>
    <w:p w14:paraId="2FD9165B">
      <w:pPr>
        <w:spacing w:line="600" w:lineRule="exact"/>
        <w:ind w:firstLine="640" w:firstLineChars="200"/>
        <w:rPr>
          <w:rFonts w:ascii="仿宋" w:hAnsi="仿宋" w:eastAsia="仿宋"/>
          <w:sz w:val="32"/>
          <w:szCs w:val="32"/>
        </w:rPr>
      </w:pPr>
      <w:r>
        <w:rPr>
          <w:rFonts w:hint="eastAsia" w:ascii="仿宋" w:hAnsi="仿宋" w:eastAsia="仿宋"/>
          <w:sz w:val="32"/>
          <w:szCs w:val="32"/>
        </w:rPr>
        <w:t>三十、基本支出：指为保障机构正常运转、完成日常工作任务而发生的人员支出和公用支出。</w:t>
      </w:r>
    </w:p>
    <w:p w14:paraId="462C0130">
      <w:pPr>
        <w:spacing w:line="600" w:lineRule="exact"/>
        <w:ind w:firstLine="640" w:firstLineChars="200"/>
        <w:rPr>
          <w:rFonts w:ascii="仿宋" w:hAnsi="仿宋" w:eastAsia="仿宋"/>
          <w:sz w:val="32"/>
          <w:szCs w:val="32"/>
        </w:rPr>
      </w:pPr>
      <w:r>
        <w:rPr>
          <w:rFonts w:hint="eastAsia" w:ascii="仿宋" w:hAnsi="仿宋" w:eastAsia="仿宋"/>
          <w:sz w:val="32"/>
          <w:szCs w:val="32"/>
        </w:rPr>
        <w:t>三十一、项目支出：指在基本支出之外为完成特定行政任务和事业发展目标所发生的支出。</w:t>
      </w:r>
    </w:p>
    <w:p w14:paraId="310D15F3">
      <w:pPr>
        <w:spacing w:line="600" w:lineRule="exact"/>
        <w:ind w:firstLine="640" w:firstLineChars="200"/>
        <w:rPr>
          <w:rFonts w:ascii="仿宋" w:hAnsi="仿宋" w:eastAsia="仿宋"/>
          <w:sz w:val="32"/>
          <w:szCs w:val="32"/>
        </w:rPr>
      </w:pPr>
      <w:r>
        <w:rPr>
          <w:rFonts w:hint="eastAsia" w:ascii="仿宋" w:hAnsi="仿宋" w:eastAsia="仿宋"/>
          <w:sz w:val="32"/>
          <w:szCs w:val="32"/>
        </w:rPr>
        <w:t>三十二、经营支出：指事业单位在专业业务活动及其辅助活动之外开展非独立核算经营活动发生的支出。</w:t>
      </w:r>
    </w:p>
    <w:p w14:paraId="3771A4B4">
      <w:pPr>
        <w:pStyle w:val="23"/>
        <w:spacing w:line="600" w:lineRule="exact"/>
        <w:ind w:firstLine="640" w:firstLineChars="200"/>
        <w:rPr>
          <w:rFonts w:hAnsi="仿宋"/>
          <w:color w:val="auto"/>
          <w:sz w:val="32"/>
          <w:szCs w:val="32"/>
        </w:rPr>
      </w:pPr>
      <w:r>
        <w:rPr>
          <w:rFonts w:hint="eastAsia" w:hAnsi="仿宋"/>
          <w:color w:val="auto"/>
          <w:sz w:val="32"/>
          <w:szCs w:val="32"/>
        </w:rPr>
        <w:t>三十三、“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4B8429">
      <w:pPr>
        <w:pStyle w:val="23"/>
        <w:spacing w:line="600" w:lineRule="exact"/>
        <w:ind w:firstLine="640" w:firstLineChars="200"/>
        <w:rPr>
          <w:rFonts w:hAnsi="仿宋"/>
          <w:color w:val="auto"/>
          <w:sz w:val="32"/>
          <w:szCs w:val="32"/>
        </w:rPr>
      </w:pPr>
      <w:r>
        <w:rPr>
          <w:rFonts w:hint="eastAsia" w:hAnsi="仿宋"/>
          <w:color w:val="auto"/>
          <w:sz w:val="32"/>
          <w:szCs w:val="32"/>
        </w:rPr>
        <w:t>三十四、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EC5C4C">
      <w:pPr>
        <w:pStyle w:val="23"/>
        <w:spacing w:line="600" w:lineRule="exact"/>
        <w:ind w:firstLine="640" w:firstLineChars="200"/>
        <w:rPr>
          <w:rFonts w:ascii="仿宋_GB2312" w:eastAsia="仿宋_GB2312" w:cs="黑体"/>
          <w:color w:val="auto"/>
          <w:sz w:val="32"/>
          <w:szCs w:val="32"/>
        </w:rPr>
      </w:pPr>
    </w:p>
    <w:p w14:paraId="40F9822C">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（名词解释部分请根据各部门实际列支情况罗列，并根据本部门职责职能增减名词解释内容。）</w:t>
      </w:r>
    </w:p>
    <w:p w14:paraId="1E9FE493">
      <w:pPr>
        <w:spacing w:line="600" w:lineRule="exact"/>
        <w:jc w:val="center"/>
        <w:outlineLvl w:val="0"/>
        <w:rPr>
          <w:rStyle w:val="25"/>
          <w:rFonts w:ascii="方正小标宋_GBK" w:hAnsi="方正小标宋_GBK" w:eastAsia="方正小标宋_GBK" w:cs="方正小标宋_GBK"/>
          <w:b w:val="0"/>
          <w:bCs w:val="0"/>
        </w:rPr>
      </w:pPr>
      <w:bookmarkStart w:id="55" w:name="_Toc15377226"/>
      <w:r>
        <w:rPr>
          <w:rFonts w:ascii="宋体"/>
          <w:b/>
          <w:sz w:val="44"/>
          <w:szCs w:val="44"/>
        </w:rPr>
        <w:br w:type="page"/>
      </w:r>
      <w:bookmarkStart w:id="56" w:name="_Toc15396614"/>
      <w:r>
        <w:rPr>
          <w:rFonts w:hint="eastAsia" w:ascii="方正小标宋_GBK" w:hAnsi="方正小标宋_GBK" w:eastAsia="方正小标宋_GBK" w:cs="方正小标宋_GBK"/>
          <w:sz w:val="44"/>
          <w:szCs w:val="44"/>
        </w:rPr>
        <w:t>第</w:t>
      </w:r>
      <w:r>
        <w:rPr>
          <w:rStyle w:val="25"/>
          <w:rFonts w:hint="eastAsia" w:ascii="方正小标宋_GBK" w:hAnsi="方正小标宋_GBK" w:eastAsia="方正小标宋_GBK" w:cs="方正小标宋_GBK"/>
          <w:b w:val="0"/>
          <w:bCs w:val="0"/>
        </w:rPr>
        <w:t>四部分 附件</w:t>
      </w:r>
      <w:bookmarkEnd w:id="56"/>
    </w:p>
    <w:p w14:paraId="711A66F0">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4EAB6A45">
      <w:pPr>
        <w:spacing w:line="600"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峨眉山市应急管理局</w:t>
      </w:r>
      <w:r>
        <w:rPr>
          <w:rFonts w:ascii="方正小标宋简体" w:hAnsi="宋体" w:eastAsia="方正小标宋简体"/>
          <w:kern w:val="0"/>
          <w:sz w:val="40"/>
          <w:szCs w:val="44"/>
        </w:rPr>
        <w:t>202</w:t>
      </w:r>
      <w:r>
        <w:rPr>
          <w:rFonts w:hint="eastAsia" w:ascii="方正小标宋简体" w:hAnsi="宋体" w:eastAsia="方正小标宋简体"/>
          <w:kern w:val="0"/>
          <w:sz w:val="40"/>
          <w:szCs w:val="44"/>
        </w:rPr>
        <w:t>1年部门</w:t>
      </w:r>
      <w:r>
        <w:rPr>
          <w:rFonts w:hint="eastAsia" w:ascii="方正小标宋简体" w:hAnsi="宋体" w:eastAsia="方正小标宋简体"/>
          <w:kern w:val="0"/>
          <w:sz w:val="40"/>
          <w:szCs w:val="44"/>
          <w:lang w:val="zh-CN"/>
        </w:rPr>
        <w:t>整体支出绩效评价报告（汇总）</w:t>
      </w:r>
    </w:p>
    <w:p w14:paraId="233DF647">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14:paraId="096DEC3B">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103C1D8C">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14:paraId="09795597">
      <w:pPr>
        <w:spacing w:line="600" w:lineRule="exact"/>
        <w:ind w:firstLine="640" w:firstLineChars="200"/>
        <w:rPr>
          <w:rFonts w:ascii="仿宋" w:hAnsi="仿宋" w:eastAsia="仿宋"/>
          <w:lang w:val="zh-CN"/>
        </w:rPr>
      </w:pPr>
      <w:r>
        <w:rPr>
          <w:rFonts w:hint="eastAsia" w:ascii="仿宋" w:hAnsi="仿宋" w:eastAsia="仿宋"/>
          <w:sz w:val="32"/>
          <w:szCs w:val="32"/>
        </w:rPr>
        <w:t>峨眉山市应急管理局下属二级预算单位1个，其中参照公务员法管理的事业单位1个，主要包括：峨眉山市防震减灾服务中心。</w:t>
      </w:r>
    </w:p>
    <w:p w14:paraId="207C7FF4">
      <w:pPr>
        <w:widowControl/>
        <w:numPr>
          <w:ilvl w:val="0"/>
          <w:numId w:val="4"/>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机构职能</w:t>
      </w:r>
    </w:p>
    <w:p w14:paraId="7052006E">
      <w:pPr>
        <w:spacing w:line="600" w:lineRule="exact"/>
        <w:ind w:firstLine="640" w:firstLineChars="200"/>
        <w:rPr>
          <w:rFonts w:ascii="仿宋" w:hAnsi="仿宋" w:eastAsia="仿宋"/>
        </w:rPr>
      </w:pPr>
      <w:r>
        <w:rPr>
          <w:rFonts w:ascii="仿宋" w:hAnsi="仿宋" w:eastAsia="仿宋"/>
          <w:sz w:val="32"/>
          <w:szCs w:val="32"/>
        </w:rPr>
        <w:t>1.</w:t>
      </w:r>
      <w:r>
        <w:rPr>
          <w:rFonts w:hint="eastAsia" w:ascii="仿宋" w:hAnsi="仿宋" w:eastAsia="仿宋"/>
          <w:sz w:val="32"/>
          <w:szCs w:val="32"/>
        </w:rPr>
        <w:t>负责应急管理工作，组织和指导各乡镇、</w:t>
      </w:r>
      <w:r>
        <w:rPr>
          <w:rFonts w:hint="eastAsia" w:ascii="仿宋" w:hAnsi="仿宋" w:eastAsia="仿宋"/>
          <w:sz w:val="32"/>
        </w:rPr>
        <w:t>各部门应对安全生产类、自然</w:t>
      </w:r>
      <w:r>
        <w:rPr>
          <w:rFonts w:hint="eastAsia" w:ascii="仿宋" w:hAnsi="仿宋" w:eastAsia="仿宋"/>
          <w:sz w:val="32"/>
          <w:szCs w:val="32"/>
        </w:rPr>
        <w:t>灾害类等突发事件和综合防灾减灾救灾工作。负责安全生产综合监督管理和工矿</w:t>
      </w:r>
      <w:r>
        <w:rPr>
          <w:rFonts w:hint="eastAsia" w:ascii="仿宋" w:hAnsi="仿宋" w:eastAsia="仿宋"/>
          <w:sz w:val="32"/>
        </w:rPr>
        <w:t>商贸、煤炭行业安全生产监督管理工作。</w:t>
      </w:r>
      <w:r>
        <w:rPr>
          <w:rFonts w:ascii="仿宋" w:hAnsi="仿宋" w:eastAsia="仿宋"/>
          <w:sz w:val="32"/>
        </w:rPr>
        <w:t>2.</w:t>
      </w:r>
      <w:r>
        <w:rPr>
          <w:rFonts w:hint="eastAsia" w:ascii="仿宋" w:hAnsi="仿宋" w:eastAsia="仿宋"/>
          <w:sz w:val="32"/>
        </w:rPr>
        <w:t>拟订应急管理、安全生产等政策措施，组织编制应急体系建设、安全生产和综合防灾减灾规划，拟订相关规范性文件。</w:t>
      </w:r>
    </w:p>
    <w:p w14:paraId="47C594F3">
      <w:pPr>
        <w:spacing w:line="560" w:lineRule="exact"/>
        <w:jc w:val="left"/>
        <w:rPr>
          <w:rFonts w:ascii="仿宋" w:hAnsi="仿宋" w:eastAsia="仿宋"/>
          <w:lang w:val="zh-CN"/>
        </w:rPr>
      </w:pPr>
      <w:r>
        <w:rPr>
          <w:rFonts w:ascii="仿宋" w:hAnsi="仿宋" w:eastAsia="仿宋"/>
          <w:sz w:val="32"/>
        </w:rPr>
        <w:t>3.</w:t>
      </w:r>
      <w:r>
        <w:rPr>
          <w:rFonts w:hint="eastAsia" w:ascii="仿宋" w:hAnsi="仿宋" w:eastAsia="仿宋"/>
          <w:sz w:val="32"/>
        </w:rPr>
        <w:t>负责组织、指导应急预案体系建设，建立完善事故灾难和自然灾害分级应对制度，牵头组织编制综合应急防灾减灾预案和安全生产类、自然灾害类专项预案，负责应急预案衔接工作，组织开展预案演练，推动应急避难设施建设。</w:t>
      </w:r>
      <w:r>
        <w:rPr>
          <w:rFonts w:ascii="仿宋" w:hAnsi="仿宋" w:eastAsia="仿宋"/>
          <w:sz w:val="32"/>
        </w:rPr>
        <w:t>4.</w:t>
      </w:r>
      <w:r>
        <w:rPr>
          <w:rFonts w:hint="eastAsia" w:ascii="仿宋" w:hAnsi="仿宋" w:eastAsia="仿宋"/>
          <w:sz w:val="32"/>
        </w:rPr>
        <w:t>牵头建立统一的应急管理信息系统，负责信息传输渠道的规划和布局，建立监测预警和灾情报告制度，健全自然灾害信息资源获取和共享机制，依法统一发布灾情。</w:t>
      </w:r>
      <w:r>
        <w:rPr>
          <w:rFonts w:ascii="仿宋" w:hAnsi="仿宋" w:eastAsia="仿宋"/>
          <w:sz w:val="32"/>
        </w:rPr>
        <w:t>5.</w:t>
      </w:r>
      <w:r>
        <w:rPr>
          <w:rFonts w:hint="eastAsia" w:ascii="仿宋" w:hAnsi="仿宋" w:eastAsia="仿宋"/>
          <w:sz w:val="32"/>
        </w:rPr>
        <w:t>负责组织、指导、协调安全生产类、自然灾害类等突发事件应急救援的有关工作，承担全市应对一般及以上灾害指挥部工作，综合研判突发事件发展态势并提出应对建议，负责组织一般及以上灾害应急处置工作。</w:t>
      </w:r>
      <w:r>
        <w:rPr>
          <w:rFonts w:ascii="仿宋" w:hAnsi="仿宋" w:eastAsia="仿宋"/>
          <w:sz w:val="32"/>
        </w:rPr>
        <w:t>6.</w:t>
      </w:r>
      <w:r>
        <w:rPr>
          <w:rFonts w:hint="eastAsia" w:ascii="仿宋" w:hAnsi="仿宋" w:eastAsia="仿宋"/>
          <w:sz w:val="32"/>
        </w:rPr>
        <w:t>统一协调指挥各类应急队伍，建立应急协调联动机制，推进指挥平台对接，提请衔接解放军和武警部队参与应急救援工作。</w:t>
      </w:r>
      <w:r>
        <w:rPr>
          <w:rFonts w:ascii="仿宋" w:hAnsi="仿宋" w:eastAsia="仿宋"/>
          <w:sz w:val="32"/>
        </w:rPr>
        <w:t>7.</w:t>
      </w:r>
      <w:r>
        <w:rPr>
          <w:rFonts w:hint="eastAsia" w:ascii="仿宋" w:hAnsi="仿宋" w:eastAsia="仿宋"/>
          <w:sz w:val="32"/>
        </w:rPr>
        <w:t>按照国家相关政策和规定负责消防、森林火灾扑救、抗洪抢险、地震和地质灾害救援、生产安全事故救援等专业应急救援力量建设，依法依规统筹指导各类应急救援力量和保障能力建设。</w:t>
      </w:r>
      <w:r>
        <w:rPr>
          <w:rFonts w:ascii="仿宋" w:hAnsi="仿宋" w:eastAsia="仿宋"/>
          <w:sz w:val="32"/>
        </w:rPr>
        <w:t>8.</w:t>
      </w:r>
      <w:r>
        <w:rPr>
          <w:rFonts w:hint="eastAsia" w:ascii="仿宋" w:hAnsi="仿宋" w:eastAsia="仿宋"/>
          <w:sz w:val="32"/>
        </w:rPr>
        <w:t>按照上级相关政策和市委、市政府相关规定负责消防工作，组织和指导消防监督、火灾预防、火灾扑救等工作。</w:t>
      </w:r>
      <w:r>
        <w:rPr>
          <w:rFonts w:ascii="仿宋" w:hAnsi="仿宋" w:eastAsia="仿宋"/>
          <w:sz w:val="32"/>
        </w:rPr>
        <w:t>9.</w:t>
      </w:r>
      <w:r>
        <w:rPr>
          <w:rFonts w:hint="eastAsia" w:ascii="仿宋" w:hAnsi="仿宋" w:eastAsia="仿宋"/>
          <w:sz w:val="32"/>
        </w:rPr>
        <w:t>负责自然灾害综合监测预警工作，承担自然灾害综合风险评估工作，指导协调森林火灾、水旱灾害、地震和地质灾害等防治工作。</w:t>
      </w:r>
      <w:r>
        <w:rPr>
          <w:rFonts w:ascii="仿宋" w:hAnsi="仿宋" w:eastAsia="仿宋"/>
          <w:sz w:val="32"/>
        </w:rPr>
        <w:t>10.</w:t>
      </w:r>
      <w:r>
        <w:rPr>
          <w:rFonts w:hint="eastAsia" w:ascii="仿宋" w:hAnsi="仿宋" w:eastAsia="仿宋"/>
          <w:sz w:val="32"/>
        </w:rPr>
        <w:t>负责组织、协调灾害救助工作。组织和指导灾情核查、损失评估、救灾捐赠工作，管理、分配中央、省、乐山市下拨及市本级救灾款物并监督使用。</w:t>
      </w:r>
      <w:r>
        <w:rPr>
          <w:rFonts w:ascii="仿宋" w:hAnsi="仿宋" w:eastAsia="仿宋"/>
          <w:sz w:val="32"/>
        </w:rPr>
        <w:t>11.</w:t>
      </w:r>
      <w:r>
        <w:rPr>
          <w:rFonts w:hint="eastAsia" w:ascii="仿宋" w:hAnsi="仿宋" w:eastAsia="仿宋"/>
          <w:sz w:val="32"/>
        </w:rPr>
        <w:t>依法承担市政府安全生产综合监督管理责任，指导协调、监督检查市级有关部门和各乡镇人民政府安全生产工作，组织开展安全生产巡查、考核工作。</w:t>
      </w:r>
      <w:r>
        <w:rPr>
          <w:rFonts w:ascii="仿宋" w:hAnsi="仿宋" w:eastAsia="仿宋"/>
          <w:sz w:val="32"/>
        </w:rPr>
        <w:t>12.</w:t>
      </w:r>
      <w:r>
        <w:rPr>
          <w:rFonts w:hint="eastAsia" w:ascii="仿宋" w:hAnsi="仿宋" w:eastAsia="仿宋"/>
          <w:sz w:val="32"/>
        </w:rPr>
        <w:t>按照分级、属地原则，依法监督检查工矿商贸生产经营单位贯彻执行安全生产法律法规情况及其安全生产条件和有关设备（特种设备除外）、材料、劳动防护用品的安全生产管理工作。协助上级应急管理部门做好中央和省、乐山市在我市工矿商贸企业安全生产监督管理工作。</w:t>
      </w:r>
      <w:r>
        <w:rPr>
          <w:rFonts w:ascii="仿宋" w:hAnsi="仿宋" w:eastAsia="仿宋"/>
          <w:sz w:val="32"/>
        </w:rPr>
        <w:t>13.</w:t>
      </w:r>
      <w:r>
        <w:rPr>
          <w:rFonts w:hint="eastAsia" w:ascii="仿宋" w:hAnsi="仿宋" w:eastAsia="仿宋"/>
          <w:sz w:val="32"/>
        </w:rPr>
        <w:t>承担煤矿、非煤矿山、危险化学品、非药品类易制毒化学品和烟花爆竹等生产经营单位安全生产准入管理责任。负责危险化学品安全监督管理综合工作和烟花爆竹安全生产监督管理工作。</w:t>
      </w:r>
      <w:r>
        <w:rPr>
          <w:rFonts w:ascii="仿宋" w:hAnsi="仿宋" w:eastAsia="仿宋"/>
          <w:sz w:val="32"/>
        </w:rPr>
        <w:t>14.</w:t>
      </w:r>
      <w:r>
        <w:rPr>
          <w:rFonts w:hint="eastAsia" w:ascii="仿宋" w:hAnsi="仿宋" w:eastAsia="仿宋"/>
          <w:sz w:val="32"/>
        </w:rPr>
        <w:t>拟订煤炭产业发展计划，组织实施准入条件、行业标准，按权限审核、上报煤炭项目并负责建设管理，负责煤炭生产协调和监督管理，负责煤炭行业结构调整与产业升级，负责煤矿瓦斯等级鉴定、瓦斯治理与利用，推进煤炭体制改革。</w:t>
      </w:r>
      <w:r>
        <w:rPr>
          <w:rFonts w:ascii="仿宋" w:hAnsi="仿宋" w:eastAsia="仿宋"/>
          <w:sz w:val="32"/>
        </w:rPr>
        <w:t>15.</w:t>
      </w:r>
      <w:r>
        <w:rPr>
          <w:rFonts w:hint="eastAsia" w:ascii="仿宋" w:hAnsi="仿宋" w:eastAsia="仿宋"/>
          <w:sz w:val="32"/>
        </w:rPr>
        <w:t>承担煤矿安全生产监督管理责任，依法监督检查煤矿企业贯彻执行安全生产法律法规情况及安全生产条件和有关设备（特种设备除外）、材料、劳动防护用品的安全生产管理工作。负责组织、指导煤矿企业安全专项整治、安全标准化、瓦斯和水害防治及相关安全科技发展工作，参与煤矿事故抢险救援和调查处理。</w:t>
      </w:r>
      <w:r>
        <w:rPr>
          <w:rFonts w:ascii="仿宋" w:hAnsi="仿宋" w:eastAsia="仿宋"/>
          <w:sz w:val="32"/>
        </w:rPr>
        <w:t>16.</w:t>
      </w:r>
      <w:r>
        <w:rPr>
          <w:rFonts w:hint="eastAsia" w:ascii="仿宋" w:hAnsi="仿宋" w:eastAsia="仿宋"/>
          <w:sz w:val="32"/>
        </w:rPr>
        <w:t>依法组织、指导安全生产事故调查处理，监督事故查处和责任追究落实情况。组织开展自然灾害类突发事件的调查评估工作。</w:t>
      </w:r>
      <w:r>
        <w:rPr>
          <w:rFonts w:ascii="仿宋" w:hAnsi="仿宋" w:eastAsia="仿宋"/>
          <w:sz w:val="32"/>
        </w:rPr>
        <w:t>17.</w:t>
      </w:r>
      <w:r>
        <w:rPr>
          <w:rFonts w:hint="eastAsia" w:ascii="仿宋" w:hAnsi="仿宋" w:eastAsia="仿宋"/>
          <w:sz w:val="32"/>
        </w:rPr>
        <w:t>开展应急管理和安全生产方面的交流与合作，组织参与安全生产类、自然灾害类等突发事件的跨区域救援工作。</w:t>
      </w:r>
      <w:r>
        <w:rPr>
          <w:rFonts w:ascii="仿宋" w:hAnsi="仿宋" w:eastAsia="仿宋"/>
          <w:sz w:val="32"/>
        </w:rPr>
        <w:t>18.</w:t>
      </w:r>
      <w:r>
        <w:rPr>
          <w:rFonts w:hint="eastAsia" w:ascii="仿宋" w:hAnsi="仿宋" w:eastAsia="仿宋"/>
          <w:sz w:val="32"/>
        </w:rPr>
        <w:t>制定应急物资储备和应急救援装备规划并组织实施，会同有关部门建立健全应急物资信息平台和调拨制度，在救灾时统一调度。</w:t>
      </w:r>
      <w:r>
        <w:rPr>
          <w:rFonts w:ascii="仿宋" w:hAnsi="仿宋" w:eastAsia="仿宋"/>
          <w:sz w:val="32"/>
        </w:rPr>
        <w:t>19.</w:t>
      </w:r>
      <w:r>
        <w:rPr>
          <w:rFonts w:hint="eastAsia" w:ascii="仿宋" w:hAnsi="仿宋" w:eastAsia="仿宋"/>
          <w:sz w:val="32"/>
        </w:rPr>
        <w:t>负责应急管理、安全生产宣传教育和培训工作，组织和指导应急管理、安全生产的科学技术研究、推广应用和信息化建设工作。</w:t>
      </w:r>
      <w:r>
        <w:rPr>
          <w:rFonts w:ascii="仿宋" w:hAnsi="仿宋" w:eastAsia="仿宋"/>
          <w:sz w:val="32"/>
        </w:rPr>
        <w:t>20.</w:t>
      </w:r>
      <w:r>
        <w:rPr>
          <w:rFonts w:hint="eastAsia" w:ascii="仿宋" w:hAnsi="仿宋" w:eastAsia="仿宋"/>
          <w:sz w:val="32"/>
        </w:rPr>
        <w:t>负责职责范围内的职业健康、生态环境保护、审批服务便民化工作。</w:t>
      </w:r>
      <w:r>
        <w:rPr>
          <w:rFonts w:hint="eastAsia" w:ascii="仿宋" w:hAnsi="仿宋" w:eastAsia="仿宋"/>
          <w:sz w:val="32"/>
          <w:szCs w:val="32"/>
        </w:rPr>
        <w:t>23.贯彻国务院、四川省和乐山市有关防震减灾工作的方针、政策和法规。24.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w:t>
      </w:r>
      <w:r>
        <w:rPr>
          <w:rFonts w:ascii="仿宋" w:hAnsi="仿宋" w:eastAsia="仿宋"/>
          <w:sz w:val="32"/>
        </w:rPr>
        <w:t>2</w:t>
      </w:r>
      <w:r>
        <w:rPr>
          <w:rFonts w:hint="eastAsia" w:ascii="仿宋" w:hAnsi="仿宋" w:eastAsia="仿宋"/>
          <w:sz w:val="32"/>
        </w:rPr>
        <w:t>9</w:t>
      </w:r>
      <w:r>
        <w:rPr>
          <w:rFonts w:ascii="仿宋" w:hAnsi="仿宋" w:eastAsia="仿宋"/>
          <w:sz w:val="32"/>
        </w:rPr>
        <w:t>.</w:t>
      </w:r>
      <w:r>
        <w:rPr>
          <w:rFonts w:hint="eastAsia" w:ascii="仿宋" w:hAnsi="仿宋" w:eastAsia="仿宋"/>
          <w:sz w:val="32"/>
        </w:rPr>
        <w:t>完成市委、市政府交办的其他工作。</w:t>
      </w:r>
    </w:p>
    <w:p w14:paraId="5E2CF779">
      <w:pPr>
        <w:widowControl/>
        <w:adjustRightInd w:val="0"/>
        <w:snapToGrid w:val="0"/>
        <w:spacing w:line="600" w:lineRule="exact"/>
        <w:ind w:firstLine="640" w:firstLineChars="200"/>
        <w:contextualSpacing/>
        <w:jc w:val="left"/>
        <w:rPr>
          <w:rFonts w:ascii="楷体_GB2312" w:hAnsi="楷体_GB2312" w:eastAsia="楷体_GB2312" w:cs="楷体_GB2312"/>
          <w:color w:val="000000" w:themeColor="text1"/>
          <w:kern w:val="0"/>
          <w:sz w:val="32"/>
          <w:szCs w:val="32"/>
          <w:shd w:val="clear" w:color="auto" w:fill="FFFFFF"/>
          <w:lang w:val="zh-CN"/>
        </w:rPr>
      </w:pPr>
      <w:r>
        <w:rPr>
          <w:rFonts w:hint="eastAsia" w:ascii="楷体_GB2312" w:hAnsi="楷体_GB2312" w:eastAsia="楷体_GB2312" w:cs="楷体_GB2312"/>
          <w:color w:val="000000" w:themeColor="text1"/>
          <w:kern w:val="0"/>
          <w:sz w:val="32"/>
          <w:szCs w:val="32"/>
          <w:shd w:val="clear" w:color="auto" w:fill="FFFFFF"/>
          <w:lang w:val="zh-CN"/>
        </w:rPr>
        <w:t>（三）人员概况</w:t>
      </w:r>
    </w:p>
    <w:p w14:paraId="352C6316">
      <w:pPr>
        <w:spacing w:line="580" w:lineRule="exact"/>
        <w:ind w:firstLine="640" w:firstLineChars="200"/>
        <w:rPr>
          <w:rFonts w:ascii="仿宋" w:hAnsi="仿宋" w:eastAsia="仿宋"/>
          <w:color w:val="000000" w:themeColor="text1"/>
          <w:lang w:val="zh-CN"/>
        </w:rPr>
      </w:pPr>
      <w:r>
        <w:rPr>
          <w:rFonts w:hint="eastAsia" w:ascii="仿宋" w:hAnsi="仿宋" w:eastAsia="仿宋"/>
          <w:color w:val="000000" w:themeColor="text1"/>
          <w:sz w:val="32"/>
        </w:rPr>
        <w:t>2021年年末峨眉山市应急管理局部门行政人员18名，机关工勤人员2名，参照公务法管理9名，事业人员10名。</w:t>
      </w:r>
    </w:p>
    <w:p w14:paraId="0F40FA6C">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161A865B">
      <w:pPr>
        <w:spacing w:line="600" w:lineRule="exact"/>
        <w:ind w:firstLine="640" w:firstLineChars="200"/>
        <w:outlineLvl w:val="1"/>
        <w:rPr>
          <w:rFonts w:ascii="仿宋" w:hAnsi="仿宋" w:eastAsia="仿宋" w:cs="仿宋_GB2312"/>
          <w:sz w:val="32"/>
          <w:szCs w:val="32"/>
        </w:rPr>
      </w:pPr>
      <w:r>
        <w:rPr>
          <w:rFonts w:hint="eastAsia" w:ascii="仿宋" w:hAnsi="仿宋" w:eastAsia="仿宋" w:cs="楷体_GB2312"/>
          <w:kern w:val="0"/>
          <w:sz w:val="32"/>
          <w:szCs w:val="32"/>
          <w:shd w:val="clear" w:color="auto" w:fill="FFFFFF"/>
          <w:lang w:val="zh-CN"/>
        </w:rPr>
        <w:t>（一）</w:t>
      </w:r>
      <w:r>
        <w:rPr>
          <w:rFonts w:hint="eastAsia" w:ascii="仿宋" w:hAnsi="仿宋" w:eastAsia="仿宋" w:cs="仿宋_GB2312"/>
          <w:sz w:val="32"/>
          <w:szCs w:val="32"/>
        </w:rPr>
        <w:t>2021年本年收入合计5215.97万元，其中：一般公共预算财政拨款收入2513.79万元，政府性基金预算财政拨款收入2702.18万元。</w:t>
      </w:r>
    </w:p>
    <w:p w14:paraId="4306DE46">
      <w:pPr>
        <w:widowControl/>
        <w:adjustRightInd w:val="0"/>
        <w:snapToGrid w:val="0"/>
        <w:spacing w:line="600" w:lineRule="exact"/>
        <w:ind w:firstLine="640" w:firstLineChars="200"/>
        <w:contextualSpacing/>
        <w:jc w:val="left"/>
        <w:rPr>
          <w:rFonts w:ascii="仿宋" w:hAnsi="仿宋" w:eastAsia="仿宋" w:cs="楷体_GB2312"/>
          <w:kern w:val="0"/>
          <w:sz w:val="32"/>
          <w:szCs w:val="32"/>
          <w:shd w:val="clear" w:color="auto" w:fill="FFFFFF"/>
          <w:lang w:val="zh-CN"/>
        </w:rPr>
      </w:pPr>
      <w:r>
        <w:rPr>
          <w:rFonts w:hint="eastAsia" w:ascii="仿宋" w:hAnsi="仿宋" w:eastAsia="仿宋" w:cs="楷体_GB2312"/>
          <w:kern w:val="0"/>
          <w:sz w:val="32"/>
          <w:szCs w:val="32"/>
          <w:shd w:val="clear" w:color="auto" w:fill="FFFFFF"/>
          <w:lang w:val="zh-CN"/>
        </w:rPr>
        <w:t>（二）</w:t>
      </w:r>
      <w:r>
        <w:rPr>
          <w:rFonts w:hint="eastAsia" w:ascii="仿宋" w:hAnsi="仿宋" w:eastAsia="仿宋" w:cs="仿宋_GB2312"/>
          <w:sz w:val="32"/>
          <w:szCs w:val="32"/>
        </w:rPr>
        <w:t>2021年本年支出合计4359.56万元，其中：基本支出737.41万元，项目支出3622.15万元。</w:t>
      </w:r>
    </w:p>
    <w:p w14:paraId="2FDA7709">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14:paraId="6C59AFC6">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14:paraId="461AFBB3">
      <w:pPr>
        <w:widowControl/>
        <w:adjustRightInd w:val="0"/>
        <w:snapToGrid w:val="0"/>
        <w:spacing w:line="600"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1.预决算编制情况</w:t>
      </w:r>
    </w:p>
    <w:p w14:paraId="155E4895">
      <w:pPr>
        <w:widowControl/>
        <w:adjustRightInd w:val="0"/>
        <w:snapToGrid w:val="0"/>
        <w:spacing w:line="600"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1）按照峨眉山市关于编制2021年部门预算的通知和有关要求，按时完成基础库、项目库报送工作，按时完成预算编制工作并提交部门预算草案。峨眉山市应急管理局部门预算的编制符合《中华人民共和国预算法》和国家其他法律、法规的要求，对每一收支项目的数字指标进行认真测算，力求各项收支数据真实准确。对单位的各项财政资金和其他收入进行统一管理，统筹安排，统一编制综合财政预算。</w:t>
      </w:r>
    </w:p>
    <w:p w14:paraId="1DFCE985">
      <w:pPr>
        <w:widowControl/>
        <w:adjustRightInd w:val="0"/>
        <w:snapToGrid w:val="0"/>
        <w:spacing w:line="600"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2）2021年人员类预算执行数617.35万元，主要用于保障基本工资、津贴补贴、社保、住房公积金等人员经费；运转类预算执行数120.06万元，主要用于履行单位一般行政管理职能、维持机关日常高效运转；特定目标类预算执行数 3622.11</w:t>
      </w:r>
      <w:r>
        <w:rPr>
          <w:rFonts w:hint="eastAsia" w:ascii="仿宋" w:hAnsi="仿宋" w:eastAsia="仿宋" w:cs="宋体"/>
          <w:color w:val="000000" w:themeColor="text1"/>
          <w:kern w:val="0"/>
          <w:sz w:val="32"/>
          <w:szCs w:val="32"/>
          <w:shd w:val="clear" w:color="auto" w:fill="FFFFFF"/>
        </w:rPr>
        <w:t>万元</w:t>
      </w:r>
      <w:r>
        <w:rPr>
          <w:rFonts w:hint="eastAsia" w:ascii="仿宋" w:hAnsi="仿宋" w:eastAsia="仿宋" w:cs="宋体"/>
          <w:kern w:val="0"/>
          <w:sz w:val="32"/>
          <w:szCs w:val="32"/>
          <w:shd w:val="clear" w:color="auto" w:fill="FFFFFF"/>
        </w:rPr>
        <w:t>，主要用于煤矿关闭以奖代补资金、自然灾害生活救助、备灾点物资购买、安全发展示范城市创建。</w:t>
      </w:r>
    </w:p>
    <w:p w14:paraId="07346D82">
      <w:pPr>
        <w:widowControl/>
        <w:adjustRightInd w:val="0"/>
        <w:snapToGrid w:val="0"/>
        <w:spacing w:line="600"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支出控制</w:t>
      </w:r>
    </w:p>
    <w:p w14:paraId="7BC635C1">
      <w:pPr>
        <w:spacing w:line="600" w:lineRule="exact"/>
        <w:ind w:firstLine="640"/>
        <w:rPr>
          <w:rFonts w:ascii="仿宋" w:hAnsi="仿宋" w:eastAsia="仿宋"/>
          <w:lang w:val="zh-CN"/>
        </w:rPr>
      </w:pPr>
      <w:r>
        <w:rPr>
          <w:rFonts w:hint="eastAsia" w:ascii="仿宋" w:hAnsi="仿宋" w:eastAsia="仿宋" w:cs="仿宋_GB2312"/>
          <w:sz w:val="32"/>
          <w:szCs w:val="32"/>
        </w:rPr>
        <w:t>2021年“三公”经费支出11.39万元，完成预算100%，决算数与预算数持平。主要用于迎接各级检查、督查，涉及森林防灭火、安全生产、防震减灾、防汛抗旱等方面。</w:t>
      </w:r>
    </w:p>
    <w:p w14:paraId="6EF780B9">
      <w:pPr>
        <w:widowControl/>
        <w:numPr>
          <w:ilvl w:val="0"/>
          <w:numId w:val="5"/>
        </w:numPr>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及时处置</w:t>
      </w:r>
    </w:p>
    <w:p w14:paraId="3F93A4CA">
      <w:pPr>
        <w:pStyle w:val="2"/>
        <w:spacing w:before="72"/>
        <w:rPr>
          <w:rFonts w:ascii="仿宋" w:hAnsi="仿宋" w:eastAsia="仿宋"/>
        </w:rPr>
      </w:pPr>
      <w:r>
        <w:rPr>
          <w:rFonts w:hint="eastAsia" w:hAnsi="宋体" w:cs="宋体"/>
          <w:sz w:val="32"/>
          <w:szCs w:val="32"/>
          <w:shd w:val="clear" w:color="auto" w:fill="FFFFFF"/>
        </w:rPr>
        <w:t xml:space="preserve">    </w:t>
      </w:r>
      <w:r>
        <w:rPr>
          <w:rFonts w:hint="eastAsia" w:ascii="仿宋" w:hAnsi="仿宋" w:eastAsia="仿宋" w:cs="宋体"/>
          <w:sz w:val="32"/>
          <w:szCs w:val="32"/>
          <w:shd w:val="clear" w:color="auto" w:fill="FFFFFF"/>
        </w:rPr>
        <w:t>2021年开展绩效运行监控后，峨眉山市应急管理局结合实际工作需要，及时进行预算调整，年末结余注销额未超过部门年度预算总额10%。</w:t>
      </w:r>
    </w:p>
    <w:p w14:paraId="15DDEC4F">
      <w:pPr>
        <w:widowControl/>
        <w:numPr>
          <w:ilvl w:val="0"/>
          <w:numId w:val="5"/>
        </w:numPr>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执行进度</w:t>
      </w:r>
    </w:p>
    <w:p w14:paraId="54C43CAD">
      <w:pPr>
        <w:pStyle w:val="2"/>
        <w:spacing w:before="72"/>
        <w:rPr>
          <w:rFonts w:ascii="仿宋" w:hAnsi="仿宋" w:eastAsia="仿宋"/>
        </w:rPr>
      </w:pPr>
      <w:r>
        <w:rPr>
          <w:rFonts w:hint="eastAsia" w:hAnsi="宋体" w:cs="宋体"/>
          <w:sz w:val="32"/>
          <w:szCs w:val="32"/>
          <w:shd w:val="clear" w:color="auto" w:fill="FFFFFF"/>
        </w:rPr>
        <w:t xml:space="preserve">    </w:t>
      </w:r>
      <w:r>
        <w:rPr>
          <w:rFonts w:hint="eastAsia" w:ascii="仿宋" w:hAnsi="仿宋" w:eastAsia="仿宋" w:cs="宋体"/>
          <w:sz w:val="32"/>
          <w:szCs w:val="32"/>
          <w:shd w:val="clear" w:color="auto" w:fill="FFFFFF"/>
        </w:rPr>
        <w:t>峨眉山市应急管理局资金使用严格遵循财经制度的规定，有严格的财政资金拨付程序，项目资金严格按照合同约定及资金安排分阶段拨付，部门预算执行进度开展良好。</w:t>
      </w:r>
    </w:p>
    <w:p w14:paraId="3173C2EA">
      <w:pPr>
        <w:widowControl/>
        <w:numPr>
          <w:ilvl w:val="0"/>
          <w:numId w:val="5"/>
        </w:numPr>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预算完成情况</w:t>
      </w:r>
    </w:p>
    <w:p w14:paraId="0389CC47">
      <w:pPr>
        <w:pStyle w:val="2"/>
        <w:spacing w:before="72"/>
        <w:rPr>
          <w:rFonts w:ascii="仿宋" w:hAnsi="仿宋" w:eastAsia="仿宋"/>
        </w:rPr>
      </w:pPr>
      <w:r>
        <w:rPr>
          <w:rFonts w:hint="eastAsia" w:hAnsi="宋体" w:cs="宋体"/>
          <w:sz w:val="32"/>
          <w:szCs w:val="32"/>
          <w:shd w:val="clear" w:color="auto" w:fill="FFFFFF"/>
        </w:rPr>
        <w:t xml:space="preserve">    </w:t>
      </w:r>
      <w:r>
        <w:rPr>
          <w:rFonts w:hint="eastAsia" w:ascii="仿宋" w:hAnsi="仿宋" w:eastAsia="仿宋" w:cs="宋体"/>
          <w:sz w:val="32"/>
          <w:szCs w:val="32"/>
          <w:shd w:val="clear" w:color="auto" w:fill="FFFFFF"/>
        </w:rPr>
        <w:t>峨眉山市应急管理局2021年部门预算项目全年执行进度达到100%，预算执行进度情况良好。</w:t>
      </w:r>
    </w:p>
    <w:p w14:paraId="6F3546C9">
      <w:pPr>
        <w:widowControl/>
        <w:numPr>
          <w:ilvl w:val="0"/>
          <w:numId w:val="5"/>
        </w:numPr>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资金结余率</w:t>
      </w:r>
    </w:p>
    <w:p w14:paraId="0911E966">
      <w:pPr>
        <w:pStyle w:val="2"/>
        <w:spacing w:before="72"/>
        <w:rPr>
          <w:rFonts w:ascii="仿宋" w:hAnsi="仿宋" w:eastAsia="仿宋"/>
          <w:color w:val="000000" w:themeColor="text1"/>
        </w:rPr>
      </w:pPr>
      <w:r>
        <w:rPr>
          <w:rFonts w:hint="eastAsia"/>
        </w:rPr>
        <w:t xml:space="preserve">   </w:t>
      </w:r>
      <w:r>
        <w:rPr>
          <w:rFonts w:hint="eastAsia"/>
          <w:color w:val="000000" w:themeColor="text1"/>
        </w:rPr>
        <w:t xml:space="preserve"> 2</w:t>
      </w:r>
      <w:r>
        <w:rPr>
          <w:rFonts w:hint="eastAsia" w:ascii="仿宋" w:hAnsi="仿宋" w:eastAsia="仿宋"/>
          <w:color w:val="000000" w:themeColor="text1"/>
        </w:rPr>
        <w:t xml:space="preserve">021年结转资金1128.91万元，全部为一般公共预算财政拨款结转。    </w:t>
      </w:r>
    </w:p>
    <w:p w14:paraId="36FD0AFD">
      <w:pPr>
        <w:widowControl/>
        <w:numPr>
          <w:ilvl w:val="0"/>
          <w:numId w:val="5"/>
        </w:numPr>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违规记录</w:t>
      </w:r>
    </w:p>
    <w:p w14:paraId="24AFAA98">
      <w:pPr>
        <w:pStyle w:val="2"/>
        <w:spacing w:before="72"/>
        <w:rPr>
          <w:rFonts w:ascii="仿宋" w:hAnsi="仿宋" w:eastAsia="仿宋"/>
        </w:rPr>
      </w:pPr>
      <w:r>
        <w:rPr>
          <w:rFonts w:hint="eastAsia" w:hAnsi="宋体" w:cs="宋体"/>
          <w:sz w:val="32"/>
          <w:szCs w:val="32"/>
          <w:shd w:val="clear" w:color="auto" w:fill="FFFFFF"/>
        </w:rPr>
        <w:t xml:space="preserve">    </w:t>
      </w:r>
      <w:r>
        <w:rPr>
          <w:rFonts w:hint="eastAsia" w:ascii="仿宋" w:hAnsi="仿宋" w:eastAsia="仿宋" w:cs="宋体"/>
          <w:sz w:val="32"/>
          <w:szCs w:val="32"/>
          <w:shd w:val="clear" w:color="auto" w:fill="FFFFFF"/>
        </w:rPr>
        <w:t>峨眉山市应急管理局全系统2021年预算管理方面严格按照上级相关政策文件开展执行，市审计监督、财政部门检查结果合规。</w:t>
      </w:r>
    </w:p>
    <w:p w14:paraId="003797B6">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（二）结果应用情况</w:t>
      </w:r>
    </w:p>
    <w:p w14:paraId="565F2341">
      <w:pPr>
        <w:widowControl/>
        <w:adjustRightInd w:val="0"/>
        <w:snapToGrid w:val="0"/>
        <w:spacing w:line="600"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lang w:val="zh-CN"/>
        </w:rPr>
        <w:t>峨眉山市应急管理局</w:t>
      </w:r>
      <w:r>
        <w:rPr>
          <w:rFonts w:hint="eastAsia" w:ascii="仿宋" w:hAnsi="仿宋" w:eastAsia="仿宋" w:cs="宋体"/>
          <w:kern w:val="0"/>
          <w:sz w:val="32"/>
          <w:szCs w:val="32"/>
          <w:shd w:val="clear" w:color="auto" w:fill="FFFFFF"/>
        </w:rPr>
        <w:t>2021年将项目绩效管理纳入目标考核内容，对内设机构和下属单位进行履职情况考核。</w:t>
      </w:r>
    </w:p>
    <w:p w14:paraId="595899FC">
      <w:pPr>
        <w:widowControl/>
        <w:numPr>
          <w:ilvl w:val="0"/>
          <w:numId w:val="6"/>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自评质量</w:t>
      </w:r>
    </w:p>
    <w:p w14:paraId="2E4F49CD">
      <w:pPr>
        <w:widowControl/>
        <w:adjustRightInd w:val="0"/>
        <w:snapToGrid w:val="0"/>
        <w:spacing w:line="600" w:lineRule="exact"/>
        <w:contextualSpacing/>
        <w:jc w:val="left"/>
        <w:rPr>
          <w:rFonts w:ascii="仿宋" w:hAnsi="仿宋" w:eastAsia="仿宋"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w:t>
      </w:r>
      <w:r>
        <w:rPr>
          <w:rFonts w:hint="eastAsia" w:ascii="仿宋" w:hAnsi="仿宋" w:eastAsia="仿宋" w:cs="宋体"/>
          <w:kern w:val="0"/>
          <w:sz w:val="32"/>
          <w:szCs w:val="32"/>
          <w:shd w:val="clear" w:color="auto" w:fill="FFFFFF"/>
          <w:lang w:val="zh-CN"/>
        </w:rPr>
        <w:t>峨眉山市应急管理局按照各级部门要求进行项目自评并按时公开</w:t>
      </w:r>
      <w:r>
        <w:rPr>
          <w:rFonts w:hint="eastAsia" w:ascii="仿宋" w:hAnsi="仿宋" w:eastAsia="仿宋" w:cs="宋体"/>
          <w:kern w:val="0"/>
          <w:sz w:val="32"/>
          <w:szCs w:val="32"/>
          <w:shd w:val="clear" w:color="auto" w:fill="FFFFFF"/>
        </w:rPr>
        <w:t>。</w:t>
      </w:r>
    </w:p>
    <w:p w14:paraId="3BD6B695">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6CE723BF">
      <w:pPr>
        <w:widowControl/>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w:t>
      </w:r>
      <w:r>
        <w:rPr>
          <w:rFonts w:hint="eastAsia" w:ascii="楷体_GB2312" w:hAnsi="楷体_GB2312" w:eastAsia="楷体_GB2312" w:cs="楷体_GB2312"/>
          <w:kern w:val="0"/>
          <w:sz w:val="32"/>
          <w:szCs w:val="32"/>
          <w:shd w:val="clear" w:color="auto" w:fill="FFFFFF"/>
          <w:lang w:val="zh-CN"/>
        </w:rPr>
        <w:t>一）评价结论</w:t>
      </w:r>
    </w:p>
    <w:p w14:paraId="051D771F">
      <w:pPr>
        <w:pStyle w:val="2"/>
        <w:spacing w:before="72" w:line="600" w:lineRule="exact"/>
        <w:rPr>
          <w:rFonts w:ascii="仿宋" w:hAnsi="仿宋" w:eastAsia="仿宋" w:cs="宋体"/>
          <w:sz w:val="32"/>
          <w:szCs w:val="32"/>
          <w:shd w:val="clear" w:color="auto" w:fill="FFFFFF"/>
          <w:lang w:val="zh-CN"/>
        </w:rPr>
      </w:pPr>
      <w:r>
        <w:rPr>
          <w:rFonts w:hint="eastAsia" w:hAnsi="宋体" w:cs="宋体"/>
          <w:sz w:val="32"/>
          <w:szCs w:val="32"/>
          <w:shd w:val="clear" w:color="auto" w:fill="FFFFFF"/>
          <w:lang w:val="zh-CN"/>
        </w:rPr>
        <w:t xml:space="preserve">    </w:t>
      </w:r>
      <w:r>
        <w:rPr>
          <w:rFonts w:hint="eastAsia" w:ascii="仿宋" w:hAnsi="仿宋" w:eastAsia="仿宋" w:cs="宋体"/>
          <w:sz w:val="32"/>
          <w:szCs w:val="32"/>
          <w:shd w:val="clear" w:color="auto" w:fill="FFFFFF"/>
          <w:lang w:val="zh-CN"/>
        </w:rPr>
        <w:t>按照部门整体支出绩效评价评分表的评分标准，我局对年初设定的绩效目标完成情况进行了自检自查。绩效目标立项合理、指标明确。对经费的管理和使用合理规范，相关管理制度健全，项目效益明确，项目实施达到了预期效果，各项工作均已圆满完成。</w:t>
      </w:r>
    </w:p>
    <w:p w14:paraId="36313014">
      <w:pPr>
        <w:widowControl/>
        <w:numPr>
          <w:ilvl w:val="0"/>
          <w:numId w:val="4"/>
        </w:numPr>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存在问题</w:t>
      </w:r>
    </w:p>
    <w:p w14:paraId="41A02BC1">
      <w:pPr>
        <w:pStyle w:val="2"/>
        <w:spacing w:before="72" w:line="600" w:lineRule="atLeast"/>
        <w:ind w:firstLine="640" w:firstLineChars="200"/>
        <w:rPr>
          <w:rFonts w:ascii="仿宋" w:hAnsi="仿宋" w:eastAsia="仿宋" w:cs="宋体"/>
          <w:sz w:val="32"/>
          <w:szCs w:val="32"/>
          <w:shd w:val="clear" w:color="auto" w:fill="FFFFFF"/>
          <w:lang w:val="zh-CN"/>
        </w:rPr>
      </w:pPr>
      <w:r>
        <w:rPr>
          <w:rFonts w:hint="eastAsia" w:ascii="仿宋" w:hAnsi="仿宋" w:eastAsia="仿宋" w:cs="宋体"/>
          <w:sz w:val="32"/>
          <w:szCs w:val="32"/>
          <w:shd w:val="clear" w:color="auto" w:fill="FFFFFF"/>
          <w:lang w:val="zh-CN"/>
        </w:rPr>
        <w:t>绩效管理意识不强，还需进一步提高绩效管理水平。绩效自评目标不够规范。在绩效目标指标设定上普遍存在着与部门整体目标的关联不够的问题。</w:t>
      </w:r>
    </w:p>
    <w:p w14:paraId="1263FE75">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14:paraId="5A340C62">
      <w:pPr>
        <w:pStyle w:val="2"/>
        <w:spacing w:before="72" w:line="600" w:lineRule="exact"/>
        <w:rPr>
          <w:rFonts w:ascii="仿宋" w:hAnsi="仿宋" w:eastAsia="仿宋" w:cs="宋体"/>
          <w:sz w:val="32"/>
          <w:szCs w:val="32"/>
          <w:shd w:val="clear" w:color="auto" w:fill="FFFFFF"/>
          <w:lang w:val="zh-CN"/>
        </w:rPr>
      </w:pPr>
      <w:r>
        <w:rPr>
          <w:rFonts w:hint="eastAsia" w:hAnsi="宋体" w:cs="宋体"/>
          <w:sz w:val="32"/>
          <w:szCs w:val="32"/>
          <w:shd w:val="clear" w:color="auto" w:fill="FFFFFF"/>
        </w:rPr>
        <w:t xml:space="preserve">    </w:t>
      </w:r>
      <w:r>
        <w:rPr>
          <w:rFonts w:hint="eastAsia" w:ascii="仿宋" w:hAnsi="仿宋" w:eastAsia="仿宋" w:cs="宋体"/>
          <w:sz w:val="32"/>
          <w:szCs w:val="32"/>
          <w:shd w:val="clear" w:color="auto" w:fill="FFFFFF"/>
        </w:rPr>
        <w:t>深入开展部门整体支出绩效评价工作，对下属单位实施绩效自评和部门核查。强化评价结果应用，组织绩效自评，对发现的问题及时改进。健全绩效管理工作机制，明确职责分工，努力提高绩效管理工作水平。</w:t>
      </w:r>
    </w:p>
    <w:p w14:paraId="0B7219C2">
      <w:pPr>
        <w:pStyle w:val="2"/>
        <w:spacing w:before="72"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14:paraId="1AFC64C7">
      <w:pPr>
        <w:pStyle w:val="2"/>
        <w:spacing w:before="72" w:line="600" w:lineRule="exact"/>
        <w:rPr>
          <w:rFonts w:ascii="黑体" w:hAnsi="黑体" w:eastAsia="黑体" w:cs="黑体"/>
          <w:sz w:val="32"/>
          <w:szCs w:val="32"/>
          <w:shd w:val="clear" w:color="auto" w:fill="FFFFFF"/>
          <w:lang w:val="zh-CN"/>
        </w:rPr>
      </w:pPr>
    </w:p>
    <w:p w14:paraId="7F6DDEC3">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w:t>
      </w:r>
    </w:p>
    <w:p w14:paraId="70EF04F8">
      <w:pPr>
        <w:spacing w:line="600" w:lineRule="exact"/>
        <w:ind w:firstLine="883"/>
        <w:jc w:val="center"/>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w:t>
      </w:r>
      <w:r>
        <w:rPr>
          <w:rFonts w:hint="eastAsia" w:asciiTheme="majorEastAsia" w:hAnsiTheme="majorEastAsia" w:eastAsiaTheme="majorEastAsia" w:cstheme="majorEastAsia"/>
          <w:sz w:val="32"/>
          <w:szCs w:val="32"/>
        </w:rPr>
        <w:t>煤矿关闭奖补资金</w:t>
      </w:r>
      <w:r>
        <w:rPr>
          <w:rFonts w:hint="eastAsia" w:asciiTheme="majorEastAsia" w:hAnsiTheme="majorEastAsia" w:eastAsiaTheme="majorEastAsia" w:cstheme="majorEastAsia"/>
          <w:sz w:val="32"/>
          <w:szCs w:val="32"/>
          <w:lang w:val="zh-CN"/>
        </w:rPr>
        <w:t>）</w:t>
      </w:r>
    </w:p>
    <w:p w14:paraId="203EF726">
      <w:pPr>
        <w:spacing w:line="600" w:lineRule="exact"/>
        <w:ind w:firstLine="640"/>
        <w:jc w:val="center"/>
        <w:rPr>
          <w:rFonts w:ascii="宋体" w:hAnsi="宋体"/>
          <w:sz w:val="32"/>
          <w:szCs w:val="32"/>
          <w:lang w:val="zh-CN"/>
        </w:rPr>
      </w:pPr>
    </w:p>
    <w:p w14:paraId="0297521E">
      <w:pPr>
        <w:widowControl/>
        <w:kinsoku w:val="0"/>
        <w:autoSpaceDE w:val="0"/>
        <w:autoSpaceDN w:val="0"/>
        <w:adjustRightInd w:val="0"/>
        <w:snapToGrid w:val="0"/>
        <w:spacing w:line="560" w:lineRule="atLeast"/>
        <w:ind w:left="624"/>
        <w:textAlignment w:val="baseline"/>
        <w:outlineLvl w:val="0"/>
        <w:rPr>
          <w:rFonts w:ascii="仿宋" w:hAnsi="仿宋" w:eastAsia="仿宋" w:cs="仿宋"/>
          <w:sz w:val="32"/>
          <w:szCs w:val="32"/>
        </w:rPr>
      </w:pPr>
      <w:r>
        <w:rPr>
          <w:rFonts w:ascii="仿宋" w:hAnsi="仿宋" w:eastAsia="仿宋" w:cs="仿宋"/>
          <w:spacing w:val="-6"/>
          <w:sz w:val="32"/>
          <w:szCs w:val="32"/>
        </w:rPr>
        <w:t>一</w:t>
      </w:r>
      <w:r>
        <w:rPr>
          <w:rFonts w:ascii="仿宋" w:hAnsi="仿宋" w:eastAsia="仿宋" w:cs="仿宋"/>
          <w:spacing w:val="-4"/>
          <w:sz w:val="32"/>
          <w:szCs w:val="32"/>
        </w:rPr>
        <w:t>、</w:t>
      </w:r>
      <w:r>
        <w:rPr>
          <w:rFonts w:ascii="仿宋" w:hAnsi="仿宋" w:eastAsia="仿宋" w:cs="仿宋"/>
          <w:spacing w:val="-3"/>
          <w:sz w:val="32"/>
          <w:szCs w:val="32"/>
        </w:rPr>
        <w:t>项目概况</w:t>
      </w:r>
    </w:p>
    <w:p w14:paraId="4272A638">
      <w:pPr>
        <w:widowControl/>
        <w:kinsoku w:val="0"/>
        <w:autoSpaceDE w:val="0"/>
        <w:autoSpaceDN w:val="0"/>
        <w:adjustRightInd w:val="0"/>
        <w:snapToGrid w:val="0"/>
        <w:spacing w:line="560" w:lineRule="atLeast"/>
        <w:ind w:left="759"/>
        <w:textAlignment w:val="baseline"/>
        <w:rPr>
          <w:rFonts w:ascii="仿宋" w:hAnsi="仿宋" w:eastAsia="仿宋" w:cs="仿宋"/>
          <w:spacing w:val="9"/>
          <w:sz w:val="32"/>
          <w:szCs w:val="32"/>
        </w:rPr>
      </w:pPr>
      <w:r>
        <w:rPr>
          <w:rFonts w:ascii="仿宋" w:hAnsi="仿宋" w:eastAsia="仿宋" w:cs="仿宋"/>
          <w:spacing w:val="10"/>
          <w:sz w:val="32"/>
          <w:szCs w:val="32"/>
        </w:rPr>
        <w:t>(一)项目主要内容</w:t>
      </w:r>
      <w:r>
        <w:rPr>
          <w:rFonts w:ascii="仿宋" w:hAnsi="仿宋" w:eastAsia="仿宋" w:cs="仿宋"/>
          <w:spacing w:val="9"/>
          <w:sz w:val="32"/>
          <w:szCs w:val="32"/>
        </w:rPr>
        <w:t>。</w:t>
      </w:r>
    </w:p>
    <w:p w14:paraId="5EFBD01C">
      <w:pPr>
        <w:widowControl/>
        <w:kinsoku w:val="0"/>
        <w:autoSpaceDE w:val="0"/>
        <w:autoSpaceDN w:val="0"/>
        <w:adjustRightInd w:val="0"/>
        <w:snapToGrid w:val="0"/>
        <w:spacing w:line="560" w:lineRule="atLeast"/>
        <w:ind w:firstLine="676" w:firstLineChars="200"/>
        <w:textAlignment w:val="baseline"/>
        <w:rPr>
          <w:rFonts w:ascii="仿宋" w:hAnsi="仿宋" w:eastAsia="仿宋" w:cs="仿宋"/>
          <w:spacing w:val="9"/>
          <w:sz w:val="32"/>
          <w:szCs w:val="32"/>
        </w:rPr>
      </w:pPr>
      <w:r>
        <w:rPr>
          <w:rFonts w:hint="eastAsia" w:ascii="仿宋" w:hAnsi="仿宋" w:eastAsia="仿宋" w:cs="仿宋"/>
          <w:spacing w:val="9"/>
          <w:sz w:val="32"/>
          <w:szCs w:val="32"/>
        </w:rPr>
        <w:t>2020年，按照国家、省、乐山市关于化解煤炭过剩产能工作要求，峨眉山市委市政府决定对峨眉山市八益煤业有限公司苗圃井、峨眉山市川主张沟煤矿、峨眉山市川主乡李杨煤矿等3处煤矿实施政策性引导关闭，合计退出煤炭产能45万吨。</w:t>
      </w:r>
    </w:p>
    <w:p w14:paraId="5DB42687">
      <w:pPr>
        <w:widowControl/>
        <w:kinsoku w:val="0"/>
        <w:autoSpaceDE w:val="0"/>
        <w:autoSpaceDN w:val="0"/>
        <w:adjustRightInd w:val="0"/>
        <w:snapToGrid w:val="0"/>
        <w:spacing w:line="560" w:lineRule="atLeast"/>
        <w:ind w:right="47" w:firstLine="652" w:firstLineChars="200"/>
        <w:textAlignment w:val="baseline"/>
        <w:rPr>
          <w:rFonts w:ascii="仿宋" w:hAnsi="仿宋" w:eastAsia="仿宋" w:cs="仿宋"/>
          <w:spacing w:val="-4"/>
          <w:sz w:val="32"/>
          <w:szCs w:val="32"/>
        </w:rPr>
      </w:pPr>
      <w:r>
        <w:rPr>
          <w:rFonts w:hint="eastAsia" w:ascii="仿宋" w:hAnsi="仿宋" w:eastAsia="仿宋" w:cs="仿宋"/>
          <w:spacing w:val="3"/>
          <w:sz w:val="32"/>
          <w:szCs w:val="32"/>
        </w:rPr>
        <w:t>（二）</w:t>
      </w:r>
      <w:r>
        <w:rPr>
          <w:rFonts w:ascii="仿宋" w:hAnsi="仿宋" w:eastAsia="仿宋" w:cs="仿宋"/>
          <w:spacing w:val="3"/>
          <w:sz w:val="32"/>
          <w:szCs w:val="32"/>
        </w:rPr>
        <w:t>项目应实现的具体绩效目标，包括目标的量化、细化</w:t>
      </w:r>
      <w:r>
        <w:rPr>
          <w:rFonts w:ascii="仿宋" w:hAnsi="仿宋" w:eastAsia="仿宋" w:cs="仿宋"/>
          <w:spacing w:val="-8"/>
          <w:sz w:val="32"/>
          <w:szCs w:val="32"/>
        </w:rPr>
        <w:t>情况</w:t>
      </w:r>
      <w:r>
        <w:rPr>
          <w:rFonts w:ascii="仿宋" w:hAnsi="仿宋" w:eastAsia="仿宋" w:cs="仿宋"/>
          <w:spacing w:val="-7"/>
          <w:sz w:val="32"/>
          <w:szCs w:val="32"/>
        </w:rPr>
        <w:t>以</w:t>
      </w:r>
      <w:r>
        <w:rPr>
          <w:rFonts w:ascii="仿宋" w:hAnsi="仿宋" w:eastAsia="仿宋" w:cs="仿宋"/>
          <w:spacing w:val="-4"/>
          <w:sz w:val="32"/>
          <w:szCs w:val="32"/>
        </w:rPr>
        <w:t>及项目实施进度计划等。</w:t>
      </w:r>
    </w:p>
    <w:p w14:paraId="55C58089">
      <w:pPr>
        <w:widowControl/>
        <w:kinsoku w:val="0"/>
        <w:autoSpaceDE w:val="0"/>
        <w:autoSpaceDN w:val="0"/>
        <w:adjustRightInd w:val="0"/>
        <w:snapToGrid w:val="0"/>
        <w:spacing w:line="560" w:lineRule="atLeast"/>
        <w:ind w:right="47"/>
        <w:textAlignment w:val="baseline"/>
        <w:rPr>
          <w:rFonts w:ascii="仿宋" w:hAnsi="仿宋" w:eastAsia="仿宋" w:cs="仿宋"/>
          <w:spacing w:val="9"/>
          <w:sz w:val="32"/>
          <w:szCs w:val="32"/>
        </w:rPr>
      </w:pPr>
      <w:r>
        <w:rPr>
          <w:rFonts w:hint="eastAsia" w:ascii="仿宋" w:hAnsi="仿宋" w:eastAsia="仿宋" w:cs="仿宋"/>
          <w:spacing w:val="-4"/>
          <w:sz w:val="32"/>
          <w:szCs w:val="32"/>
        </w:rPr>
        <w:t xml:space="preserve">    </w:t>
      </w:r>
      <w:r>
        <w:rPr>
          <w:rFonts w:hint="eastAsia" w:ascii="仿宋" w:hAnsi="仿宋" w:eastAsia="仿宋" w:cs="仿宋"/>
          <w:spacing w:val="9"/>
          <w:sz w:val="32"/>
          <w:szCs w:val="32"/>
        </w:rPr>
        <w:t xml:space="preserve"> 项目目标任务为对3家煤矿企业实施引导关闭退出，涉及煤炭产能45万吨。该任务于2021年1月完成并通过上级组织验收。</w:t>
      </w:r>
    </w:p>
    <w:p w14:paraId="3612A02C">
      <w:pPr>
        <w:widowControl/>
        <w:kinsoku w:val="0"/>
        <w:autoSpaceDE w:val="0"/>
        <w:autoSpaceDN w:val="0"/>
        <w:adjustRightInd w:val="0"/>
        <w:snapToGrid w:val="0"/>
        <w:spacing w:line="560" w:lineRule="atLeast"/>
        <w:ind w:right="53" w:firstLine="652" w:firstLineChars="200"/>
        <w:textAlignment w:val="baseline"/>
        <w:rPr>
          <w:rFonts w:ascii="仿宋" w:hAnsi="仿宋" w:eastAsia="仿宋" w:cs="仿宋"/>
          <w:spacing w:val="-12"/>
          <w:sz w:val="32"/>
          <w:szCs w:val="32"/>
        </w:rPr>
      </w:pPr>
      <w:r>
        <w:rPr>
          <w:rFonts w:hint="eastAsia" w:ascii="仿宋" w:hAnsi="仿宋" w:eastAsia="仿宋" w:cs="仿宋"/>
          <w:spacing w:val="3"/>
          <w:sz w:val="32"/>
          <w:szCs w:val="32"/>
        </w:rPr>
        <w:t>（三）</w:t>
      </w:r>
      <w:r>
        <w:rPr>
          <w:rFonts w:ascii="仿宋" w:hAnsi="仿宋" w:eastAsia="仿宋" w:cs="仿宋"/>
          <w:spacing w:val="3"/>
          <w:sz w:val="32"/>
          <w:szCs w:val="32"/>
        </w:rPr>
        <w:t>分析评价申报内容是否与实际相符，申报目标是否</w:t>
      </w:r>
      <w:r>
        <w:rPr>
          <w:rFonts w:ascii="仿宋" w:hAnsi="仿宋" w:eastAsia="仿宋" w:cs="仿宋"/>
          <w:spacing w:val="2"/>
          <w:sz w:val="32"/>
          <w:szCs w:val="32"/>
        </w:rPr>
        <w:t>合</w:t>
      </w:r>
      <w:r>
        <w:rPr>
          <w:rFonts w:ascii="仿宋" w:hAnsi="仿宋" w:eastAsia="仿宋" w:cs="仿宋"/>
          <w:spacing w:val="-14"/>
          <w:sz w:val="32"/>
          <w:szCs w:val="32"/>
        </w:rPr>
        <w:t>理</w:t>
      </w:r>
      <w:r>
        <w:rPr>
          <w:rFonts w:ascii="仿宋" w:hAnsi="仿宋" w:eastAsia="仿宋" w:cs="仿宋"/>
          <w:spacing w:val="-12"/>
          <w:sz w:val="32"/>
          <w:szCs w:val="32"/>
        </w:rPr>
        <w:t>可行。</w:t>
      </w:r>
    </w:p>
    <w:p w14:paraId="526675D4">
      <w:pPr>
        <w:widowControl/>
        <w:kinsoku w:val="0"/>
        <w:autoSpaceDE w:val="0"/>
        <w:autoSpaceDN w:val="0"/>
        <w:adjustRightInd w:val="0"/>
        <w:snapToGrid w:val="0"/>
        <w:spacing w:line="560" w:lineRule="atLeast"/>
        <w:ind w:left="759" w:right="53"/>
        <w:textAlignment w:val="baseline"/>
        <w:rPr>
          <w:rFonts w:ascii="仿宋" w:hAnsi="仿宋" w:eastAsia="仿宋" w:cs="仿宋"/>
          <w:spacing w:val="-12"/>
          <w:sz w:val="32"/>
          <w:szCs w:val="32"/>
        </w:rPr>
      </w:pPr>
      <w:r>
        <w:rPr>
          <w:rFonts w:hint="eastAsia" w:ascii="仿宋" w:hAnsi="仿宋" w:eastAsia="仿宋" w:cs="仿宋"/>
          <w:spacing w:val="-12"/>
          <w:sz w:val="32"/>
          <w:szCs w:val="32"/>
        </w:rPr>
        <w:t>煤矿井口已全部封闭，申报内容与实际相符，目标合理可行。</w:t>
      </w:r>
    </w:p>
    <w:p w14:paraId="3BD8B58A">
      <w:pPr>
        <w:spacing w:before="1" w:line="317" w:lineRule="auto"/>
        <w:ind w:left="759" w:right="53"/>
        <w:rPr>
          <w:rFonts w:ascii="仿宋" w:hAnsi="仿宋" w:eastAsia="仿宋" w:cs="仿宋"/>
          <w:spacing w:val="-12"/>
          <w:sz w:val="32"/>
          <w:szCs w:val="32"/>
        </w:rPr>
      </w:pPr>
    </w:p>
    <w:p w14:paraId="775A6284">
      <w:pPr>
        <w:spacing w:before="1" w:line="221" w:lineRule="auto"/>
        <w:ind w:left="624"/>
        <w:outlineLvl w:val="0"/>
        <w:rPr>
          <w:rFonts w:ascii="黑体" w:hAnsi="黑体" w:eastAsia="黑体" w:cs="黑体"/>
          <w:sz w:val="32"/>
          <w:szCs w:val="32"/>
        </w:rPr>
      </w:pPr>
      <w:r>
        <w:rPr>
          <w:rFonts w:ascii="黑体" w:hAnsi="黑体" w:eastAsia="黑体" w:cs="黑体"/>
          <w:spacing w:val="-2"/>
          <w:sz w:val="32"/>
          <w:szCs w:val="32"/>
        </w:rPr>
        <w:t>二、项目</w:t>
      </w:r>
      <w:r>
        <w:rPr>
          <w:rFonts w:ascii="黑体" w:hAnsi="黑体" w:eastAsia="黑体" w:cs="黑体"/>
          <w:spacing w:val="-1"/>
          <w:sz w:val="32"/>
          <w:szCs w:val="32"/>
        </w:rPr>
        <w:t>资金申报及使用情况</w:t>
      </w:r>
    </w:p>
    <w:p w14:paraId="074625D2">
      <w:pPr>
        <w:spacing w:before="169" w:line="226" w:lineRule="auto"/>
        <w:ind w:left="759"/>
        <w:rPr>
          <w:rFonts w:ascii="楷体" w:hAnsi="楷体" w:eastAsia="楷体" w:cs="楷体"/>
          <w:sz w:val="32"/>
          <w:szCs w:val="32"/>
        </w:rPr>
      </w:pPr>
      <w:r>
        <w:rPr>
          <w:rFonts w:ascii="楷体" w:hAnsi="楷体" w:eastAsia="楷体" w:cs="楷体"/>
          <w:spacing w:val="13"/>
          <w:sz w:val="32"/>
          <w:szCs w:val="32"/>
        </w:rPr>
        <w:t>(</w:t>
      </w:r>
      <w:r>
        <w:rPr>
          <w:rFonts w:ascii="楷体" w:hAnsi="楷体" w:eastAsia="楷体" w:cs="楷体"/>
          <w:spacing w:val="12"/>
          <w:sz w:val="32"/>
          <w:szCs w:val="32"/>
        </w:rPr>
        <w:t>一)项目资金申报及批复情况</w:t>
      </w:r>
    </w:p>
    <w:p w14:paraId="4F9184B0">
      <w:pPr>
        <w:spacing w:before="165" w:line="317" w:lineRule="auto"/>
        <w:ind w:firstLine="624"/>
        <w:rPr>
          <w:rFonts w:ascii="仿宋" w:hAnsi="仿宋" w:eastAsia="仿宋" w:cs="仿宋_GB2312"/>
          <w:spacing w:val="-2"/>
          <w:sz w:val="32"/>
          <w:szCs w:val="32"/>
        </w:rPr>
      </w:pPr>
      <w:r>
        <w:rPr>
          <w:rFonts w:hint="eastAsia" w:ascii="仿宋" w:hAnsi="仿宋" w:eastAsia="仿宋" w:cs="仿宋_GB2312"/>
          <w:spacing w:val="-2"/>
          <w:sz w:val="32"/>
          <w:szCs w:val="32"/>
        </w:rPr>
        <w:t>根据《峨眉山市财政局关于转下达省级安全生产专项资金的通知》（峨财建〔2021〕30号）文件，于2021年8月31日，下达资金601.72万元。本级划拨资金1585.56万元。</w:t>
      </w:r>
    </w:p>
    <w:p w14:paraId="0D6A1603">
      <w:pPr>
        <w:spacing w:before="158" w:line="226" w:lineRule="auto"/>
        <w:ind w:left="759"/>
        <w:rPr>
          <w:rFonts w:ascii="楷体" w:hAnsi="楷体" w:eastAsia="楷体" w:cs="楷体"/>
          <w:sz w:val="32"/>
          <w:szCs w:val="32"/>
        </w:rPr>
      </w:pPr>
      <w:r>
        <w:rPr>
          <w:rFonts w:ascii="楷体" w:hAnsi="楷体" w:eastAsia="楷体" w:cs="楷体"/>
          <w:spacing w:val="14"/>
          <w:sz w:val="32"/>
          <w:szCs w:val="32"/>
        </w:rPr>
        <w:t>(</w:t>
      </w:r>
      <w:r>
        <w:rPr>
          <w:rFonts w:ascii="楷体" w:hAnsi="楷体" w:eastAsia="楷体" w:cs="楷体"/>
          <w:spacing w:val="13"/>
          <w:sz w:val="32"/>
          <w:szCs w:val="32"/>
        </w:rPr>
        <w:t>二)资金计划、到位及使用情况(可用表格形式反映)</w:t>
      </w:r>
    </w:p>
    <w:p w14:paraId="083A53F0">
      <w:pPr>
        <w:spacing w:before="165" w:line="317" w:lineRule="auto"/>
        <w:ind w:firstLine="624"/>
        <w:rPr>
          <w:rFonts w:ascii="仿宋" w:hAnsi="仿宋" w:eastAsia="仿宋" w:cs="仿宋"/>
          <w:spacing w:val="-2"/>
          <w:sz w:val="32"/>
          <w:szCs w:val="32"/>
        </w:rPr>
      </w:pPr>
      <w:r>
        <w:rPr>
          <w:rFonts w:ascii="仿宋" w:hAnsi="仿宋" w:eastAsia="仿宋" w:cs="仿宋"/>
          <w:spacing w:val="-2"/>
          <w:sz w:val="32"/>
          <w:szCs w:val="32"/>
        </w:rPr>
        <w:t xml:space="preserve">1. 资金计划。 </w:t>
      </w:r>
      <w:r>
        <w:rPr>
          <w:rFonts w:hint="eastAsia" w:ascii="仿宋" w:hAnsi="仿宋" w:eastAsia="仿宋" w:cs="仿宋"/>
          <w:spacing w:val="-2"/>
          <w:sz w:val="32"/>
          <w:szCs w:val="32"/>
        </w:rPr>
        <w:t>综合考虑各矿情况实际，经峨眉山市委常委会通过，对峨眉山市八益煤业有限公司苗圃井、峨眉山市川主张沟煤矿、峨眉山市川主乡李杨煤矿分别奖补资金2400万元，2600万元，2800万元，合计7800万元。</w:t>
      </w:r>
    </w:p>
    <w:p w14:paraId="211EFA9E">
      <w:pPr>
        <w:spacing w:before="2" w:line="317" w:lineRule="auto"/>
        <w:ind w:right="49" w:firstLine="624" w:firstLineChars="200"/>
        <w:rPr>
          <w:rFonts w:ascii="仿宋" w:hAnsi="仿宋" w:eastAsia="仿宋" w:cs="仿宋"/>
          <w:spacing w:val="-4"/>
          <w:sz w:val="32"/>
          <w:szCs w:val="32"/>
        </w:rPr>
      </w:pPr>
      <w:r>
        <w:rPr>
          <w:rFonts w:hint="eastAsia" w:ascii="仿宋" w:hAnsi="仿宋" w:eastAsia="仿宋" w:cs="仿宋"/>
          <w:spacing w:val="-4"/>
          <w:sz w:val="32"/>
          <w:szCs w:val="32"/>
        </w:rPr>
        <w:t>2.</w:t>
      </w:r>
      <w:r>
        <w:rPr>
          <w:rFonts w:ascii="仿宋" w:hAnsi="仿宋" w:eastAsia="仿宋" w:cs="仿宋"/>
          <w:spacing w:val="-4"/>
          <w:sz w:val="32"/>
          <w:szCs w:val="32"/>
        </w:rPr>
        <w:t xml:space="preserve">资金到位。 </w:t>
      </w:r>
      <w:r>
        <w:rPr>
          <w:rFonts w:hint="eastAsia" w:ascii="仿宋" w:hAnsi="仿宋" w:eastAsia="仿宋" w:cs="仿宋"/>
          <w:spacing w:val="-4"/>
          <w:sz w:val="32"/>
          <w:szCs w:val="32"/>
        </w:rPr>
        <w:t>目前已拨付资金3784万元（含上级奖补资金），余4016万元未拨付。</w:t>
      </w:r>
    </w:p>
    <w:p w14:paraId="76E1435F">
      <w:pPr>
        <w:spacing w:before="104" w:line="317" w:lineRule="auto"/>
        <w:ind w:firstLine="616" w:firstLineChars="200"/>
        <w:rPr>
          <w:rFonts w:ascii="仿宋" w:hAnsi="仿宋" w:eastAsia="仿宋" w:cs="仿宋_GB2312"/>
          <w:sz w:val="32"/>
          <w:szCs w:val="32"/>
        </w:rPr>
      </w:pPr>
      <w:r>
        <w:rPr>
          <w:rFonts w:ascii="仿宋" w:hAnsi="仿宋" w:eastAsia="仿宋" w:cs="仿宋"/>
          <w:spacing w:val="-6"/>
          <w:sz w:val="32"/>
          <w:szCs w:val="32"/>
        </w:rPr>
        <w:t xml:space="preserve">3. </w:t>
      </w:r>
      <w:r>
        <w:rPr>
          <w:rFonts w:ascii="仿宋" w:hAnsi="仿宋" w:eastAsia="仿宋" w:cs="仿宋"/>
          <w:spacing w:val="-4"/>
          <w:sz w:val="32"/>
          <w:szCs w:val="32"/>
        </w:rPr>
        <w:t>资</w:t>
      </w:r>
      <w:r>
        <w:rPr>
          <w:rFonts w:ascii="仿宋" w:hAnsi="仿宋" w:eastAsia="仿宋" w:cs="仿宋"/>
          <w:spacing w:val="-3"/>
          <w:sz w:val="32"/>
          <w:szCs w:val="32"/>
        </w:rPr>
        <w:t xml:space="preserve">金使用。 </w:t>
      </w:r>
      <w:r>
        <w:rPr>
          <w:rFonts w:hint="eastAsia" w:ascii="仿宋" w:hAnsi="仿宋" w:eastAsia="仿宋" w:cs="仿宋_GB2312"/>
          <w:spacing w:val="-3"/>
          <w:sz w:val="32"/>
          <w:szCs w:val="32"/>
        </w:rPr>
        <w:t>相关资金优先用于职工善后安置等工作，资金由属地乡镇监督发放。2021年下拨上级资金601.72万元，本级资金1585.56万元。已按照文件要求分别于2021年12月拨付完毕，其中张沟煤矿拨付1300万元，苗圃煤矿拨付667.28万元，李杨煤矿拨付420万元。</w:t>
      </w:r>
    </w:p>
    <w:p w14:paraId="05888BFA">
      <w:pPr>
        <w:spacing w:before="1" w:line="222" w:lineRule="auto"/>
        <w:ind w:left="759"/>
        <w:rPr>
          <w:rFonts w:ascii="楷体" w:hAnsi="楷体" w:eastAsia="楷体" w:cs="楷体"/>
          <w:sz w:val="32"/>
          <w:szCs w:val="32"/>
        </w:rPr>
      </w:pPr>
      <w:r>
        <w:rPr>
          <w:rFonts w:ascii="楷体" w:hAnsi="楷体" w:eastAsia="楷体" w:cs="楷体"/>
          <w:spacing w:val="19"/>
          <w:sz w:val="32"/>
          <w:szCs w:val="32"/>
        </w:rPr>
        <w:t>(</w:t>
      </w:r>
      <w:r>
        <w:rPr>
          <w:rFonts w:ascii="楷体" w:hAnsi="楷体" w:eastAsia="楷体" w:cs="楷体"/>
          <w:spacing w:val="13"/>
          <w:sz w:val="32"/>
          <w:szCs w:val="32"/>
        </w:rPr>
        <w:t>三)项目财务管理情况</w:t>
      </w:r>
    </w:p>
    <w:p w14:paraId="36A2C2E4">
      <w:pPr>
        <w:spacing w:before="186" w:line="314" w:lineRule="auto"/>
        <w:ind w:right="74" w:firstLine="620"/>
        <w:rPr>
          <w:rFonts w:ascii="仿宋" w:hAnsi="仿宋" w:eastAsia="仿宋" w:cs="仿宋"/>
          <w:sz w:val="32"/>
          <w:szCs w:val="32"/>
        </w:rPr>
      </w:pPr>
      <w:r>
        <w:rPr>
          <w:rFonts w:hint="eastAsia" w:ascii="仿宋" w:hAnsi="仿宋" w:eastAsia="仿宋" w:cs="仿宋"/>
          <w:sz w:val="32"/>
          <w:szCs w:val="32"/>
        </w:rPr>
        <w:t>按照相关管理办法执行。</w:t>
      </w:r>
    </w:p>
    <w:p w14:paraId="4C7FED4D">
      <w:pPr>
        <w:spacing w:line="221" w:lineRule="auto"/>
        <w:ind w:left="624"/>
        <w:outlineLvl w:val="0"/>
        <w:rPr>
          <w:rFonts w:ascii="黑体" w:hAnsi="黑体" w:eastAsia="黑体" w:cs="黑体"/>
          <w:sz w:val="32"/>
          <w:szCs w:val="32"/>
        </w:rPr>
      </w:pPr>
      <w:r>
        <w:rPr>
          <w:rFonts w:ascii="黑体" w:hAnsi="黑体" w:eastAsia="黑体" w:cs="黑体"/>
          <w:spacing w:val="-4"/>
          <w:sz w:val="32"/>
          <w:szCs w:val="32"/>
        </w:rPr>
        <w:t>三、项目实施及管理情</w:t>
      </w:r>
      <w:r>
        <w:rPr>
          <w:rFonts w:ascii="黑体" w:hAnsi="黑体" w:eastAsia="黑体" w:cs="黑体"/>
          <w:spacing w:val="-3"/>
          <w:sz w:val="32"/>
          <w:szCs w:val="32"/>
        </w:rPr>
        <w:t>况</w:t>
      </w:r>
    </w:p>
    <w:p w14:paraId="60CB2F9D">
      <w:pPr>
        <w:spacing w:before="177" w:line="318" w:lineRule="auto"/>
        <w:ind w:right="79" w:firstLine="620"/>
        <w:rPr>
          <w:rFonts w:ascii="仿宋" w:hAnsi="仿宋" w:eastAsia="仿宋" w:cs="仿宋"/>
          <w:sz w:val="32"/>
          <w:szCs w:val="32"/>
        </w:rPr>
      </w:pPr>
      <w:r>
        <w:rPr>
          <w:rFonts w:ascii="仿宋" w:hAnsi="仿宋" w:eastAsia="仿宋" w:cs="仿宋"/>
          <w:spacing w:val="-5"/>
          <w:sz w:val="32"/>
          <w:szCs w:val="32"/>
        </w:rPr>
        <w:t>结</w:t>
      </w:r>
      <w:r>
        <w:rPr>
          <w:rFonts w:ascii="仿宋" w:hAnsi="仿宋" w:eastAsia="仿宋" w:cs="仿宋"/>
          <w:spacing w:val="-3"/>
          <w:sz w:val="32"/>
          <w:szCs w:val="32"/>
        </w:rPr>
        <w:t>合项目组织实施管理办法，重点围绕以下内容进行分析评</w:t>
      </w:r>
      <w:r>
        <w:rPr>
          <w:rFonts w:ascii="仿宋" w:hAnsi="仿宋" w:eastAsia="仿宋" w:cs="仿宋"/>
          <w:spacing w:val="-10"/>
          <w:sz w:val="32"/>
          <w:szCs w:val="32"/>
        </w:rPr>
        <w:t>价，</w:t>
      </w:r>
      <w:r>
        <w:rPr>
          <w:rFonts w:ascii="仿宋" w:hAnsi="仿宋" w:eastAsia="仿宋" w:cs="仿宋"/>
          <w:spacing w:val="-5"/>
          <w:sz w:val="32"/>
          <w:szCs w:val="32"/>
        </w:rPr>
        <w:t>并对自评中发现的问题分析说明。</w:t>
      </w:r>
    </w:p>
    <w:p w14:paraId="325CB9B8">
      <w:pPr>
        <w:spacing w:before="1" w:line="222" w:lineRule="auto"/>
        <w:ind w:left="759"/>
        <w:rPr>
          <w:rFonts w:ascii="仿宋" w:hAnsi="仿宋" w:eastAsia="仿宋" w:cs="仿宋"/>
          <w:sz w:val="32"/>
          <w:szCs w:val="32"/>
        </w:rPr>
      </w:pPr>
      <w:r>
        <w:rPr>
          <w:rFonts w:ascii="仿宋" w:hAnsi="仿宋" w:eastAsia="仿宋" w:cs="仿宋"/>
          <w:spacing w:val="12"/>
          <w:sz w:val="32"/>
          <w:szCs w:val="32"/>
        </w:rPr>
        <w:t>(</w:t>
      </w:r>
      <w:r>
        <w:rPr>
          <w:rFonts w:ascii="仿宋" w:hAnsi="仿宋" w:eastAsia="仿宋" w:cs="仿宋"/>
          <w:spacing w:val="9"/>
          <w:sz w:val="32"/>
          <w:szCs w:val="32"/>
        </w:rPr>
        <w:t>一</w:t>
      </w:r>
      <w:r>
        <w:rPr>
          <w:rFonts w:ascii="仿宋" w:hAnsi="仿宋" w:eastAsia="仿宋" w:cs="仿宋"/>
          <w:spacing w:val="6"/>
          <w:sz w:val="32"/>
          <w:szCs w:val="32"/>
        </w:rPr>
        <w:t>)项目组织架构及实施流程。</w:t>
      </w:r>
    </w:p>
    <w:p w14:paraId="177DCAE0">
      <w:pPr>
        <w:spacing w:before="162" w:line="318" w:lineRule="auto"/>
        <w:ind w:right="70" w:firstLine="759"/>
        <w:rPr>
          <w:rFonts w:ascii="仿宋" w:hAnsi="仿宋" w:eastAsia="仿宋" w:cs="仿宋"/>
          <w:spacing w:val="8"/>
          <w:sz w:val="32"/>
          <w:szCs w:val="32"/>
        </w:rPr>
      </w:pPr>
      <w:r>
        <w:rPr>
          <w:rFonts w:hint="eastAsia" w:ascii="仿宋" w:hAnsi="仿宋" w:eastAsia="仿宋" w:cs="仿宋"/>
          <w:spacing w:val="8"/>
          <w:sz w:val="32"/>
          <w:szCs w:val="32"/>
        </w:rPr>
        <w:t>项目资金由市财政下达至市应急管理局，经应急管理局审核后，再划拨至属地乡镇，由属地乡镇监督发放。</w:t>
      </w:r>
    </w:p>
    <w:p w14:paraId="2F2C199E">
      <w:pPr>
        <w:spacing w:before="162" w:line="318" w:lineRule="auto"/>
        <w:ind w:right="70" w:firstLine="759"/>
        <w:rPr>
          <w:rFonts w:ascii="仿宋" w:hAnsi="仿宋" w:eastAsia="仿宋" w:cs="仿宋"/>
          <w:spacing w:val="-4"/>
          <w:sz w:val="32"/>
          <w:szCs w:val="32"/>
        </w:rPr>
      </w:pPr>
      <w:r>
        <w:rPr>
          <w:rFonts w:ascii="仿宋" w:hAnsi="仿宋" w:eastAsia="仿宋" w:cs="仿宋"/>
          <w:spacing w:val="8"/>
          <w:sz w:val="32"/>
          <w:szCs w:val="32"/>
        </w:rPr>
        <w:t>(</w:t>
      </w:r>
      <w:r>
        <w:rPr>
          <w:rFonts w:ascii="仿宋" w:hAnsi="仿宋" w:eastAsia="仿宋" w:cs="仿宋"/>
          <w:spacing w:val="5"/>
          <w:sz w:val="32"/>
          <w:szCs w:val="32"/>
        </w:rPr>
        <w:t>二</w:t>
      </w:r>
      <w:r>
        <w:rPr>
          <w:rFonts w:ascii="仿宋" w:hAnsi="仿宋" w:eastAsia="仿宋" w:cs="仿宋"/>
          <w:spacing w:val="4"/>
          <w:sz w:val="32"/>
          <w:szCs w:val="32"/>
        </w:rPr>
        <w:t>)项目管理情况。</w:t>
      </w:r>
      <w:r>
        <w:rPr>
          <w:rFonts w:hint="eastAsia" w:ascii="仿宋" w:hAnsi="仿宋" w:eastAsia="仿宋" w:cs="仿宋"/>
          <w:spacing w:val="4"/>
          <w:sz w:val="32"/>
          <w:szCs w:val="32"/>
        </w:rPr>
        <w:t>按照相关管理办法执行</w:t>
      </w:r>
      <w:r>
        <w:rPr>
          <w:rFonts w:ascii="仿宋" w:hAnsi="仿宋" w:eastAsia="仿宋" w:cs="仿宋"/>
          <w:spacing w:val="-4"/>
          <w:sz w:val="32"/>
          <w:szCs w:val="32"/>
        </w:rPr>
        <w:t>。</w:t>
      </w:r>
    </w:p>
    <w:p w14:paraId="23544F00">
      <w:pPr>
        <w:spacing w:before="104" w:line="317" w:lineRule="auto"/>
        <w:ind w:firstLine="672" w:firstLineChars="200"/>
        <w:rPr>
          <w:rFonts w:ascii="仿宋" w:hAnsi="仿宋" w:eastAsia="仿宋" w:cs="仿宋"/>
          <w:spacing w:val="4"/>
          <w:sz w:val="32"/>
          <w:szCs w:val="32"/>
        </w:rPr>
      </w:pPr>
      <w:r>
        <w:rPr>
          <w:rFonts w:ascii="仿宋" w:hAnsi="仿宋" w:eastAsia="仿宋" w:cs="仿宋"/>
          <w:spacing w:val="8"/>
          <w:sz w:val="32"/>
          <w:szCs w:val="32"/>
        </w:rPr>
        <w:t>(三)项</w:t>
      </w:r>
      <w:r>
        <w:rPr>
          <w:rFonts w:ascii="仿宋" w:hAnsi="仿宋" w:eastAsia="仿宋" w:cs="仿宋"/>
          <w:spacing w:val="4"/>
          <w:sz w:val="32"/>
          <w:szCs w:val="32"/>
        </w:rPr>
        <w:t>目监管情况。</w:t>
      </w:r>
    </w:p>
    <w:p w14:paraId="374498AB">
      <w:pPr>
        <w:spacing w:before="104" w:line="317" w:lineRule="auto"/>
        <w:ind w:firstLine="628" w:firstLineChars="200"/>
        <w:rPr>
          <w:rFonts w:ascii="仿宋" w:hAnsi="仿宋" w:eastAsia="仿宋" w:cs="仿宋"/>
          <w:sz w:val="32"/>
          <w:szCs w:val="32"/>
        </w:rPr>
      </w:pPr>
      <w:r>
        <w:rPr>
          <w:rFonts w:hint="eastAsia" w:ascii="仿宋" w:hAnsi="仿宋" w:eastAsia="仿宋" w:cs="仿宋"/>
          <w:spacing w:val="-3"/>
          <w:sz w:val="32"/>
          <w:szCs w:val="32"/>
        </w:rPr>
        <w:t>相关资金优先用于职工善后安置等工作，资金由属地乡镇监督发放。</w:t>
      </w:r>
    </w:p>
    <w:p w14:paraId="2F62A272">
      <w:pPr>
        <w:spacing w:line="221" w:lineRule="auto"/>
        <w:ind w:left="624"/>
        <w:outlineLvl w:val="0"/>
        <w:rPr>
          <w:rFonts w:ascii="黑体" w:hAnsi="黑体" w:eastAsia="黑体" w:cs="黑体"/>
          <w:sz w:val="32"/>
          <w:szCs w:val="32"/>
        </w:rPr>
      </w:pPr>
      <w:r>
        <w:rPr>
          <w:rFonts w:ascii="黑体" w:hAnsi="黑体" w:eastAsia="黑体" w:cs="黑体"/>
          <w:spacing w:val="-6"/>
          <w:sz w:val="32"/>
          <w:szCs w:val="32"/>
        </w:rPr>
        <w:t>四</w:t>
      </w:r>
      <w:r>
        <w:rPr>
          <w:rFonts w:ascii="黑体" w:hAnsi="黑体" w:eastAsia="黑体" w:cs="黑体"/>
          <w:spacing w:val="-4"/>
          <w:sz w:val="32"/>
          <w:szCs w:val="32"/>
        </w:rPr>
        <w:t>、</w:t>
      </w:r>
      <w:r>
        <w:rPr>
          <w:rFonts w:ascii="黑体" w:hAnsi="黑体" w:eastAsia="黑体" w:cs="黑体"/>
          <w:spacing w:val="-3"/>
          <w:sz w:val="32"/>
          <w:szCs w:val="32"/>
        </w:rPr>
        <w:t>项目绩效情况</w:t>
      </w:r>
    </w:p>
    <w:p w14:paraId="2ED735DA">
      <w:pPr>
        <w:spacing w:before="152" w:line="227" w:lineRule="auto"/>
        <w:ind w:left="759"/>
        <w:rPr>
          <w:rFonts w:ascii="楷体" w:hAnsi="楷体" w:eastAsia="楷体" w:cs="楷体"/>
          <w:sz w:val="32"/>
          <w:szCs w:val="32"/>
        </w:rPr>
      </w:pPr>
      <w:r>
        <w:rPr>
          <w:rFonts w:ascii="楷体" w:hAnsi="楷体" w:eastAsia="楷体" w:cs="楷体"/>
          <w:spacing w:val="23"/>
          <w:sz w:val="32"/>
          <w:szCs w:val="32"/>
        </w:rPr>
        <w:t>(</w:t>
      </w:r>
      <w:r>
        <w:rPr>
          <w:rFonts w:ascii="楷体" w:hAnsi="楷体" w:eastAsia="楷体" w:cs="楷体"/>
          <w:spacing w:val="17"/>
          <w:sz w:val="32"/>
          <w:szCs w:val="32"/>
        </w:rPr>
        <w:t>一)项目完成情况</w:t>
      </w:r>
    </w:p>
    <w:p w14:paraId="6C1DD819">
      <w:pPr>
        <w:widowControl/>
        <w:kinsoku w:val="0"/>
        <w:autoSpaceDE w:val="0"/>
        <w:autoSpaceDN w:val="0"/>
        <w:adjustRightInd w:val="0"/>
        <w:snapToGrid w:val="0"/>
        <w:spacing w:line="560" w:lineRule="atLeast"/>
        <w:ind w:firstLine="676" w:firstLineChars="200"/>
        <w:textAlignment w:val="baseline"/>
        <w:rPr>
          <w:rFonts w:ascii="楷体" w:hAnsi="楷体" w:eastAsia="楷体" w:cs="楷体"/>
          <w:spacing w:val="23"/>
          <w:sz w:val="32"/>
          <w:szCs w:val="32"/>
        </w:rPr>
      </w:pPr>
      <w:r>
        <w:rPr>
          <w:rFonts w:hint="eastAsia" w:ascii="仿宋" w:hAnsi="仿宋" w:eastAsia="仿宋" w:cs="仿宋"/>
          <w:spacing w:val="9"/>
          <w:sz w:val="32"/>
          <w:szCs w:val="32"/>
        </w:rPr>
        <w:t>合计退出煤炭产能45万吨，完成上级下达任务。</w:t>
      </w:r>
    </w:p>
    <w:p w14:paraId="4B617BAF">
      <w:pPr>
        <w:spacing w:before="1" w:line="226" w:lineRule="auto"/>
        <w:ind w:left="759"/>
        <w:rPr>
          <w:rFonts w:ascii="楷体" w:hAnsi="楷体" w:eastAsia="楷体" w:cs="楷体"/>
          <w:spacing w:val="23"/>
          <w:sz w:val="32"/>
          <w:szCs w:val="32"/>
        </w:rPr>
      </w:pPr>
    </w:p>
    <w:p w14:paraId="7E1BD427">
      <w:pPr>
        <w:spacing w:before="1" w:line="226" w:lineRule="auto"/>
        <w:ind w:left="759"/>
        <w:rPr>
          <w:rFonts w:ascii="楷体" w:hAnsi="楷体" w:eastAsia="楷体" w:cs="楷体"/>
          <w:sz w:val="32"/>
          <w:szCs w:val="32"/>
        </w:rPr>
      </w:pPr>
      <w:r>
        <w:rPr>
          <w:rFonts w:ascii="楷体" w:hAnsi="楷体" w:eastAsia="楷体" w:cs="楷体"/>
          <w:spacing w:val="23"/>
          <w:sz w:val="32"/>
          <w:szCs w:val="32"/>
        </w:rPr>
        <w:t>(</w:t>
      </w:r>
      <w:r>
        <w:rPr>
          <w:rFonts w:ascii="楷体" w:hAnsi="楷体" w:eastAsia="楷体" w:cs="楷体"/>
          <w:spacing w:val="17"/>
          <w:sz w:val="32"/>
          <w:szCs w:val="32"/>
        </w:rPr>
        <w:t>二)项目效益情况</w:t>
      </w:r>
    </w:p>
    <w:p w14:paraId="71D3DC37">
      <w:pPr>
        <w:widowControl/>
        <w:kinsoku w:val="0"/>
        <w:autoSpaceDE w:val="0"/>
        <w:autoSpaceDN w:val="0"/>
        <w:adjustRightInd w:val="0"/>
        <w:snapToGrid w:val="0"/>
        <w:spacing w:line="560" w:lineRule="atLeast"/>
        <w:ind w:firstLine="676" w:firstLineChars="200"/>
        <w:textAlignment w:val="baseline"/>
        <w:rPr>
          <w:rFonts w:ascii="仿宋" w:hAnsi="仿宋" w:eastAsia="仿宋" w:cs="仿宋"/>
          <w:spacing w:val="9"/>
          <w:sz w:val="32"/>
          <w:szCs w:val="32"/>
        </w:rPr>
      </w:pPr>
      <w:r>
        <w:rPr>
          <w:rFonts w:hint="eastAsia" w:ascii="仿宋" w:hAnsi="仿宋" w:eastAsia="仿宋" w:cs="仿宋"/>
          <w:spacing w:val="9"/>
          <w:sz w:val="32"/>
          <w:szCs w:val="32"/>
        </w:rPr>
        <w:t>峨眉山市煤矿实现整体退出，从源头上解决煤矿安全生产事故多、风险大的问题。</w:t>
      </w:r>
    </w:p>
    <w:p w14:paraId="12B70F99">
      <w:pPr>
        <w:spacing w:line="283" w:lineRule="auto"/>
        <w:rPr>
          <w:rFonts w:ascii="Arial"/>
        </w:rPr>
      </w:pPr>
    </w:p>
    <w:p w14:paraId="42B52302">
      <w:pPr>
        <w:spacing w:before="101" w:line="222" w:lineRule="auto"/>
        <w:ind w:left="644"/>
        <w:outlineLvl w:val="0"/>
        <w:rPr>
          <w:rFonts w:ascii="黑体" w:hAnsi="黑体" w:eastAsia="黑体" w:cs="黑体"/>
          <w:sz w:val="31"/>
          <w:szCs w:val="31"/>
        </w:rPr>
      </w:pPr>
      <w:r>
        <w:rPr>
          <w:rFonts w:ascii="黑体" w:hAnsi="黑体" w:eastAsia="黑体" w:cs="黑体"/>
          <w:spacing w:val="6"/>
          <w:sz w:val="31"/>
          <w:szCs w:val="31"/>
        </w:rPr>
        <w:t>五、评价结论及建议</w:t>
      </w:r>
    </w:p>
    <w:p w14:paraId="780DC02C">
      <w:pPr>
        <w:spacing w:before="176" w:line="223" w:lineRule="auto"/>
        <w:ind w:left="769"/>
        <w:rPr>
          <w:rFonts w:ascii="楷体" w:hAnsi="楷体" w:eastAsia="楷体" w:cs="楷体"/>
          <w:sz w:val="31"/>
          <w:szCs w:val="31"/>
        </w:rPr>
      </w:pPr>
      <w:r>
        <w:rPr>
          <w:rFonts w:ascii="楷体" w:hAnsi="楷体" w:eastAsia="楷体" w:cs="楷体"/>
          <w:spacing w:val="32"/>
          <w:sz w:val="31"/>
          <w:szCs w:val="31"/>
        </w:rPr>
        <w:t>(一)评价结论</w:t>
      </w:r>
    </w:p>
    <w:p w14:paraId="2B0F8C3E">
      <w:pPr>
        <w:spacing w:before="190" w:line="328" w:lineRule="auto"/>
        <w:ind w:firstLine="636" w:firstLineChars="200"/>
        <w:rPr>
          <w:rFonts w:ascii="仿宋" w:hAnsi="仿宋" w:eastAsia="仿宋" w:cs="仿宋"/>
          <w:sz w:val="31"/>
          <w:szCs w:val="31"/>
        </w:rPr>
      </w:pPr>
      <w:r>
        <w:rPr>
          <w:rFonts w:hint="eastAsia" w:ascii="仿宋" w:hAnsi="仿宋" w:eastAsia="仿宋" w:cs="仿宋"/>
          <w:spacing w:val="4"/>
          <w:sz w:val="31"/>
          <w:szCs w:val="31"/>
        </w:rPr>
        <w:t>该项目</w:t>
      </w:r>
      <w:r>
        <w:rPr>
          <w:rFonts w:ascii="仿宋" w:hAnsi="仿宋" w:eastAsia="仿宋" w:cs="仿宋"/>
          <w:spacing w:val="4"/>
          <w:sz w:val="31"/>
          <w:szCs w:val="31"/>
        </w:rPr>
        <w:t>总体评价</w:t>
      </w:r>
      <w:r>
        <w:rPr>
          <w:rFonts w:hint="eastAsia" w:ascii="仿宋" w:hAnsi="仿宋" w:eastAsia="仿宋" w:cs="仿宋"/>
          <w:spacing w:val="4"/>
          <w:sz w:val="31"/>
          <w:szCs w:val="31"/>
        </w:rPr>
        <w:t>符合国家化解煤炭过剩产能工作要求</w:t>
      </w:r>
      <w:r>
        <w:rPr>
          <w:rFonts w:ascii="仿宋" w:hAnsi="仿宋" w:eastAsia="仿宋" w:cs="仿宋"/>
          <w:spacing w:val="4"/>
          <w:sz w:val="31"/>
          <w:szCs w:val="31"/>
        </w:rPr>
        <w:t>。</w:t>
      </w:r>
    </w:p>
    <w:p w14:paraId="7BCF4316">
      <w:pPr>
        <w:spacing w:line="226" w:lineRule="auto"/>
        <w:ind w:left="769"/>
        <w:rPr>
          <w:rFonts w:ascii="楷体" w:hAnsi="楷体" w:eastAsia="楷体" w:cs="楷体"/>
          <w:sz w:val="31"/>
          <w:szCs w:val="31"/>
        </w:rPr>
      </w:pPr>
      <w:r>
        <w:rPr>
          <w:rFonts w:ascii="楷体" w:hAnsi="楷体" w:eastAsia="楷体" w:cs="楷体"/>
          <w:spacing w:val="30"/>
          <w:sz w:val="31"/>
          <w:szCs w:val="31"/>
        </w:rPr>
        <w:t>(二)存在的问题</w:t>
      </w:r>
    </w:p>
    <w:p w14:paraId="4A3B23FE">
      <w:pPr>
        <w:spacing w:before="174" w:line="219" w:lineRule="auto"/>
        <w:ind w:left="640"/>
        <w:rPr>
          <w:rFonts w:ascii="仿宋" w:hAnsi="仿宋" w:eastAsia="仿宋" w:cs="仿宋"/>
          <w:sz w:val="31"/>
          <w:szCs w:val="31"/>
        </w:rPr>
      </w:pPr>
      <w:r>
        <w:rPr>
          <w:rFonts w:hint="eastAsia" w:ascii="仿宋" w:hAnsi="仿宋" w:eastAsia="仿宋" w:cs="仿宋"/>
          <w:spacing w:val="3"/>
          <w:sz w:val="31"/>
          <w:szCs w:val="31"/>
        </w:rPr>
        <w:t>无</w:t>
      </w:r>
      <w:r>
        <w:rPr>
          <w:rFonts w:ascii="仿宋" w:hAnsi="仿宋" w:eastAsia="仿宋" w:cs="仿宋"/>
          <w:spacing w:val="3"/>
          <w:sz w:val="31"/>
          <w:szCs w:val="31"/>
        </w:rPr>
        <w:t>。</w:t>
      </w:r>
    </w:p>
    <w:p w14:paraId="71537B94">
      <w:pPr>
        <w:spacing w:before="183" w:line="232" w:lineRule="auto"/>
        <w:ind w:left="774"/>
        <w:rPr>
          <w:rFonts w:ascii="楷体" w:hAnsi="楷体" w:eastAsia="楷体" w:cs="楷体"/>
          <w:sz w:val="31"/>
          <w:szCs w:val="31"/>
        </w:rPr>
      </w:pPr>
      <w:r>
        <w:rPr>
          <w:rFonts w:ascii="楷体" w:hAnsi="楷体" w:eastAsia="楷体" w:cs="楷体"/>
          <w:spacing w:val="31"/>
          <w:sz w:val="31"/>
          <w:szCs w:val="31"/>
        </w:rPr>
        <w:t>(</w:t>
      </w:r>
      <w:r>
        <w:rPr>
          <w:rFonts w:ascii="楷体" w:hAnsi="楷体" w:eastAsia="楷体" w:cs="楷体"/>
          <w:spacing w:val="30"/>
          <w:sz w:val="31"/>
          <w:szCs w:val="31"/>
        </w:rPr>
        <w:t>三)相关建议</w:t>
      </w:r>
    </w:p>
    <w:p w14:paraId="1A17EA25">
      <w:pPr>
        <w:spacing w:before="163" w:line="340" w:lineRule="auto"/>
        <w:ind w:right="29" w:firstLine="640"/>
        <w:sectPr>
          <w:footerReference r:id="rId3" w:type="default"/>
          <w:pgSz w:w="11910" w:h="16840"/>
          <w:pgMar w:top="1431" w:right="1397" w:bottom="1496" w:left="1619" w:header="0" w:footer="1086" w:gutter="0"/>
          <w:pgNumType w:start="0"/>
          <w:cols w:space="720" w:num="1"/>
        </w:sectPr>
      </w:pPr>
    </w:p>
    <w:p w14:paraId="12CC286C">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7612A0A4">
      <w:pPr>
        <w:pStyle w:val="2"/>
        <w:spacing w:before="72"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0FD690D9">
      <w:pPr>
        <w:pStyle w:val="2"/>
        <w:spacing w:before="72"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目标自评（煤矿关闭奖补资金）</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14600B83">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1BB3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9925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406001峨眉山市应急管理局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9A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EEAE">
            <w:pPr>
              <w:widowControl/>
              <w:spacing w:line="320" w:lineRule="exac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峨眉山市应急管理局</w:t>
            </w:r>
          </w:p>
        </w:tc>
      </w:tr>
      <w:tr w14:paraId="046E7728">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CF58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14:paraId="5258203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14:paraId="54C3B95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F42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EBF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2702.18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338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376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2702.18</w:t>
            </w:r>
          </w:p>
        </w:tc>
      </w:tr>
      <w:tr w14:paraId="3BE9F7ED">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EA4C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1CB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5917940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6CA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2702.18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E4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2A5EBC2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D5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2702.18</w:t>
            </w:r>
          </w:p>
        </w:tc>
      </w:tr>
      <w:tr w14:paraId="151FE2F8">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45EF">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994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F69B">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50B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2BE6">
            <w:pPr>
              <w:widowControl/>
              <w:spacing w:line="320" w:lineRule="exact"/>
              <w:jc w:val="center"/>
              <w:textAlignment w:val="center"/>
              <w:rPr>
                <w:rFonts w:ascii="仿宋_GB2312" w:hAnsi="仿宋_GB2312" w:eastAsia="仿宋_GB2312" w:cs="仿宋_GB2312"/>
                <w:sz w:val="28"/>
                <w:szCs w:val="28"/>
              </w:rPr>
            </w:pPr>
          </w:p>
        </w:tc>
      </w:tr>
      <w:tr w14:paraId="2FC0F2E7">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B10E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06FDB34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3442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FC40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3268BB68">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D0B5">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A207D">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按照煤矿关闭以奖代补协议，支付奖补资金</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A3427">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按照煤矿关闭以奖代补协议，支付奖补资金</w:t>
            </w:r>
          </w:p>
        </w:tc>
      </w:tr>
      <w:tr w14:paraId="66542D06">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3B12697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3855725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3B5F76A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CC5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211BED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0B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5704FDB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005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93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5348927B">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16DA4C9B">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2E3F8">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2F2449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F05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14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关闭煤矿</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1BE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1A6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3家</w:t>
            </w:r>
          </w:p>
        </w:tc>
      </w:tr>
      <w:tr w14:paraId="7F0C6BB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7BD533B9">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848A9">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0A8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397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按协议支付奖补资金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78E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按协议支付支付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F4B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已支付</w:t>
            </w:r>
          </w:p>
        </w:tc>
      </w:tr>
      <w:tr w14:paraId="59C85F33">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200EC31C">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959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73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3786">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802">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CCE">
            <w:pPr>
              <w:widowControl/>
              <w:spacing w:line="320" w:lineRule="exact"/>
              <w:jc w:val="center"/>
              <w:textAlignment w:val="bottom"/>
              <w:rPr>
                <w:rFonts w:ascii="仿宋_GB2312" w:hAnsi="仿宋_GB2312" w:eastAsia="仿宋_GB2312" w:cs="仿宋_GB2312"/>
                <w:sz w:val="28"/>
                <w:szCs w:val="28"/>
              </w:rPr>
            </w:pPr>
          </w:p>
        </w:tc>
      </w:tr>
      <w:tr w14:paraId="71BA0BDF">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646EE51D">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E63A">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C9D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3B30">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61B">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DFCB">
            <w:pPr>
              <w:widowControl/>
              <w:spacing w:line="320" w:lineRule="exact"/>
              <w:jc w:val="center"/>
              <w:textAlignment w:val="bottom"/>
              <w:rPr>
                <w:rFonts w:ascii="仿宋_GB2312" w:hAnsi="仿宋_GB2312" w:eastAsia="仿宋_GB2312" w:cs="仿宋_GB2312"/>
                <w:sz w:val="28"/>
                <w:szCs w:val="28"/>
              </w:rPr>
            </w:pPr>
          </w:p>
        </w:tc>
      </w:tr>
      <w:tr w14:paraId="57ADF057">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3362BFCE">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CBCE8">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6A6110A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2BD8">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712">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B0E2">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72DF">
            <w:pPr>
              <w:widowControl/>
              <w:spacing w:line="320" w:lineRule="exact"/>
              <w:jc w:val="center"/>
              <w:textAlignment w:val="bottom"/>
              <w:rPr>
                <w:rFonts w:ascii="仿宋_GB2312" w:hAnsi="仿宋_GB2312" w:eastAsia="仿宋_GB2312" w:cs="仿宋_GB2312"/>
                <w:sz w:val="28"/>
                <w:szCs w:val="28"/>
              </w:rPr>
            </w:pPr>
          </w:p>
        </w:tc>
      </w:tr>
      <w:tr w14:paraId="4935BBBE">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7398562C">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CF9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D983">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8C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妥善安置职工</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850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发放离职补偿等</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841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已发放</w:t>
            </w:r>
          </w:p>
        </w:tc>
      </w:tr>
      <w:tr w14:paraId="38D31ABF">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01700360">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65D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1BC">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A46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减少煤矿开采造成的环境污染</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F4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减少煤矿开采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95A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煤矿关闭</w:t>
            </w:r>
          </w:p>
        </w:tc>
      </w:tr>
      <w:tr w14:paraId="17803F4F">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6928EA57">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A7D5">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67B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DED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降低安全生产事故风险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F9D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煤矿关闭，停止生产</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A4D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煤矿关闭，停止生产</w:t>
            </w:r>
          </w:p>
        </w:tc>
      </w:tr>
      <w:tr w14:paraId="43B6A863">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0ED41F95">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BC5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CFC2">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2E85B0B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1B8E">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C2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1216">
            <w:pPr>
              <w:widowControl/>
              <w:spacing w:line="320" w:lineRule="exact"/>
              <w:jc w:val="center"/>
              <w:textAlignment w:val="bottom"/>
              <w:rPr>
                <w:rFonts w:ascii="仿宋_GB2312" w:hAnsi="仿宋_GB2312" w:eastAsia="仿宋_GB2312" w:cs="仿宋_GB2312"/>
                <w:sz w:val="28"/>
                <w:szCs w:val="28"/>
              </w:rPr>
            </w:pPr>
          </w:p>
        </w:tc>
      </w:tr>
    </w:tbl>
    <w:p w14:paraId="5ACD3BE4">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628EF00A">
      <w:pPr>
        <w:widowControl/>
        <w:adjustRightInd w:val="0"/>
        <w:snapToGrid w:val="0"/>
        <w:spacing w:line="600" w:lineRule="exact"/>
        <w:contextualSpacing/>
        <w:jc w:val="left"/>
        <w:rPr>
          <w:rFonts w:ascii="仿宋_GB2312" w:hAnsi="仿宋_GB2312" w:eastAsia="仿宋_GB2312" w:cs="仿宋_GB2312"/>
          <w:sz w:val="28"/>
          <w:szCs w:val="28"/>
        </w:rPr>
      </w:pPr>
    </w:p>
    <w:p w14:paraId="43F45E6F">
      <w:pPr>
        <w:pStyle w:val="2"/>
        <w:spacing w:before="72"/>
      </w:pPr>
    </w:p>
    <w:p w14:paraId="04BCAF01">
      <w:pPr>
        <w:pStyle w:val="2"/>
        <w:spacing w:before="72"/>
      </w:pPr>
    </w:p>
    <w:p w14:paraId="77370831">
      <w:pPr>
        <w:pStyle w:val="2"/>
        <w:spacing w:before="72"/>
      </w:pPr>
    </w:p>
    <w:p w14:paraId="40849E69">
      <w:pPr>
        <w:pStyle w:val="2"/>
        <w:spacing w:before="72"/>
      </w:pPr>
    </w:p>
    <w:p w14:paraId="3E67AAA4">
      <w:pPr>
        <w:pStyle w:val="2"/>
        <w:spacing w:before="72"/>
      </w:pPr>
    </w:p>
    <w:p w14:paraId="799AAA56">
      <w:pPr>
        <w:pStyle w:val="2"/>
        <w:spacing w:before="72"/>
      </w:pPr>
    </w:p>
    <w:p w14:paraId="202DAFB1">
      <w:pPr>
        <w:pStyle w:val="2"/>
        <w:spacing w:before="72"/>
      </w:pPr>
    </w:p>
    <w:p w14:paraId="0907AF9B">
      <w:pPr>
        <w:pStyle w:val="2"/>
        <w:spacing w:before="72"/>
      </w:pPr>
    </w:p>
    <w:p w14:paraId="49BF14FA">
      <w:pPr>
        <w:pStyle w:val="2"/>
        <w:spacing w:before="72"/>
      </w:pPr>
    </w:p>
    <w:p w14:paraId="163C2F44">
      <w:pPr>
        <w:pStyle w:val="2"/>
        <w:spacing w:before="72"/>
      </w:pPr>
    </w:p>
    <w:p w14:paraId="18AAA6D8">
      <w:pPr>
        <w:pStyle w:val="2"/>
        <w:spacing w:before="72"/>
      </w:pPr>
    </w:p>
    <w:p w14:paraId="6D7AA602">
      <w:pPr>
        <w:pStyle w:val="2"/>
        <w:spacing w:before="72"/>
      </w:pPr>
    </w:p>
    <w:p w14:paraId="7B9038BE">
      <w:pPr>
        <w:pStyle w:val="2"/>
        <w:spacing w:before="72"/>
      </w:pPr>
    </w:p>
    <w:p w14:paraId="0F5B1542">
      <w:pPr>
        <w:pStyle w:val="2"/>
        <w:spacing w:before="72"/>
      </w:pPr>
    </w:p>
    <w:p w14:paraId="22A4C712">
      <w:pPr>
        <w:pStyle w:val="2"/>
        <w:spacing w:before="72"/>
      </w:pPr>
    </w:p>
    <w:p w14:paraId="68B39ABA">
      <w:pPr>
        <w:pStyle w:val="2"/>
        <w:spacing w:before="72"/>
      </w:pPr>
    </w:p>
    <w:p w14:paraId="7CC09045">
      <w:pPr>
        <w:pStyle w:val="2"/>
        <w:spacing w:before="72"/>
      </w:pPr>
    </w:p>
    <w:p w14:paraId="70ABE14F">
      <w:pPr>
        <w:pStyle w:val="2"/>
        <w:spacing w:before="72"/>
      </w:pPr>
    </w:p>
    <w:p w14:paraId="2BB9877D">
      <w:pPr>
        <w:pStyle w:val="2"/>
        <w:spacing w:before="72"/>
      </w:pPr>
    </w:p>
    <w:p w14:paraId="55314E3E">
      <w:pPr>
        <w:pStyle w:val="2"/>
        <w:spacing w:before="72"/>
      </w:pPr>
    </w:p>
    <w:p w14:paraId="133D21E1">
      <w:pPr>
        <w:pStyle w:val="2"/>
        <w:spacing w:before="72"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14:paraId="23878528">
      <w:pPr>
        <w:pStyle w:val="2"/>
        <w:spacing w:before="72" w:line="600" w:lineRule="exact"/>
        <w:rPr>
          <w:rFonts w:ascii="黑体" w:hAnsi="黑体" w:eastAsia="黑体" w:cs="黑体"/>
          <w:sz w:val="32"/>
          <w:szCs w:val="32"/>
          <w:shd w:val="clear" w:color="auto" w:fill="FFFFFF"/>
          <w:lang w:val="zh-CN"/>
        </w:rPr>
      </w:pPr>
    </w:p>
    <w:p w14:paraId="7BBFB037">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w:t>
      </w:r>
    </w:p>
    <w:p w14:paraId="7A32B841">
      <w:pPr>
        <w:spacing w:line="600" w:lineRule="exact"/>
        <w:ind w:firstLine="883"/>
        <w:jc w:val="center"/>
        <w:rPr>
          <w:rFonts w:asciiTheme="minorEastAsia" w:hAnsiTheme="minorEastAsia" w:eastAsiaTheme="minorEastAsia" w:cstheme="minorEastAsia"/>
          <w:sz w:val="32"/>
          <w:szCs w:val="32"/>
          <w:lang w:val="zh-CN"/>
        </w:rPr>
      </w:pPr>
      <w:r>
        <w:rPr>
          <w:rFonts w:hint="eastAsia" w:asciiTheme="minorEastAsia" w:hAnsiTheme="minorEastAsia" w:eastAsiaTheme="minorEastAsia" w:cstheme="minorEastAsia"/>
          <w:sz w:val="32"/>
          <w:szCs w:val="32"/>
          <w:lang w:val="zh-CN"/>
        </w:rPr>
        <w:t>（</w:t>
      </w:r>
      <w:r>
        <w:rPr>
          <w:rFonts w:hint="eastAsia" w:asciiTheme="minorEastAsia" w:hAnsiTheme="minorEastAsia" w:eastAsiaTheme="minorEastAsia" w:cstheme="minorEastAsia"/>
          <w:b/>
          <w:sz w:val="32"/>
          <w:szCs w:val="32"/>
        </w:rPr>
        <w:t>安全发展示范城市创建</w:t>
      </w:r>
      <w:r>
        <w:rPr>
          <w:rFonts w:hint="eastAsia" w:asciiTheme="minorEastAsia" w:hAnsiTheme="minorEastAsia" w:eastAsiaTheme="minorEastAsia" w:cstheme="minorEastAsia"/>
          <w:sz w:val="32"/>
          <w:szCs w:val="32"/>
          <w:lang w:val="zh-CN"/>
        </w:rPr>
        <w:t>）</w:t>
      </w:r>
    </w:p>
    <w:p w14:paraId="06B9CF59">
      <w:pPr>
        <w:spacing w:line="600" w:lineRule="exact"/>
        <w:ind w:firstLine="640"/>
        <w:jc w:val="center"/>
        <w:rPr>
          <w:rFonts w:asciiTheme="minorEastAsia" w:hAnsiTheme="minorEastAsia" w:eastAsiaTheme="minorEastAsia" w:cstheme="minorEastAsia"/>
          <w:sz w:val="32"/>
          <w:szCs w:val="32"/>
          <w:lang w:val="zh-CN"/>
        </w:rPr>
      </w:pPr>
    </w:p>
    <w:p w14:paraId="59EA0D8B">
      <w:pPr>
        <w:widowControl/>
        <w:kinsoku w:val="0"/>
        <w:autoSpaceDE w:val="0"/>
        <w:autoSpaceDN w:val="0"/>
        <w:adjustRightInd w:val="0"/>
        <w:snapToGrid w:val="0"/>
        <w:spacing w:line="560" w:lineRule="atLeast"/>
        <w:ind w:left="624"/>
        <w:textAlignment w:val="baseline"/>
        <w:outlineLvl w:val="0"/>
        <w:rPr>
          <w:rFonts w:ascii="仿宋" w:hAnsi="仿宋" w:eastAsia="仿宋" w:cs="仿宋"/>
          <w:sz w:val="32"/>
          <w:szCs w:val="32"/>
        </w:rPr>
      </w:pPr>
      <w:r>
        <w:rPr>
          <w:rFonts w:ascii="仿宋" w:hAnsi="仿宋" w:eastAsia="仿宋" w:cs="仿宋"/>
          <w:spacing w:val="-6"/>
          <w:sz w:val="32"/>
          <w:szCs w:val="32"/>
        </w:rPr>
        <w:t>一</w:t>
      </w:r>
      <w:r>
        <w:rPr>
          <w:rFonts w:ascii="仿宋" w:hAnsi="仿宋" w:eastAsia="仿宋" w:cs="仿宋"/>
          <w:spacing w:val="-4"/>
          <w:sz w:val="32"/>
          <w:szCs w:val="32"/>
        </w:rPr>
        <w:t>、</w:t>
      </w:r>
      <w:r>
        <w:rPr>
          <w:rFonts w:ascii="仿宋" w:hAnsi="仿宋" w:eastAsia="仿宋" w:cs="仿宋"/>
          <w:spacing w:val="-3"/>
          <w:sz w:val="32"/>
          <w:szCs w:val="32"/>
        </w:rPr>
        <w:t>项目概况</w:t>
      </w:r>
    </w:p>
    <w:p w14:paraId="3860ED23">
      <w:pPr>
        <w:widowControl/>
        <w:kinsoku w:val="0"/>
        <w:autoSpaceDE w:val="0"/>
        <w:autoSpaceDN w:val="0"/>
        <w:adjustRightInd w:val="0"/>
        <w:snapToGrid w:val="0"/>
        <w:spacing w:line="560" w:lineRule="atLeast"/>
        <w:ind w:left="759"/>
        <w:textAlignment w:val="baseline"/>
        <w:rPr>
          <w:rFonts w:ascii="仿宋" w:hAnsi="仿宋" w:eastAsia="仿宋" w:cs="仿宋"/>
          <w:spacing w:val="9"/>
          <w:sz w:val="32"/>
          <w:szCs w:val="32"/>
        </w:rPr>
      </w:pPr>
      <w:r>
        <w:rPr>
          <w:rFonts w:ascii="仿宋" w:hAnsi="仿宋" w:eastAsia="仿宋" w:cs="仿宋"/>
          <w:spacing w:val="10"/>
          <w:sz w:val="32"/>
          <w:szCs w:val="32"/>
        </w:rPr>
        <w:t>(一)项目主要内容</w:t>
      </w:r>
      <w:r>
        <w:rPr>
          <w:rFonts w:ascii="仿宋" w:hAnsi="仿宋" w:eastAsia="仿宋" w:cs="仿宋"/>
          <w:spacing w:val="9"/>
          <w:sz w:val="32"/>
          <w:szCs w:val="32"/>
        </w:rPr>
        <w:t>。</w:t>
      </w:r>
    </w:p>
    <w:p w14:paraId="04FD11C1">
      <w:pPr>
        <w:widowControl/>
        <w:kinsoku w:val="0"/>
        <w:autoSpaceDE w:val="0"/>
        <w:autoSpaceDN w:val="0"/>
        <w:adjustRightInd w:val="0"/>
        <w:snapToGrid w:val="0"/>
        <w:spacing w:line="560" w:lineRule="atLeast"/>
        <w:ind w:firstLine="676" w:firstLineChars="200"/>
        <w:textAlignment w:val="baseline"/>
        <w:rPr>
          <w:rFonts w:ascii="仿宋" w:hAnsi="仿宋" w:eastAsia="仿宋" w:cs="仿宋"/>
          <w:spacing w:val="9"/>
          <w:sz w:val="32"/>
          <w:szCs w:val="32"/>
        </w:rPr>
      </w:pPr>
      <w:r>
        <w:rPr>
          <w:rFonts w:hint="eastAsia" w:ascii="仿宋" w:hAnsi="仿宋" w:eastAsia="仿宋" w:cs="仿宋"/>
          <w:spacing w:val="9"/>
          <w:sz w:val="32"/>
          <w:szCs w:val="32"/>
        </w:rPr>
        <w:t>峨眉山市以清单制管理推进安全发展示范城市建设技术服务项目，包括开展城市安全风险评估、城市应急准备能力评估、安全发展示范城市自评、建设城市安全清单制管理信息化系统、完善城市应急管理综合应用平台。</w:t>
      </w:r>
    </w:p>
    <w:p w14:paraId="30C2627E">
      <w:pPr>
        <w:widowControl/>
        <w:kinsoku w:val="0"/>
        <w:autoSpaceDE w:val="0"/>
        <w:autoSpaceDN w:val="0"/>
        <w:adjustRightInd w:val="0"/>
        <w:snapToGrid w:val="0"/>
        <w:spacing w:line="560" w:lineRule="atLeast"/>
        <w:ind w:right="47" w:firstLine="652" w:firstLineChars="200"/>
        <w:textAlignment w:val="baseline"/>
        <w:rPr>
          <w:rFonts w:ascii="仿宋" w:hAnsi="仿宋" w:eastAsia="仿宋" w:cs="仿宋"/>
          <w:spacing w:val="-4"/>
          <w:sz w:val="32"/>
          <w:szCs w:val="32"/>
        </w:rPr>
      </w:pPr>
      <w:r>
        <w:rPr>
          <w:rFonts w:hint="eastAsia" w:ascii="仿宋" w:hAnsi="仿宋" w:eastAsia="仿宋" w:cs="仿宋"/>
          <w:spacing w:val="3"/>
          <w:sz w:val="32"/>
          <w:szCs w:val="32"/>
        </w:rPr>
        <w:t>（二）</w:t>
      </w:r>
      <w:r>
        <w:rPr>
          <w:rFonts w:ascii="仿宋" w:hAnsi="仿宋" w:eastAsia="仿宋" w:cs="仿宋"/>
          <w:spacing w:val="3"/>
          <w:sz w:val="32"/>
          <w:szCs w:val="32"/>
        </w:rPr>
        <w:t>项目应实现的具体绩效目标，包括目标的量化、细化</w:t>
      </w:r>
      <w:r>
        <w:rPr>
          <w:rFonts w:ascii="仿宋" w:hAnsi="仿宋" w:eastAsia="仿宋" w:cs="仿宋"/>
          <w:spacing w:val="-8"/>
          <w:sz w:val="32"/>
          <w:szCs w:val="32"/>
        </w:rPr>
        <w:t>情况</w:t>
      </w:r>
      <w:r>
        <w:rPr>
          <w:rFonts w:ascii="仿宋" w:hAnsi="仿宋" w:eastAsia="仿宋" w:cs="仿宋"/>
          <w:spacing w:val="-7"/>
          <w:sz w:val="32"/>
          <w:szCs w:val="32"/>
        </w:rPr>
        <w:t>以</w:t>
      </w:r>
      <w:r>
        <w:rPr>
          <w:rFonts w:ascii="仿宋" w:hAnsi="仿宋" w:eastAsia="仿宋" w:cs="仿宋"/>
          <w:spacing w:val="-4"/>
          <w:sz w:val="32"/>
          <w:szCs w:val="32"/>
        </w:rPr>
        <w:t>及项目实施进度计划等。</w:t>
      </w:r>
    </w:p>
    <w:p w14:paraId="1EA1D77B">
      <w:pPr>
        <w:widowControl/>
        <w:kinsoku w:val="0"/>
        <w:autoSpaceDE w:val="0"/>
        <w:autoSpaceDN w:val="0"/>
        <w:adjustRightInd w:val="0"/>
        <w:snapToGrid w:val="0"/>
        <w:spacing w:line="560" w:lineRule="atLeast"/>
        <w:ind w:right="47"/>
        <w:textAlignment w:val="baseline"/>
        <w:rPr>
          <w:rFonts w:ascii="仿宋" w:hAnsi="仿宋" w:eastAsia="仿宋" w:cs="仿宋"/>
          <w:spacing w:val="9"/>
          <w:sz w:val="32"/>
          <w:szCs w:val="32"/>
        </w:rPr>
      </w:pPr>
      <w:r>
        <w:rPr>
          <w:rFonts w:hint="eastAsia" w:ascii="仿宋" w:hAnsi="仿宋" w:eastAsia="仿宋" w:cs="仿宋"/>
          <w:spacing w:val="-4"/>
          <w:sz w:val="32"/>
          <w:szCs w:val="32"/>
        </w:rPr>
        <w:t xml:space="preserve">    </w:t>
      </w:r>
      <w:r>
        <w:rPr>
          <w:rFonts w:hint="eastAsia" w:ascii="仿宋" w:hAnsi="仿宋" w:eastAsia="仿宋" w:cs="仿宋"/>
          <w:spacing w:val="9"/>
          <w:sz w:val="32"/>
          <w:szCs w:val="32"/>
        </w:rPr>
        <w:t xml:space="preserve"> 项目目标任务为通过“四川省安全发展示范城市”评定验收。</w:t>
      </w:r>
    </w:p>
    <w:p w14:paraId="5A5167D3">
      <w:pPr>
        <w:widowControl/>
        <w:kinsoku w:val="0"/>
        <w:autoSpaceDE w:val="0"/>
        <w:autoSpaceDN w:val="0"/>
        <w:adjustRightInd w:val="0"/>
        <w:snapToGrid w:val="0"/>
        <w:spacing w:line="560" w:lineRule="atLeast"/>
        <w:ind w:right="53" w:firstLine="652" w:firstLineChars="200"/>
        <w:textAlignment w:val="baseline"/>
        <w:rPr>
          <w:rFonts w:ascii="仿宋" w:hAnsi="仿宋" w:eastAsia="仿宋" w:cs="仿宋"/>
          <w:spacing w:val="-12"/>
          <w:sz w:val="32"/>
          <w:szCs w:val="32"/>
        </w:rPr>
      </w:pPr>
      <w:r>
        <w:rPr>
          <w:rFonts w:hint="eastAsia" w:ascii="仿宋" w:hAnsi="仿宋" w:eastAsia="仿宋" w:cs="仿宋"/>
          <w:spacing w:val="3"/>
          <w:sz w:val="32"/>
          <w:szCs w:val="32"/>
        </w:rPr>
        <w:t>（三）</w:t>
      </w:r>
      <w:r>
        <w:rPr>
          <w:rFonts w:ascii="仿宋" w:hAnsi="仿宋" w:eastAsia="仿宋" w:cs="仿宋"/>
          <w:spacing w:val="3"/>
          <w:sz w:val="32"/>
          <w:szCs w:val="32"/>
        </w:rPr>
        <w:t>分析评价申报内容是否与实际相符，申报目标是否</w:t>
      </w:r>
      <w:r>
        <w:rPr>
          <w:rFonts w:ascii="仿宋" w:hAnsi="仿宋" w:eastAsia="仿宋" w:cs="仿宋"/>
          <w:spacing w:val="2"/>
          <w:sz w:val="32"/>
          <w:szCs w:val="32"/>
        </w:rPr>
        <w:t>合</w:t>
      </w:r>
      <w:r>
        <w:rPr>
          <w:rFonts w:ascii="仿宋" w:hAnsi="仿宋" w:eastAsia="仿宋" w:cs="仿宋"/>
          <w:spacing w:val="-14"/>
          <w:sz w:val="32"/>
          <w:szCs w:val="32"/>
        </w:rPr>
        <w:t>理</w:t>
      </w:r>
      <w:r>
        <w:rPr>
          <w:rFonts w:ascii="仿宋" w:hAnsi="仿宋" w:eastAsia="仿宋" w:cs="仿宋"/>
          <w:spacing w:val="-12"/>
          <w:sz w:val="32"/>
          <w:szCs w:val="32"/>
        </w:rPr>
        <w:t>可行。</w:t>
      </w:r>
    </w:p>
    <w:p w14:paraId="3D2FB329">
      <w:pPr>
        <w:widowControl/>
        <w:kinsoku w:val="0"/>
        <w:autoSpaceDE w:val="0"/>
        <w:autoSpaceDN w:val="0"/>
        <w:adjustRightInd w:val="0"/>
        <w:snapToGrid w:val="0"/>
        <w:spacing w:line="560" w:lineRule="atLeast"/>
        <w:ind w:right="53" w:firstLine="652" w:firstLineChars="200"/>
        <w:textAlignment w:val="baseline"/>
        <w:rPr>
          <w:rFonts w:ascii="仿宋" w:hAnsi="仿宋" w:eastAsia="仿宋" w:cs="仿宋"/>
          <w:spacing w:val="3"/>
          <w:sz w:val="32"/>
          <w:szCs w:val="32"/>
        </w:rPr>
      </w:pPr>
      <w:r>
        <w:rPr>
          <w:rFonts w:hint="eastAsia" w:ascii="仿宋" w:hAnsi="仿宋" w:eastAsia="仿宋" w:cs="仿宋"/>
          <w:spacing w:val="3"/>
          <w:sz w:val="32"/>
          <w:szCs w:val="32"/>
        </w:rPr>
        <w:t>已完成自评与乐山市级复核，复核结果到达了创建标准，准备8月29日至9月2日迎接省上评定验收，申报内容与实际相符，目标合理可行。</w:t>
      </w:r>
    </w:p>
    <w:p w14:paraId="4E8D1197">
      <w:pPr>
        <w:spacing w:before="1" w:line="317" w:lineRule="auto"/>
        <w:ind w:left="759" w:right="53"/>
        <w:rPr>
          <w:rFonts w:ascii="仿宋" w:hAnsi="仿宋" w:eastAsia="仿宋" w:cs="仿宋"/>
          <w:spacing w:val="-12"/>
          <w:sz w:val="32"/>
          <w:szCs w:val="32"/>
        </w:rPr>
      </w:pPr>
    </w:p>
    <w:p w14:paraId="7B4BADED">
      <w:pPr>
        <w:spacing w:before="1" w:line="221" w:lineRule="auto"/>
        <w:ind w:left="624"/>
        <w:outlineLvl w:val="0"/>
        <w:rPr>
          <w:rFonts w:ascii="黑体" w:hAnsi="黑体" w:eastAsia="黑体" w:cs="黑体"/>
          <w:sz w:val="32"/>
          <w:szCs w:val="32"/>
        </w:rPr>
      </w:pPr>
      <w:r>
        <w:rPr>
          <w:rFonts w:ascii="黑体" w:hAnsi="黑体" w:eastAsia="黑体" w:cs="黑体"/>
          <w:spacing w:val="-2"/>
          <w:sz w:val="32"/>
          <w:szCs w:val="32"/>
        </w:rPr>
        <w:t>二、项目</w:t>
      </w:r>
      <w:r>
        <w:rPr>
          <w:rFonts w:ascii="黑体" w:hAnsi="黑体" w:eastAsia="黑体" w:cs="黑体"/>
          <w:spacing w:val="-1"/>
          <w:sz w:val="32"/>
          <w:szCs w:val="32"/>
        </w:rPr>
        <w:t>资金申报及使用情况</w:t>
      </w:r>
    </w:p>
    <w:p w14:paraId="457B64F9">
      <w:pPr>
        <w:spacing w:before="169" w:line="226" w:lineRule="auto"/>
        <w:ind w:left="759"/>
        <w:rPr>
          <w:rFonts w:ascii="楷体" w:hAnsi="楷体" w:eastAsia="楷体" w:cs="楷体"/>
          <w:sz w:val="32"/>
          <w:szCs w:val="32"/>
        </w:rPr>
      </w:pPr>
      <w:r>
        <w:rPr>
          <w:rFonts w:ascii="楷体" w:hAnsi="楷体" w:eastAsia="楷体" w:cs="楷体"/>
          <w:spacing w:val="13"/>
          <w:sz w:val="32"/>
          <w:szCs w:val="32"/>
        </w:rPr>
        <w:t>(</w:t>
      </w:r>
      <w:r>
        <w:rPr>
          <w:rFonts w:ascii="楷体" w:hAnsi="楷体" w:eastAsia="楷体" w:cs="楷体"/>
          <w:spacing w:val="12"/>
          <w:sz w:val="32"/>
          <w:szCs w:val="32"/>
        </w:rPr>
        <w:t>一)项目资金申报及批复情况</w:t>
      </w:r>
    </w:p>
    <w:p w14:paraId="3E365EDA">
      <w:pPr>
        <w:widowControl/>
        <w:kinsoku w:val="0"/>
        <w:autoSpaceDE w:val="0"/>
        <w:autoSpaceDN w:val="0"/>
        <w:adjustRightInd w:val="0"/>
        <w:snapToGrid w:val="0"/>
        <w:spacing w:line="560" w:lineRule="atLeast"/>
        <w:ind w:right="53" w:firstLine="652" w:firstLineChars="200"/>
        <w:textAlignment w:val="baseline"/>
        <w:rPr>
          <w:rFonts w:ascii="仿宋" w:hAnsi="仿宋" w:eastAsia="仿宋" w:cs="仿宋"/>
          <w:spacing w:val="3"/>
          <w:sz w:val="32"/>
          <w:szCs w:val="32"/>
        </w:rPr>
      </w:pPr>
      <w:r>
        <w:rPr>
          <w:rFonts w:hint="eastAsia" w:ascii="仿宋" w:hAnsi="仿宋" w:eastAsia="仿宋" w:cs="仿宋"/>
          <w:spacing w:val="3"/>
          <w:sz w:val="32"/>
          <w:szCs w:val="32"/>
        </w:rPr>
        <w:t>根据《峨眉山市财政局关于转下达省级安全生产专项资金的通知》（峨财建〔2021〕51号）文件，于2021年12月1日，下达资金200万元。</w:t>
      </w:r>
    </w:p>
    <w:p w14:paraId="70ECA27B">
      <w:pPr>
        <w:spacing w:before="158" w:line="226" w:lineRule="auto"/>
        <w:ind w:left="759"/>
        <w:rPr>
          <w:rFonts w:ascii="楷体" w:hAnsi="楷体" w:eastAsia="楷体" w:cs="楷体"/>
          <w:sz w:val="32"/>
          <w:szCs w:val="32"/>
        </w:rPr>
      </w:pPr>
      <w:r>
        <w:rPr>
          <w:rFonts w:ascii="楷体" w:hAnsi="楷体" w:eastAsia="楷体" w:cs="楷体"/>
          <w:spacing w:val="14"/>
          <w:sz w:val="32"/>
          <w:szCs w:val="32"/>
        </w:rPr>
        <w:t>(</w:t>
      </w:r>
      <w:r>
        <w:rPr>
          <w:rFonts w:ascii="楷体" w:hAnsi="楷体" w:eastAsia="楷体" w:cs="楷体"/>
          <w:spacing w:val="13"/>
          <w:sz w:val="32"/>
          <w:szCs w:val="32"/>
        </w:rPr>
        <w:t>二)资金计划、到位及使用情况</w:t>
      </w:r>
    </w:p>
    <w:p w14:paraId="383DBD5D">
      <w:pPr>
        <w:spacing w:before="165" w:line="317" w:lineRule="auto"/>
        <w:ind w:firstLine="624"/>
        <w:rPr>
          <w:rFonts w:ascii="仿宋" w:hAnsi="仿宋" w:eastAsia="仿宋" w:cs="仿宋"/>
          <w:spacing w:val="-2"/>
          <w:sz w:val="32"/>
          <w:szCs w:val="32"/>
        </w:rPr>
      </w:pPr>
      <w:r>
        <w:rPr>
          <w:rFonts w:ascii="仿宋" w:hAnsi="仿宋" w:eastAsia="仿宋" w:cs="仿宋"/>
          <w:spacing w:val="-2"/>
          <w:sz w:val="32"/>
          <w:szCs w:val="32"/>
        </w:rPr>
        <w:t xml:space="preserve">1. 资金计划。 </w:t>
      </w:r>
      <w:r>
        <w:rPr>
          <w:rFonts w:hint="eastAsia" w:ascii="仿宋" w:hAnsi="仿宋" w:eastAsia="仿宋" w:cs="仿宋"/>
          <w:spacing w:val="-2"/>
          <w:sz w:val="32"/>
          <w:szCs w:val="32"/>
        </w:rPr>
        <w:t>综合考虑我市情况实际，采用省级配套资金200万，本级资金298.8万元，合计498.8万元。</w:t>
      </w:r>
    </w:p>
    <w:p w14:paraId="03D6D8AA">
      <w:pPr>
        <w:spacing w:before="2" w:line="317" w:lineRule="auto"/>
        <w:ind w:right="49" w:firstLine="624" w:firstLineChars="200"/>
        <w:rPr>
          <w:rFonts w:ascii="仿宋" w:hAnsi="仿宋" w:eastAsia="仿宋" w:cs="仿宋"/>
          <w:spacing w:val="-4"/>
          <w:sz w:val="32"/>
          <w:szCs w:val="32"/>
        </w:rPr>
      </w:pPr>
      <w:r>
        <w:rPr>
          <w:rFonts w:hint="eastAsia" w:ascii="仿宋" w:hAnsi="仿宋" w:eastAsia="仿宋" w:cs="仿宋"/>
          <w:spacing w:val="-4"/>
          <w:sz w:val="32"/>
          <w:szCs w:val="32"/>
        </w:rPr>
        <w:t>2.</w:t>
      </w:r>
      <w:r>
        <w:rPr>
          <w:rFonts w:ascii="仿宋" w:hAnsi="仿宋" w:eastAsia="仿宋" w:cs="仿宋"/>
          <w:spacing w:val="-4"/>
          <w:sz w:val="32"/>
          <w:szCs w:val="32"/>
        </w:rPr>
        <w:t xml:space="preserve">资金到位。 </w:t>
      </w:r>
      <w:r>
        <w:rPr>
          <w:rFonts w:hint="eastAsia" w:ascii="仿宋" w:hAnsi="仿宋" w:eastAsia="仿宋" w:cs="仿宋"/>
          <w:spacing w:val="-4"/>
          <w:sz w:val="32"/>
          <w:szCs w:val="32"/>
        </w:rPr>
        <w:t>目前已拨付资金200万元（含上级奖补资金）。</w:t>
      </w:r>
    </w:p>
    <w:p w14:paraId="66F9254B">
      <w:pPr>
        <w:spacing w:before="104" w:line="317" w:lineRule="auto"/>
        <w:ind w:firstLine="616" w:firstLineChars="200"/>
        <w:rPr>
          <w:rFonts w:ascii="仿宋_GB2312" w:hAnsi="仿宋_GB2312" w:eastAsia="仿宋_GB2312" w:cs="仿宋_GB2312"/>
          <w:sz w:val="32"/>
          <w:szCs w:val="32"/>
        </w:rPr>
      </w:pPr>
      <w:r>
        <w:rPr>
          <w:rFonts w:ascii="仿宋" w:hAnsi="仿宋" w:eastAsia="仿宋" w:cs="仿宋"/>
          <w:spacing w:val="-6"/>
          <w:sz w:val="32"/>
          <w:szCs w:val="32"/>
        </w:rPr>
        <w:t xml:space="preserve">3. </w:t>
      </w:r>
      <w:r>
        <w:rPr>
          <w:rFonts w:ascii="仿宋" w:hAnsi="仿宋" w:eastAsia="仿宋" w:cs="仿宋"/>
          <w:spacing w:val="-4"/>
          <w:sz w:val="32"/>
          <w:szCs w:val="32"/>
        </w:rPr>
        <w:t>资</w:t>
      </w:r>
      <w:r>
        <w:rPr>
          <w:rFonts w:ascii="仿宋" w:hAnsi="仿宋" w:eastAsia="仿宋" w:cs="仿宋"/>
          <w:spacing w:val="-3"/>
          <w:sz w:val="32"/>
          <w:szCs w:val="32"/>
        </w:rPr>
        <w:t xml:space="preserve">金使用。 </w:t>
      </w:r>
      <w:r>
        <w:rPr>
          <w:rFonts w:hint="eastAsia" w:ascii="仿宋_GB2312" w:hAnsi="仿宋_GB2312" w:eastAsia="仿宋_GB2312" w:cs="仿宋_GB2312"/>
          <w:spacing w:val="-3"/>
          <w:sz w:val="32"/>
          <w:szCs w:val="32"/>
        </w:rPr>
        <w:t>2021年12月已付149.64万元。</w:t>
      </w:r>
    </w:p>
    <w:p w14:paraId="1B973A08">
      <w:pPr>
        <w:spacing w:before="1" w:line="222" w:lineRule="auto"/>
        <w:ind w:left="759"/>
        <w:rPr>
          <w:rFonts w:ascii="楷体" w:hAnsi="楷体" w:eastAsia="楷体" w:cs="楷体"/>
          <w:sz w:val="32"/>
          <w:szCs w:val="32"/>
        </w:rPr>
      </w:pPr>
      <w:r>
        <w:rPr>
          <w:rFonts w:ascii="楷体" w:hAnsi="楷体" w:eastAsia="楷体" w:cs="楷体"/>
          <w:spacing w:val="19"/>
          <w:sz w:val="32"/>
          <w:szCs w:val="32"/>
        </w:rPr>
        <w:t>(</w:t>
      </w:r>
      <w:r>
        <w:rPr>
          <w:rFonts w:ascii="楷体" w:hAnsi="楷体" w:eastAsia="楷体" w:cs="楷体"/>
          <w:spacing w:val="13"/>
          <w:sz w:val="32"/>
          <w:szCs w:val="32"/>
        </w:rPr>
        <w:t>三)项目财务管理情况</w:t>
      </w:r>
    </w:p>
    <w:p w14:paraId="3C88909F">
      <w:pPr>
        <w:spacing w:before="186" w:line="314" w:lineRule="auto"/>
        <w:ind w:right="74" w:firstLine="620"/>
        <w:rPr>
          <w:rFonts w:ascii="仿宋" w:hAnsi="仿宋" w:eastAsia="仿宋" w:cs="仿宋"/>
          <w:sz w:val="32"/>
          <w:szCs w:val="32"/>
        </w:rPr>
      </w:pPr>
      <w:r>
        <w:rPr>
          <w:rFonts w:hint="eastAsia" w:ascii="仿宋" w:hAnsi="仿宋" w:eastAsia="仿宋" w:cs="仿宋"/>
          <w:sz w:val="32"/>
          <w:szCs w:val="32"/>
        </w:rPr>
        <w:t>按照相关管理办法执行。</w:t>
      </w:r>
    </w:p>
    <w:p w14:paraId="351A6595">
      <w:pPr>
        <w:spacing w:line="221" w:lineRule="auto"/>
        <w:ind w:left="624"/>
        <w:outlineLvl w:val="0"/>
        <w:rPr>
          <w:rFonts w:ascii="黑体" w:hAnsi="黑体" w:eastAsia="黑体" w:cs="黑体"/>
          <w:sz w:val="32"/>
          <w:szCs w:val="32"/>
        </w:rPr>
      </w:pPr>
      <w:r>
        <w:rPr>
          <w:rFonts w:ascii="黑体" w:hAnsi="黑体" w:eastAsia="黑体" w:cs="黑体"/>
          <w:spacing w:val="-4"/>
          <w:sz w:val="32"/>
          <w:szCs w:val="32"/>
        </w:rPr>
        <w:t>三、项目实施及管理情</w:t>
      </w:r>
      <w:r>
        <w:rPr>
          <w:rFonts w:ascii="黑体" w:hAnsi="黑体" w:eastAsia="黑体" w:cs="黑体"/>
          <w:spacing w:val="-3"/>
          <w:sz w:val="32"/>
          <w:szCs w:val="32"/>
        </w:rPr>
        <w:t>况</w:t>
      </w:r>
    </w:p>
    <w:p w14:paraId="05D0AFE6">
      <w:pPr>
        <w:spacing w:before="177" w:line="318" w:lineRule="auto"/>
        <w:ind w:right="79" w:firstLine="620"/>
        <w:rPr>
          <w:rFonts w:ascii="仿宋" w:hAnsi="仿宋" w:eastAsia="仿宋" w:cs="仿宋"/>
          <w:sz w:val="32"/>
          <w:szCs w:val="32"/>
        </w:rPr>
      </w:pPr>
      <w:r>
        <w:rPr>
          <w:rFonts w:ascii="仿宋" w:hAnsi="仿宋" w:eastAsia="仿宋" w:cs="仿宋"/>
          <w:spacing w:val="-5"/>
          <w:sz w:val="32"/>
          <w:szCs w:val="32"/>
        </w:rPr>
        <w:t>结</w:t>
      </w:r>
      <w:r>
        <w:rPr>
          <w:rFonts w:ascii="仿宋" w:hAnsi="仿宋" w:eastAsia="仿宋" w:cs="仿宋"/>
          <w:spacing w:val="-3"/>
          <w:sz w:val="32"/>
          <w:szCs w:val="32"/>
        </w:rPr>
        <w:t>合项目组织实施管理办法，重点围绕以下内容进行分析评</w:t>
      </w:r>
      <w:r>
        <w:rPr>
          <w:rFonts w:ascii="仿宋" w:hAnsi="仿宋" w:eastAsia="仿宋" w:cs="仿宋"/>
          <w:spacing w:val="-10"/>
          <w:sz w:val="32"/>
          <w:szCs w:val="32"/>
        </w:rPr>
        <w:t>价，</w:t>
      </w:r>
      <w:r>
        <w:rPr>
          <w:rFonts w:ascii="仿宋" w:hAnsi="仿宋" w:eastAsia="仿宋" w:cs="仿宋"/>
          <w:spacing w:val="-5"/>
          <w:sz w:val="32"/>
          <w:szCs w:val="32"/>
        </w:rPr>
        <w:t>并对自评中发现的问题分析说明。</w:t>
      </w:r>
    </w:p>
    <w:p w14:paraId="0198BFF9">
      <w:pPr>
        <w:spacing w:before="1" w:line="222" w:lineRule="auto"/>
        <w:ind w:left="759"/>
        <w:rPr>
          <w:rFonts w:ascii="仿宋" w:hAnsi="仿宋" w:eastAsia="仿宋" w:cs="仿宋"/>
          <w:sz w:val="32"/>
          <w:szCs w:val="32"/>
        </w:rPr>
      </w:pPr>
      <w:r>
        <w:rPr>
          <w:rFonts w:ascii="仿宋" w:hAnsi="仿宋" w:eastAsia="仿宋" w:cs="仿宋"/>
          <w:spacing w:val="12"/>
          <w:sz w:val="32"/>
          <w:szCs w:val="32"/>
        </w:rPr>
        <w:t>(</w:t>
      </w:r>
      <w:r>
        <w:rPr>
          <w:rFonts w:ascii="仿宋" w:hAnsi="仿宋" w:eastAsia="仿宋" w:cs="仿宋"/>
          <w:spacing w:val="9"/>
          <w:sz w:val="32"/>
          <w:szCs w:val="32"/>
        </w:rPr>
        <w:t>一</w:t>
      </w:r>
      <w:r>
        <w:rPr>
          <w:rFonts w:ascii="仿宋" w:hAnsi="仿宋" w:eastAsia="仿宋" w:cs="仿宋"/>
          <w:spacing w:val="6"/>
          <w:sz w:val="32"/>
          <w:szCs w:val="32"/>
        </w:rPr>
        <w:t>)项目组织架构及实施流程。</w:t>
      </w:r>
    </w:p>
    <w:p w14:paraId="608973B7">
      <w:pPr>
        <w:spacing w:before="162" w:line="318" w:lineRule="auto"/>
        <w:ind w:right="70" w:firstLine="759"/>
        <w:rPr>
          <w:rFonts w:ascii="仿宋" w:hAnsi="仿宋" w:eastAsia="仿宋" w:cs="仿宋"/>
          <w:spacing w:val="8"/>
          <w:sz w:val="32"/>
          <w:szCs w:val="32"/>
        </w:rPr>
      </w:pPr>
      <w:r>
        <w:rPr>
          <w:rFonts w:hint="eastAsia" w:ascii="仿宋" w:hAnsi="仿宋" w:eastAsia="仿宋" w:cs="仿宋"/>
          <w:spacing w:val="8"/>
          <w:sz w:val="32"/>
          <w:szCs w:val="32"/>
        </w:rPr>
        <w:t>项目资金由市财政下达至市应急管理局，经应急管理局审核后，再监督发放。</w:t>
      </w:r>
    </w:p>
    <w:p w14:paraId="00DCBF4A">
      <w:pPr>
        <w:spacing w:before="162" w:line="318" w:lineRule="auto"/>
        <w:ind w:right="70" w:firstLine="759"/>
        <w:rPr>
          <w:rFonts w:ascii="仿宋" w:hAnsi="仿宋" w:eastAsia="仿宋" w:cs="仿宋"/>
          <w:spacing w:val="-4"/>
          <w:sz w:val="32"/>
          <w:szCs w:val="32"/>
        </w:rPr>
      </w:pPr>
      <w:r>
        <w:rPr>
          <w:rFonts w:ascii="仿宋" w:hAnsi="仿宋" w:eastAsia="仿宋" w:cs="仿宋"/>
          <w:spacing w:val="8"/>
          <w:sz w:val="32"/>
          <w:szCs w:val="32"/>
        </w:rPr>
        <w:t>(</w:t>
      </w:r>
      <w:r>
        <w:rPr>
          <w:rFonts w:ascii="仿宋" w:hAnsi="仿宋" w:eastAsia="仿宋" w:cs="仿宋"/>
          <w:spacing w:val="5"/>
          <w:sz w:val="32"/>
          <w:szCs w:val="32"/>
        </w:rPr>
        <w:t>二</w:t>
      </w:r>
      <w:r>
        <w:rPr>
          <w:rFonts w:ascii="仿宋" w:hAnsi="仿宋" w:eastAsia="仿宋" w:cs="仿宋"/>
          <w:spacing w:val="4"/>
          <w:sz w:val="32"/>
          <w:szCs w:val="32"/>
        </w:rPr>
        <w:t>)项目管理情况。</w:t>
      </w:r>
      <w:r>
        <w:rPr>
          <w:rFonts w:hint="eastAsia" w:ascii="仿宋" w:hAnsi="仿宋" w:eastAsia="仿宋" w:cs="仿宋"/>
          <w:spacing w:val="4"/>
          <w:sz w:val="32"/>
          <w:szCs w:val="32"/>
        </w:rPr>
        <w:t>按照相关管理办法执行</w:t>
      </w:r>
      <w:r>
        <w:rPr>
          <w:rFonts w:ascii="仿宋" w:hAnsi="仿宋" w:eastAsia="仿宋" w:cs="仿宋"/>
          <w:spacing w:val="-4"/>
          <w:sz w:val="32"/>
          <w:szCs w:val="32"/>
        </w:rPr>
        <w:t>。</w:t>
      </w:r>
    </w:p>
    <w:p w14:paraId="303451BF">
      <w:pPr>
        <w:spacing w:before="104" w:line="317" w:lineRule="auto"/>
        <w:ind w:firstLine="672" w:firstLineChars="200"/>
        <w:rPr>
          <w:rFonts w:ascii="仿宋" w:hAnsi="仿宋" w:eastAsia="仿宋" w:cs="仿宋"/>
          <w:sz w:val="32"/>
          <w:szCs w:val="32"/>
        </w:rPr>
      </w:pPr>
      <w:r>
        <w:rPr>
          <w:rFonts w:ascii="仿宋" w:hAnsi="仿宋" w:eastAsia="仿宋" w:cs="仿宋"/>
          <w:spacing w:val="8"/>
          <w:sz w:val="32"/>
          <w:szCs w:val="32"/>
        </w:rPr>
        <w:t>(三)项</w:t>
      </w:r>
      <w:r>
        <w:rPr>
          <w:rFonts w:ascii="仿宋" w:hAnsi="仿宋" w:eastAsia="仿宋" w:cs="仿宋"/>
          <w:spacing w:val="4"/>
          <w:sz w:val="32"/>
          <w:szCs w:val="32"/>
        </w:rPr>
        <w:t>目监管情况。</w:t>
      </w:r>
      <w:r>
        <w:rPr>
          <w:rFonts w:hint="eastAsia" w:ascii="仿宋" w:hAnsi="仿宋" w:eastAsia="仿宋" w:cs="仿宋"/>
          <w:spacing w:val="4"/>
          <w:sz w:val="32"/>
          <w:szCs w:val="32"/>
        </w:rPr>
        <w:t>按照相关管理办法执行</w:t>
      </w:r>
      <w:r>
        <w:rPr>
          <w:rFonts w:ascii="仿宋" w:hAnsi="仿宋" w:eastAsia="仿宋" w:cs="仿宋"/>
          <w:spacing w:val="-4"/>
          <w:sz w:val="32"/>
          <w:szCs w:val="32"/>
        </w:rPr>
        <w:t>。</w:t>
      </w:r>
    </w:p>
    <w:p w14:paraId="0D9E400F">
      <w:pPr>
        <w:spacing w:line="221" w:lineRule="auto"/>
        <w:ind w:left="624"/>
        <w:outlineLvl w:val="0"/>
        <w:rPr>
          <w:rFonts w:ascii="黑体" w:hAnsi="黑体" w:eastAsia="黑体" w:cs="黑体"/>
          <w:sz w:val="32"/>
          <w:szCs w:val="32"/>
        </w:rPr>
      </w:pPr>
      <w:r>
        <w:rPr>
          <w:rFonts w:ascii="黑体" w:hAnsi="黑体" w:eastAsia="黑体" w:cs="黑体"/>
          <w:spacing w:val="-6"/>
          <w:sz w:val="32"/>
          <w:szCs w:val="32"/>
        </w:rPr>
        <w:t>四</w:t>
      </w:r>
      <w:r>
        <w:rPr>
          <w:rFonts w:ascii="黑体" w:hAnsi="黑体" w:eastAsia="黑体" w:cs="黑体"/>
          <w:spacing w:val="-4"/>
          <w:sz w:val="32"/>
          <w:szCs w:val="32"/>
        </w:rPr>
        <w:t>、</w:t>
      </w:r>
      <w:r>
        <w:rPr>
          <w:rFonts w:ascii="黑体" w:hAnsi="黑体" w:eastAsia="黑体" w:cs="黑体"/>
          <w:spacing w:val="-3"/>
          <w:sz w:val="32"/>
          <w:szCs w:val="32"/>
        </w:rPr>
        <w:t>项目绩效情况</w:t>
      </w:r>
    </w:p>
    <w:p w14:paraId="65AD0F7A">
      <w:pPr>
        <w:spacing w:before="152" w:line="227" w:lineRule="auto"/>
        <w:ind w:left="759"/>
        <w:rPr>
          <w:rFonts w:ascii="楷体" w:hAnsi="楷体" w:eastAsia="楷体" w:cs="楷体"/>
          <w:sz w:val="32"/>
          <w:szCs w:val="32"/>
        </w:rPr>
      </w:pPr>
      <w:r>
        <w:rPr>
          <w:rFonts w:ascii="楷体" w:hAnsi="楷体" w:eastAsia="楷体" w:cs="楷体"/>
          <w:spacing w:val="23"/>
          <w:sz w:val="32"/>
          <w:szCs w:val="32"/>
        </w:rPr>
        <w:t>(</w:t>
      </w:r>
      <w:r>
        <w:rPr>
          <w:rFonts w:ascii="楷体" w:hAnsi="楷体" w:eastAsia="楷体" w:cs="楷体"/>
          <w:spacing w:val="17"/>
          <w:sz w:val="32"/>
          <w:szCs w:val="32"/>
        </w:rPr>
        <w:t>一)项目完成情况</w:t>
      </w:r>
    </w:p>
    <w:p w14:paraId="0C3DCD9B">
      <w:pPr>
        <w:widowControl/>
        <w:kinsoku w:val="0"/>
        <w:autoSpaceDE w:val="0"/>
        <w:autoSpaceDN w:val="0"/>
        <w:adjustRightInd w:val="0"/>
        <w:snapToGrid w:val="0"/>
        <w:spacing w:line="560" w:lineRule="atLeast"/>
        <w:ind w:firstLine="676" w:firstLineChars="200"/>
        <w:textAlignment w:val="baseline"/>
        <w:rPr>
          <w:rFonts w:ascii="楷体" w:hAnsi="楷体" w:eastAsia="楷体" w:cs="楷体"/>
          <w:spacing w:val="23"/>
          <w:sz w:val="32"/>
          <w:szCs w:val="32"/>
        </w:rPr>
      </w:pPr>
      <w:r>
        <w:rPr>
          <w:rFonts w:hint="eastAsia" w:ascii="仿宋" w:hAnsi="仿宋" w:eastAsia="仿宋" w:cs="仿宋"/>
          <w:spacing w:val="9"/>
          <w:sz w:val="32"/>
          <w:szCs w:val="32"/>
        </w:rPr>
        <w:t>已完成自评与乐山市级复核，复核结果到达了创建标准，准备8月29日至9月2日迎接省上评定验收，项目正在进行中。</w:t>
      </w:r>
    </w:p>
    <w:p w14:paraId="2621FA7C">
      <w:pPr>
        <w:spacing w:before="1" w:line="226" w:lineRule="auto"/>
        <w:ind w:left="759"/>
        <w:rPr>
          <w:rFonts w:ascii="楷体" w:hAnsi="楷体" w:eastAsia="楷体" w:cs="楷体"/>
          <w:spacing w:val="23"/>
          <w:sz w:val="32"/>
          <w:szCs w:val="32"/>
        </w:rPr>
      </w:pPr>
    </w:p>
    <w:p w14:paraId="5A7A1864">
      <w:pPr>
        <w:spacing w:before="1" w:line="226" w:lineRule="auto"/>
        <w:ind w:left="759"/>
        <w:rPr>
          <w:rFonts w:ascii="楷体" w:hAnsi="楷体" w:eastAsia="楷体" w:cs="楷体"/>
          <w:sz w:val="32"/>
          <w:szCs w:val="32"/>
        </w:rPr>
      </w:pPr>
      <w:r>
        <w:rPr>
          <w:rFonts w:ascii="楷体" w:hAnsi="楷体" w:eastAsia="楷体" w:cs="楷体"/>
          <w:spacing w:val="23"/>
          <w:sz w:val="32"/>
          <w:szCs w:val="32"/>
        </w:rPr>
        <w:t>(</w:t>
      </w:r>
      <w:r>
        <w:rPr>
          <w:rFonts w:ascii="楷体" w:hAnsi="楷体" w:eastAsia="楷体" w:cs="楷体"/>
          <w:spacing w:val="17"/>
          <w:sz w:val="32"/>
          <w:szCs w:val="32"/>
        </w:rPr>
        <w:t>二)项目效益情况</w:t>
      </w:r>
    </w:p>
    <w:p w14:paraId="517A3375">
      <w:pPr>
        <w:widowControl/>
        <w:kinsoku w:val="0"/>
        <w:autoSpaceDE w:val="0"/>
        <w:autoSpaceDN w:val="0"/>
        <w:adjustRightInd w:val="0"/>
        <w:snapToGrid w:val="0"/>
        <w:spacing w:line="560" w:lineRule="atLeast"/>
        <w:ind w:firstLine="676" w:firstLineChars="200"/>
        <w:textAlignment w:val="baseline"/>
        <w:rPr>
          <w:rFonts w:ascii="仿宋" w:hAnsi="仿宋" w:eastAsia="仿宋" w:cs="仿宋"/>
          <w:spacing w:val="9"/>
          <w:sz w:val="32"/>
          <w:szCs w:val="32"/>
        </w:rPr>
      </w:pPr>
      <w:r>
        <w:rPr>
          <w:rFonts w:hint="eastAsia" w:ascii="仿宋" w:hAnsi="仿宋" w:eastAsia="仿宋" w:cs="仿宋"/>
          <w:spacing w:val="9"/>
          <w:sz w:val="32"/>
          <w:szCs w:val="32"/>
        </w:rPr>
        <w:t>以建设峨眉山市安全发展示范城市，在“以创促建”，全面提升自身城市安全能力、水平。</w:t>
      </w:r>
    </w:p>
    <w:p w14:paraId="2CFC32AA">
      <w:pPr>
        <w:spacing w:line="283" w:lineRule="auto"/>
        <w:rPr>
          <w:rFonts w:ascii="Arial"/>
        </w:rPr>
      </w:pPr>
    </w:p>
    <w:p w14:paraId="58EC8B97">
      <w:pPr>
        <w:spacing w:before="101" w:line="222" w:lineRule="auto"/>
        <w:ind w:left="644"/>
        <w:outlineLvl w:val="0"/>
        <w:rPr>
          <w:rFonts w:ascii="黑体" w:hAnsi="黑体" w:eastAsia="黑体" w:cs="黑体"/>
          <w:sz w:val="31"/>
          <w:szCs w:val="31"/>
        </w:rPr>
      </w:pPr>
      <w:r>
        <w:rPr>
          <w:rFonts w:ascii="黑体" w:hAnsi="黑体" w:eastAsia="黑体" w:cs="黑体"/>
          <w:spacing w:val="6"/>
          <w:sz w:val="31"/>
          <w:szCs w:val="31"/>
        </w:rPr>
        <w:t>五、评价结论及建议</w:t>
      </w:r>
    </w:p>
    <w:p w14:paraId="611CC6F5">
      <w:pPr>
        <w:spacing w:before="176" w:line="223" w:lineRule="auto"/>
        <w:ind w:left="769"/>
        <w:rPr>
          <w:rFonts w:ascii="楷体" w:hAnsi="楷体" w:eastAsia="楷体" w:cs="楷体"/>
          <w:sz w:val="31"/>
          <w:szCs w:val="31"/>
        </w:rPr>
      </w:pPr>
      <w:r>
        <w:rPr>
          <w:rFonts w:ascii="楷体" w:hAnsi="楷体" w:eastAsia="楷体" w:cs="楷体"/>
          <w:spacing w:val="32"/>
          <w:sz w:val="31"/>
          <w:szCs w:val="31"/>
        </w:rPr>
        <w:t>(一)评价结论</w:t>
      </w:r>
    </w:p>
    <w:p w14:paraId="7159AF41">
      <w:pPr>
        <w:spacing w:before="190" w:line="328" w:lineRule="auto"/>
        <w:ind w:firstLine="636" w:firstLineChars="200"/>
        <w:rPr>
          <w:rFonts w:ascii="仿宋" w:hAnsi="仿宋" w:eastAsia="仿宋" w:cs="仿宋"/>
          <w:sz w:val="31"/>
          <w:szCs w:val="31"/>
        </w:rPr>
      </w:pPr>
      <w:r>
        <w:rPr>
          <w:rFonts w:hint="eastAsia" w:ascii="仿宋" w:hAnsi="仿宋" w:eastAsia="仿宋" w:cs="仿宋"/>
          <w:spacing w:val="4"/>
          <w:sz w:val="31"/>
          <w:szCs w:val="31"/>
        </w:rPr>
        <w:t>该项目</w:t>
      </w:r>
      <w:r>
        <w:rPr>
          <w:rFonts w:ascii="仿宋" w:hAnsi="仿宋" w:eastAsia="仿宋" w:cs="仿宋"/>
          <w:spacing w:val="4"/>
          <w:sz w:val="31"/>
          <w:szCs w:val="31"/>
        </w:rPr>
        <w:t>总体评价</w:t>
      </w:r>
      <w:r>
        <w:rPr>
          <w:rFonts w:hint="eastAsia" w:ascii="仿宋" w:hAnsi="仿宋" w:eastAsia="仿宋" w:cs="仿宋"/>
          <w:spacing w:val="4"/>
          <w:sz w:val="31"/>
          <w:szCs w:val="31"/>
        </w:rPr>
        <w:t>符合省级安全发展示范城市工作要求</w:t>
      </w:r>
      <w:r>
        <w:rPr>
          <w:rFonts w:ascii="仿宋" w:hAnsi="仿宋" w:eastAsia="仿宋" w:cs="仿宋"/>
          <w:spacing w:val="4"/>
          <w:sz w:val="31"/>
          <w:szCs w:val="31"/>
        </w:rPr>
        <w:t>。</w:t>
      </w:r>
    </w:p>
    <w:p w14:paraId="66C3C490">
      <w:pPr>
        <w:spacing w:line="226" w:lineRule="auto"/>
        <w:ind w:left="769"/>
        <w:rPr>
          <w:rFonts w:ascii="楷体" w:hAnsi="楷体" w:eastAsia="楷体" w:cs="楷体"/>
          <w:sz w:val="31"/>
          <w:szCs w:val="31"/>
        </w:rPr>
      </w:pPr>
      <w:r>
        <w:rPr>
          <w:rFonts w:ascii="楷体" w:hAnsi="楷体" w:eastAsia="楷体" w:cs="楷体"/>
          <w:spacing w:val="30"/>
          <w:sz w:val="31"/>
          <w:szCs w:val="31"/>
        </w:rPr>
        <w:t>(二)存在的问题</w:t>
      </w:r>
    </w:p>
    <w:p w14:paraId="5E629866">
      <w:pPr>
        <w:spacing w:before="174" w:line="219" w:lineRule="auto"/>
        <w:ind w:left="640"/>
        <w:rPr>
          <w:rFonts w:ascii="仿宋" w:hAnsi="仿宋" w:eastAsia="仿宋" w:cs="仿宋"/>
          <w:sz w:val="31"/>
          <w:szCs w:val="31"/>
        </w:rPr>
      </w:pPr>
      <w:r>
        <w:rPr>
          <w:rFonts w:hint="eastAsia" w:ascii="仿宋" w:hAnsi="仿宋" w:eastAsia="仿宋" w:cs="仿宋"/>
          <w:spacing w:val="3"/>
          <w:sz w:val="31"/>
          <w:szCs w:val="31"/>
        </w:rPr>
        <w:t>无</w:t>
      </w:r>
      <w:r>
        <w:rPr>
          <w:rFonts w:ascii="仿宋" w:hAnsi="仿宋" w:eastAsia="仿宋" w:cs="仿宋"/>
          <w:spacing w:val="3"/>
          <w:sz w:val="31"/>
          <w:szCs w:val="31"/>
        </w:rPr>
        <w:t>。</w:t>
      </w:r>
    </w:p>
    <w:p w14:paraId="1A426220">
      <w:pPr>
        <w:spacing w:before="183" w:line="232" w:lineRule="auto"/>
        <w:ind w:left="774"/>
        <w:rPr>
          <w:rFonts w:ascii="楷体" w:hAnsi="楷体" w:eastAsia="楷体" w:cs="楷体"/>
          <w:sz w:val="31"/>
          <w:szCs w:val="31"/>
        </w:rPr>
      </w:pPr>
      <w:r>
        <w:rPr>
          <w:rFonts w:ascii="楷体" w:hAnsi="楷体" w:eastAsia="楷体" w:cs="楷体"/>
          <w:spacing w:val="31"/>
          <w:sz w:val="31"/>
          <w:szCs w:val="31"/>
        </w:rPr>
        <w:t>(</w:t>
      </w:r>
      <w:r>
        <w:rPr>
          <w:rFonts w:ascii="楷体" w:hAnsi="楷体" w:eastAsia="楷体" w:cs="楷体"/>
          <w:spacing w:val="30"/>
          <w:sz w:val="31"/>
          <w:szCs w:val="31"/>
        </w:rPr>
        <w:t>三)相关建议</w:t>
      </w:r>
    </w:p>
    <w:p w14:paraId="554104E9">
      <w:pPr>
        <w:spacing w:before="163" w:line="340" w:lineRule="auto"/>
        <w:ind w:right="29" w:firstLine="640"/>
        <w:sectPr>
          <w:footerReference r:id="rId4" w:type="default"/>
          <w:pgSz w:w="11910" w:h="16840"/>
          <w:pgMar w:top="1431" w:right="1397" w:bottom="1496" w:left="1619" w:header="0" w:footer="1086" w:gutter="0"/>
          <w:cols w:space="720" w:num="1"/>
        </w:sectPr>
      </w:pPr>
      <w:r>
        <w:rPr>
          <w:rFonts w:hint="eastAsia" w:ascii="仿宋" w:hAnsi="仿宋" w:eastAsia="仿宋" w:cs="仿宋"/>
          <w:spacing w:val="12"/>
          <w:sz w:val="31"/>
          <w:szCs w:val="31"/>
        </w:rPr>
        <w:t>无。</w:t>
      </w:r>
    </w:p>
    <w:p w14:paraId="280FD604">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2D38B3E9">
      <w:pPr>
        <w:pStyle w:val="2"/>
        <w:spacing w:before="93" w:line="600" w:lineRule="exact"/>
        <w:rPr>
          <w:rFonts w:ascii="宋体" w:hAnsi="宋体" w:cs="宋体"/>
          <w:b/>
          <w:sz w:val="32"/>
          <w:szCs w:val="32"/>
        </w:rPr>
      </w:pPr>
    </w:p>
    <w:p w14:paraId="5C4E7C23">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396B6BEC">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目标自评（安全发展示范城市创建）</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352447F5">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BA6E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B295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406001峨眉山市应急管理局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008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87F">
            <w:pPr>
              <w:widowControl/>
              <w:spacing w:line="320" w:lineRule="exac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峨眉山市应急管理局</w:t>
            </w:r>
          </w:p>
        </w:tc>
      </w:tr>
      <w:tr w14:paraId="073D2616">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F7DD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14:paraId="7FA23D8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14:paraId="3BF51B0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114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559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149.64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06F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40A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149.64</w:t>
            </w:r>
          </w:p>
        </w:tc>
      </w:tr>
      <w:tr w14:paraId="5F2796DC">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F5D7">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3B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389EA1F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6D9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149.64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99E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2BF32A8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311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149.64</w:t>
            </w:r>
          </w:p>
        </w:tc>
      </w:tr>
      <w:tr w14:paraId="2783919A">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BFE5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61B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BB3E">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120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02E">
            <w:pPr>
              <w:widowControl/>
              <w:spacing w:line="320" w:lineRule="exact"/>
              <w:jc w:val="center"/>
              <w:textAlignment w:val="center"/>
              <w:rPr>
                <w:rFonts w:ascii="仿宋_GB2312" w:hAnsi="仿宋_GB2312" w:eastAsia="仿宋_GB2312" w:cs="仿宋_GB2312"/>
                <w:sz w:val="28"/>
                <w:szCs w:val="28"/>
              </w:rPr>
            </w:pPr>
          </w:p>
        </w:tc>
      </w:tr>
      <w:tr w14:paraId="671ED2E4">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AAE2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7E03830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6EC6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3472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1720EEAA">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0D24">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843A3">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建成省级安全发展示范城市</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4587D">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已通过乐山市初审</w:t>
            </w:r>
          </w:p>
        </w:tc>
      </w:tr>
      <w:tr w14:paraId="0130986B">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28B081C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1FBE14BA">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4D2162D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E0C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5E91660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AD8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0DA061B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FF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4EA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7C67CE9C">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66E7F905">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015AE">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370BB81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3F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6B6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省级安全发展示范城市创建资料</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E1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24C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51FCDCA0">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19B25FCE">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8155">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AD4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BAC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通过安全发展示范城市验收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930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D33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未完成，2022年底前完成</w:t>
            </w:r>
          </w:p>
        </w:tc>
      </w:tr>
      <w:tr w14:paraId="773BB89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31500000">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AA4C9">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11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9EA4">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560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7922">
            <w:pPr>
              <w:widowControl/>
              <w:spacing w:line="320" w:lineRule="exact"/>
              <w:jc w:val="center"/>
              <w:textAlignment w:val="bottom"/>
              <w:rPr>
                <w:rFonts w:ascii="仿宋_GB2312" w:hAnsi="仿宋_GB2312" w:eastAsia="仿宋_GB2312" w:cs="仿宋_GB2312"/>
                <w:sz w:val="28"/>
                <w:szCs w:val="28"/>
              </w:rPr>
            </w:pPr>
          </w:p>
        </w:tc>
      </w:tr>
      <w:tr w14:paraId="1606319B">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72EE2247">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2EB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1F8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FC6">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3A12">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B06A">
            <w:pPr>
              <w:widowControl/>
              <w:spacing w:line="320" w:lineRule="exact"/>
              <w:jc w:val="center"/>
              <w:textAlignment w:val="bottom"/>
              <w:rPr>
                <w:rFonts w:ascii="仿宋_GB2312" w:hAnsi="仿宋_GB2312" w:eastAsia="仿宋_GB2312" w:cs="仿宋_GB2312"/>
                <w:sz w:val="28"/>
                <w:szCs w:val="28"/>
              </w:rPr>
            </w:pPr>
          </w:p>
        </w:tc>
      </w:tr>
      <w:tr w14:paraId="7C73A630">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6559D60B">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BDFFD">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642A0BD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060C">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4AB1">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A51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ABE">
            <w:pPr>
              <w:widowControl/>
              <w:spacing w:line="320" w:lineRule="exact"/>
              <w:jc w:val="center"/>
              <w:textAlignment w:val="bottom"/>
              <w:rPr>
                <w:rFonts w:ascii="仿宋_GB2312" w:hAnsi="仿宋_GB2312" w:eastAsia="仿宋_GB2312" w:cs="仿宋_GB2312"/>
                <w:sz w:val="28"/>
                <w:szCs w:val="28"/>
              </w:rPr>
            </w:pPr>
          </w:p>
        </w:tc>
      </w:tr>
      <w:tr w14:paraId="4AB50AC3">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1C6D50AE">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5A94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1C59">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3CA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提升城市应急管理能力</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311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06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58E65A4D">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7843A4CE">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CCBF">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9CE6">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7A01">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76E4">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D074">
            <w:pPr>
              <w:widowControl/>
              <w:spacing w:line="320" w:lineRule="exact"/>
              <w:jc w:val="center"/>
              <w:textAlignment w:val="bottom"/>
              <w:rPr>
                <w:rFonts w:ascii="仿宋_GB2312" w:hAnsi="仿宋_GB2312" w:eastAsia="仿宋_GB2312" w:cs="仿宋_GB2312"/>
                <w:sz w:val="28"/>
                <w:szCs w:val="28"/>
              </w:rPr>
            </w:pPr>
          </w:p>
        </w:tc>
      </w:tr>
      <w:tr w14:paraId="0B251949">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7323A082">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24CC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9FE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6549">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降低城市应急风险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BB0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ADB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5A203D69">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3BC2C909">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7BC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F436">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51ECE4D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B012">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FC6D">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B2DF">
            <w:pPr>
              <w:widowControl/>
              <w:spacing w:line="320" w:lineRule="exact"/>
              <w:jc w:val="center"/>
              <w:textAlignment w:val="bottom"/>
              <w:rPr>
                <w:rFonts w:ascii="仿宋_GB2312" w:hAnsi="仿宋_GB2312" w:eastAsia="仿宋_GB2312" w:cs="仿宋_GB2312"/>
                <w:sz w:val="28"/>
                <w:szCs w:val="28"/>
              </w:rPr>
            </w:pPr>
          </w:p>
        </w:tc>
      </w:tr>
    </w:tbl>
    <w:p w14:paraId="0D2797F6">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67E8359C">
      <w:pPr>
        <w:pStyle w:val="2"/>
        <w:spacing w:before="93"/>
        <w:rPr>
          <w:rFonts w:hAnsi="宋体" w:cs="宋体"/>
          <w:sz w:val="32"/>
          <w:szCs w:val="32"/>
          <w:shd w:val="clear" w:color="auto" w:fill="FFFFFF"/>
        </w:rPr>
      </w:pPr>
    </w:p>
    <w:p w14:paraId="0AFFD966">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01CDFD68">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11B2EF8B">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34AF42BD">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5AD50CC8">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4B6905FF">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387C6652">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37BEB58B">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4C0180F4">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176264E4">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8CB857F">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1F00A674">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EC79B19">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6206B9F5">
      <w:pPr>
        <w:pStyle w:val="2"/>
        <w:spacing w:before="93" w:line="600" w:lineRule="exact"/>
        <w:rPr>
          <w:rFonts w:ascii="宋体" w:hAnsi="宋体" w:cs="宋体"/>
          <w:b/>
          <w:sz w:val="32"/>
          <w:szCs w:val="32"/>
        </w:rPr>
      </w:pPr>
    </w:p>
    <w:p w14:paraId="59DC4760">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43EC8528">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目标自评（安全生产综合监管信息化平台运行）</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6ACEDE69">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6DCE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830E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406001峨眉山市应急管理局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B00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43F">
            <w:pPr>
              <w:widowControl/>
              <w:spacing w:line="320" w:lineRule="exac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峨眉山市应急管理局</w:t>
            </w:r>
          </w:p>
        </w:tc>
      </w:tr>
      <w:tr w14:paraId="57810E5C">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21DD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14:paraId="6851AD4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14:paraId="2011BCB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68B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813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CCD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E0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r>
      <w:tr w14:paraId="1A6EFD81">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14B8">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D3B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230FA61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6A8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57B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667DFB8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7F7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r>
      <w:tr w14:paraId="4BC340A2">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637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4FF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B5F2">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152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68B7">
            <w:pPr>
              <w:widowControl/>
              <w:spacing w:line="320" w:lineRule="exact"/>
              <w:jc w:val="center"/>
              <w:textAlignment w:val="center"/>
              <w:rPr>
                <w:rFonts w:ascii="仿宋_GB2312" w:hAnsi="仿宋_GB2312" w:eastAsia="仿宋_GB2312" w:cs="仿宋_GB2312"/>
                <w:sz w:val="28"/>
                <w:szCs w:val="28"/>
              </w:rPr>
            </w:pPr>
          </w:p>
        </w:tc>
      </w:tr>
      <w:tr w14:paraId="2D061DF6">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9CFE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5A92E7D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6A41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070C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6AE4DFD9">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8849">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E040E">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安全生产综合监管信息化平台和瓦斯监控系统运行维护。实现重点企业的实时监管监控并与市级平台和省级平台的联网。</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16AF8">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安全生产综合监管信息化平台和瓦斯监控系统正常运行维护。实现重点企业的实时监管监控并与市级平台和省级平台的联网。</w:t>
            </w:r>
          </w:p>
        </w:tc>
      </w:tr>
      <w:tr w14:paraId="397E7E6B">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2089321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7CA47E8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6C167D9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B7D8">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6E86B85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69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46EF49A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AEE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3A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2818604B">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2D5EAEAB">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8FC1B">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5A24C56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AEA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929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平台正常运行</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380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2D9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14:paraId="06107C59">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480E0032">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81D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37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5BF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实现与市级平台的联网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FE7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366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全年</w:t>
            </w:r>
          </w:p>
        </w:tc>
      </w:tr>
      <w:tr w14:paraId="3BA579A8">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49E69F7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C56D">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A5F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567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平台不间断运行</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FAE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24小时/天</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8FE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24小时/天</w:t>
            </w:r>
          </w:p>
        </w:tc>
      </w:tr>
      <w:tr w14:paraId="346F205C">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5406F745">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E7F7">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5E0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9DDE">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0481">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CC68">
            <w:pPr>
              <w:widowControl/>
              <w:spacing w:line="320" w:lineRule="exact"/>
              <w:jc w:val="center"/>
              <w:textAlignment w:val="bottom"/>
              <w:rPr>
                <w:rFonts w:ascii="仿宋_GB2312" w:hAnsi="仿宋_GB2312" w:eastAsia="仿宋_GB2312" w:cs="仿宋_GB2312"/>
                <w:sz w:val="28"/>
                <w:szCs w:val="28"/>
              </w:rPr>
            </w:pPr>
          </w:p>
        </w:tc>
      </w:tr>
      <w:tr w14:paraId="7AE29785">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0B6A0BE4">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F7958">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131A354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22F7">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7D7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提高应急响应效率，减少安全生产事故造成的经济损失</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5BC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事故经济损失减少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D3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事故经济损失减少</w:t>
            </w:r>
          </w:p>
        </w:tc>
      </w:tr>
      <w:tr w14:paraId="6D90A1DA">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2419F80D">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D22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0651">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5A1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对重点企业进行实时监控</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B5F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54家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404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54家</w:t>
            </w:r>
          </w:p>
        </w:tc>
      </w:tr>
      <w:tr w14:paraId="6E235A5D">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089E62F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AA14">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5E1F">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BB65">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512">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561">
            <w:pPr>
              <w:widowControl/>
              <w:spacing w:line="320" w:lineRule="exact"/>
              <w:jc w:val="center"/>
              <w:textAlignment w:val="bottom"/>
              <w:rPr>
                <w:rFonts w:ascii="仿宋_GB2312" w:hAnsi="仿宋_GB2312" w:eastAsia="仿宋_GB2312" w:cs="仿宋_GB2312"/>
                <w:sz w:val="28"/>
                <w:szCs w:val="28"/>
              </w:rPr>
            </w:pPr>
          </w:p>
        </w:tc>
      </w:tr>
      <w:tr w14:paraId="4ABB69EF">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637D5D9C">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D87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E9A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CFA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发布各类安全生产防灾减灾信息</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793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100万条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7CE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100万条</w:t>
            </w:r>
          </w:p>
        </w:tc>
      </w:tr>
      <w:tr w14:paraId="68F372B0">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64FA6235">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E8C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A2CF">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0459E9B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8AB1">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142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85F4">
            <w:pPr>
              <w:widowControl/>
              <w:spacing w:line="320" w:lineRule="exact"/>
              <w:jc w:val="center"/>
              <w:textAlignment w:val="bottom"/>
              <w:rPr>
                <w:rFonts w:ascii="仿宋_GB2312" w:hAnsi="仿宋_GB2312" w:eastAsia="仿宋_GB2312" w:cs="仿宋_GB2312"/>
                <w:sz w:val="28"/>
                <w:szCs w:val="28"/>
              </w:rPr>
            </w:pPr>
          </w:p>
        </w:tc>
      </w:tr>
    </w:tbl>
    <w:p w14:paraId="335CFB16">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24831B1E">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0DF2CDE">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174906F">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6EB6512">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45E07C13">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2555EB1D">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48B674BE">
      <w:pPr>
        <w:pStyle w:val="2"/>
        <w:spacing w:before="93" w:line="600" w:lineRule="exact"/>
        <w:rPr>
          <w:rFonts w:ascii="宋体" w:hAnsi="宋体" w:cs="宋体"/>
          <w:b/>
          <w:sz w:val="32"/>
          <w:szCs w:val="32"/>
        </w:rPr>
      </w:pPr>
    </w:p>
    <w:p w14:paraId="08CAE351">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1E2E39C6">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目标自评（专家组劳务费及办公经费）</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7044DA26">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63B1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386B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406001峨眉山市应急管理局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07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4F7A">
            <w:pPr>
              <w:widowControl/>
              <w:spacing w:line="320" w:lineRule="exac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峨眉山市应急管理局</w:t>
            </w:r>
          </w:p>
        </w:tc>
      </w:tr>
      <w:tr w14:paraId="0F04652F">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E0CC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14:paraId="51794C4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14:paraId="1058EC0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DCE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FEF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6D1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A61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78</w:t>
            </w:r>
          </w:p>
        </w:tc>
      </w:tr>
      <w:tr w14:paraId="20391E60">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61E6">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F4C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41530A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5D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BF3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659C9A5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38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78</w:t>
            </w:r>
          </w:p>
        </w:tc>
      </w:tr>
      <w:tr w14:paraId="7E14634E">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F04B8">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3C9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72D">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895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D276">
            <w:pPr>
              <w:widowControl/>
              <w:spacing w:line="320" w:lineRule="exact"/>
              <w:jc w:val="center"/>
              <w:textAlignment w:val="center"/>
              <w:rPr>
                <w:rFonts w:ascii="仿宋_GB2312" w:hAnsi="仿宋_GB2312" w:eastAsia="仿宋_GB2312" w:cs="仿宋_GB2312"/>
                <w:sz w:val="28"/>
                <w:szCs w:val="28"/>
              </w:rPr>
            </w:pPr>
          </w:p>
        </w:tc>
      </w:tr>
      <w:tr w14:paraId="45229693">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8402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49B7D99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4374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21C6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04D09C48">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2DDE3">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29C28">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聘请安全专家为全市安全生产及应急管理提供技术支持</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20B25">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聘请安全专家为全市安全生产及应急管理提供技术支持</w:t>
            </w:r>
          </w:p>
        </w:tc>
      </w:tr>
      <w:tr w14:paraId="06688641">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7DCA7B8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41E5151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624FD19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170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2331938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FD4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41FEA8A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FBA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9D3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69DCFF2D">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27E856B9">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A23EB">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C6E782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0B5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785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聘请全市安全生产专家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13D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4D5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5人</w:t>
            </w:r>
          </w:p>
        </w:tc>
      </w:tr>
      <w:tr w14:paraId="795CFDEE">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0078E9A6">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CDE7">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F8A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856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提供安全生产和应急救援提供技术支持</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F70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现场检查，督促整改，开展培训、演练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ED1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300次</w:t>
            </w:r>
          </w:p>
        </w:tc>
      </w:tr>
      <w:tr w14:paraId="35586E10">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0C543763">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2819">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A30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A0E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按时支付专家组工资</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829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12个月</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65E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12个月</w:t>
            </w:r>
          </w:p>
        </w:tc>
      </w:tr>
      <w:tr w14:paraId="70C9D582">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652073F2">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68D4">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40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D30D">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CDEC">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D502">
            <w:pPr>
              <w:widowControl/>
              <w:spacing w:line="320" w:lineRule="exact"/>
              <w:jc w:val="center"/>
              <w:textAlignment w:val="bottom"/>
              <w:rPr>
                <w:rFonts w:ascii="仿宋_GB2312" w:hAnsi="仿宋_GB2312" w:eastAsia="仿宋_GB2312" w:cs="仿宋_GB2312"/>
                <w:sz w:val="28"/>
                <w:szCs w:val="28"/>
              </w:rPr>
            </w:pPr>
          </w:p>
        </w:tc>
      </w:tr>
      <w:tr w14:paraId="52C83CEE">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6522293A">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CCAE2">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51E07A3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E746">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25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防范化解重大事故风险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E7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全年矿山生产重大安全生产事故为0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4A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14:paraId="32C3AFAA">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569C155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C375">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E240">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D8BF">
            <w:pPr>
              <w:widowControl/>
              <w:jc w:val="left"/>
              <w:textAlignment w:val="center"/>
              <w:rPr>
                <w:rFonts w:ascii="宋体" w:hAnsi="宋体" w:cs="宋体"/>
                <w:sz w:val="20"/>
                <w:szCs w:val="20"/>
              </w:rPr>
            </w:pPr>
            <w:r>
              <w:rPr>
                <w:rFonts w:hint="eastAsia" w:ascii="宋体" w:hAnsi="宋体" w:cs="宋体"/>
                <w:kern w:val="0"/>
                <w:sz w:val="20"/>
                <w:szCs w:val="20"/>
              </w:rPr>
              <w:t>指导应急演练、开展培训</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4E2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CF3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5次</w:t>
            </w:r>
          </w:p>
        </w:tc>
      </w:tr>
      <w:tr w14:paraId="78C935A6">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4AA4A9B4">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3BC2">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7B43">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E282">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5F92">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3166">
            <w:pPr>
              <w:widowControl/>
              <w:spacing w:line="320" w:lineRule="exact"/>
              <w:jc w:val="center"/>
              <w:textAlignment w:val="bottom"/>
              <w:rPr>
                <w:rFonts w:ascii="仿宋_GB2312" w:hAnsi="仿宋_GB2312" w:eastAsia="仿宋_GB2312" w:cs="仿宋_GB2312"/>
                <w:sz w:val="28"/>
                <w:szCs w:val="28"/>
              </w:rPr>
            </w:pPr>
          </w:p>
        </w:tc>
      </w:tr>
      <w:tr w14:paraId="6D1DEC8C">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36BEDFF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E86E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DFE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1CF">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12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993">
            <w:pPr>
              <w:widowControl/>
              <w:spacing w:line="320" w:lineRule="exact"/>
              <w:jc w:val="center"/>
              <w:textAlignment w:val="bottom"/>
              <w:rPr>
                <w:rFonts w:ascii="仿宋_GB2312" w:hAnsi="仿宋_GB2312" w:eastAsia="仿宋_GB2312" w:cs="仿宋_GB2312"/>
                <w:sz w:val="28"/>
                <w:szCs w:val="28"/>
              </w:rPr>
            </w:pPr>
          </w:p>
        </w:tc>
      </w:tr>
      <w:tr w14:paraId="1519329B">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16D9D49B">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5EE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B590">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3A29A13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F27">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A50">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D113">
            <w:pPr>
              <w:widowControl/>
              <w:spacing w:line="320" w:lineRule="exact"/>
              <w:jc w:val="center"/>
              <w:textAlignment w:val="bottom"/>
              <w:rPr>
                <w:rFonts w:ascii="仿宋_GB2312" w:hAnsi="仿宋_GB2312" w:eastAsia="仿宋_GB2312" w:cs="仿宋_GB2312"/>
                <w:sz w:val="28"/>
                <w:szCs w:val="28"/>
              </w:rPr>
            </w:pPr>
          </w:p>
        </w:tc>
      </w:tr>
    </w:tbl>
    <w:p w14:paraId="1C01B9F9">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12D02C21">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E1370B6">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6996796">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2FFC221E">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4ECC0D5">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40411BDB">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08CEE867">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380197AF">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3B4142E9">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4C23E8B4">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0F4A4D58">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6BDDB93F">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6E930CC0">
      <w:pPr>
        <w:pStyle w:val="2"/>
        <w:spacing w:before="93" w:line="600" w:lineRule="exact"/>
        <w:rPr>
          <w:rFonts w:ascii="宋体" w:hAnsi="宋体" w:cs="宋体"/>
          <w:b/>
          <w:sz w:val="32"/>
          <w:szCs w:val="32"/>
        </w:rPr>
      </w:pPr>
    </w:p>
    <w:p w14:paraId="74856B59">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5FB0F7B6">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目标自评（安全生产监督检查工作经费）</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6A88944D">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F065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E1B6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406001峨眉山市应急管理局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710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26DB">
            <w:pPr>
              <w:widowControl/>
              <w:spacing w:line="320" w:lineRule="exac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峨眉山市应急管理局</w:t>
            </w:r>
          </w:p>
        </w:tc>
      </w:tr>
      <w:tr w14:paraId="231AD78F">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E7DB8">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14:paraId="3622746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14:paraId="58549F8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80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8C7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B8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43E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r>
      <w:tr w14:paraId="7DE992EC">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E707">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C8A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68E9ACC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ABC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7F3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72A246D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71E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r>
      <w:tr w14:paraId="16D903F0">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D1065">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69C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E7E2">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B5B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C505">
            <w:pPr>
              <w:widowControl/>
              <w:spacing w:line="320" w:lineRule="exact"/>
              <w:jc w:val="center"/>
              <w:textAlignment w:val="center"/>
              <w:rPr>
                <w:rFonts w:ascii="仿宋_GB2312" w:hAnsi="仿宋_GB2312" w:eastAsia="仿宋_GB2312" w:cs="仿宋_GB2312"/>
                <w:sz w:val="28"/>
                <w:szCs w:val="28"/>
              </w:rPr>
            </w:pPr>
          </w:p>
        </w:tc>
      </w:tr>
      <w:tr w14:paraId="4BA7E712">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1384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5962E93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18C0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ABBC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7DC838EC">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D38A">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EF3B8">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开展全市安全生产监督检查执法</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45646">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490F1604">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2B8B9D3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48B4B24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12C55F3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194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0CBBC04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6B88">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56BEDCA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BA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BAD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30C4E4A2">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5956E1CE">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4B7EF">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4A181C0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3AB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04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开展安全生产巡查、专项检查</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E71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按照年度执法计划进行</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61E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75222095">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7D77A5D2">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812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9E5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8B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开展年度安全生产考核</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6B6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2FF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2次</w:t>
            </w:r>
          </w:p>
        </w:tc>
      </w:tr>
      <w:tr w14:paraId="3C612C9B">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121C9B1B">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3AE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15B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552">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6475">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E40">
            <w:pPr>
              <w:widowControl/>
              <w:spacing w:line="320" w:lineRule="exact"/>
              <w:jc w:val="center"/>
              <w:textAlignment w:val="bottom"/>
              <w:rPr>
                <w:rFonts w:ascii="仿宋_GB2312" w:hAnsi="仿宋_GB2312" w:eastAsia="仿宋_GB2312" w:cs="仿宋_GB2312"/>
                <w:sz w:val="28"/>
                <w:szCs w:val="28"/>
              </w:rPr>
            </w:pPr>
          </w:p>
        </w:tc>
      </w:tr>
      <w:tr w14:paraId="76A1DBD8">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45D33B64">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0241">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1E8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66D">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A718">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284C">
            <w:pPr>
              <w:widowControl/>
              <w:spacing w:line="320" w:lineRule="exact"/>
              <w:jc w:val="center"/>
              <w:textAlignment w:val="bottom"/>
              <w:rPr>
                <w:rFonts w:ascii="仿宋_GB2312" w:hAnsi="仿宋_GB2312" w:eastAsia="仿宋_GB2312" w:cs="仿宋_GB2312"/>
                <w:sz w:val="28"/>
                <w:szCs w:val="28"/>
              </w:rPr>
            </w:pPr>
          </w:p>
        </w:tc>
      </w:tr>
      <w:tr w14:paraId="3317B712">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5F4C44B4">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DEEA5">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1ABCDF4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AEFF">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0FC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对违法企业进行行政处罚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712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按照相关法律法规</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C83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0C7209A2">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265D0312">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7800">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2410">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3AEB">
            <w:pPr>
              <w:widowControl/>
              <w:jc w:val="left"/>
              <w:textAlignment w:val="center"/>
              <w:rPr>
                <w:rFonts w:ascii="宋体" w:hAnsi="宋体" w:cs="宋体"/>
                <w:sz w:val="20"/>
                <w:szCs w:val="20"/>
              </w:rPr>
            </w:pPr>
            <w:r>
              <w:rPr>
                <w:rFonts w:hint="eastAsia" w:ascii="宋体" w:hAnsi="宋体" w:cs="宋体"/>
                <w:sz w:val="20"/>
                <w:szCs w:val="20"/>
              </w:rPr>
              <w:t>督促企业落实安全生产监管主体责任</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D8C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按照执法计划</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947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6DC477CA">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0C13AB1D">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870A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4C8D">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5FE0">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7815">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E63D">
            <w:pPr>
              <w:widowControl/>
              <w:spacing w:line="320" w:lineRule="exact"/>
              <w:jc w:val="center"/>
              <w:textAlignment w:val="bottom"/>
              <w:rPr>
                <w:rFonts w:ascii="仿宋_GB2312" w:hAnsi="仿宋_GB2312" w:eastAsia="仿宋_GB2312" w:cs="仿宋_GB2312"/>
                <w:sz w:val="28"/>
                <w:szCs w:val="28"/>
              </w:rPr>
            </w:pPr>
          </w:p>
        </w:tc>
      </w:tr>
      <w:tr w14:paraId="71466FEF">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6C3AA3C6">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20EC">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D72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687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防范化解安全生产风险</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448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降低安全生产事故率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21F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20089D6A">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44CDBB12">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85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DD41">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298197A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FE54">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9A3">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746D">
            <w:pPr>
              <w:widowControl/>
              <w:spacing w:line="320" w:lineRule="exact"/>
              <w:jc w:val="center"/>
              <w:textAlignment w:val="bottom"/>
              <w:rPr>
                <w:rFonts w:ascii="仿宋_GB2312" w:hAnsi="仿宋_GB2312" w:eastAsia="仿宋_GB2312" w:cs="仿宋_GB2312"/>
                <w:sz w:val="28"/>
                <w:szCs w:val="28"/>
              </w:rPr>
            </w:pPr>
          </w:p>
        </w:tc>
      </w:tr>
    </w:tbl>
    <w:p w14:paraId="0CCA7321">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224E79A2">
      <w:pPr>
        <w:pStyle w:val="2"/>
        <w:spacing w:before="93"/>
        <w:rPr>
          <w:rFonts w:hAnsi="宋体" w:cs="宋体"/>
          <w:sz w:val="32"/>
          <w:szCs w:val="32"/>
          <w:shd w:val="clear" w:color="auto" w:fill="FFFFFF"/>
        </w:rPr>
      </w:pPr>
    </w:p>
    <w:p w14:paraId="5AEE8490">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944D331">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398064EF">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613769F4">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5A6D7315">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088FE709">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F076AB4">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395603D6">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DF5596C">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1AF330EB">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656A8FDD">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719A16EF">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282C7800">
      <w:pPr>
        <w:pStyle w:val="2"/>
        <w:spacing w:before="93" w:line="600" w:lineRule="exact"/>
        <w:rPr>
          <w:rFonts w:ascii="宋体" w:hAnsi="宋体" w:cs="宋体"/>
          <w:b/>
          <w:sz w:val="32"/>
          <w:szCs w:val="32"/>
        </w:rPr>
      </w:pPr>
    </w:p>
    <w:p w14:paraId="5F8858E7">
      <w:pPr>
        <w:pStyle w:val="2"/>
        <w:spacing w:before="93"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14:paraId="713831C9">
      <w:pPr>
        <w:pStyle w:val="2"/>
        <w:spacing w:before="93"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目标自评（抗震救灾工作经费）</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14:paraId="54EF9016">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BD68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38AF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406001峨眉山市应急管理局</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042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B97B">
            <w:pPr>
              <w:widowControl/>
              <w:spacing w:line="320" w:lineRule="exac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峨眉山市防震减灾服务中心</w:t>
            </w:r>
          </w:p>
        </w:tc>
      </w:tr>
      <w:tr w14:paraId="1C79EFD2">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47DC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p>
          <w:p w14:paraId="3598BFB5">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执行情况</w:t>
            </w:r>
          </w:p>
          <w:p w14:paraId="29C75A4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62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D08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C3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ACE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9.92</w:t>
            </w:r>
          </w:p>
        </w:tc>
      </w:tr>
      <w:tr w14:paraId="049CB719">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72C2">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F892">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051D3A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48D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D5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14:paraId="6EFC88B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1B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9.92</w:t>
            </w:r>
          </w:p>
        </w:tc>
      </w:tr>
      <w:tr w14:paraId="6CC356A7">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4868">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DB1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38EA">
            <w:pPr>
              <w:widowControl/>
              <w:spacing w:line="320" w:lineRule="exact"/>
              <w:jc w:val="center"/>
              <w:textAlignment w:val="center"/>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AEE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2B68">
            <w:pPr>
              <w:widowControl/>
              <w:spacing w:line="320" w:lineRule="exact"/>
              <w:jc w:val="center"/>
              <w:textAlignment w:val="center"/>
              <w:rPr>
                <w:rFonts w:ascii="仿宋_GB2312" w:hAnsi="仿宋_GB2312" w:eastAsia="仿宋_GB2312" w:cs="仿宋_GB2312"/>
                <w:sz w:val="28"/>
                <w:szCs w:val="28"/>
              </w:rPr>
            </w:pPr>
          </w:p>
        </w:tc>
      </w:tr>
      <w:tr w14:paraId="714CCB58">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C4EC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6F9A019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0E19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CFAE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6704F67B">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DAE42">
            <w:pPr>
              <w:spacing w:line="320" w:lineRule="exact"/>
              <w:jc w:val="center"/>
              <w:rPr>
                <w:rFonts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2BA10">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部门协作，上下联动，检验应急预案，锻炼应急队伍。</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D07BD">
            <w:pPr>
              <w:widowControl/>
              <w:spacing w:line="320" w:lineRule="exact"/>
              <w:jc w:val="center"/>
              <w:textAlignment w:val="top"/>
              <w:rPr>
                <w:rFonts w:ascii="仿宋_GB2312" w:hAnsi="仿宋_GB2312" w:eastAsia="仿宋_GB2312" w:cs="仿宋_GB2312"/>
                <w:sz w:val="28"/>
                <w:szCs w:val="28"/>
              </w:rPr>
            </w:pPr>
            <w:r>
              <w:rPr>
                <w:rFonts w:hint="eastAsia" w:ascii="仿宋_GB2312" w:hAnsi="仿宋_GB2312" w:eastAsia="仿宋_GB2312" w:cs="仿宋_GB2312"/>
                <w:sz w:val="28"/>
                <w:szCs w:val="28"/>
              </w:rPr>
              <w:t>人员300人，宣传资料，机械租赁、场地平整5天，临聘劳务人员等。</w:t>
            </w:r>
          </w:p>
        </w:tc>
      </w:tr>
      <w:tr w14:paraId="15B4A4E3">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14:paraId="5231201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14:paraId="498BC3D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21A8C52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E80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4C4299A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C9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5D3B17C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370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E87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236F36F6">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2F14B7E8">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0948F">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40F7D47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0C2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176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抗震救灾应急综合演练、“三网一员”培训等。</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2766">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人员300人，宣传资料，机械租赁、场地平整，标牌制作、桌面推演等。</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AF6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07783DEA">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574B9649">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B182">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48C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9E3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演练方案及演练任务</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A30A">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确保演练工作顺利完成</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E82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4527323B">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14:paraId="3126DB6E">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7E69">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577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DD5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按期完成</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DCF3">
            <w:pPr>
              <w:widowControl/>
              <w:spacing w:line="320" w:lineRule="exact"/>
              <w:jc w:val="center"/>
              <w:textAlignment w:val="bottom"/>
              <w:rPr>
                <w:rFonts w:ascii="仿宋_GB2312" w:hAnsi="仿宋_GB2312" w:eastAsia="仿宋_GB2312" w:cs="仿宋_GB2312"/>
                <w:sz w:val="28"/>
                <w:szCs w:val="28"/>
              </w:rPr>
            </w:pPr>
            <w:r>
              <w:rPr>
                <w:rFonts w:ascii="仿宋_GB2312" w:hAnsi="仿宋_GB2312" w:eastAsia="仿宋_GB2312" w:cs="仿宋_GB2312"/>
                <w:sz w:val="28"/>
                <w:szCs w:val="28"/>
              </w:rPr>
              <w:t>2021年11月底前完成</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385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14:paraId="4968E404">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14:paraId="636D6503">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9FFF">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718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8EE">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2DD">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B7DF">
            <w:pPr>
              <w:widowControl/>
              <w:spacing w:line="320" w:lineRule="exact"/>
              <w:jc w:val="center"/>
              <w:textAlignment w:val="bottom"/>
              <w:rPr>
                <w:rFonts w:ascii="仿宋_GB2312" w:hAnsi="仿宋_GB2312" w:eastAsia="仿宋_GB2312" w:cs="仿宋_GB2312"/>
                <w:sz w:val="28"/>
                <w:szCs w:val="28"/>
              </w:rPr>
            </w:pPr>
          </w:p>
        </w:tc>
      </w:tr>
      <w:tr w14:paraId="0C1A1070">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5A9A9EF9">
            <w:pPr>
              <w:spacing w:line="320" w:lineRule="exact"/>
              <w:jc w:val="center"/>
              <w:rPr>
                <w:rFonts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A63BE">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2AA25D7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C508">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3821">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7B4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043D">
            <w:pPr>
              <w:widowControl/>
              <w:spacing w:line="320" w:lineRule="exact"/>
              <w:jc w:val="center"/>
              <w:textAlignment w:val="bottom"/>
              <w:rPr>
                <w:rFonts w:ascii="仿宋_GB2312" w:hAnsi="仿宋_GB2312" w:eastAsia="仿宋_GB2312" w:cs="仿宋_GB2312"/>
                <w:sz w:val="28"/>
                <w:szCs w:val="28"/>
              </w:rPr>
            </w:pPr>
          </w:p>
        </w:tc>
      </w:tr>
      <w:tr w14:paraId="5B94486F">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42B9C528">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C75B">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DD5C">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3EFA">
            <w:pPr>
              <w:widowControl/>
              <w:jc w:val="left"/>
              <w:textAlignment w:val="center"/>
              <w:rPr>
                <w:rFonts w:ascii="宋体" w:hAnsi="宋体" w:cs="宋体"/>
                <w:sz w:val="20"/>
                <w:szCs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68BD">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652A">
            <w:pPr>
              <w:widowControl/>
              <w:spacing w:line="320" w:lineRule="exact"/>
              <w:jc w:val="center"/>
              <w:textAlignment w:val="bottom"/>
              <w:rPr>
                <w:rFonts w:ascii="仿宋_GB2312" w:hAnsi="仿宋_GB2312" w:eastAsia="仿宋_GB2312" w:cs="仿宋_GB2312"/>
                <w:sz w:val="28"/>
                <w:szCs w:val="28"/>
              </w:rPr>
            </w:pPr>
          </w:p>
        </w:tc>
      </w:tr>
      <w:tr w14:paraId="7B08F0F7">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14:paraId="71D1F5AF">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2107D">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A7A6">
            <w:pPr>
              <w:widowControl/>
              <w:spacing w:line="320" w:lineRule="exac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04A5">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FD9">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8B8D">
            <w:pPr>
              <w:widowControl/>
              <w:spacing w:line="320" w:lineRule="exact"/>
              <w:jc w:val="center"/>
              <w:textAlignment w:val="bottom"/>
              <w:rPr>
                <w:rFonts w:ascii="仿宋_GB2312" w:hAnsi="仿宋_GB2312" w:eastAsia="仿宋_GB2312" w:cs="仿宋_GB2312"/>
                <w:sz w:val="28"/>
                <w:szCs w:val="28"/>
              </w:rPr>
            </w:pPr>
          </w:p>
        </w:tc>
      </w:tr>
      <w:tr w14:paraId="202583F2">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14:paraId="6FF1C8E4">
            <w:pPr>
              <w:spacing w:line="320" w:lineRule="exact"/>
              <w:jc w:val="center"/>
              <w:rPr>
                <w:rFonts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223A">
            <w:pPr>
              <w:spacing w:line="320" w:lineRule="exact"/>
              <w:jc w:val="center"/>
              <w:rPr>
                <w:rFonts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A8A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2187">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6F0F">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FCB0">
            <w:pPr>
              <w:widowControl/>
              <w:spacing w:line="320" w:lineRule="exact"/>
              <w:jc w:val="center"/>
              <w:textAlignment w:val="bottom"/>
              <w:rPr>
                <w:rFonts w:ascii="仿宋_GB2312" w:hAnsi="仿宋_GB2312" w:eastAsia="仿宋_GB2312" w:cs="仿宋_GB2312"/>
                <w:sz w:val="28"/>
                <w:szCs w:val="28"/>
              </w:rPr>
            </w:pPr>
          </w:p>
        </w:tc>
      </w:tr>
      <w:tr w14:paraId="5A1A41CB">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14:paraId="07BB7540">
            <w:pPr>
              <w:spacing w:line="320" w:lineRule="exact"/>
              <w:jc w:val="center"/>
              <w:rPr>
                <w:rFonts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B92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94EA">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1437070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7DD">
            <w:pPr>
              <w:widowControl/>
              <w:spacing w:line="320" w:lineRule="exact"/>
              <w:jc w:val="center"/>
              <w:textAlignment w:val="bottom"/>
              <w:rPr>
                <w:rFonts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2B81">
            <w:pPr>
              <w:widowControl/>
              <w:spacing w:line="320" w:lineRule="exact"/>
              <w:jc w:val="center"/>
              <w:textAlignment w:val="bottom"/>
              <w:rPr>
                <w:rFonts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1364">
            <w:pPr>
              <w:widowControl/>
              <w:spacing w:line="320" w:lineRule="exact"/>
              <w:jc w:val="center"/>
              <w:textAlignment w:val="bottom"/>
              <w:rPr>
                <w:rFonts w:ascii="仿宋_GB2312" w:hAnsi="仿宋_GB2312" w:eastAsia="仿宋_GB2312" w:cs="仿宋_GB2312"/>
                <w:sz w:val="28"/>
                <w:szCs w:val="28"/>
              </w:rPr>
            </w:pPr>
          </w:p>
        </w:tc>
      </w:tr>
    </w:tbl>
    <w:p w14:paraId="091EE41D">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4C42C729">
      <w:pPr>
        <w:pStyle w:val="2"/>
        <w:spacing w:before="93"/>
        <w:rPr>
          <w:rFonts w:hAnsi="宋体" w:cs="宋体"/>
          <w:sz w:val="32"/>
          <w:szCs w:val="32"/>
          <w:shd w:val="clear" w:color="auto" w:fill="FFFFFF"/>
        </w:rPr>
      </w:pPr>
    </w:p>
    <w:p w14:paraId="5EB478B7">
      <w:pPr>
        <w:pStyle w:val="2"/>
        <w:spacing w:before="93"/>
        <w:rPr>
          <w:rFonts w:hAnsi="宋体" w:cs="宋体"/>
          <w:sz w:val="32"/>
          <w:szCs w:val="32"/>
          <w:shd w:val="clear" w:color="auto" w:fill="FFFFFF"/>
        </w:rPr>
      </w:pPr>
    </w:p>
    <w:p w14:paraId="74E51BD2">
      <w:pPr>
        <w:pStyle w:val="2"/>
        <w:spacing w:before="93"/>
        <w:rPr>
          <w:rFonts w:hAnsi="宋体" w:cs="宋体"/>
          <w:sz w:val="32"/>
          <w:szCs w:val="32"/>
          <w:shd w:val="clear" w:color="auto" w:fill="FFFFFF"/>
        </w:rPr>
      </w:pPr>
    </w:p>
    <w:p w14:paraId="55CE8B73">
      <w:pPr>
        <w:pStyle w:val="2"/>
        <w:spacing w:before="93"/>
        <w:rPr>
          <w:rFonts w:hAnsi="宋体" w:cs="宋体"/>
          <w:sz w:val="32"/>
          <w:szCs w:val="32"/>
          <w:shd w:val="clear" w:color="auto" w:fill="FFFFFF"/>
        </w:rPr>
      </w:pPr>
    </w:p>
    <w:p w14:paraId="531EF635">
      <w:pPr>
        <w:pStyle w:val="2"/>
        <w:spacing w:before="93"/>
        <w:rPr>
          <w:rFonts w:hAnsi="宋体" w:cs="宋体"/>
          <w:sz w:val="32"/>
          <w:szCs w:val="32"/>
          <w:shd w:val="clear" w:color="auto" w:fill="FFFFFF"/>
        </w:rPr>
      </w:pPr>
    </w:p>
    <w:p w14:paraId="034122D7">
      <w:pPr>
        <w:pStyle w:val="2"/>
        <w:spacing w:before="93"/>
        <w:rPr>
          <w:rFonts w:hAnsi="宋体" w:cs="宋体"/>
          <w:sz w:val="32"/>
          <w:szCs w:val="32"/>
          <w:shd w:val="clear" w:color="auto" w:fill="FFFFFF"/>
        </w:rPr>
      </w:pPr>
    </w:p>
    <w:p w14:paraId="68A58BCD">
      <w:pPr>
        <w:pStyle w:val="2"/>
        <w:spacing w:before="93"/>
        <w:rPr>
          <w:rFonts w:hAnsi="宋体" w:cs="宋体"/>
          <w:sz w:val="32"/>
          <w:szCs w:val="32"/>
          <w:shd w:val="clear" w:color="auto" w:fill="FFFFFF"/>
        </w:rPr>
      </w:pPr>
    </w:p>
    <w:p w14:paraId="515A4404">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49A75BC3">
      <w:pPr>
        <w:pStyle w:val="2"/>
        <w:spacing w:before="93"/>
        <w:rPr>
          <w:rFonts w:hAnsi="宋体" w:cs="宋体"/>
          <w:sz w:val="32"/>
          <w:szCs w:val="32"/>
          <w:shd w:val="clear" w:color="auto" w:fill="FFFFFF"/>
        </w:rPr>
      </w:pPr>
    </w:p>
    <w:p w14:paraId="073974F1">
      <w:pPr>
        <w:pStyle w:val="2"/>
        <w:spacing w:before="93"/>
        <w:rPr>
          <w:rFonts w:hAnsi="宋体" w:cs="宋体"/>
          <w:sz w:val="32"/>
          <w:szCs w:val="32"/>
          <w:shd w:val="clear" w:color="auto" w:fill="FFFFFF"/>
        </w:rPr>
      </w:pPr>
    </w:p>
    <w:p w14:paraId="6B9F59CA">
      <w:pPr>
        <w:pStyle w:val="2"/>
        <w:spacing w:before="93"/>
        <w:rPr>
          <w:rFonts w:hAnsi="宋体" w:cs="宋体"/>
          <w:sz w:val="32"/>
          <w:szCs w:val="32"/>
          <w:shd w:val="clear" w:color="auto" w:fill="FFFFFF"/>
        </w:rPr>
      </w:pPr>
    </w:p>
    <w:p w14:paraId="5B1A4A3D">
      <w:pPr>
        <w:pStyle w:val="2"/>
        <w:spacing w:before="93"/>
        <w:rPr>
          <w:rFonts w:hAnsi="宋体" w:cs="宋体"/>
          <w:sz w:val="32"/>
          <w:szCs w:val="32"/>
          <w:shd w:val="clear" w:color="auto" w:fill="FFFFFF"/>
        </w:rPr>
      </w:pPr>
    </w:p>
    <w:p w14:paraId="686A854B">
      <w:pPr>
        <w:spacing w:line="460" w:lineRule="exact"/>
        <w:rPr>
          <w:rFonts w:ascii="仿宋_GB2312" w:hAnsi="仿宋_GB2312" w:eastAsia="仿宋_GB2312" w:cs="仿宋_GB2312"/>
          <w:sz w:val="28"/>
          <w:szCs w:val="28"/>
        </w:rPr>
      </w:pPr>
    </w:p>
    <w:p w14:paraId="1BAFA798">
      <w:pPr>
        <w:numPr>
          <w:ilvl w:val="0"/>
          <w:numId w:val="7"/>
        </w:numPr>
        <w:spacing w:line="600" w:lineRule="exact"/>
        <w:jc w:val="center"/>
        <w:outlineLvl w:val="0"/>
        <w:rPr>
          <w:rStyle w:val="25"/>
          <w:rFonts w:ascii="方正小标宋_GBK" w:hAnsi="方正小标宋_GBK" w:eastAsia="方正小标宋_GBK" w:cs="方正小标宋_GBK"/>
          <w:b w:val="0"/>
        </w:rPr>
      </w:pPr>
      <w:bookmarkStart w:id="57" w:name="_Toc15396618"/>
      <w:r>
        <w:rPr>
          <w:rStyle w:val="25"/>
          <w:rFonts w:hint="eastAsia" w:ascii="方正小标宋_GBK" w:hAnsi="方正小标宋_GBK" w:eastAsia="方正小标宋_GBK" w:cs="方正小标宋_GBK"/>
          <w:b w:val="0"/>
        </w:rPr>
        <w:t>附表</w:t>
      </w:r>
      <w:bookmarkEnd w:id="55"/>
      <w:bookmarkEnd w:id="57"/>
      <w:bookmarkStart w:id="58" w:name="_Toc15396619"/>
    </w:p>
    <w:p w14:paraId="64540D34">
      <w:pPr>
        <w:pStyle w:val="2"/>
        <w:spacing w:before="93" w:line="600" w:lineRule="exact"/>
      </w:pPr>
    </w:p>
    <w:p w14:paraId="6542391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8"/>
    </w:p>
    <w:p w14:paraId="7AE48B9C">
      <w:pPr>
        <w:spacing w:line="600" w:lineRule="exact"/>
        <w:ind w:firstLine="640" w:firstLineChars="200"/>
        <w:rPr>
          <w:rFonts w:ascii="仿宋_GB2312" w:hAnsi="仿宋_GB2312" w:eastAsia="仿宋_GB2312" w:cs="仿宋_GB2312"/>
          <w:sz w:val="32"/>
          <w:szCs w:val="32"/>
        </w:rPr>
      </w:pPr>
      <w:bookmarkStart w:id="59" w:name="_Toc15396620"/>
      <w:r>
        <w:rPr>
          <w:rFonts w:hint="eastAsia" w:ascii="仿宋_GB2312" w:hAnsi="仿宋_GB2312" w:eastAsia="仿宋_GB2312" w:cs="仿宋_GB2312"/>
          <w:sz w:val="32"/>
          <w:szCs w:val="32"/>
        </w:rPr>
        <w:t>二、收入决算表</w:t>
      </w:r>
      <w:bookmarkEnd w:id="59"/>
    </w:p>
    <w:p w14:paraId="71C6F225">
      <w:pPr>
        <w:spacing w:line="600" w:lineRule="exact"/>
        <w:ind w:firstLine="640" w:firstLineChars="200"/>
        <w:rPr>
          <w:rFonts w:ascii="仿宋_GB2312" w:hAnsi="仿宋_GB2312" w:eastAsia="仿宋_GB2312" w:cs="仿宋_GB2312"/>
          <w:sz w:val="32"/>
          <w:szCs w:val="32"/>
        </w:rPr>
      </w:pPr>
      <w:bookmarkStart w:id="60" w:name="_Toc15396621"/>
      <w:r>
        <w:rPr>
          <w:rFonts w:hint="eastAsia" w:ascii="仿宋_GB2312" w:hAnsi="仿宋_GB2312" w:eastAsia="仿宋_GB2312" w:cs="仿宋_GB2312"/>
          <w:sz w:val="32"/>
          <w:szCs w:val="32"/>
        </w:rPr>
        <w:t>三、支出决算表</w:t>
      </w:r>
      <w:bookmarkEnd w:id="60"/>
    </w:p>
    <w:p w14:paraId="2D3F6F4F">
      <w:pPr>
        <w:spacing w:line="600" w:lineRule="exact"/>
        <w:ind w:firstLine="640" w:firstLineChars="200"/>
        <w:rPr>
          <w:rFonts w:ascii="仿宋_GB2312" w:hAnsi="仿宋_GB2312" w:eastAsia="仿宋_GB2312" w:cs="仿宋_GB2312"/>
          <w:sz w:val="32"/>
          <w:szCs w:val="32"/>
        </w:rPr>
      </w:pPr>
      <w:bookmarkStart w:id="61" w:name="_Toc15396622"/>
      <w:r>
        <w:rPr>
          <w:rFonts w:hint="eastAsia" w:ascii="仿宋_GB2312" w:hAnsi="仿宋_GB2312" w:eastAsia="仿宋_GB2312" w:cs="仿宋_GB2312"/>
          <w:sz w:val="32"/>
          <w:szCs w:val="32"/>
        </w:rPr>
        <w:t>四、财政拨款收入支出决算总表</w:t>
      </w:r>
      <w:bookmarkEnd w:id="61"/>
    </w:p>
    <w:p w14:paraId="0CE7AEA9">
      <w:pPr>
        <w:spacing w:line="600" w:lineRule="exact"/>
        <w:ind w:firstLine="640" w:firstLineChars="200"/>
        <w:rPr>
          <w:rFonts w:ascii="仿宋_GB2312" w:hAnsi="仿宋_GB2312" w:eastAsia="仿宋_GB2312" w:cs="仿宋_GB2312"/>
          <w:sz w:val="32"/>
          <w:szCs w:val="32"/>
        </w:rPr>
      </w:pPr>
      <w:bookmarkStart w:id="62" w:name="_Toc15396623"/>
      <w:r>
        <w:rPr>
          <w:rFonts w:hint="eastAsia" w:ascii="仿宋_GB2312" w:hAnsi="仿宋_GB2312" w:eastAsia="仿宋_GB2312" w:cs="仿宋_GB2312"/>
          <w:sz w:val="32"/>
          <w:szCs w:val="32"/>
        </w:rPr>
        <w:t>五、财政拨款支出决算明细表</w:t>
      </w:r>
      <w:bookmarkEnd w:id="62"/>
      <w:bookmarkStart w:id="63" w:name="_Toc15396624"/>
    </w:p>
    <w:p w14:paraId="3716D8E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3"/>
    </w:p>
    <w:p w14:paraId="2DD87FDF">
      <w:pPr>
        <w:spacing w:line="600" w:lineRule="exact"/>
        <w:ind w:firstLine="640" w:firstLineChars="200"/>
        <w:rPr>
          <w:rFonts w:ascii="仿宋_GB2312" w:hAnsi="仿宋_GB2312" w:eastAsia="仿宋_GB2312" w:cs="仿宋_GB2312"/>
          <w:sz w:val="32"/>
          <w:szCs w:val="32"/>
        </w:rPr>
      </w:pPr>
      <w:bookmarkStart w:id="64" w:name="_Toc15396625"/>
      <w:r>
        <w:rPr>
          <w:rFonts w:hint="eastAsia" w:ascii="仿宋_GB2312" w:hAnsi="仿宋_GB2312" w:eastAsia="仿宋_GB2312" w:cs="仿宋_GB2312"/>
          <w:sz w:val="32"/>
          <w:szCs w:val="32"/>
        </w:rPr>
        <w:t>七、一般公共预算财政拨款支出决算明细表</w:t>
      </w:r>
      <w:bookmarkEnd w:id="64"/>
    </w:p>
    <w:p w14:paraId="7585EA6D">
      <w:pPr>
        <w:spacing w:line="600" w:lineRule="exact"/>
        <w:ind w:firstLine="640" w:firstLineChars="200"/>
        <w:rPr>
          <w:rFonts w:ascii="仿宋_GB2312" w:hAnsi="仿宋_GB2312" w:eastAsia="仿宋_GB2312" w:cs="仿宋_GB2312"/>
          <w:sz w:val="32"/>
          <w:szCs w:val="32"/>
        </w:rPr>
      </w:pPr>
      <w:bookmarkStart w:id="65" w:name="_Toc15396626"/>
      <w:r>
        <w:rPr>
          <w:rFonts w:hint="eastAsia" w:ascii="仿宋_GB2312" w:hAnsi="仿宋_GB2312" w:eastAsia="仿宋_GB2312" w:cs="仿宋_GB2312"/>
          <w:sz w:val="32"/>
          <w:szCs w:val="32"/>
        </w:rPr>
        <w:t>八、一般公共预算财政拨款基本支出决算表</w:t>
      </w:r>
      <w:bookmarkEnd w:id="65"/>
    </w:p>
    <w:p w14:paraId="773F2A1B">
      <w:pPr>
        <w:spacing w:line="600" w:lineRule="exact"/>
        <w:ind w:firstLine="640" w:firstLineChars="200"/>
        <w:rPr>
          <w:rFonts w:ascii="仿宋_GB2312" w:hAnsi="仿宋_GB2312" w:eastAsia="仿宋_GB2312" w:cs="仿宋_GB2312"/>
          <w:sz w:val="32"/>
          <w:szCs w:val="32"/>
        </w:rPr>
      </w:pPr>
      <w:bookmarkStart w:id="66" w:name="_Toc15396627"/>
      <w:r>
        <w:rPr>
          <w:rFonts w:hint="eastAsia" w:ascii="仿宋_GB2312" w:hAnsi="仿宋_GB2312" w:eastAsia="仿宋_GB2312" w:cs="仿宋_GB2312"/>
          <w:sz w:val="32"/>
          <w:szCs w:val="32"/>
        </w:rPr>
        <w:t>九、一般公共预算财政拨款项目支出决算表</w:t>
      </w:r>
      <w:bookmarkEnd w:id="66"/>
    </w:p>
    <w:p w14:paraId="23B15DD5">
      <w:pPr>
        <w:spacing w:line="600" w:lineRule="exact"/>
        <w:ind w:firstLine="640" w:firstLineChars="200"/>
        <w:rPr>
          <w:rFonts w:ascii="仿宋_GB2312" w:hAnsi="仿宋_GB2312" w:eastAsia="仿宋_GB2312" w:cs="仿宋_GB2312"/>
          <w:sz w:val="32"/>
          <w:szCs w:val="32"/>
        </w:rPr>
      </w:pPr>
      <w:bookmarkStart w:id="67" w:name="_Toc15396628"/>
      <w:r>
        <w:rPr>
          <w:rFonts w:hint="eastAsia" w:ascii="仿宋_GB2312" w:hAnsi="仿宋_GB2312" w:eastAsia="仿宋_GB2312" w:cs="仿宋_GB2312"/>
          <w:sz w:val="32"/>
          <w:szCs w:val="32"/>
        </w:rPr>
        <w:t>十、一般公共预算财政拨款“三公”经费支出决算表</w:t>
      </w:r>
      <w:bookmarkEnd w:id="67"/>
    </w:p>
    <w:p w14:paraId="2E5B0EAD">
      <w:pPr>
        <w:spacing w:line="600" w:lineRule="exact"/>
        <w:ind w:firstLine="640" w:firstLineChars="200"/>
        <w:rPr>
          <w:rFonts w:ascii="仿宋_GB2312" w:hAnsi="仿宋_GB2312" w:eastAsia="仿宋_GB2312" w:cs="仿宋_GB2312"/>
          <w:sz w:val="32"/>
          <w:szCs w:val="32"/>
        </w:rPr>
      </w:pPr>
      <w:bookmarkStart w:id="68" w:name="_Toc15396629"/>
      <w:r>
        <w:rPr>
          <w:rFonts w:hint="eastAsia" w:ascii="仿宋_GB2312" w:hAnsi="仿宋_GB2312" w:eastAsia="仿宋_GB2312" w:cs="仿宋_GB2312"/>
          <w:sz w:val="32"/>
          <w:szCs w:val="32"/>
        </w:rPr>
        <w:t>十一、政府性基金预算财政拨款收入支出决算表</w:t>
      </w:r>
      <w:bookmarkEnd w:id="68"/>
    </w:p>
    <w:p w14:paraId="7701BCB9">
      <w:pPr>
        <w:spacing w:line="600" w:lineRule="exact"/>
        <w:ind w:firstLine="640" w:firstLineChars="200"/>
        <w:rPr>
          <w:rFonts w:ascii="仿宋_GB2312" w:hAnsi="仿宋_GB2312" w:eastAsia="仿宋_GB2312" w:cs="仿宋_GB2312"/>
          <w:sz w:val="32"/>
          <w:szCs w:val="32"/>
        </w:rPr>
      </w:pPr>
      <w:bookmarkStart w:id="69" w:name="_Toc15396630"/>
      <w:r>
        <w:rPr>
          <w:rFonts w:hint="eastAsia" w:ascii="仿宋_GB2312" w:hAnsi="仿宋_GB2312" w:eastAsia="仿宋_GB2312" w:cs="仿宋_GB2312"/>
          <w:sz w:val="32"/>
          <w:szCs w:val="32"/>
        </w:rPr>
        <w:t>十二、政府性基金预算财政拨款“三公”经费支出决算表</w:t>
      </w:r>
      <w:bookmarkEnd w:id="69"/>
    </w:p>
    <w:p w14:paraId="5F1FAD18">
      <w:pPr>
        <w:spacing w:line="600" w:lineRule="exact"/>
        <w:ind w:firstLine="640" w:firstLineChars="200"/>
        <w:rPr>
          <w:rFonts w:ascii="仿宋_GB2312" w:hAnsi="仿宋_GB2312" w:eastAsia="仿宋_GB2312" w:cs="仿宋_GB2312"/>
          <w:sz w:val="32"/>
          <w:szCs w:val="32"/>
        </w:rPr>
      </w:pPr>
      <w:bookmarkStart w:id="70" w:name="_Toc15396631"/>
      <w:r>
        <w:rPr>
          <w:rFonts w:hint="eastAsia" w:ascii="仿宋_GB2312" w:hAnsi="仿宋_GB2312" w:eastAsia="仿宋_GB2312" w:cs="仿宋_GB2312"/>
          <w:sz w:val="32"/>
          <w:szCs w:val="32"/>
        </w:rPr>
        <w:t>十三、国有资本经营预算财政拨款收入支出决算表</w:t>
      </w:r>
      <w:bookmarkEnd w:id="70"/>
    </w:p>
    <w:p w14:paraId="0152F0B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7" w:type="first"/>
      <w:headerReference r:id="rId5" w:type="default"/>
      <w:footerReference r:id="rId6" w:type="default"/>
      <w:pgSz w:w="11906" w:h="16838"/>
      <w:pgMar w:top="2041" w:right="1474" w:bottom="1587" w:left="1474" w:header="851" w:footer="1134" w:gutter="0"/>
      <w:pgNumType w:fmt="numberInDash" w:start="4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8160"/>
      <w:docPartObj>
        <w:docPartGallery w:val="autotext"/>
      </w:docPartObj>
    </w:sdtPr>
    <w:sdtContent>
      <w:p w14:paraId="31382C8B">
        <w:pPr>
          <w:pStyle w:val="8"/>
        </w:pPr>
        <w:r>
          <w:fldChar w:fldCharType="begin"/>
        </w:r>
        <w:r>
          <w:instrText xml:space="preserve"> PAGE   \* MERGEFORMAT </w:instrText>
        </w:r>
        <w:r>
          <w:fldChar w:fldCharType="separate"/>
        </w:r>
        <w:r>
          <w:rPr>
            <w:lang w:val="zh-CN"/>
          </w:rPr>
          <w:t>4</w:t>
        </w:r>
        <w:r>
          <w:rPr>
            <w:lang w:val="zh-CN"/>
          </w:rPr>
          <w:fldChar w:fldCharType="end"/>
        </w:r>
      </w:p>
    </w:sdtContent>
  </w:sdt>
  <w:p w14:paraId="7C9F249F">
    <w:pPr>
      <w:spacing w:line="409" w:lineRule="exact"/>
      <w:ind w:left="340"/>
      <w:rPr>
        <w:rFonts w:ascii="仿宋" w:hAnsi="仿宋" w:eastAsia="仿宋" w:cs="仿宋"/>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8168"/>
      <w:docPartObj>
        <w:docPartGallery w:val="autotext"/>
      </w:docPartObj>
    </w:sdtPr>
    <w:sdtContent>
      <w:p w14:paraId="603AB6B1">
        <w:pPr>
          <w:pStyle w:val="8"/>
        </w:pPr>
        <w:r>
          <w:fldChar w:fldCharType="begin"/>
        </w:r>
        <w:r>
          <w:instrText xml:space="preserve"> PAGE   \* MERGEFORMAT </w:instrText>
        </w:r>
        <w:r>
          <w:fldChar w:fldCharType="separate"/>
        </w:r>
        <w:r>
          <w:rPr>
            <w:lang w:val="zh-CN"/>
          </w:rPr>
          <w:t>41</w:t>
        </w:r>
        <w:r>
          <w:rPr>
            <w:lang w:val="zh-CN"/>
          </w:rPr>
          <w:fldChar w:fldCharType="end"/>
        </w:r>
      </w:p>
    </w:sdtContent>
  </w:sdt>
  <w:p w14:paraId="5555A355">
    <w:pPr>
      <w:spacing w:line="409" w:lineRule="exact"/>
      <w:ind w:left="340"/>
      <w:rPr>
        <w:rFonts w:ascii="仿宋" w:hAnsi="仿宋" w:eastAsia="仿宋" w:cs="仿宋"/>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8172"/>
      <w:docPartObj>
        <w:docPartGallery w:val="autotext"/>
      </w:docPartObj>
    </w:sdtPr>
    <w:sdtContent>
      <w:p w14:paraId="22BA29DD">
        <w:pPr>
          <w:pStyle w:val="8"/>
        </w:pPr>
        <w:r>
          <w:fldChar w:fldCharType="begin"/>
        </w:r>
        <w:r>
          <w:instrText xml:space="preserve"> PAGE   \* MERGEFORMAT </w:instrText>
        </w:r>
        <w:r>
          <w:fldChar w:fldCharType="separate"/>
        </w:r>
        <w:r>
          <w:rPr>
            <w:lang w:val="zh-CN"/>
          </w:rPr>
          <w:t>-</w:t>
        </w:r>
        <w:r>
          <w:t xml:space="preserve"> 51 -</w:t>
        </w:r>
        <w:r>
          <w:fldChar w:fldCharType="end"/>
        </w:r>
      </w:p>
    </w:sdtContent>
  </w:sdt>
  <w:p w14:paraId="47E5298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8170"/>
      <w:docPartObj>
        <w:docPartGallery w:val="autotext"/>
      </w:docPartObj>
    </w:sdtPr>
    <w:sdtContent>
      <w:p w14:paraId="21974DC8">
        <w:pPr>
          <w:pStyle w:val="8"/>
        </w:pPr>
        <w:r>
          <w:fldChar w:fldCharType="begin"/>
        </w:r>
        <w:r>
          <w:instrText xml:space="preserve"> PAGE   \* MERGEFORMAT </w:instrText>
        </w:r>
        <w:r>
          <w:fldChar w:fldCharType="separate"/>
        </w:r>
        <w:r>
          <w:rPr>
            <w:lang w:val="zh-CN"/>
          </w:rPr>
          <w:t>-</w:t>
        </w:r>
        <w:r>
          <w:t xml:space="preserve"> 41 -</w:t>
        </w:r>
        <w:r>
          <w:fldChar w:fldCharType="end"/>
        </w:r>
      </w:p>
    </w:sdtContent>
  </w:sdt>
  <w:p w14:paraId="422A9D8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7C85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E794925"/>
    <w:multiLevelType w:val="singleLevel"/>
    <w:tmpl w:val="3E794925"/>
    <w:lvl w:ilvl="0" w:tentative="0">
      <w:start w:val="3"/>
      <w:numFmt w:val="chineseCounting"/>
      <w:suff w:val="nothing"/>
      <w:lvlText w:val="（%1）"/>
      <w:lvlJc w:val="left"/>
      <w:rPr>
        <w:rFonts w:hint="eastAsia"/>
      </w:rPr>
    </w:lvl>
  </w:abstractNum>
  <w:abstractNum w:abstractNumId="4">
    <w:nsid w:val="4E2001F2"/>
    <w:multiLevelType w:val="singleLevel"/>
    <w:tmpl w:val="4E2001F2"/>
    <w:lvl w:ilvl="0" w:tentative="0">
      <w:start w:val="2"/>
      <w:numFmt w:val="chineseCounting"/>
      <w:suff w:val="nothing"/>
      <w:lvlText w:val="（%1）"/>
      <w:lvlJc w:val="left"/>
      <w:rPr>
        <w:rFonts w:hint="eastAsia"/>
      </w:rPr>
    </w:lvl>
  </w:abstractNum>
  <w:abstractNum w:abstractNumId="5">
    <w:nsid w:val="586FAA3C"/>
    <w:multiLevelType w:val="singleLevel"/>
    <w:tmpl w:val="586FAA3C"/>
    <w:lvl w:ilvl="0" w:tentative="0">
      <w:start w:val="3"/>
      <w:numFmt w:val="decimal"/>
      <w:suff w:val="nothing"/>
      <w:lvlText w:val="%1．"/>
      <w:lvlJc w:val="left"/>
    </w:lvl>
  </w:abstractNum>
  <w:abstractNum w:abstractNumId="6">
    <w:nsid w:val="6C0C2504"/>
    <w:multiLevelType w:val="singleLevel"/>
    <w:tmpl w:val="6C0C2504"/>
    <w:lvl w:ilvl="0" w:tentative="0">
      <w:start w:val="3"/>
      <w:numFmt w:val="decimal"/>
      <w:suff w:val="nothing"/>
      <w:lvlText w:val="（%1）"/>
      <w:lvlJc w:val="left"/>
    </w:lvl>
  </w:abstractNum>
  <w:num w:numId="1">
    <w:abstractNumId w:val="2"/>
  </w:num>
  <w:num w:numId="2">
    <w:abstractNumId w:val="5"/>
  </w:num>
  <w:num w:numId="3">
    <w:abstractNumId w:val="1"/>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MzOTUxNTdlNzAwZjNjNzBiZjhjMDg1ODc4YTUwOTcifQ=="/>
  </w:docVars>
  <w:rsids>
    <w:rsidRoot w:val="00F1361C"/>
    <w:rsid w:val="000222C6"/>
    <w:rsid w:val="0002549F"/>
    <w:rsid w:val="000468DB"/>
    <w:rsid w:val="0006487A"/>
    <w:rsid w:val="00065F8F"/>
    <w:rsid w:val="00070A43"/>
    <w:rsid w:val="000768F2"/>
    <w:rsid w:val="00076F1C"/>
    <w:rsid w:val="0009184B"/>
    <w:rsid w:val="00094236"/>
    <w:rsid w:val="0009593C"/>
    <w:rsid w:val="00097249"/>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964DB"/>
    <w:rsid w:val="002A31DE"/>
    <w:rsid w:val="002B2613"/>
    <w:rsid w:val="002D6D05"/>
    <w:rsid w:val="002F1818"/>
    <w:rsid w:val="002F567B"/>
    <w:rsid w:val="003216A9"/>
    <w:rsid w:val="00335A74"/>
    <w:rsid w:val="0036561B"/>
    <w:rsid w:val="0037013F"/>
    <w:rsid w:val="00377DC5"/>
    <w:rsid w:val="00380C92"/>
    <w:rsid w:val="0039187E"/>
    <w:rsid w:val="0039341A"/>
    <w:rsid w:val="00396C3C"/>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4750"/>
    <w:rsid w:val="00487E5D"/>
    <w:rsid w:val="004A711F"/>
    <w:rsid w:val="004B199D"/>
    <w:rsid w:val="004B4690"/>
    <w:rsid w:val="004E0A2D"/>
    <w:rsid w:val="004E206B"/>
    <w:rsid w:val="004E6DF7"/>
    <w:rsid w:val="004F0FBD"/>
    <w:rsid w:val="00504728"/>
    <w:rsid w:val="00505A47"/>
    <w:rsid w:val="00512FDA"/>
    <w:rsid w:val="00520DA0"/>
    <w:rsid w:val="0052197D"/>
    <w:rsid w:val="005664BB"/>
    <w:rsid w:val="00566FFA"/>
    <w:rsid w:val="0057481D"/>
    <w:rsid w:val="0058486E"/>
    <w:rsid w:val="00585B33"/>
    <w:rsid w:val="0059014D"/>
    <w:rsid w:val="00594D07"/>
    <w:rsid w:val="005B5C64"/>
    <w:rsid w:val="005C5337"/>
    <w:rsid w:val="005C6BD0"/>
    <w:rsid w:val="005D1ADE"/>
    <w:rsid w:val="005D1C8B"/>
    <w:rsid w:val="005D468D"/>
    <w:rsid w:val="005D5CED"/>
    <w:rsid w:val="005E7852"/>
    <w:rsid w:val="005F1A4C"/>
    <w:rsid w:val="005F4AED"/>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2DEE"/>
    <w:rsid w:val="0075404D"/>
    <w:rsid w:val="0076182A"/>
    <w:rsid w:val="00767B7E"/>
    <w:rsid w:val="007770C3"/>
    <w:rsid w:val="00784D24"/>
    <w:rsid w:val="00785FBA"/>
    <w:rsid w:val="00786E4A"/>
    <w:rsid w:val="007875EB"/>
    <w:rsid w:val="0079426B"/>
    <w:rsid w:val="007A6328"/>
    <w:rsid w:val="007D1682"/>
    <w:rsid w:val="007D312A"/>
    <w:rsid w:val="007D3F19"/>
    <w:rsid w:val="007D6920"/>
    <w:rsid w:val="007E210B"/>
    <w:rsid w:val="007E23B0"/>
    <w:rsid w:val="007E23E5"/>
    <w:rsid w:val="007E2C47"/>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05FB"/>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3DA8"/>
    <w:rsid w:val="009315F9"/>
    <w:rsid w:val="00933499"/>
    <w:rsid w:val="00935C98"/>
    <w:rsid w:val="00946945"/>
    <w:rsid w:val="00951248"/>
    <w:rsid w:val="0095152F"/>
    <w:rsid w:val="00954C49"/>
    <w:rsid w:val="00955E37"/>
    <w:rsid w:val="00966727"/>
    <w:rsid w:val="0097099F"/>
    <w:rsid w:val="00971997"/>
    <w:rsid w:val="00971FFC"/>
    <w:rsid w:val="0098660A"/>
    <w:rsid w:val="009931C3"/>
    <w:rsid w:val="009B2C43"/>
    <w:rsid w:val="009B4EAE"/>
    <w:rsid w:val="009B7573"/>
    <w:rsid w:val="009C22F4"/>
    <w:rsid w:val="009C2A4B"/>
    <w:rsid w:val="009C2E98"/>
    <w:rsid w:val="009C7100"/>
    <w:rsid w:val="009D3447"/>
    <w:rsid w:val="009D4711"/>
    <w:rsid w:val="009D6197"/>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5225"/>
    <w:rsid w:val="00AB64C9"/>
    <w:rsid w:val="00AC3C6A"/>
    <w:rsid w:val="00AD5620"/>
    <w:rsid w:val="00AD656B"/>
    <w:rsid w:val="00AD7C1B"/>
    <w:rsid w:val="00AE16BA"/>
    <w:rsid w:val="00AE1EBE"/>
    <w:rsid w:val="00B00FF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EEE"/>
    <w:rsid w:val="00B944D6"/>
    <w:rsid w:val="00BB4DF0"/>
    <w:rsid w:val="00BC289F"/>
    <w:rsid w:val="00BC2D50"/>
    <w:rsid w:val="00BC5361"/>
    <w:rsid w:val="00BC5460"/>
    <w:rsid w:val="00BC6B50"/>
    <w:rsid w:val="00BD0E25"/>
    <w:rsid w:val="00BF5BD6"/>
    <w:rsid w:val="00C03E31"/>
    <w:rsid w:val="00C26D6D"/>
    <w:rsid w:val="00C33E72"/>
    <w:rsid w:val="00C354B2"/>
    <w:rsid w:val="00C3552E"/>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1DD"/>
    <w:rsid w:val="00D254F7"/>
    <w:rsid w:val="00D26091"/>
    <w:rsid w:val="00D2685C"/>
    <w:rsid w:val="00D34E7C"/>
    <w:rsid w:val="00D35489"/>
    <w:rsid w:val="00D36AFE"/>
    <w:rsid w:val="00D4697F"/>
    <w:rsid w:val="00D51276"/>
    <w:rsid w:val="00D52214"/>
    <w:rsid w:val="00D7035F"/>
    <w:rsid w:val="00DA0737"/>
    <w:rsid w:val="00DA253B"/>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3BD9"/>
    <w:rsid w:val="00E64269"/>
    <w:rsid w:val="00E82267"/>
    <w:rsid w:val="00E853CE"/>
    <w:rsid w:val="00E867B6"/>
    <w:rsid w:val="00EA010F"/>
    <w:rsid w:val="00EA4724"/>
    <w:rsid w:val="00ED1B63"/>
    <w:rsid w:val="00ED3C1F"/>
    <w:rsid w:val="00ED4085"/>
    <w:rsid w:val="00ED420E"/>
    <w:rsid w:val="00ED6FBE"/>
    <w:rsid w:val="00EE2F57"/>
    <w:rsid w:val="00EF4C34"/>
    <w:rsid w:val="00EF77C6"/>
    <w:rsid w:val="00F02C1B"/>
    <w:rsid w:val="00F05438"/>
    <w:rsid w:val="00F11029"/>
    <w:rsid w:val="00F1361C"/>
    <w:rsid w:val="00F156F0"/>
    <w:rsid w:val="00F160C7"/>
    <w:rsid w:val="00F2408F"/>
    <w:rsid w:val="00F240E9"/>
    <w:rsid w:val="00F36D8F"/>
    <w:rsid w:val="00F417B1"/>
    <w:rsid w:val="00F42952"/>
    <w:rsid w:val="00F45853"/>
    <w:rsid w:val="00F602DF"/>
    <w:rsid w:val="00F754A1"/>
    <w:rsid w:val="00F81FD9"/>
    <w:rsid w:val="00F841AA"/>
    <w:rsid w:val="00F84A94"/>
    <w:rsid w:val="00F87E96"/>
    <w:rsid w:val="00FA23E8"/>
    <w:rsid w:val="00FD3CC1"/>
    <w:rsid w:val="00FD7258"/>
    <w:rsid w:val="00FF1E02"/>
    <w:rsid w:val="00FF30B4"/>
    <w:rsid w:val="023D6862"/>
    <w:rsid w:val="04DF401B"/>
    <w:rsid w:val="066E0107"/>
    <w:rsid w:val="07996F6E"/>
    <w:rsid w:val="0A2032A3"/>
    <w:rsid w:val="0CA32187"/>
    <w:rsid w:val="101860EC"/>
    <w:rsid w:val="10C055FF"/>
    <w:rsid w:val="118107EC"/>
    <w:rsid w:val="13D10402"/>
    <w:rsid w:val="13D50BC4"/>
    <w:rsid w:val="15812163"/>
    <w:rsid w:val="16BB723D"/>
    <w:rsid w:val="1BE8440E"/>
    <w:rsid w:val="1D155CEE"/>
    <w:rsid w:val="1F43743A"/>
    <w:rsid w:val="20E75DCA"/>
    <w:rsid w:val="23860B96"/>
    <w:rsid w:val="240371BF"/>
    <w:rsid w:val="29FD04D3"/>
    <w:rsid w:val="2A9B2E7E"/>
    <w:rsid w:val="2C1E0AAF"/>
    <w:rsid w:val="2C820706"/>
    <w:rsid w:val="2C8A61B5"/>
    <w:rsid w:val="2DF04E50"/>
    <w:rsid w:val="2E0C3B6C"/>
    <w:rsid w:val="2E7B5DAD"/>
    <w:rsid w:val="30DA201C"/>
    <w:rsid w:val="319F7F4E"/>
    <w:rsid w:val="331372EB"/>
    <w:rsid w:val="360A325F"/>
    <w:rsid w:val="36AA5135"/>
    <w:rsid w:val="37E16F03"/>
    <w:rsid w:val="3A1D046D"/>
    <w:rsid w:val="3D98207C"/>
    <w:rsid w:val="41764B27"/>
    <w:rsid w:val="44E268DA"/>
    <w:rsid w:val="46C85294"/>
    <w:rsid w:val="4A627F82"/>
    <w:rsid w:val="4B4F25DA"/>
    <w:rsid w:val="4BE068DB"/>
    <w:rsid w:val="4D577224"/>
    <w:rsid w:val="4DE4144A"/>
    <w:rsid w:val="4EAB630A"/>
    <w:rsid w:val="4ECE2238"/>
    <w:rsid w:val="52DC3C7F"/>
    <w:rsid w:val="598D40DE"/>
    <w:rsid w:val="5AF92295"/>
    <w:rsid w:val="5CD71FC4"/>
    <w:rsid w:val="5E2A3FFE"/>
    <w:rsid w:val="6C4A05C8"/>
    <w:rsid w:val="6E7E3605"/>
    <w:rsid w:val="6FEA0455"/>
    <w:rsid w:val="6FF5CC65"/>
    <w:rsid w:val="71445BE6"/>
    <w:rsid w:val="715C0E4B"/>
    <w:rsid w:val="72734D90"/>
    <w:rsid w:val="73AD73D5"/>
    <w:rsid w:val="73B6EB34"/>
    <w:rsid w:val="79EE5BA4"/>
    <w:rsid w:val="7A894339"/>
    <w:rsid w:val="7DFD54DE"/>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Title"/>
    <w:basedOn w:val="1"/>
    <w:qFormat/>
    <w:uiPriority w:val="0"/>
    <w:pPr>
      <w:spacing w:before="240" w:after="60"/>
      <w:jc w:val="center"/>
      <w:outlineLvl w:val="0"/>
    </w:pPr>
    <w:rPr>
      <w:rFonts w:ascii="Arial" w:hAnsi="Arial" w:cs="Arial"/>
      <w:b/>
      <w:bCs/>
      <w:sz w:val="32"/>
      <w:szCs w:val="32"/>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52</Pages>
  <Words>6521</Words>
  <Characters>7113</Characters>
  <Lines>20</Lines>
  <Paragraphs>40</Paragraphs>
  <TotalTime>19</TotalTime>
  <ScaleCrop>false</ScaleCrop>
  <LinksUpToDate>false</LinksUpToDate>
  <CharactersWithSpaces>7195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王茜</cp:lastModifiedBy>
  <cp:lastPrinted>2023-09-26T02:35:00Z</cp:lastPrinted>
  <dcterms:modified xsi:type="dcterms:W3CDTF">2024-12-23T08:49:45Z</dcterms:modified>
  <dc:title>四川省***</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DD0273ED95D64951A3A7AE1C83751B57</vt:lpwstr>
  </property>
</Properties>
</file>