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2C60">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78441"/>
      <w:bookmarkStart w:id="3" w:name="_Toc15377425"/>
      <w:bookmarkStart w:id="4" w:name="_Toc15396475"/>
      <w:bookmarkStart w:id="5" w:name="_Toc15306267"/>
    </w:p>
    <w:p w14:paraId="555E8DB2">
      <w:pPr>
        <w:spacing w:line="600" w:lineRule="exact"/>
        <w:jc w:val="center"/>
        <w:outlineLvl w:val="0"/>
        <w:rPr>
          <w:rFonts w:ascii="方正小标宋简体" w:hAnsi="宋体" w:eastAsia="方正小标宋简体"/>
          <w:sz w:val="72"/>
          <w:szCs w:val="72"/>
        </w:rPr>
      </w:pPr>
    </w:p>
    <w:p w14:paraId="752C4699">
      <w:pPr>
        <w:spacing w:line="600" w:lineRule="exact"/>
        <w:jc w:val="center"/>
        <w:outlineLvl w:val="0"/>
        <w:rPr>
          <w:rFonts w:ascii="方正小标宋简体" w:hAnsi="宋体" w:eastAsia="方正小标宋简体"/>
          <w:sz w:val="72"/>
          <w:szCs w:val="72"/>
        </w:rPr>
      </w:pPr>
    </w:p>
    <w:p w14:paraId="389EC449">
      <w:pPr>
        <w:spacing w:line="600" w:lineRule="exact"/>
        <w:jc w:val="center"/>
        <w:outlineLvl w:val="0"/>
        <w:rPr>
          <w:rFonts w:ascii="方正小标宋简体" w:hAnsi="宋体" w:eastAsia="方正小标宋简体"/>
          <w:sz w:val="72"/>
          <w:szCs w:val="72"/>
        </w:rPr>
      </w:pPr>
    </w:p>
    <w:p w14:paraId="6D1C51B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2E3A39D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峨眉山市残疾人联合会部门决算</w:t>
      </w:r>
      <w:bookmarkEnd w:id="6"/>
      <w:bookmarkEnd w:id="7"/>
      <w:bookmarkEnd w:id="8"/>
      <w:bookmarkEnd w:id="9"/>
      <w:bookmarkEnd w:id="10"/>
      <w:bookmarkEnd w:id="11"/>
    </w:p>
    <w:p w14:paraId="23EABD10">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14:paraId="7F994DE7">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公开时间：2022年10月31日</w:t>
      </w:r>
    </w:p>
    <w:p w14:paraId="7D173C2B">
      <w:pPr>
        <w:spacing w:line="600" w:lineRule="exact"/>
      </w:pPr>
    </w:p>
    <w:p w14:paraId="1E19C8CB">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14:paraId="7227D092">
      <w:pPr>
        <w:pStyle w:val="11"/>
        <w:adjustRightInd w:val="0"/>
        <w:snapToGrid w:val="0"/>
        <w:spacing w:line="600" w:lineRule="exact"/>
        <w:ind w:left="0" w:leftChars="0" w:firstLine="0" w:firstLineChars="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一、基本职能及主要工作</w:t>
      </w:r>
      <w:r>
        <w:rPr>
          <w:rFonts w:hint="default" w:ascii="仿宋_GB2312" w:hAnsi="仿宋_GB2312" w:eastAsia="仿宋_GB2312" w:cs="仿宋_GB2312"/>
          <w:sz w:val="32"/>
          <w:szCs w:val="32"/>
          <w:lang w:val="en-US"/>
        </w:rPr>
        <w:t>....................... 4</w:t>
      </w:r>
    </w:p>
    <w:p w14:paraId="34C8BD60">
      <w:pPr>
        <w:pStyle w:val="11"/>
        <w:adjustRightInd w:val="0"/>
        <w:snapToGrid w:val="0"/>
        <w:spacing w:line="600" w:lineRule="exact"/>
        <w:ind w:left="0" w:leftChars="0" w:firstLine="0" w:firstLineChars="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二、机构设置</w:t>
      </w:r>
      <w:r>
        <w:rPr>
          <w:rFonts w:hint="default" w:ascii="仿宋_GB2312" w:hAnsi="仿宋_GB2312" w:eastAsia="仿宋_GB2312" w:cs="仿宋_GB2312"/>
          <w:sz w:val="32"/>
          <w:szCs w:val="32"/>
          <w:lang w:val="en-US"/>
        </w:rPr>
        <w:t xml:space="preserve"> ................................ 7</w:t>
      </w:r>
    </w:p>
    <w:p w14:paraId="05332C08">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14:paraId="65D3E62A">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default" w:ascii="仿宋_GB2312" w:hAnsi="仿宋_GB2312" w:eastAsia="仿宋_GB2312" w:cs="仿宋_GB2312"/>
          <w:sz w:val="32"/>
          <w:szCs w:val="32"/>
          <w:lang w:val="en-US"/>
        </w:rPr>
        <w:t xml:space="preserve"> .................8</w:t>
      </w:r>
    </w:p>
    <w:p w14:paraId="79511183">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二、收入决算情况说明</w:t>
      </w:r>
      <w:r>
        <w:rPr>
          <w:rFonts w:hint="default" w:ascii="仿宋_GB2312" w:hAnsi="仿宋_GB2312" w:eastAsia="仿宋_GB2312" w:cs="仿宋_GB2312"/>
          <w:sz w:val="32"/>
          <w:szCs w:val="32"/>
          <w:lang w:val="en-US"/>
        </w:rPr>
        <w:t>..........................9</w:t>
      </w:r>
    </w:p>
    <w:p w14:paraId="227D7CA5">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三、支出决算情况说明</w:t>
      </w:r>
      <w:r>
        <w:rPr>
          <w:rFonts w:hint="default" w:ascii="仿宋_GB2312" w:hAnsi="仿宋_GB2312" w:eastAsia="仿宋_GB2312" w:cs="仿宋_GB2312"/>
          <w:sz w:val="32"/>
          <w:szCs w:val="32"/>
          <w:lang w:val="en-US"/>
        </w:rPr>
        <w:t>..........................10</w:t>
      </w:r>
    </w:p>
    <w:p w14:paraId="03CA54BE">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四、财政拨款收入支出决算总体情况说明</w:t>
      </w:r>
      <w:r>
        <w:rPr>
          <w:rFonts w:hint="default" w:ascii="仿宋_GB2312" w:hAnsi="仿宋_GB2312" w:eastAsia="仿宋_GB2312" w:cs="仿宋_GB2312"/>
          <w:sz w:val="32"/>
          <w:szCs w:val="32"/>
          <w:lang w:val="en-US"/>
        </w:rPr>
        <w:t>..........11</w:t>
      </w:r>
    </w:p>
    <w:p w14:paraId="734D1AB6">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五、一般公共预算财政拨款支出决算情况说明</w:t>
      </w:r>
      <w:r>
        <w:rPr>
          <w:rFonts w:hint="default" w:ascii="仿宋_GB2312" w:hAnsi="仿宋_GB2312" w:eastAsia="仿宋_GB2312" w:cs="仿宋_GB2312"/>
          <w:sz w:val="32"/>
          <w:szCs w:val="32"/>
          <w:lang w:val="en-US"/>
        </w:rPr>
        <w:t>......12</w:t>
      </w:r>
    </w:p>
    <w:p w14:paraId="4A06BFC7">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六、一般公共预算财政拨款基本支出决算情况说明</w:t>
      </w:r>
      <w:r>
        <w:rPr>
          <w:rFonts w:hint="default" w:ascii="仿宋_GB2312" w:hAnsi="仿宋_GB2312" w:eastAsia="仿宋_GB2312" w:cs="仿宋_GB2312"/>
          <w:sz w:val="32"/>
          <w:szCs w:val="32"/>
          <w:lang w:val="en-US"/>
        </w:rPr>
        <w:t>..15</w:t>
      </w:r>
    </w:p>
    <w:p w14:paraId="67CA260B">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七、“三公”经费财政拨款支出决算情况说明</w:t>
      </w:r>
      <w:r>
        <w:rPr>
          <w:rFonts w:hint="default" w:ascii="仿宋_GB2312" w:hAnsi="仿宋_GB2312" w:eastAsia="仿宋_GB2312" w:cs="仿宋_GB2312"/>
          <w:sz w:val="32"/>
          <w:szCs w:val="32"/>
          <w:lang w:val="en-US"/>
        </w:rPr>
        <w:t>.......16</w:t>
      </w:r>
    </w:p>
    <w:p w14:paraId="406609F2">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八、政府性基金预算支出决算情况说明</w:t>
      </w:r>
      <w:r>
        <w:rPr>
          <w:rFonts w:hint="default" w:ascii="仿宋_GB2312" w:hAnsi="仿宋_GB2312" w:eastAsia="仿宋_GB2312" w:cs="仿宋_GB2312"/>
          <w:sz w:val="32"/>
          <w:szCs w:val="32"/>
          <w:lang w:val="en-US"/>
        </w:rPr>
        <w:t>............17</w:t>
      </w:r>
    </w:p>
    <w:p w14:paraId="0B73164B">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九、国有资本经营预算支出决算情况说明</w:t>
      </w:r>
      <w:r>
        <w:rPr>
          <w:rFonts w:hint="default" w:ascii="仿宋_GB2312" w:hAnsi="仿宋_GB2312" w:eastAsia="仿宋_GB2312" w:cs="仿宋_GB2312"/>
          <w:sz w:val="32"/>
          <w:szCs w:val="32"/>
          <w:lang w:val="en-US"/>
        </w:rPr>
        <w:t>..........18</w:t>
      </w:r>
    </w:p>
    <w:p w14:paraId="6F0FFC1D">
      <w:pPr>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Style w:val="15"/>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t>....................18</w:t>
      </w:r>
    </w:p>
    <w:p w14:paraId="50F1F4FA">
      <w:pPr>
        <w:pStyle w:val="10"/>
        <w:adjustRightInd w:val="0"/>
        <w:snapToGrid w:val="0"/>
        <w:spacing w:before="0" w:line="600" w:lineRule="exact"/>
        <w:jc w:val="left"/>
        <w:rPr>
          <w:rFonts w:hint="default" w:ascii="黑体" w:hAnsi="黑体" w:eastAsia="黑体" w:cs="黑体"/>
          <w:sz w:val="32"/>
          <w:szCs w:val="32"/>
          <w:lang w:val="en-US"/>
        </w:rPr>
      </w:pPr>
      <w:r>
        <w:rPr>
          <w:rFonts w:hint="eastAsia" w:ascii="黑体" w:hAnsi="黑体" w:eastAsia="黑体" w:cs="黑体"/>
          <w:sz w:val="32"/>
          <w:szCs w:val="32"/>
        </w:rPr>
        <w:t>第三部分 名词解释</w:t>
      </w:r>
      <w:r>
        <w:rPr>
          <w:rFonts w:hint="default" w:ascii="黑体" w:hAnsi="黑体" w:eastAsia="黑体" w:cs="黑体"/>
          <w:sz w:val="32"/>
          <w:szCs w:val="32"/>
          <w:lang w:val="en-US"/>
        </w:rPr>
        <w:t>.............................</w:t>
      </w:r>
      <w:r>
        <w:rPr>
          <w:rFonts w:hint="eastAsia" w:ascii="仿宋_GB2312" w:hAnsi="仿宋_GB2312" w:eastAsia="仿宋_GB2312" w:cs="仿宋_GB2312"/>
          <w:b w:val="0"/>
          <w:bCs w:val="0"/>
          <w:sz w:val="32"/>
          <w:szCs w:val="32"/>
          <w:lang w:val="en-US"/>
        </w:rPr>
        <w:t>20</w:t>
      </w:r>
    </w:p>
    <w:p w14:paraId="1F51D5E5">
      <w:pPr>
        <w:pStyle w:val="10"/>
        <w:adjustRightInd w:val="0"/>
        <w:snapToGrid w:val="0"/>
        <w:spacing w:before="0" w:line="600" w:lineRule="exact"/>
        <w:jc w:val="left"/>
        <w:rPr>
          <w:rFonts w:hint="default" w:ascii="黑体" w:hAnsi="黑体" w:eastAsia="黑体" w:cs="黑体"/>
          <w:sz w:val="32"/>
          <w:szCs w:val="32"/>
          <w:lang w:val="en-US"/>
        </w:rPr>
      </w:pPr>
      <w:r>
        <w:rPr>
          <w:rFonts w:hint="eastAsia" w:ascii="黑体" w:hAnsi="黑体" w:eastAsia="黑体" w:cs="黑体"/>
          <w:sz w:val="32"/>
          <w:szCs w:val="32"/>
        </w:rPr>
        <w:t>第四部分 附件</w:t>
      </w:r>
      <w:r>
        <w:rPr>
          <w:rFonts w:hint="default" w:ascii="黑体" w:hAnsi="黑体" w:eastAsia="黑体" w:cs="黑体"/>
          <w:sz w:val="32"/>
          <w:szCs w:val="32"/>
          <w:lang w:val="en-US"/>
        </w:rPr>
        <w:t>.................................</w:t>
      </w:r>
      <w:r>
        <w:rPr>
          <w:rFonts w:hint="eastAsia" w:ascii="仿宋_GB2312" w:hAnsi="仿宋_GB2312" w:eastAsia="仿宋_GB2312" w:cs="仿宋_GB2312"/>
          <w:sz w:val="32"/>
          <w:szCs w:val="32"/>
          <w:lang w:val="en-US"/>
        </w:rPr>
        <w:t>24</w:t>
      </w:r>
    </w:p>
    <w:p w14:paraId="329E08ED">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14:paraId="4691B27B">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2E8E60E0">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3B6CB04B">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0F5F70D1">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BDF8EF2">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0B11E2EC">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7836C599">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6EC0D7B6">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60436C68">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5DDCB73C">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049EAA6C">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4CB94E90">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41AF6355">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761B7295">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6696F106">
      <w:pPr>
        <w:widowControl/>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14:paraId="425468F7">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14:paraId="3AF1CF28">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14:paraId="5B82DC61">
      <w:pPr>
        <w:spacing w:line="600" w:lineRule="exact"/>
        <w:rPr>
          <w:rFonts w:ascii="仿宋_GB2312" w:hAnsi="仿宋_GB2312" w:eastAsia="仿宋_GB2312" w:cs="仿宋_GB2312"/>
          <w:sz w:val="32"/>
          <w:szCs w:val="32"/>
        </w:rPr>
      </w:pPr>
    </w:p>
    <w:p w14:paraId="44159CB6">
      <w:pPr>
        <w:spacing w:line="600" w:lineRule="exact"/>
        <w:ind w:firstLine="640" w:firstLineChars="200"/>
        <w:rPr>
          <w:rFonts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14:paraId="5AF49840">
      <w:pPr>
        <w:widowControl/>
        <w:adjustRightInd w:val="0"/>
        <w:snapToGrid w:val="0"/>
        <w:spacing w:line="700" w:lineRule="exact"/>
        <w:ind w:firstLine="640" w:firstLineChars="200"/>
        <w:contextualSpacing/>
        <w:jc w:val="left"/>
        <w:rPr>
          <w:rFonts w:ascii="仿宋" w:hAnsi="仿宋" w:eastAsia="仿宋" w:cs="宋体"/>
          <w:color w:val="000000"/>
          <w:kern w:val="0"/>
          <w:sz w:val="32"/>
          <w:szCs w:val="32"/>
          <w:shd w:val="clear" w:color="auto" w:fill="FFFFFF"/>
          <w:lang w:val="zh-CN"/>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r>
        <w:rPr>
          <w:rFonts w:hint="eastAsia" w:ascii="楷体_GB2312" w:hAnsi="仿宋" w:eastAsia="楷体_GB2312"/>
          <w:sz w:val="32"/>
          <w:szCs w:val="32"/>
        </w:rPr>
        <w:t xml:space="preserve">听取残疾人意见，反映残疾人需求，维护残疾人权益，为残疾热服务；团结、教育残疾人遵守法律，履行应尽的义务，发扬乐观进取精神，自尊、自信、自强、自立，为社会主义建设贡献力量；弘扬人道主义，宣传残疾人事业，沟通政府、社会与残疾人之间的联系，动员社会理解、尊重、关心、帮助残疾人；开展残疾人康复、扶贫、教育、劳动就业、文化、体育、科研、用品用具、无障碍设施和残疾预防工作，创造良好的环境和条件，扶助残疾人平等参与社会生活；协助政府研究、制定和实施残疾人事业政策、规划和计划，起草有关保障残疾人权益的法规草案并组织开展执法检查，调查和掌握残疾人状况，向政府提出决策建议，对有关业务领域进行指导和管理；协助镇乡党委考察残联班子和做好残联干部的管理工作，对全市镇乡残联和专门协会组织以及企事业单位残联负责人进行培训；承担市政府残疾人工作协调委员会的日常工作，搞好综合、组织、协调和服务；组织实施残疾人集中和分散按比例安置就业工作，指导和监督残联系统残疾人福利企业，会同有关部门制定并监督实施残疾人社会福利生产的扶持保护政策；组织实施残疾人各类职业培训，努力为残疾人提供就业机会 ；指导和管理各类残疾人专门协会；统筹开展残疾人事业募捐活动；开展残疾人事业的对外交流与合作；加强机关思想、整治、组织、作风建设，搞好各级残联组织的自身建设和党务工作，确保各项任务的完成；承办市委、市政府和乐山市残联加交办的其他工作。  </w:t>
      </w:r>
    </w:p>
    <w:p w14:paraId="11394577">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420"/>
        <w:jc w:val="left"/>
        <w:rPr>
          <w:rFonts w:ascii="仿宋_GB2312" w:hAnsi="仿宋_GB2312" w:eastAsia="仿宋_GB2312" w:cs="仿宋_GB2312"/>
          <w:sz w:val="32"/>
          <w:szCs w:val="32"/>
          <w:highlight w:val="yellow"/>
        </w:rPr>
      </w:pPr>
    </w:p>
    <w:p w14:paraId="1354A7BE">
      <w:pPr>
        <w:spacing w:line="600" w:lineRule="exact"/>
        <w:ind w:firstLine="640" w:firstLineChars="200"/>
        <w:rPr>
          <w:rFonts w:ascii="楷体_GB2312" w:hAnsi="楷体_GB2312" w:eastAsia="楷体_GB2312" w:cs="楷体_GB2312"/>
          <w:sz w:val="32"/>
          <w:szCs w:val="32"/>
        </w:rPr>
      </w:pPr>
      <w:bookmarkStart w:id="18" w:name="_Toc15377199"/>
      <w:bookmarkStart w:id="19" w:name="_Toc15378446"/>
      <w:r>
        <w:rPr>
          <w:rFonts w:hint="eastAsia" w:ascii="楷体_GB2312" w:hAnsi="楷体_GB2312" w:eastAsia="楷体_GB2312" w:cs="楷体_GB2312"/>
          <w:sz w:val="32"/>
          <w:szCs w:val="32"/>
        </w:rPr>
        <w:t>（二）2021年重点工作完成情况。</w:t>
      </w:r>
      <w:bookmarkEnd w:id="18"/>
      <w:bookmarkEnd w:id="19"/>
    </w:p>
    <w:p w14:paraId="4291DBC7">
      <w:pPr>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2021年，市残联在市委和市政府的坚强领导下，全面贯彻党的十九大和十九届六中全会精神，深入贯彻落实习</w:t>
      </w:r>
      <w:r>
        <w:rPr>
          <w:rFonts w:hint="eastAsia" w:ascii="仿宋_GB2312" w:hAnsi="仿宋_GB2312" w:eastAsia="仿宋_GB2312" w:cs="仿宋_GB2312"/>
          <w:color w:val="333333"/>
          <w:sz w:val="32"/>
          <w:szCs w:val="32"/>
          <w:shd w:val="clear" w:color="auto" w:fill="FFFFFF"/>
        </w:rPr>
        <w:t>近平总书记关于群团改革和残疾人事业重要论述、对四川工作系列重要指示精神</w:t>
      </w:r>
      <w:r>
        <w:rPr>
          <w:rFonts w:hint="eastAsia" w:ascii="仿宋" w:hAnsi="仿宋" w:eastAsia="仿宋" w:cs="仿宋"/>
          <w:color w:val="000000" w:themeColor="text1"/>
          <w:sz w:val="32"/>
          <w:szCs w:val="32"/>
        </w:rPr>
        <w:t>，以庆祝建党100周年为契机，以推动残疾人事业高质量发展为抓手，认真践行“代表、服务、管理”职能，扎实推进残疾人各项工作并取得新的成效。</w:t>
      </w:r>
    </w:p>
    <w:p w14:paraId="40ECD502">
      <w:pPr>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2021年工作情况：</w:t>
      </w:r>
    </w:p>
    <w:p w14:paraId="0BB6966B">
      <w:pPr>
        <w:spacing w:line="560" w:lineRule="exact"/>
        <w:ind w:firstLine="64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一、旗帜鲜明加强党的建设，以党建引领筑牢意识形态责任</w:t>
      </w:r>
    </w:p>
    <w:p w14:paraId="11F12162">
      <w:pPr>
        <w:spacing w:line="560" w:lineRule="exact"/>
        <w:ind w:firstLine="643"/>
        <w:rPr>
          <w:rFonts w:ascii="仿宋" w:hAnsi="仿宋" w:eastAsia="仿宋" w:cs="仿宋"/>
          <w:color w:val="000000" w:themeColor="text1"/>
          <w:sz w:val="32"/>
          <w:szCs w:val="32"/>
        </w:rPr>
      </w:pPr>
      <w:r>
        <w:rPr>
          <w:rFonts w:hint="eastAsia" w:ascii="楷体" w:hAnsi="楷体" w:eastAsia="楷体" w:cs="楷体"/>
          <w:bCs/>
          <w:color w:val="000000" w:themeColor="text1"/>
          <w:sz w:val="32"/>
          <w:szCs w:val="32"/>
        </w:rPr>
        <w:t>（一）通过党的创新理论保持政治定力</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深入学习贯彻习近平新时代中国特色社会主义思想，提升领导班子和党员干部政治理论素养，全年开展支部学习12次，重点学习党的十九届六中全会精神，习近平总书记视察四川重要讲话重要指示精神、习近平总书记在党史学习教育动员大会上的重要讲话精神、习近平总书记“七一”重要讲话精神及</w:t>
      </w:r>
      <w:r>
        <w:rPr>
          <w:rFonts w:hint="eastAsia" w:ascii="仿宋_GB2312" w:hAnsi="仿宋_GB2312" w:eastAsia="仿宋_GB2312" w:cs="仿宋_GB2312"/>
          <w:sz w:val="32"/>
          <w:szCs w:val="32"/>
        </w:rPr>
        <w:t>学习贯彻省委十一届十次全会、乐山市第八次党代会、市第十五次党代会精神</w:t>
      </w:r>
      <w:r>
        <w:rPr>
          <w:rFonts w:hint="eastAsia" w:ascii="仿宋" w:hAnsi="仿宋" w:eastAsia="仿宋" w:cs="仿宋"/>
          <w:color w:val="000000" w:themeColor="text1"/>
          <w:sz w:val="32"/>
          <w:szCs w:val="32"/>
        </w:rPr>
        <w:t>，不断增强“四个意识”</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坚定“四个自信”</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做到“两个维护”。</w:t>
      </w:r>
    </w:p>
    <w:p w14:paraId="1B6FF659">
      <w:pPr>
        <w:spacing w:line="560" w:lineRule="exact"/>
        <w:ind w:firstLine="643"/>
        <w:rPr>
          <w:rFonts w:ascii="仿宋" w:hAnsi="仿宋" w:eastAsia="仿宋" w:cs="仿宋"/>
          <w:color w:val="000000" w:themeColor="text1"/>
          <w:sz w:val="32"/>
          <w:szCs w:val="32"/>
        </w:rPr>
      </w:pPr>
      <w:r>
        <w:rPr>
          <w:rFonts w:hint="eastAsia" w:ascii="楷体" w:hAnsi="楷体" w:eastAsia="楷体" w:cs="楷体"/>
          <w:bCs/>
          <w:color w:val="000000" w:themeColor="text1"/>
          <w:sz w:val="32"/>
          <w:szCs w:val="32"/>
        </w:rPr>
        <w:t>（二）通过党史学习教育强化党建引力</w:t>
      </w:r>
      <w:r>
        <w:rPr>
          <w:rFonts w:hint="eastAsia" w:ascii="仿宋" w:hAnsi="仿宋" w:eastAsia="仿宋" w:cs="仿宋"/>
          <w:b/>
          <w:color w:val="000000" w:themeColor="text1"/>
          <w:sz w:val="32"/>
          <w:szCs w:val="32"/>
        </w:rPr>
        <w:t>。</w:t>
      </w:r>
      <w:r>
        <w:rPr>
          <w:rFonts w:hint="eastAsia" w:ascii="仿宋" w:hAnsi="仿宋" w:eastAsia="仿宋" w:cs="仿宋"/>
          <w:color w:val="000000" w:themeColor="text1"/>
          <w:sz w:val="32"/>
          <w:szCs w:val="32"/>
        </w:rPr>
        <w:t>制订党史学习教育计划，围绕《中国共产党简史》《习近平新时代中国</w:t>
      </w:r>
      <w:bookmarkStart w:id="76" w:name="_GoBack"/>
      <w:bookmarkEnd w:id="76"/>
      <w:r>
        <w:rPr>
          <w:rFonts w:hint="eastAsia" w:ascii="仿宋" w:hAnsi="仿宋" w:eastAsia="仿宋" w:cs="仿宋"/>
          <w:color w:val="000000" w:themeColor="text1"/>
          <w:sz w:val="32"/>
          <w:szCs w:val="32"/>
        </w:rPr>
        <w:t>特色社会主义思想学习问答》等指定书籍开展学习教育。丰富党史学习教育载体，利用微信公众号高标准开展党史学习教育，通过运用红色资源开展“主题党日”、组织红色观影等活动，赓续红色血脉；利用残疾人各类“助残日”庆祝活动，将党史学习与“七一”重要讲话有机结合，团结引领广大残疾人听党话、感党恩、跟党走。</w:t>
      </w:r>
    </w:p>
    <w:p w14:paraId="59FA0D90">
      <w:pPr>
        <w:spacing w:line="560" w:lineRule="exact"/>
        <w:ind w:firstLine="643"/>
      </w:pPr>
      <w:r>
        <w:rPr>
          <w:rFonts w:hint="eastAsia" w:ascii="仿宋" w:hAnsi="仿宋" w:eastAsia="仿宋" w:cs="仿宋"/>
          <w:color w:val="000000" w:themeColor="text1"/>
          <w:sz w:val="32"/>
          <w:szCs w:val="32"/>
        </w:rPr>
        <w:t>（三）</w:t>
      </w:r>
      <w:r>
        <w:rPr>
          <w:rFonts w:hint="eastAsia" w:ascii="楷体" w:hAnsi="楷体" w:eastAsia="楷体" w:cs="楷体"/>
          <w:color w:val="000000" w:themeColor="text1"/>
          <w:sz w:val="32"/>
          <w:szCs w:val="32"/>
        </w:rPr>
        <w:t>通过党风</w:t>
      </w:r>
      <w:r>
        <w:rPr>
          <w:rFonts w:hint="eastAsia" w:ascii="楷体" w:hAnsi="楷体" w:eastAsia="楷体" w:cs="楷体"/>
          <w:bCs/>
          <w:color w:val="000000" w:themeColor="text1"/>
          <w:sz w:val="32"/>
          <w:szCs w:val="32"/>
        </w:rPr>
        <w:t>廉政建设强化责任担当。</w:t>
      </w:r>
      <w:r>
        <w:rPr>
          <w:rFonts w:hint="eastAsia" w:ascii="仿宋" w:hAnsi="仿宋" w:eastAsia="仿宋" w:cs="仿宋"/>
          <w:color w:val="000000" w:themeColor="text1"/>
          <w:sz w:val="32"/>
          <w:szCs w:val="32"/>
        </w:rPr>
        <w:t>结合市委巡察整改、党史学习教育等工作，深入开展纪律作风整顿活动，督促班子成员自觉履行“一岗双责”制，严格落实“三会一课”等党内政治生活制度，规范党风廉政建设工作模式，严格贯彻《准则》《条例》及其他相关规定，深入开展廉洁从政教育和党性党风党纪教育，全年开展自纠自查3次、组织党员领导干部观看警示教育片，进一步增强干部职工的责任意识、廉政守纪意识。</w:t>
      </w:r>
    </w:p>
    <w:p w14:paraId="670ECE13">
      <w:pPr>
        <w:spacing w:line="560" w:lineRule="exact"/>
        <w:ind w:firstLine="64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二、强化履职聚焦主责主业，全面提升为残疾人服务的能力</w:t>
      </w:r>
    </w:p>
    <w:p w14:paraId="3E79D56B">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（一）民生实事全面完成</w:t>
      </w:r>
      <w:r>
        <w:rPr>
          <w:rFonts w:hint="eastAsia" w:ascii="仿宋_GB2312" w:hAnsi="仿宋_GB2312" w:eastAsia="仿宋_GB2312" w:cs="仿宋_GB2312"/>
          <w:kern w:val="0"/>
          <w:sz w:val="32"/>
          <w:szCs w:val="32"/>
        </w:rPr>
        <w:t>。全市累计投入民生项目资金</w:t>
      </w:r>
      <w:r>
        <w:rPr>
          <w:rFonts w:hint="eastAsia" w:ascii="仿宋" w:hAnsi="仿宋" w:eastAsia="仿宋" w:cs="仿宋"/>
          <w:sz w:val="32"/>
          <w:szCs w:val="32"/>
        </w:rPr>
        <w:t>509.47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为</w:t>
      </w:r>
      <w:r>
        <w:rPr>
          <w:rFonts w:eastAsia="仿宋_GB2312"/>
          <w:sz w:val="32"/>
          <w:szCs w:val="32"/>
        </w:rPr>
        <w:t>2</w:t>
      </w:r>
      <w:r>
        <w:rPr>
          <w:rFonts w:hint="eastAsia" w:eastAsia="仿宋_GB2312"/>
          <w:sz w:val="32"/>
          <w:szCs w:val="32"/>
        </w:rPr>
        <w:t>540</w:t>
      </w:r>
      <w:r>
        <w:rPr>
          <w:rFonts w:hint="eastAsia" w:ascii="仿宋_GB2312" w:hAnsi="仿宋_GB2312" w:eastAsia="仿宋_GB2312" w:cs="仿宋_GB2312"/>
          <w:sz w:val="32"/>
          <w:szCs w:val="32"/>
        </w:rPr>
        <w:t>名残疾人提供就业（创业）补贴，扶持</w:t>
      </w:r>
      <w:r>
        <w:rPr>
          <w:rFonts w:hint="eastAsia" w:eastAsia="仿宋_GB2312"/>
          <w:sz w:val="32"/>
          <w:szCs w:val="32"/>
        </w:rPr>
        <w:t>510</w:t>
      </w:r>
      <w:r>
        <w:rPr>
          <w:rFonts w:hint="eastAsia" w:ascii="仿宋_GB2312" w:hAnsi="仿宋_GB2312" w:eastAsia="仿宋_GB2312" w:cs="仿宋_GB2312"/>
          <w:sz w:val="32"/>
          <w:szCs w:val="32"/>
        </w:rPr>
        <w:t>名农村残疾人发展生产，为</w:t>
      </w:r>
      <w:r>
        <w:rPr>
          <w:rFonts w:hint="eastAsia" w:ascii="仿宋" w:hAnsi="仿宋" w:eastAsia="仿宋" w:cs="仿宋"/>
          <w:b/>
          <w:bCs/>
          <w:sz w:val="32"/>
          <w:szCs w:val="32"/>
        </w:rPr>
        <w:t>628</w:t>
      </w:r>
      <w:r>
        <w:rPr>
          <w:rFonts w:hint="eastAsia" w:ascii="仿宋_GB2312" w:hAnsi="仿宋_GB2312" w:eastAsia="仿宋_GB2312" w:cs="仿宋_GB2312"/>
          <w:sz w:val="32"/>
          <w:szCs w:val="32"/>
        </w:rPr>
        <w:t>名残疾人适配辅具，为43名残疾儿童提供康复救助，为57户困难残疾人家庭实施无障碍改造。发放特殊困难群体护理费</w:t>
      </w:r>
      <w:r>
        <w:rPr>
          <w:rFonts w:eastAsia="仿宋_GB2312"/>
          <w:sz w:val="32"/>
          <w:szCs w:val="32"/>
        </w:rPr>
        <w:t>850</w:t>
      </w:r>
      <w:r>
        <w:rPr>
          <w:rFonts w:hint="eastAsia" w:ascii="仿宋_GB2312" w:hAnsi="仿宋_GB2312" w:eastAsia="仿宋_GB2312" w:cs="仿宋_GB2312"/>
          <w:sz w:val="32"/>
          <w:szCs w:val="32"/>
        </w:rPr>
        <w:t>人次，发放金额</w:t>
      </w:r>
      <w:r>
        <w:rPr>
          <w:rFonts w:eastAsia="仿宋_GB2312"/>
          <w:sz w:val="32"/>
          <w:szCs w:val="32"/>
        </w:rPr>
        <w:t>40</w:t>
      </w:r>
      <w:r>
        <w:rPr>
          <w:rFonts w:hint="eastAsia" w:ascii="仿宋_GB2312" w:hAnsi="仿宋_GB2312" w:eastAsia="仿宋_GB2312" w:cs="仿宋_GB2312"/>
          <w:sz w:val="32"/>
          <w:szCs w:val="32"/>
        </w:rPr>
        <w:t>.</w:t>
      </w:r>
      <w:r>
        <w:rPr>
          <w:rFonts w:eastAsia="仿宋_GB2312"/>
          <w:sz w:val="32"/>
          <w:szCs w:val="32"/>
        </w:rPr>
        <w:t>74</w:t>
      </w:r>
      <w:r>
        <w:rPr>
          <w:rFonts w:hint="eastAsia" w:ascii="仿宋_GB2312" w:hAnsi="仿宋_GB2312" w:eastAsia="仿宋_GB2312" w:cs="仿宋_GB2312"/>
          <w:sz w:val="32"/>
          <w:szCs w:val="32"/>
        </w:rPr>
        <w:t>万元。</w:t>
      </w:r>
    </w:p>
    <w:p w14:paraId="50CCF55C">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（二）残疾人就业稳步提升</w:t>
      </w:r>
      <w:r>
        <w:rPr>
          <w:rFonts w:hint="eastAsia" w:ascii="仿宋_GB2312" w:hAnsi="仿宋_GB2312" w:eastAsia="仿宋_GB2312" w:cs="仿宋_GB2312"/>
          <w:sz w:val="32"/>
          <w:szCs w:val="32"/>
        </w:rPr>
        <w:t>。完成安置残疾人网上认定工作，共认定企业</w:t>
      </w:r>
      <w:r>
        <w:rPr>
          <w:rFonts w:eastAsia="仿宋_GB2312"/>
          <w:sz w:val="32"/>
          <w:szCs w:val="32"/>
        </w:rPr>
        <w:t>76</w:t>
      </w:r>
      <w:r>
        <w:rPr>
          <w:rFonts w:hint="eastAsia" w:ascii="仿宋_GB2312" w:hAnsi="仿宋_GB2312" w:eastAsia="仿宋_GB2312" w:cs="仿宋_GB2312"/>
          <w:sz w:val="32"/>
          <w:szCs w:val="32"/>
        </w:rPr>
        <w:t>家，认定安置残疾人</w:t>
      </w:r>
      <w:r>
        <w:rPr>
          <w:rFonts w:eastAsia="仿宋_GB2312"/>
          <w:sz w:val="32"/>
          <w:szCs w:val="32"/>
        </w:rPr>
        <w:t>173</w:t>
      </w:r>
      <w:r>
        <w:rPr>
          <w:rFonts w:hint="eastAsia" w:ascii="仿宋_GB2312" w:hAnsi="仿宋_GB2312" w:eastAsia="仿宋_GB2312" w:cs="仿宋_GB2312"/>
          <w:sz w:val="32"/>
          <w:szCs w:val="32"/>
        </w:rPr>
        <w:t>人，征收残疾人就业保障金</w:t>
      </w:r>
      <w:r>
        <w:rPr>
          <w:rFonts w:eastAsia="仿宋_GB2312"/>
          <w:sz w:val="32"/>
          <w:szCs w:val="32"/>
        </w:rPr>
        <w:t>1400</w:t>
      </w:r>
      <w:r>
        <w:rPr>
          <w:rFonts w:hint="eastAsia" w:ascii="仿宋_GB2312" w:hAnsi="仿宋_GB2312" w:eastAsia="仿宋_GB2312" w:cs="仿宋_GB2312"/>
          <w:sz w:val="32"/>
          <w:szCs w:val="32"/>
        </w:rPr>
        <w:t>万元。</w:t>
      </w:r>
    </w:p>
    <w:p w14:paraId="63F2A389">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（三）残疾人康复明显改善</w:t>
      </w:r>
      <w:r>
        <w:rPr>
          <w:rFonts w:hint="eastAsia" w:ascii="仿宋_GB2312" w:hAnsi="仿宋_GB2312" w:eastAsia="仿宋_GB2312" w:cs="仿宋_GB2312"/>
          <w:sz w:val="32"/>
          <w:szCs w:val="32"/>
        </w:rPr>
        <w:t>。接受市儿童定点康复救助机构评估。完成儿童康复</w:t>
      </w:r>
      <w:r>
        <w:rPr>
          <w:rFonts w:eastAsia="仿宋_GB2312"/>
          <w:sz w:val="32"/>
          <w:szCs w:val="32"/>
        </w:rPr>
        <w:t>60</w:t>
      </w:r>
      <w:r>
        <w:rPr>
          <w:rFonts w:hint="eastAsia" w:ascii="仿宋_GB2312" w:hAnsi="仿宋_GB2312" w:eastAsia="仿宋_GB2312" w:cs="仿宋_GB2312"/>
          <w:sz w:val="32"/>
          <w:szCs w:val="32"/>
        </w:rPr>
        <w:t>例，康复有效率达</w:t>
      </w:r>
      <w:r>
        <w:rPr>
          <w:rFonts w:eastAsia="仿宋_GB2312"/>
          <w:sz w:val="32"/>
          <w:szCs w:val="32"/>
        </w:rPr>
        <w:t>90</w:t>
      </w:r>
      <w:r>
        <w:rPr>
          <w:rFonts w:hint="eastAsia" w:ascii="仿宋_GB2312" w:hAnsi="仿宋_GB2312" w:eastAsia="仿宋_GB2312" w:cs="仿宋_GB2312"/>
          <w:sz w:val="32"/>
          <w:szCs w:val="32"/>
        </w:rPr>
        <w:t>%。完成了精神病服药救助</w:t>
      </w:r>
      <w:r>
        <w:rPr>
          <w:rFonts w:eastAsia="仿宋_GB2312"/>
          <w:sz w:val="32"/>
          <w:szCs w:val="32"/>
        </w:rPr>
        <w:t>392</w:t>
      </w:r>
      <w:r>
        <w:rPr>
          <w:rFonts w:hint="eastAsia" w:ascii="仿宋_GB2312" w:hAnsi="仿宋_GB2312" w:eastAsia="仿宋_GB2312" w:cs="仿宋_GB2312"/>
          <w:sz w:val="32"/>
          <w:szCs w:val="32"/>
        </w:rPr>
        <w:t>例，住院</w:t>
      </w:r>
      <w:r>
        <w:rPr>
          <w:rFonts w:eastAsia="仿宋_GB2312"/>
          <w:sz w:val="32"/>
          <w:szCs w:val="32"/>
        </w:rPr>
        <w:t>62</w:t>
      </w:r>
      <w:r>
        <w:rPr>
          <w:rFonts w:hint="eastAsia" w:ascii="仿宋_GB2312" w:hAnsi="仿宋_GB2312" w:eastAsia="仿宋_GB2312" w:cs="仿宋_GB2312"/>
          <w:sz w:val="32"/>
          <w:szCs w:val="32"/>
        </w:rPr>
        <w:t>例；白内障复明手术</w:t>
      </w:r>
      <w:r>
        <w:rPr>
          <w:rFonts w:eastAsia="仿宋_GB2312"/>
          <w:sz w:val="32"/>
          <w:szCs w:val="32"/>
        </w:rPr>
        <w:t>100</w:t>
      </w:r>
      <w:r>
        <w:rPr>
          <w:rFonts w:hint="eastAsia" w:ascii="仿宋_GB2312" w:hAnsi="仿宋_GB2312" w:eastAsia="仿宋_GB2312" w:cs="仿宋_GB2312"/>
          <w:sz w:val="32"/>
          <w:szCs w:val="32"/>
        </w:rPr>
        <w:t>例。开展了盲人定向训练，为</w:t>
      </w:r>
      <w:r>
        <w:rPr>
          <w:rFonts w:eastAsia="仿宋_GB2312"/>
          <w:sz w:val="32"/>
          <w:szCs w:val="32"/>
        </w:rPr>
        <w:t>12</w:t>
      </w:r>
      <w:r>
        <w:rPr>
          <w:rFonts w:hint="eastAsia" w:ascii="仿宋_GB2312" w:hAnsi="仿宋_GB2312" w:eastAsia="仿宋_GB2312" w:cs="仿宋_GB2312"/>
          <w:sz w:val="32"/>
          <w:szCs w:val="32"/>
        </w:rPr>
        <w:t>人进行了假肢装配取样。</w:t>
      </w:r>
    </w:p>
    <w:p w14:paraId="0A01148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 w:hAnsi="楷体" w:eastAsia="楷体" w:cs="楷体"/>
          <w:sz w:val="32"/>
          <w:szCs w:val="32"/>
        </w:rPr>
        <w:t>四）残疾人幸福指数明显提高</w:t>
      </w:r>
      <w:r>
        <w:rPr>
          <w:rFonts w:hint="eastAsia" w:ascii="仿宋_GB2312" w:hAnsi="仿宋_GB2312" w:eastAsia="仿宋_GB2312" w:cs="仿宋_GB2312"/>
          <w:sz w:val="32"/>
          <w:szCs w:val="32"/>
        </w:rPr>
        <w:t>。全年投入资金</w:t>
      </w:r>
      <w:r>
        <w:rPr>
          <w:rFonts w:eastAsia="仿宋_GB2312"/>
          <w:sz w:val="32"/>
          <w:szCs w:val="32"/>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开展“温暖万家行”活动，春节走访慰问贫困残疾人</w:t>
      </w:r>
      <w:r>
        <w:rPr>
          <w:rFonts w:eastAsia="仿宋_GB2312"/>
          <w:kern w:val="0"/>
          <w:sz w:val="32"/>
          <w:szCs w:val="32"/>
        </w:rPr>
        <w:t>300</w:t>
      </w:r>
      <w:r>
        <w:rPr>
          <w:rFonts w:hint="eastAsia" w:ascii="仿宋_GB2312" w:hAnsi="仿宋_GB2312" w:eastAsia="仿宋_GB2312" w:cs="仿宋_GB2312"/>
          <w:kern w:val="0"/>
          <w:sz w:val="32"/>
          <w:szCs w:val="32"/>
        </w:rPr>
        <w:t>余人次。</w:t>
      </w:r>
      <w:r>
        <w:rPr>
          <w:rFonts w:hint="eastAsia" w:ascii="仿宋_GB2312" w:hAnsi="仿宋_GB2312" w:eastAsia="仿宋_GB2312" w:cs="仿宋_GB2312"/>
          <w:sz w:val="32"/>
          <w:szCs w:val="32"/>
        </w:rPr>
        <w:t>建立残疾人临时紧急救助制度，全年临时紧急救助</w:t>
      </w:r>
      <w:r>
        <w:rPr>
          <w:rFonts w:eastAsia="仿宋_GB2312"/>
          <w:sz w:val="32"/>
          <w:szCs w:val="32"/>
        </w:rPr>
        <w:t>13</w:t>
      </w:r>
      <w:r>
        <w:rPr>
          <w:rFonts w:hint="eastAsia" w:ascii="仿宋_GB2312" w:hAnsi="仿宋_GB2312" w:eastAsia="仿宋_GB2312" w:cs="仿宋_GB2312"/>
          <w:sz w:val="32"/>
          <w:szCs w:val="32"/>
        </w:rPr>
        <w:t>人，发放紧急救助资金</w:t>
      </w:r>
      <w:r>
        <w:rPr>
          <w:rFonts w:eastAsia="仿宋_GB2312"/>
          <w:sz w:val="32"/>
          <w:szCs w:val="32"/>
        </w:rPr>
        <w:t>2</w:t>
      </w:r>
      <w:r>
        <w:rPr>
          <w:rFonts w:hint="eastAsia" w:ascii="仿宋_GB2312" w:hAnsi="仿宋_GB2312" w:eastAsia="仿宋_GB2312" w:cs="仿宋_GB2312"/>
          <w:sz w:val="32"/>
          <w:szCs w:val="32"/>
        </w:rPr>
        <w:t>.</w:t>
      </w:r>
      <w:r>
        <w:rPr>
          <w:rFonts w:eastAsia="仿宋_GB2312"/>
          <w:sz w:val="32"/>
          <w:szCs w:val="32"/>
        </w:rPr>
        <w:t>1</w:t>
      </w:r>
      <w:r>
        <w:rPr>
          <w:rFonts w:hint="eastAsia" w:ascii="仿宋_GB2312" w:hAnsi="仿宋_GB2312" w:eastAsia="仿宋_GB2312" w:cs="仿宋_GB2312"/>
          <w:sz w:val="32"/>
          <w:szCs w:val="32"/>
        </w:rPr>
        <w:t>万元。为28名残疾人落实机动车燃油补贴</w:t>
      </w:r>
      <w:r>
        <w:rPr>
          <w:rFonts w:eastAsia="仿宋_GB2312"/>
          <w:sz w:val="32"/>
          <w:szCs w:val="32"/>
        </w:rPr>
        <w:t>1</w:t>
      </w:r>
      <w:r>
        <w:rPr>
          <w:rFonts w:hint="eastAsia" w:ascii="仿宋_GB2312" w:hAnsi="仿宋_GB2312" w:eastAsia="仿宋_GB2312" w:cs="仿宋_GB2312"/>
          <w:sz w:val="32"/>
          <w:szCs w:val="32"/>
        </w:rPr>
        <w:t>.</w:t>
      </w:r>
      <w:r>
        <w:rPr>
          <w:rFonts w:eastAsia="仿宋_GB2312"/>
          <w:sz w:val="32"/>
          <w:szCs w:val="32"/>
        </w:rPr>
        <w:t>02</w:t>
      </w:r>
      <w:r>
        <w:rPr>
          <w:rFonts w:hint="eastAsia" w:ascii="仿宋_GB2312" w:hAnsi="仿宋_GB2312" w:eastAsia="仿宋_GB2312" w:cs="仿宋_GB2312"/>
          <w:sz w:val="32"/>
          <w:szCs w:val="32"/>
        </w:rPr>
        <w:t>万元。</w:t>
      </w:r>
    </w:p>
    <w:p w14:paraId="70ABF16D">
      <w:pPr>
        <w:spacing w:line="600" w:lineRule="exact"/>
        <w:ind w:firstLine="640" w:firstLineChars="200"/>
        <w:rPr>
          <w:rFonts w:ascii="仿宋" w:hAnsi="仿宋" w:eastAsia="仿宋" w:cs="仿宋"/>
          <w:color w:val="000000" w:themeColor="text1"/>
          <w:sz w:val="32"/>
          <w:szCs w:val="32"/>
        </w:rPr>
      </w:pPr>
      <w:r>
        <w:rPr>
          <w:rFonts w:hint="eastAsia" w:ascii="楷体" w:hAnsi="楷体" w:eastAsia="楷体" w:cs="楷体"/>
          <w:kern w:val="0"/>
          <w:sz w:val="32"/>
          <w:szCs w:val="32"/>
        </w:rPr>
        <w:t>（五）残疾人受教育程度明显提升</w:t>
      </w:r>
      <w:r>
        <w:rPr>
          <w:rFonts w:hint="eastAsia" w:ascii="仿宋_GB2312" w:hAnsi="仿宋_GB2312" w:eastAsia="仿宋_GB2312" w:cs="仿宋_GB2312"/>
          <w:kern w:val="0"/>
          <w:sz w:val="32"/>
          <w:szCs w:val="32"/>
        </w:rPr>
        <w:t>。全面落实残疾学生的教育资助政策，残疾儿童适龄入学率达</w:t>
      </w:r>
      <w:r>
        <w:rPr>
          <w:rFonts w:eastAsia="仿宋_GB2312"/>
          <w:kern w:val="0"/>
          <w:sz w:val="32"/>
          <w:szCs w:val="32"/>
        </w:rPr>
        <w:t>95</w:t>
      </w:r>
      <w:r>
        <w:rPr>
          <w:rFonts w:hint="eastAsia" w:ascii="仿宋_GB2312" w:hAnsi="仿宋_GB2312" w:eastAsia="仿宋_GB2312" w:cs="仿宋_GB2312"/>
          <w:kern w:val="0"/>
          <w:sz w:val="32"/>
          <w:szCs w:val="32"/>
        </w:rPr>
        <w:t>%以上。</w:t>
      </w:r>
      <w:r>
        <w:rPr>
          <w:rFonts w:hint="eastAsia" w:ascii="仿宋_GB2312" w:hAnsi="仿宋_GB2312" w:eastAsia="仿宋_GB2312" w:cs="仿宋_GB2312"/>
          <w:sz w:val="32"/>
          <w:szCs w:val="32"/>
        </w:rPr>
        <w:t>为</w:t>
      </w:r>
      <w:r>
        <w:rPr>
          <w:rFonts w:eastAsia="仿宋_GB2312"/>
          <w:sz w:val="32"/>
          <w:szCs w:val="32"/>
        </w:rPr>
        <w:t>157</w:t>
      </w:r>
      <w:r>
        <w:rPr>
          <w:rFonts w:hint="eastAsia" w:ascii="仿宋_GB2312" w:hAnsi="仿宋_GB2312" w:eastAsia="仿宋_GB2312" w:cs="仿宋_GB2312"/>
          <w:sz w:val="32"/>
          <w:szCs w:val="32"/>
        </w:rPr>
        <w:t>名残疾学生发放交通补贴</w:t>
      </w:r>
      <w:r>
        <w:rPr>
          <w:rFonts w:eastAsia="仿宋_GB2312"/>
          <w:sz w:val="32"/>
          <w:szCs w:val="32"/>
        </w:rPr>
        <w:t>26</w:t>
      </w:r>
      <w:r>
        <w:rPr>
          <w:rFonts w:hint="eastAsia" w:ascii="仿宋_GB2312" w:hAnsi="仿宋_GB2312" w:eastAsia="仿宋_GB2312" w:cs="仿宋_GB2312"/>
          <w:sz w:val="32"/>
          <w:szCs w:val="32"/>
        </w:rPr>
        <w:t>.</w:t>
      </w:r>
      <w:r>
        <w:rPr>
          <w:rFonts w:eastAsia="仿宋_GB2312"/>
          <w:sz w:val="32"/>
          <w:szCs w:val="32"/>
        </w:rPr>
        <w:t>6</w:t>
      </w:r>
      <w:r>
        <w:rPr>
          <w:rFonts w:hint="eastAsia" w:ascii="仿宋_GB2312" w:hAnsi="仿宋_GB2312" w:eastAsia="仿宋_GB2312" w:cs="仿宋_GB2312"/>
          <w:sz w:val="32"/>
          <w:szCs w:val="32"/>
        </w:rPr>
        <w:t>万元。为</w:t>
      </w:r>
      <w:r>
        <w:rPr>
          <w:rFonts w:eastAsia="仿宋_GB2312"/>
          <w:sz w:val="32"/>
          <w:szCs w:val="32"/>
        </w:rPr>
        <w:t>34</w:t>
      </w:r>
      <w:r>
        <w:rPr>
          <w:rFonts w:hint="eastAsia" w:ascii="仿宋_GB2312" w:hAnsi="仿宋_GB2312" w:eastAsia="仿宋_GB2312" w:cs="仿宋_GB2312"/>
          <w:sz w:val="32"/>
          <w:szCs w:val="32"/>
        </w:rPr>
        <w:t>名考上大中专和高中的残疾学生和残疾人子女发放“金秋助学金”</w:t>
      </w:r>
      <w:r>
        <w:rPr>
          <w:rFonts w:eastAsia="仿宋_GB2312"/>
          <w:sz w:val="32"/>
          <w:szCs w:val="32"/>
        </w:rPr>
        <w:t>11</w:t>
      </w:r>
      <w:r>
        <w:rPr>
          <w:rFonts w:hint="eastAsia" w:ascii="仿宋_GB2312" w:hAnsi="仿宋_GB2312" w:eastAsia="仿宋_GB2312" w:cs="仿宋_GB2312"/>
          <w:sz w:val="32"/>
          <w:szCs w:val="32"/>
        </w:rPr>
        <w:t>.</w:t>
      </w:r>
      <w:r>
        <w:rPr>
          <w:rFonts w:eastAsia="仿宋_GB2312"/>
          <w:sz w:val="32"/>
          <w:szCs w:val="32"/>
        </w:rPr>
        <w:t>13</w:t>
      </w:r>
      <w:r>
        <w:rPr>
          <w:rFonts w:hint="eastAsia" w:ascii="仿宋_GB2312" w:hAnsi="仿宋_GB2312" w:eastAsia="仿宋_GB2312" w:cs="仿宋_GB2312"/>
          <w:sz w:val="32"/>
          <w:szCs w:val="32"/>
        </w:rPr>
        <w:t>万元。</w:t>
      </w:r>
    </w:p>
    <w:p w14:paraId="102757FC">
      <w:pPr>
        <w:pStyle w:val="2"/>
        <w:spacing w:before="93"/>
        <w:rPr>
          <w:highlight w:val="yellow"/>
        </w:rPr>
      </w:pPr>
    </w:p>
    <w:p w14:paraId="7BBE4680">
      <w:pPr>
        <w:spacing w:line="600" w:lineRule="exact"/>
        <w:ind w:firstLine="640" w:firstLineChars="200"/>
        <w:rPr>
          <w:rFonts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14:paraId="16E1C051">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峨眉山市残疾人联合会下属二级预算单位1个，其中行政单位0个，参照公务员法管理的事业单位1个，其他事业单位0个。</w:t>
      </w:r>
    </w:p>
    <w:p w14:paraId="6FC8EFAA">
      <w:pPr>
        <w:widowControl/>
        <w:jc w:val="left"/>
        <w:rPr>
          <w:rFonts w:ascii="仿宋" w:hAnsi="仿宋" w:eastAsia="仿宋"/>
          <w:kern w:val="0"/>
          <w:sz w:val="32"/>
          <w:szCs w:val="32"/>
        </w:rPr>
      </w:pPr>
      <w:r>
        <w:rPr>
          <w:rFonts w:ascii="仿宋" w:hAnsi="仿宋" w:eastAsia="仿宋"/>
          <w:sz w:val="32"/>
          <w:szCs w:val="32"/>
        </w:rPr>
        <w:br w:type="page"/>
      </w:r>
    </w:p>
    <w:p w14:paraId="7C65D301">
      <w:pPr>
        <w:spacing w:line="600" w:lineRule="exact"/>
        <w:jc w:val="center"/>
        <w:rPr>
          <w:rFonts w:ascii="方正小标宋_GBK" w:hAnsi="方正小标宋_GBK" w:eastAsia="方正小标宋_GBK" w:cs="方正小标宋_GBK"/>
          <w:sz w:val="44"/>
          <w:szCs w:val="44"/>
        </w:rPr>
      </w:pPr>
      <w:bookmarkStart w:id="22" w:name="_Toc15377204"/>
      <w:bookmarkStart w:id="23" w:name="_Toc15396602"/>
      <w:r>
        <w:rPr>
          <w:rFonts w:hint="eastAsia" w:ascii="方正小标宋_GBK" w:hAnsi="方正小标宋_GBK" w:eastAsia="方正小标宋_GBK" w:cs="方正小标宋_GBK"/>
          <w:sz w:val="44"/>
          <w:szCs w:val="44"/>
        </w:rPr>
        <w:t>第二部分 2021年度部门决算情况说明</w:t>
      </w:r>
      <w:bookmarkEnd w:id="22"/>
      <w:bookmarkEnd w:id="23"/>
    </w:p>
    <w:p w14:paraId="5673CC2D">
      <w:pPr>
        <w:spacing w:line="600" w:lineRule="exact"/>
      </w:pPr>
    </w:p>
    <w:p w14:paraId="7DC9BC10">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p>
    <w:p w14:paraId="2C2708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2021年度收、支总计1068.25万元。与2020年相比，收、支总计各增加163.28万元，增长18.04%。主要变动原因是新增加惠残助残项目。（图1：收、支决算总计变动情况图）（柱状图）</w:t>
      </w:r>
    </w:p>
    <w:p w14:paraId="75484A50">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304165</wp:posOffset>
            </wp:positionV>
            <wp:extent cx="5586095" cy="459105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srcRect/>
                    <a:stretch>
                      <a:fillRect/>
                    </a:stretch>
                  </pic:blipFill>
                  <pic:spPr>
                    <a:xfrm>
                      <a:off x="0" y="0"/>
                      <a:ext cx="5585778" cy="4591050"/>
                    </a:xfrm>
                    <a:prstGeom prst="rect">
                      <a:avLst/>
                    </a:prstGeom>
                    <a:noFill/>
                  </pic:spPr>
                </pic:pic>
              </a:graphicData>
            </a:graphic>
          </wp:anchor>
        </w:drawing>
      </w:r>
    </w:p>
    <w:p w14:paraId="3CE1AE13">
      <w:pPr>
        <w:pStyle w:val="2"/>
        <w:spacing w:before="93"/>
      </w:pPr>
    </w:p>
    <w:p w14:paraId="44048753">
      <w:pPr>
        <w:pStyle w:val="2"/>
        <w:spacing w:before="93"/>
      </w:pPr>
    </w:p>
    <w:p w14:paraId="651A508E">
      <w:pPr>
        <w:pStyle w:val="2"/>
        <w:spacing w:before="93"/>
      </w:pPr>
    </w:p>
    <w:p w14:paraId="321D8A0D">
      <w:pPr>
        <w:pStyle w:val="2"/>
        <w:spacing w:before="93"/>
      </w:pPr>
    </w:p>
    <w:p w14:paraId="57492A1A">
      <w:pPr>
        <w:pStyle w:val="2"/>
        <w:spacing w:before="93"/>
      </w:pPr>
    </w:p>
    <w:p w14:paraId="0E8FFE2C">
      <w:pPr>
        <w:pStyle w:val="2"/>
        <w:spacing w:before="93"/>
      </w:pPr>
    </w:p>
    <w:p w14:paraId="56629845">
      <w:pPr>
        <w:pStyle w:val="2"/>
        <w:spacing w:before="93"/>
      </w:pPr>
    </w:p>
    <w:p w14:paraId="7582B3AB">
      <w:pPr>
        <w:pStyle w:val="2"/>
        <w:spacing w:before="93"/>
      </w:pPr>
    </w:p>
    <w:p w14:paraId="2DAE639F">
      <w:pPr>
        <w:pStyle w:val="2"/>
        <w:spacing w:before="93"/>
      </w:pPr>
    </w:p>
    <w:p w14:paraId="7D6F2E68">
      <w:pPr>
        <w:pStyle w:val="2"/>
        <w:spacing w:before="93"/>
      </w:pPr>
    </w:p>
    <w:p w14:paraId="6F842EF9">
      <w:pPr>
        <w:pStyle w:val="2"/>
        <w:spacing w:before="93"/>
      </w:pPr>
    </w:p>
    <w:p w14:paraId="1EACD472">
      <w:pPr>
        <w:pStyle w:val="2"/>
        <w:spacing w:before="93"/>
      </w:pPr>
    </w:p>
    <w:p w14:paraId="5F3A9793">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5"/>
          <w:rFonts w:hint="eastAsia" w:ascii="黑体" w:hAnsi="黑体" w:eastAsia="黑体"/>
          <w:b w:val="0"/>
        </w:rPr>
        <w:t>入决算情况说明</w:t>
      </w:r>
      <w:bookmarkEnd w:id="26"/>
      <w:bookmarkEnd w:id="27"/>
    </w:p>
    <w:p w14:paraId="61330EBD">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985.86万元，其中：一般公共预算财政拨款收入823.56万元，占83.54%；政府性基金预算财政拨款收入131.87万元，占13.38%；国有资本经营预算财政拨款收入0万元，占0%；上级补助收入0万元，占0%；事业收入0万元，占0%；经营收入0万元，占0%；附属单位上缴收入0万元，占0%；其他收入30.43万元，占3.08%。</w:t>
      </w:r>
    </w:p>
    <w:p w14:paraId="4CC31196">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14:paraId="01F6B2F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67098240">
      <w:pPr>
        <w:pStyle w:val="2"/>
        <w:spacing w:before="93"/>
      </w:pPr>
    </w:p>
    <w:p w14:paraId="253F2099">
      <w:pPr>
        <w:pStyle w:val="2"/>
        <w:spacing w:before="93"/>
      </w:pPr>
      <w:r>
        <w:rPr>
          <w:rFonts w:hint="eastAsia"/>
        </w:rPr>
        <w:drawing>
          <wp:anchor distT="0" distB="0" distL="114300" distR="114300" simplePos="0" relativeHeight="251660288" behindDoc="0" locked="0" layoutInCell="1" allowOverlap="1">
            <wp:simplePos x="0" y="0"/>
            <wp:positionH relativeFrom="column">
              <wp:posOffset>15875</wp:posOffset>
            </wp:positionH>
            <wp:positionV relativeFrom="paragraph">
              <wp:posOffset>29210</wp:posOffset>
            </wp:positionV>
            <wp:extent cx="5845810" cy="4086225"/>
            <wp:effectExtent l="19050" t="0" r="2353"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5845997" cy="4086225"/>
                    </a:xfrm>
                    <a:prstGeom prst="rect">
                      <a:avLst/>
                    </a:prstGeom>
                    <a:noFill/>
                  </pic:spPr>
                </pic:pic>
              </a:graphicData>
            </a:graphic>
          </wp:anchor>
        </w:drawing>
      </w:r>
    </w:p>
    <w:p w14:paraId="47EC7CBE">
      <w:pPr>
        <w:pStyle w:val="2"/>
        <w:spacing w:before="93"/>
      </w:pPr>
    </w:p>
    <w:p w14:paraId="40709718">
      <w:pPr>
        <w:pStyle w:val="2"/>
        <w:spacing w:before="93"/>
      </w:pPr>
    </w:p>
    <w:p w14:paraId="628FD72D">
      <w:pPr>
        <w:pStyle w:val="2"/>
        <w:spacing w:before="93"/>
      </w:pPr>
    </w:p>
    <w:p w14:paraId="16ECB06F">
      <w:pPr>
        <w:pStyle w:val="2"/>
        <w:spacing w:before="93"/>
      </w:pPr>
    </w:p>
    <w:p w14:paraId="5E394213">
      <w:pPr>
        <w:pStyle w:val="2"/>
        <w:spacing w:before="93"/>
      </w:pPr>
    </w:p>
    <w:p w14:paraId="65C446F9">
      <w:pPr>
        <w:pStyle w:val="2"/>
        <w:spacing w:before="93"/>
      </w:pPr>
    </w:p>
    <w:p w14:paraId="3AB84C9E">
      <w:pPr>
        <w:pStyle w:val="2"/>
        <w:spacing w:before="93"/>
      </w:pPr>
    </w:p>
    <w:p w14:paraId="5D5A2205">
      <w:pPr>
        <w:pStyle w:val="2"/>
        <w:spacing w:before="93"/>
      </w:pPr>
    </w:p>
    <w:p w14:paraId="24CB0C16">
      <w:pPr>
        <w:pStyle w:val="2"/>
        <w:spacing w:before="93"/>
      </w:pPr>
    </w:p>
    <w:p w14:paraId="1E2AA989">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5"/>
          <w:rFonts w:hint="eastAsia" w:ascii="黑体" w:hAnsi="黑体" w:eastAsia="黑体"/>
          <w:b w:val="0"/>
        </w:rPr>
        <w:t>出决算情况说明</w:t>
      </w:r>
      <w:bookmarkEnd w:id="28"/>
      <w:bookmarkEnd w:id="29"/>
    </w:p>
    <w:p w14:paraId="54159E91">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2021年本年支出合计964.96万元，其中：基本支出135.32万元，占14.02%；项目支出829.64万元，占85.98%；上缴上级支出0万元，占0%；经营支出0万元，占0%；对附属单位补助支出0万元，占0%。</w:t>
      </w:r>
    </w:p>
    <w:p w14:paraId="69A24FBA">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14:paraId="0B802519">
      <w:pPr>
        <w:spacing w:line="600" w:lineRule="exact"/>
        <w:ind w:firstLine="640" w:firstLineChars="200"/>
      </w:pPr>
      <w:r>
        <w:rPr>
          <w:rFonts w:hint="eastAsia" w:ascii="仿宋_GB2312" w:hAnsi="仿宋_GB2312" w:eastAsia="仿宋_GB2312" w:cs="仿宋_GB2312"/>
          <w:bCs/>
          <w:sz w:val="32"/>
          <w:szCs w:val="32"/>
        </w:rPr>
        <w:t>（图3：支出决算结构图）（饼状图）</w:t>
      </w:r>
      <w:r>
        <w:rPr>
          <w:rFonts w:hint="eastAsia"/>
        </w:rPr>
        <w:drawing>
          <wp:anchor distT="0" distB="0" distL="114300" distR="114300" simplePos="0" relativeHeight="251661312" behindDoc="0" locked="0" layoutInCell="1" allowOverlap="1">
            <wp:simplePos x="0" y="0"/>
            <wp:positionH relativeFrom="column">
              <wp:posOffset>-59690</wp:posOffset>
            </wp:positionH>
            <wp:positionV relativeFrom="paragraph">
              <wp:posOffset>370840</wp:posOffset>
            </wp:positionV>
            <wp:extent cx="5756910" cy="422910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a:srcRect/>
                    <a:stretch>
                      <a:fillRect/>
                    </a:stretch>
                  </pic:blipFill>
                  <pic:spPr>
                    <a:xfrm>
                      <a:off x="0" y="0"/>
                      <a:ext cx="5757135" cy="4229100"/>
                    </a:xfrm>
                    <a:prstGeom prst="rect">
                      <a:avLst/>
                    </a:prstGeom>
                    <a:noFill/>
                  </pic:spPr>
                </pic:pic>
              </a:graphicData>
            </a:graphic>
          </wp:anchor>
        </w:drawing>
      </w:r>
    </w:p>
    <w:p w14:paraId="3A52A3AB">
      <w:pPr>
        <w:pStyle w:val="2"/>
        <w:spacing w:before="93"/>
      </w:pPr>
    </w:p>
    <w:p w14:paraId="6266F231">
      <w:pPr>
        <w:pStyle w:val="2"/>
        <w:spacing w:before="93"/>
      </w:pPr>
    </w:p>
    <w:p w14:paraId="6D03706F">
      <w:pPr>
        <w:pStyle w:val="2"/>
        <w:spacing w:before="93"/>
      </w:pPr>
    </w:p>
    <w:p w14:paraId="173424A0">
      <w:pPr>
        <w:pStyle w:val="2"/>
        <w:spacing w:before="93"/>
      </w:pPr>
    </w:p>
    <w:p w14:paraId="5E642401">
      <w:pPr>
        <w:pStyle w:val="2"/>
        <w:spacing w:before="93"/>
      </w:pPr>
    </w:p>
    <w:p w14:paraId="5968B3E9">
      <w:pPr>
        <w:pStyle w:val="2"/>
        <w:spacing w:before="93"/>
      </w:pPr>
    </w:p>
    <w:p w14:paraId="43FD4029">
      <w:pPr>
        <w:pStyle w:val="2"/>
        <w:spacing w:before="93"/>
      </w:pPr>
    </w:p>
    <w:p w14:paraId="396135A1">
      <w:pPr>
        <w:pStyle w:val="2"/>
        <w:spacing w:before="93"/>
      </w:pPr>
    </w:p>
    <w:p w14:paraId="1A7A02B1">
      <w:pPr>
        <w:pStyle w:val="2"/>
        <w:spacing w:before="93"/>
      </w:pPr>
    </w:p>
    <w:p w14:paraId="7C1B9406">
      <w:pPr>
        <w:spacing w:line="600" w:lineRule="exact"/>
        <w:ind w:firstLine="640" w:firstLineChars="200"/>
        <w:rPr>
          <w:rFonts w:ascii="仿宋_GB2312" w:eastAsia="仿宋_GB2312"/>
          <w:sz w:val="32"/>
          <w:szCs w:val="32"/>
        </w:rPr>
      </w:pPr>
    </w:p>
    <w:p w14:paraId="58D8ADCD">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0"/>
      <w:bookmarkEnd w:id="31"/>
    </w:p>
    <w:p w14:paraId="3967F83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2021年财政拨款收、支总计1034.46万元。与2020年相比，财政拨款收、支总计各增加134.32万元，增长14.92%。主要变动原因是新增惠残助残项目。</w:t>
      </w:r>
    </w:p>
    <w:p w14:paraId="414A129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14:paraId="7DBFA9AC">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t>（图：财政拨款收、支决算总计变动情况）（柱状图）</w:t>
      </w: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-59690</wp:posOffset>
            </wp:positionH>
            <wp:positionV relativeFrom="paragraph">
              <wp:posOffset>351790</wp:posOffset>
            </wp:positionV>
            <wp:extent cx="5798820" cy="444817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srcRect/>
                    <a:stretch>
                      <a:fillRect/>
                    </a:stretch>
                  </pic:blipFill>
                  <pic:spPr>
                    <a:xfrm>
                      <a:off x="0" y="0"/>
                      <a:ext cx="5798668" cy="4448175"/>
                    </a:xfrm>
                    <a:prstGeom prst="rect">
                      <a:avLst/>
                    </a:prstGeom>
                    <a:noFill/>
                  </pic:spPr>
                </pic:pic>
              </a:graphicData>
            </a:graphic>
          </wp:anchor>
        </w:drawing>
      </w:r>
    </w:p>
    <w:p w14:paraId="5241AAAD">
      <w:pPr>
        <w:pStyle w:val="2"/>
        <w:spacing w:before="93"/>
      </w:pPr>
    </w:p>
    <w:p w14:paraId="6AE13BC0">
      <w:pPr>
        <w:pStyle w:val="2"/>
        <w:spacing w:before="93"/>
      </w:pPr>
    </w:p>
    <w:p w14:paraId="6FD595F8">
      <w:pPr>
        <w:pStyle w:val="2"/>
        <w:spacing w:before="93"/>
      </w:pPr>
    </w:p>
    <w:p w14:paraId="215683C9">
      <w:pPr>
        <w:pStyle w:val="2"/>
        <w:spacing w:before="93"/>
      </w:pPr>
    </w:p>
    <w:p w14:paraId="3FCA6A5F">
      <w:pPr>
        <w:pStyle w:val="2"/>
        <w:spacing w:before="93"/>
      </w:pPr>
    </w:p>
    <w:p w14:paraId="2F091F54">
      <w:pPr>
        <w:pStyle w:val="2"/>
        <w:spacing w:before="93"/>
      </w:pPr>
    </w:p>
    <w:p w14:paraId="2D652B96">
      <w:pPr>
        <w:pStyle w:val="2"/>
        <w:spacing w:before="93"/>
      </w:pPr>
    </w:p>
    <w:p w14:paraId="29E7764B">
      <w:pPr>
        <w:pStyle w:val="2"/>
        <w:spacing w:before="93"/>
      </w:pPr>
    </w:p>
    <w:p w14:paraId="59939B0E">
      <w:pPr>
        <w:pStyle w:val="2"/>
        <w:spacing w:before="93"/>
      </w:pPr>
    </w:p>
    <w:p w14:paraId="1C8C5A0D">
      <w:pPr>
        <w:pStyle w:val="2"/>
        <w:spacing w:before="93"/>
      </w:pPr>
    </w:p>
    <w:p w14:paraId="4973C90D">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2"/>
      <w:bookmarkEnd w:id="33"/>
    </w:p>
    <w:p w14:paraId="318C1BF8">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14:paraId="6F501A15">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21年一般公共预算财政拨款支出803.91万元，占本年支出合计的83.31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20年相比，一般公共预算财政拨款支出增加20.03万元，增长2.56</w:t>
      </w:r>
      <w:r>
        <w:rPr>
          <w:rFonts w:ascii="仿宋" w:hAnsi="仿宋" w:eastAsia="仿宋"/>
          <w:sz w:val="32"/>
          <w:szCs w:val="32"/>
        </w:rPr>
        <w:t>%</w:t>
      </w:r>
      <w:r>
        <w:rPr>
          <w:rFonts w:hint="eastAsia" w:ascii="仿宋" w:hAnsi="仿宋" w:eastAsia="仿宋"/>
          <w:sz w:val="32"/>
          <w:szCs w:val="32"/>
        </w:rPr>
        <w:t>。主要变动原因是新增惠残助残 项目。</w:t>
      </w:r>
    </w:p>
    <w:p w14:paraId="00B67E78">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C5CBB0A">
      <w:pPr>
        <w:pStyle w:val="2"/>
        <w:spacing w:before="93"/>
      </w:pPr>
      <w:r>
        <w:rPr>
          <w:rFonts w:hint="eastAsia"/>
        </w:rPr>
        <w:drawing>
          <wp:anchor distT="0" distB="0" distL="114300" distR="114300" simplePos="0" relativeHeight="251663360" behindDoc="0" locked="0" layoutInCell="1" allowOverlap="1">
            <wp:simplePos x="0" y="0"/>
            <wp:positionH relativeFrom="column">
              <wp:posOffset>130810</wp:posOffset>
            </wp:positionH>
            <wp:positionV relativeFrom="paragraph">
              <wp:posOffset>180340</wp:posOffset>
            </wp:positionV>
            <wp:extent cx="5713730" cy="4229100"/>
            <wp:effectExtent l="19050" t="0" r="1270"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1"/>
                    <a:srcRect/>
                    <a:stretch>
                      <a:fillRect/>
                    </a:stretch>
                  </pic:blipFill>
                  <pic:spPr>
                    <a:xfrm>
                      <a:off x="0" y="0"/>
                      <a:ext cx="5713730" cy="4229100"/>
                    </a:xfrm>
                    <a:prstGeom prst="rect">
                      <a:avLst/>
                    </a:prstGeom>
                    <a:noFill/>
                  </pic:spPr>
                </pic:pic>
              </a:graphicData>
            </a:graphic>
          </wp:anchor>
        </w:drawing>
      </w:r>
    </w:p>
    <w:p w14:paraId="468FA488">
      <w:pPr>
        <w:pStyle w:val="2"/>
        <w:spacing w:before="93"/>
      </w:pPr>
    </w:p>
    <w:p w14:paraId="13A4A305">
      <w:pPr>
        <w:pStyle w:val="2"/>
        <w:spacing w:before="93"/>
      </w:pPr>
    </w:p>
    <w:p w14:paraId="498CC413">
      <w:pPr>
        <w:pStyle w:val="2"/>
        <w:spacing w:before="93"/>
      </w:pPr>
    </w:p>
    <w:p w14:paraId="00DE1FB7">
      <w:pPr>
        <w:pStyle w:val="2"/>
        <w:spacing w:before="93"/>
      </w:pPr>
    </w:p>
    <w:p w14:paraId="5E0B6258">
      <w:pPr>
        <w:pStyle w:val="2"/>
        <w:spacing w:before="93"/>
      </w:pPr>
    </w:p>
    <w:p w14:paraId="71E3C733">
      <w:pPr>
        <w:pStyle w:val="2"/>
        <w:spacing w:before="93"/>
      </w:pPr>
    </w:p>
    <w:p w14:paraId="025172F8">
      <w:pPr>
        <w:pStyle w:val="2"/>
        <w:spacing w:before="93"/>
      </w:pPr>
    </w:p>
    <w:p w14:paraId="59A75865">
      <w:pPr>
        <w:pStyle w:val="2"/>
        <w:spacing w:before="93"/>
      </w:pPr>
    </w:p>
    <w:p w14:paraId="541E3BC8">
      <w:pPr>
        <w:pStyle w:val="2"/>
        <w:spacing w:before="93"/>
      </w:pPr>
    </w:p>
    <w:p w14:paraId="42E62E3D">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14:paraId="46E6B76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803.91万元，主要用于以下方面:一般公共服务（类）支出0万元，占0%；教育支出（类）0万元，占0%；科学技术（类）支出0万元，占0%；文化旅游体育与传媒（类）支出0万元，占0%；社会保障和就业（类）支出789.56万元，占98.21%；卫生健康支出3.03万元，占0.38%；住房保障支出11.32万元，占1.41%；…。</w:t>
      </w:r>
    </w:p>
    <w:p w14:paraId="593F5D2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14:paraId="187ADF4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5710ED4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-135890</wp:posOffset>
            </wp:positionH>
            <wp:positionV relativeFrom="paragraph">
              <wp:posOffset>266065</wp:posOffset>
            </wp:positionV>
            <wp:extent cx="5876925" cy="4381500"/>
            <wp:effectExtent l="19050" t="0" r="9525" b="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a:srcRect/>
                    <a:stretch>
                      <a:fillRect/>
                    </a:stretch>
                  </pic:blipFill>
                  <pic:spPr>
                    <a:xfrm>
                      <a:off x="0" y="0"/>
                      <a:ext cx="5876925" cy="4381500"/>
                    </a:xfrm>
                    <a:prstGeom prst="rect">
                      <a:avLst/>
                    </a:prstGeom>
                    <a:noFill/>
                  </pic:spPr>
                </pic:pic>
              </a:graphicData>
            </a:graphic>
          </wp:anchor>
        </w:drawing>
      </w:r>
    </w:p>
    <w:p w14:paraId="255431BC">
      <w:pPr>
        <w:pStyle w:val="2"/>
        <w:spacing w:before="93"/>
      </w:pPr>
    </w:p>
    <w:p w14:paraId="3C864005">
      <w:pPr>
        <w:pStyle w:val="2"/>
        <w:spacing w:before="93"/>
      </w:pPr>
    </w:p>
    <w:p w14:paraId="1F86DB85">
      <w:pPr>
        <w:pStyle w:val="2"/>
        <w:spacing w:before="93"/>
      </w:pPr>
    </w:p>
    <w:p w14:paraId="761ABBBD">
      <w:pPr>
        <w:pStyle w:val="2"/>
        <w:spacing w:before="93"/>
      </w:pPr>
    </w:p>
    <w:p w14:paraId="6E9BCB0F">
      <w:pPr>
        <w:pStyle w:val="2"/>
        <w:spacing w:before="93"/>
      </w:pPr>
    </w:p>
    <w:p w14:paraId="515EF7C5">
      <w:pPr>
        <w:pStyle w:val="2"/>
        <w:spacing w:before="93"/>
      </w:pPr>
    </w:p>
    <w:p w14:paraId="60B9D15A">
      <w:pPr>
        <w:pStyle w:val="2"/>
        <w:spacing w:before="93"/>
      </w:pPr>
    </w:p>
    <w:p w14:paraId="58ACA907">
      <w:pPr>
        <w:pStyle w:val="2"/>
        <w:spacing w:before="93"/>
      </w:pPr>
    </w:p>
    <w:p w14:paraId="266F26E7">
      <w:pPr>
        <w:pStyle w:val="2"/>
        <w:spacing w:before="93"/>
      </w:pPr>
    </w:p>
    <w:p w14:paraId="756011FD">
      <w:pPr>
        <w:pStyle w:val="2"/>
        <w:spacing w:before="93"/>
      </w:pPr>
    </w:p>
    <w:p w14:paraId="0DAEDB17">
      <w:pPr>
        <w:spacing w:line="600" w:lineRule="exact"/>
        <w:ind w:firstLine="640" w:firstLineChars="200"/>
        <w:outlineLvl w:val="2"/>
        <w:rPr>
          <w:rFonts w:ascii="楷体_GB2312" w:hAnsi="楷体_GB2312" w:eastAsia="楷体_GB2312" w:cs="楷体_GB2312"/>
          <w:bCs/>
          <w:sz w:val="32"/>
          <w:szCs w:val="32"/>
        </w:rPr>
      </w:pPr>
      <w:bookmarkStart w:id="36" w:name="_Toc15377212"/>
      <w:r>
        <w:rPr>
          <w:rFonts w:hint="eastAsia" w:ascii="楷体_GB2312" w:hAnsi="楷体_GB2312" w:eastAsia="楷体_GB2312" w:cs="楷体_GB2312"/>
          <w:bCs/>
          <w:sz w:val="32"/>
          <w:szCs w:val="32"/>
        </w:rPr>
        <w:t>（三）一般公共预算财政拨款支出决算具体情况</w:t>
      </w:r>
      <w:bookmarkEnd w:id="36"/>
    </w:p>
    <w:p w14:paraId="4093EB1D">
      <w:pPr>
        <w:spacing w:line="600" w:lineRule="exact"/>
        <w:ind w:firstLine="640" w:firstLineChars="200"/>
        <w:outlineLvl w:val="2"/>
        <w:rPr>
          <w:rFonts w:ascii="仿宋_GB2312" w:hAnsi="仿宋_GB2312" w:eastAsia="仿宋_GB2312" w:cs="仿宋_GB2312"/>
          <w:bCs/>
          <w:sz w:val="32"/>
          <w:szCs w:val="32"/>
        </w:rPr>
      </w:pPr>
      <w:bookmarkStart w:id="37" w:name="_Toc15378460"/>
      <w:bookmarkStart w:id="38" w:name="_Toc15377444"/>
      <w:bookmarkStart w:id="39" w:name="_Toc15377213"/>
      <w:r>
        <w:rPr>
          <w:rFonts w:hint="eastAsia" w:ascii="仿宋_GB2312" w:hAnsi="仿宋_GB2312" w:eastAsia="仿宋_GB2312" w:cs="仿宋_GB2312"/>
          <w:bCs/>
          <w:sz w:val="32"/>
          <w:szCs w:val="32"/>
        </w:rPr>
        <w:t>2021年一般公共预算支出决算数为803.91万元，</w:t>
      </w:r>
      <w:r>
        <w:rPr>
          <w:rStyle w:val="14"/>
          <w:rFonts w:hint="eastAsia" w:ascii="仿宋_GB2312" w:hAnsi="仿宋_GB2312" w:eastAsia="仿宋_GB2312" w:cs="仿宋_GB2312"/>
          <w:b w:val="0"/>
          <w:bCs/>
          <w:sz w:val="32"/>
          <w:szCs w:val="32"/>
        </w:rPr>
        <w:t>完成预算100%。其中：</w:t>
      </w:r>
      <w:bookmarkEnd w:id="37"/>
      <w:bookmarkEnd w:id="38"/>
      <w:bookmarkEnd w:id="39"/>
    </w:p>
    <w:p w14:paraId="2D6DDC29">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1．一般公共服务（类）***（款）***（项）: 本年无此项业务发生。</w:t>
      </w:r>
    </w:p>
    <w:p w14:paraId="2045C268">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2．教育（类）***（款）***（项）: 本年无此项业务发生。</w:t>
      </w:r>
    </w:p>
    <w:p w14:paraId="6B967DBC">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3．科学技术（类）***（款）***（项）: 本年无此项业务发生。</w:t>
      </w:r>
    </w:p>
    <w:p w14:paraId="71953252">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4．文化旅游体育与传媒（类）***（款）***（项）: 本年无此项业务发生。</w:t>
      </w:r>
    </w:p>
    <w:p w14:paraId="58CDDA53">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5．社会保障和就业（类）行政事业单位养老（款）机关事业单位基本养老保险缴费支出（项）: 支出决算为7.78万元，完成预算100%，决算数与预算数持平。</w:t>
      </w:r>
    </w:p>
    <w:p w14:paraId="1966678F">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6．社会保障和就业（类）行政事业单位养老（款）机关事业单位职业年金缴费支出（项）: 支出决算为4.19万元，完成预算100%，决算数与预算数持平。</w:t>
      </w:r>
    </w:p>
    <w:p w14:paraId="4E3B0FBF">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7．社会保障和就业（类）残疾人事业（款）行政运行（项）: 支出决算为93.83万元，完成预算100%，决算数与预算数持平。</w:t>
      </w:r>
    </w:p>
    <w:p w14:paraId="5432F643">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8．社会保障和就业（类）残疾人事业（款）残疾人康复（项）: 支出决算为13.37万元，完成预算100%，决算数与预算数持平。</w:t>
      </w:r>
    </w:p>
    <w:p w14:paraId="6EC24DF1">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9．社会保障和就业（类）残疾人事业（款）残疾人就业和扶贫（项）: 支出决算为348.75万元，完成预算100%，决算数与预算数持平。</w:t>
      </w:r>
    </w:p>
    <w:p w14:paraId="22480EF3">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10．社会保障和就业（类）残疾人事业（款）其他残疾人事业支出（项）: 支出决算为317.15万元，完成预算100%，决算数与预算数持平。</w:t>
      </w:r>
    </w:p>
    <w:p w14:paraId="4F78F45E">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11．社会保障和就业（类）其他社会保障和就业支出（款）其他社会保障和就业支出（项）: 支出决算为4.49万元，完成预算100%，决算数与预算数持平。</w:t>
      </w:r>
    </w:p>
    <w:p w14:paraId="01D9A294">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12．</w:t>
      </w:r>
      <w:r>
        <w:rPr>
          <w:rFonts w:hint="eastAsia" w:ascii="仿宋_GB2312" w:hAnsi="仿宋_GB2312" w:eastAsia="仿宋_GB2312" w:cs="仿宋_GB2312"/>
          <w:bCs/>
          <w:color w:val="000000"/>
          <w:sz w:val="32"/>
          <w:szCs w:val="32"/>
        </w:rPr>
        <w:t>卫生健康</w:t>
      </w:r>
      <w:r>
        <w:rPr>
          <w:rStyle w:val="14"/>
          <w:rFonts w:hint="eastAsia" w:ascii="仿宋_GB2312" w:hAnsi="仿宋_GB2312" w:eastAsia="仿宋_GB2312" w:cs="仿宋_GB2312"/>
          <w:b w:val="0"/>
          <w:bCs/>
          <w:color w:val="000000"/>
          <w:sz w:val="32"/>
          <w:szCs w:val="32"/>
        </w:rPr>
        <w:t>（类）行政事业单位医疗（款）行政单位医疗（项）:支出决算为3.03万元，完成预算100%，决算数与预算数持平。</w:t>
      </w:r>
    </w:p>
    <w:p w14:paraId="7370E517">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13．</w:t>
      </w:r>
      <w:r>
        <w:rPr>
          <w:rFonts w:hint="eastAsia" w:ascii="仿宋_GB2312" w:hAnsi="仿宋_GB2312" w:eastAsia="仿宋_GB2312" w:cs="仿宋_GB2312"/>
          <w:bCs/>
          <w:color w:val="000000"/>
          <w:sz w:val="32"/>
          <w:szCs w:val="32"/>
        </w:rPr>
        <w:t>住房保障支出</w:t>
      </w:r>
      <w:r>
        <w:rPr>
          <w:rStyle w:val="14"/>
          <w:rFonts w:hint="eastAsia" w:ascii="仿宋_GB2312" w:hAnsi="仿宋_GB2312" w:eastAsia="仿宋_GB2312" w:cs="仿宋_GB2312"/>
          <w:b w:val="0"/>
          <w:bCs/>
          <w:color w:val="000000"/>
          <w:sz w:val="32"/>
          <w:szCs w:val="32"/>
        </w:rPr>
        <w:t>（类）住房改革支出（款）住房公积金（项）:支出决算为11.32万元，完成预算100%，决算数与预算数持平。</w:t>
      </w:r>
    </w:p>
    <w:p w14:paraId="500B878A">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14:paraId="06ED8EAD">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19C15C16">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2021年一般公共预算财政拨款基本支出132.39万元，其中：</w:t>
      </w:r>
    </w:p>
    <w:p w14:paraId="5AD91539">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119.88万元，主要包括：基本工资、津贴补贴、奖金、伙食补助费、绩效工资、机关事业单位基本养老保险缴费、职业年金缴费、职工基本医疗保险缴费、其他社会保障缴费、其他工资福利支出、生活补助、住房公积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公用经费12.51万元，主要包括：办公费、、水费、电费、邮电费、差旅费、劳务费、委托业务费、工会经费、公务用车运行维护费、其他交通费、其他商品和服务支出、办公设备购置等。</w:t>
      </w:r>
    </w:p>
    <w:p w14:paraId="00B65C40">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14:paraId="5F156397">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7CC66F93">
      <w:pPr>
        <w:spacing w:line="600" w:lineRule="exact"/>
        <w:ind w:firstLine="640"/>
        <w:outlineLvl w:val="2"/>
        <w:rPr>
          <w:rFonts w:ascii="楷体_GB2312" w:hAnsi="楷体_GB2312" w:eastAsia="楷体_GB2312" w:cs="楷体_GB2312"/>
          <w:bCs/>
          <w:sz w:val="32"/>
          <w:szCs w:val="32"/>
        </w:rPr>
      </w:pPr>
      <w:bookmarkStart w:id="44" w:name="_Toc15377216"/>
      <w:r>
        <w:rPr>
          <w:rFonts w:hint="eastAsia" w:ascii="楷体_GB2312" w:hAnsi="楷体_GB2312" w:eastAsia="楷体_GB2312" w:cs="楷体_GB2312"/>
          <w:bCs/>
          <w:sz w:val="32"/>
          <w:szCs w:val="32"/>
        </w:rPr>
        <w:t>（一）“三公”经费财政拨款支出决算总体情况说明</w:t>
      </w:r>
      <w:bookmarkEnd w:id="44"/>
    </w:p>
    <w:p w14:paraId="215258D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2021年“三公”经费财政拨款支出决算为1.06万元，完成预算100%，决算数与预算数持平。</w:t>
      </w:r>
    </w:p>
    <w:p w14:paraId="0E241BD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14:paraId="53FD537A">
      <w:pPr>
        <w:spacing w:line="600" w:lineRule="exact"/>
        <w:ind w:firstLine="640"/>
        <w:outlineLvl w:val="2"/>
        <w:rPr>
          <w:rFonts w:ascii="楷体_GB2312" w:hAnsi="楷体_GB2312" w:eastAsia="楷体_GB2312" w:cs="楷体_GB2312"/>
          <w:bCs/>
          <w:sz w:val="32"/>
          <w:szCs w:val="32"/>
        </w:rPr>
      </w:pPr>
      <w:bookmarkStart w:id="45" w:name="_Toc15377217"/>
      <w:r>
        <w:rPr>
          <w:rFonts w:hint="eastAsia" w:ascii="楷体_GB2312" w:hAnsi="楷体_GB2312" w:eastAsia="楷体_GB2312" w:cs="楷体_GB2312"/>
          <w:bCs/>
          <w:sz w:val="32"/>
          <w:szCs w:val="32"/>
        </w:rPr>
        <w:t>（二）“三公”经费财政拨款支出决算具体情况说明</w:t>
      </w:r>
      <w:bookmarkEnd w:id="45"/>
    </w:p>
    <w:p w14:paraId="3F2E06F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2021年“三公”经费财政拨款支出决算中，因公出国（境）费支出决算0万元，占0%；公务用车购置及运行维护费支出决算1.06万元，占100%；公务接待费支出决算0万元，占0%。具体情况如下：</w:t>
      </w:r>
    </w:p>
    <w:p w14:paraId="2997B93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14:paraId="083DCC08">
      <w:pPr>
        <w:pStyle w:val="2"/>
        <w:spacing w:before="93"/>
      </w:pPr>
      <w:r>
        <w:rPr>
          <w:rFonts w:hint="eastAsia"/>
        </w:rPr>
        <w:drawing>
          <wp:anchor distT="0" distB="0" distL="114300" distR="114300" simplePos="0" relativeHeight="251665408" behindDoc="0" locked="0" layoutInCell="1" allowOverlap="1">
            <wp:simplePos x="0" y="0"/>
            <wp:positionH relativeFrom="column">
              <wp:posOffset>54610</wp:posOffset>
            </wp:positionH>
            <wp:positionV relativeFrom="paragraph">
              <wp:posOffset>123190</wp:posOffset>
            </wp:positionV>
            <wp:extent cx="5531485" cy="3119120"/>
            <wp:effectExtent l="0" t="0" r="12065" b="508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3"/>
                    <a:srcRect/>
                    <a:stretch>
                      <a:fillRect/>
                    </a:stretch>
                  </pic:blipFill>
                  <pic:spPr>
                    <a:xfrm>
                      <a:off x="0" y="0"/>
                      <a:ext cx="5531485" cy="3119120"/>
                    </a:xfrm>
                    <a:prstGeom prst="rect">
                      <a:avLst/>
                    </a:prstGeom>
                    <a:noFill/>
                  </pic:spPr>
                </pic:pic>
              </a:graphicData>
            </a:graphic>
          </wp:anchor>
        </w:drawing>
      </w:r>
    </w:p>
    <w:p w14:paraId="5170C685">
      <w:pPr>
        <w:pStyle w:val="2"/>
        <w:spacing w:before="93"/>
      </w:pPr>
    </w:p>
    <w:p w14:paraId="3C7076B6">
      <w:pPr>
        <w:pStyle w:val="2"/>
        <w:spacing w:before="93"/>
      </w:pPr>
    </w:p>
    <w:p w14:paraId="5AEC320D">
      <w:pPr>
        <w:pStyle w:val="2"/>
        <w:spacing w:before="93"/>
      </w:pPr>
    </w:p>
    <w:p w14:paraId="17EE3AD8">
      <w:pPr>
        <w:pStyle w:val="2"/>
        <w:spacing w:before="93"/>
      </w:pPr>
    </w:p>
    <w:p w14:paraId="1BE7225E">
      <w:pPr>
        <w:pStyle w:val="2"/>
        <w:spacing w:before="93"/>
      </w:pPr>
    </w:p>
    <w:p w14:paraId="70FAA74C">
      <w:pPr>
        <w:pStyle w:val="2"/>
        <w:spacing w:before="93"/>
      </w:pPr>
    </w:p>
    <w:p w14:paraId="79C39FB3">
      <w:pPr>
        <w:spacing w:line="600" w:lineRule="exact"/>
        <w:ind w:firstLine="640"/>
        <w:rPr>
          <w:rFonts w:hint="eastAsia" w:ascii="仿宋_GB2312" w:hAnsi="仿宋_GB2312" w:eastAsia="仿宋_GB2312" w:cs="仿宋_GB2312"/>
          <w:sz w:val="32"/>
          <w:szCs w:val="32"/>
        </w:rPr>
      </w:pPr>
    </w:p>
    <w:p w14:paraId="3404B59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4"/>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全年安排因公出国（境）团组0次，出国（境）0人。本年无此项业务发生。</w:t>
      </w:r>
    </w:p>
    <w:p w14:paraId="5969BA5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2．公务用车购置及运行维护费支出1.06万元,</w:t>
      </w:r>
      <w:r>
        <w:rPr>
          <w:rStyle w:val="14"/>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公务用车购置及运行维护费支出决算比2020年减少1.86万元，下降63.70%。主要原因是节能降耗。</w:t>
      </w:r>
    </w:p>
    <w:p w14:paraId="1B699E2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2021年12月底，单位共有公务用车1辆，其中：轿车0辆、越野车1辆、载客汽车0辆。</w:t>
      </w:r>
    </w:p>
    <w:p w14:paraId="47A2F082">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公务用车运行维护费支出1.06万元。主要用于入户走访残疾人等所需的公务用车燃料费、维修费、过路过桥费、保险费等支出。</w:t>
      </w:r>
    </w:p>
    <w:p w14:paraId="4799A1E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3．公务接待费支出0万元，</w:t>
      </w:r>
      <w:r>
        <w:rPr>
          <w:rStyle w:val="14"/>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本年无此项业务发生。其中：</w:t>
      </w:r>
    </w:p>
    <w:p w14:paraId="36F8ED8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国内公务接待支出0万元。国内公务接待0批次，0人次（不包括陪同人员），共计支出0万元。</w:t>
      </w:r>
    </w:p>
    <w:p w14:paraId="6693B62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r>
        <w:rPr>
          <w:rFonts w:ascii="仿宋_GB2312" w:hAnsi="仿宋_GB2312" w:eastAsia="仿宋_GB2312" w:cs="仿宋_GB2312"/>
          <w:sz w:val="32"/>
          <w:szCs w:val="32"/>
        </w:rPr>
        <w:t xml:space="preserve"> </w:t>
      </w:r>
    </w:p>
    <w:p w14:paraId="151F23C1">
      <w:pPr>
        <w:spacing w:line="600" w:lineRule="exact"/>
        <w:ind w:firstLine="640"/>
        <w:outlineLvl w:val="1"/>
        <w:rPr>
          <w:rFonts w:ascii="仿宋_GB2312" w:hAnsi="仿宋_GB2312" w:eastAsia="仿宋_GB2312" w:cs="仿宋_GB2312"/>
          <w:sz w:val="32"/>
          <w:szCs w:val="32"/>
        </w:rPr>
      </w:pPr>
      <w:bookmarkStart w:id="46" w:name="_Toc15396610"/>
      <w:bookmarkStart w:id="47" w:name="_Toc15377218"/>
    </w:p>
    <w:p w14:paraId="303482D1">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6"/>
      <w:bookmarkEnd w:id="47"/>
    </w:p>
    <w:p w14:paraId="24864EB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21年政府性基金预算财政拨款支出131.11万元。</w:t>
      </w:r>
    </w:p>
    <w:p w14:paraId="649A8135">
      <w:pPr>
        <w:spacing w:line="600" w:lineRule="exact"/>
        <w:ind w:firstLine="640"/>
        <w:rPr>
          <w:rFonts w:ascii="仿宋_GB2312" w:eastAsia="仿宋_GB2312"/>
          <w:sz w:val="32"/>
          <w:szCs w:val="32"/>
        </w:rPr>
      </w:pPr>
    </w:p>
    <w:p w14:paraId="4DC6039F">
      <w:pPr>
        <w:pStyle w:val="2"/>
      </w:pPr>
    </w:p>
    <w:p w14:paraId="6DCBC0E0">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4A057FA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3612AFD">
      <w:pPr>
        <w:spacing w:line="600" w:lineRule="exact"/>
        <w:jc w:val="center"/>
        <w:rPr>
          <w:rFonts w:ascii="方正小标宋简体" w:hAnsi="方正小标宋简体" w:eastAsia="方正小标宋简体" w:cs="方正小标宋简体"/>
          <w:sz w:val="44"/>
          <w:szCs w:val="44"/>
        </w:rPr>
      </w:pPr>
    </w:p>
    <w:p w14:paraId="3145704C">
      <w:pPr>
        <w:numPr>
          <w:ilvl w:val="0"/>
          <w:numId w:val="2"/>
        </w:numPr>
        <w:spacing w:line="600" w:lineRule="exact"/>
        <w:ind w:firstLine="640"/>
        <w:outlineLvl w:val="1"/>
        <w:rPr>
          <w:rStyle w:val="25"/>
          <w:rFonts w:ascii="黑体" w:hAnsi="黑体" w:eastAsia="黑体"/>
          <w:b w:val="0"/>
        </w:rPr>
      </w:pPr>
      <w:bookmarkStart w:id="50" w:name="_Toc15377221"/>
      <w:bookmarkStart w:id="51" w:name="_Toc15396612"/>
      <w:r>
        <w:rPr>
          <w:rStyle w:val="25"/>
          <w:rFonts w:hint="eastAsia" w:ascii="黑体" w:hAnsi="黑体" w:eastAsia="黑体"/>
          <w:b w:val="0"/>
        </w:rPr>
        <w:t>其他重要事项的情况说明</w:t>
      </w:r>
      <w:bookmarkEnd w:id="50"/>
      <w:bookmarkEnd w:id="51"/>
    </w:p>
    <w:p w14:paraId="55675DBC">
      <w:pPr>
        <w:spacing w:line="600" w:lineRule="exact"/>
        <w:ind w:firstLine="640" w:firstLineChars="200"/>
        <w:outlineLvl w:val="2"/>
        <w:rPr>
          <w:rFonts w:ascii="楷体_GB2312" w:hAnsi="楷体_GB2312" w:eastAsia="楷体_GB2312" w:cs="楷体_GB2312"/>
          <w:bCs/>
          <w:sz w:val="32"/>
          <w:szCs w:val="32"/>
        </w:rPr>
      </w:pPr>
      <w:bookmarkStart w:id="52" w:name="_Toc15377222"/>
      <w:r>
        <w:rPr>
          <w:rFonts w:hint="eastAsia" w:ascii="楷体_GB2312" w:hAnsi="楷体_GB2312" w:eastAsia="楷体_GB2312" w:cs="楷体_GB2312"/>
          <w:bCs/>
          <w:sz w:val="32"/>
          <w:szCs w:val="32"/>
        </w:rPr>
        <w:t>（一）机关运行经费支出情况</w:t>
      </w:r>
      <w:bookmarkEnd w:id="52"/>
    </w:p>
    <w:p w14:paraId="0437555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2021年，峨眉山市残疾人联合会机关运行经费支出12.51万元，比2020年减少6.65万元下降52.43%。主要原因是节能降耗。</w:t>
      </w:r>
    </w:p>
    <w:p w14:paraId="41B4461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37D9D73F">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3" w:name="_Toc15377223"/>
      <w:r>
        <w:rPr>
          <w:rFonts w:hint="eastAsia" w:ascii="楷体_GB2312" w:hAnsi="楷体_GB2312" w:eastAsia="楷体_GB2312" w:cs="楷体_GB2312"/>
          <w:bCs/>
          <w:sz w:val="32"/>
          <w:szCs w:val="32"/>
        </w:rPr>
        <w:t>（二）政府采购支出情况</w:t>
      </w:r>
      <w:bookmarkEnd w:id="53"/>
    </w:p>
    <w:p w14:paraId="4BBF317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残疾人联合会政府采购支出总额148.63万元，其中：政府采购货物支出148.63万元、政府采购工程支出0万元、政府采购服务支出0万元。主要用于。授予中小企业合同金额0万元，占政府采购支出总额的0%，其中：授予小微企业合同金额0万元，占政府采购支出总额的0%。</w:t>
      </w:r>
    </w:p>
    <w:p w14:paraId="516C49C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01E72E1B">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4" w:name="_Toc15377224"/>
      <w:r>
        <w:rPr>
          <w:rFonts w:hint="eastAsia" w:ascii="楷体_GB2312" w:hAnsi="楷体_GB2312" w:eastAsia="楷体_GB2312" w:cs="楷体_GB2312"/>
          <w:bCs/>
          <w:sz w:val="32"/>
          <w:szCs w:val="32"/>
        </w:rPr>
        <w:t>（三）国有资产占有使用情况</w:t>
      </w:r>
      <w:bookmarkEnd w:id="54"/>
    </w:p>
    <w:p w14:paraId="35170CEB">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残疾人联合会共有车辆1辆，其中：主要领导干部用车0辆、机要通信用车0辆、应急保障用车0辆、其他用车1辆。单价50万元以上通用设备0台（套），单价100万元以上专用设备0台（套）。</w:t>
      </w:r>
    </w:p>
    <w:p w14:paraId="357C27D5">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14:paraId="18D91FC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C57351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实物扶助贫困残疾人发展生产、残疾人居家灵活就业（创业）补助和直补、村（社区）专职委员补贴、残疾人窗口人员经费、残疾人智慧量服村（社区）通讯费、群团大楼保洁保安费、代缴重度残疾及精神智力三、四级残疾人医疗保险、残联工作经费、残疾人事业发展补助、残疾儿童康复救助、残疾人协会经费、民生工程配套经费等12个项目开展了预算事前绩效评估，对12个项目编制了绩效目标，预算执行过程中，选取5个项目开展绩效监控，年终执行完毕后，对5个项目开展了绩效自评。同时，本部门对2021年部门整体开展绩效自评，《2021年峨眉山市残疾人联合会部门整体绩效评价报告》见附件（第四部分）。</w:t>
      </w:r>
    </w:p>
    <w:p w14:paraId="3F20DE97">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33702B85">
      <w:pPr>
        <w:spacing w:line="600" w:lineRule="exact"/>
        <w:jc w:val="center"/>
        <w:outlineLvl w:val="0"/>
        <w:rPr>
          <w:rStyle w:val="24"/>
          <w:rFonts w:ascii="方正小标宋_GBK" w:hAnsi="方正小标宋_GBK" w:eastAsia="方正小标宋_GBK" w:cs="方正小标宋_GBK"/>
          <w:b w:val="0"/>
        </w:rPr>
      </w:pPr>
      <w:bookmarkStart w:id="55" w:name="_Toc15396613"/>
      <w:bookmarkStart w:id="56" w:name="_Toc15377225"/>
      <w:r>
        <w:rPr>
          <w:rFonts w:hint="eastAsia" w:ascii="方正小标宋_GBK" w:hAnsi="方正小标宋_GBK" w:eastAsia="方正小标宋_GBK" w:cs="方正小标宋_GBK"/>
          <w:sz w:val="44"/>
          <w:szCs w:val="44"/>
        </w:rPr>
        <w:t>第三部分名</w:t>
      </w:r>
      <w:r>
        <w:rPr>
          <w:rStyle w:val="24"/>
          <w:rFonts w:hint="eastAsia" w:ascii="方正小标宋_GBK" w:hAnsi="方正小标宋_GBK" w:eastAsia="方正小标宋_GBK" w:cs="方正小标宋_GBK"/>
          <w:b w:val="0"/>
        </w:rPr>
        <w:t>词解释</w:t>
      </w:r>
      <w:bookmarkEnd w:id="55"/>
      <w:bookmarkEnd w:id="56"/>
    </w:p>
    <w:p w14:paraId="1D8504C0">
      <w:pPr>
        <w:spacing w:line="600" w:lineRule="exact"/>
        <w:jc w:val="left"/>
        <w:rPr>
          <w:rFonts w:ascii="宋体"/>
          <w:b/>
          <w:sz w:val="44"/>
          <w:szCs w:val="44"/>
        </w:rPr>
      </w:pPr>
    </w:p>
    <w:p w14:paraId="540D545A">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0AE65EA3">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14:paraId="01A75D80">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14:paraId="0CC06EF8">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14:paraId="1088697B">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14:paraId="43E45F1F">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14:paraId="4B9927B0">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10CD5702">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00063D81">
      <w:pPr>
        <w:pStyle w:val="22"/>
        <w:ind w:firstLine="640" w:firstLineChars="200"/>
        <w:rPr>
          <w:rFonts w:ascii="仿宋_GB2312" w:eastAsia="仿宋_GB2312"/>
          <w:sz w:val="32"/>
          <w:szCs w:val="32"/>
        </w:rPr>
      </w:pPr>
      <w:r>
        <w:rPr>
          <w:rFonts w:hint="eastAsia" w:ascii="仿宋_GB2312" w:eastAsia="仿宋_GB2312"/>
          <w:sz w:val="32"/>
          <w:szCs w:val="32"/>
        </w:rPr>
        <w:t>九、社会保障和就业（类）行政事业单位养老支出（款）机关事业单位基本养老保险缴费支出（项）：是指反映机关事业单位实施养老保险制度由单位缴纳的基本养老保险支出。</w:t>
      </w:r>
    </w:p>
    <w:p w14:paraId="14F9EFCF">
      <w:pPr>
        <w:pStyle w:val="22"/>
        <w:ind w:firstLine="640" w:firstLineChars="200"/>
        <w:rPr>
          <w:rFonts w:ascii="仿宋_GB2312" w:eastAsia="仿宋_GB2312"/>
          <w:sz w:val="32"/>
          <w:szCs w:val="32"/>
        </w:rPr>
      </w:pPr>
      <w:r>
        <w:rPr>
          <w:rFonts w:hint="eastAsia" w:ascii="仿宋_GB2312" w:eastAsia="仿宋_GB2312"/>
          <w:sz w:val="32"/>
          <w:szCs w:val="32"/>
        </w:rPr>
        <w:t>十、社会保障和就业（类）行政事业单位养老支出（款）机关事业单位职业年金缴费支出（项）：是指反映机关事业单位实施养老保险制度由单位缴纳的职业年金支出。</w:t>
      </w:r>
    </w:p>
    <w:p w14:paraId="30730CC8">
      <w:pPr>
        <w:pStyle w:val="22"/>
        <w:ind w:firstLine="640" w:firstLineChars="200"/>
        <w:rPr>
          <w:rFonts w:ascii="仿宋_GB2312" w:eastAsia="仿宋_GB2312"/>
          <w:sz w:val="32"/>
          <w:szCs w:val="32"/>
        </w:rPr>
      </w:pPr>
      <w:r>
        <w:rPr>
          <w:rFonts w:hint="eastAsia" w:ascii="仿宋_GB2312" w:eastAsia="仿宋_GB2312"/>
          <w:sz w:val="32"/>
          <w:szCs w:val="32"/>
        </w:rPr>
        <w:t>十一、社会保障和就业（类）残疾人事业（款）行政运行（项）：是指反映残疾人事业行政单位（包括实行公务员管理的事业单位）的基本支出。</w:t>
      </w:r>
    </w:p>
    <w:p w14:paraId="2DFBF9AA">
      <w:pPr>
        <w:pStyle w:val="22"/>
        <w:ind w:firstLine="640" w:firstLineChars="200"/>
        <w:rPr>
          <w:rFonts w:ascii="仿宋_GB2312" w:eastAsia="仿宋_GB2312"/>
          <w:sz w:val="32"/>
          <w:szCs w:val="32"/>
        </w:rPr>
      </w:pPr>
      <w:r>
        <w:rPr>
          <w:rFonts w:hint="eastAsia" w:ascii="仿宋_GB2312" w:eastAsia="仿宋_GB2312"/>
          <w:sz w:val="32"/>
          <w:szCs w:val="32"/>
        </w:rPr>
        <w:t>十二、社会保障和就业（类）残疾人事业（款）残疾人康复（项）：反映残疾人联合会用于残疾人康复方面的支出。</w:t>
      </w:r>
    </w:p>
    <w:p w14:paraId="1731CB27">
      <w:pPr>
        <w:pStyle w:val="22"/>
        <w:ind w:firstLine="640" w:firstLineChars="200"/>
        <w:rPr>
          <w:rFonts w:ascii="仿宋_GB2312" w:eastAsia="仿宋_GB2312"/>
          <w:sz w:val="32"/>
          <w:szCs w:val="32"/>
        </w:rPr>
      </w:pPr>
      <w:r>
        <w:rPr>
          <w:rFonts w:hint="eastAsia" w:ascii="仿宋_GB2312" w:eastAsia="仿宋_GB2312"/>
          <w:sz w:val="32"/>
          <w:szCs w:val="32"/>
        </w:rPr>
        <w:t>十三、社会保障和就业（类）残疾人事业（款）残疾人就业和扶贫（项）：反映残疾人联合会用于残疾人就业和扶贫等方面的支出。</w:t>
      </w:r>
    </w:p>
    <w:p w14:paraId="61E6C2E7">
      <w:pPr>
        <w:pStyle w:val="22"/>
        <w:ind w:firstLine="640" w:firstLineChars="200"/>
        <w:rPr>
          <w:rFonts w:ascii="仿宋_GB2312" w:eastAsia="仿宋_GB2312"/>
          <w:sz w:val="32"/>
          <w:szCs w:val="32"/>
        </w:rPr>
      </w:pPr>
      <w:r>
        <w:rPr>
          <w:rFonts w:hint="eastAsia" w:ascii="仿宋_GB2312" w:eastAsia="仿宋_GB2312"/>
          <w:sz w:val="32"/>
          <w:szCs w:val="32"/>
        </w:rPr>
        <w:t>十四、社会保障和就业（类）残疾人事业（款）其他残疾人事业支出（项）：反映除上述项目以外其他用于残疾人事业方面的支出。</w:t>
      </w:r>
    </w:p>
    <w:p w14:paraId="71F664AC">
      <w:pPr>
        <w:pStyle w:val="22"/>
        <w:ind w:firstLine="640" w:firstLineChars="200"/>
        <w:rPr>
          <w:rFonts w:ascii="仿宋_GB2312" w:eastAsia="仿宋_GB2312"/>
          <w:sz w:val="32"/>
          <w:szCs w:val="32"/>
        </w:rPr>
      </w:pPr>
      <w:r>
        <w:rPr>
          <w:rFonts w:hint="eastAsia" w:ascii="仿宋_GB2312" w:eastAsia="仿宋_GB2312"/>
          <w:sz w:val="32"/>
          <w:szCs w:val="32"/>
        </w:rPr>
        <w:t>十五、社会保障和就业（类）其他社会保障和就业支出（款）其他社会保障和就业支出（项）：反映除上述项目以外其他用于社会保障和就业方面的支出。</w:t>
      </w:r>
    </w:p>
    <w:p w14:paraId="2BC3A473">
      <w:pPr>
        <w:pStyle w:val="22"/>
        <w:ind w:firstLine="640" w:firstLineChars="200"/>
        <w:rPr>
          <w:rFonts w:ascii="仿宋_GB2312" w:eastAsia="仿宋_GB2312"/>
          <w:sz w:val="32"/>
          <w:szCs w:val="32"/>
        </w:rPr>
      </w:pPr>
      <w:r>
        <w:rPr>
          <w:rFonts w:hint="eastAsia" w:ascii="仿宋_GB2312" w:eastAsia="仿宋_GB2312"/>
          <w:sz w:val="32"/>
          <w:szCs w:val="32"/>
        </w:rPr>
        <w:t>十六、卫生健康支出（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14:paraId="6421FD4D">
      <w:pPr>
        <w:pStyle w:val="22"/>
        <w:ind w:firstLine="640" w:firstLineChars="200"/>
        <w:rPr>
          <w:rFonts w:ascii="仿宋_GB2312" w:eastAsia="仿宋_GB2312"/>
          <w:sz w:val="32"/>
          <w:szCs w:val="32"/>
        </w:rPr>
      </w:pPr>
      <w:r>
        <w:rPr>
          <w:rFonts w:hint="eastAsia" w:ascii="仿宋_GB2312" w:eastAsia="仿宋_GB2312"/>
          <w:sz w:val="32"/>
          <w:szCs w:val="32"/>
        </w:rPr>
        <w:t>十七、住房保障支出（类）住房改革支出（款）住房公积金（项）:是指反映行政事业单位按人力资源和社会保障部、财政部规定的基本工资和津贴补贴以及规定比例为职工缴纳的住房公积金。</w:t>
      </w:r>
    </w:p>
    <w:p w14:paraId="4FD24F65">
      <w:pPr>
        <w:pStyle w:val="22"/>
        <w:ind w:firstLine="640" w:firstLineChars="200"/>
        <w:rPr>
          <w:rFonts w:ascii="仿宋_GB2312" w:eastAsia="仿宋_GB2312"/>
          <w:sz w:val="32"/>
          <w:szCs w:val="32"/>
        </w:rPr>
      </w:pPr>
      <w:r>
        <w:rPr>
          <w:rFonts w:hint="eastAsia" w:ascii="仿宋_GB2312" w:eastAsia="仿宋_GB2312"/>
          <w:sz w:val="32"/>
          <w:szCs w:val="32"/>
        </w:rPr>
        <w:t>十八、其他支出（类）彩票公益金安排的支出（款）用于社会福利的彩票公益金支出（项）:反映用于社会福利和社会救助的彩票公益金支出。</w:t>
      </w:r>
    </w:p>
    <w:p w14:paraId="379F4D3A">
      <w:pPr>
        <w:pStyle w:val="22"/>
        <w:ind w:firstLine="640" w:firstLineChars="200"/>
        <w:rPr>
          <w:rFonts w:ascii="仿宋_GB2312" w:eastAsia="仿宋_GB2312"/>
          <w:sz w:val="32"/>
          <w:szCs w:val="32"/>
        </w:rPr>
      </w:pPr>
      <w:r>
        <w:rPr>
          <w:rFonts w:hint="eastAsia" w:ascii="仿宋_GB2312" w:eastAsia="仿宋_GB2312"/>
          <w:sz w:val="32"/>
          <w:szCs w:val="32"/>
        </w:rPr>
        <w:t>十九、其他支出（类）彩票公益金安排的支出（款）用于体育事业的彩票公益金支出（项）:反映用于体育事业的彩票公益金支出。</w:t>
      </w:r>
    </w:p>
    <w:p w14:paraId="015B9491">
      <w:pPr>
        <w:pStyle w:val="22"/>
        <w:ind w:firstLine="640" w:firstLineChars="200"/>
        <w:rPr>
          <w:rFonts w:ascii="仿宋_GB2312" w:eastAsia="仿宋_GB2312"/>
          <w:sz w:val="32"/>
          <w:szCs w:val="32"/>
        </w:rPr>
      </w:pPr>
      <w:r>
        <w:rPr>
          <w:rFonts w:hint="eastAsia" w:ascii="仿宋_GB2312" w:eastAsia="仿宋_GB2312"/>
          <w:sz w:val="32"/>
          <w:szCs w:val="32"/>
        </w:rPr>
        <w:t>二十、其他支出（类）彩票公益金安排的支出（款）用于残疾人事业的彩票公益金支出（项）:反映用于残疾人事业的彩票公益金支出。</w:t>
      </w:r>
    </w:p>
    <w:p w14:paraId="1542CCCE">
      <w:pPr>
        <w:spacing w:line="600" w:lineRule="exact"/>
        <w:ind w:firstLine="640" w:firstLineChars="200"/>
        <w:rPr>
          <w:rFonts w:ascii="仿宋_GB2312" w:eastAsia="仿宋_GB2312"/>
          <w:sz w:val="32"/>
          <w:szCs w:val="32"/>
        </w:rPr>
      </w:pPr>
      <w:r>
        <w:rPr>
          <w:rFonts w:hint="eastAsia" w:ascii="仿宋_GB2312" w:eastAsia="仿宋_GB2312"/>
          <w:sz w:val="32"/>
          <w:szCs w:val="32"/>
        </w:rPr>
        <w:t>二十一、基本支出：指为保障机构正常运转、完成日常工作任务而发生的人员支出和公用支出。</w:t>
      </w:r>
    </w:p>
    <w:p w14:paraId="77CD4A10">
      <w:pPr>
        <w:spacing w:line="600" w:lineRule="exact"/>
        <w:ind w:firstLine="640" w:firstLineChars="200"/>
        <w:rPr>
          <w:rFonts w:ascii="仿宋_GB2312" w:eastAsia="仿宋_GB2312"/>
          <w:sz w:val="32"/>
          <w:szCs w:val="32"/>
        </w:rPr>
      </w:pPr>
      <w:r>
        <w:rPr>
          <w:rFonts w:hint="eastAsia" w:ascii="仿宋_GB2312" w:eastAsia="仿宋_GB2312"/>
          <w:sz w:val="32"/>
          <w:szCs w:val="32"/>
        </w:rPr>
        <w:t>二十二、项目支出：指在基本支出之外为完成特定行政任务和事业发展目标所发生的支出。</w:t>
      </w:r>
    </w:p>
    <w:p w14:paraId="18217973">
      <w:pPr>
        <w:spacing w:line="600" w:lineRule="exact"/>
        <w:ind w:firstLine="640" w:firstLineChars="200"/>
        <w:rPr>
          <w:rFonts w:ascii="仿宋_GB2312" w:eastAsia="仿宋_GB2312"/>
          <w:sz w:val="32"/>
          <w:szCs w:val="32"/>
        </w:rPr>
      </w:pPr>
      <w:r>
        <w:rPr>
          <w:rFonts w:hint="eastAsia" w:ascii="仿宋_GB2312" w:eastAsia="仿宋_GB2312"/>
          <w:sz w:val="32"/>
          <w:szCs w:val="32"/>
        </w:rPr>
        <w:t>二十三、经营支出：指事业单位在专业业务活动及其辅助活动之外开展非独立核算经营活动发生的支出。</w:t>
      </w:r>
    </w:p>
    <w:p w14:paraId="2FD2EA71">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B6D86C">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137035">
      <w:pPr>
        <w:pStyle w:val="22"/>
        <w:spacing w:line="600" w:lineRule="exact"/>
        <w:ind w:firstLine="640" w:firstLineChars="200"/>
        <w:rPr>
          <w:rFonts w:ascii="仿宋_GB2312" w:eastAsia="仿宋_GB2312" w:cs="黑体"/>
          <w:color w:val="auto"/>
          <w:sz w:val="32"/>
          <w:szCs w:val="32"/>
        </w:rPr>
      </w:pPr>
    </w:p>
    <w:p w14:paraId="0E447A07">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14:paraId="721CAE6B">
      <w:pPr>
        <w:spacing w:line="600" w:lineRule="exact"/>
        <w:jc w:val="center"/>
        <w:outlineLvl w:val="0"/>
        <w:rPr>
          <w:rStyle w:val="24"/>
          <w:rFonts w:ascii="方正小标宋_GBK" w:hAnsi="方正小标宋_GBK" w:eastAsia="方正小标宋_GBK" w:cs="方正小标宋_GBK"/>
          <w:b w:val="0"/>
          <w:bCs w:val="0"/>
        </w:rPr>
      </w:pPr>
      <w:bookmarkStart w:id="57" w:name="_Toc15377226"/>
      <w:r>
        <w:rPr>
          <w:rFonts w:ascii="宋体"/>
          <w:b/>
          <w:sz w:val="44"/>
          <w:szCs w:val="44"/>
        </w:rPr>
        <w:br w:type="page"/>
      </w:r>
      <w:bookmarkStart w:id="58" w:name="_Toc15396614"/>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bCs w:val="0"/>
        </w:rPr>
        <w:t>四部分 附件</w:t>
      </w:r>
      <w:bookmarkEnd w:id="58"/>
    </w:p>
    <w:p w14:paraId="194A7A2B">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247D218E">
      <w:pPr>
        <w:spacing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2021年峨眉山市残疾人联合会</w:t>
      </w:r>
    </w:p>
    <w:p w14:paraId="21EF18ED">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部门整体绩效评价报告</w:t>
      </w:r>
    </w:p>
    <w:p w14:paraId="3D779A69">
      <w:pPr>
        <w:widowControl/>
        <w:spacing w:line="600" w:lineRule="exact"/>
        <w:ind w:firstLine="640" w:firstLineChars="200"/>
        <w:contextualSpacing/>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14:paraId="589BB204">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14:paraId="6F558AD8">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007E4957">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r>
        <w:rPr>
          <w:rFonts w:hint="eastAsia" w:ascii="仿宋" w:hAnsi="仿宋" w:eastAsia="仿宋"/>
          <w:sz w:val="32"/>
          <w:szCs w:val="32"/>
        </w:rPr>
        <w:t>峨眉山市残疾人联合会内设2个职能股（室），下属单位：峨眉山市残疾人就业和康复服务中心。</w:t>
      </w:r>
    </w:p>
    <w:p w14:paraId="363C9046">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（二）机构职能</w:t>
      </w:r>
      <w:r>
        <w:rPr>
          <w:rFonts w:hint="eastAsia" w:ascii="仿宋" w:hAnsi="仿宋" w:eastAsia="仿宋"/>
          <w:sz w:val="32"/>
          <w:szCs w:val="32"/>
        </w:rPr>
        <w:t>听取残疾人意见，反映残疾人需求，维护残疾人权益，为残疾热服务；团结、教育残疾人遵守法律，履行应尽的义务，发扬乐观进取精神，自尊、自信、自强、自立，为社会主义建设贡献力量；弘扬人道主义，宣传残疾人事业，沟通政府、社会与残疾人之间的联系，动员社会理解、尊重、关心、帮助残疾人；开展残疾人康复、扶贫、教育、劳动就业、文化、体育、科研、用品用具、无障碍设施和残疾预防工作，创造良好的环境和条件，扶助残疾人平等参与社会生活；协助政府研究、制定和实施残疾人事业政策、规划和计划，起草有关保障残疾人权益的法规草案并组织开展执法检查，调查和掌握残疾人状况，向政府提出决策建议，对有关业务领域进行指导和管理；协助镇乡党委考察残联班子和做好残联干部的管理工作，对全市镇乡残联和专门协会组织以及企事业单位残联负责人进行培训；承担市政府残疾人工作协调委员会的日常工作，搞好综合、组织、协调和服务；组织实施残疾人集中和分散按比例安置就业工作，指导和监督残联系统残疾人福利企业，会同有关部门制定并监督实施残疾人社会福利生产的扶持保护政策；组织实施残疾人各类职业培训，努力为残疾人提供就业机会 ；指导和管理各类残疾人专门协会；统筹开展残疾人事业募捐活动；开展残疾人事业的对外交流与合作；加强机关思想、整治、组织、作风建设，搞好各级残联组织的自身建设和党务工作，确保各项任务的完成；承办市委、市政府和乐山市残联加交办的其他工作。</w:t>
      </w:r>
    </w:p>
    <w:p w14:paraId="63FF4D6D">
      <w:pPr>
        <w:widowControl/>
        <w:adjustRightInd w:val="0"/>
        <w:snapToGrid w:val="0"/>
        <w:spacing w:line="700" w:lineRule="exact"/>
        <w:ind w:firstLine="640" w:firstLineChars="200"/>
        <w:contextualSpacing/>
        <w:jc w:val="left"/>
        <w:rPr>
          <w:rFonts w:ascii="仿宋" w:hAnsi="仿宋" w:eastAsia="仿宋" w:cs="仿宋_GB2312"/>
          <w:kern w:val="0"/>
          <w:sz w:val="32"/>
          <w:szCs w:val="32"/>
        </w:rPr>
      </w:pPr>
      <w:r>
        <w:rPr>
          <w:rFonts w:hint="eastAsia" w:ascii="楷体_GB2312" w:hAnsi="楷体_GB2312" w:eastAsia="楷体_GB2312" w:cs="楷体_GB2312"/>
          <w:kern w:val="0"/>
          <w:sz w:val="32"/>
          <w:szCs w:val="32"/>
          <w:shd w:val="clear" w:color="auto" w:fill="FFFFFF"/>
          <w:lang w:val="zh-CN"/>
        </w:rPr>
        <w:t>（三）人员概况</w:t>
      </w:r>
      <w:r>
        <w:rPr>
          <w:rFonts w:hint="eastAsia" w:ascii="仿宋" w:hAnsi="仿宋" w:eastAsia="仿宋" w:cs="仿宋_GB2312"/>
          <w:kern w:val="0"/>
          <w:sz w:val="32"/>
          <w:szCs w:val="32"/>
        </w:rPr>
        <w:t>峨眉山市残疾人联合会核定参公编制6人，机关工勤1名，设理事长1名，副理事长1名，现在职公务员4人，机关工勤1人，临聘人员4人</w:t>
      </w:r>
    </w:p>
    <w:p w14:paraId="32E0C2ED">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rPr>
      </w:pPr>
    </w:p>
    <w:p w14:paraId="20C93C42">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062F5A47">
      <w:pPr>
        <w:pStyle w:val="30"/>
        <w:spacing w:line="580" w:lineRule="exact"/>
        <w:ind w:firstLine="640"/>
        <w:rPr>
          <w:lang w:val="zh-CN"/>
        </w:rPr>
      </w:pPr>
      <w:r>
        <w:rPr>
          <w:rFonts w:hint="eastAsia" w:ascii="楷体_GB2312" w:hAnsi="楷体_GB2312" w:eastAsia="楷体_GB2312" w:cs="楷体_GB2312"/>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rPr>
        <w:t>2021年全年财政资金收入985.86万元，其中一般公共预算财政拨款823.56万元，政府性基金预算财政拨款131.87万元，其他收入30.43万元。</w:t>
      </w:r>
    </w:p>
    <w:p w14:paraId="7E66373B">
      <w:pPr>
        <w:spacing w:line="700" w:lineRule="exact"/>
        <w:ind w:firstLine="640" w:firstLineChars="200"/>
        <w:rPr>
          <w:rFonts w:ascii="楷体_GB2312" w:hAnsi="楷体_GB2312" w:eastAsia="楷体_GB2312" w:cs="楷体_GB2312"/>
          <w:kern w:val="0"/>
          <w:sz w:val="32"/>
          <w:szCs w:val="32"/>
          <w:shd w:val="clear" w:color="auto" w:fill="FFFFFF"/>
        </w:rPr>
      </w:pPr>
    </w:p>
    <w:p w14:paraId="25934236">
      <w:pPr>
        <w:spacing w:line="700" w:lineRule="exact"/>
        <w:ind w:firstLine="640" w:firstLineChars="200"/>
        <w:rPr>
          <w:rFonts w:ascii="仿宋" w:hAnsi="仿宋" w:eastAsia="仿宋"/>
          <w:sz w:val="32"/>
          <w:szCs w:val="32"/>
        </w:rPr>
      </w:pPr>
      <w:r>
        <w:rPr>
          <w:rFonts w:hint="eastAsia" w:ascii="楷体_GB2312" w:hAnsi="楷体_GB2312" w:eastAsia="楷体_GB2312" w:cs="楷体_GB2312"/>
          <w:kern w:val="0"/>
          <w:sz w:val="32"/>
          <w:szCs w:val="32"/>
          <w:shd w:val="clear" w:color="auto" w:fill="FFFFFF"/>
          <w:lang w:val="zh-CN"/>
        </w:rPr>
        <w:t>（二）部门财政资金支出情况</w:t>
      </w:r>
      <w:r>
        <w:rPr>
          <w:rFonts w:hint="eastAsia" w:ascii="仿宋" w:hAnsi="仿宋" w:eastAsia="仿宋"/>
          <w:sz w:val="32"/>
          <w:szCs w:val="32"/>
        </w:rPr>
        <w:t>本单位2021年总费用935.02万元，工资福利支出111.23万元，主要包括：基本工资、津贴补贴、社会保障缴费、住房公积金扥；主要是商品和服务费用156.89万元，主要包括：办公费、印刷费、水费、电费、邮电费、劳务费等；对个人和家庭的补助费用587.59万元,其他支出79.31万元。</w:t>
      </w:r>
      <w:r>
        <w:rPr>
          <w:rFonts w:ascii="仿宋" w:hAnsi="仿宋" w:eastAsia="仿宋"/>
          <w:sz w:val="32"/>
          <w:szCs w:val="32"/>
        </w:rPr>
        <w:t xml:space="preserve"> </w:t>
      </w:r>
    </w:p>
    <w:p w14:paraId="3068DE9C">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highlight w:val="yellow"/>
          <w:shd w:val="clear" w:color="auto" w:fill="FFFFFF"/>
          <w:lang w:val="zh-CN"/>
        </w:rPr>
      </w:pPr>
    </w:p>
    <w:p w14:paraId="7271CE96">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14:paraId="60313385">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14:paraId="31DF6FF0">
      <w:pPr>
        <w:widowControl/>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rPr>
        <w:t>1.绩效目标制定。市残联按照峨眉山市财政局《关于编制</w:t>
      </w:r>
      <w:r>
        <w:rPr>
          <w:rFonts w:ascii="仿宋_GB2312" w:eastAsia="仿宋_GB2312"/>
          <w:sz w:val="32"/>
          <w:szCs w:val="32"/>
        </w:rPr>
        <w:t>20</w:t>
      </w:r>
      <w:r>
        <w:rPr>
          <w:rFonts w:hint="eastAsia" w:ascii="仿宋_GB2312" w:eastAsia="仿宋_GB2312"/>
          <w:sz w:val="32"/>
          <w:szCs w:val="32"/>
        </w:rPr>
        <w:t>21年部门预算的通知》和有关要求，制定了部门绩效目标，</w:t>
      </w:r>
      <w:r>
        <w:rPr>
          <w:rFonts w:hint="eastAsia" w:ascii="仿宋_GB2312" w:eastAsia="仿宋_GB2312"/>
          <w:sz w:val="32"/>
          <w:szCs w:val="32"/>
          <w:lang w:val="zh-CN"/>
        </w:rPr>
        <w:t>按时完成预算基础库、项目库报送工作</w:t>
      </w:r>
      <w:r>
        <w:rPr>
          <w:rFonts w:hint="eastAsia" w:ascii="仿宋_GB2312" w:eastAsia="仿宋_GB2312"/>
          <w:sz w:val="32"/>
          <w:szCs w:val="32"/>
        </w:rPr>
        <w:t>,并按时完成预算编制工作，提交部门预算草案。对各</w:t>
      </w:r>
      <w:r>
        <w:rPr>
          <w:rFonts w:hint="eastAsia" w:ascii="仿宋_GB2312" w:eastAsia="仿宋_GB2312"/>
          <w:sz w:val="32"/>
          <w:szCs w:val="32"/>
          <w:lang w:val="zh-CN"/>
        </w:rPr>
        <w:t>项目绩效目标进行细化、明确，对结余结转资金定期清理，对有使用规定的专项资金实行专款专用。</w:t>
      </w:r>
    </w:p>
    <w:p w14:paraId="64687680">
      <w:pPr>
        <w:spacing w:line="56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eastAsia="仿宋_GB2312"/>
          <w:sz w:val="32"/>
          <w:szCs w:val="32"/>
        </w:rPr>
        <w:t>2.目标实现情况。一是人员类。人员工资按月申报并直接支付，1-12月执行进度为100%。二是运转类。根据我会日常工作运转需求，定期与不定期结合，进行申报支付。需按月完成的项目，在规定期限完成，1-12月执行进度为100%，其余项目均按需申报，根据工作进度申报并支付。三是特定类项目。完成特定的行政工作任务或事业发展目标，用于专项业务工作经费支出，实现专款专用。积极谋划做出预算，及时申报并做好支付工作，12月执行进度为100%。严格按照预算金额</w:t>
      </w:r>
      <w:r>
        <w:rPr>
          <w:rFonts w:hint="eastAsia" w:ascii="仿宋_GB2312" w:hAnsi="宋体" w:eastAsia="仿宋_GB2312" w:cs="宋体"/>
          <w:kern w:val="0"/>
          <w:sz w:val="32"/>
          <w:szCs w:val="32"/>
          <w:shd w:val="clear" w:color="auto" w:fill="FFFFFF"/>
          <w:lang w:val="zh-CN"/>
        </w:rPr>
        <w:t>支出，控制成本，不超预算。及时跟进项目目标进度，资金下达后及时支付，并跟进后续使用情况，由相关业务部门对资金的使用情况及项目目标完成效果进行后续跟踪，做出评估。</w:t>
      </w:r>
    </w:p>
    <w:p w14:paraId="3466D1D6">
      <w:pPr>
        <w:spacing w:line="560" w:lineRule="exact"/>
        <w:ind w:firstLine="640" w:firstLineChars="200"/>
        <w:rPr>
          <w:rFonts w:eastAsia="仿宋_GB2312"/>
          <w:sz w:val="32"/>
          <w:szCs w:val="32"/>
          <w:lang w:val="zh-CN"/>
        </w:rPr>
      </w:pPr>
      <w:r>
        <w:rPr>
          <w:rFonts w:hint="eastAsia" w:ascii="仿宋_GB2312" w:hAnsi="宋体" w:eastAsia="仿宋_GB2312" w:cs="宋体"/>
          <w:kern w:val="0"/>
          <w:sz w:val="32"/>
          <w:szCs w:val="32"/>
          <w:shd w:val="clear" w:color="auto" w:fill="FFFFFF"/>
        </w:rPr>
        <w:t>2021年</w:t>
      </w:r>
      <w:r>
        <w:rPr>
          <w:rFonts w:hint="eastAsia" w:ascii="仿宋_GB2312" w:hAnsi="宋体" w:eastAsia="仿宋_GB2312" w:cs="宋体"/>
          <w:kern w:val="0"/>
          <w:sz w:val="32"/>
          <w:szCs w:val="32"/>
          <w:shd w:val="clear" w:color="auto" w:fill="FFFFFF"/>
          <w:lang w:val="zh-CN"/>
        </w:rPr>
        <w:t>预算项目完成情况为</w:t>
      </w:r>
      <w:r>
        <w:rPr>
          <w:rFonts w:hint="eastAsia" w:ascii="仿宋_GB2312" w:hAnsi="宋体" w:eastAsia="仿宋_GB2312" w:cs="宋体"/>
          <w:kern w:val="0"/>
          <w:sz w:val="32"/>
          <w:szCs w:val="32"/>
          <w:shd w:val="clear" w:color="auto" w:fill="FFFFFF"/>
        </w:rPr>
        <w:t>100%</w:t>
      </w:r>
      <w:r>
        <w:rPr>
          <w:rFonts w:hint="eastAsia" w:ascii="仿宋_GB2312" w:hAnsi="宋体" w:eastAsia="仿宋_GB2312" w:cs="宋体"/>
          <w:kern w:val="0"/>
          <w:sz w:val="32"/>
          <w:szCs w:val="32"/>
          <w:shd w:val="clear" w:color="auto" w:fill="FFFFFF"/>
          <w:lang w:val="zh-CN"/>
        </w:rPr>
        <w:t>，项目资金无结余，无违规违纪情况。</w:t>
      </w:r>
    </w:p>
    <w:p w14:paraId="07C8C95B">
      <w:pPr>
        <w:widowControl/>
        <w:numPr>
          <w:ilvl w:val="0"/>
          <w:numId w:val="3"/>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结果应用情况</w:t>
      </w:r>
    </w:p>
    <w:p w14:paraId="79B0642D">
      <w:pPr>
        <w:spacing w:line="580" w:lineRule="exact"/>
        <w:ind w:firstLine="64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在预算执行中，对计划按时支付，切实保障单位正常运转。</w:t>
      </w:r>
    </w:p>
    <w:p w14:paraId="63320C67">
      <w:pPr>
        <w:spacing w:line="580" w:lineRule="exact"/>
        <w:rPr>
          <w:sz w:val="32"/>
          <w:szCs w:val="32"/>
          <w:lang w:val="zh-CN"/>
        </w:rPr>
      </w:pPr>
      <w:r>
        <w:rPr>
          <w:rFonts w:hint="eastAsia" w:ascii="仿宋_GB2312" w:hAnsi="宋体" w:eastAsia="仿宋_GB2312" w:cs="宋体"/>
          <w:color w:val="000000"/>
          <w:kern w:val="0"/>
          <w:sz w:val="32"/>
          <w:szCs w:val="32"/>
          <w:shd w:val="clear" w:color="auto" w:fill="FFFFFF"/>
          <w:lang w:val="zh-CN"/>
        </w:rPr>
        <w:t>项目资金按照管理要求，做到资金下达后及时支付，不挪用项目资金，确保专款专用；资金支付后，及时跟进资金划拨进度，做到出现问题立即操作整改；严格按照年初预算执行，不超预算。</w:t>
      </w:r>
    </w:p>
    <w:p w14:paraId="5227B524">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14:paraId="0094DF91">
      <w:pPr>
        <w:spacing w:line="580" w:lineRule="exact"/>
        <w:ind w:firstLine="64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根据项目绩效目标制定情况，我会各项目严格完成数量、质量等目标，及时完成资金支付，确保项目完成。因特殊原因未能纳入当年预算，且必须实施的，及时报财政追加。各项目完成情况良好。</w:t>
      </w:r>
    </w:p>
    <w:p w14:paraId="0560C16B">
      <w:pPr>
        <w:spacing w:line="580" w:lineRule="exact"/>
        <w:ind w:firstLine="640"/>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37CD3577">
      <w:pPr>
        <w:spacing w:line="580" w:lineRule="exact"/>
        <w:ind w:firstLine="640"/>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14:paraId="4A993D09">
      <w:pPr>
        <w:spacing w:line="580" w:lineRule="exact"/>
        <w:rPr>
          <w:lang w:val="zh-CN"/>
        </w:rPr>
      </w:pP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峨眉山市残疾人联合会按照《预算法》按时完成预决算编制。在执行过程中有计划进行资金申报、使用，完善资金管理及内部控制制度，确保资金安全，做到账款、账账、账实相符。为我市残疾人事业发展提供有效资金保障。</w:t>
      </w:r>
    </w:p>
    <w:p w14:paraId="07996018">
      <w:pPr>
        <w:widowControl/>
        <w:numPr>
          <w:ilvl w:val="0"/>
          <w:numId w:val="3"/>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存在问题</w:t>
      </w:r>
    </w:p>
    <w:p w14:paraId="50D27D0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预算绩效目标设置还需进一步细化和量化。各科室对预算绩效管理工作的重视程度不够，财务部门和业务科室未建立一体化运行机制；内部预算绩效职责不清，对文件的理解不透，业务不精，设置绩效目标时存在简单化、片面化、形式化等问题；预算绩效管理不到位，财务部门指导、督促不够。</w:t>
      </w:r>
    </w:p>
    <w:p w14:paraId="249BC244">
      <w:pPr>
        <w:widowControl/>
        <w:adjustRightInd w:val="0"/>
        <w:snapToGrid w:val="0"/>
        <w:spacing w:line="580" w:lineRule="exact"/>
        <w:ind w:firstLine="640" w:firstLineChars="200"/>
        <w:contextualSpacing/>
        <w:jc w:val="left"/>
        <w:rPr>
          <w:sz w:val="32"/>
          <w:szCs w:val="32"/>
          <w:lang w:val="zh-CN"/>
        </w:rPr>
      </w:pPr>
      <w:r>
        <w:rPr>
          <w:rFonts w:hint="eastAsia"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lang w:val="zh-CN"/>
        </w:rPr>
        <w:t>预算绩效管理业务工作水平有待提高。开展的预算绩效管理的业务培训较少，预算绩效管理专业人员缺乏。</w:t>
      </w:r>
    </w:p>
    <w:p w14:paraId="41995054">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14:paraId="7B643512">
      <w:pPr>
        <w:spacing w:line="580" w:lineRule="exact"/>
        <w:rPr>
          <w:rFonts w:ascii="仿宋_GB2312" w:hAnsi="宋体" w:eastAsia="仿宋_GB2312" w:cs="宋体"/>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1.开展全过程绩效管理。增强绩效评价意识，组织召开年度预算绩效管理工作会议，明确预算绩效管理工作职责。</w:t>
      </w:r>
    </w:p>
    <w:p w14:paraId="05B02779">
      <w:pPr>
        <w:spacing w:line="580" w:lineRule="exact"/>
        <w:ind w:firstLine="640" w:firstLineChars="20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2.加强预算绩效管理工作的培训，培训范围涵盖各业务部门，并对绩效目标的制定进行专门的培训与辅导，促进对绩效管理专业知识的学习，提高绩效管理业务工作能力。</w:t>
      </w:r>
    </w:p>
    <w:p w14:paraId="6BE88E24">
      <w:pPr>
        <w:pStyle w:val="2"/>
        <w:spacing w:before="93" w:line="600" w:lineRule="exact"/>
        <w:rPr>
          <w:rFonts w:hAnsi="宋体" w:cs="宋体"/>
          <w:sz w:val="32"/>
          <w:szCs w:val="32"/>
          <w:shd w:val="clear" w:color="auto" w:fill="FFFFFF"/>
          <w:lang w:val="zh-CN"/>
        </w:rPr>
      </w:pPr>
    </w:p>
    <w:p w14:paraId="10BF7F84">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highlight w:val="yellow"/>
          <w:shd w:val="clear" w:color="auto" w:fill="FFFFFF"/>
          <w:lang w:val="zh-CN"/>
        </w:rPr>
      </w:pPr>
    </w:p>
    <w:p w14:paraId="011B9A5B">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p>
    <w:p w14:paraId="5AA20141">
      <w:pPr>
        <w:pStyle w:val="2"/>
        <w:spacing w:before="93" w:line="600" w:lineRule="exact"/>
        <w:rPr>
          <w:rFonts w:hAnsi="宋体" w:cs="宋体"/>
          <w:sz w:val="32"/>
          <w:szCs w:val="32"/>
          <w:shd w:val="clear" w:color="auto" w:fill="FFFFFF"/>
          <w:lang w:val="zh-CN"/>
        </w:rPr>
      </w:pPr>
    </w:p>
    <w:p w14:paraId="64E4BA08">
      <w:pPr>
        <w:pStyle w:val="2"/>
        <w:spacing w:before="93" w:line="600" w:lineRule="exact"/>
        <w:rPr>
          <w:rFonts w:hAnsi="宋体" w:cs="宋体"/>
          <w:sz w:val="32"/>
          <w:szCs w:val="32"/>
          <w:shd w:val="clear" w:color="auto" w:fill="FFFFFF"/>
          <w:lang w:val="zh-CN"/>
        </w:rPr>
      </w:pPr>
    </w:p>
    <w:p w14:paraId="01D87AD8">
      <w:pPr>
        <w:pStyle w:val="2"/>
        <w:spacing w:before="93" w:line="600" w:lineRule="exact"/>
        <w:rPr>
          <w:rFonts w:hAnsi="宋体" w:cs="宋体"/>
          <w:sz w:val="32"/>
          <w:szCs w:val="32"/>
          <w:shd w:val="clear" w:color="auto" w:fill="FFFFFF"/>
          <w:lang w:val="zh-CN"/>
        </w:rPr>
      </w:pPr>
    </w:p>
    <w:p w14:paraId="41231F2A">
      <w:pPr>
        <w:pStyle w:val="2"/>
        <w:spacing w:before="93" w:line="600" w:lineRule="exact"/>
        <w:rPr>
          <w:rFonts w:hAnsi="宋体" w:cs="宋体"/>
          <w:sz w:val="32"/>
          <w:szCs w:val="32"/>
          <w:shd w:val="clear" w:color="auto" w:fill="FFFFFF"/>
          <w:lang w:val="zh-CN"/>
        </w:rPr>
      </w:pPr>
    </w:p>
    <w:p w14:paraId="47BB4BFB">
      <w:pPr>
        <w:pStyle w:val="2"/>
        <w:spacing w:before="93" w:line="600" w:lineRule="exact"/>
        <w:rPr>
          <w:rFonts w:hAnsi="宋体" w:cs="宋体"/>
          <w:sz w:val="32"/>
          <w:szCs w:val="32"/>
          <w:shd w:val="clear" w:color="auto" w:fill="FFFFFF"/>
          <w:lang w:val="zh-CN"/>
        </w:rPr>
      </w:pPr>
    </w:p>
    <w:p w14:paraId="622DFCF7">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附件1</w:t>
      </w:r>
    </w:p>
    <w:p w14:paraId="16B4D426">
      <w:pPr>
        <w:pStyle w:val="2"/>
        <w:spacing w:before="93" w:line="600" w:lineRule="exact"/>
        <w:rPr>
          <w:rFonts w:ascii="黑体" w:hAnsi="黑体" w:eastAsia="黑体" w:cs="黑体"/>
          <w:sz w:val="32"/>
          <w:szCs w:val="32"/>
          <w:highlight w:val="yellow"/>
          <w:shd w:val="clear" w:color="auto" w:fill="FFFFFF"/>
          <w:lang w:val="zh-CN"/>
        </w:rPr>
      </w:pPr>
    </w:p>
    <w:p w14:paraId="51A57972">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市残联残疾人居家灵活就业（创业）补助和直补项目绩效评价报告</w:t>
      </w:r>
    </w:p>
    <w:p w14:paraId="5A5BBA81">
      <w:pPr>
        <w:spacing w:line="600" w:lineRule="exact"/>
        <w:ind w:firstLine="640"/>
        <w:jc w:val="center"/>
        <w:rPr>
          <w:rFonts w:ascii="宋体" w:hAnsi="宋体"/>
          <w:sz w:val="32"/>
          <w:szCs w:val="32"/>
          <w:lang w:val="zh-CN"/>
        </w:rPr>
      </w:pPr>
    </w:p>
    <w:p w14:paraId="40A4F91F">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6DE4DD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13B39582">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帮助残疾人选择和从事非全日制、临时性和弹性工作，包括从事家庭副业、家政服务、修理装配、便民理发、绿化保洁、一定规模的农村种植养殖业等适合居家灵活就业和创业项目。</w:t>
      </w:r>
    </w:p>
    <w:p w14:paraId="2DE04D5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2．峨眉山市残疾人联合会根据乐山市惠残助残政策制定的常年项目。</w:t>
      </w:r>
    </w:p>
    <w:p w14:paraId="4AB3E369">
      <w:pPr>
        <w:snapToGrid w:val="0"/>
        <w:spacing w:line="576" w:lineRule="exact"/>
        <w:ind w:firstLine="480" w:firstLineChars="150"/>
        <w:rPr>
          <w:rFonts w:ascii="仿宋_GB2312" w:eastAsia="仿宋_GB2312"/>
          <w:color w:val="000000"/>
          <w:spacing w:val="14"/>
          <w:sz w:val="32"/>
          <w:szCs w:val="32"/>
        </w:rPr>
      </w:pPr>
      <w:r>
        <w:rPr>
          <w:rFonts w:hint="eastAsia" w:ascii="仿宋_GB2312" w:hAnsi="宋体" w:eastAsia="仿宋_GB2312"/>
          <w:sz w:val="32"/>
          <w:szCs w:val="32"/>
          <w:lang w:val="zh-CN"/>
        </w:rPr>
        <w:t>3．</w:t>
      </w:r>
      <w:r>
        <w:rPr>
          <w:rFonts w:hint="eastAsia" w:ascii="仿宋_GB2312" w:eastAsia="仿宋_GB2312"/>
          <w:color w:val="000000"/>
          <w:spacing w:val="14"/>
          <w:sz w:val="32"/>
          <w:szCs w:val="32"/>
        </w:rPr>
        <w:t>具有峨眉山市户籍，持有第二代《中华人民共和国残疾人证》，年满16周岁以上，且从事非全日制、临时性和弹性工作，包括从事家庭副业、家政服务、修理装配、便民理发、绿化保洁、一定规模的农村种植养殖业等的残疾人。</w:t>
      </w:r>
    </w:p>
    <w:p w14:paraId="1F18F9FB">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14:paraId="68795D1A">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1．项目主要内容。对灵活就业（创业）残疾人进行补贴。</w:t>
      </w:r>
      <w:r>
        <w:rPr>
          <w:rFonts w:ascii="仿宋_GB2312" w:hAnsi="宋体" w:eastAsia="仿宋_GB2312"/>
          <w:sz w:val="32"/>
          <w:szCs w:val="32"/>
          <w:lang w:val="zh-CN"/>
        </w:rPr>
        <w:tab/>
      </w:r>
    </w:p>
    <w:p w14:paraId="1DFB33D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2．通过预算编制，规划绩效目标：紧紧围绕以帮助残疾人就业为目标，切实抓好，鼓励残疾人就业创业，自力更生。</w:t>
      </w:r>
    </w:p>
    <w:p w14:paraId="091C2839">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申报内容与实际相符，申报目标合理可行。通过一卡通平台，对自愿申报并符合条件的残疾人进行补贴。</w:t>
      </w:r>
    </w:p>
    <w:p w14:paraId="35097BB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FF0D4A6">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14:paraId="741D9136">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残疾人居家灵活就业（创业）补助和直补经费财政拨款</w:t>
      </w:r>
      <w:r>
        <w:rPr>
          <w:rFonts w:hint="eastAsia" w:ascii="仿宋_GB2312" w:hAnsi="宋体" w:eastAsia="仿宋_GB2312"/>
          <w:sz w:val="32"/>
          <w:szCs w:val="32"/>
        </w:rPr>
        <w:t>2021年预算254万元，属本级人民政府预算专项资金，经市人代会会议结束后到位，到位率100%。</w:t>
      </w:r>
    </w:p>
    <w:p w14:paraId="7ED08064">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（二）资金计划、到位及使用情况（可用表格形式反映）</w:t>
      </w:r>
    </w:p>
    <w:p w14:paraId="5B0C9F16">
      <w:pPr>
        <w:adjustRightInd w:val="0"/>
        <w:snapToGrid w:val="0"/>
        <w:spacing w:line="600" w:lineRule="exact"/>
        <w:ind w:firstLine="640" w:firstLineChars="20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我会残疾人居家灵活就业（创业）补助和直补经费254万元，使用率100%，用于残疾人就业创业直补。</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14:paraId="123CFC13">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14:paraId="717C8BF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14:paraId="34016F6F">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4ADB575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188CF6A">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（一）制定方案，深入宣传，自愿申报，审核通过，一卡通平台资金发放。</w:t>
      </w:r>
    </w:p>
    <w:p w14:paraId="0A6320B3">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14:paraId="02D1D44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残疾人自愿申报，村（社区）初审，乡镇（街道）复审，市残联一卡通平台终审。</w:t>
      </w:r>
    </w:p>
    <w:p w14:paraId="00D36DE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14:paraId="77AACF8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市残联对申报的残疾人居家灵活就业创业进行入户核实。</w:t>
      </w:r>
    </w:p>
    <w:p w14:paraId="751387D4">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10EFD05F">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14:paraId="0F00A9B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我会对全市范围内自愿申请并符合条件的居家灵活就业（创业）残疾人进行补助。</w:t>
      </w:r>
    </w:p>
    <w:p w14:paraId="14C4532F">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14:paraId="58CDFC1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w:t>
      </w:r>
      <w:r>
        <w:rPr>
          <w:rFonts w:hint="eastAsia" w:ascii="仿宋_GB2312" w:hAnsi="宋体" w:eastAsia="仿宋_GB2312"/>
          <w:sz w:val="32"/>
          <w:szCs w:val="32"/>
          <w:lang w:val="zh-CN"/>
        </w:rPr>
        <w:t>提高残疾人就业率，增加残疾人社会参与度，帮助残疾人增收。</w:t>
      </w:r>
    </w:p>
    <w:p w14:paraId="7157A1F9">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53B3457">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3B7480BC">
      <w:pPr>
        <w:pStyle w:val="2"/>
        <w:spacing w:before="93"/>
        <w:ind w:firstLine="600" w:firstLineChars="200"/>
      </w:pPr>
      <w:r>
        <w:rPr>
          <w:rFonts w:hint="eastAsia"/>
          <w:szCs w:val="30"/>
        </w:rPr>
        <w:t>通过项目绩效管理自评，该项目在支出中不存在违法违纪行为，按时完成年初绩效目标，提高残疾人就业创业积极性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14:paraId="3D1EC10A">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14:paraId="502ACEDC">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残疾人本身就业率不高，积极性有待提高。</w:t>
      </w:r>
      <w:r>
        <w:rPr>
          <w:rFonts w:hint="eastAsia" w:ascii="仿宋_GB2312" w:hAnsi="宋体" w:eastAsia="仿宋_GB2312"/>
          <w:sz w:val="32"/>
          <w:szCs w:val="32"/>
          <w:lang w:val="zh-CN"/>
        </w:rPr>
        <w:tab/>
      </w:r>
    </w:p>
    <w:p w14:paraId="5EFB0FD3">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14:paraId="34A6ADD3">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认真做好残疾人就业宣传工作，提高残疾人就业积极性。</w:t>
      </w:r>
    </w:p>
    <w:p w14:paraId="510D54F1">
      <w:pPr>
        <w:pStyle w:val="2"/>
        <w:rPr>
          <w:lang w:val="zh-CN"/>
        </w:rPr>
      </w:pPr>
    </w:p>
    <w:p w14:paraId="1A3CDF03">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0F8EC6AF">
      <w:pPr>
        <w:pStyle w:val="2"/>
        <w:spacing w:before="93" w:line="600" w:lineRule="exact"/>
        <w:rPr>
          <w:rFonts w:ascii="宋体" w:hAnsi="宋体" w:cs="宋体"/>
          <w:b/>
          <w:sz w:val="32"/>
          <w:szCs w:val="32"/>
        </w:rPr>
      </w:pPr>
    </w:p>
    <w:p w14:paraId="41D7507D">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06DAE442">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351ABE36">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1C0C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8AD9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93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4C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14:paraId="59D9CF3A">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A78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2D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491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3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4A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r>
      <w:tr w14:paraId="12311868">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B86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DF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A2D948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2F6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AF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B1182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207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r>
      <w:tr w14:paraId="36B2B111">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7BB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921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A41">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D23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3D43">
            <w:pPr>
              <w:widowControl/>
              <w:spacing w:line="320" w:lineRule="exact"/>
              <w:jc w:val="center"/>
              <w:textAlignment w:val="center"/>
              <w:rPr>
                <w:rFonts w:ascii="仿宋_GB2312" w:hAnsi="仿宋_GB2312" w:eastAsia="仿宋_GB2312" w:cs="仿宋_GB2312"/>
                <w:sz w:val="28"/>
                <w:szCs w:val="28"/>
              </w:rPr>
            </w:pPr>
          </w:p>
        </w:tc>
      </w:tr>
      <w:tr w14:paraId="172610C5">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ACC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60F764C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4C0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54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1B243E9E">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54CF">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3C5F">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为全市2540残疾人提供直补</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947BC">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为全市2540残疾人提供直补</w:t>
            </w:r>
          </w:p>
        </w:tc>
      </w:tr>
      <w:tr w14:paraId="50894318">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23D9EF4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296AE36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5A25FC4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B6C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7852F15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E2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4164CA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504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EA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487B03A">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26B105CC">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E66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D5F1F9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41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69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补贴人数2540人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E3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2540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50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2540</w:t>
            </w:r>
          </w:p>
        </w:tc>
      </w:tr>
      <w:tr w14:paraId="019DF84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B287308">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AF8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8B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816F">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18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4CE4">
            <w:pPr>
              <w:widowControl/>
              <w:spacing w:line="320" w:lineRule="exact"/>
              <w:jc w:val="center"/>
              <w:textAlignment w:val="bottom"/>
              <w:rPr>
                <w:rFonts w:ascii="仿宋_GB2312" w:hAnsi="仿宋_GB2312" w:eastAsia="仿宋_GB2312" w:cs="仿宋_GB2312"/>
                <w:sz w:val="28"/>
                <w:szCs w:val="28"/>
              </w:rPr>
            </w:pPr>
          </w:p>
        </w:tc>
      </w:tr>
      <w:tr w14:paraId="199F63AC">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4947DCE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DA0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50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6E6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70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4F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14:paraId="5BB0BC13">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695A6441">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F49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CAF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38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2A6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41D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r>
      <w:tr w14:paraId="1F85F7CD">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12A1E59B">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F98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117">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2C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15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09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53F89307">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EB0773A">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E2A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D7BA">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329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帮助残疾人就业和创业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6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A1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39A0502D">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1108F06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19B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858">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2F0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帮助残疾人增加社会参与度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B84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A8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2034F148">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755B734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F17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32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5EC">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DDC">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489">
            <w:pPr>
              <w:widowControl/>
              <w:spacing w:line="320" w:lineRule="exact"/>
              <w:jc w:val="center"/>
              <w:textAlignment w:val="bottom"/>
              <w:rPr>
                <w:rFonts w:ascii="仿宋_GB2312" w:hAnsi="仿宋_GB2312" w:eastAsia="仿宋_GB2312" w:cs="仿宋_GB2312"/>
                <w:sz w:val="28"/>
                <w:szCs w:val="28"/>
              </w:rPr>
            </w:pPr>
          </w:p>
        </w:tc>
      </w:tr>
      <w:tr w14:paraId="441DC3AC">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1634F070">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E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22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31F6DFA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5F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6F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8D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r>
    </w:tbl>
    <w:p w14:paraId="6459AF00">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6092806D">
      <w:pPr>
        <w:pStyle w:val="2"/>
        <w:spacing w:before="93"/>
      </w:pPr>
    </w:p>
    <w:p w14:paraId="2AFAB541">
      <w:pPr>
        <w:pStyle w:val="2"/>
        <w:spacing w:before="93"/>
      </w:pPr>
    </w:p>
    <w:p w14:paraId="0590B47F">
      <w:pPr>
        <w:pStyle w:val="2"/>
        <w:spacing w:before="93"/>
      </w:pPr>
    </w:p>
    <w:p w14:paraId="148B4C00">
      <w:pPr>
        <w:pStyle w:val="2"/>
        <w:spacing w:before="93"/>
      </w:pPr>
    </w:p>
    <w:p w14:paraId="7061979A">
      <w:pPr>
        <w:pStyle w:val="2"/>
        <w:spacing w:before="93"/>
      </w:pPr>
    </w:p>
    <w:p w14:paraId="75863F9D">
      <w:pPr>
        <w:pStyle w:val="2"/>
        <w:spacing w:before="93"/>
      </w:pPr>
    </w:p>
    <w:p w14:paraId="57C48651">
      <w:pPr>
        <w:spacing w:line="600" w:lineRule="exact"/>
        <w:jc w:val="left"/>
        <w:rPr>
          <w:rFonts w:ascii="仿宋_GB2312" w:eastAsia="仿宋_GB2312"/>
          <w:kern w:val="0"/>
          <w:sz w:val="30"/>
        </w:rPr>
      </w:pPr>
    </w:p>
    <w:p w14:paraId="5C0362ED">
      <w:pPr>
        <w:pStyle w:val="2"/>
      </w:pPr>
    </w:p>
    <w:p w14:paraId="0F168A1A">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附件2</w:t>
      </w:r>
    </w:p>
    <w:p w14:paraId="747F5551">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市残联实物扶助贫困残疾人发展生产项目绩效评价报告</w:t>
      </w:r>
    </w:p>
    <w:p w14:paraId="066F0CD6">
      <w:pPr>
        <w:spacing w:line="600" w:lineRule="exact"/>
        <w:ind w:firstLine="640"/>
        <w:jc w:val="center"/>
        <w:rPr>
          <w:rFonts w:ascii="宋体" w:hAnsi="宋体"/>
          <w:sz w:val="32"/>
          <w:szCs w:val="32"/>
          <w:lang w:val="zh-CN"/>
        </w:rPr>
      </w:pPr>
    </w:p>
    <w:p w14:paraId="0B78024A">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A2E76AA">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57A6CFD7">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采取实物扶持、基地扶持、技术培训、部门帮扶、专合组织扶持等方式，千方百计帮助农村贫困残疾人发展生产。扶持经费用于实物扶持、实用技术培训等。</w:t>
      </w:r>
    </w:p>
    <w:p w14:paraId="3755497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2．峨眉山市残疾人联合会根据乐山市惠残助残政策制定的常年项目。</w:t>
      </w:r>
    </w:p>
    <w:p w14:paraId="32578B23">
      <w:pPr>
        <w:snapToGrid w:val="0"/>
        <w:spacing w:line="576" w:lineRule="exact"/>
        <w:ind w:firstLine="480" w:firstLineChars="150"/>
        <w:rPr>
          <w:rFonts w:ascii="仿宋_GB2312" w:eastAsia="仿宋_GB2312"/>
          <w:color w:val="000000"/>
          <w:spacing w:val="14"/>
          <w:sz w:val="32"/>
          <w:szCs w:val="32"/>
        </w:rPr>
      </w:pPr>
      <w:r>
        <w:rPr>
          <w:rFonts w:hint="eastAsia" w:ascii="仿宋_GB2312" w:hAnsi="宋体" w:eastAsia="仿宋_GB2312"/>
          <w:sz w:val="32"/>
          <w:szCs w:val="32"/>
          <w:lang w:val="zh-CN"/>
        </w:rPr>
        <w:t>3．对</w:t>
      </w:r>
      <w:r>
        <w:rPr>
          <w:rFonts w:hint="eastAsia" w:ascii="仿宋_GB2312" w:eastAsia="仿宋_GB2312"/>
          <w:color w:val="000000"/>
          <w:spacing w:val="14"/>
          <w:sz w:val="32"/>
          <w:szCs w:val="32"/>
        </w:rPr>
        <w:t>具有峨眉山市户籍，持有第二代《中华人民共和国残疾人证》，年满16周岁以上的农村困</w:t>
      </w:r>
      <w:r>
        <w:rPr>
          <w:rFonts w:hint="eastAsia" w:ascii="仿宋_GB2312" w:eastAsia="仿宋_GB2312"/>
          <w:color w:val="000000"/>
          <w:spacing w:val="14"/>
          <w:sz w:val="32"/>
          <w:szCs w:val="32"/>
          <w:lang w:val="en-US" w:eastAsia="zh-CN"/>
        </w:rPr>
        <w:t>难</w:t>
      </w:r>
      <w:r>
        <w:rPr>
          <w:rFonts w:hint="eastAsia" w:ascii="仿宋_GB2312" w:eastAsia="仿宋_GB2312"/>
          <w:color w:val="000000"/>
          <w:spacing w:val="14"/>
          <w:sz w:val="32"/>
          <w:szCs w:val="32"/>
        </w:rPr>
        <w:t>残疾人，帮助其发展生产。</w:t>
      </w:r>
    </w:p>
    <w:p w14:paraId="6688F67E">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14:paraId="63BCF577">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eastAsia="仿宋_GB2312"/>
          <w:bCs/>
          <w:sz w:val="32"/>
          <w:szCs w:val="32"/>
        </w:rPr>
        <w:t>帮助农村困</w:t>
      </w:r>
      <w:r>
        <w:rPr>
          <w:rFonts w:hint="eastAsia" w:ascii="仿宋_GB2312" w:eastAsia="仿宋_GB2312"/>
          <w:bCs/>
          <w:sz w:val="32"/>
          <w:szCs w:val="32"/>
          <w:lang w:val="en-US" w:eastAsia="zh-CN"/>
        </w:rPr>
        <w:t>难</w:t>
      </w:r>
      <w:r>
        <w:rPr>
          <w:rFonts w:hint="eastAsia" w:ascii="仿宋_GB2312" w:eastAsia="仿宋_GB2312"/>
          <w:bCs/>
          <w:sz w:val="32"/>
          <w:szCs w:val="32"/>
        </w:rPr>
        <w:t>残疾人发展生产。</w:t>
      </w:r>
      <w:r>
        <w:rPr>
          <w:rFonts w:ascii="仿宋_GB2312" w:hAnsi="宋体" w:eastAsia="仿宋_GB2312"/>
          <w:sz w:val="32"/>
          <w:szCs w:val="32"/>
          <w:lang w:val="zh-CN"/>
        </w:rPr>
        <w:tab/>
      </w:r>
    </w:p>
    <w:p w14:paraId="178B813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2．通过预算编制，规划绩效目标：紧紧围绕以帮助残疾人增收为目标，鼓励残疾人发展生产，自力更生。</w:t>
      </w:r>
    </w:p>
    <w:p w14:paraId="4685C178">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申报内容与实际相符，申报目标合理可行。通过</w:t>
      </w:r>
      <w:r>
        <w:rPr>
          <w:rFonts w:hint="eastAsia" w:ascii="仿宋_GB2312" w:hAnsi="宋体" w:eastAsia="仿宋_GB2312"/>
          <w:sz w:val="32"/>
          <w:szCs w:val="32"/>
          <w:lang w:val="en-US" w:eastAsia="zh-CN"/>
        </w:rPr>
        <w:t>实物扶持、技术培训</w:t>
      </w:r>
      <w:r>
        <w:rPr>
          <w:rFonts w:hint="eastAsia" w:ascii="仿宋_GB2312" w:hAnsi="宋体" w:eastAsia="仿宋_GB2312"/>
          <w:sz w:val="32"/>
          <w:szCs w:val="32"/>
          <w:lang w:val="zh-CN"/>
        </w:rPr>
        <w:t>，对申报并符合条件的残疾人进行</w:t>
      </w:r>
      <w:r>
        <w:rPr>
          <w:rFonts w:hint="eastAsia" w:ascii="仿宋_GB2312" w:hAnsi="宋体" w:eastAsia="仿宋_GB2312"/>
          <w:sz w:val="32"/>
          <w:szCs w:val="32"/>
          <w:lang w:val="en-US" w:eastAsia="zh-CN"/>
        </w:rPr>
        <w:t>扶持</w:t>
      </w:r>
      <w:r>
        <w:rPr>
          <w:rFonts w:hint="eastAsia" w:ascii="仿宋_GB2312" w:hAnsi="宋体" w:eastAsia="仿宋_GB2312"/>
          <w:sz w:val="32"/>
          <w:szCs w:val="32"/>
          <w:lang w:val="zh-CN"/>
        </w:rPr>
        <w:t>。</w:t>
      </w:r>
    </w:p>
    <w:p w14:paraId="11EF493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D5841E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14:paraId="79466FED">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实物扶助贫困残疾人发展生产经费财政拨款</w:t>
      </w:r>
      <w:r>
        <w:rPr>
          <w:rFonts w:hint="eastAsia" w:ascii="仿宋_GB2312" w:hAnsi="宋体" w:eastAsia="仿宋_GB2312"/>
          <w:sz w:val="32"/>
          <w:szCs w:val="32"/>
        </w:rPr>
        <w:t>2021年预算95.76万元，属本级人民政府预算专项资金，经市人代会会议结束后到位，到位率100%。</w:t>
      </w:r>
    </w:p>
    <w:p w14:paraId="3C9B4AE2">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（二）资金计划、到位及使用情况（可用表格形式反映）</w:t>
      </w:r>
    </w:p>
    <w:p w14:paraId="70202FAA">
      <w:pPr>
        <w:adjustRightInd w:val="0"/>
        <w:snapToGrid w:val="0"/>
        <w:spacing w:line="600" w:lineRule="exact"/>
        <w:ind w:firstLine="640" w:firstLineChars="200"/>
        <w:rPr>
          <w:rFonts w:ascii="仿宋_GB2312" w:hAnsi="宋体" w:eastAsia="仿宋_GB2312"/>
          <w:sz w:val="32"/>
          <w:szCs w:val="32"/>
        </w:rPr>
      </w:pP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我会残实物扶助贫困残疾人发展生产经费95.76万元，使用率100%，用于帮助残疾人发展生产。</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14:paraId="10D48FA7">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14:paraId="4FDED51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14:paraId="037EE1E1">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1022B29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2FBBEBE2">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（一）调查研究，制定方案，深入宣传，自愿申报，审核通过，实物采购，发放到人。</w:t>
      </w:r>
    </w:p>
    <w:p w14:paraId="5D13C950">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14:paraId="743A8AF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残疾人自愿申报，村（社区）初审，乡镇（街道）复审，市残联同意采购，发放到残疾人。</w:t>
      </w:r>
    </w:p>
    <w:p w14:paraId="19BDD78B">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14:paraId="7B30C0B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市残联对申报的实物扶助发展生产的残疾人，在后续过程中进行跟踪调查。</w:t>
      </w:r>
    </w:p>
    <w:p w14:paraId="0BBACA17">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637F915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14:paraId="5D28089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我会对全市范围内申请并符合条件的残疾人进行补助。</w:t>
      </w:r>
    </w:p>
    <w:p w14:paraId="02E61C8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14:paraId="14775D3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w:t>
      </w:r>
      <w:r>
        <w:rPr>
          <w:rFonts w:hint="eastAsia" w:ascii="仿宋_GB2312" w:hAnsi="宋体" w:eastAsia="仿宋_GB2312"/>
          <w:sz w:val="32"/>
          <w:szCs w:val="32"/>
          <w:lang w:val="zh-CN"/>
        </w:rPr>
        <w:t>提高残疾人就业率，增加残疾人社会参与度，帮助残疾人增收。</w:t>
      </w:r>
    </w:p>
    <w:p w14:paraId="004A925E">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6C184880">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26CAFBDF">
      <w:pPr>
        <w:pStyle w:val="2"/>
        <w:spacing w:before="93"/>
        <w:ind w:firstLine="600" w:firstLineChars="200"/>
      </w:pPr>
      <w:r>
        <w:rPr>
          <w:rFonts w:hint="eastAsia"/>
          <w:szCs w:val="30"/>
        </w:rPr>
        <w:t>通过项目绩效管理自评，该项目在支出中不存在违法违纪行为，按时完成年初绩效目标，提高残疾人</w:t>
      </w:r>
      <w:r>
        <w:rPr>
          <w:rFonts w:hint="eastAsia"/>
          <w:szCs w:val="30"/>
          <w:lang w:val="en-US" w:eastAsia="zh-CN"/>
        </w:rPr>
        <w:t>发展生产</w:t>
      </w:r>
      <w:r>
        <w:rPr>
          <w:rFonts w:hint="eastAsia"/>
          <w:szCs w:val="30"/>
        </w:rPr>
        <w:t>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14:paraId="07909BB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14:paraId="404F5A65">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w:t>
      </w:r>
      <w:r>
        <w:rPr>
          <w:rFonts w:hint="eastAsia" w:ascii="仿宋_GB2312" w:hAnsi="宋体" w:eastAsia="仿宋_GB2312"/>
          <w:sz w:val="32"/>
          <w:szCs w:val="32"/>
          <w:lang w:val="en-US" w:eastAsia="zh-CN"/>
        </w:rPr>
        <w:t>受</w:t>
      </w:r>
      <w:r>
        <w:rPr>
          <w:rFonts w:hint="eastAsia" w:ascii="仿宋_GB2312" w:hAnsi="宋体" w:eastAsia="仿宋_GB2312"/>
          <w:sz w:val="32"/>
          <w:szCs w:val="32"/>
          <w:lang w:val="zh-CN"/>
        </w:rPr>
        <w:t>本身</w:t>
      </w:r>
      <w:r>
        <w:rPr>
          <w:rFonts w:hint="eastAsia" w:ascii="仿宋_GB2312" w:hAnsi="宋体" w:eastAsia="仿宋_GB2312"/>
          <w:sz w:val="32"/>
          <w:szCs w:val="32"/>
          <w:lang w:val="en-US" w:eastAsia="zh-CN"/>
        </w:rPr>
        <w:t>劳动能力影响</w:t>
      </w:r>
      <w:r>
        <w:rPr>
          <w:rFonts w:hint="eastAsia" w:ascii="仿宋_GB2312" w:hAnsi="宋体" w:eastAsia="仿宋_GB2312"/>
          <w:sz w:val="32"/>
          <w:szCs w:val="32"/>
          <w:lang w:val="zh-CN"/>
        </w:rPr>
        <w:t>，积极性有待提高。</w:t>
      </w:r>
      <w:r>
        <w:rPr>
          <w:rFonts w:hint="eastAsia" w:ascii="仿宋_GB2312" w:hAnsi="宋体" w:eastAsia="仿宋_GB2312"/>
          <w:sz w:val="32"/>
          <w:szCs w:val="32"/>
          <w:lang w:val="zh-CN"/>
        </w:rPr>
        <w:tab/>
      </w:r>
    </w:p>
    <w:p w14:paraId="4643D962">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14:paraId="7A3A2651">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认真做好残疾人</w:t>
      </w:r>
      <w:r>
        <w:rPr>
          <w:rFonts w:hint="eastAsia" w:ascii="仿宋_GB2312" w:hAnsi="宋体" w:eastAsia="仿宋_GB2312"/>
          <w:sz w:val="32"/>
          <w:szCs w:val="32"/>
          <w:lang w:val="en-US" w:eastAsia="zh-CN"/>
        </w:rPr>
        <w:t>发展生产</w:t>
      </w:r>
      <w:r>
        <w:rPr>
          <w:rFonts w:hint="eastAsia" w:ascii="仿宋_GB2312" w:hAnsi="宋体" w:eastAsia="仿宋_GB2312"/>
          <w:sz w:val="32"/>
          <w:szCs w:val="32"/>
          <w:lang w:val="zh-CN"/>
        </w:rPr>
        <w:t>工作，提高残疾人</w:t>
      </w:r>
      <w:r>
        <w:rPr>
          <w:rFonts w:hint="eastAsia" w:ascii="仿宋_GB2312" w:hAnsi="宋体" w:eastAsia="仿宋_GB2312"/>
          <w:sz w:val="32"/>
          <w:szCs w:val="32"/>
          <w:lang w:val="en-US" w:eastAsia="zh-CN"/>
        </w:rPr>
        <w:t>发展生产</w:t>
      </w:r>
      <w:r>
        <w:rPr>
          <w:rFonts w:hint="eastAsia" w:ascii="仿宋_GB2312" w:hAnsi="宋体" w:eastAsia="仿宋_GB2312"/>
          <w:sz w:val="32"/>
          <w:szCs w:val="32"/>
          <w:lang w:val="zh-CN"/>
        </w:rPr>
        <w:t>积极性。</w:t>
      </w:r>
    </w:p>
    <w:p w14:paraId="53C80F69">
      <w:pPr>
        <w:pStyle w:val="2"/>
        <w:rPr>
          <w:rFonts w:hint="eastAsia" w:ascii="仿宋_GB2312" w:hAnsi="宋体" w:eastAsia="仿宋_GB2312"/>
          <w:sz w:val="32"/>
          <w:szCs w:val="32"/>
          <w:lang w:val="zh-CN"/>
        </w:rPr>
      </w:pPr>
    </w:p>
    <w:p w14:paraId="24BE4E42">
      <w:pPr>
        <w:pStyle w:val="2"/>
        <w:rPr>
          <w:rFonts w:hint="eastAsia" w:ascii="仿宋_GB2312" w:hAnsi="宋体" w:eastAsia="仿宋_GB2312"/>
          <w:sz w:val="32"/>
          <w:szCs w:val="32"/>
          <w:lang w:val="zh-CN"/>
        </w:rPr>
      </w:pPr>
    </w:p>
    <w:p w14:paraId="1B4CEA72">
      <w:pPr>
        <w:pStyle w:val="2"/>
        <w:rPr>
          <w:rFonts w:hint="eastAsia" w:ascii="仿宋_GB2312" w:hAnsi="宋体" w:eastAsia="仿宋_GB2312"/>
          <w:sz w:val="32"/>
          <w:szCs w:val="32"/>
          <w:lang w:val="zh-CN"/>
        </w:rPr>
      </w:pPr>
    </w:p>
    <w:p w14:paraId="1DB8074C">
      <w:pPr>
        <w:pStyle w:val="2"/>
        <w:rPr>
          <w:rFonts w:hint="eastAsia" w:ascii="仿宋_GB2312" w:hAnsi="宋体" w:eastAsia="仿宋_GB2312"/>
          <w:sz w:val="32"/>
          <w:szCs w:val="32"/>
          <w:lang w:val="zh-CN"/>
        </w:rPr>
      </w:pPr>
    </w:p>
    <w:p w14:paraId="1602562C">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14:paraId="0FF614EA">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1DB185AF">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50A977B4">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9B6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E6BE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9F5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5B8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14:paraId="14922499">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2B0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1F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68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95.76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5D6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D7A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r>
      <w:tr w14:paraId="0390460D">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214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94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ED7E0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F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C0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224CA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E30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r>
      <w:tr w14:paraId="5A4B05F4">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6BE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008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63E9">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325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D0CB">
            <w:pPr>
              <w:widowControl/>
              <w:spacing w:line="320" w:lineRule="exact"/>
              <w:jc w:val="center"/>
              <w:textAlignment w:val="center"/>
              <w:rPr>
                <w:rFonts w:ascii="仿宋_GB2312" w:hAnsi="仿宋_GB2312" w:eastAsia="仿宋_GB2312" w:cs="仿宋_GB2312"/>
                <w:sz w:val="28"/>
                <w:szCs w:val="28"/>
              </w:rPr>
            </w:pPr>
          </w:p>
        </w:tc>
      </w:tr>
      <w:tr w14:paraId="71E85F4E">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C05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789303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059C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09F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14DD59A">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A099">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1AA58">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为全市504户残疾人提供实物扶助</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387A3">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为全市504户残疾人提供实物扶助</w:t>
            </w:r>
          </w:p>
        </w:tc>
      </w:tr>
      <w:tr w14:paraId="3751E74C">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4108267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4C90FF9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8215DC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A08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201746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0E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355F20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4C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EDF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706A2919">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602549A9">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0A61C">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8EA09D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0B0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CB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2D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F9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r>
      <w:tr w14:paraId="248203C1">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451220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DAA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4E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4F46">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A85">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01B">
            <w:pPr>
              <w:widowControl/>
              <w:spacing w:line="320" w:lineRule="exact"/>
              <w:jc w:val="center"/>
              <w:textAlignment w:val="bottom"/>
              <w:rPr>
                <w:rFonts w:ascii="仿宋_GB2312" w:hAnsi="仿宋_GB2312" w:eastAsia="仿宋_GB2312" w:cs="仿宋_GB2312"/>
                <w:sz w:val="28"/>
                <w:szCs w:val="28"/>
              </w:rPr>
            </w:pPr>
          </w:p>
        </w:tc>
      </w:tr>
      <w:tr w14:paraId="49004FE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061462CD">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02E3">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3FF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7D9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4AA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9BB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14:paraId="07CB1129">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0DCAA8F0">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F6E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BE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08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不高于1900元/人/年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79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1不高于1900元/人/年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83E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不高于1900元/人/年</w:t>
            </w:r>
          </w:p>
        </w:tc>
      </w:tr>
      <w:tr w14:paraId="6AA0B76B">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1E35A144">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7CB1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504E">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DB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70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7E1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497BFCFA">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E83C87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A4C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90E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C0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帮助残疾人就业和创业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94A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F19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20AE9AA8">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0F844FB8">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8E2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C29">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1EB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帮助残疾人增加社会参与度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8C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8A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14:paraId="28B89B29">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40C0E2E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F8E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237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16C9">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87E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70A5">
            <w:pPr>
              <w:widowControl/>
              <w:spacing w:line="320" w:lineRule="exact"/>
              <w:jc w:val="center"/>
              <w:textAlignment w:val="bottom"/>
              <w:rPr>
                <w:rFonts w:ascii="仿宋_GB2312" w:hAnsi="仿宋_GB2312" w:eastAsia="仿宋_GB2312" w:cs="仿宋_GB2312"/>
                <w:sz w:val="28"/>
                <w:szCs w:val="28"/>
              </w:rPr>
            </w:pPr>
          </w:p>
        </w:tc>
      </w:tr>
      <w:tr w14:paraId="199F2811">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48FDC665">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C94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88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1F1E3D0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2D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62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20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r>
    </w:tbl>
    <w:p w14:paraId="573BD799">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5DD69F48">
      <w:pPr>
        <w:pStyle w:val="2"/>
        <w:spacing w:before="93"/>
      </w:pPr>
    </w:p>
    <w:p w14:paraId="31A38BD9">
      <w:pPr>
        <w:pStyle w:val="2"/>
        <w:spacing w:before="93"/>
      </w:pPr>
    </w:p>
    <w:p w14:paraId="596C29F3">
      <w:pPr>
        <w:pStyle w:val="2"/>
        <w:spacing w:before="93"/>
      </w:pPr>
    </w:p>
    <w:p w14:paraId="6E211F3D">
      <w:pPr>
        <w:pStyle w:val="2"/>
        <w:spacing w:before="93"/>
      </w:pPr>
    </w:p>
    <w:p w14:paraId="31BF542C">
      <w:pPr>
        <w:pStyle w:val="2"/>
        <w:spacing w:before="93"/>
      </w:pPr>
    </w:p>
    <w:p w14:paraId="16A12FD0">
      <w:pPr>
        <w:pStyle w:val="2"/>
        <w:spacing w:before="93"/>
      </w:pPr>
    </w:p>
    <w:p w14:paraId="1399E063">
      <w:pPr>
        <w:pStyle w:val="2"/>
        <w:spacing w:before="93"/>
      </w:pPr>
    </w:p>
    <w:p w14:paraId="466348CA">
      <w:pPr>
        <w:pStyle w:val="2"/>
      </w:pPr>
    </w:p>
    <w:p w14:paraId="16416F02">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附件3</w:t>
      </w:r>
    </w:p>
    <w:p w14:paraId="028F180C">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市残联村（社区）专委补贴项目</w:t>
      </w:r>
    </w:p>
    <w:p w14:paraId="469B57CA">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绩效评价报告</w:t>
      </w:r>
    </w:p>
    <w:p w14:paraId="53ECAE58">
      <w:pPr>
        <w:spacing w:line="600" w:lineRule="exact"/>
        <w:ind w:firstLine="640"/>
        <w:jc w:val="center"/>
        <w:rPr>
          <w:rFonts w:ascii="宋体" w:hAnsi="宋体"/>
          <w:sz w:val="32"/>
          <w:szCs w:val="32"/>
          <w:lang w:val="zh-CN"/>
        </w:rPr>
      </w:pPr>
    </w:p>
    <w:p w14:paraId="4307EEA4">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F148ADC">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17326F52">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为我市村村（社区）专职和兼职委员进行补贴。</w:t>
      </w:r>
    </w:p>
    <w:p w14:paraId="32531F8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2．峨眉山市残疾人联合会根据川残发【2018】1号文件制定的常年项目。</w:t>
      </w:r>
    </w:p>
    <w:p w14:paraId="7CC6E440">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14:paraId="108938AC">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eastAsia="仿宋_GB2312"/>
          <w:bCs/>
          <w:sz w:val="32"/>
          <w:szCs w:val="32"/>
        </w:rPr>
        <w:t>为加强基层残疾人组织和工作队伍建设，为村（社区）配备专（兼）支委员。</w:t>
      </w:r>
      <w:r>
        <w:rPr>
          <w:rFonts w:ascii="仿宋_GB2312" w:hAnsi="宋体" w:eastAsia="仿宋_GB2312"/>
          <w:sz w:val="32"/>
          <w:szCs w:val="32"/>
          <w:lang w:val="zh-CN"/>
        </w:rPr>
        <w:tab/>
      </w:r>
    </w:p>
    <w:p w14:paraId="0D918ED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2．通过预算编制，规划绩效目标：有残疾或者亲属残疾，有工作能力，愿意为残疾人事业发展做贡献的在村（社区）的残疾工作者，将其纳入残疾人公益性岗位管理。</w:t>
      </w:r>
    </w:p>
    <w:p w14:paraId="28A1C7CE">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申报内容与实际相符，申报目标合理可行。对自愿申报并符合条件的，愿意为村（社区）残疾人事业发展贡献的。</w:t>
      </w:r>
    </w:p>
    <w:p w14:paraId="16E9AA5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2F3E4EB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14:paraId="68B3BF58">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村（社区）残疾人专（兼）职委员项目财政拨款</w:t>
      </w:r>
      <w:r>
        <w:rPr>
          <w:rFonts w:hint="eastAsia" w:ascii="仿宋_GB2312" w:hAnsi="宋体" w:eastAsia="仿宋_GB2312"/>
          <w:sz w:val="32"/>
          <w:szCs w:val="32"/>
        </w:rPr>
        <w:t>2021年预算55.08万元，属本级人民政府预算专项资金，经市人代会会议结束后到位，到位率100%。</w:t>
      </w:r>
    </w:p>
    <w:p w14:paraId="4BEB2B33">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（二）资金使用情况</w:t>
      </w:r>
    </w:p>
    <w:p w14:paraId="19D8605D">
      <w:pPr>
        <w:adjustRightInd w:val="0"/>
        <w:snapToGrid w:val="0"/>
        <w:spacing w:line="600" w:lineRule="exact"/>
        <w:ind w:firstLine="320" w:firstLineChars="100"/>
        <w:rPr>
          <w:rFonts w:ascii="仿宋_GB2312" w:hAnsi="宋体" w:eastAsia="仿宋_GB2312"/>
          <w:sz w:val="32"/>
          <w:szCs w:val="32"/>
        </w:rPr>
      </w:pPr>
      <w:r>
        <w:rPr>
          <w:rFonts w:hint="eastAsia" w:ascii="仿宋_GB2312" w:hAnsi="宋体" w:eastAsia="仿宋_GB2312"/>
          <w:sz w:val="32"/>
          <w:szCs w:val="32"/>
          <w:lang w:val="zh-CN"/>
        </w:rPr>
        <w:t>村（社区）残疾人专（兼）职委员项目55.08万元，使用率100%，用于帮助残疾人发展残疾人事业。</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14:paraId="5FED58C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14:paraId="2C4F178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14:paraId="7D4FC346">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1094C8D6">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（一）调查研究，制定方案，深入宣传，自愿申报，乡镇审核通过，。</w:t>
      </w:r>
    </w:p>
    <w:p w14:paraId="6411E81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14:paraId="48DA192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残疾人自愿申报，乡镇审核管理使用。</w:t>
      </w:r>
    </w:p>
    <w:p w14:paraId="3BD31A42">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14:paraId="2E5F9F3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市残联对全市村（社区）残疾人专（兼）职委员，通过乡镇考察使用，向残联申报资金，市残联根据实际情况拨付补贴到乡镇（街道）。</w:t>
      </w:r>
    </w:p>
    <w:p w14:paraId="5698A61C">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24BDA029">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14:paraId="5F98B76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我会对全市范围内自愿申请并符合条件成为专（兼）职委员的残疾人或亲属进行补贴，300元/人/月。</w:t>
      </w:r>
    </w:p>
    <w:p w14:paraId="1B6D53B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14:paraId="319281D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市残联通过该项目帮助残疾人就业，建设残疾人基层组织</w:t>
      </w:r>
      <w:r>
        <w:rPr>
          <w:rFonts w:hint="eastAsia" w:ascii="仿宋_GB2312" w:hAnsi="宋体" w:eastAsia="仿宋_GB2312"/>
          <w:sz w:val="32"/>
          <w:szCs w:val="32"/>
          <w:lang w:val="zh-CN"/>
        </w:rPr>
        <w:t>。</w:t>
      </w:r>
    </w:p>
    <w:p w14:paraId="795051C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6BC3841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0B9852B4">
      <w:pPr>
        <w:pStyle w:val="2"/>
        <w:spacing w:before="93"/>
        <w:ind w:firstLine="600" w:firstLineChars="200"/>
      </w:pPr>
      <w:r>
        <w:rPr>
          <w:rFonts w:hint="eastAsia"/>
          <w:szCs w:val="30"/>
        </w:rPr>
        <w:t>通过项目绩效管理自评，该项目在支出中不存在违法违纪行为，按时完成年初绩效目标</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14:paraId="660450F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14:paraId="373EF3FE">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残疾人对残疾人事业不重视，不注重残疾人基层组织建设。</w:t>
      </w:r>
      <w:r>
        <w:rPr>
          <w:rFonts w:hint="eastAsia" w:ascii="仿宋_GB2312" w:hAnsi="宋体" w:eastAsia="仿宋_GB2312"/>
          <w:sz w:val="32"/>
          <w:szCs w:val="32"/>
          <w:lang w:val="zh-CN"/>
        </w:rPr>
        <w:tab/>
      </w:r>
    </w:p>
    <w:p w14:paraId="16E64C7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14:paraId="33F29861">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认真做好残疾人基层组织建设宣传，加强残疾人基层组织建设。</w:t>
      </w:r>
    </w:p>
    <w:p w14:paraId="0C1C45CC">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9F98641">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3F0F7632">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4BF237E6">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403ADBE">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725D0979">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5D8EF37">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6BA556BB">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46D194AF">
      <w:pPr>
        <w:pStyle w:val="2"/>
        <w:spacing w:before="93" w:line="600" w:lineRule="exact"/>
        <w:rPr>
          <w:rFonts w:ascii="宋体" w:hAnsi="宋体" w:cs="宋体"/>
          <w:b/>
          <w:sz w:val="32"/>
          <w:szCs w:val="32"/>
        </w:rPr>
      </w:pPr>
    </w:p>
    <w:p w14:paraId="55936158">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06A64706">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338E5C78">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029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367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D7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13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14:paraId="09D47A42">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6B4E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1BA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2B1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35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35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14:paraId="2D3CFD4C">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118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15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8CFC3C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17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EE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356E244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098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14:paraId="208E85D4">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4B0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08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BE6">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0F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263E">
            <w:pPr>
              <w:widowControl/>
              <w:spacing w:line="320" w:lineRule="exact"/>
              <w:jc w:val="center"/>
              <w:textAlignment w:val="center"/>
              <w:rPr>
                <w:rFonts w:ascii="仿宋_GB2312" w:hAnsi="仿宋_GB2312" w:eastAsia="仿宋_GB2312" w:cs="仿宋_GB2312"/>
                <w:sz w:val="28"/>
                <w:szCs w:val="28"/>
              </w:rPr>
            </w:pPr>
          </w:p>
        </w:tc>
      </w:tr>
      <w:tr w14:paraId="14A13577">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F430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06A00D4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B679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26A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14EDEE2">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2D2B">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74814">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为我市残疾人专（兼）职委员进行补贴</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46CCA">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为我市残疾人专（兼）职委员进行补贴</w:t>
            </w:r>
          </w:p>
        </w:tc>
      </w:tr>
      <w:tr w14:paraId="4D6FFDC9">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459FDB5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3BFA02D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531AD0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160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6A0E5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5DF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BB5621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42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E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3ABD87D">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5908E57E">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3A2C1">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609EF3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EEB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22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526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44B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r>
      <w:tr w14:paraId="6F8641ED">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9AA3AE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B9B2">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42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623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6D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79B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r>
      <w:tr w14:paraId="4282363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5D7C6215">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423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0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790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C9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4D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14:paraId="37AB7A09">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6F1290F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0433">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DBA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7E8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D10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4B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r>
      <w:tr w14:paraId="3B8991CE">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06391317">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255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AEE">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E99C">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393D">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8537">
            <w:pPr>
              <w:widowControl/>
              <w:spacing w:line="320" w:lineRule="exact"/>
              <w:jc w:val="center"/>
              <w:textAlignment w:val="bottom"/>
              <w:rPr>
                <w:rFonts w:ascii="仿宋_GB2312" w:hAnsi="仿宋_GB2312" w:eastAsia="仿宋_GB2312" w:cs="仿宋_GB2312"/>
                <w:sz w:val="28"/>
                <w:szCs w:val="28"/>
              </w:rPr>
            </w:pPr>
          </w:p>
        </w:tc>
      </w:tr>
      <w:tr w14:paraId="0D8317AD">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F27DA2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7CC4">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3FD">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A6E">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149">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A52A">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r>
      <w:tr w14:paraId="573FB770">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1548287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A86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EDAB">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A2C9">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3876">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1A9">
            <w:pPr>
              <w:widowControl/>
              <w:spacing w:line="320" w:lineRule="exact"/>
              <w:jc w:val="center"/>
              <w:textAlignment w:val="bottom"/>
              <w:rPr>
                <w:rFonts w:ascii="仿宋_GB2312" w:hAnsi="仿宋_GB2312" w:eastAsia="仿宋_GB2312" w:cs="仿宋_GB2312"/>
                <w:sz w:val="28"/>
                <w:szCs w:val="28"/>
              </w:rPr>
            </w:pPr>
          </w:p>
        </w:tc>
      </w:tr>
      <w:tr w14:paraId="00170F5D">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3797BAD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3AE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EEA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21E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76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92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r>
      <w:tr w14:paraId="4959086A">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46A6235A">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688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2ACC">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171DD2D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981">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943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A86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r>
    </w:tbl>
    <w:p w14:paraId="45B84D76">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63EF4D4C">
      <w:pPr>
        <w:spacing w:line="460" w:lineRule="exact"/>
        <w:rPr>
          <w:rFonts w:ascii="仿宋_GB2312" w:hAnsi="仿宋_GB2312" w:eastAsia="仿宋_GB2312" w:cs="仿宋_GB2312"/>
          <w:sz w:val="28"/>
          <w:szCs w:val="28"/>
        </w:rPr>
      </w:pPr>
    </w:p>
    <w:p w14:paraId="1610ADDC">
      <w:pPr>
        <w:spacing w:line="460" w:lineRule="exact"/>
        <w:rPr>
          <w:rFonts w:ascii="仿宋_GB2312" w:hAnsi="仿宋_GB2312" w:eastAsia="仿宋_GB2312" w:cs="仿宋_GB2312"/>
          <w:sz w:val="28"/>
          <w:szCs w:val="28"/>
        </w:rPr>
      </w:pPr>
    </w:p>
    <w:p w14:paraId="6A230F30">
      <w:pPr>
        <w:spacing w:line="460" w:lineRule="exact"/>
        <w:rPr>
          <w:rFonts w:ascii="仿宋_GB2312" w:hAnsi="仿宋_GB2312" w:eastAsia="仿宋_GB2312" w:cs="仿宋_GB2312"/>
          <w:sz w:val="28"/>
          <w:szCs w:val="28"/>
        </w:rPr>
      </w:pPr>
    </w:p>
    <w:p w14:paraId="3CE34D39">
      <w:pPr>
        <w:spacing w:line="460" w:lineRule="exact"/>
        <w:rPr>
          <w:rFonts w:ascii="仿宋_GB2312" w:hAnsi="仿宋_GB2312" w:eastAsia="仿宋_GB2312" w:cs="仿宋_GB2312"/>
          <w:sz w:val="28"/>
          <w:szCs w:val="28"/>
        </w:rPr>
      </w:pPr>
    </w:p>
    <w:p w14:paraId="36913587">
      <w:pPr>
        <w:spacing w:line="460" w:lineRule="exact"/>
        <w:rPr>
          <w:rFonts w:ascii="仿宋_GB2312" w:hAnsi="仿宋_GB2312" w:eastAsia="仿宋_GB2312" w:cs="仿宋_GB2312"/>
          <w:sz w:val="28"/>
          <w:szCs w:val="28"/>
        </w:rPr>
      </w:pPr>
    </w:p>
    <w:p w14:paraId="5555D3C9">
      <w:pPr>
        <w:spacing w:line="460" w:lineRule="exact"/>
        <w:rPr>
          <w:rFonts w:ascii="仿宋_GB2312" w:hAnsi="仿宋_GB2312" w:eastAsia="仿宋_GB2312" w:cs="仿宋_GB2312"/>
          <w:sz w:val="28"/>
          <w:szCs w:val="28"/>
        </w:rPr>
      </w:pPr>
    </w:p>
    <w:p w14:paraId="6BDB0100">
      <w:pPr>
        <w:spacing w:line="460" w:lineRule="exact"/>
        <w:rPr>
          <w:rFonts w:ascii="仿宋_GB2312" w:hAnsi="仿宋_GB2312" w:eastAsia="仿宋_GB2312" w:cs="仿宋_GB2312"/>
          <w:sz w:val="28"/>
          <w:szCs w:val="28"/>
        </w:rPr>
      </w:pPr>
    </w:p>
    <w:p w14:paraId="60CBDC44">
      <w:pPr>
        <w:spacing w:line="460" w:lineRule="exact"/>
        <w:rPr>
          <w:rFonts w:ascii="仿宋_GB2312" w:hAnsi="仿宋_GB2312" w:eastAsia="仿宋_GB2312" w:cs="仿宋_GB2312"/>
          <w:sz w:val="28"/>
          <w:szCs w:val="28"/>
        </w:rPr>
      </w:pPr>
    </w:p>
    <w:p w14:paraId="437F02BF">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附件4</w:t>
      </w:r>
    </w:p>
    <w:p w14:paraId="1277F27A">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市残联残疾人智慧量服村（社区）</w:t>
      </w:r>
    </w:p>
    <w:p w14:paraId="678AF88B">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通讯费绩效评价报告</w:t>
      </w:r>
    </w:p>
    <w:p w14:paraId="2B6DFF5B">
      <w:pPr>
        <w:spacing w:line="600" w:lineRule="exact"/>
        <w:ind w:firstLine="640"/>
        <w:jc w:val="center"/>
        <w:rPr>
          <w:rFonts w:ascii="宋体" w:hAnsi="宋体"/>
          <w:sz w:val="32"/>
          <w:szCs w:val="32"/>
          <w:lang w:val="zh-CN"/>
        </w:rPr>
      </w:pPr>
    </w:p>
    <w:p w14:paraId="1A9A6903">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7328BEF">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0317CBF5">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为适应残疾人事业发展的需要，进一步深化“量体裁衣”式残疾人服务，推进残疾人事务治理现代化和信息化建设。</w:t>
      </w:r>
    </w:p>
    <w:p w14:paraId="673DCD4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2．峨眉山市残疾人联合会根据川残办【2016】124号文件精神和市领导批示制定的常年项目。</w:t>
      </w:r>
    </w:p>
    <w:p w14:paraId="3389EBFC">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14:paraId="236EFFF9">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1．项目主要内容。通过量服终端机，录入和及时更新残疾人信息，提高信息准确率和残疾人就业与社会参与度。</w:t>
      </w:r>
    </w:p>
    <w:p w14:paraId="2B0E12C7">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2．通过预算编制，规划绩效目标。使用量服终端机，保证残疾人家庭入户率和信息采集的</w:t>
      </w:r>
      <w:r>
        <w:rPr>
          <w:rFonts w:hint="eastAsia" w:ascii="仿宋_GB2312" w:eastAsia="仿宋_GB2312"/>
          <w:bCs/>
          <w:sz w:val="32"/>
          <w:szCs w:val="32"/>
        </w:rPr>
        <w:t>。</w:t>
      </w:r>
      <w:r>
        <w:rPr>
          <w:rFonts w:ascii="仿宋_GB2312" w:hAnsi="宋体" w:eastAsia="仿宋_GB2312"/>
          <w:sz w:val="32"/>
          <w:szCs w:val="32"/>
          <w:lang w:val="zh-CN"/>
        </w:rPr>
        <w:tab/>
      </w:r>
    </w:p>
    <w:p w14:paraId="602AA0E7">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w:t>
      </w:r>
    </w:p>
    <w:p w14:paraId="16FD037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40AEB9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14:paraId="2D6081FF">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残疾人智慧量服村（社区）通讯费财政拨款</w:t>
      </w:r>
      <w:r>
        <w:rPr>
          <w:rFonts w:hint="eastAsia" w:ascii="仿宋_GB2312" w:hAnsi="宋体" w:eastAsia="仿宋_GB2312"/>
          <w:sz w:val="32"/>
          <w:szCs w:val="32"/>
        </w:rPr>
        <w:t>2021年预算</w:t>
      </w:r>
      <w:r>
        <w:rPr>
          <w:rFonts w:hint="eastAsia" w:ascii="仿宋_GB2312" w:hAnsi="宋体" w:eastAsia="仿宋_GB2312"/>
          <w:color w:val="FF0000"/>
          <w:sz w:val="32"/>
          <w:szCs w:val="32"/>
        </w:rPr>
        <w:t>143.808</w:t>
      </w:r>
      <w:r>
        <w:rPr>
          <w:rFonts w:hint="eastAsia" w:ascii="仿宋_GB2312" w:hAnsi="宋体" w:eastAsia="仿宋_GB2312"/>
          <w:sz w:val="32"/>
          <w:szCs w:val="32"/>
        </w:rPr>
        <w:t>万元，属本级人民政府预算专项资金，经市人代会会议结束后到位，到位率100%。</w:t>
      </w:r>
    </w:p>
    <w:p w14:paraId="75763FD0">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w:t>
      </w:r>
      <w:r>
        <w:rPr>
          <w:rFonts w:hint="eastAsia" w:ascii="楷体_GB2312" w:hAnsi="宋体" w:eastAsia="楷体_GB2312"/>
          <w:sz w:val="32"/>
          <w:szCs w:val="32"/>
          <w:lang w:val="zh-CN"/>
        </w:rPr>
        <w:t>资金使用</w:t>
      </w:r>
      <w:r>
        <w:rPr>
          <w:rFonts w:hint="eastAsia" w:ascii="楷体_GB2312" w:hAnsi="宋体" w:eastAsia="楷体_GB2312"/>
          <w:bCs/>
          <w:sz w:val="32"/>
          <w:szCs w:val="32"/>
          <w:lang w:val="zh-CN"/>
        </w:rPr>
        <w:t>。</w:t>
      </w:r>
    </w:p>
    <w:p w14:paraId="146F6736">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我会残疾人智慧量服村（社区）通讯费55.08万元，使用率100%，用于帮助残疾人量服终端机费用。</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14:paraId="3F05DC26">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14:paraId="33FED04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14:paraId="2BBA3B2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0FE710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18448206">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（一）制定方案，设定终端机费用上限，保证在预算内。</w:t>
      </w:r>
    </w:p>
    <w:p w14:paraId="0360FEA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14:paraId="6BB4A62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乡镇申报给村（社区）残疾人专委和乡镇残联专干或者从事残疾人事业的工作人员办理量服终端机手机号，每月（季度）由市残联根据实际情况支付给通讯公司费用。</w:t>
      </w:r>
    </w:p>
    <w:p w14:paraId="0D671823">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14:paraId="30CEDE8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市残联通过通讯公司对使用终端情况做统计，通过量服系统的录入情况对专干专委进行考核。</w:t>
      </w:r>
    </w:p>
    <w:p w14:paraId="234F01B8">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0C8BCE71">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14:paraId="73270F6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掌握全市残疾人信息录入和及时更新情况。</w:t>
      </w:r>
    </w:p>
    <w:p w14:paraId="425739ED">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14:paraId="02A5147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w:t>
      </w:r>
      <w:r>
        <w:rPr>
          <w:rFonts w:hint="eastAsia" w:ascii="仿宋_GB2312" w:hAnsi="宋体" w:eastAsia="仿宋_GB2312"/>
          <w:sz w:val="32"/>
          <w:szCs w:val="32"/>
          <w:lang w:val="zh-CN"/>
        </w:rPr>
        <w:t>提高残疾人信息录入率，提高残疾人及亲属参与残疾人事业的比率。</w:t>
      </w:r>
    </w:p>
    <w:p w14:paraId="2680F2A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FD038CE">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26D2425B">
      <w:pPr>
        <w:pStyle w:val="2"/>
        <w:spacing w:before="93"/>
        <w:ind w:firstLine="600" w:firstLineChars="200"/>
      </w:pPr>
      <w:r>
        <w:rPr>
          <w:rFonts w:hint="eastAsia"/>
          <w:szCs w:val="30"/>
        </w:rPr>
        <w:t>通过项目绩效管理自评，该项目在支出中不存在违法违纪行为，按时完成年初绩效目标，提高残疾人社会参与度积极性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14:paraId="377AF3FC">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14:paraId="786E0A11">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残疾人本身就业率和信息技术操作能力不高，有待提高。</w:t>
      </w:r>
      <w:r>
        <w:rPr>
          <w:rFonts w:hint="eastAsia" w:ascii="仿宋_GB2312" w:hAnsi="宋体" w:eastAsia="仿宋_GB2312"/>
          <w:sz w:val="32"/>
          <w:szCs w:val="32"/>
          <w:lang w:val="zh-CN"/>
        </w:rPr>
        <w:tab/>
      </w:r>
    </w:p>
    <w:p w14:paraId="6DD02B7A">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14:paraId="041F166B">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认真做好残疾人信息技术发展，提高残疾人就业与社会参与度积极性。</w:t>
      </w:r>
    </w:p>
    <w:p w14:paraId="56320A3A">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094DC1A4">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7937D5F0">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0FBB1E27">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74810C1">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8BD911F">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135ED6EF">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7A978C11">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14:paraId="66DD78EC">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420825CE">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43EA9C1B">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2A8D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A3C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EE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4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14:paraId="3DAA2009">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29FD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77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67E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BE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D39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14:paraId="2D2818CF">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F99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FC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1C2BC14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2B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84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69C382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92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14:paraId="482FF65E">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9354">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24C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FC66">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E5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87F">
            <w:pPr>
              <w:widowControl/>
              <w:spacing w:line="320" w:lineRule="exact"/>
              <w:jc w:val="center"/>
              <w:textAlignment w:val="center"/>
              <w:rPr>
                <w:rFonts w:ascii="仿宋_GB2312" w:hAnsi="仿宋_GB2312" w:eastAsia="仿宋_GB2312" w:cs="仿宋_GB2312"/>
                <w:sz w:val="28"/>
                <w:szCs w:val="28"/>
              </w:rPr>
            </w:pPr>
          </w:p>
        </w:tc>
      </w:tr>
      <w:tr w14:paraId="18DEF4C4">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9E7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65B8A5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58C2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0584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52BFE5FE">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38C1">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64338">
            <w:pPr>
              <w:widowControl/>
              <w:spacing w:line="320" w:lineRule="exact"/>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为残疾人开展“量体式服务”，，提高量服系信息录入率和准确率，提高残疾人社会参与度</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976DB">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为残疾人开展“量体式服务”，，提高量服系信息录入率和准确率，提高残疾人社会参与度</w:t>
            </w:r>
          </w:p>
        </w:tc>
      </w:tr>
      <w:tr w14:paraId="56601DED">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53E97BA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59395D9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4FFF7B6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9A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74B692D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F2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CCA9C2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E6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848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7F087729">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4EAD5517">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F7C4">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4441566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47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609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DF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CFB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r>
      <w:tr w14:paraId="2D449164">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3258A61">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34ED">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15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49">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6E6">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D74">
            <w:pPr>
              <w:widowControl/>
              <w:spacing w:line="320" w:lineRule="exact"/>
              <w:jc w:val="center"/>
              <w:textAlignment w:val="bottom"/>
              <w:rPr>
                <w:rFonts w:ascii="仿宋_GB2312" w:hAnsi="仿宋_GB2312" w:eastAsia="仿宋_GB2312" w:cs="仿宋_GB2312"/>
                <w:sz w:val="28"/>
                <w:szCs w:val="28"/>
              </w:rPr>
            </w:pPr>
          </w:p>
        </w:tc>
      </w:tr>
      <w:tr w14:paraId="635D331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0506BF2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759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595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DEF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C8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E1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14:paraId="1AB5576E">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5E5AF0B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783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6C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84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42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2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r>
      <w:tr w14:paraId="728B5737">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0C54271A">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B039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BC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E3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496B">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A897">
            <w:pPr>
              <w:widowControl/>
              <w:spacing w:line="320" w:lineRule="exact"/>
              <w:jc w:val="center"/>
              <w:textAlignment w:val="bottom"/>
              <w:rPr>
                <w:rFonts w:ascii="仿宋_GB2312" w:hAnsi="仿宋_GB2312" w:eastAsia="仿宋_GB2312" w:cs="仿宋_GB2312"/>
                <w:sz w:val="28"/>
                <w:szCs w:val="28"/>
              </w:rPr>
            </w:pPr>
          </w:p>
        </w:tc>
      </w:tr>
      <w:tr w14:paraId="25512955">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04C200F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AE6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81E">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7A1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1B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695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r>
      <w:tr w14:paraId="66EECF9D">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7FE8DEB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AE7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4CA8">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23C">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D21">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BD9">
            <w:pPr>
              <w:widowControl/>
              <w:spacing w:line="320" w:lineRule="exact"/>
              <w:jc w:val="center"/>
              <w:textAlignment w:val="bottom"/>
              <w:rPr>
                <w:rFonts w:ascii="仿宋_GB2312" w:hAnsi="仿宋_GB2312" w:eastAsia="仿宋_GB2312" w:cs="仿宋_GB2312"/>
                <w:sz w:val="28"/>
                <w:szCs w:val="28"/>
              </w:rPr>
            </w:pPr>
          </w:p>
        </w:tc>
      </w:tr>
      <w:tr w14:paraId="471569B0">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1296091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D45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24E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0D45">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AC7">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56B4">
            <w:pPr>
              <w:widowControl/>
              <w:spacing w:line="320" w:lineRule="exact"/>
              <w:jc w:val="center"/>
              <w:textAlignment w:val="bottom"/>
              <w:rPr>
                <w:rFonts w:ascii="仿宋_GB2312" w:hAnsi="仿宋_GB2312" w:eastAsia="仿宋_GB2312" w:cs="仿宋_GB2312"/>
                <w:sz w:val="28"/>
                <w:szCs w:val="28"/>
              </w:rPr>
            </w:pPr>
          </w:p>
        </w:tc>
      </w:tr>
      <w:tr w14:paraId="52AD5F56">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0AD64C56">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9B3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7E1">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A29D1B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B8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3C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37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r>
    </w:tbl>
    <w:p w14:paraId="626F3671">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53498344">
      <w:pPr>
        <w:spacing w:line="460" w:lineRule="exact"/>
        <w:rPr>
          <w:rFonts w:ascii="仿宋_GB2312" w:hAnsi="仿宋_GB2312" w:eastAsia="仿宋_GB2312" w:cs="仿宋_GB2312"/>
          <w:sz w:val="28"/>
          <w:szCs w:val="28"/>
        </w:rPr>
      </w:pPr>
    </w:p>
    <w:p w14:paraId="024F8E8C">
      <w:pPr>
        <w:pStyle w:val="2"/>
        <w:spacing w:before="93"/>
      </w:pPr>
    </w:p>
    <w:p w14:paraId="0C8F72A9">
      <w:pPr>
        <w:pStyle w:val="2"/>
        <w:spacing w:before="93"/>
      </w:pPr>
    </w:p>
    <w:p w14:paraId="1E8E1966">
      <w:pPr>
        <w:pStyle w:val="2"/>
        <w:spacing w:before="93"/>
      </w:pPr>
    </w:p>
    <w:p w14:paraId="1662566D">
      <w:pPr>
        <w:pStyle w:val="2"/>
        <w:spacing w:before="93"/>
      </w:pPr>
    </w:p>
    <w:p w14:paraId="44D19A8B">
      <w:pPr>
        <w:pStyle w:val="2"/>
        <w:spacing w:before="93"/>
      </w:pPr>
    </w:p>
    <w:p w14:paraId="5F951609">
      <w:pPr>
        <w:pStyle w:val="2"/>
        <w:spacing w:before="93"/>
      </w:pPr>
    </w:p>
    <w:p w14:paraId="4814052F">
      <w:pPr>
        <w:pStyle w:val="2"/>
        <w:spacing w:before="93"/>
      </w:pPr>
    </w:p>
    <w:p w14:paraId="2B0F7EC3">
      <w:pPr>
        <w:pStyle w:val="2"/>
        <w:spacing w:before="93"/>
      </w:pPr>
    </w:p>
    <w:p w14:paraId="6FC6515A">
      <w:pPr>
        <w:pStyle w:val="2"/>
        <w:spacing w:before="93"/>
      </w:pPr>
    </w:p>
    <w:p w14:paraId="04B4F499">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附件5</w:t>
      </w:r>
    </w:p>
    <w:p w14:paraId="0FB9D3FA">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市残联代缴重度残疾及精神智力</w:t>
      </w:r>
    </w:p>
    <w:p w14:paraId="2DAAF901">
      <w:pPr>
        <w:pStyle w:val="23"/>
        <w:spacing w:line="600" w:lineRule="exact"/>
        <w:ind w:left="1360" w:firstLine="0" w:firstLineChars="0"/>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三、四级残疾人居民医疗保险项目</w:t>
      </w:r>
    </w:p>
    <w:p w14:paraId="3BC2B36E">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绩效评价报告</w:t>
      </w:r>
    </w:p>
    <w:p w14:paraId="4EF47C39">
      <w:pPr>
        <w:spacing w:line="600" w:lineRule="exact"/>
        <w:ind w:firstLine="640"/>
        <w:jc w:val="center"/>
        <w:rPr>
          <w:rFonts w:ascii="宋体" w:hAnsi="宋体"/>
          <w:sz w:val="32"/>
          <w:szCs w:val="32"/>
          <w:lang w:val="zh-CN"/>
        </w:rPr>
      </w:pPr>
    </w:p>
    <w:p w14:paraId="011164BF">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0C8F62A">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14:paraId="60A59FB4">
      <w:pPr>
        <w:spacing w:line="600" w:lineRule="exact"/>
        <w:ind w:firstLine="480" w:firstLineChars="150"/>
        <w:jc w:val="left"/>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为我市持证残疾人，</w:t>
      </w: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eastAsia="仿宋_GB2312"/>
          <w:bCs/>
          <w:sz w:val="32"/>
          <w:szCs w:val="32"/>
        </w:rPr>
        <w:t>。</w:t>
      </w:r>
    </w:p>
    <w:p w14:paraId="2A598EC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2．峨眉山市残疾人联合会根据乐山市人民政府文件制定的常年项目。</w:t>
      </w:r>
    </w:p>
    <w:p w14:paraId="181C148E">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14:paraId="4B761004">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1．项目主要内容。为进一步健全完善重特大疾病医疗保险和救助制度，减轻困难群众和大病患者医疗费用，确保困难群众基本医疗有保障，不因罹患重特大疾病影响基本生活。</w:t>
      </w:r>
    </w:p>
    <w:p w14:paraId="653547C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2．通过预算编制，规划绩效目标。为我市符合条件的持证残疾人代缴城乡居民医疗保险</w:t>
      </w:r>
      <w:r>
        <w:rPr>
          <w:rFonts w:hint="eastAsia" w:ascii="仿宋_GB2312" w:eastAsia="仿宋_GB2312"/>
          <w:bCs/>
          <w:sz w:val="32"/>
          <w:szCs w:val="32"/>
        </w:rPr>
        <w:t>。</w:t>
      </w:r>
      <w:r>
        <w:rPr>
          <w:rFonts w:ascii="仿宋_GB2312" w:hAnsi="宋体" w:eastAsia="仿宋_GB2312"/>
          <w:sz w:val="32"/>
          <w:szCs w:val="32"/>
          <w:lang w:val="zh-CN"/>
        </w:rPr>
        <w:tab/>
      </w:r>
    </w:p>
    <w:p w14:paraId="5667A744">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w:t>
      </w:r>
    </w:p>
    <w:p w14:paraId="5EDF105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8ADEFB9">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14:paraId="1F5B3D90">
      <w:pPr>
        <w:adjustRightInd w:val="0"/>
        <w:snapToGrid w:val="0"/>
        <w:spacing w:line="600" w:lineRule="exact"/>
        <w:ind w:firstLine="640" w:firstLineChars="200"/>
        <w:rPr>
          <w:rFonts w:ascii="仿宋_GB2312" w:hAnsi="宋体" w:eastAsia="仿宋_GB2312"/>
          <w:sz w:val="32"/>
          <w:szCs w:val="32"/>
        </w:rPr>
      </w:pP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hAnsi="宋体" w:eastAsia="仿宋_GB2312"/>
          <w:sz w:val="32"/>
          <w:szCs w:val="32"/>
          <w:lang w:val="zh-CN"/>
        </w:rPr>
        <w:t>财政拨款</w:t>
      </w:r>
      <w:r>
        <w:rPr>
          <w:rFonts w:hint="eastAsia" w:ascii="仿宋_GB2312" w:hAnsi="宋体" w:eastAsia="仿宋_GB2312"/>
          <w:sz w:val="32"/>
          <w:szCs w:val="32"/>
        </w:rPr>
        <w:t>2021年预算</w:t>
      </w:r>
      <w:r>
        <w:rPr>
          <w:rFonts w:hint="eastAsia" w:ascii="仿宋_GB2312" w:hAnsi="宋体" w:eastAsia="仿宋_GB2312"/>
          <w:color w:val="FF0000"/>
          <w:sz w:val="32"/>
          <w:szCs w:val="32"/>
        </w:rPr>
        <w:t>143.808</w:t>
      </w:r>
      <w:r>
        <w:rPr>
          <w:rFonts w:hint="eastAsia" w:ascii="仿宋_GB2312" w:hAnsi="宋体" w:eastAsia="仿宋_GB2312"/>
          <w:sz w:val="32"/>
          <w:szCs w:val="32"/>
        </w:rPr>
        <w:t>万元，属本级人民政府预算专项资金，经市人代会会议结束后到位，到位率100%。</w:t>
      </w:r>
    </w:p>
    <w:p w14:paraId="69DC7B6C">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w:t>
      </w:r>
      <w:r>
        <w:rPr>
          <w:rFonts w:hint="eastAsia" w:ascii="楷体_GB2312" w:hAnsi="宋体" w:eastAsia="楷体_GB2312"/>
          <w:sz w:val="32"/>
          <w:szCs w:val="32"/>
          <w:lang w:val="zh-CN"/>
        </w:rPr>
        <w:t>资金使用</w:t>
      </w:r>
      <w:r>
        <w:rPr>
          <w:rFonts w:hint="eastAsia" w:ascii="楷体_GB2312" w:hAnsi="宋体" w:eastAsia="楷体_GB2312"/>
          <w:bCs/>
          <w:sz w:val="32"/>
          <w:szCs w:val="32"/>
          <w:lang w:val="zh-CN"/>
        </w:rPr>
        <w:t>。</w:t>
      </w:r>
    </w:p>
    <w:p w14:paraId="15CBFEDB">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我会</w:t>
      </w: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hAnsi="宋体" w:eastAsia="仿宋_GB2312"/>
          <w:sz w:val="32"/>
          <w:szCs w:val="32"/>
          <w:lang w:val="zh-CN"/>
        </w:rPr>
        <w:t>143.808万元，使用率100%，用于代缴残疾人居民医疗保险。</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14:paraId="40E66AC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14:paraId="2140700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14:paraId="5CF92495">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126A469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20E0B48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（一）根据乐山市和峨眉山市文件制定方案，保证在预算内。</w:t>
      </w:r>
    </w:p>
    <w:p w14:paraId="3FD76C1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14:paraId="21726F9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市残联通过办证系统导出的残疾人花名册，由医保中心汇总筛查符合残联代缴的花名册，通过税务系统进行代缴。</w:t>
      </w:r>
    </w:p>
    <w:p w14:paraId="7C3D569C">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14:paraId="2B5FB87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代缴过程中根据市残联办证系统和乡镇提供花名册进行更新，保证不漏一个残疾人不多缴费用。</w:t>
      </w:r>
    </w:p>
    <w:p w14:paraId="77B97B8D">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4D0F914C">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14:paraId="556D97A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为我市符合条件的残疾人代缴2022年城乡居民医疗保险。</w:t>
      </w:r>
    </w:p>
    <w:p w14:paraId="3E4B735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14:paraId="6F7F2E8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减轻困难群众和大病患者医疗费用，确保困难群众基本医疗有保障，不因罹患重特大疾病影响基本生活。</w:t>
      </w:r>
    </w:p>
    <w:p w14:paraId="3E16FC80">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2DC45F6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3D1E32E5">
      <w:pPr>
        <w:pStyle w:val="2"/>
        <w:spacing w:before="93"/>
        <w:ind w:firstLine="600" w:firstLineChars="200"/>
      </w:pPr>
      <w:r>
        <w:rPr>
          <w:rFonts w:hint="eastAsia"/>
          <w:szCs w:val="30"/>
        </w:rPr>
        <w:t>通过项目绩效管理自评，该项目在支出中不存在违法违纪行为，按时完成年初绩效目标，使残疾人平等享受社会医疗发展成果</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14:paraId="17D79C70">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14:paraId="77009E38">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残疾人对每年医保政策的变动理解不透彻，在代缴过程中出现代缴失败的情况。</w:t>
      </w:r>
      <w:r>
        <w:rPr>
          <w:rFonts w:hint="eastAsia" w:ascii="仿宋_GB2312" w:hAnsi="宋体" w:eastAsia="仿宋_GB2312"/>
          <w:sz w:val="32"/>
          <w:szCs w:val="32"/>
          <w:lang w:val="zh-CN"/>
        </w:rPr>
        <w:tab/>
      </w:r>
    </w:p>
    <w:p w14:paraId="4A4AA3E5">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14:paraId="2FF360AE">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认真做好残疾人残疾人城乡居民医保代缴政策解释，确保不漏一个残疾人。</w:t>
      </w:r>
    </w:p>
    <w:p w14:paraId="6DD69963">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1986C4F0">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E274AFE">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141BFC39">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6023AF36">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2CE2AA92">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14:paraId="51139E18">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5CB8A3E0">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741B32BE">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04D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069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1B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141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14:paraId="5A2FBC2B">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1E0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E6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D4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016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673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r>
      <w:tr w14:paraId="7CDE1994">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F6D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82E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77A6350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CD5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5E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883A46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67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r>
      <w:tr w14:paraId="66C898DB">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43B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F1A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3F1">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99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8233">
            <w:pPr>
              <w:widowControl/>
              <w:spacing w:line="320" w:lineRule="exact"/>
              <w:jc w:val="center"/>
              <w:textAlignment w:val="center"/>
              <w:rPr>
                <w:rFonts w:ascii="仿宋_GB2312" w:hAnsi="仿宋_GB2312" w:eastAsia="仿宋_GB2312" w:cs="仿宋_GB2312"/>
                <w:sz w:val="28"/>
                <w:szCs w:val="28"/>
              </w:rPr>
            </w:pPr>
          </w:p>
        </w:tc>
      </w:tr>
      <w:tr w14:paraId="09908F3C">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1DA6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1A3C783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6FE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352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BF04EAC">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48AD">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116B6">
            <w:pPr>
              <w:widowControl/>
              <w:spacing w:line="320" w:lineRule="exact"/>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为符合条件的残疾人代缴城乡居民医疗保险，使残疾人平等享受社会医疗发展成果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667B4">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为符合条件的残疾人代缴城乡居民医疗保险，使残疾人平等享受社会医疗发展成果</w:t>
            </w:r>
          </w:p>
        </w:tc>
      </w:tr>
      <w:tr w14:paraId="3F945BB7">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67341DD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20D316E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D2B41B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97D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1C8381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6A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61B65C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85F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E5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C54A4A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5F6354E">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915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A237FC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B2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C8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2E9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B9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r>
      <w:tr w14:paraId="55828F1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FF61E0A">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EA5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22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22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9A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476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r>
      <w:tr w14:paraId="233B8D3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B58749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AA1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A6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3A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9C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09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14:paraId="19B7B0F1">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43D673E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B29D">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FEF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E9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DF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21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r>
      <w:tr w14:paraId="5029306E">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4BFE9FFD">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EEFC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C3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66D">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74F3">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7F52">
            <w:pPr>
              <w:widowControl/>
              <w:spacing w:line="320" w:lineRule="exact"/>
              <w:jc w:val="center"/>
              <w:textAlignment w:val="bottom"/>
              <w:rPr>
                <w:rFonts w:ascii="仿宋_GB2312" w:hAnsi="仿宋_GB2312" w:eastAsia="仿宋_GB2312" w:cs="仿宋_GB2312"/>
                <w:sz w:val="28"/>
                <w:szCs w:val="28"/>
              </w:rPr>
            </w:pPr>
          </w:p>
        </w:tc>
      </w:tr>
      <w:tr w14:paraId="0610374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7CD7451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FDE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775">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ABD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CA7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3F3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r>
      <w:tr w14:paraId="633664EB">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3AFCE17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A81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CA8">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B6F">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28B">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6AF">
            <w:pPr>
              <w:widowControl/>
              <w:spacing w:line="320" w:lineRule="exact"/>
              <w:jc w:val="center"/>
              <w:textAlignment w:val="bottom"/>
              <w:rPr>
                <w:rFonts w:ascii="仿宋_GB2312" w:hAnsi="仿宋_GB2312" w:eastAsia="仿宋_GB2312" w:cs="仿宋_GB2312"/>
                <w:sz w:val="28"/>
                <w:szCs w:val="28"/>
              </w:rPr>
            </w:pPr>
          </w:p>
        </w:tc>
      </w:tr>
      <w:tr w14:paraId="65FFFC8F">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578DE4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9332">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C9E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55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7E1">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BBBB">
            <w:pPr>
              <w:widowControl/>
              <w:spacing w:line="320" w:lineRule="exact"/>
              <w:jc w:val="center"/>
              <w:textAlignment w:val="bottom"/>
              <w:rPr>
                <w:rFonts w:ascii="仿宋_GB2312" w:hAnsi="仿宋_GB2312" w:eastAsia="仿宋_GB2312" w:cs="仿宋_GB2312"/>
                <w:sz w:val="28"/>
                <w:szCs w:val="28"/>
              </w:rPr>
            </w:pPr>
          </w:p>
        </w:tc>
      </w:tr>
      <w:tr w14:paraId="56F9B5B1">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085A8D32">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87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273">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6DAC324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7D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27F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2F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r>
    </w:tbl>
    <w:p w14:paraId="4FEC8CA9">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4454DA13">
      <w:pPr>
        <w:spacing w:line="460" w:lineRule="exact"/>
        <w:rPr>
          <w:rFonts w:ascii="仿宋_GB2312" w:hAnsi="仿宋_GB2312" w:eastAsia="仿宋_GB2312" w:cs="仿宋_GB2312"/>
          <w:sz w:val="28"/>
          <w:szCs w:val="28"/>
        </w:rPr>
      </w:pPr>
    </w:p>
    <w:p w14:paraId="1AA214E4">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w:t>
      </w:r>
      <w:bookmarkStart w:id="59" w:name="_Hlk112849104"/>
      <w:r>
        <w:rPr>
          <w:rFonts w:hint="eastAsia" w:ascii="仿宋_GB2312" w:hAnsi="仿宋_GB2312" w:eastAsia="仿宋_GB2312" w:cs="仿宋_GB2312"/>
          <w:sz w:val="28"/>
          <w:szCs w:val="28"/>
        </w:rPr>
        <w:t>特定目标类部门预算项目</w:t>
      </w:r>
      <w:bookmarkEnd w:id="59"/>
      <w:r>
        <w:rPr>
          <w:rFonts w:hint="eastAsia" w:ascii="仿宋_GB2312" w:hAnsi="仿宋_GB2312" w:eastAsia="仿宋_GB2312" w:cs="仿宋_GB2312"/>
          <w:sz w:val="28"/>
          <w:szCs w:val="28"/>
        </w:rPr>
        <w:t>的，需</w:t>
      </w:r>
      <w:bookmarkStart w:id="60" w:name="_Hlk112849286"/>
      <w:r>
        <w:rPr>
          <w:rFonts w:hint="eastAsia" w:ascii="仿宋_GB2312" w:hAnsi="仿宋_GB2312" w:eastAsia="仿宋_GB2312" w:cs="仿宋_GB2312"/>
          <w:sz w:val="28"/>
          <w:szCs w:val="28"/>
        </w:rPr>
        <w:t>分别开展绩效目标自评并填写附表</w:t>
      </w:r>
      <w:bookmarkEnd w:id="60"/>
      <w:r>
        <w:rPr>
          <w:rFonts w:hint="eastAsia" w:ascii="仿宋_GB2312" w:hAnsi="仿宋_GB2312" w:eastAsia="仿宋_GB2312" w:cs="仿宋_GB2312"/>
          <w:sz w:val="28"/>
          <w:szCs w:val="28"/>
        </w:rPr>
        <w:t>;100万元以下的特定目标类部门预算项目，项目数在5个以内的据实</w:t>
      </w:r>
      <w:bookmarkStart w:id="61" w:name="_Hlk112849495"/>
      <w:r>
        <w:rPr>
          <w:rFonts w:hint="eastAsia" w:ascii="仿宋_GB2312" w:hAnsi="仿宋_GB2312" w:eastAsia="仿宋_GB2312" w:cs="仿宋_GB2312"/>
          <w:sz w:val="28"/>
          <w:szCs w:val="28"/>
        </w:rPr>
        <w:t>分别开展绩效目标自评并填写附表</w:t>
      </w:r>
      <w:bookmarkEnd w:id="61"/>
      <w:r>
        <w:rPr>
          <w:rFonts w:hint="eastAsia" w:ascii="仿宋_GB2312" w:hAnsi="仿宋_GB2312" w:eastAsia="仿宋_GB2312" w:cs="仿宋_GB2312"/>
          <w:sz w:val="28"/>
          <w:szCs w:val="28"/>
        </w:rPr>
        <w:t>，达到或超过5个的至少选择5个分别开展绩效目标自评并填写附表）</w:t>
      </w:r>
    </w:p>
    <w:p w14:paraId="25FCAEB9">
      <w:pPr>
        <w:pStyle w:val="2"/>
        <w:rPr>
          <w:rFonts w:hint="eastAsia" w:ascii="仿宋_GB2312" w:hAnsi="仿宋_GB2312" w:eastAsia="仿宋_GB2312" w:cs="仿宋_GB2312"/>
          <w:sz w:val="28"/>
          <w:szCs w:val="28"/>
        </w:rPr>
      </w:pPr>
    </w:p>
    <w:p w14:paraId="71C65B24">
      <w:pPr>
        <w:pStyle w:val="2"/>
        <w:rPr>
          <w:rFonts w:hint="eastAsia" w:ascii="仿宋_GB2312" w:hAnsi="仿宋_GB2312" w:eastAsia="仿宋_GB2312" w:cs="仿宋_GB2312"/>
          <w:sz w:val="28"/>
          <w:szCs w:val="28"/>
        </w:rPr>
      </w:pPr>
    </w:p>
    <w:p w14:paraId="0768B627">
      <w:pPr>
        <w:pStyle w:val="2"/>
        <w:rPr>
          <w:rFonts w:hint="eastAsia" w:ascii="仿宋_GB2312" w:hAnsi="仿宋_GB2312" w:eastAsia="仿宋_GB2312" w:cs="仿宋_GB2312"/>
          <w:sz w:val="28"/>
          <w:szCs w:val="28"/>
        </w:rPr>
      </w:pPr>
    </w:p>
    <w:p w14:paraId="0A95569C">
      <w:pPr>
        <w:pStyle w:val="2"/>
        <w:rPr>
          <w:rFonts w:hint="eastAsia" w:ascii="仿宋_GB2312" w:hAnsi="仿宋_GB2312" w:eastAsia="仿宋_GB2312" w:cs="仿宋_GB2312"/>
          <w:sz w:val="28"/>
          <w:szCs w:val="28"/>
        </w:rPr>
      </w:pPr>
    </w:p>
    <w:p w14:paraId="1A482DD8">
      <w:pPr>
        <w:pStyle w:val="2"/>
        <w:rPr>
          <w:rFonts w:hint="eastAsia" w:ascii="仿宋_GB2312" w:hAnsi="仿宋_GB2312" w:eastAsia="仿宋_GB2312" w:cs="仿宋_GB2312"/>
          <w:sz w:val="28"/>
          <w:szCs w:val="28"/>
        </w:rPr>
      </w:pPr>
    </w:p>
    <w:p w14:paraId="2E2EA613">
      <w:pPr>
        <w:pStyle w:val="2"/>
        <w:rPr>
          <w:rFonts w:hint="eastAsia" w:ascii="仿宋_GB2312" w:hAnsi="仿宋_GB2312" w:eastAsia="仿宋_GB2312" w:cs="仿宋_GB2312"/>
          <w:sz w:val="28"/>
          <w:szCs w:val="28"/>
        </w:rPr>
      </w:pPr>
    </w:p>
    <w:p w14:paraId="477F8CC1">
      <w:pPr>
        <w:pStyle w:val="2"/>
        <w:rPr>
          <w:rFonts w:hint="eastAsia" w:ascii="仿宋_GB2312" w:hAnsi="仿宋_GB2312" w:eastAsia="仿宋_GB2312" w:cs="仿宋_GB2312"/>
          <w:sz w:val="28"/>
          <w:szCs w:val="28"/>
        </w:rPr>
      </w:pPr>
    </w:p>
    <w:p w14:paraId="7307EDF7">
      <w:pPr>
        <w:pStyle w:val="2"/>
        <w:rPr>
          <w:rFonts w:hint="eastAsia" w:ascii="仿宋_GB2312" w:hAnsi="仿宋_GB2312" w:eastAsia="仿宋_GB2312" w:cs="仿宋_GB2312"/>
          <w:sz w:val="28"/>
          <w:szCs w:val="28"/>
        </w:rPr>
      </w:pPr>
    </w:p>
    <w:p w14:paraId="41BA1AC7">
      <w:pPr>
        <w:pStyle w:val="2"/>
        <w:rPr>
          <w:rFonts w:hint="eastAsia" w:ascii="仿宋_GB2312" w:hAnsi="仿宋_GB2312" w:eastAsia="仿宋_GB2312" w:cs="仿宋_GB2312"/>
          <w:sz w:val="28"/>
          <w:szCs w:val="28"/>
        </w:rPr>
      </w:pPr>
    </w:p>
    <w:p w14:paraId="47DECBEE">
      <w:pPr>
        <w:pStyle w:val="2"/>
        <w:rPr>
          <w:rFonts w:hint="eastAsia" w:ascii="仿宋_GB2312" w:hAnsi="仿宋_GB2312" w:eastAsia="仿宋_GB2312" w:cs="仿宋_GB2312"/>
          <w:sz w:val="28"/>
          <w:szCs w:val="28"/>
        </w:rPr>
      </w:pPr>
    </w:p>
    <w:p w14:paraId="78D0BFFD">
      <w:pPr>
        <w:pStyle w:val="2"/>
        <w:rPr>
          <w:rFonts w:hint="eastAsia" w:ascii="仿宋_GB2312" w:hAnsi="仿宋_GB2312" w:eastAsia="仿宋_GB2312" w:cs="仿宋_GB2312"/>
          <w:sz w:val="28"/>
          <w:szCs w:val="28"/>
        </w:rPr>
      </w:pPr>
    </w:p>
    <w:p w14:paraId="2739FA1B">
      <w:pPr>
        <w:pStyle w:val="2"/>
        <w:rPr>
          <w:rFonts w:hint="eastAsia" w:ascii="仿宋_GB2312" w:hAnsi="仿宋_GB2312" w:eastAsia="仿宋_GB2312" w:cs="仿宋_GB2312"/>
          <w:sz w:val="28"/>
          <w:szCs w:val="28"/>
        </w:rPr>
      </w:pPr>
    </w:p>
    <w:p w14:paraId="1EA41392">
      <w:pPr>
        <w:pStyle w:val="2"/>
        <w:rPr>
          <w:rFonts w:hint="eastAsia" w:ascii="仿宋_GB2312" w:hAnsi="仿宋_GB2312" w:eastAsia="仿宋_GB2312" w:cs="仿宋_GB2312"/>
          <w:sz w:val="28"/>
          <w:szCs w:val="28"/>
        </w:rPr>
      </w:pPr>
    </w:p>
    <w:p w14:paraId="656744AD">
      <w:pPr>
        <w:pStyle w:val="2"/>
        <w:rPr>
          <w:rFonts w:hint="eastAsia" w:ascii="仿宋_GB2312" w:hAnsi="仿宋_GB2312" w:eastAsia="仿宋_GB2312" w:cs="仿宋_GB2312"/>
          <w:sz w:val="28"/>
          <w:szCs w:val="28"/>
        </w:rPr>
      </w:pPr>
    </w:p>
    <w:p w14:paraId="63F774D9">
      <w:pPr>
        <w:numPr>
          <w:ilvl w:val="0"/>
          <w:numId w:val="5"/>
        </w:numPr>
        <w:spacing w:line="600" w:lineRule="exact"/>
        <w:jc w:val="center"/>
        <w:outlineLvl w:val="0"/>
        <w:rPr>
          <w:rStyle w:val="24"/>
          <w:rFonts w:ascii="方正小标宋_GBK" w:hAnsi="方正小标宋_GBK" w:eastAsia="方正小标宋_GBK" w:cs="方正小标宋_GBK"/>
          <w:b w:val="0"/>
        </w:rPr>
      </w:pPr>
      <w:bookmarkStart w:id="62" w:name="_Toc15396618"/>
      <w:r>
        <w:rPr>
          <w:rStyle w:val="24"/>
          <w:rFonts w:hint="eastAsia" w:ascii="方正小标宋_GBK" w:hAnsi="方正小标宋_GBK" w:eastAsia="方正小标宋_GBK" w:cs="方正小标宋_GBK"/>
          <w:b w:val="0"/>
        </w:rPr>
        <w:t>附表</w:t>
      </w:r>
      <w:bookmarkEnd w:id="57"/>
      <w:bookmarkEnd w:id="62"/>
      <w:bookmarkStart w:id="63" w:name="_Toc15396619"/>
    </w:p>
    <w:p w14:paraId="7C3AC430">
      <w:pPr>
        <w:pStyle w:val="2"/>
        <w:spacing w:before="93" w:line="600" w:lineRule="exact"/>
      </w:pPr>
    </w:p>
    <w:p w14:paraId="1835CAD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3"/>
    </w:p>
    <w:p w14:paraId="7ACABB6C">
      <w:pPr>
        <w:spacing w:line="600" w:lineRule="exact"/>
        <w:ind w:firstLine="640" w:firstLineChars="200"/>
        <w:rPr>
          <w:rFonts w:ascii="仿宋_GB2312" w:hAnsi="仿宋_GB2312" w:eastAsia="仿宋_GB2312" w:cs="仿宋_GB2312"/>
          <w:sz w:val="32"/>
          <w:szCs w:val="32"/>
        </w:rPr>
      </w:pPr>
      <w:bookmarkStart w:id="64" w:name="_Toc15396620"/>
      <w:r>
        <w:rPr>
          <w:rFonts w:hint="eastAsia" w:ascii="仿宋_GB2312" w:hAnsi="仿宋_GB2312" w:eastAsia="仿宋_GB2312" w:cs="仿宋_GB2312"/>
          <w:sz w:val="32"/>
          <w:szCs w:val="32"/>
        </w:rPr>
        <w:t>二、收入决算表</w:t>
      </w:r>
      <w:bookmarkEnd w:id="64"/>
    </w:p>
    <w:p w14:paraId="05AC9110">
      <w:pPr>
        <w:spacing w:line="600" w:lineRule="exact"/>
        <w:ind w:firstLine="640" w:firstLineChars="200"/>
        <w:rPr>
          <w:rFonts w:ascii="仿宋_GB2312" w:hAnsi="仿宋_GB2312" w:eastAsia="仿宋_GB2312" w:cs="仿宋_GB2312"/>
          <w:sz w:val="32"/>
          <w:szCs w:val="32"/>
        </w:rPr>
      </w:pPr>
      <w:bookmarkStart w:id="65" w:name="_Toc15396621"/>
      <w:r>
        <w:rPr>
          <w:rFonts w:hint="eastAsia" w:ascii="仿宋_GB2312" w:hAnsi="仿宋_GB2312" w:eastAsia="仿宋_GB2312" w:cs="仿宋_GB2312"/>
          <w:sz w:val="32"/>
          <w:szCs w:val="32"/>
        </w:rPr>
        <w:t>三、支出决算表</w:t>
      </w:r>
      <w:bookmarkEnd w:id="65"/>
    </w:p>
    <w:p w14:paraId="4430AD89">
      <w:pPr>
        <w:spacing w:line="600" w:lineRule="exact"/>
        <w:ind w:firstLine="640" w:firstLineChars="200"/>
        <w:rPr>
          <w:rFonts w:ascii="仿宋_GB2312" w:hAnsi="仿宋_GB2312" w:eastAsia="仿宋_GB2312" w:cs="仿宋_GB2312"/>
          <w:sz w:val="32"/>
          <w:szCs w:val="32"/>
        </w:rPr>
      </w:pPr>
      <w:bookmarkStart w:id="66" w:name="_Toc15396622"/>
      <w:r>
        <w:rPr>
          <w:rFonts w:hint="eastAsia" w:ascii="仿宋_GB2312" w:hAnsi="仿宋_GB2312" w:eastAsia="仿宋_GB2312" w:cs="仿宋_GB2312"/>
          <w:sz w:val="32"/>
          <w:szCs w:val="32"/>
        </w:rPr>
        <w:t>四、财政拨款收入支出决算总表</w:t>
      </w:r>
      <w:bookmarkEnd w:id="66"/>
    </w:p>
    <w:p w14:paraId="30A56B06">
      <w:pPr>
        <w:spacing w:line="600" w:lineRule="exact"/>
        <w:ind w:firstLine="640" w:firstLineChars="200"/>
        <w:rPr>
          <w:rFonts w:ascii="仿宋_GB2312" w:hAnsi="仿宋_GB2312" w:eastAsia="仿宋_GB2312" w:cs="仿宋_GB2312"/>
          <w:sz w:val="32"/>
          <w:szCs w:val="32"/>
        </w:rPr>
      </w:pPr>
      <w:bookmarkStart w:id="67" w:name="_Toc15396623"/>
      <w:r>
        <w:rPr>
          <w:rFonts w:hint="eastAsia" w:ascii="仿宋_GB2312" w:hAnsi="仿宋_GB2312" w:eastAsia="仿宋_GB2312" w:cs="仿宋_GB2312"/>
          <w:sz w:val="32"/>
          <w:szCs w:val="32"/>
        </w:rPr>
        <w:t>五、财政拨款支出决算明细表</w:t>
      </w:r>
      <w:bookmarkEnd w:id="67"/>
      <w:bookmarkStart w:id="68" w:name="_Toc15396624"/>
    </w:p>
    <w:p w14:paraId="4E05216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8"/>
    </w:p>
    <w:p w14:paraId="36927AEF">
      <w:pPr>
        <w:spacing w:line="600" w:lineRule="exact"/>
        <w:ind w:firstLine="640" w:firstLineChars="200"/>
        <w:rPr>
          <w:rFonts w:ascii="仿宋_GB2312" w:hAnsi="仿宋_GB2312" w:eastAsia="仿宋_GB2312" w:cs="仿宋_GB2312"/>
          <w:sz w:val="32"/>
          <w:szCs w:val="32"/>
        </w:rPr>
      </w:pPr>
      <w:bookmarkStart w:id="69" w:name="_Toc15396625"/>
      <w:r>
        <w:rPr>
          <w:rFonts w:hint="eastAsia" w:ascii="仿宋_GB2312" w:hAnsi="仿宋_GB2312" w:eastAsia="仿宋_GB2312" w:cs="仿宋_GB2312"/>
          <w:sz w:val="32"/>
          <w:szCs w:val="32"/>
        </w:rPr>
        <w:t>七、一般公共预算财政拨款支出决算明细表</w:t>
      </w:r>
      <w:bookmarkEnd w:id="69"/>
    </w:p>
    <w:p w14:paraId="6606AD89">
      <w:pPr>
        <w:spacing w:line="600" w:lineRule="exact"/>
        <w:ind w:firstLine="640" w:firstLineChars="200"/>
        <w:rPr>
          <w:rFonts w:ascii="仿宋_GB2312" w:hAnsi="仿宋_GB2312" w:eastAsia="仿宋_GB2312" w:cs="仿宋_GB2312"/>
          <w:sz w:val="32"/>
          <w:szCs w:val="32"/>
        </w:rPr>
      </w:pPr>
      <w:bookmarkStart w:id="70" w:name="_Toc15396626"/>
      <w:r>
        <w:rPr>
          <w:rFonts w:hint="eastAsia" w:ascii="仿宋_GB2312" w:hAnsi="仿宋_GB2312" w:eastAsia="仿宋_GB2312" w:cs="仿宋_GB2312"/>
          <w:sz w:val="32"/>
          <w:szCs w:val="32"/>
        </w:rPr>
        <w:t>八、一般公共预算财政拨款基本支出决算表</w:t>
      </w:r>
      <w:bookmarkEnd w:id="70"/>
    </w:p>
    <w:p w14:paraId="2A1E4064">
      <w:pPr>
        <w:spacing w:line="600" w:lineRule="exact"/>
        <w:ind w:firstLine="640" w:firstLineChars="200"/>
        <w:rPr>
          <w:rFonts w:ascii="仿宋_GB2312" w:hAnsi="仿宋_GB2312" w:eastAsia="仿宋_GB2312" w:cs="仿宋_GB2312"/>
          <w:sz w:val="32"/>
          <w:szCs w:val="32"/>
        </w:rPr>
      </w:pPr>
      <w:bookmarkStart w:id="71" w:name="_Toc15396627"/>
      <w:r>
        <w:rPr>
          <w:rFonts w:hint="eastAsia" w:ascii="仿宋_GB2312" w:hAnsi="仿宋_GB2312" w:eastAsia="仿宋_GB2312" w:cs="仿宋_GB2312"/>
          <w:sz w:val="32"/>
          <w:szCs w:val="32"/>
        </w:rPr>
        <w:t>九、一般公共预算财政拨款项目支出决算表</w:t>
      </w:r>
      <w:bookmarkEnd w:id="71"/>
    </w:p>
    <w:p w14:paraId="2373A0F4">
      <w:pPr>
        <w:spacing w:line="600" w:lineRule="exact"/>
        <w:ind w:firstLine="640" w:firstLineChars="200"/>
        <w:rPr>
          <w:rFonts w:ascii="仿宋_GB2312" w:hAnsi="仿宋_GB2312" w:eastAsia="仿宋_GB2312" w:cs="仿宋_GB2312"/>
          <w:sz w:val="32"/>
          <w:szCs w:val="32"/>
        </w:rPr>
      </w:pPr>
      <w:bookmarkStart w:id="72" w:name="_Toc15396628"/>
      <w:r>
        <w:rPr>
          <w:rFonts w:hint="eastAsia" w:ascii="仿宋_GB2312" w:hAnsi="仿宋_GB2312" w:eastAsia="仿宋_GB2312" w:cs="仿宋_GB2312"/>
          <w:sz w:val="32"/>
          <w:szCs w:val="32"/>
        </w:rPr>
        <w:t>十、一般公共预算财政拨款“三公”经费支出决算表</w:t>
      </w:r>
      <w:bookmarkEnd w:id="72"/>
    </w:p>
    <w:p w14:paraId="04D3DB05">
      <w:pPr>
        <w:spacing w:line="600" w:lineRule="exact"/>
        <w:ind w:firstLine="640" w:firstLineChars="200"/>
        <w:rPr>
          <w:rFonts w:ascii="仿宋_GB2312" w:hAnsi="仿宋_GB2312" w:eastAsia="仿宋_GB2312" w:cs="仿宋_GB2312"/>
          <w:sz w:val="32"/>
          <w:szCs w:val="32"/>
        </w:rPr>
      </w:pPr>
      <w:bookmarkStart w:id="73" w:name="_Toc15396629"/>
      <w:r>
        <w:rPr>
          <w:rFonts w:hint="eastAsia" w:ascii="仿宋_GB2312" w:hAnsi="仿宋_GB2312" w:eastAsia="仿宋_GB2312" w:cs="仿宋_GB2312"/>
          <w:sz w:val="32"/>
          <w:szCs w:val="32"/>
        </w:rPr>
        <w:t>十一、政府性基金预算财政拨款收入支出决算表</w:t>
      </w:r>
      <w:bookmarkEnd w:id="73"/>
    </w:p>
    <w:p w14:paraId="001B636A">
      <w:pPr>
        <w:spacing w:line="600" w:lineRule="exact"/>
        <w:ind w:firstLine="640" w:firstLineChars="200"/>
        <w:rPr>
          <w:rFonts w:ascii="仿宋_GB2312" w:hAnsi="仿宋_GB2312" w:eastAsia="仿宋_GB2312" w:cs="仿宋_GB2312"/>
          <w:sz w:val="32"/>
          <w:szCs w:val="32"/>
        </w:rPr>
      </w:pPr>
      <w:bookmarkStart w:id="74" w:name="_Toc15396630"/>
      <w:r>
        <w:rPr>
          <w:rFonts w:hint="eastAsia" w:ascii="仿宋_GB2312" w:hAnsi="仿宋_GB2312" w:eastAsia="仿宋_GB2312" w:cs="仿宋_GB2312"/>
          <w:sz w:val="32"/>
          <w:szCs w:val="32"/>
        </w:rPr>
        <w:t>十二、政府性基金预算财政拨款“三公”经费支出决算表</w:t>
      </w:r>
      <w:bookmarkEnd w:id="74"/>
    </w:p>
    <w:p w14:paraId="13D4F259">
      <w:pPr>
        <w:spacing w:line="600" w:lineRule="exact"/>
        <w:ind w:firstLine="640" w:firstLineChars="200"/>
        <w:rPr>
          <w:rFonts w:ascii="仿宋_GB2312" w:hAnsi="仿宋_GB2312" w:eastAsia="仿宋_GB2312" w:cs="仿宋_GB2312"/>
          <w:sz w:val="32"/>
          <w:szCs w:val="32"/>
        </w:rPr>
      </w:pPr>
      <w:bookmarkStart w:id="75" w:name="_Toc15396631"/>
      <w:r>
        <w:rPr>
          <w:rFonts w:hint="eastAsia" w:ascii="仿宋_GB2312" w:hAnsi="仿宋_GB2312" w:eastAsia="仿宋_GB2312" w:cs="仿宋_GB2312"/>
          <w:sz w:val="32"/>
          <w:szCs w:val="32"/>
        </w:rPr>
        <w:t>十三、国有资本经营预算财政拨款收入支出决算表</w:t>
      </w:r>
      <w:bookmarkEnd w:id="75"/>
    </w:p>
    <w:p w14:paraId="17E95BC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4087">
    <w:pPr>
      <w:pStyle w:val="8"/>
    </w:pPr>
    <w:r>
      <w:pict>
        <v:shape id="_x0000_s1027" o:spid="_x0000_s1027" o:spt="202" type="#_x0000_t202" style="position:absolute;left:0pt;margin-top:-8.95pt;height:20.45pt;width:87.6pt;mso-position-horizontal:outside;mso-position-horizontal-relative:margin;z-index:251660288;mso-width-relative:page;mso-height-relative:page;" filled="f" stroked="f" coordsize="21600,21600"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v:path/>
          <v:fill on="f" focussize="0,0"/>
          <v:stroke on="f" weight="0.5pt" joinstyle="miter"/>
          <v:imagedata o:title=""/>
          <o:lock v:ext="edit"/>
          <v:textbox inset="0mm,0mm,0mm,0mm">
            <w:txbxContent>
              <w:p w14:paraId="25CEA584">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5E8E">
    <w:pPr>
      <w:pStyle w:val="8"/>
    </w:pPr>
    <w:r>
      <w:pict>
        <v:shape id="_x0000_s1026"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v:path/>
          <v:fill on="f" focussize="0,0"/>
          <v:stroke on="f" weight="0.5pt" joinstyle="miter"/>
          <v:imagedata o:title=""/>
          <o:lock v:ext="edit"/>
          <v:textbox inset="0mm,0mm,0mm,0mm" style="mso-fit-shape-to-text:t;">
            <w:txbxContent>
              <w:p w14:paraId="58906E9F">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B40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9967380"/>
    <w:multiLevelType w:val="singleLevel"/>
    <w:tmpl w:val="E9967380"/>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26EE9"/>
    <w:rsid w:val="000468DB"/>
    <w:rsid w:val="0006487A"/>
    <w:rsid w:val="00065F8F"/>
    <w:rsid w:val="00070A43"/>
    <w:rsid w:val="000768F2"/>
    <w:rsid w:val="0007734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C71"/>
    <w:rsid w:val="000E7119"/>
    <w:rsid w:val="00114E97"/>
    <w:rsid w:val="00114E9B"/>
    <w:rsid w:val="001222A9"/>
    <w:rsid w:val="00123900"/>
    <w:rsid w:val="00142216"/>
    <w:rsid w:val="001446E7"/>
    <w:rsid w:val="00144D6A"/>
    <w:rsid w:val="0014729F"/>
    <w:rsid w:val="0015119B"/>
    <w:rsid w:val="00152F7C"/>
    <w:rsid w:val="00157BAB"/>
    <w:rsid w:val="001654D1"/>
    <w:rsid w:val="00174518"/>
    <w:rsid w:val="0018106D"/>
    <w:rsid w:val="001877A7"/>
    <w:rsid w:val="00191536"/>
    <w:rsid w:val="00196687"/>
    <w:rsid w:val="001C0962"/>
    <w:rsid w:val="001C2F03"/>
    <w:rsid w:val="001D7531"/>
    <w:rsid w:val="001E737D"/>
    <w:rsid w:val="001F0592"/>
    <w:rsid w:val="001F558A"/>
    <w:rsid w:val="001F7506"/>
    <w:rsid w:val="002006CD"/>
    <w:rsid w:val="00202B36"/>
    <w:rsid w:val="00203F04"/>
    <w:rsid w:val="00204B7A"/>
    <w:rsid w:val="00204CDE"/>
    <w:rsid w:val="0021101A"/>
    <w:rsid w:val="00220536"/>
    <w:rsid w:val="0023122F"/>
    <w:rsid w:val="00235629"/>
    <w:rsid w:val="00237E14"/>
    <w:rsid w:val="00260C38"/>
    <w:rsid w:val="002616C0"/>
    <w:rsid w:val="00265372"/>
    <w:rsid w:val="002662AA"/>
    <w:rsid w:val="00273726"/>
    <w:rsid w:val="00280496"/>
    <w:rsid w:val="00294DC9"/>
    <w:rsid w:val="00295495"/>
    <w:rsid w:val="002A1227"/>
    <w:rsid w:val="002A31DE"/>
    <w:rsid w:val="002B2613"/>
    <w:rsid w:val="002D6D05"/>
    <w:rsid w:val="002F1818"/>
    <w:rsid w:val="002F567B"/>
    <w:rsid w:val="00310790"/>
    <w:rsid w:val="003216A9"/>
    <w:rsid w:val="00335A74"/>
    <w:rsid w:val="0036561B"/>
    <w:rsid w:val="0037013F"/>
    <w:rsid w:val="00380C92"/>
    <w:rsid w:val="00382D7D"/>
    <w:rsid w:val="00387D69"/>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3F6DA3"/>
    <w:rsid w:val="004051D6"/>
    <w:rsid w:val="00406254"/>
    <w:rsid w:val="004223DE"/>
    <w:rsid w:val="00434489"/>
    <w:rsid w:val="0043684B"/>
    <w:rsid w:val="00437085"/>
    <w:rsid w:val="00443880"/>
    <w:rsid w:val="004464F4"/>
    <w:rsid w:val="00462D4A"/>
    <w:rsid w:val="00471401"/>
    <w:rsid w:val="00473F31"/>
    <w:rsid w:val="0048263A"/>
    <w:rsid w:val="00487E5D"/>
    <w:rsid w:val="004A711F"/>
    <w:rsid w:val="004B199D"/>
    <w:rsid w:val="004B4690"/>
    <w:rsid w:val="004E0A2D"/>
    <w:rsid w:val="004E206B"/>
    <w:rsid w:val="004E6DF7"/>
    <w:rsid w:val="004F0FBD"/>
    <w:rsid w:val="004F26C7"/>
    <w:rsid w:val="004F6AD6"/>
    <w:rsid w:val="00505A47"/>
    <w:rsid w:val="00512FDA"/>
    <w:rsid w:val="00520DA0"/>
    <w:rsid w:val="0052197D"/>
    <w:rsid w:val="005641F0"/>
    <w:rsid w:val="005664BB"/>
    <w:rsid w:val="00566FFA"/>
    <w:rsid w:val="0057481D"/>
    <w:rsid w:val="0058486E"/>
    <w:rsid w:val="00585B33"/>
    <w:rsid w:val="0059014D"/>
    <w:rsid w:val="005A0D6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D5F9F"/>
    <w:rsid w:val="006F020C"/>
    <w:rsid w:val="00701C3B"/>
    <w:rsid w:val="007036A7"/>
    <w:rsid w:val="007127B7"/>
    <w:rsid w:val="0071798E"/>
    <w:rsid w:val="007416B6"/>
    <w:rsid w:val="00746F48"/>
    <w:rsid w:val="0075404D"/>
    <w:rsid w:val="00754BBD"/>
    <w:rsid w:val="0076182A"/>
    <w:rsid w:val="007659E8"/>
    <w:rsid w:val="00767B7E"/>
    <w:rsid w:val="007770C3"/>
    <w:rsid w:val="00784D24"/>
    <w:rsid w:val="00785FBA"/>
    <w:rsid w:val="00786E4A"/>
    <w:rsid w:val="007875EB"/>
    <w:rsid w:val="0079426B"/>
    <w:rsid w:val="007A6328"/>
    <w:rsid w:val="007B4488"/>
    <w:rsid w:val="007D1682"/>
    <w:rsid w:val="007D312A"/>
    <w:rsid w:val="007D3F19"/>
    <w:rsid w:val="007E23B0"/>
    <w:rsid w:val="007E23E5"/>
    <w:rsid w:val="007F1991"/>
    <w:rsid w:val="007F1B5F"/>
    <w:rsid w:val="007F2C2F"/>
    <w:rsid w:val="007F55FC"/>
    <w:rsid w:val="007F5665"/>
    <w:rsid w:val="00800112"/>
    <w:rsid w:val="00800C7C"/>
    <w:rsid w:val="00813348"/>
    <w:rsid w:val="00813D23"/>
    <w:rsid w:val="008253BB"/>
    <w:rsid w:val="0083706E"/>
    <w:rsid w:val="008408F6"/>
    <w:rsid w:val="008423A5"/>
    <w:rsid w:val="00850625"/>
    <w:rsid w:val="00853718"/>
    <w:rsid w:val="00853F0A"/>
    <w:rsid w:val="00855221"/>
    <w:rsid w:val="00860645"/>
    <w:rsid w:val="00871F71"/>
    <w:rsid w:val="00872FD8"/>
    <w:rsid w:val="00885AF4"/>
    <w:rsid w:val="008939CD"/>
    <w:rsid w:val="008B3B8F"/>
    <w:rsid w:val="008B768C"/>
    <w:rsid w:val="008C38D6"/>
    <w:rsid w:val="008C4DB1"/>
    <w:rsid w:val="008C4EAF"/>
    <w:rsid w:val="008C5176"/>
    <w:rsid w:val="008C7FD0"/>
    <w:rsid w:val="008D591E"/>
    <w:rsid w:val="008E1DE7"/>
    <w:rsid w:val="008E707C"/>
    <w:rsid w:val="008F7D39"/>
    <w:rsid w:val="00900B08"/>
    <w:rsid w:val="00902155"/>
    <w:rsid w:val="00902FA3"/>
    <w:rsid w:val="00907D9B"/>
    <w:rsid w:val="009104CD"/>
    <w:rsid w:val="00923564"/>
    <w:rsid w:val="0092392E"/>
    <w:rsid w:val="00925424"/>
    <w:rsid w:val="009315F9"/>
    <w:rsid w:val="00933499"/>
    <w:rsid w:val="00935C98"/>
    <w:rsid w:val="00946945"/>
    <w:rsid w:val="00950192"/>
    <w:rsid w:val="00951248"/>
    <w:rsid w:val="0095152F"/>
    <w:rsid w:val="00954C49"/>
    <w:rsid w:val="00955E37"/>
    <w:rsid w:val="009608F8"/>
    <w:rsid w:val="0097099F"/>
    <w:rsid w:val="00971997"/>
    <w:rsid w:val="00971FFC"/>
    <w:rsid w:val="009742A9"/>
    <w:rsid w:val="00980F3A"/>
    <w:rsid w:val="0098660A"/>
    <w:rsid w:val="009931C3"/>
    <w:rsid w:val="009B1F2A"/>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2E1"/>
    <w:rsid w:val="00A81E40"/>
    <w:rsid w:val="00A91331"/>
    <w:rsid w:val="00A91760"/>
    <w:rsid w:val="00A93B00"/>
    <w:rsid w:val="00A93C21"/>
    <w:rsid w:val="00A9409A"/>
    <w:rsid w:val="00AB215D"/>
    <w:rsid w:val="00AB64C9"/>
    <w:rsid w:val="00AC3C6A"/>
    <w:rsid w:val="00AD5620"/>
    <w:rsid w:val="00AD656B"/>
    <w:rsid w:val="00AD7C1B"/>
    <w:rsid w:val="00AE16BA"/>
    <w:rsid w:val="00AE1EBE"/>
    <w:rsid w:val="00AF07B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F5F"/>
    <w:rsid w:val="00B77EA6"/>
    <w:rsid w:val="00B81598"/>
    <w:rsid w:val="00B841F1"/>
    <w:rsid w:val="00B944D6"/>
    <w:rsid w:val="00BB4DF0"/>
    <w:rsid w:val="00BC289F"/>
    <w:rsid w:val="00BC2D50"/>
    <w:rsid w:val="00BC4070"/>
    <w:rsid w:val="00BC5361"/>
    <w:rsid w:val="00BC5460"/>
    <w:rsid w:val="00BC6B50"/>
    <w:rsid w:val="00BD0E25"/>
    <w:rsid w:val="00BF5BD6"/>
    <w:rsid w:val="00C03E31"/>
    <w:rsid w:val="00C26D6D"/>
    <w:rsid w:val="00C33E72"/>
    <w:rsid w:val="00C354B2"/>
    <w:rsid w:val="00C35554"/>
    <w:rsid w:val="00C42709"/>
    <w:rsid w:val="00C533CC"/>
    <w:rsid w:val="00C55F31"/>
    <w:rsid w:val="00C5751C"/>
    <w:rsid w:val="00C61BFC"/>
    <w:rsid w:val="00C62B85"/>
    <w:rsid w:val="00C64572"/>
    <w:rsid w:val="00C65438"/>
    <w:rsid w:val="00C872F2"/>
    <w:rsid w:val="00C87FD8"/>
    <w:rsid w:val="00C91381"/>
    <w:rsid w:val="00C91CBB"/>
    <w:rsid w:val="00CB4E70"/>
    <w:rsid w:val="00CC09B6"/>
    <w:rsid w:val="00CC666F"/>
    <w:rsid w:val="00CD1E3F"/>
    <w:rsid w:val="00CE44F6"/>
    <w:rsid w:val="00CE49DA"/>
    <w:rsid w:val="00CE7B61"/>
    <w:rsid w:val="00CF6C45"/>
    <w:rsid w:val="00D00095"/>
    <w:rsid w:val="00D114F0"/>
    <w:rsid w:val="00D20620"/>
    <w:rsid w:val="00D254F7"/>
    <w:rsid w:val="00D26091"/>
    <w:rsid w:val="00D2685C"/>
    <w:rsid w:val="00D34E7C"/>
    <w:rsid w:val="00D35489"/>
    <w:rsid w:val="00D36AFE"/>
    <w:rsid w:val="00D51276"/>
    <w:rsid w:val="00D52214"/>
    <w:rsid w:val="00D614DA"/>
    <w:rsid w:val="00D7035F"/>
    <w:rsid w:val="00D87711"/>
    <w:rsid w:val="00DA0737"/>
    <w:rsid w:val="00DA634F"/>
    <w:rsid w:val="00DA65AC"/>
    <w:rsid w:val="00DB04DE"/>
    <w:rsid w:val="00DB1913"/>
    <w:rsid w:val="00DB78C8"/>
    <w:rsid w:val="00DC410D"/>
    <w:rsid w:val="00DC5A81"/>
    <w:rsid w:val="00DC68CA"/>
    <w:rsid w:val="00DC7CBA"/>
    <w:rsid w:val="00DD1589"/>
    <w:rsid w:val="00DD73B7"/>
    <w:rsid w:val="00DF28BC"/>
    <w:rsid w:val="00DF34B9"/>
    <w:rsid w:val="00E01053"/>
    <w:rsid w:val="00E07ACF"/>
    <w:rsid w:val="00E274BB"/>
    <w:rsid w:val="00E30AF9"/>
    <w:rsid w:val="00E331A1"/>
    <w:rsid w:val="00E33202"/>
    <w:rsid w:val="00E336A9"/>
    <w:rsid w:val="00E3510D"/>
    <w:rsid w:val="00E472B1"/>
    <w:rsid w:val="00E47C77"/>
    <w:rsid w:val="00E50624"/>
    <w:rsid w:val="00E568DF"/>
    <w:rsid w:val="00E64269"/>
    <w:rsid w:val="00E652FA"/>
    <w:rsid w:val="00E82267"/>
    <w:rsid w:val="00E853CE"/>
    <w:rsid w:val="00E867B6"/>
    <w:rsid w:val="00EA010F"/>
    <w:rsid w:val="00EA19B7"/>
    <w:rsid w:val="00ED1B63"/>
    <w:rsid w:val="00ED3C1F"/>
    <w:rsid w:val="00ED4085"/>
    <w:rsid w:val="00ED420E"/>
    <w:rsid w:val="00ED6FBE"/>
    <w:rsid w:val="00EE2F57"/>
    <w:rsid w:val="00EF4C34"/>
    <w:rsid w:val="00EF77C6"/>
    <w:rsid w:val="00F00934"/>
    <w:rsid w:val="00F05438"/>
    <w:rsid w:val="00F11029"/>
    <w:rsid w:val="00F1361C"/>
    <w:rsid w:val="00F156F0"/>
    <w:rsid w:val="00F160C7"/>
    <w:rsid w:val="00F2408F"/>
    <w:rsid w:val="00F240E9"/>
    <w:rsid w:val="00F36D8F"/>
    <w:rsid w:val="00F37C62"/>
    <w:rsid w:val="00F417B1"/>
    <w:rsid w:val="00F45853"/>
    <w:rsid w:val="00F602DF"/>
    <w:rsid w:val="00F754A1"/>
    <w:rsid w:val="00F81FD9"/>
    <w:rsid w:val="00F832A8"/>
    <w:rsid w:val="00F841AA"/>
    <w:rsid w:val="00F84A94"/>
    <w:rsid w:val="00F87E96"/>
    <w:rsid w:val="00FA23E8"/>
    <w:rsid w:val="00FA497D"/>
    <w:rsid w:val="00FD3CC1"/>
    <w:rsid w:val="00FF1E02"/>
    <w:rsid w:val="00FF30B4"/>
    <w:rsid w:val="00FF32E3"/>
    <w:rsid w:val="066E0107"/>
    <w:rsid w:val="07996F6E"/>
    <w:rsid w:val="0A2032A3"/>
    <w:rsid w:val="101860EC"/>
    <w:rsid w:val="10236F7C"/>
    <w:rsid w:val="10C055FF"/>
    <w:rsid w:val="118107EC"/>
    <w:rsid w:val="13D50BC4"/>
    <w:rsid w:val="16BB723D"/>
    <w:rsid w:val="17486A1A"/>
    <w:rsid w:val="184D38D3"/>
    <w:rsid w:val="1BE8440E"/>
    <w:rsid w:val="1D155CEE"/>
    <w:rsid w:val="23860B96"/>
    <w:rsid w:val="240371BF"/>
    <w:rsid w:val="29FD04D3"/>
    <w:rsid w:val="2C8A61B5"/>
    <w:rsid w:val="2DF04E50"/>
    <w:rsid w:val="319F7F4E"/>
    <w:rsid w:val="36AA5135"/>
    <w:rsid w:val="37E16F03"/>
    <w:rsid w:val="3D98207C"/>
    <w:rsid w:val="44E268DA"/>
    <w:rsid w:val="46C85294"/>
    <w:rsid w:val="4A627F82"/>
    <w:rsid w:val="4B4F25DA"/>
    <w:rsid w:val="4BE068DB"/>
    <w:rsid w:val="4D577224"/>
    <w:rsid w:val="4EAB630A"/>
    <w:rsid w:val="4ECE2238"/>
    <w:rsid w:val="598D40DE"/>
    <w:rsid w:val="5AF92295"/>
    <w:rsid w:val="5CD71FC4"/>
    <w:rsid w:val="5DBB2B8C"/>
    <w:rsid w:val="6C4A05C8"/>
    <w:rsid w:val="6E7E3605"/>
    <w:rsid w:val="6FF5CC65"/>
    <w:rsid w:val="708C75B8"/>
    <w:rsid w:val="70A5525E"/>
    <w:rsid w:val="715C0E4B"/>
    <w:rsid w:val="72734D90"/>
    <w:rsid w:val="73AD73D5"/>
    <w:rsid w:val="73B6EB34"/>
    <w:rsid w:val="74887B48"/>
    <w:rsid w:val="79EE5BA4"/>
    <w:rsid w:val="7A894339"/>
    <w:rsid w:val="7DFD54DE"/>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0"/>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99"/>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Body Text First Indent 21"/>
    <w:basedOn w:val="1"/>
    <w:qFormat/>
    <w:uiPriority w:val="0"/>
    <w:pPr>
      <w:ind w:firstLine="420" w:firstLineChars="200"/>
    </w:pPr>
  </w:style>
  <w:style w:type="paragraph" w:customStyle="1" w:styleId="31">
    <w:name w:val="Char Char1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4222</Words>
  <Characters>4847</Characters>
  <Lines>138</Lines>
  <Paragraphs>38</Paragraphs>
  <TotalTime>18</TotalTime>
  <ScaleCrop>false</ScaleCrop>
  <LinksUpToDate>false</LinksUpToDate>
  <CharactersWithSpaces>4875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2022-10-30T09:33:00Z</dcterms:created>
  <dc:creator>曹颖</dc:creator>
  <cp:lastModifiedBy>the balloon</cp:lastModifiedBy>
  <cp:lastPrinted>2022-08-08T09:11:00Z</cp:lastPrinted>
  <dcterms:modified xsi:type="dcterms:W3CDTF">2025-07-10T08:41:13Z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142CC799BA444B85907B9F7B272564FD</vt:lpwstr>
  </property>
  <property fmtid="{D5CDD505-2E9C-101B-9397-08002B2CF9AE}" pid="4" name="KSOTemplateDocerSaveRecord">
    <vt:lpwstr>eyJoZGlkIjoiYzJlNGJhMTZkZTBlMjllNGY5MTVjY2MwMjUyNzg0OGIiLCJ1c2VySWQiOiIyODQwNTg4NDMifQ==</vt:lpwstr>
  </property>
</Properties>
</file>