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96475"/>
      <w:bookmarkStart w:id="3" w:name="_Toc15377193"/>
      <w:bookmarkStart w:id="4" w:name="_Toc15377425"/>
      <w:bookmarkStart w:id="5" w:name="_Toc15378441"/>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78442"/>
      <w:bookmarkStart w:id="7" w:name="_Toc15396598"/>
      <w:bookmarkStart w:id="8" w:name="_Toc15396476"/>
      <w:bookmarkStart w:id="9" w:name="_Toc15377426"/>
      <w:bookmarkStart w:id="10" w:name="_Toc15377194"/>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lang w:eastAsia="zh-CN"/>
        </w:rPr>
        <w:t>峨眉山军供站</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lang w:eastAsia="zh-CN"/>
        </w:rPr>
        <w:t>编制说明</w:t>
      </w:r>
    </w:p>
    <w:p>
      <w:pPr>
        <w:adjustRightInd w:val="0"/>
        <w:snapToGrid w:val="0"/>
        <w:spacing w:line="360" w:lineRule="auto"/>
        <w:jc w:val="center"/>
        <w:outlineLvl w:val="0"/>
        <w:rPr>
          <w:rFonts w:ascii="方正小标宋简体" w:hAnsi="宋体" w:eastAsia="方正小标宋简体"/>
          <w:sz w:val="52"/>
          <w:szCs w:val="5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w:t>
      </w:r>
      <w:r>
        <w:rPr>
          <w:rFonts w:hint="eastAsia" w:ascii="楷体_GB2312" w:hAnsi="楷体_GB2312" w:eastAsia="楷体_GB2312" w:cs="楷体_GB2312"/>
          <w:sz w:val="32"/>
          <w:szCs w:val="32"/>
          <w:lang w:val="en-US" w:eastAsia="zh-CN"/>
        </w:rPr>
        <w:t>31</w:t>
      </w:r>
      <w:r>
        <w:rPr>
          <w:rFonts w:hint="eastAsia" w:ascii="楷体_GB2312" w:hAnsi="楷体_GB2312" w:eastAsia="楷体_GB2312" w:cs="楷体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第一部分 单位概况</w:t>
      </w:r>
      <w:r>
        <w:rPr>
          <w:rFonts w:hint="eastAsia" w:ascii="仿宋_GB2312" w:hAnsi="仿宋_GB2312" w:eastAsia="仿宋_GB2312" w:cs="仿宋_GB2312"/>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一、职能简介</w:t>
      </w:r>
      <w:r>
        <w:rPr>
          <w:rFonts w:hint="eastAsia" w:ascii="仿宋_GB2312" w:hAnsi="仿宋_GB2312" w:eastAsia="仿宋_GB2312" w:cs="仿宋_GB2312"/>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二、2021年重点工作完成情况</w:t>
      </w:r>
      <w:r>
        <w:rPr>
          <w:rFonts w:hint="eastAsia" w:ascii="仿宋_GB2312" w:hAnsi="仿宋_GB2312" w:eastAsia="仿宋_GB2312" w:cs="仿宋_GB2312"/>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rPr>
      </w:pPr>
      <w:r>
        <w:rPr>
          <w:rFonts w:hint="eastAsia" w:ascii="黑体" w:hAnsi="黑体" w:eastAsia="黑体" w:cs="黑体"/>
          <w:sz w:val="32"/>
          <w:szCs w:val="32"/>
          <w:lang w:eastAsia="zh-CN"/>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2021年度单位决算情况说明</w:t>
      </w:r>
      <w:r>
        <w:rPr>
          <w:rFonts w:hint="eastAsia" w:ascii="仿宋_GB2312" w:hAnsi="仿宋_GB2312" w:eastAsia="仿宋_GB2312" w:cs="仿宋_GB2312"/>
          <w:sz w:val="32"/>
          <w:szCs w:val="32"/>
          <w:lang w:val="en-US" w:eastAsia="zh-CN"/>
        </w:rPr>
        <w:t>******************5-12</w:t>
      </w:r>
    </w:p>
    <w:p>
      <w:pPr>
        <w:pStyle w:val="10"/>
        <w:keepNext w:val="0"/>
        <w:keepLines w:val="0"/>
        <w:pageBreakBefore w:val="0"/>
        <w:numPr>
          <w:ilvl w:val="0"/>
          <w:numId w:val="0"/>
        </w:numPr>
        <w:kinsoku/>
        <w:wordWrap/>
        <w:overflowPunct/>
        <w:topLinePunct w:val="0"/>
        <w:autoSpaceDE/>
        <w:autoSpaceDN/>
        <w:bidi w:val="0"/>
        <w:adjustRightInd w:val="0"/>
        <w:snapToGrid w:val="0"/>
        <w:spacing w:before="0" w:line="600" w:lineRule="exact"/>
        <w:ind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*********************5</w:t>
      </w:r>
    </w:p>
    <w:p>
      <w:pPr>
        <w:pStyle w:val="11"/>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*****************************5-6</w:t>
      </w:r>
    </w:p>
    <w:p>
      <w:pPr>
        <w:pStyle w:val="11"/>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*****************************6</w:t>
      </w:r>
    </w:p>
    <w:p>
      <w:pPr>
        <w:pStyle w:val="11"/>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*************7</w:t>
      </w:r>
    </w:p>
    <w:p>
      <w:pPr>
        <w:pStyle w:val="11"/>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********7-9</w:t>
      </w:r>
    </w:p>
    <w:p>
      <w:pPr>
        <w:pStyle w:val="11"/>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***9-10</w:t>
      </w:r>
    </w:p>
    <w:p>
      <w:pPr>
        <w:pStyle w:val="11"/>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lang w:val="en-US" w:eastAsia="zh-CN"/>
        </w:rPr>
        <w:t>********10-11</w:t>
      </w:r>
    </w:p>
    <w:p>
      <w:pPr>
        <w:pStyle w:val="11"/>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***************11</w:t>
      </w:r>
    </w:p>
    <w:p>
      <w:pPr>
        <w:pStyle w:val="11"/>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val="en-US" w:eastAsia="zh-CN"/>
        </w:rPr>
        <w:t>*************12</w:t>
      </w:r>
    </w:p>
    <w:p>
      <w:pPr>
        <w:pStyle w:val="11"/>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lang w:val="en-US" w:eastAsia="zh-CN"/>
        </w:rPr>
        <w:t>***********************12</w:t>
      </w:r>
    </w:p>
    <w:p>
      <w:pPr>
        <w:pStyle w:val="10"/>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rPr>
      </w:pPr>
      <w:r>
        <w:rPr>
          <w:rFonts w:hint="eastAsia" w:ascii="黑体" w:hAnsi="黑体" w:eastAsia="黑体" w:cs="黑体"/>
          <w:sz w:val="32"/>
          <w:szCs w:val="32"/>
        </w:rPr>
        <w:t>第三部分 名词解释</w:t>
      </w:r>
      <w:r>
        <w:rPr>
          <w:rFonts w:hint="eastAsia" w:ascii="仿宋_GB2312" w:hAnsi="仿宋_GB2312" w:eastAsia="仿宋_GB2312" w:cs="仿宋_GB2312"/>
          <w:sz w:val="32"/>
          <w:szCs w:val="32"/>
          <w:lang w:val="en-US" w:eastAsia="zh-CN"/>
        </w:rPr>
        <w:t>*********************************13-14</w:t>
      </w:r>
    </w:p>
    <w:p>
      <w:pPr>
        <w:pStyle w:val="10"/>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仿宋_GB2312" w:hAnsi="仿宋_GB2312" w:eastAsia="仿宋_GB2312" w:cs="仿宋_GB2312"/>
          <w:sz w:val="32"/>
          <w:szCs w:val="32"/>
          <w:lang w:val="en-US"/>
        </w:rPr>
      </w:pPr>
      <w:r>
        <w:rPr>
          <w:rFonts w:hint="eastAsia" w:ascii="黑体" w:hAnsi="黑体" w:eastAsia="黑体" w:cs="黑体"/>
          <w:sz w:val="32"/>
          <w:szCs w:val="32"/>
        </w:rPr>
        <w:t>第四部分 附件</w:t>
      </w:r>
      <w:r>
        <w:rPr>
          <w:rFonts w:hint="eastAsia" w:ascii="仿宋_GB2312" w:hAnsi="仿宋_GB2312" w:eastAsia="仿宋_GB2312" w:cs="仿宋_GB2312"/>
          <w:sz w:val="32"/>
          <w:szCs w:val="32"/>
          <w:lang w:val="en-US" w:eastAsia="zh-CN"/>
        </w:rPr>
        <w:t>*************************************15-19</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rPr>
      </w:pPr>
      <w:r>
        <w:rPr>
          <w:rFonts w:hint="eastAsia" w:ascii="黑体" w:hAnsi="黑体" w:eastAsia="黑体" w:cs="黑体"/>
          <w:sz w:val="32"/>
          <w:szCs w:val="32"/>
        </w:rPr>
        <w:t>第五部分 附表</w:t>
      </w:r>
      <w:r>
        <w:rPr>
          <w:rFonts w:hint="eastAsia" w:ascii="仿宋_GB2312" w:hAnsi="仿宋_GB2312" w:eastAsia="仿宋_GB2312" w:cs="仿宋_GB2312"/>
          <w:sz w:val="32"/>
          <w:szCs w:val="32"/>
          <w:lang w:val="en-US" w:eastAsia="zh-CN"/>
        </w:rPr>
        <w:t>****************************************20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1"/>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1"/>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1"/>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1"/>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1"/>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1"/>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1"/>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1"/>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1"/>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1"/>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1"/>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keepNext w:val="0"/>
        <w:keepLines w:val="0"/>
        <w:pageBreakBefore w:val="0"/>
        <w:widowControl/>
        <w:kinsoku/>
        <w:wordWrap/>
        <w:overflowPunct/>
        <w:topLinePunct w:val="0"/>
        <w:autoSpaceDE/>
        <w:autoSpaceDN/>
        <w:bidi w:val="0"/>
        <w:spacing w:line="600" w:lineRule="exact"/>
        <w:jc w:val="left"/>
        <w:textAlignment w:val="auto"/>
        <w:rPr>
          <w:rFonts w:ascii="仿宋" w:hAnsi="仿宋" w:eastAsia="仿宋"/>
          <w:bCs/>
          <w:kern w:val="44"/>
          <w:sz w:val="24"/>
        </w:rPr>
      </w:pPr>
      <w:bookmarkStart w:id="12" w:name="_Toc15396599"/>
      <w:bookmarkStart w:id="13" w:name="_Toc15377196"/>
      <w:r>
        <w:rPr>
          <w:rFonts w:ascii="仿宋" w:hAnsi="仿宋" w:eastAsia="仿宋"/>
          <w:b/>
          <w:sz w:val="24"/>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单位概况</w:t>
      </w:r>
      <w:bookmarkEnd w:id="12"/>
      <w:bookmarkEnd w:id="13"/>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_GBK" w:hAnsi="方正小标宋_GBK" w:eastAsia="方正小标宋_GBK" w:cs="方正小标宋_GBK"/>
          <w:sz w:val="44"/>
          <w:szCs w:val="44"/>
        </w:rPr>
      </w:pPr>
    </w:p>
    <w:p>
      <w:pPr>
        <w:numPr>
          <w:ilvl w:val="0"/>
          <w:numId w:val="1"/>
        </w:numPr>
        <w:snapToGrid w:val="0"/>
        <w:spacing w:line="520" w:lineRule="exact"/>
        <w:ind w:firstLine="640" w:firstLineChars="200"/>
        <w:rPr>
          <w:rFonts w:hint="eastAsia" w:ascii="黑体" w:hAnsi="黑体" w:eastAsia="黑体" w:cs="黑体"/>
          <w:sz w:val="32"/>
          <w:szCs w:val="32"/>
        </w:rPr>
      </w:pPr>
      <w:bookmarkStart w:id="14" w:name="_Toc15396600"/>
      <w:bookmarkStart w:id="15" w:name="_Toc15377197"/>
      <w:r>
        <w:rPr>
          <w:rFonts w:hint="eastAsia" w:ascii="黑体" w:hAnsi="黑体" w:eastAsia="黑体" w:cs="黑体"/>
          <w:sz w:val="32"/>
          <w:szCs w:val="32"/>
        </w:rPr>
        <w:t>职能简介</w:t>
      </w:r>
    </w:p>
    <w:p>
      <w:pPr>
        <w:numPr>
          <w:ilvl w:val="0"/>
          <w:numId w:val="0"/>
        </w:numPr>
        <w:snapToGrid w:val="0"/>
        <w:spacing w:line="520" w:lineRule="exact"/>
        <w:ind w:firstLine="640" w:firstLineChars="200"/>
        <w:rPr>
          <w:rFonts w:hint="eastAsia" w:ascii="宋体" w:hAnsi="宋体" w:eastAsia="宋体" w:cs="宋体"/>
          <w:sz w:val="32"/>
          <w:szCs w:val="32"/>
        </w:rPr>
      </w:pPr>
      <w:r>
        <w:rPr>
          <w:rFonts w:hint="eastAsia" w:ascii="仿宋_GB2312" w:hAnsi="仿宋_GB2312" w:eastAsia="仿宋_GB2312" w:cs="仿宋_GB2312"/>
          <w:sz w:val="32"/>
          <w:szCs w:val="32"/>
        </w:rPr>
        <w:t>峨眉山军供站是执行战略训练、抢险救灾以及应对其他突发性事件等任务的成批过往部队、支前民兵、集结入伍的新兵、退伍老兵等提供饮食饮水、日常生活物资供应、临时住宿等保障。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二、2021年重点工作</w:t>
      </w:r>
      <w:bookmarkEnd w:id="14"/>
      <w:bookmarkEnd w:id="15"/>
      <w:r>
        <w:rPr>
          <w:rFonts w:hint="eastAsia" w:ascii="黑体" w:hAnsi="黑体" w:eastAsia="黑体" w:cs="黑体"/>
          <w:sz w:val="32"/>
          <w:szCs w:val="32"/>
        </w:rPr>
        <w:t>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来</w:t>
      </w:r>
      <w:r>
        <w:rPr>
          <w:rFonts w:hint="eastAsia" w:ascii="仿宋_GB2312" w:hAnsi="仿宋_GB2312" w:eastAsia="仿宋_GB2312" w:cs="仿宋_GB2312"/>
          <w:sz w:val="32"/>
          <w:szCs w:val="32"/>
        </w:rPr>
        <w:t>，我站在主管局的正确领导下，以习近平新时代中国特色</w:t>
      </w:r>
      <w:r>
        <w:rPr>
          <w:rFonts w:hint="eastAsia" w:ascii="仿宋_GB2312" w:hAnsi="仿宋_GB2312" w:eastAsia="仿宋_GB2312" w:cs="仿宋_GB2312"/>
          <w:sz w:val="32"/>
          <w:szCs w:val="32"/>
          <w:lang w:eastAsia="zh-CN"/>
        </w:rPr>
        <w:t>社会主义思想</w:t>
      </w:r>
      <w:r>
        <w:rPr>
          <w:rFonts w:hint="eastAsia" w:ascii="仿宋_GB2312" w:hAnsi="仿宋_GB2312" w:eastAsia="仿宋_GB2312" w:cs="仿宋_GB2312"/>
          <w:sz w:val="32"/>
          <w:szCs w:val="32"/>
        </w:rPr>
        <w:t>为指引，自觉增强“四个意识”，坚定“四个自信”，做到“两个维护”，</w:t>
      </w:r>
      <w:r>
        <w:rPr>
          <w:rFonts w:hint="eastAsia" w:ascii="仿宋_GB2312" w:hAnsi="仿宋_GB2312" w:eastAsia="仿宋_GB2312" w:cs="仿宋_GB2312"/>
          <w:sz w:val="32"/>
          <w:szCs w:val="32"/>
          <w:lang w:eastAsia="zh-CN"/>
        </w:rPr>
        <w:t>利用党史教育的契</w:t>
      </w:r>
      <w:bookmarkStart w:id="68" w:name="_GoBack"/>
      <w:bookmarkEnd w:id="68"/>
      <w:r>
        <w:rPr>
          <w:rFonts w:hint="eastAsia" w:ascii="仿宋_GB2312" w:hAnsi="仿宋_GB2312" w:eastAsia="仿宋_GB2312" w:cs="仿宋_GB2312"/>
          <w:sz w:val="32"/>
          <w:szCs w:val="32"/>
          <w:lang w:eastAsia="zh-CN"/>
        </w:rPr>
        <w:t>机，引导</w:t>
      </w:r>
      <w:r>
        <w:rPr>
          <w:rFonts w:hint="eastAsia" w:ascii="仿宋_GB2312" w:hAnsi="仿宋_GB2312" w:eastAsia="仿宋_GB2312" w:cs="仿宋_GB2312"/>
          <w:sz w:val="32"/>
          <w:szCs w:val="32"/>
        </w:rPr>
        <w:t>全站职工</w:t>
      </w:r>
      <w:r>
        <w:rPr>
          <w:rFonts w:hint="eastAsia" w:ascii="仿宋_GB2312" w:hAnsi="仿宋_GB2312" w:eastAsia="仿宋_GB2312" w:cs="仿宋_GB2312"/>
          <w:sz w:val="32"/>
          <w:szCs w:val="32"/>
          <w:lang w:eastAsia="zh-CN"/>
        </w:rPr>
        <w:t>学史明理、学史增信、学史崇德、学史力行。各项目标任务有序推进，</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了以下</w:t>
      </w:r>
      <w:r>
        <w:rPr>
          <w:rFonts w:hint="eastAsia" w:ascii="仿宋_GB2312" w:hAnsi="仿宋_GB2312" w:eastAsia="仿宋_GB2312" w:cs="仿宋_GB2312"/>
          <w:sz w:val="32"/>
          <w:szCs w:val="32"/>
        </w:rPr>
        <w:t>工作：</w:t>
      </w:r>
    </w:p>
    <w:p>
      <w:pPr>
        <w:numPr>
          <w:ilvl w:val="0"/>
          <w:numId w:val="2"/>
        </w:numPr>
        <w:snapToGrid w:val="0"/>
        <w:spacing w:line="52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全年圆满的完成了过往部队及新兵的军供饮食保障，全部做到安全、正点、无事故，受到军方及上级领导的高度表扬。</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第三次成功创建全国重点军供站。</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疫情防控工作常态化推进</w:t>
      </w:r>
      <w:r>
        <w:rPr>
          <w:rFonts w:hint="eastAsia" w:ascii="仿宋_GB2312" w:hAnsi="仿宋_GB2312" w:eastAsia="仿宋_GB2312" w:cs="仿宋_GB2312"/>
          <w:sz w:val="32"/>
          <w:szCs w:val="32"/>
          <w:lang w:eastAsia="zh-CN"/>
        </w:rPr>
        <w:t>，坚持疫情防控常态化，及时落实上级防疫部署。</w:t>
      </w:r>
    </w:p>
    <w:p>
      <w:pPr>
        <w:numPr>
          <w:ilvl w:val="0"/>
          <w:numId w:val="2"/>
        </w:numPr>
        <w:snapToGrid w:val="0"/>
        <w:spacing w:line="520" w:lineRule="exact"/>
        <w:ind w:left="0" w:leftChars="0"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积极参与“双创工作”，圆满完成各项工作任务。</w:t>
      </w:r>
    </w:p>
    <w:p>
      <w:pPr>
        <w:numPr>
          <w:ilvl w:val="0"/>
          <w:numId w:val="2"/>
        </w:numPr>
        <w:snapToGrid w:val="0"/>
        <w:spacing w:line="520" w:lineRule="exact"/>
        <w:ind w:left="0" w:leftChars="0"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保质保量完成“大走访”、扶贫及乡村振兴等工作。</w:t>
      </w:r>
    </w:p>
    <w:p>
      <w:pPr>
        <w:widowControl/>
        <w:jc w:val="left"/>
        <w:rPr>
          <w:rFonts w:ascii="仿宋" w:hAnsi="仿宋" w:eastAsia="仿宋"/>
          <w:kern w:val="0"/>
          <w:sz w:val="32"/>
          <w:szCs w:val="32"/>
        </w:rPr>
      </w:pPr>
      <w:r>
        <w:rPr>
          <w:rFonts w:ascii="仿宋" w:hAnsi="仿宋" w:eastAsia="仿宋"/>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bookmarkStart w:id="16" w:name="_Toc15377204"/>
      <w:bookmarkStart w:id="17" w:name="_Toc15396602"/>
      <w:r>
        <w:rPr>
          <w:rFonts w:hint="eastAsia" w:ascii="方正小标宋_GBK" w:hAnsi="方正小标宋_GBK" w:eastAsia="方正小标宋_GBK" w:cs="方正小标宋_GBK"/>
          <w:sz w:val="44"/>
          <w:szCs w:val="44"/>
        </w:rPr>
        <w:t>第二部分 2021年度单位决算情况说明</w:t>
      </w:r>
      <w:bookmarkEnd w:id="16"/>
      <w:bookmarkEnd w:id="17"/>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18" w:name="_Toc15396603"/>
      <w:bookmarkStart w:id="19" w:name="_Toc15377205"/>
      <w:r>
        <w:rPr>
          <w:rFonts w:hint="eastAsia" w:ascii="黑体" w:hAnsi="黑体" w:eastAsia="黑体" w:cs="黑体"/>
          <w:sz w:val="32"/>
          <w:szCs w:val="32"/>
          <w:lang w:eastAsia="zh-CN"/>
        </w:rPr>
        <w:t>一、</w:t>
      </w:r>
      <w:r>
        <w:rPr>
          <w:rFonts w:hint="eastAsia" w:ascii="黑体" w:hAnsi="黑体" w:eastAsia="黑体" w:cs="黑体"/>
          <w:sz w:val="32"/>
          <w:szCs w:val="32"/>
        </w:rPr>
        <w:t>收入支出决算总体情况说明</w:t>
      </w:r>
      <w:bookmarkEnd w:id="18"/>
      <w:bookmarkEnd w:id="1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2021年度收、支总计</w:t>
      </w:r>
      <w:r>
        <w:rPr>
          <w:rFonts w:hint="eastAsia" w:ascii="仿宋_GB2312" w:hAnsi="仿宋_GB2312" w:eastAsia="仿宋_GB2312" w:cs="仿宋_GB2312"/>
          <w:sz w:val="32"/>
          <w:szCs w:val="32"/>
          <w:lang w:val="en-US" w:eastAsia="zh-CN"/>
        </w:rPr>
        <w:t>254.48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val="en-US" w:eastAsia="zh-CN"/>
        </w:rPr>
        <w:t>其中：收入122.4万元，支出132.08万元</w:t>
      </w:r>
      <w:r>
        <w:rPr>
          <w:rFonts w:hint="eastAsia" w:ascii="仿宋_GB2312" w:hAnsi="仿宋_GB2312" w:eastAsia="仿宋_GB2312" w:cs="仿宋_GB2312"/>
          <w:sz w:val="32"/>
          <w:szCs w:val="32"/>
        </w:rPr>
        <w:t>。与2020年相比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收、支总计</w:t>
      </w:r>
      <w:r>
        <w:rPr>
          <w:rFonts w:hint="eastAsia" w:ascii="仿宋_GB2312" w:hAnsi="仿宋_GB2312" w:eastAsia="仿宋_GB2312" w:cs="仿宋_GB2312"/>
          <w:color w:val="000000"/>
          <w:sz w:val="32"/>
          <w:szCs w:val="32"/>
          <w:lang w:eastAsia="zh-CN"/>
        </w:rPr>
        <w:t>收入增加</w:t>
      </w:r>
      <w:r>
        <w:rPr>
          <w:rFonts w:hint="eastAsia" w:ascii="仿宋_GB2312" w:hAnsi="仿宋_GB2312" w:eastAsia="仿宋_GB2312" w:cs="仿宋_GB2312"/>
          <w:color w:val="000000"/>
          <w:sz w:val="32"/>
          <w:szCs w:val="32"/>
          <w:lang w:val="en-US" w:eastAsia="zh-CN"/>
        </w:rPr>
        <w:t>2.25万元，增加1.9%；支出增加19.06万元，增加16.86%。</w:t>
      </w:r>
      <w:r>
        <w:rPr>
          <w:rFonts w:hint="eastAsia" w:ascii="仿宋_GB2312" w:hAnsi="仿宋_GB2312" w:eastAsia="仿宋_GB2312" w:cs="仿宋_GB2312"/>
          <w:sz w:val="32"/>
          <w:szCs w:val="32"/>
        </w:rPr>
        <w:t>主要变动原因</w:t>
      </w:r>
      <w:r>
        <w:rPr>
          <w:rFonts w:hint="eastAsia" w:ascii="仿宋_GB2312" w:hAnsi="仿宋_GB2312" w:eastAsia="仿宋_GB2312" w:cs="仿宋_GB2312"/>
          <w:sz w:val="32"/>
          <w:szCs w:val="32"/>
          <w:lang w:eastAsia="zh-CN"/>
        </w:rPr>
        <w:t>是：收入增加是人员经费增加；支出增加是人员经费增加和维修改造经费的支出。</w:t>
      </w:r>
    </w:p>
    <w:p>
      <w:pPr>
        <w:pStyle w:val="2"/>
        <w:tabs>
          <w:tab w:val="left" w:pos="3309"/>
          <w:tab w:val="center" w:pos="4539"/>
        </w:tabs>
        <w:jc w:val="center"/>
        <w:rPr>
          <w:rFonts w:hint="eastAsia"/>
        </w:rPr>
      </w:pPr>
      <w:r>
        <w:drawing>
          <wp:inline distT="0" distB="0" distL="114300" distR="114300">
            <wp:extent cx="4210685" cy="2209800"/>
            <wp:effectExtent l="4445" t="4445" r="13970" b="14605"/>
            <wp:docPr id="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23"/>
        <w:keepNext w:val="0"/>
        <w:keepLines w:val="0"/>
        <w:pageBreakBefore w:val="0"/>
        <w:numPr>
          <w:ilvl w:val="0"/>
          <w:numId w:val="0"/>
        </w:numPr>
        <w:kinsoku/>
        <w:wordWrap/>
        <w:overflowPunct/>
        <w:topLinePunct w:val="0"/>
        <w:bidi w:val="0"/>
        <w:snapToGrid/>
        <w:spacing w:line="600" w:lineRule="exact"/>
        <w:ind w:left="640" w:leftChars="0"/>
        <w:textAlignment w:val="auto"/>
        <w:outlineLvl w:val="1"/>
        <w:rPr>
          <w:rStyle w:val="25"/>
          <w:rFonts w:ascii="黑体" w:hAnsi="黑体" w:eastAsia="黑体"/>
          <w:b w:val="0"/>
        </w:rPr>
      </w:pPr>
      <w:bookmarkStart w:id="20" w:name="_Toc15396604"/>
      <w:bookmarkStart w:id="21" w:name="_Toc15377206"/>
      <w:r>
        <w:rPr>
          <w:rFonts w:hint="eastAsia" w:ascii="黑体" w:hAnsi="黑体" w:eastAsia="黑体"/>
          <w:sz w:val="32"/>
          <w:szCs w:val="32"/>
          <w:lang w:eastAsia="zh-CN"/>
        </w:rPr>
        <w:t>二、</w:t>
      </w:r>
      <w:r>
        <w:rPr>
          <w:rFonts w:hint="eastAsia" w:ascii="黑体" w:hAnsi="黑体" w:eastAsia="黑体"/>
          <w:sz w:val="32"/>
          <w:szCs w:val="32"/>
        </w:rPr>
        <w:t>收</w:t>
      </w:r>
      <w:r>
        <w:rPr>
          <w:rStyle w:val="25"/>
          <w:rFonts w:hint="eastAsia" w:ascii="黑体" w:hAnsi="黑体" w:eastAsia="黑体"/>
          <w:b w:val="0"/>
        </w:rPr>
        <w:t>入决算情况说明</w:t>
      </w:r>
      <w:bookmarkEnd w:id="20"/>
      <w:bookmarkEnd w:id="2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w:t>
      </w:r>
      <w:r>
        <w:rPr>
          <w:rFonts w:hint="eastAsia" w:ascii="仿宋_GB2312" w:hAnsi="仿宋_GB2312" w:eastAsia="仿宋_GB2312" w:cs="仿宋_GB2312"/>
          <w:sz w:val="32"/>
          <w:szCs w:val="32"/>
          <w:lang w:val="en-US" w:eastAsia="zh-CN"/>
        </w:rPr>
        <w:t>122.4</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122.4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2"/>
        <w:jc w:val="center"/>
        <w:rPr>
          <w:rFonts w:hint="eastAsia"/>
        </w:rPr>
      </w:pPr>
      <w:r>
        <w:drawing>
          <wp:inline distT="0" distB="0" distL="114300" distR="114300">
            <wp:extent cx="4124325" cy="1981200"/>
            <wp:effectExtent l="4445" t="4445" r="5080"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23"/>
        <w:keepNext w:val="0"/>
        <w:keepLines w:val="0"/>
        <w:pageBreakBefore w:val="0"/>
        <w:numPr>
          <w:ilvl w:val="0"/>
          <w:numId w:val="0"/>
        </w:numPr>
        <w:kinsoku/>
        <w:wordWrap/>
        <w:overflowPunct/>
        <w:topLinePunct w:val="0"/>
        <w:bidi w:val="0"/>
        <w:snapToGrid/>
        <w:spacing w:line="600" w:lineRule="exact"/>
        <w:ind w:left="640" w:leftChars="0"/>
        <w:textAlignment w:val="auto"/>
        <w:outlineLvl w:val="1"/>
        <w:rPr>
          <w:rStyle w:val="25"/>
          <w:rFonts w:ascii="黑体" w:hAnsi="黑体" w:eastAsia="黑体"/>
          <w:b w:val="0"/>
        </w:rPr>
      </w:pPr>
      <w:bookmarkStart w:id="22" w:name="_Toc15396605"/>
      <w:bookmarkStart w:id="23" w:name="_Toc15377207"/>
      <w:r>
        <w:rPr>
          <w:rFonts w:hint="eastAsia" w:ascii="黑体" w:hAnsi="黑体" w:eastAsia="黑体"/>
          <w:sz w:val="32"/>
          <w:szCs w:val="32"/>
          <w:lang w:eastAsia="zh-CN"/>
        </w:rPr>
        <w:t>三、</w:t>
      </w:r>
      <w:r>
        <w:rPr>
          <w:rFonts w:hint="eastAsia" w:ascii="黑体" w:hAnsi="黑体" w:eastAsia="黑体"/>
          <w:sz w:val="32"/>
          <w:szCs w:val="32"/>
        </w:rPr>
        <w:t>支</w:t>
      </w:r>
      <w:r>
        <w:rPr>
          <w:rStyle w:val="25"/>
          <w:rFonts w:hint="eastAsia" w:ascii="黑体" w:hAnsi="黑体" w:eastAsia="黑体"/>
          <w:b w:val="0"/>
        </w:rPr>
        <w:t>出决算情况说明</w:t>
      </w:r>
      <w:bookmarkEnd w:id="22"/>
      <w:bookmarkEnd w:id="2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2021年本年支出合计</w:t>
      </w:r>
      <w:r>
        <w:rPr>
          <w:rFonts w:hint="eastAsia" w:ascii="仿宋_GB2312" w:hAnsi="仿宋_GB2312" w:eastAsia="仿宋_GB2312" w:cs="仿宋_GB2312"/>
          <w:b w:val="0"/>
          <w:bCs w:val="0"/>
          <w:sz w:val="32"/>
          <w:szCs w:val="32"/>
          <w:lang w:val="en-US" w:eastAsia="zh-CN"/>
        </w:rPr>
        <w:t>132.08</w:t>
      </w:r>
      <w:r>
        <w:rPr>
          <w:rFonts w:hint="eastAsia" w:ascii="仿宋_GB2312" w:hAnsi="仿宋_GB2312" w:eastAsia="仿宋_GB2312" w:cs="仿宋_GB2312"/>
          <w:b w:val="0"/>
          <w:bCs w:val="0"/>
          <w:sz w:val="32"/>
          <w:szCs w:val="32"/>
        </w:rPr>
        <w:t>万元，其中：基本支</w:t>
      </w:r>
      <w:r>
        <w:rPr>
          <w:rFonts w:hint="eastAsia" w:ascii="仿宋_GB2312" w:hAnsi="仿宋_GB2312" w:eastAsia="仿宋_GB2312" w:cs="仿宋_GB2312"/>
          <w:b w:val="0"/>
          <w:bCs w:val="0"/>
          <w:sz w:val="32"/>
          <w:szCs w:val="32"/>
          <w:lang w:eastAsia="zh-CN"/>
        </w:rPr>
        <w:t>出</w:t>
      </w:r>
      <w:r>
        <w:rPr>
          <w:rFonts w:hint="eastAsia" w:ascii="仿宋_GB2312" w:hAnsi="仿宋_GB2312" w:eastAsia="仿宋_GB2312" w:cs="仿宋_GB2312"/>
          <w:b w:val="0"/>
          <w:bCs w:val="0"/>
          <w:sz w:val="32"/>
          <w:szCs w:val="32"/>
          <w:lang w:val="en-US" w:eastAsia="zh-CN"/>
        </w:rPr>
        <w:t>122.48</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92.73</w:t>
      </w:r>
      <w:r>
        <w:rPr>
          <w:rFonts w:hint="eastAsia" w:ascii="仿宋_GB2312" w:hAnsi="仿宋_GB2312" w:eastAsia="仿宋_GB2312" w:cs="仿宋_GB2312"/>
          <w:b w:val="0"/>
          <w:bCs w:val="0"/>
          <w:sz w:val="32"/>
          <w:szCs w:val="32"/>
        </w:rPr>
        <w:t>%；项目支出</w:t>
      </w:r>
      <w:r>
        <w:rPr>
          <w:rFonts w:hint="eastAsia" w:ascii="仿宋_GB2312" w:hAnsi="仿宋_GB2312" w:eastAsia="仿宋_GB2312" w:cs="仿宋_GB2312"/>
          <w:b w:val="0"/>
          <w:bCs w:val="0"/>
          <w:sz w:val="32"/>
          <w:szCs w:val="32"/>
          <w:lang w:val="en-US" w:eastAsia="zh-CN"/>
        </w:rPr>
        <w:t>9.6</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7.27</w:t>
      </w:r>
      <w:r>
        <w:rPr>
          <w:rFonts w:hint="eastAsia" w:ascii="仿宋_GB2312" w:hAnsi="仿宋_GB2312" w:eastAsia="仿宋_GB2312" w:cs="仿宋_GB2312"/>
          <w:b w:val="0"/>
          <w:bCs w:val="0"/>
          <w:sz w:val="32"/>
          <w:szCs w:val="32"/>
        </w:rPr>
        <w:t>%；上缴上级支出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%；经营支出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%；对附属单位补助支出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w:t>
      </w:r>
    </w:p>
    <w:p>
      <w:pPr>
        <w:pStyle w:val="2"/>
        <w:jc w:val="center"/>
        <w:rPr>
          <w:rFonts w:hint="eastAsia"/>
        </w:rPr>
      </w:pPr>
      <w:r>
        <w:drawing>
          <wp:inline distT="0" distB="0" distL="114300" distR="114300">
            <wp:extent cx="3648075" cy="1924685"/>
            <wp:effectExtent l="5080" t="4445" r="4445" b="1397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图3：支出决算结构图</w:t>
      </w:r>
    </w:p>
    <w:p>
      <w:pPr>
        <w:keepNext w:val="0"/>
        <w:keepLines w:val="0"/>
        <w:pageBreakBefore w:val="0"/>
        <w:kinsoku/>
        <w:wordWrap/>
        <w:overflowPunct/>
        <w:topLinePunct w:val="0"/>
        <w:bidi w:val="0"/>
        <w:snapToGrid/>
        <w:spacing w:line="600" w:lineRule="exact"/>
        <w:ind w:firstLine="640" w:firstLineChars="200"/>
        <w:textAlignment w:val="auto"/>
        <w:outlineLvl w:val="1"/>
        <w:rPr>
          <w:rStyle w:val="25"/>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4"/>
      <w:bookmarkEnd w:id="25"/>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2021年财政拨款收、支总计</w:t>
      </w:r>
      <w:r>
        <w:rPr>
          <w:rFonts w:hint="eastAsia" w:ascii="仿宋_GB2312" w:hAnsi="仿宋_GB2312" w:eastAsia="仿宋_GB2312" w:cs="仿宋_GB2312"/>
          <w:b w:val="0"/>
          <w:bCs w:val="0"/>
          <w:sz w:val="32"/>
          <w:szCs w:val="32"/>
          <w:lang w:val="en-US" w:eastAsia="zh-CN"/>
        </w:rPr>
        <w:t>244.88</w:t>
      </w:r>
      <w:r>
        <w:rPr>
          <w:rFonts w:hint="eastAsia" w:ascii="仿宋_GB2312" w:hAnsi="仿宋_GB2312" w:eastAsia="仿宋_GB2312" w:cs="仿宋_GB2312"/>
          <w:b w:val="0"/>
          <w:bCs w:val="0"/>
          <w:sz w:val="32"/>
          <w:szCs w:val="32"/>
        </w:rPr>
        <w:t>万元。与2020年相比，财政拨款</w:t>
      </w:r>
      <w:r>
        <w:rPr>
          <w:rFonts w:hint="eastAsia" w:ascii="仿宋_GB2312" w:hAnsi="仿宋_GB2312" w:eastAsia="仿宋_GB2312" w:cs="仿宋_GB2312"/>
          <w:b w:val="0"/>
          <w:bCs w:val="0"/>
          <w:sz w:val="32"/>
          <w:szCs w:val="32"/>
          <w:lang w:eastAsia="zh-CN"/>
        </w:rPr>
        <w:t>收入</w:t>
      </w:r>
      <w:r>
        <w:rPr>
          <w:rFonts w:hint="eastAsia" w:ascii="仿宋_GB2312" w:hAnsi="仿宋_GB2312" w:eastAsia="仿宋_GB2312" w:cs="仿宋_GB2312"/>
          <w:b w:val="0"/>
          <w:bCs w:val="0"/>
          <w:sz w:val="32"/>
          <w:szCs w:val="32"/>
        </w:rPr>
        <w:t>增加</w:t>
      </w:r>
      <w:r>
        <w:rPr>
          <w:rFonts w:hint="eastAsia" w:ascii="仿宋_GB2312" w:hAnsi="仿宋_GB2312" w:eastAsia="仿宋_GB2312" w:cs="仿宋_GB2312"/>
          <w:b w:val="0"/>
          <w:bCs w:val="0"/>
          <w:sz w:val="32"/>
          <w:szCs w:val="32"/>
          <w:lang w:val="en-US" w:eastAsia="zh-CN"/>
        </w:rPr>
        <w:t>9.38</w:t>
      </w:r>
      <w:r>
        <w:rPr>
          <w:rFonts w:hint="eastAsia" w:ascii="仿宋_GB2312" w:hAnsi="仿宋_GB2312" w:eastAsia="仿宋_GB2312" w:cs="仿宋_GB2312"/>
          <w:b w:val="0"/>
          <w:bCs w:val="0"/>
          <w:sz w:val="32"/>
          <w:szCs w:val="32"/>
        </w:rPr>
        <w:t>万元，增长</w:t>
      </w:r>
      <w:r>
        <w:rPr>
          <w:rFonts w:hint="eastAsia" w:ascii="仿宋_GB2312" w:hAnsi="仿宋_GB2312" w:eastAsia="仿宋_GB2312" w:cs="仿宋_GB2312"/>
          <w:b w:val="0"/>
          <w:bCs w:val="0"/>
          <w:sz w:val="32"/>
          <w:szCs w:val="32"/>
          <w:lang w:val="en-US" w:eastAsia="zh-CN"/>
        </w:rPr>
        <w:t>8.3</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，财政拨款支出增加</w:t>
      </w:r>
      <w:r>
        <w:rPr>
          <w:rFonts w:hint="eastAsia" w:ascii="仿宋_GB2312" w:hAnsi="仿宋_GB2312" w:eastAsia="仿宋_GB2312" w:cs="仿宋_GB2312"/>
          <w:b w:val="0"/>
          <w:bCs w:val="0"/>
          <w:sz w:val="32"/>
          <w:szCs w:val="32"/>
          <w:lang w:val="en-US" w:eastAsia="zh-CN"/>
        </w:rPr>
        <w:t>9.46万元，增长8.37%。</w:t>
      </w:r>
      <w:r>
        <w:rPr>
          <w:rFonts w:hint="eastAsia" w:ascii="仿宋_GB2312" w:hAnsi="仿宋_GB2312" w:eastAsia="仿宋_GB2312" w:cs="仿宋_GB2312"/>
          <w:b w:val="0"/>
          <w:bCs w:val="0"/>
          <w:sz w:val="32"/>
          <w:szCs w:val="32"/>
        </w:rPr>
        <w:t>主要变动原因</w:t>
      </w:r>
      <w:r>
        <w:rPr>
          <w:rFonts w:hint="eastAsia" w:ascii="仿宋_GB2312" w:hAnsi="仿宋_GB2312" w:eastAsia="仿宋_GB2312" w:cs="仿宋_GB2312"/>
          <w:b w:val="0"/>
          <w:bCs w:val="0"/>
          <w:sz w:val="32"/>
          <w:szCs w:val="32"/>
          <w:lang w:eastAsia="zh-CN"/>
        </w:rPr>
        <w:t>是人员经费的增加。</w:t>
      </w:r>
    </w:p>
    <w:p>
      <w:pPr>
        <w:pStyle w:val="2"/>
        <w:tabs>
          <w:tab w:val="left" w:pos="2409"/>
          <w:tab w:val="center" w:pos="4539"/>
        </w:tabs>
        <w:jc w:val="center"/>
        <w:rPr>
          <w:rFonts w:hint="eastAsia" w:ascii="仿宋_GB2312" w:hAnsi="仿宋_GB2312" w:eastAsia="仿宋_GB2312" w:cs="仿宋_GB2312"/>
          <w:b w:val="0"/>
          <w:bCs w:val="0"/>
          <w:sz w:val="32"/>
          <w:szCs w:val="32"/>
        </w:rPr>
      </w:pPr>
      <w:r>
        <w:drawing>
          <wp:inline distT="0" distB="0" distL="114300" distR="114300">
            <wp:extent cx="4077335" cy="2085975"/>
            <wp:effectExtent l="4445" t="4445" r="13970" b="508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kinsoku/>
        <w:wordWrap/>
        <w:overflowPunct/>
        <w:topLinePunct w:val="0"/>
        <w:bidi w:val="0"/>
        <w:snapToGrid/>
        <w:spacing w:line="60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图4：财政拨款收、支决算总计变动情况</w:t>
      </w:r>
    </w:p>
    <w:p>
      <w:pPr>
        <w:keepNext w:val="0"/>
        <w:keepLines w:val="0"/>
        <w:pageBreakBefore w:val="0"/>
        <w:kinsoku/>
        <w:wordWrap/>
        <w:overflowPunct/>
        <w:topLinePunct w:val="0"/>
        <w:bidi w:val="0"/>
        <w:snapToGrid/>
        <w:spacing w:line="600" w:lineRule="exact"/>
        <w:ind w:firstLine="640" w:firstLineChars="200"/>
        <w:textAlignment w:val="auto"/>
        <w:outlineLvl w:val="1"/>
        <w:rPr>
          <w:rStyle w:val="25"/>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6"/>
      <w:bookmarkEnd w:id="27"/>
    </w:p>
    <w:p>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28" w:name="_Toc15377210"/>
      <w:r>
        <w:rPr>
          <w:rFonts w:hint="eastAsia" w:ascii="楷体_GB2312" w:hAnsi="楷体_GB2312" w:eastAsia="楷体_GB2312" w:cs="楷体_GB2312"/>
          <w:b w:val="0"/>
          <w:bCs/>
          <w:sz w:val="32"/>
          <w:szCs w:val="32"/>
        </w:rPr>
        <w:t>（一）一般公共预算财政拨款支出决算总体情况</w:t>
      </w:r>
      <w:bookmarkEnd w:id="28"/>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2021年一般公共预算财政拨款支出</w:t>
      </w:r>
      <w:r>
        <w:rPr>
          <w:rFonts w:hint="eastAsia" w:ascii="仿宋_GB2312" w:hAnsi="仿宋_GB2312" w:eastAsia="仿宋_GB2312" w:cs="仿宋_GB2312"/>
          <w:b w:val="0"/>
          <w:bCs w:val="0"/>
          <w:sz w:val="32"/>
          <w:szCs w:val="32"/>
          <w:lang w:val="en-US" w:eastAsia="zh-CN"/>
        </w:rPr>
        <w:t>122.48</w:t>
      </w:r>
      <w:r>
        <w:rPr>
          <w:rFonts w:hint="eastAsia" w:ascii="仿宋_GB2312" w:hAnsi="仿宋_GB2312" w:eastAsia="仿宋_GB2312" w:cs="仿宋_GB2312"/>
          <w:b w:val="0"/>
          <w:bCs w:val="0"/>
          <w:sz w:val="32"/>
          <w:szCs w:val="32"/>
        </w:rPr>
        <w:t>万元，占本年支出合计的</w:t>
      </w:r>
      <w:r>
        <w:rPr>
          <w:rFonts w:hint="eastAsia" w:ascii="仿宋_GB2312" w:hAnsi="仿宋_GB2312" w:eastAsia="仿宋_GB2312" w:cs="仿宋_GB2312"/>
          <w:b w:val="0"/>
          <w:bCs w:val="0"/>
          <w:sz w:val="32"/>
          <w:szCs w:val="32"/>
          <w:lang w:val="en-US" w:eastAsia="zh-CN"/>
        </w:rPr>
        <w:t>92.73</w:t>
      </w:r>
      <w:r>
        <w:rPr>
          <w:rFonts w:hint="eastAsia" w:ascii="仿宋_GB2312" w:hAnsi="仿宋_GB2312" w:eastAsia="仿宋_GB2312" w:cs="仿宋_GB2312"/>
          <w:b w:val="0"/>
          <w:bCs w:val="0"/>
          <w:sz w:val="32"/>
          <w:szCs w:val="32"/>
        </w:rPr>
        <w:t>%。与2020年相比，一般公共预算财政拨款支出增加</w:t>
      </w:r>
      <w:r>
        <w:rPr>
          <w:rFonts w:hint="eastAsia" w:ascii="仿宋_GB2312" w:hAnsi="仿宋_GB2312" w:eastAsia="仿宋_GB2312" w:cs="仿宋_GB2312"/>
          <w:b w:val="0"/>
          <w:bCs w:val="0"/>
          <w:sz w:val="32"/>
          <w:szCs w:val="32"/>
          <w:lang w:val="en-US" w:eastAsia="zh-CN"/>
        </w:rPr>
        <w:t>9.46</w:t>
      </w:r>
      <w:r>
        <w:rPr>
          <w:rFonts w:hint="eastAsia" w:ascii="仿宋_GB2312" w:hAnsi="仿宋_GB2312" w:eastAsia="仿宋_GB2312" w:cs="仿宋_GB2312"/>
          <w:b w:val="0"/>
          <w:bCs w:val="0"/>
          <w:sz w:val="32"/>
          <w:szCs w:val="32"/>
        </w:rPr>
        <w:t>万元，增长</w:t>
      </w:r>
      <w:r>
        <w:rPr>
          <w:rFonts w:hint="eastAsia" w:ascii="仿宋_GB2312" w:hAnsi="仿宋_GB2312" w:eastAsia="仿宋_GB2312" w:cs="仿宋_GB2312"/>
          <w:b w:val="0"/>
          <w:bCs w:val="0"/>
          <w:sz w:val="32"/>
          <w:szCs w:val="32"/>
          <w:lang w:val="en-US" w:eastAsia="zh-CN"/>
        </w:rPr>
        <w:t>8.37</w:t>
      </w:r>
      <w:r>
        <w:rPr>
          <w:rFonts w:hint="eastAsia" w:ascii="仿宋_GB2312" w:hAnsi="仿宋_GB2312" w:eastAsia="仿宋_GB2312" w:cs="仿宋_GB2312"/>
          <w:b w:val="0"/>
          <w:bCs w:val="0"/>
          <w:sz w:val="32"/>
          <w:szCs w:val="32"/>
        </w:rPr>
        <w:t>%。主要变动原因是</w:t>
      </w:r>
      <w:r>
        <w:rPr>
          <w:rFonts w:hint="eastAsia" w:ascii="仿宋_GB2312" w:hAnsi="仿宋_GB2312" w:eastAsia="仿宋_GB2312" w:cs="仿宋_GB2312"/>
          <w:b w:val="0"/>
          <w:bCs w:val="0"/>
          <w:sz w:val="32"/>
          <w:szCs w:val="32"/>
          <w:lang w:eastAsia="zh-CN"/>
        </w:rPr>
        <w:t>人员经费的增加。</w:t>
      </w:r>
    </w:p>
    <w:p>
      <w:pPr>
        <w:pStyle w:val="2"/>
        <w:jc w:val="center"/>
        <w:rPr>
          <w:rFonts w:hint="eastAsia"/>
        </w:rPr>
      </w:pPr>
      <w:r>
        <w:drawing>
          <wp:inline distT="0" distB="0" distL="114300" distR="114300">
            <wp:extent cx="4638675" cy="1753235"/>
            <wp:effectExtent l="5080" t="4445" r="4445" b="13970"/>
            <wp:docPr id="17"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kinsoku/>
        <w:wordWrap/>
        <w:overflowPunct/>
        <w:topLinePunct w:val="0"/>
        <w:bidi w:val="0"/>
        <w:snapToGrid/>
        <w:spacing w:line="600" w:lineRule="exact"/>
        <w:ind w:firstLine="640" w:firstLineChars="20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图5：一般公共预算财政拨款支出决算变动情况</w:t>
      </w:r>
    </w:p>
    <w:p>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29" w:name="_Toc15377211"/>
      <w:r>
        <w:rPr>
          <w:rFonts w:hint="eastAsia" w:ascii="楷体_GB2312" w:hAnsi="楷体_GB2312" w:eastAsia="楷体_GB2312" w:cs="楷体_GB2312"/>
          <w:b w:val="0"/>
          <w:bCs/>
          <w:sz w:val="32"/>
          <w:szCs w:val="32"/>
        </w:rPr>
        <w:t>（二）一般公共预算财政拨款支出决算结构情况</w:t>
      </w:r>
      <w:bookmarkEnd w:id="29"/>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2021年一般公共预算财政拨款支出</w:t>
      </w:r>
      <w:r>
        <w:rPr>
          <w:rFonts w:hint="eastAsia" w:ascii="仿宋_GB2312" w:hAnsi="仿宋_GB2312" w:eastAsia="仿宋_GB2312" w:cs="仿宋_GB2312"/>
          <w:b w:val="0"/>
          <w:bCs w:val="0"/>
          <w:sz w:val="32"/>
          <w:szCs w:val="32"/>
          <w:lang w:val="en-US" w:eastAsia="zh-CN"/>
        </w:rPr>
        <w:t>122.48</w:t>
      </w:r>
      <w:r>
        <w:rPr>
          <w:rFonts w:hint="eastAsia" w:ascii="仿宋_GB2312" w:hAnsi="仿宋_GB2312" w:eastAsia="仿宋_GB2312" w:cs="仿宋_GB2312"/>
          <w:b w:val="0"/>
          <w:bCs w:val="0"/>
          <w:sz w:val="32"/>
          <w:szCs w:val="32"/>
        </w:rPr>
        <w:t>万元，主要用于以下方面:社会保障和就业（类）支出</w:t>
      </w:r>
      <w:r>
        <w:rPr>
          <w:rFonts w:hint="eastAsia" w:ascii="仿宋_GB2312" w:hAnsi="仿宋_GB2312" w:eastAsia="仿宋_GB2312" w:cs="仿宋_GB2312"/>
          <w:b w:val="0"/>
          <w:bCs w:val="0"/>
          <w:sz w:val="32"/>
          <w:szCs w:val="32"/>
          <w:lang w:val="en-US" w:eastAsia="zh-CN"/>
        </w:rPr>
        <w:t>113.81</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92.92</w:t>
      </w:r>
      <w:r>
        <w:rPr>
          <w:rFonts w:hint="eastAsia" w:ascii="仿宋_GB2312" w:hAnsi="仿宋_GB2312" w:eastAsia="仿宋_GB2312" w:cs="仿宋_GB2312"/>
          <w:b w:val="0"/>
          <w:bCs w:val="0"/>
          <w:sz w:val="32"/>
          <w:szCs w:val="32"/>
        </w:rPr>
        <w:t>%；卫生健康支出</w:t>
      </w:r>
      <w:r>
        <w:rPr>
          <w:rFonts w:hint="eastAsia" w:ascii="仿宋_GB2312" w:hAnsi="仿宋_GB2312" w:eastAsia="仿宋_GB2312" w:cs="仿宋_GB2312"/>
          <w:b w:val="0"/>
          <w:bCs w:val="0"/>
          <w:sz w:val="32"/>
          <w:szCs w:val="32"/>
          <w:lang w:val="en-US" w:eastAsia="zh-CN"/>
        </w:rPr>
        <w:t>1.99</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1.62</w:t>
      </w:r>
      <w:r>
        <w:rPr>
          <w:rFonts w:hint="eastAsia" w:ascii="仿宋_GB2312" w:hAnsi="仿宋_GB2312" w:eastAsia="仿宋_GB2312" w:cs="仿宋_GB2312"/>
          <w:b w:val="0"/>
          <w:bCs w:val="0"/>
          <w:sz w:val="32"/>
          <w:szCs w:val="32"/>
        </w:rPr>
        <w:t>%；住房保障支出</w:t>
      </w:r>
      <w:r>
        <w:rPr>
          <w:rFonts w:hint="eastAsia" w:ascii="仿宋_GB2312" w:hAnsi="仿宋_GB2312" w:eastAsia="仿宋_GB2312" w:cs="仿宋_GB2312"/>
          <w:b w:val="0"/>
          <w:bCs w:val="0"/>
          <w:sz w:val="32"/>
          <w:szCs w:val="32"/>
          <w:lang w:val="en-US" w:eastAsia="zh-CN"/>
        </w:rPr>
        <w:t>6.68</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5.46</w:t>
      </w:r>
      <w:r>
        <w:rPr>
          <w:rFonts w:hint="eastAsia" w:ascii="仿宋_GB2312" w:hAnsi="仿宋_GB2312" w:eastAsia="仿宋_GB2312" w:cs="仿宋_GB2312"/>
          <w:b w:val="0"/>
          <w:bCs w:val="0"/>
          <w:sz w:val="32"/>
          <w:szCs w:val="32"/>
        </w:rPr>
        <w:t>%。</w:t>
      </w:r>
    </w:p>
    <w:p>
      <w:pPr>
        <w:pStyle w:val="2"/>
        <w:jc w:val="center"/>
        <w:rPr>
          <w:rFonts w:hint="eastAsia" w:ascii="仿宋_GB2312" w:hAnsi="仿宋_GB2312" w:eastAsia="仿宋_GB2312" w:cs="仿宋_GB2312"/>
          <w:b w:val="0"/>
          <w:bCs w:val="0"/>
          <w:sz w:val="32"/>
          <w:szCs w:val="32"/>
        </w:rPr>
      </w:pPr>
      <w:r>
        <w:drawing>
          <wp:inline distT="0" distB="0" distL="114300" distR="114300">
            <wp:extent cx="4648200" cy="2162810"/>
            <wp:effectExtent l="4445" t="4445" r="14605" b="23495"/>
            <wp:docPr id="20"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kinsoku/>
        <w:wordWrap/>
        <w:overflowPunct/>
        <w:topLinePunct w:val="0"/>
        <w:bidi w:val="0"/>
        <w:snapToGrid/>
        <w:spacing w:line="60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图6：一般公共预算财政拨款支出决算结构</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30" w:name="_Toc15377212"/>
      <w:r>
        <w:rPr>
          <w:rFonts w:hint="eastAsia" w:ascii="楷体_GB2312" w:hAnsi="楷体_GB2312" w:eastAsia="楷体_GB2312" w:cs="楷体_GB2312"/>
          <w:b w:val="0"/>
          <w:bCs/>
          <w:sz w:val="32"/>
          <w:szCs w:val="32"/>
        </w:rPr>
        <w:t>（三）一般公共预算财政拨款支出决算具体情况</w:t>
      </w:r>
      <w:bookmarkEnd w:id="30"/>
    </w:p>
    <w:p>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仿宋_GB2312" w:hAnsi="仿宋_GB2312" w:eastAsia="仿宋_GB2312" w:cs="仿宋_GB2312"/>
          <w:b w:val="0"/>
          <w:bCs/>
          <w:sz w:val="32"/>
          <w:szCs w:val="32"/>
        </w:rPr>
      </w:pPr>
      <w:bookmarkStart w:id="31" w:name="_Toc15377444"/>
      <w:bookmarkStart w:id="32" w:name="_Toc15377213"/>
      <w:bookmarkStart w:id="33" w:name="_Toc15378460"/>
      <w:r>
        <w:rPr>
          <w:rFonts w:hint="eastAsia" w:ascii="仿宋_GB2312" w:hAnsi="仿宋_GB2312" w:eastAsia="仿宋_GB2312" w:cs="仿宋_GB2312"/>
          <w:b w:val="0"/>
          <w:bCs/>
          <w:sz w:val="32"/>
          <w:szCs w:val="32"/>
        </w:rPr>
        <w:t>2021年一般公共预算支出决算数为</w:t>
      </w:r>
      <w:r>
        <w:rPr>
          <w:rFonts w:hint="eastAsia" w:ascii="仿宋_GB2312" w:hAnsi="仿宋_GB2312" w:eastAsia="仿宋_GB2312" w:cs="仿宋_GB2312"/>
          <w:b w:val="0"/>
          <w:bCs/>
          <w:sz w:val="32"/>
          <w:szCs w:val="32"/>
          <w:lang w:val="en-US" w:eastAsia="zh-CN"/>
        </w:rPr>
        <w:t>122.48万元</w:t>
      </w:r>
      <w:r>
        <w:rPr>
          <w:rFonts w:hint="eastAsia" w:ascii="仿宋_GB2312" w:hAnsi="仿宋_GB2312" w:eastAsia="仿宋_GB2312" w:cs="仿宋_GB2312"/>
          <w:b w:val="0"/>
          <w:bCs/>
          <w:sz w:val="32"/>
          <w:szCs w:val="32"/>
        </w:rPr>
        <w:t>，</w:t>
      </w:r>
      <w:r>
        <w:rPr>
          <w:rStyle w:val="14"/>
          <w:rFonts w:hint="eastAsia" w:ascii="仿宋_GB2312" w:hAnsi="仿宋_GB2312" w:eastAsia="仿宋_GB2312" w:cs="仿宋_GB2312"/>
          <w:b w:val="0"/>
          <w:bCs/>
          <w:sz w:val="32"/>
          <w:szCs w:val="32"/>
        </w:rPr>
        <w:t>完成预算</w:t>
      </w:r>
      <w:r>
        <w:rPr>
          <w:rStyle w:val="14"/>
          <w:rFonts w:hint="eastAsia" w:ascii="仿宋_GB2312" w:hAnsi="仿宋_GB2312" w:eastAsia="仿宋_GB2312" w:cs="仿宋_GB2312"/>
          <w:b w:val="0"/>
          <w:bCs/>
          <w:sz w:val="32"/>
          <w:szCs w:val="32"/>
          <w:lang w:val="en-US" w:eastAsia="zh-CN"/>
        </w:rPr>
        <w:t>100</w:t>
      </w:r>
      <w:r>
        <w:rPr>
          <w:rStyle w:val="14"/>
          <w:rFonts w:hint="eastAsia" w:ascii="仿宋_GB2312" w:hAnsi="仿宋_GB2312" w:eastAsia="仿宋_GB2312" w:cs="仿宋_GB2312"/>
          <w:b w:val="0"/>
          <w:bCs/>
          <w:sz w:val="32"/>
          <w:szCs w:val="32"/>
        </w:rPr>
        <w:t>%。其中：</w:t>
      </w:r>
      <w:bookmarkEnd w:id="31"/>
      <w:bookmarkEnd w:id="32"/>
      <w:bookmarkEnd w:id="33"/>
    </w:p>
    <w:p>
      <w:pPr>
        <w:spacing w:line="600" w:lineRule="exact"/>
        <w:ind w:firstLine="640" w:firstLineChars="200"/>
        <w:rPr>
          <w:rStyle w:val="14"/>
          <w:rFonts w:hint="eastAsia" w:ascii="仿宋_GB2312" w:hAnsi="仿宋_GB2312" w:eastAsia="仿宋_GB2312" w:cs="仿宋_GB2312"/>
          <w:b w:val="0"/>
          <w:bCs/>
          <w:color w:val="000000"/>
          <w:sz w:val="32"/>
          <w:szCs w:val="32"/>
          <w:lang w:eastAsia="zh-CN"/>
        </w:rPr>
      </w:pPr>
      <w:r>
        <w:rPr>
          <w:rStyle w:val="14"/>
          <w:rFonts w:hint="eastAsia" w:ascii="仿宋_GB2312" w:hAnsi="仿宋_GB2312" w:eastAsia="仿宋_GB2312" w:cs="仿宋_GB2312"/>
          <w:b w:val="0"/>
          <w:bCs/>
          <w:sz w:val="32"/>
          <w:szCs w:val="32"/>
          <w:lang w:val="en-US" w:eastAsia="zh-CN"/>
        </w:rPr>
        <w:t>1</w:t>
      </w:r>
      <w:r>
        <w:rPr>
          <w:rStyle w:val="14"/>
          <w:rFonts w:hint="eastAsia" w:ascii="仿宋_GB2312" w:hAnsi="仿宋_GB2312" w:eastAsia="仿宋_GB2312" w:cs="仿宋_GB2312"/>
          <w:b w:val="0"/>
          <w:bCs/>
          <w:sz w:val="32"/>
          <w:szCs w:val="32"/>
        </w:rPr>
        <w:t>．社会保障和就业（类）: 支出决算为</w:t>
      </w:r>
      <w:r>
        <w:rPr>
          <w:rStyle w:val="14"/>
          <w:rFonts w:hint="eastAsia" w:ascii="仿宋_GB2312" w:hAnsi="仿宋_GB2312" w:eastAsia="仿宋_GB2312" w:cs="仿宋_GB2312"/>
          <w:b w:val="0"/>
          <w:bCs/>
          <w:sz w:val="32"/>
          <w:szCs w:val="32"/>
          <w:lang w:val="en-US" w:eastAsia="zh-CN"/>
        </w:rPr>
        <w:t>113.81</w:t>
      </w:r>
      <w:r>
        <w:rPr>
          <w:rStyle w:val="14"/>
          <w:rFonts w:hint="eastAsia" w:ascii="仿宋_GB2312" w:hAnsi="仿宋_GB2312" w:eastAsia="仿宋_GB2312" w:cs="仿宋_GB2312"/>
          <w:b w:val="0"/>
          <w:bCs/>
          <w:sz w:val="32"/>
          <w:szCs w:val="32"/>
        </w:rPr>
        <w:t>万元，完成预算</w:t>
      </w:r>
      <w:r>
        <w:rPr>
          <w:rStyle w:val="14"/>
          <w:rFonts w:hint="eastAsia" w:ascii="仿宋_GB2312" w:hAnsi="仿宋_GB2312" w:eastAsia="仿宋_GB2312" w:cs="仿宋_GB2312"/>
          <w:b w:val="0"/>
          <w:bCs/>
          <w:sz w:val="32"/>
          <w:szCs w:val="32"/>
          <w:lang w:val="en-US" w:eastAsia="zh-CN"/>
        </w:rPr>
        <w:t>100</w:t>
      </w:r>
      <w:r>
        <w:rPr>
          <w:rStyle w:val="14"/>
          <w:rFonts w:hint="eastAsia" w:ascii="仿宋_GB2312" w:hAnsi="仿宋_GB2312" w:eastAsia="仿宋_GB2312" w:cs="仿宋_GB2312"/>
          <w:b w:val="0"/>
          <w:bCs/>
          <w:sz w:val="32"/>
          <w:szCs w:val="32"/>
        </w:rPr>
        <w:t>%，决算数等于预算数。</w:t>
      </w:r>
      <w:r>
        <w:rPr>
          <w:rStyle w:val="14"/>
          <w:rFonts w:hint="eastAsia" w:ascii="仿宋_GB2312" w:hAnsi="仿宋_GB2312" w:eastAsia="仿宋_GB2312" w:cs="仿宋_GB2312"/>
          <w:b w:val="0"/>
          <w:bCs/>
          <w:color w:val="000000"/>
          <w:sz w:val="32"/>
          <w:szCs w:val="32"/>
          <w:lang w:eastAsia="zh-CN"/>
        </w:rPr>
        <w:t>其中：</w:t>
      </w:r>
    </w:p>
    <w:p>
      <w:pPr>
        <w:spacing w:line="600" w:lineRule="exact"/>
        <w:ind w:firstLine="640" w:firstLineChars="200"/>
        <w:rPr>
          <w:rStyle w:val="14"/>
          <w:rFonts w:hint="eastAsia" w:ascii="仿宋_GB2312" w:hAnsi="仿宋_GB2312" w:eastAsia="仿宋_GB2312" w:cs="仿宋_GB2312"/>
          <w:b w:val="0"/>
          <w:bCs/>
          <w:color w:val="000000"/>
          <w:sz w:val="32"/>
          <w:szCs w:val="32"/>
          <w:lang w:val="en-US" w:eastAsia="zh-CN"/>
        </w:rPr>
      </w:pPr>
      <w:r>
        <w:rPr>
          <w:rStyle w:val="14"/>
          <w:rFonts w:hint="eastAsia" w:ascii="仿宋_GB2312" w:hAnsi="仿宋_GB2312" w:eastAsia="仿宋_GB2312" w:cs="仿宋_GB2312"/>
          <w:b w:val="0"/>
          <w:bCs/>
          <w:color w:val="000000"/>
          <w:sz w:val="32"/>
          <w:szCs w:val="32"/>
          <w:lang w:val="en-US" w:eastAsia="zh-CN"/>
        </w:rPr>
        <w:t>2080505（机关事业单位基本养老保险缴费支出）决算数为5.19万元；</w:t>
      </w:r>
    </w:p>
    <w:p>
      <w:pPr>
        <w:spacing w:line="600" w:lineRule="exact"/>
        <w:ind w:firstLine="640" w:firstLineChars="200"/>
        <w:rPr>
          <w:rStyle w:val="14"/>
          <w:rFonts w:hint="eastAsia" w:ascii="仿宋_GB2312" w:hAnsi="仿宋_GB2312" w:eastAsia="仿宋_GB2312" w:cs="仿宋_GB2312"/>
          <w:b w:val="0"/>
          <w:bCs/>
          <w:color w:val="000000"/>
          <w:sz w:val="32"/>
          <w:szCs w:val="32"/>
          <w:lang w:val="en-US" w:eastAsia="zh-CN"/>
        </w:rPr>
      </w:pPr>
      <w:r>
        <w:rPr>
          <w:rStyle w:val="14"/>
          <w:rFonts w:hint="eastAsia" w:ascii="仿宋_GB2312" w:hAnsi="仿宋_GB2312" w:eastAsia="仿宋_GB2312" w:cs="仿宋_GB2312"/>
          <w:b w:val="0"/>
          <w:bCs/>
          <w:color w:val="000000"/>
          <w:sz w:val="32"/>
          <w:szCs w:val="32"/>
          <w:lang w:val="en-US" w:eastAsia="zh-CN"/>
        </w:rPr>
        <w:t>2080506（机关事业单位职业年金缴费支出）决算数为2.59万元；</w:t>
      </w:r>
    </w:p>
    <w:p>
      <w:pPr>
        <w:pStyle w:val="2"/>
        <w:ind w:firstLine="640" w:firstLineChars="200"/>
        <w:rPr>
          <w:rFonts w:hint="eastAsia" w:ascii="仿宋_GB2312" w:hAnsi="仿宋_GB2312" w:eastAsia="仿宋_GB2312" w:cs="仿宋_GB2312"/>
          <w:sz w:val="32"/>
          <w:szCs w:val="32"/>
          <w:lang w:val="en-US" w:eastAsia="zh-CN"/>
        </w:rPr>
      </w:pPr>
      <w:r>
        <w:rPr>
          <w:rStyle w:val="14"/>
          <w:rFonts w:hint="eastAsia" w:ascii="仿宋_GB2312" w:hAnsi="仿宋_GB2312" w:eastAsia="仿宋_GB2312" w:cs="仿宋_GB2312"/>
          <w:b w:val="0"/>
          <w:bCs/>
          <w:color w:val="000000"/>
          <w:sz w:val="32"/>
          <w:szCs w:val="32"/>
          <w:lang w:val="en-US" w:eastAsia="zh-CN"/>
        </w:rPr>
        <w:t>2080801（死亡抚恤）决算数为6.65万元；</w:t>
      </w:r>
    </w:p>
    <w:p>
      <w:pPr>
        <w:spacing w:line="600" w:lineRule="exact"/>
        <w:ind w:firstLine="640" w:firstLineChars="200"/>
        <w:rPr>
          <w:rStyle w:val="14"/>
          <w:rFonts w:hint="eastAsia" w:ascii="仿宋_GB2312" w:hAnsi="仿宋_GB2312" w:eastAsia="仿宋_GB2312" w:cs="仿宋_GB2312"/>
          <w:b w:val="0"/>
          <w:bCs/>
          <w:color w:val="000000"/>
          <w:sz w:val="32"/>
          <w:szCs w:val="32"/>
          <w:lang w:val="en-US" w:eastAsia="zh-CN"/>
        </w:rPr>
      </w:pPr>
      <w:r>
        <w:rPr>
          <w:rStyle w:val="14"/>
          <w:rFonts w:hint="eastAsia" w:ascii="仿宋_GB2312" w:hAnsi="仿宋_GB2312" w:eastAsia="仿宋_GB2312" w:cs="仿宋_GB2312"/>
          <w:b w:val="0"/>
          <w:bCs/>
          <w:color w:val="000000"/>
          <w:sz w:val="32"/>
          <w:szCs w:val="32"/>
          <w:lang w:val="en-US" w:eastAsia="zh-CN"/>
        </w:rPr>
        <w:t>2080899（其他优抚支出）决算数为0.33万元；</w:t>
      </w:r>
    </w:p>
    <w:p>
      <w:pPr>
        <w:spacing w:line="600" w:lineRule="exact"/>
        <w:ind w:firstLine="640" w:firstLineChars="200"/>
        <w:rPr>
          <w:rStyle w:val="14"/>
          <w:rFonts w:hint="eastAsia" w:ascii="仿宋_GB2312" w:hAnsi="仿宋_GB2312" w:eastAsia="仿宋_GB2312" w:cs="仿宋_GB2312"/>
          <w:b w:val="0"/>
          <w:bCs/>
          <w:color w:val="000000"/>
          <w:sz w:val="32"/>
          <w:szCs w:val="32"/>
          <w:lang w:val="en-US" w:eastAsia="zh-CN"/>
        </w:rPr>
      </w:pPr>
      <w:r>
        <w:rPr>
          <w:rStyle w:val="14"/>
          <w:rFonts w:hint="eastAsia" w:ascii="仿宋_GB2312" w:hAnsi="仿宋_GB2312" w:eastAsia="仿宋_GB2312" w:cs="仿宋_GB2312"/>
          <w:b w:val="0"/>
          <w:bCs/>
          <w:color w:val="000000"/>
          <w:sz w:val="32"/>
          <w:szCs w:val="32"/>
          <w:lang w:val="en-US" w:eastAsia="zh-CN"/>
        </w:rPr>
        <w:t>2082805（部队供应）决算数为98.79万元；</w:t>
      </w:r>
    </w:p>
    <w:p>
      <w:pPr>
        <w:spacing w:line="600" w:lineRule="exact"/>
        <w:ind w:firstLine="640" w:firstLineChars="200"/>
        <w:rPr>
          <w:rStyle w:val="14"/>
          <w:rFonts w:hint="eastAsia" w:ascii="仿宋_GB2312" w:hAnsi="仿宋_GB2312" w:eastAsia="仿宋_GB2312" w:cs="仿宋_GB2312"/>
          <w:b w:val="0"/>
          <w:bCs/>
          <w:color w:val="000000"/>
          <w:sz w:val="32"/>
          <w:szCs w:val="32"/>
          <w:lang w:val="en-US" w:eastAsia="zh-CN"/>
        </w:rPr>
      </w:pPr>
      <w:r>
        <w:rPr>
          <w:rStyle w:val="14"/>
          <w:rFonts w:hint="eastAsia" w:ascii="仿宋_GB2312" w:hAnsi="仿宋_GB2312" w:eastAsia="仿宋_GB2312" w:cs="仿宋_GB2312"/>
          <w:b w:val="0"/>
          <w:bCs/>
          <w:color w:val="000000"/>
          <w:sz w:val="32"/>
          <w:szCs w:val="32"/>
          <w:lang w:val="en-US" w:eastAsia="zh-CN"/>
        </w:rPr>
        <w:t>2089999（其他社会保障和就业支出）决算数为0.26万元。</w:t>
      </w:r>
    </w:p>
    <w:p>
      <w:pPr>
        <w:numPr>
          <w:ilvl w:val="0"/>
          <w:numId w:val="0"/>
        </w:numPr>
        <w:spacing w:line="600" w:lineRule="exact"/>
        <w:ind w:firstLine="640" w:firstLineChars="200"/>
        <w:rPr>
          <w:rStyle w:val="14"/>
          <w:rFonts w:hint="eastAsia" w:ascii="仿宋_GB2312" w:hAnsi="仿宋_GB2312" w:eastAsia="仿宋_GB2312" w:cs="仿宋_GB2312"/>
          <w:b w:val="0"/>
          <w:bCs/>
          <w:color w:val="000000"/>
          <w:sz w:val="32"/>
          <w:szCs w:val="32"/>
          <w:lang w:eastAsia="zh-CN"/>
        </w:rPr>
      </w:pPr>
      <w:r>
        <w:rPr>
          <w:rStyle w:val="14"/>
          <w:rFonts w:hint="eastAsia" w:ascii="仿宋_GB2312" w:hAnsi="仿宋_GB2312" w:eastAsia="仿宋_GB2312" w:cs="仿宋_GB2312"/>
          <w:b w:val="0"/>
          <w:bCs/>
          <w:sz w:val="32"/>
          <w:szCs w:val="32"/>
          <w:lang w:val="en-US" w:eastAsia="zh-CN"/>
        </w:rPr>
        <w:t>2</w:t>
      </w:r>
      <w:r>
        <w:rPr>
          <w:rStyle w:val="14"/>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rPr>
        <w:t>卫生健康</w:t>
      </w:r>
      <w:r>
        <w:rPr>
          <w:rStyle w:val="14"/>
          <w:rFonts w:hint="eastAsia" w:ascii="仿宋_GB2312" w:hAnsi="仿宋_GB2312" w:eastAsia="仿宋_GB2312" w:cs="仿宋_GB2312"/>
          <w:b w:val="0"/>
          <w:bCs/>
          <w:sz w:val="32"/>
          <w:szCs w:val="32"/>
        </w:rPr>
        <w:t>（类）:支出决算为</w:t>
      </w:r>
      <w:r>
        <w:rPr>
          <w:rStyle w:val="14"/>
          <w:rFonts w:hint="eastAsia" w:ascii="仿宋_GB2312" w:hAnsi="仿宋_GB2312" w:eastAsia="仿宋_GB2312" w:cs="仿宋_GB2312"/>
          <w:b w:val="0"/>
          <w:bCs/>
          <w:sz w:val="32"/>
          <w:szCs w:val="32"/>
          <w:lang w:val="en-US" w:eastAsia="zh-CN"/>
        </w:rPr>
        <w:t>1.99</w:t>
      </w:r>
      <w:r>
        <w:rPr>
          <w:rStyle w:val="14"/>
          <w:rFonts w:hint="eastAsia" w:ascii="仿宋_GB2312" w:hAnsi="仿宋_GB2312" w:eastAsia="仿宋_GB2312" w:cs="仿宋_GB2312"/>
          <w:b w:val="0"/>
          <w:bCs/>
          <w:sz w:val="32"/>
          <w:szCs w:val="32"/>
        </w:rPr>
        <w:t>万元，完成预算</w:t>
      </w:r>
      <w:r>
        <w:rPr>
          <w:rStyle w:val="14"/>
          <w:rFonts w:hint="eastAsia" w:ascii="仿宋_GB2312" w:hAnsi="仿宋_GB2312" w:eastAsia="仿宋_GB2312" w:cs="仿宋_GB2312"/>
          <w:b w:val="0"/>
          <w:bCs/>
          <w:sz w:val="32"/>
          <w:szCs w:val="32"/>
          <w:lang w:val="en-US" w:eastAsia="zh-CN"/>
        </w:rPr>
        <w:t>100</w:t>
      </w:r>
      <w:r>
        <w:rPr>
          <w:rStyle w:val="14"/>
          <w:rFonts w:hint="eastAsia" w:ascii="仿宋_GB2312" w:hAnsi="仿宋_GB2312" w:eastAsia="仿宋_GB2312" w:cs="仿宋_GB2312"/>
          <w:b w:val="0"/>
          <w:bCs/>
          <w:sz w:val="32"/>
          <w:szCs w:val="32"/>
        </w:rPr>
        <w:t>%，决算数等于预算数。</w:t>
      </w:r>
      <w:r>
        <w:rPr>
          <w:rStyle w:val="14"/>
          <w:rFonts w:hint="eastAsia" w:ascii="仿宋_GB2312" w:hAnsi="仿宋_GB2312" w:eastAsia="仿宋_GB2312" w:cs="仿宋_GB2312"/>
          <w:b w:val="0"/>
          <w:bCs/>
          <w:color w:val="000000"/>
          <w:sz w:val="32"/>
          <w:szCs w:val="32"/>
          <w:lang w:eastAsia="zh-CN"/>
        </w:rPr>
        <w:t>其中：</w:t>
      </w:r>
    </w:p>
    <w:p>
      <w:pPr>
        <w:numPr>
          <w:ilvl w:val="0"/>
          <w:numId w:val="0"/>
        </w:numPr>
        <w:spacing w:line="600" w:lineRule="exact"/>
        <w:ind w:firstLine="640"/>
        <w:rPr>
          <w:rStyle w:val="14"/>
          <w:rFonts w:hint="eastAsia" w:ascii="仿宋_GB2312" w:hAnsi="仿宋_GB2312" w:eastAsia="仿宋_GB2312" w:cs="仿宋_GB2312"/>
          <w:b w:val="0"/>
          <w:bCs/>
          <w:color w:val="000000"/>
          <w:sz w:val="32"/>
          <w:szCs w:val="32"/>
          <w:lang w:val="en-US" w:eastAsia="zh-CN"/>
        </w:rPr>
      </w:pPr>
      <w:r>
        <w:rPr>
          <w:rStyle w:val="14"/>
          <w:rFonts w:hint="eastAsia" w:ascii="仿宋_GB2312" w:hAnsi="仿宋_GB2312" w:eastAsia="仿宋_GB2312" w:cs="仿宋_GB2312"/>
          <w:b w:val="0"/>
          <w:bCs/>
          <w:color w:val="000000"/>
          <w:sz w:val="32"/>
          <w:szCs w:val="32"/>
          <w:lang w:val="en-US" w:eastAsia="zh-CN"/>
        </w:rPr>
        <w:t>2101102（事业单位医疗）决算数为1.99万元。</w:t>
      </w:r>
    </w:p>
    <w:p>
      <w:pPr>
        <w:numPr>
          <w:ilvl w:val="0"/>
          <w:numId w:val="0"/>
        </w:numPr>
        <w:spacing w:line="600" w:lineRule="exact"/>
        <w:ind w:firstLine="640" w:firstLineChars="200"/>
        <w:rPr>
          <w:rStyle w:val="14"/>
          <w:rFonts w:hint="eastAsia" w:ascii="仿宋_GB2312" w:hAnsi="仿宋_GB2312" w:eastAsia="仿宋_GB2312" w:cs="仿宋_GB2312"/>
          <w:b w:val="0"/>
          <w:bCs/>
          <w:color w:val="000000"/>
          <w:sz w:val="32"/>
          <w:szCs w:val="32"/>
          <w:lang w:val="en-US" w:eastAsia="zh-CN"/>
        </w:rPr>
      </w:pPr>
      <w:r>
        <w:rPr>
          <w:rStyle w:val="14"/>
          <w:rFonts w:hint="eastAsia" w:ascii="仿宋_GB2312" w:hAnsi="仿宋_GB2312" w:eastAsia="仿宋_GB2312" w:cs="仿宋_GB2312"/>
          <w:b w:val="0"/>
          <w:bCs/>
          <w:color w:val="000000"/>
          <w:sz w:val="32"/>
          <w:szCs w:val="32"/>
          <w:lang w:val="en-US" w:eastAsia="zh-CN"/>
        </w:rPr>
        <w:t>3.住房保障（类)支出决算为6.68万元，完成预算100%，决算数等于预算数。其中：</w:t>
      </w:r>
    </w:p>
    <w:p>
      <w:pPr>
        <w:numPr>
          <w:ilvl w:val="0"/>
          <w:numId w:val="0"/>
        </w:numPr>
        <w:spacing w:line="600" w:lineRule="exact"/>
        <w:rPr>
          <w:rFonts w:hint="eastAsia" w:ascii="仿宋_GB2312" w:hAnsi="仿宋_GB2312" w:eastAsia="仿宋_GB2312" w:cs="仿宋_GB2312"/>
          <w:b w:val="0"/>
          <w:bCs/>
          <w:sz w:val="32"/>
          <w:szCs w:val="32"/>
        </w:rPr>
      </w:pPr>
      <w:r>
        <w:rPr>
          <w:rStyle w:val="14"/>
          <w:rFonts w:hint="eastAsia" w:ascii="仿宋_GB2312" w:hAnsi="仿宋_GB2312" w:eastAsia="仿宋_GB2312" w:cs="仿宋_GB2312"/>
          <w:b w:val="0"/>
          <w:bCs/>
          <w:color w:val="000000"/>
          <w:sz w:val="32"/>
          <w:szCs w:val="32"/>
          <w:lang w:val="en-US" w:eastAsia="zh-CN"/>
        </w:rPr>
        <w:t xml:space="preserve">    2210201（住房公积金）决算数为6.68万元。</w:t>
      </w:r>
    </w:p>
    <w:p>
      <w:pPr>
        <w:keepNext w:val="0"/>
        <w:keepLines w:val="0"/>
        <w:pageBreakBefore w:val="0"/>
        <w:tabs>
          <w:tab w:val="right" w:pos="8306"/>
        </w:tabs>
        <w:kinsoku/>
        <w:wordWrap/>
        <w:overflowPunct/>
        <w:topLinePunct w:val="0"/>
        <w:bidi w:val="0"/>
        <w:snapToGrid/>
        <w:spacing w:line="600" w:lineRule="exact"/>
        <w:ind w:firstLine="640"/>
        <w:textAlignment w:val="auto"/>
        <w:outlineLvl w:val="1"/>
        <w:rPr>
          <w:rStyle w:val="25"/>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4"/>
      <w:bookmarkEnd w:id="35"/>
      <w:r>
        <w:rPr>
          <w:rStyle w:val="25"/>
          <w:rFonts w:ascii="黑体" w:hAnsi="黑体" w:eastAsia="黑体"/>
          <w:b w:val="0"/>
        </w:rPr>
        <w:tab/>
      </w:r>
    </w:p>
    <w:p>
      <w:pPr>
        <w:keepNext w:val="0"/>
        <w:keepLines w:val="0"/>
        <w:pageBreakBefore w:val="0"/>
        <w:kinsoku/>
        <w:wordWrap/>
        <w:overflowPunct/>
        <w:topLinePunct w:val="0"/>
        <w:bidi w:val="0"/>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w:t>
      </w:r>
      <w:r>
        <w:rPr>
          <w:rFonts w:hint="eastAsia" w:ascii="仿宋_GB2312" w:hAnsi="仿宋_GB2312" w:eastAsia="仿宋_GB2312" w:cs="仿宋_GB2312"/>
          <w:sz w:val="32"/>
          <w:szCs w:val="32"/>
          <w:lang w:val="en-US" w:eastAsia="zh-CN"/>
        </w:rPr>
        <w:t>122.48</w:t>
      </w:r>
      <w:r>
        <w:rPr>
          <w:rFonts w:hint="eastAsia" w:ascii="仿宋_GB2312" w:hAnsi="仿宋_GB2312" w:eastAsia="仿宋_GB2312" w:cs="仿宋_GB2312"/>
          <w:sz w:val="32"/>
          <w:szCs w:val="32"/>
        </w:rPr>
        <w:t>万元，其中：</w:t>
      </w:r>
    </w:p>
    <w:p>
      <w:pPr>
        <w:keepNext w:val="0"/>
        <w:keepLines w:val="0"/>
        <w:pageBreakBefore w:val="0"/>
        <w:kinsoku/>
        <w:wordWrap/>
        <w:overflowPunct/>
        <w:topLinePunct w:val="0"/>
        <w:bidi w:val="0"/>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106.68</w:t>
      </w:r>
      <w:r>
        <w:rPr>
          <w:rFonts w:hint="eastAsia" w:ascii="仿宋_GB2312" w:hAnsi="仿宋_GB2312" w:eastAsia="仿宋_GB2312" w:cs="仿宋_GB2312"/>
          <w:sz w:val="32"/>
          <w:szCs w:val="32"/>
        </w:rPr>
        <w:t>万元，主要包括：基本工资</w:t>
      </w:r>
      <w:r>
        <w:rPr>
          <w:rFonts w:hint="eastAsia" w:ascii="仿宋_GB2312" w:hAnsi="仿宋_GB2312" w:eastAsia="仿宋_GB2312" w:cs="仿宋_GB2312"/>
          <w:sz w:val="32"/>
          <w:szCs w:val="32"/>
          <w:lang w:val="en-US" w:eastAsia="zh-CN"/>
        </w:rPr>
        <w:t>16.15万元</w:t>
      </w:r>
      <w:r>
        <w:rPr>
          <w:rFonts w:hint="eastAsia" w:ascii="仿宋_GB2312" w:hAnsi="仿宋_GB2312" w:eastAsia="仿宋_GB2312" w:cs="仿宋_GB2312"/>
          <w:sz w:val="32"/>
          <w:szCs w:val="32"/>
        </w:rPr>
        <w:t>、津贴补贴</w:t>
      </w:r>
      <w:r>
        <w:rPr>
          <w:rFonts w:hint="eastAsia" w:ascii="仿宋_GB2312" w:hAnsi="仿宋_GB2312" w:eastAsia="仿宋_GB2312" w:cs="仿宋_GB2312"/>
          <w:sz w:val="32"/>
          <w:szCs w:val="32"/>
          <w:lang w:val="en-US" w:eastAsia="zh-CN"/>
        </w:rPr>
        <w:t>3.17万元</w:t>
      </w:r>
      <w:r>
        <w:rPr>
          <w:rFonts w:hint="eastAsia" w:ascii="仿宋_GB2312" w:hAnsi="仿宋_GB2312" w:eastAsia="仿宋_GB2312" w:cs="仿宋_GB2312"/>
          <w:sz w:val="32"/>
          <w:szCs w:val="32"/>
        </w:rPr>
        <w:t>、奖金</w:t>
      </w:r>
      <w:r>
        <w:rPr>
          <w:rFonts w:hint="eastAsia" w:ascii="仿宋_GB2312" w:hAnsi="仿宋_GB2312" w:eastAsia="仿宋_GB2312" w:cs="仿宋_GB2312"/>
          <w:sz w:val="32"/>
          <w:szCs w:val="32"/>
          <w:lang w:val="en-US" w:eastAsia="zh-CN"/>
        </w:rPr>
        <w:t>25.69万元</w:t>
      </w:r>
      <w:r>
        <w:rPr>
          <w:rFonts w:hint="eastAsia" w:ascii="仿宋_GB2312" w:hAnsi="仿宋_GB2312" w:eastAsia="仿宋_GB2312" w:cs="仿宋_GB2312"/>
          <w:sz w:val="32"/>
          <w:szCs w:val="32"/>
        </w:rPr>
        <w:t>、伙食补助费</w:t>
      </w:r>
      <w:r>
        <w:rPr>
          <w:rFonts w:hint="eastAsia" w:ascii="仿宋_GB2312" w:hAnsi="仿宋_GB2312" w:eastAsia="仿宋_GB2312" w:cs="仿宋_GB2312"/>
          <w:sz w:val="32"/>
          <w:szCs w:val="32"/>
          <w:lang w:val="en-US" w:eastAsia="zh-CN"/>
        </w:rPr>
        <w:t>3.03万元</w:t>
      </w:r>
      <w:r>
        <w:rPr>
          <w:rFonts w:hint="eastAsia" w:ascii="仿宋_GB2312" w:hAnsi="仿宋_GB2312" w:eastAsia="仿宋_GB2312" w:cs="仿宋_GB2312"/>
          <w:sz w:val="32"/>
          <w:szCs w:val="32"/>
        </w:rPr>
        <w:t>、绩效工资</w:t>
      </w:r>
      <w:r>
        <w:rPr>
          <w:rFonts w:hint="eastAsia" w:ascii="仿宋_GB2312" w:hAnsi="仿宋_GB2312" w:eastAsia="仿宋_GB2312" w:cs="仿宋_GB2312"/>
          <w:sz w:val="32"/>
          <w:szCs w:val="32"/>
          <w:lang w:val="en-US" w:eastAsia="zh-CN"/>
        </w:rPr>
        <w:t>13.51万元</w:t>
      </w:r>
      <w:r>
        <w:rPr>
          <w:rFonts w:hint="eastAsia" w:ascii="仿宋_GB2312" w:hAnsi="仿宋_GB2312" w:eastAsia="仿宋_GB2312" w:cs="仿宋_GB2312"/>
          <w:sz w:val="32"/>
          <w:szCs w:val="32"/>
        </w:rPr>
        <w:t>、机关事业单位基本养老保险缴费</w:t>
      </w:r>
      <w:r>
        <w:rPr>
          <w:rFonts w:hint="eastAsia" w:ascii="仿宋_GB2312" w:hAnsi="仿宋_GB2312" w:eastAsia="仿宋_GB2312" w:cs="仿宋_GB2312"/>
          <w:sz w:val="32"/>
          <w:szCs w:val="32"/>
          <w:lang w:val="en-US" w:eastAsia="zh-CN"/>
        </w:rPr>
        <w:t>5.19万元</w:t>
      </w:r>
      <w:r>
        <w:rPr>
          <w:rFonts w:hint="eastAsia" w:ascii="仿宋_GB2312" w:hAnsi="仿宋_GB2312" w:eastAsia="仿宋_GB2312" w:cs="仿宋_GB2312"/>
          <w:sz w:val="32"/>
          <w:szCs w:val="32"/>
        </w:rPr>
        <w:t>、职业年金缴费</w:t>
      </w:r>
      <w:r>
        <w:rPr>
          <w:rFonts w:hint="eastAsia" w:ascii="仿宋_GB2312" w:hAnsi="仿宋_GB2312" w:eastAsia="仿宋_GB2312" w:cs="仿宋_GB2312"/>
          <w:sz w:val="32"/>
          <w:szCs w:val="32"/>
          <w:lang w:val="en-US" w:eastAsia="zh-CN"/>
        </w:rPr>
        <w:t>2.59万元</w:t>
      </w:r>
      <w:r>
        <w:rPr>
          <w:rFonts w:hint="eastAsia" w:ascii="仿宋_GB2312" w:hAnsi="仿宋_GB2312" w:eastAsia="仿宋_GB2312" w:cs="仿宋_GB2312"/>
          <w:sz w:val="32"/>
          <w:szCs w:val="32"/>
        </w:rPr>
        <w:t>、职工基本医疗保险缴费</w:t>
      </w:r>
      <w:r>
        <w:rPr>
          <w:rFonts w:hint="eastAsia" w:ascii="仿宋_GB2312" w:hAnsi="仿宋_GB2312" w:eastAsia="仿宋_GB2312" w:cs="仿宋_GB2312"/>
          <w:sz w:val="32"/>
          <w:szCs w:val="32"/>
          <w:lang w:val="en-US" w:eastAsia="zh-CN"/>
        </w:rPr>
        <w:t>1.99万元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其他社会保障缴费</w:t>
      </w:r>
      <w:r>
        <w:rPr>
          <w:rFonts w:hint="eastAsia" w:ascii="仿宋_GB2312" w:hAnsi="仿宋_GB2312" w:eastAsia="仿宋_GB2312" w:cs="仿宋_GB2312"/>
          <w:sz w:val="32"/>
          <w:szCs w:val="32"/>
          <w:lang w:val="en-US" w:eastAsia="zh-CN"/>
        </w:rPr>
        <w:t>0.51万元</w:t>
      </w:r>
      <w:r>
        <w:rPr>
          <w:rFonts w:hint="eastAsia" w:ascii="仿宋_GB2312" w:hAnsi="仿宋_GB2312" w:eastAsia="仿宋_GB2312" w:cs="仿宋_GB2312"/>
          <w:sz w:val="32"/>
          <w:szCs w:val="32"/>
        </w:rPr>
        <w:t>、其他工资福利支出</w:t>
      </w:r>
      <w:r>
        <w:rPr>
          <w:rFonts w:hint="eastAsia" w:ascii="仿宋_GB2312" w:hAnsi="仿宋_GB2312" w:eastAsia="仿宋_GB2312" w:cs="仿宋_GB2312"/>
          <w:sz w:val="32"/>
          <w:szCs w:val="32"/>
          <w:lang w:val="en-US" w:eastAsia="zh-CN"/>
        </w:rPr>
        <w:t>15.79万元、</w:t>
      </w:r>
      <w:r>
        <w:rPr>
          <w:rFonts w:hint="eastAsia" w:ascii="仿宋_GB2312" w:hAnsi="仿宋_GB2312" w:eastAsia="仿宋_GB2312" w:cs="仿宋_GB2312"/>
          <w:sz w:val="32"/>
          <w:szCs w:val="32"/>
        </w:rPr>
        <w:t>抚恤金</w:t>
      </w:r>
      <w:r>
        <w:rPr>
          <w:rFonts w:hint="eastAsia" w:ascii="仿宋_GB2312" w:hAnsi="仿宋_GB2312" w:eastAsia="仿宋_GB2312" w:cs="仿宋_GB2312"/>
          <w:sz w:val="32"/>
          <w:szCs w:val="32"/>
          <w:lang w:val="en-US" w:eastAsia="zh-CN"/>
        </w:rPr>
        <w:t>6.65万元</w:t>
      </w:r>
      <w:r>
        <w:rPr>
          <w:rFonts w:hint="eastAsia" w:ascii="仿宋_GB2312" w:hAnsi="仿宋_GB2312" w:eastAsia="仿宋_GB2312" w:cs="仿宋_GB2312"/>
          <w:sz w:val="32"/>
          <w:szCs w:val="32"/>
        </w:rPr>
        <w:t>、生活补助</w:t>
      </w:r>
      <w:r>
        <w:rPr>
          <w:rFonts w:hint="eastAsia" w:ascii="仿宋_GB2312" w:hAnsi="仿宋_GB2312" w:eastAsia="仿宋_GB2312" w:cs="仿宋_GB2312"/>
          <w:sz w:val="32"/>
          <w:szCs w:val="32"/>
          <w:lang w:val="en-US" w:eastAsia="zh-CN"/>
        </w:rPr>
        <w:t>5.73万元</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val="en-US" w:eastAsia="zh-CN"/>
        </w:rPr>
        <w:t>6.68万元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w:t>
      </w:r>
      <w:r>
        <w:rPr>
          <w:rFonts w:hint="eastAsia" w:ascii="仿宋_GB2312" w:hAnsi="仿宋_GB2312" w:eastAsia="仿宋_GB2312" w:cs="仿宋_GB2312"/>
          <w:sz w:val="32"/>
          <w:szCs w:val="32"/>
          <w:lang w:val="en-US" w:eastAsia="zh-CN"/>
        </w:rPr>
        <w:t>15.8</w:t>
      </w:r>
      <w:r>
        <w:rPr>
          <w:rFonts w:hint="eastAsia" w:ascii="仿宋_GB2312" w:hAnsi="仿宋_GB2312" w:eastAsia="仿宋_GB2312" w:cs="仿宋_GB2312"/>
          <w:sz w:val="32"/>
          <w:szCs w:val="32"/>
        </w:rPr>
        <w:t>万元，主要包括：办公费</w:t>
      </w:r>
      <w:r>
        <w:rPr>
          <w:rFonts w:hint="eastAsia" w:ascii="仿宋_GB2312" w:hAnsi="仿宋_GB2312" w:eastAsia="仿宋_GB2312" w:cs="仿宋_GB2312"/>
          <w:sz w:val="32"/>
          <w:szCs w:val="32"/>
          <w:lang w:val="en-US" w:eastAsia="zh-CN"/>
        </w:rPr>
        <w:t>0.93万元、</w:t>
      </w:r>
      <w:r>
        <w:rPr>
          <w:rFonts w:hint="eastAsia" w:ascii="仿宋_GB2312" w:hAnsi="仿宋_GB2312" w:eastAsia="仿宋_GB2312" w:cs="仿宋_GB2312"/>
          <w:sz w:val="32"/>
          <w:szCs w:val="32"/>
        </w:rPr>
        <w:t>邮电费</w:t>
      </w:r>
      <w:r>
        <w:rPr>
          <w:rFonts w:hint="eastAsia" w:ascii="仿宋_GB2312" w:hAnsi="仿宋_GB2312" w:eastAsia="仿宋_GB2312" w:cs="仿宋_GB2312"/>
          <w:sz w:val="32"/>
          <w:szCs w:val="32"/>
          <w:lang w:val="en-US" w:eastAsia="zh-CN"/>
        </w:rPr>
        <w:t>0.23万元</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0.06万元</w:t>
      </w:r>
      <w:r>
        <w:rPr>
          <w:rFonts w:hint="eastAsia" w:ascii="仿宋_GB2312" w:hAnsi="仿宋_GB2312" w:eastAsia="仿宋_GB2312" w:cs="仿宋_GB2312"/>
          <w:sz w:val="32"/>
          <w:szCs w:val="32"/>
        </w:rPr>
        <w:t>、维修（护）费</w:t>
      </w:r>
      <w:r>
        <w:rPr>
          <w:rFonts w:hint="eastAsia" w:ascii="仿宋_GB2312" w:hAnsi="仿宋_GB2312" w:eastAsia="仿宋_GB2312" w:cs="仿宋_GB2312"/>
          <w:sz w:val="32"/>
          <w:szCs w:val="32"/>
          <w:lang w:val="en-US" w:eastAsia="zh-CN"/>
        </w:rPr>
        <w:t>0.09万元</w:t>
      </w:r>
      <w:r>
        <w:rPr>
          <w:rFonts w:hint="eastAsia" w:ascii="仿宋_GB2312" w:hAnsi="仿宋_GB2312" w:eastAsia="仿宋_GB2312" w:cs="仿宋_GB2312"/>
          <w:sz w:val="32"/>
          <w:szCs w:val="32"/>
        </w:rPr>
        <w:t>、劳务费</w:t>
      </w:r>
      <w:r>
        <w:rPr>
          <w:rFonts w:hint="eastAsia" w:ascii="仿宋_GB2312" w:hAnsi="仿宋_GB2312" w:eastAsia="仿宋_GB2312" w:cs="仿宋_GB2312"/>
          <w:sz w:val="32"/>
          <w:szCs w:val="32"/>
          <w:lang w:val="en-US" w:eastAsia="zh-CN"/>
        </w:rPr>
        <w:t>10.76万元</w:t>
      </w:r>
      <w:r>
        <w:rPr>
          <w:rFonts w:hint="eastAsia" w:ascii="仿宋_GB2312" w:hAnsi="仿宋_GB2312" w:eastAsia="仿宋_GB2312" w:cs="仿宋_GB2312"/>
          <w:sz w:val="32"/>
          <w:szCs w:val="32"/>
        </w:rPr>
        <w:t>、工会经费</w:t>
      </w:r>
      <w:r>
        <w:rPr>
          <w:rFonts w:hint="eastAsia" w:ascii="仿宋_GB2312" w:hAnsi="仿宋_GB2312" w:eastAsia="仿宋_GB2312" w:cs="仿宋_GB2312"/>
          <w:sz w:val="32"/>
          <w:szCs w:val="32"/>
          <w:lang w:val="en-US" w:eastAsia="zh-CN"/>
        </w:rPr>
        <w:t>1.69万元</w:t>
      </w:r>
      <w:r>
        <w:rPr>
          <w:rFonts w:hint="eastAsia" w:ascii="仿宋_GB2312" w:hAnsi="仿宋_GB2312" w:eastAsia="仿宋_GB2312" w:cs="仿宋_GB2312"/>
          <w:sz w:val="32"/>
          <w:szCs w:val="32"/>
        </w:rPr>
        <w:t>、其他商品和服务支出</w:t>
      </w:r>
      <w:r>
        <w:rPr>
          <w:rFonts w:hint="eastAsia" w:ascii="仿宋_GB2312" w:hAnsi="仿宋_GB2312" w:eastAsia="仿宋_GB2312" w:cs="仿宋_GB2312"/>
          <w:sz w:val="32"/>
          <w:szCs w:val="32"/>
          <w:lang w:val="en-US" w:eastAsia="zh-CN"/>
        </w:rPr>
        <w:t>2.04万元</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600" w:lineRule="exact"/>
        <w:ind w:firstLine="640" w:firstLineChars="200"/>
        <w:textAlignment w:val="auto"/>
        <w:outlineLvl w:val="1"/>
        <w:rPr>
          <w:rStyle w:val="25"/>
          <w:rFonts w:ascii="黑体" w:hAnsi="黑体" w:eastAsia="黑体"/>
          <w:b w:val="0"/>
        </w:rPr>
      </w:pPr>
      <w:bookmarkStart w:id="36" w:name="_Toc15396609"/>
      <w:bookmarkStart w:id="37" w:name="_Toc15377215"/>
      <w:r>
        <w:rPr>
          <w:rFonts w:hint="eastAsia" w:ascii="黑体" w:eastAsia="黑体"/>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36"/>
      <w:bookmarkEnd w:id="37"/>
    </w:p>
    <w:p>
      <w:pPr>
        <w:keepNext w:val="0"/>
        <w:keepLines w:val="0"/>
        <w:pageBreakBefore w:val="0"/>
        <w:kinsoku/>
        <w:wordWrap/>
        <w:overflowPunct/>
        <w:topLinePunct w:val="0"/>
        <w:bidi w:val="0"/>
        <w:snapToGrid/>
        <w:spacing w:line="600" w:lineRule="exact"/>
        <w:ind w:firstLine="640"/>
        <w:textAlignment w:val="auto"/>
        <w:outlineLvl w:val="2"/>
        <w:rPr>
          <w:rFonts w:hint="eastAsia" w:ascii="楷体_GB2312" w:hAnsi="楷体_GB2312" w:eastAsia="楷体_GB2312" w:cs="楷体_GB2312"/>
          <w:b w:val="0"/>
          <w:bCs/>
          <w:sz w:val="32"/>
          <w:szCs w:val="32"/>
        </w:rPr>
      </w:pPr>
      <w:bookmarkStart w:id="38" w:name="_Toc15377216"/>
      <w:r>
        <w:rPr>
          <w:rFonts w:hint="eastAsia" w:ascii="楷体_GB2312" w:hAnsi="楷体_GB2312" w:eastAsia="楷体_GB2312" w:cs="楷体_GB2312"/>
          <w:b w:val="0"/>
          <w:bCs/>
          <w:sz w:val="32"/>
          <w:szCs w:val="32"/>
        </w:rPr>
        <w:t>（一）“三公”经费财政拨款支出决算总体情况说明</w:t>
      </w:r>
      <w:bookmarkEnd w:id="38"/>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2021年“三公”经费财政拨款支出决算为</w:t>
      </w:r>
      <w:r>
        <w:rPr>
          <w:rFonts w:hint="eastAsia" w:ascii="仿宋_GB2312" w:hAnsi="仿宋_GB2312" w:eastAsia="仿宋_GB2312" w:cs="仿宋_GB2312"/>
          <w:b w:val="0"/>
          <w:bCs w:val="0"/>
          <w:sz w:val="32"/>
          <w:szCs w:val="32"/>
          <w:lang w:val="en-US" w:eastAsia="zh-CN"/>
        </w:rPr>
        <w:t>1.87</w:t>
      </w:r>
      <w:r>
        <w:rPr>
          <w:rFonts w:hint="eastAsia" w:ascii="仿宋_GB2312" w:hAnsi="仿宋_GB2312" w:eastAsia="仿宋_GB2312" w:cs="仿宋_GB2312"/>
          <w:b w:val="0"/>
          <w:bCs w:val="0"/>
          <w:sz w:val="32"/>
          <w:szCs w:val="32"/>
        </w:rPr>
        <w:t>万元，完成预算</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%，与预算数持平的主要原因</w:t>
      </w:r>
      <w:r>
        <w:rPr>
          <w:rFonts w:hint="eastAsia" w:ascii="仿宋_GB2312" w:hAnsi="仿宋_GB2312" w:eastAsia="仿宋_GB2312" w:cs="仿宋_GB2312"/>
          <w:b w:val="0"/>
          <w:bCs w:val="0"/>
          <w:sz w:val="32"/>
          <w:szCs w:val="32"/>
          <w:lang w:eastAsia="zh-CN"/>
        </w:rPr>
        <w:t>是我单位坚决执行国家政策，严控“三公”经费开支</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napToGrid/>
        <w:spacing w:line="600" w:lineRule="exact"/>
        <w:ind w:firstLine="640"/>
        <w:textAlignment w:val="auto"/>
        <w:outlineLvl w:val="2"/>
        <w:rPr>
          <w:rFonts w:hint="eastAsia" w:ascii="楷体_GB2312" w:hAnsi="楷体_GB2312" w:eastAsia="楷体_GB2312" w:cs="楷体_GB2312"/>
          <w:b w:val="0"/>
          <w:bCs/>
          <w:sz w:val="32"/>
          <w:szCs w:val="32"/>
        </w:rPr>
      </w:pPr>
      <w:bookmarkStart w:id="39" w:name="_Toc15377217"/>
      <w:r>
        <w:rPr>
          <w:rFonts w:hint="eastAsia" w:ascii="楷体_GB2312" w:hAnsi="楷体_GB2312" w:eastAsia="楷体_GB2312" w:cs="楷体_GB2312"/>
          <w:b w:val="0"/>
          <w:bCs/>
          <w:sz w:val="32"/>
          <w:szCs w:val="32"/>
        </w:rPr>
        <w:t>（二）“三公”经费财政拨款支出决算具体情况说明</w:t>
      </w:r>
      <w:bookmarkEnd w:id="39"/>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2021年“三公”经费财政拨款支出决算中，因公出国（境）费支出决算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%；公务用车购置及运行维护费支出决算</w:t>
      </w:r>
      <w:r>
        <w:rPr>
          <w:rFonts w:hint="eastAsia" w:ascii="仿宋_GB2312" w:hAnsi="仿宋_GB2312" w:eastAsia="仿宋_GB2312" w:cs="仿宋_GB2312"/>
          <w:b w:val="0"/>
          <w:bCs w:val="0"/>
          <w:sz w:val="32"/>
          <w:szCs w:val="32"/>
          <w:lang w:val="en-US" w:eastAsia="zh-CN"/>
        </w:rPr>
        <w:t>1.87</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%；公务接待费支出决算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%。具体情况如下：</w:t>
      </w:r>
    </w:p>
    <w:p>
      <w:pPr>
        <w:pStyle w:val="2"/>
        <w:jc w:val="center"/>
        <w:rPr>
          <w:rFonts w:hint="eastAsia" w:ascii="仿宋_GB2312" w:hAnsi="仿宋_GB2312" w:eastAsia="仿宋_GB2312" w:cs="仿宋_GB2312"/>
          <w:b w:val="0"/>
          <w:bCs w:val="0"/>
          <w:sz w:val="32"/>
          <w:szCs w:val="32"/>
        </w:rPr>
      </w:pPr>
      <w:r>
        <w:drawing>
          <wp:inline distT="0" distB="0" distL="114300" distR="114300">
            <wp:extent cx="4572000" cy="2543810"/>
            <wp:effectExtent l="4445" t="4445" r="14605" b="2349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kinsoku/>
        <w:wordWrap/>
        <w:overflowPunct/>
        <w:topLinePunct w:val="0"/>
        <w:bidi w:val="0"/>
        <w:snapToGrid/>
        <w:spacing w:line="60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图7：“三公”经费财政拨款支出结构</w:t>
      </w:r>
    </w:p>
    <w:p>
      <w:pPr>
        <w:spacing w:line="600" w:lineRule="exact"/>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1．因公出国（境）经费支出</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万元，</w:t>
      </w:r>
      <w:r>
        <w:rPr>
          <w:rFonts w:hint="eastAsia" w:ascii="仿宋_GB2312" w:hAnsi="仿宋_GB2312" w:eastAsia="仿宋_GB2312" w:cs="仿宋_GB2312"/>
          <w:b w:val="0"/>
          <w:bCs/>
          <w:sz w:val="32"/>
          <w:szCs w:val="32"/>
          <w:lang w:eastAsia="zh-CN"/>
        </w:rPr>
        <w:t>未安排</w:t>
      </w:r>
      <w:r>
        <w:rPr>
          <w:rStyle w:val="14"/>
          <w:rFonts w:hint="eastAsia" w:ascii="仿宋_GB2312" w:hAnsi="仿宋_GB2312" w:eastAsia="仿宋_GB2312" w:cs="仿宋_GB2312"/>
          <w:b w:val="0"/>
          <w:bCs/>
          <w:sz w:val="32"/>
          <w:szCs w:val="32"/>
        </w:rPr>
        <w:t>预算。</w:t>
      </w:r>
      <w:r>
        <w:rPr>
          <w:rFonts w:hint="eastAsia" w:ascii="仿宋_GB2312" w:hAnsi="仿宋_GB2312" w:eastAsia="仿宋_GB2312" w:cs="仿宋_GB2312"/>
          <w:b w:val="0"/>
          <w:bCs/>
          <w:sz w:val="32"/>
          <w:szCs w:val="32"/>
        </w:rPr>
        <w:t>全年安排因公出国（境）团组</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次，出国（境）</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人。因公出国（境）支出决算</w:t>
      </w:r>
      <w:r>
        <w:rPr>
          <w:rFonts w:hint="eastAsia" w:ascii="仿宋_GB2312" w:hAnsi="仿宋_GB2312" w:eastAsia="仿宋_GB2312" w:cs="仿宋_GB2312"/>
          <w:b w:val="0"/>
          <w:bCs/>
          <w:sz w:val="32"/>
          <w:szCs w:val="32"/>
          <w:lang w:eastAsia="zh-CN"/>
        </w:rPr>
        <w:t>与</w:t>
      </w:r>
      <w:r>
        <w:rPr>
          <w:rFonts w:hint="eastAsia" w:ascii="仿宋_GB2312" w:hAnsi="仿宋_GB2312" w:eastAsia="仿宋_GB2312" w:cs="仿宋_GB2312"/>
          <w:b w:val="0"/>
          <w:bCs/>
          <w:sz w:val="32"/>
          <w:szCs w:val="32"/>
        </w:rPr>
        <w:t>2020年</w:t>
      </w:r>
      <w:r>
        <w:rPr>
          <w:rFonts w:hint="eastAsia" w:ascii="仿宋_GB2312" w:hAnsi="仿宋_GB2312" w:eastAsia="仿宋_GB2312" w:cs="仿宋_GB2312"/>
          <w:b w:val="0"/>
          <w:bCs/>
          <w:sz w:val="32"/>
          <w:szCs w:val="32"/>
          <w:lang w:eastAsia="zh-CN"/>
        </w:rPr>
        <w:t>无变化</w:t>
      </w:r>
      <w:r>
        <w:rPr>
          <w:rFonts w:hint="eastAsia" w:ascii="仿宋_GB2312" w:hAnsi="仿宋_GB2312" w:eastAsia="仿宋_GB2312" w:cs="仿宋_GB2312"/>
          <w:b w:val="0"/>
          <w:bCs/>
          <w:sz w:val="32"/>
          <w:szCs w:val="32"/>
        </w:rPr>
        <w:t>。主要原因是</w:t>
      </w:r>
      <w:r>
        <w:rPr>
          <w:rFonts w:hint="eastAsia" w:ascii="仿宋_GB2312" w:hAnsi="仿宋_GB2312" w:eastAsia="仿宋_GB2312" w:cs="仿宋_GB2312"/>
          <w:color w:val="000000"/>
          <w:sz w:val="32"/>
          <w:szCs w:val="32"/>
          <w:lang w:eastAsia="zh-CN"/>
        </w:rPr>
        <w:t>单位未安排因公出国（境）。</w:t>
      </w:r>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2．公务用车购置及运行维护费支出</w:t>
      </w:r>
      <w:r>
        <w:rPr>
          <w:rFonts w:hint="eastAsia" w:ascii="仿宋_GB2312" w:hAnsi="仿宋_GB2312" w:eastAsia="仿宋_GB2312" w:cs="仿宋_GB2312"/>
          <w:b w:val="0"/>
          <w:bCs/>
          <w:sz w:val="32"/>
          <w:szCs w:val="32"/>
          <w:lang w:val="en-US" w:eastAsia="zh-CN"/>
        </w:rPr>
        <w:t>1.87</w:t>
      </w:r>
      <w:r>
        <w:rPr>
          <w:rFonts w:hint="eastAsia" w:ascii="仿宋_GB2312" w:hAnsi="仿宋_GB2312" w:eastAsia="仿宋_GB2312" w:cs="仿宋_GB2312"/>
          <w:b w:val="0"/>
          <w:bCs/>
          <w:sz w:val="32"/>
          <w:szCs w:val="32"/>
        </w:rPr>
        <w:t>万元,</w:t>
      </w:r>
      <w:r>
        <w:rPr>
          <w:rStyle w:val="14"/>
          <w:rFonts w:hint="eastAsia" w:ascii="仿宋_GB2312" w:hAnsi="仿宋_GB2312" w:eastAsia="仿宋_GB2312" w:cs="仿宋_GB2312"/>
          <w:b w:val="0"/>
          <w:bCs/>
          <w:sz w:val="32"/>
          <w:szCs w:val="32"/>
        </w:rPr>
        <w:t>完成预算</w:t>
      </w:r>
      <w:r>
        <w:rPr>
          <w:rStyle w:val="14"/>
          <w:rFonts w:hint="eastAsia" w:ascii="仿宋_GB2312" w:hAnsi="仿宋_GB2312" w:eastAsia="仿宋_GB2312" w:cs="仿宋_GB2312"/>
          <w:b w:val="0"/>
          <w:bCs/>
          <w:sz w:val="32"/>
          <w:szCs w:val="32"/>
          <w:lang w:val="en-US" w:eastAsia="zh-CN"/>
        </w:rPr>
        <w:t>100</w:t>
      </w:r>
      <w:r>
        <w:rPr>
          <w:rStyle w:val="14"/>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rPr>
        <w:t>公务用车购置及运行维护费支出决算比2020年减少</w:t>
      </w:r>
      <w:r>
        <w:rPr>
          <w:rFonts w:hint="eastAsia" w:ascii="仿宋_GB2312" w:hAnsi="仿宋_GB2312" w:eastAsia="仿宋_GB2312" w:cs="仿宋_GB2312"/>
          <w:b w:val="0"/>
          <w:bCs/>
          <w:sz w:val="32"/>
          <w:szCs w:val="32"/>
          <w:lang w:val="en-US" w:eastAsia="zh-CN"/>
        </w:rPr>
        <w:t>0.34</w:t>
      </w:r>
      <w:r>
        <w:rPr>
          <w:rFonts w:hint="eastAsia" w:ascii="仿宋_GB2312" w:hAnsi="仿宋_GB2312" w:eastAsia="仿宋_GB2312" w:cs="仿宋_GB2312"/>
          <w:b w:val="0"/>
          <w:bCs/>
          <w:sz w:val="32"/>
          <w:szCs w:val="32"/>
        </w:rPr>
        <w:t>万元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下降</w:t>
      </w:r>
      <w:r>
        <w:rPr>
          <w:rFonts w:hint="eastAsia" w:ascii="仿宋_GB2312" w:hAnsi="仿宋_GB2312" w:eastAsia="仿宋_GB2312" w:cs="仿宋_GB2312"/>
          <w:b w:val="0"/>
          <w:bCs/>
          <w:sz w:val="32"/>
          <w:szCs w:val="32"/>
          <w:lang w:val="en-US" w:eastAsia="zh-CN"/>
        </w:rPr>
        <w:t>15.38</w:t>
      </w:r>
      <w:r>
        <w:rPr>
          <w:rFonts w:hint="eastAsia" w:ascii="仿宋_GB2312" w:hAnsi="仿宋_GB2312" w:eastAsia="仿宋_GB2312" w:cs="仿宋_GB2312"/>
          <w:b w:val="0"/>
          <w:bCs/>
          <w:sz w:val="32"/>
          <w:szCs w:val="32"/>
        </w:rPr>
        <w:t>%。主要原因是</w:t>
      </w:r>
      <w:r>
        <w:rPr>
          <w:rFonts w:hint="eastAsia" w:ascii="仿宋_GB2312" w:hAnsi="仿宋_GB2312" w:eastAsia="仿宋_GB2312" w:cs="仿宋_GB2312"/>
          <w:b w:val="0"/>
          <w:bCs w:val="0"/>
          <w:sz w:val="32"/>
          <w:szCs w:val="32"/>
          <w:lang w:eastAsia="zh-CN"/>
        </w:rPr>
        <w:t>我单位坚决执行国家政策，严控“三公”经费开支。</w:t>
      </w:r>
    </w:p>
    <w:p>
      <w:pPr>
        <w:spacing w:line="60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其中：公务用车购置支出</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万元。全年按规定更新购置公务用车</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辆，其中：轿车</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辆、金额</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万元，越野车</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辆、金额</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万元，载客汽车</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辆、金额</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万元。截至2021年12月底，单位共有公务用车</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辆，其中：</w:t>
      </w:r>
      <w:r>
        <w:rPr>
          <w:rFonts w:hint="eastAsia" w:ascii="仿宋_GB2312" w:eastAsia="仿宋_GB2312"/>
          <w:color w:val="000000"/>
          <w:sz w:val="32"/>
          <w:szCs w:val="32"/>
        </w:rPr>
        <w:t>其中：</w:t>
      </w:r>
      <w:r>
        <w:rPr>
          <w:rFonts w:hint="eastAsia" w:ascii="仿宋_GB2312" w:eastAsia="仿宋_GB2312"/>
          <w:color w:val="000000"/>
          <w:sz w:val="32"/>
          <w:szCs w:val="32"/>
          <w:lang w:eastAsia="zh-CN"/>
        </w:rPr>
        <w:t>保温送餐车</w:t>
      </w:r>
      <w:r>
        <w:rPr>
          <w:rFonts w:hint="eastAsia" w:ascii="仿宋_GB2312" w:eastAsia="仿宋_GB2312"/>
          <w:color w:val="000000"/>
          <w:sz w:val="32"/>
          <w:szCs w:val="32"/>
          <w:lang w:val="en-US" w:eastAsia="zh-CN"/>
        </w:rPr>
        <w:t>1辆</w:t>
      </w:r>
      <w:r>
        <w:rPr>
          <w:rFonts w:hint="eastAsia" w:ascii="仿宋_GB2312" w:eastAsia="仿宋_GB2312"/>
          <w:color w:val="000000"/>
          <w:sz w:val="32"/>
          <w:szCs w:val="32"/>
        </w:rPr>
        <w:t>、</w:t>
      </w:r>
      <w:r>
        <w:rPr>
          <w:rFonts w:hint="eastAsia" w:ascii="仿宋_GB2312" w:eastAsia="仿宋_GB2312"/>
          <w:color w:val="000000"/>
          <w:sz w:val="32"/>
          <w:szCs w:val="32"/>
          <w:lang w:eastAsia="zh-CN"/>
        </w:rPr>
        <w:t>皮卡车</w:t>
      </w:r>
      <w:r>
        <w:rPr>
          <w:rFonts w:hint="eastAsia" w:ascii="仿宋_GB2312" w:eastAsia="仿宋_GB2312"/>
          <w:color w:val="000000"/>
          <w:sz w:val="32"/>
          <w:szCs w:val="32"/>
          <w:lang w:val="en-US" w:eastAsia="zh-CN"/>
        </w:rPr>
        <w:t>1辆</w:t>
      </w:r>
      <w:r>
        <w:rPr>
          <w:rFonts w:hint="eastAsia" w:ascii="仿宋_GB2312" w:eastAsia="仿宋_GB2312"/>
          <w:color w:val="000000"/>
          <w:sz w:val="32"/>
          <w:szCs w:val="32"/>
        </w:rPr>
        <w:t>。</w:t>
      </w:r>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公务用车运行维护费支出</w:t>
      </w:r>
      <w:r>
        <w:rPr>
          <w:rFonts w:hint="eastAsia" w:ascii="仿宋_GB2312" w:hAnsi="仿宋_GB2312" w:eastAsia="仿宋_GB2312" w:cs="仿宋_GB2312"/>
          <w:b w:val="0"/>
          <w:bCs/>
          <w:sz w:val="32"/>
          <w:szCs w:val="32"/>
          <w:lang w:val="en-US" w:eastAsia="zh-CN"/>
        </w:rPr>
        <w:t>1.87</w:t>
      </w:r>
      <w:r>
        <w:rPr>
          <w:rFonts w:hint="eastAsia" w:ascii="仿宋_GB2312" w:hAnsi="仿宋_GB2312" w:eastAsia="仿宋_GB2312" w:cs="仿宋_GB2312"/>
          <w:b w:val="0"/>
          <w:bCs/>
          <w:sz w:val="32"/>
          <w:szCs w:val="32"/>
        </w:rPr>
        <w:t>万元。主要用于</w:t>
      </w:r>
      <w:r>
        <w:rPr>
          <w:rFonts w:hint="eastAsia" w:ascii="仿宋_GB2312" w:eastAsia="仿宋_GB2312"/>
          <w:color w:val="000000"/>
          <w:sz w:val="32"/>
          <w:szCs w:val="32"/>
          <w:lang w:eastAsia="zh-CN"/>
        </w:rPr>
        <w:t>军供送餐、军供采购、日常运转</w:t>
      </w:r>
      <w:r>
        <w:rPr>
          <w:rFonts w:hint="eastAsia" w:ascii="仿宋_GB2312" w:hAnsi="仿宋_GB2312" w:eastAsia="仿宋_GB2312" w:cs="仿宋_GB2312"/>
          <w:b w:val="0"/>
          <w:bCs/>
          <w:sz w:val="32"/>
          <w:szCs w:val="32"/>
        </w:rPr>
        <w:t>等所需的公务用车燃料费、维修费、过路过桥费、保险费等支出。</w:t>
      </w:r>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3．公务接待费支出</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万元，</w:t>
      </w:r>
      <w:r>
        <w:rPr>
          <w:rStyle w:val="14"/>
          <w:rFonts w:hint="eastAsia" w:ascii="仿宋_GB2312" w:hAnsi="仿宋_GB2312" w:eastAsia="仿宋_GB2312" w:cs="仿宋_GB2312"/>
          <w:b w:val="0"/>
          <w:bCs/>
          <w:sz w:val="32"/>
          <w:szCs w:val="32"/>
        </w:rPr>
        <w:t>完成预算</w:t>
      </w:r>
      <w:r>
        <w:rPr>
          <w:rStyle w:val="14"/>
          <w:rFonts w:hint="eastAsia" w:ascii="仿宋_GB2312" w:hAnsi="仿宋_GB2312" w:eastAsia="仿宋_GB2312" w:cs="仿宋_GB2312"/>
          <w:b w:val="0"/>
          <w:bCs/>
          <w:sz w:val="32"/>
          <w:szCs w:val="32"/>
          <w:lang w:val="en-US" w:eastAsia="zh-CN"/>
        </w:rPr>
        <w:t>0</w:t>
      </w:r>
      <w:r>
        <w:rPr>
          <w:rStyle w:val="14"/>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rPr>
        <w:t>公务接待费支出决算比2020年减少</w:t>
      </w:r>
      <w:r>
        <w:rPr>
          <w:rFonts w:hint="eastAsia" w:ascii="仿宋_GB2312" w:hAnsi="仿宋_GB2312" w:eastAsia="仿宋_GB2312" w:cs="仿宋_GB2312"/>
          <w:b w:val="0"/>
          <w:bCs/>
          <w:sz w:val="32"/>
          <w:szCs w:val="32"/>
          <w:lang w:val="en-US" w:eastAsia="zh-CN"/>
        </w:rPr>
        <w:t>0.32</w:t>
      </w:r>
      <w:r>
        <w:rPr>
          <w:rFonts w:hint="eastAsia" w:ascii="仿宋_GB2312" w:hAnsi="仿宋_GB2312" w:eastAsia="仿宋_GB2312" w:cs="仿宋_GB2312"/>
          <w:b w:val="0"/>
          <w:bCs/>
          <w:sz w:val="32"/>
          <w:szCs w:val="32"/>
        </w:rPr>
        <w:t>万元，下降</w:t>
      </w:r>
      <w:r>
        <w:rPr>
          <w:rFonts w:hint="eastAsia" w:ascii="仿宋_GB2312" w:hAnsi="仿宋_GB2312" w:eastAsia="仿宋_GB2312" w:cs="仿宋_GB2312"/>
          <w:b w:val="0"/>
          <w:bCs/>
          <w:sz w:val="32"/>
          <w:szCs w:val="32"/>
          <w:lang w:val="en-US" w:eastAsia="zh-CN"/>
        </w:rPr>
        <w:t>100</w:t>
      </w:r>
      <w:r>
        <w:rPr>
          <w:rFonts w:hint="eastAsia" w:ascii="仿宋_GB2312" w:hAnsi="仿宋_GB2312" w:eastAsia="仿宋_GB2312" w:cs="仿宋_GB2312"/>
          <w:b w:val="0"/>
          <w:bCs/>
          <w:sz w:val="32"/>
          <w:szCs w:val="32"/>
        </w:rPr>
        <w:t>%。主要原因是</w:t>
      </w:r>
      <w:r>
        <w:rPr>
          <w:rFonts w:hint="eastAsia" w:ascii="仿宋_GB2312" w:hAnsi="仿宋_GB2312" w:eastAsia="仿宋_GB2312" w:cs="仿宋_GB2312"/>
          <w:b w:val="0"/>
          <w:bCs w:val="0"/>
          <w:sz w:val="32"/>
          <w:szCs w:val="32"/>
          <w:lang w:eastAsia="zh-CN"/>
        </w:rPr>
        <w:t>我单位坚决执行国家政策，严控“三公”经费开支。</w:t>
      </w:r>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国内公务接待支出</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万元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国内公务接待</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批次，</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人次，共计支出</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万元。</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外事接待支出</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万元，外事接待</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批次，</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人，共计支出</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万元</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snapToGrid/>
        <w:spacing w:line="600" w:lineRule="exact"/>
        <w:ind w:firstLine="640" w:firstLineChars="200"/>
        <w:textAlignment w:val="auto"/>
        <w:outlineLvl w:val="1"/>
        <w:rPr>
          <w:rStyle w:val="25"/>
          <w:rFonts w:ascii="黑体" w:hAnsi="黑体" w:eastAsia="黑体"/>
        </w:rPr>
      </w:pPr>
      <w:bookmarkStart w:id="40" w:name="_Toc15377218"/>
      <w:bookmarkStart w:id="41" w:name="_Toc15396610"/>
      <w:r>
        <w:rPr>
          <w:rFonts w:hint="eastAsia" w:ascii="黑体" w:eastAsia="黑体"/>
          <w:sz w:val="32"/>
          <w:szCs w:val="32"/>
        </w:rPr>
        <w:t>八、</w:t>
      </w:r>
      <w:r>
        <w:rPr>
          <w:rStyle w:val="25"/>
          <w:rFonts w:hint="eastAsia" w:ascii="黑体" w:hAnsi="黑体" w:eastAsia="黑体"/>
          <w:b w:val="0"/>
        </w:rPr>
        <w:t>政府性基金预算支出决算情况说明</w:t>
      </w:r>
      <w:bookmarkEnd w:id="40"/>
      <w:bookmarkEnd w:id="41"/>
    </w:p>
    <w:p>
      <w:pPr>
        <w:keepNext w:val="0"/>
        <w:keepLines w:val="0"/>
        <w:pageBreakBefore w:val="0"/>
        <w:kinsoku/>
        <w:wordWrap/>
        <w:overflowPunct/>
        <w:topLinePunct w:val="0"/>
        <w:bidi w:val="0"/>
        <w:snapToGrid/>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kinsoku/>
        <w:wordWrap/>
        <w:overflowPunct/>
        <w:topLinePunct w:val="0"/>
        <w:bidi w:val="0"/>
        <w:snapToGrid/>
        <w:spacing w:line="600" w:lineRule="exact"/>
        <w:ind w:firstLine="640"/>
        <w:textAlignment w:val="auto"/>
        <w:rPr>
          <w:rFonts w:ascii="仿宋_GB2312" w:eastAsia="仿宋_GB2312"/>
          <w:sz w:val="32"/>
          <w:szCs w:val="32"/>
        </w:rPr>
      </w:pPr>
    </w:p>
    <w:p>
      <w:pPr>
        <w:keepNext w:val="0"/>
        <w:keepLines w:val="0"/>
        <w:pageBreakBefore w:val="0"/>
        <w:numPr>
          <w:ilvl w:val="0"/>
          <w:numId w:val="3"/>
        </w:numPr>
        <w:kinsoku/>
        <w:wordWrap/>
        <w:overflowPunct/>
        <w:topLinePunct w:val="0"/>
        <w:bidi w:val="0"/>
        <w:snapToGrid/>
        <w:spacing w:line="600" w:lineRule="exact"/>
        <w:ind w:firstLine="640"/>
        <w:textAlignment w:val="auto"/>
        <w:outlineLvl w:val="1"/>
        <w:rPr>
          <w:rStyle w:val="25"/>
          <w:rFonts w:ascii="黑体" w:hAnsi="黑体" w:eastAsia="黑体"/>
          <w:b w:val="0"/>
        </w:rPr>
      </w:pPr>
      <w:bookmarkStart w:id="42" w:name="_Toc15396611"/>
      <w:bookmarkStart w:id="43" w:name="_Toc15377219"/>
      <w:r>
        <w:rPr>
          <w:rStyle w:val="25"/>
          <w:rFonts w:hint="eastAsia" w:ascii="黑体" w:hAnsi="黑体" w:eastAsia="黑体"/>
          <w:b w:val="0"/>
        </w:rPr>
        <w:t>国有资本经营预算支出决算情况说明</w:t>
      </w:r>
      <w:bookmarkEnd w:id="42"/>
      <w:bookmarkEnd w:id="43"/>
    </w:p>
    <w:p>
      <w:pPr>
        <w:keepNext w:val="0"/>
        <w:keepLines w:val="0"/>
        <w:pageBreakBefore w:val="0"/>
        <w:kinsoku/>
        <w:wordWrap/>
        <w:overflowPunct/>
        <w:topLinePunct w:val="0"/>
        <w:bidi w:val="0"/>
        <w:snapToGrid/>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kinsoku/>
        <w:wordWrap/>
        <w:overflowPunct/>
        <w:topLinePunct w:val="0"/>
        <w:bidi w:val="0"/>
        <w:snapToGrid/>
        <w:spacing w:line="60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numPr>
          <w:ilvl w:val="0"/>
          <w:numId w:val="3"/>
        </w:numPr>
        <w:kinsoku/>
        <w:wordWrap/>
        <w:overflowPunct/>
        <w:topLinePunct w:val="0"/>
        <w:bidi w:val="0"/>
        <w:snapToGrid/>
        <w:spacing w:line="600" w:lineRule="exact"/>
        <w:ind w:firstLine="640"/>
        <w:textAlignment w:val="auto"/>
        <w:outlineLvl w:val="1"/>
        <w:rPr>
          <w:rStyle w:val="25"/>
          <w:rFonts w:ascii="黑体" w:hAnsi="黑体" w:eastAsia="黑体"/>
          <w:b w:val="0"/>
        </w:rPr>
      </w:pPr>
      <w:bookmarkStart w:id="44" w:name="_Toc15377221"/>
      <w:bookmarkStart w:id="45" w:name="_Toc15396612"/>
      <w:r>
        <w:rPr>
          <w:rStyle w:val="25"/>
          <w:rFonts w:hint="eastAsia" w:ascii="黑体" w:hAnsi="黑体" w:eastAsia="黑体"/>
          <w:b w:val="0"/>
        </w:rPr>
        <w:t>其他重要事项的情况说明</w:t>
      </w:r>
      <w:bookmarkEnd w:id="44"/>
      <w:bookmarkEnd w:id="45"/>
    </w:p>
    <w:p>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46" w:name="_Toc15377222"/>
      <w:r>
        <w:rPr>
          <w:rFonts w:hint="eastAsia" w:ascii="楷体_GB2312" w:hAnsi="楷体_GB2312" w:eastAsia="楷体_GB2312" w:cs="楷体_GB2312"/>
          <w:b w:val="0"/>
          <w:bCs/>
          <w:sz w:val="32"/>
          <w:szCs w:val="32"/>
        </w:rPr>
        <w:t>（一）机关运行经费支出情况</w:t>
      </w:r>
      <w:bookmarkEnd w:id="46"/>
    </w:p>
    <w:p>
      <w:pPr>
        <w:spacing w:line="600" w:lineRule="exact"/>
        <w:ind w:firstLine="640" w:firstLineChars="200"/>
        <w:rPr>
          <w:rFonts w:ascii="仿宋" w:hAnsi="仿宋" w:eastAsia="仿宋"/>
          <w:b/>
          <w:color w:val="FF0000"/>
          <w:sz w:val="32"/>
          <w:szCs w:val="32"/>
        </w:rPr>
      </w:pPr>
      <w:r>
        <w:rPr>
          <w:rFonts w:hint="eastAsia" w:ascii="仿宋_GB2312" w:hAnsi="仿宋_GB2312" w:eastAsia="仿宋_GB2312" w:cs="仿宋_GB2312"/>
          <w:b w:val="0"/>
          <w:bCs w:val="0"/>
          <w:sz w:val="32"/>
          <w:szCs w:val="32"/>
        </w:rPr>
        <w:t>2021年，</w:t>
      </w:r>
      <w:r>
        <w:rPr>
          <w:rFonts w:hint="eastAsia" w:ascii="仿宋_GB2312" w:eastAsia="仿宋_GB2312"/>
          <w:color w:val="000000"/>
          <w:sz w:val="32"/>
          <w:szCs w:val="32"/>
          <w:lang w:eastAsia="zh-CN"/>
        </w:rPr>
        <w:t>峨眉山军供站</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无变化。主要原因是峨眉山军供站是全额拨款事业单位不是行政单位和参公事业单位，所以无机关运行经费。</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bookmarkStart w:id="47" w:name="_Toc15377223"/>
      <w:r>
        <w:rPr>
          <w:rFonts w:hint="eastAsia" w:ascii="楷体_GB2312" w:hAnsi="楷体_GB2312" w:eastAsia="楷体_GB2312" w:cs="楷体_GB2312"/>
          <w:b w:val="0"/>
          <w:bCs/>
          <w:sz w:val="32"/>
          <w:szCs w:val="32"/>
        </w:rPr>
        <w:t>（二）政府采购支出情况</w:t>
      </w:r>
      <w:bookmarkEnd w:id="47"/>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w:t>
      </w:r>
      <w:r>
        <w:rPr>
          <w:rFonts w:hint="eastAsia" w:ascii="仿宋_GB2312" w:hAnsi="仿宋_GB2312" w:eastAsia="仿宋_GB2312" w:cs="仿宋_GB2312"/>
          <w:b w:val="0"/>
          <w:bCs w:val="0"/>
          <w:sz w:val="32"/>
          <w:szCs w:val="32"/>
          <w:lang w:eastAsia="zh-CN"/>
        </w:rPr>
        <w:t>峨眉山军供站</w:t>
      </w:r>
      <w:r>
        <w:rPr>
          <w:rFonts w:hint="eastAsia" w:ascii="仿宋_GB2312" w:hAnsi="仿宋_GB2312" w:eastAsia="仿宋_GB2312" w:cs="仿宋_GB2312"/>
          <w:b w:val="0"/>
          <w:bCs w:val="0"/>
          <w:sz w:val="32"/>
          <w:szCs w:val="32"/>
        </w:rPr>
        <w:t>政府采购支出总额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万元，其中：政府采购货物支出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万元、政府采购工程支出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万元、政府采购服务支出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万元。授予中小企业合同金额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万元，占政府采购支出总额的</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%，其中：授予小微企业合同金额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万元，占政府采购支出总额的</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bookmarkStart w:id="48" w:name="_Toc15377224"/>
      <w:r>
        <w:rPr>
          <w:rFonts w:hint="eastAsia" w:ascii="楷体_GB2312" w:hAnsi="楷体_GB2312" w:eastAsia="楷体_GB2312" w:cs="楷体_GB2312"/>
          <w:b w:val="0"/>
          <w:bCs/>
          <w:sz w:val="32"/>
          <w:szCs w:val="32"/>
        </w:rPr>
        <w:t>（三）国有资产占有使用情况</w:t>
      </w:r>
      <w:bookmarkEnd w:id="48"/>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截至2021年12月31日，</w:t>
      </w:r>
      <w:r>
        <w:rPr>
          <w:rFonts w:hint="eastAsia" w:ascii="仿宋_GB2312" w:hAnsi="仿宋_GB2312" w:eastAsia="仿宋_GB2312" w:cs="仿宋_GB2312"/>
          <w:b w:val="0"/>
          <w:bCs w:val="0"/>
          <w:sz w:val="32"/>
          <w:szCs w:val="32"/>
          <w:lang w:eastAsia="zh-CN"/>
        </w:rPr>
        <w:t>峨眉山军供站</w:t>
      </w:r>
      <w:r>
        <w:rPr>
          <w:rFonts w:hint="eastAsia" w:ascii="仿宋_GB2312" w:hAnsi="仿宋_GB2312" w:eastAsia="仿宋_GB2312" w:cs="仿宋_GB2312"/>
          <w:b w:val="0"/>
          <w:bCs w:val="0"/>
          <w:sz w:val="32"/>
          <w:szCs w:val="32"/>
        </w:rPr>
        <w:t>共有车辆</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辆，其中：主要领导干部用车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辆、机要通信用车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辆、应急保障用车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辆、其他用车</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其他用车主要是用于</w:t>
      </w:r>
      <w:r>
        <w:rPr>
          <w:rFonts w:hint="eastAsia" w:ascii="仿宋_GB2312" w:eastAsia="仿宋_GB2312"/>
          <w:color w:val="000000"/>
          <w:sz w:val="32"/>
          <w:szCs w:val="32"/>
          <w:lang w:eastAsia="zh-CN"/>
        </w:rPr>
        <w:t>军供保障。</w:t>
      </w:r>
      <w:r>
        <w:rPr>
          <w:rFonts w:hint="eastAsia" w:ascii="仿宋_GB2312" w:hAnsi="仿宋_GB2312" w:eastAsia="仿宋_GB2312" w:cs="仿宋_GB2312"/>
          <w:b w:val="0"/>
          <w:bCs w:val="0"/>
          <w:sz w:val="32"/>
          <w:szCs w:val="32"/>
        </w:rPr>
        <w:t>单价50万元以上通用设备</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台（套），单价100万元以上专用设备</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台（套）。</w:t>
      </w:r>
    </w:p>
    <w:p>
      <w:pPr>
        <w:keepNext w:val="0"/>
        <w:keepLines w:val="0"/>
        <w:pageBreakBefore w:val="0"/>
        <w:widowControl/>
        <w:kinsoku/>
        <w:wordWrap/>
        <w:overflowPunct/>
        <w:topLinePunct w:val="0"/>
        <w:bidi w:val="0"/>
        <w:snapToGrid/>
        <w:spacing w:line="600" w:lineRule="exact"/>
        <w:jc w:val="left"/>
        <w:textAlignment w:val="auto"/>
        <w:rPr>
          <w:rFonts w:ascii="仿宋_GB2312" w:eastAsia="仿宋_GB2312"/>
          <w:b/>
          <w:sz w:val="32"/>
          <w:szCs w:val="32"/>
        </w:rPr>
      </w:pPr>
      <w:r>
        <w:rPr>
          <w:rFonts w:ascii="仿宋_GB2312" w:eastAsia="仿宋_GB2312"/>
          <w:b/>
          <w:sz w:val="32"/>
          <w:szCs w:val="32"/>
        </w:rPr>
        <w:br w:type="page"/>
      </w:r>
    </w:p>
    <w:p>
      <w:pPr>
        <w:keepNext w:val="0"/>
        <w:keepLines w:val="0"/>
        <w:pageBreakBefore w:val="0"/>
        <w:numPr>
          <w:ilvl w:val="0"/>
          <w:numId w:val="0"/>
        </w:numPr>
        <w:kinsoku/>
        <w:wordWrap/>
        <w:overflowPunct/>
        <w:topLinePunct w:val="0"/>
        <w:bidi w:val="0"/>
        <w:snapToGrid/>
        <w:spacing w:line="600" w:lineRule="exact"/>
        <w:jc w:val="center"/>
        <w:textAlignment w:val="auto"/>
        <w:outlineLvl w:val="0"/>
        <w:rPr>
          <w:rStyle w:val="24"/>
          <w:rFonts w:hint="eastAsia" w:ascii="方正小标宋_GBK" w:hAnsi="方正小标宋_GBK" w:eastAsia="方正小标宋_GBK" w:cs="方正小标宋_GBK"/>
          <w:b w:val="0"/>
        </w:rPr>
      </w:pPr>
      <w:bookmarkStart w:id="49" w:name="_Toc15377225"/>
      <w:bookmarkStart w:id="50" w:name="_Toc15396613"/>
      <w:r>
        <w:rPr>
          <w:rFonts w:hint="eastAsia" w:ascii="方正小标宋_GBK" w:hAnsi="方正小标宋_GBK" w:eastAsia="方正小标宋_GBK" w:cs="方正小标宋_GBK"/>
          <w:sz w:val="44"/>
          <w:szCs w:val="44"/>
          <w:lang w:eastAsia="zh-CN"/>
        </w:rPr>
        <w:t>第三部分</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名</w:t>
      </w:r>
      <w:r>
        <w:rPr>
          <w:rStyle w:val="24"/>
          <w:rFonts w:hint="eastAsia" w:ascii="方正小标宋_GBK" w:hAnsi="方正小标宋_GBK" w:eastAsia="方正小标宋_GBK" w:cs="方正小标宋_GBK"/>
          <w:b w:val="0"/>
        </w:rPr>
        <w:t>词解释</w:t>
      </w:r>
      <w:bookmarkEnd w:id="49"/>
      <w:bookmarkEnd w:id="50"/>
    </w:p>
    <w:p>
      <w:pPr>
        <w:keepNext w:val="0"/>
        <w:keepLines w:val="0"/>
        <w:pageBreakBefore w:val="0"/>
        <w:kinsoku/>
        <w:wordWrap/>
        <w:overflowPunct/>
        <w:topLinePunct w:val="0"/>
        <w:bidi w:val="0"/>
        <w:snapToGrid/>
        <w:spacing w:line="600" w:lineRule="exact"/>
        <w:jc w:val="left"/>
        <w:textAlignment w:val="auto"/>
        <w:rPr>
          <w:rFonts w:ascii="宋体"/>
          <w:b/>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1" w:firstLineChars="0"/>
        <w:jc w:val="left"/>
        <w:textAlignment w:val="auto"/>
        <w:outlineLvl w:val="9"/>
        <w:rPr>
          <w:rFonts w:hint="eastAsia" w:ascii="仿宋_GB2312" w:hAnsi="仿宋_GB2312" w:eastAsia="仿宋_GB2312" w:cs="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社会保障和就业</w:t>
      </w:r>
      <w:r>
        <w:rPr>
          <w:rFonts w:hint="eastAsia" w:ascii="仿宋_GB2312" w:eastAsia="仿宋_GB2312"/>
          <w:color w:val="000000"/>
          <w:sz w:val="32"/>
          <w:szCs w:val="32"/>
          <w:lang w:eastAsia="zh-CN"/>
        </w:rPr>
        <w:t>：</w:t>
      </w:r>
      <w:r>
        <w:rPr>
          <w:rFonts w:hint="eastAsia" w:ascii="仿宋_GB2312" w:hAnsi="仿宋_GB2312" w:eastAsia="仿宋_GB2312" w:cs="仿宋_GB2312"/>
          <w:sz w:val="32"/>
          <w:szCs w:val="32"/>
        </w:rPr>
        <w:t>2080505机关事业单位基本养老保险缴费支出反映机关事业单位实施养老保险制度由单位缴纳的基本养老保险费支出；2080506机关事业单位职业年金缴费支出反映机关事业单位实施养老保险制度由单位实际缴纳的职业年金支出；2080899其他优抚支出反映除上述项目以外其他用于优抚方面的支出；208</w:t>
      </w:r>
      <w:r>
        <w:rPr>
          <w:rFonts w:hint="eastAsia" w:ascii="仿宋_GB2312" w:hAnsi="仿宋_GB2312" w:eastAsia="仿宋_GB2312" w:cs="仿宋_GB2312"/>
          <w:sz w:val="32"/>
          <w:szCs w:val="32"/>
          <w:lang w:val="en-US" w:eastAsia="zh-CN"/>
        </w:rPr>
        <w:t>2805部队供应支出；2089999指其他社会保障和就业支出</w:t>
      </w:r>
      <w:r>
        <w:rPr>
          <w:rFonts w:hint="eastAsia" w:ascii="仿宋_GB2312" w:hAnsi="仿宋_GB2312" w:eastAsia="仿宋_GB2312" w:cs="仿宋_GB2312"/>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医疗卫生与计划生育</w:t>
      </w:r>
      <w:r>
        <w:rPr>
          <w:rFonts w:hint="eastAsia" w:ascii="仿宋_GB2312" w:eastAsia="仿宋_GB2312"/>
          <w:color w:val="000000"/>
          <w:sz w:val="32"/>
          <w:szCs w:val="32"/>
          <w:lang w:val="en-US" w:eastAsia="zh-CN"/>
        </w:rPr>
        <w:t>:</w:t>
      </w:r>
      <w:r>
        <w:rPr>
          <w:rFonts w:hint="eastAsia" w:ascii="仿宋_GB2312" w:hAnsi="Times New Roman" w:eastAsia="仿宋_GB2312"/>
          <w:sz w:val="32"/>
          <w:szCs w:val="32"/>
          <w:lang w:val="en-US" w:eastAsia="zh-CN"/>
        </w:rPr>
        <w:t>2101102指事业单位医疗支出</w:t>
      </w:r>
      <w:r>
        <w:rPr>
          <w:rFonts w:hint="eastAsia" w:ascii="仿宋_GB2312" w:eastAsia="仿宋_GB2312"/>
          <w:sz w:val="32"/>
          <w:szCs w:val="32"/>
          <w:lang w:val="en-US" w:eastAsia="zh-CN"/>
        </w:rPr>
        <w:t>。</w:t>
      </w:r>
    </w:p>
    <w:p>
      <w:pPr>
        <w:pStyle w:val="22"/>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Times New Roman" w:eastAsia="仿宋_GB2312"/>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住房保障</w:t>
      </w:r>
      <w:r>
        <w:rPr>
          <w:rFonts w:hint="eastAsia" w:ascii="仿宋_GB2312" w:eastAsia="仿宋_GB2312"/>
          <w:color w:val="000000"/>
          <w:sz w:val="32"/>
          <w:szCs w:val="32"/>
          <w:lang w:eastAsia="zh-CN"/>
        </w:rPr>
        <w:t>：</w:t>
      </w:r>
      <w:r>
        <w:rPr>
          <w:rFonts w:hint="eastAsia" w:ascii="仿宋_GB2312" w:hAnsi="Times New Roman" w:eastAsia="仿宋_GB2312"/>
          <w:sz w:val="32"/>
          <w:szCs w:val="32"/>
          <w:lang w:val="en-US" w:eastAsia="zh-CN"/>
        </w:rPr>
        <w:t>2210201</w:t>
      </w:r>
      <w:r>
        <w:rPr>
          <w:rFonts w:hint="eastAsia" w:ascii="仿宋_GB2312" w:hAnsi="Times New Roman" w:eastAsia="仿宋_GB2312"/>
          <w:sz w:val="32"/>
          <w:szCs w:val="32"/>
          <w:lang w:eastAsia="zh-CN"/>
        </w:rPr>
        <w:t>指住房公积金支出</w:t>
      </w:r>
      <w:r>
        <w:rPr>
          <w:rFonts w:hint="eastAsia" w:ascii="仿宋_GB2312" w:hAnsi="Times New Roman" w:eastAsia="仿宋_GB2312"/>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Style w:val="24"/>
          <w:rFonts w:hint="eastAsia" w:ascii="方正小标宋_GBK" w:hAnsi="方正小标宋_GBK" w:eastAsia="方正小标宋_GBK" w:cs="方正小标宋_GBK"/>
          <w:b w:val="0"/>
        </w:rPr>
      </w:pPr>
      <w:bookmarkStart w:id="51" w:name="_Toc15377226"/>
      <w:r>
        <w:rPr>
          <w:rFonts w:ascii="宋体"/>
          <w:b/>
          <w:sz w:val="44"/>
          <w:szCs w:val="44"/>
        </w:rPr>
        <w:br w:type="page"/>
      </w:r>
      <w:bookmarkStart w:id="52" w:name="_Toc15396614"/>
      <w:r>
        <w:rPr>
          <w:rFonts w:hint="eastAsia" w:ascii="方正小标宋_GBK" w:hAnsi="方正小标宋_GBK" w:eastAsia="方正小标宋_GBK" w:cs="方正小标宋_GBK"/>
          <w:sz w:val="44"/>
          <w:szCs w:val="44"/>
        </w:rPr>
        <w:t>第</w:t>
      </w:r>
      <w:r>
        <w:rPr>
          <w:rStyle w:val="24"/>
          <w:rFonts w:hint="eastAsia" w:ascii="方正小标宋_GBK" w:hAnsi="方正小标宋_GBK" w:eastAsia="方正小标宋_GBK" w:cs="方正小标宋_GBK"/>
          <w:b w:val="0"/>
        </w:rPr>
        <w:t>四部分 附</w:t>
      </w:r>
      <w:r>
        <w:rPr>
          <w:rStyle w:val="24"/>
          <w:rFonts w:hint="eastAsia" w:ascii="方正小标宋_GBK" w:hAnsi="方正小标宋_GBK" w:eastAsia="方正小标宋_GBK" w:cs="方正小标宋_GBK"/>
          <w:b w:val="0"/>
          <w:lang w:val="en-US" w:eastAsia="zh-CN"/>
        </w:rPr>
        <w:t xml:space="preserve">  </w:t>
      </w:r>
      <w:r>
        <w:rPr>
          <w:rStyle w:val="24"/>
          <w:rFonts w:hint="eastAsia" w:ascii="方正小标宋_GBK" w:hAnsi="方正小标宋_GBK" w:eastAsia="方正小标宋_GBK" w:cs="方正小标宋_GBK"/>
          <w:b w:val="0"/>
        </w:rPr>
        <w:t>件</w:t>
      </w:r>
      <w:bookmarkEnd w:id="52"/>
    </w:p>
    <w:p>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contextualSpacing/>
        <w:jc w:val="center"/>
        <w:textAlignment w:val="auto"/>
        <w:outlineLvl w:val="9"/>
        <w:rPr>
          <w:rFonts w:hint="eastAsia" w:ascii="方正小标宋简体" w:hAnsi="方正小标宋简体" w:eastAsia="方正小标宋简体" w:cs="方正小标宋简体"/>
          <w:b w:val="0"/>
          <w:bCs w:val="0"/>
          <w:sz w:val="44"/>
          <w:szCs w:val="44"/>
          <w:shd w:val="clear" w:color="auto" w:fill="FFFFFF"/>
          <w:lang w:eastAsia="zh-CN"/>
        </w:rPr>
      </w:pPr>
    </w:p>
    <w:p>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contextualSpacing/>
        <w:jc w:val="center"/>
        <w:textAlignment w:val="auto"/>
        <w:outlineLvl w:val="9"/>
        <w:rPr>
          <w:rFonts w:hint="eastAsia" w:ascii="方正小标宋简体" w:hAnsi="方正小标宋简体" w:eastAsia="方正小标宋简体" w:cs="方正小标宋简体"/>
          <w:b w:val="0"/>
          <w:bCs w:val="0"/>
          <w:sz w:val="44"/>
          <w:szCs w:val="44"/>
          <w:shd w:val="clear" w:color="auto" w:fill="FFFFFF"/>
          <w:lang w:eastAsia="zh-CN"/>
        </w:rPr>
      </w:pPr>
      <w:r>
        <w:rPr>
          <w:rFonts w:hint="eastAsia" w:ascii="方正小标宋简体" w:hAnsi="方正小标宋简体" w:eastAsia="方正小标宋简体" w:cs="方正小标宋简体"/>
          <w:b w:val="0"/>
          <w:bCs w:val="0"/>
          <w:sz w:val="44"/>
          <w:szCs w:val="44"/>
          <w:shd w:val="clear" w:color="auto" w:fill="FFFFFF"/>
          <w:lang w:eastAsia="zh-CN"/>
        </w:rPr>
        <w:t>峨眉山军供站</w:t>
      </w:r>
    </w:p>
    <w:p>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contextualSpacing/>
        <w:jc w:val="center"/>
        <w:textAlignment w:val="auto"/>
        <w:outlineLvl w:val="9"/>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sz w:val="44"/>
          <w:szCs w:val="44"/>
          <w:shd w:val="clear" w:color="auto" w:fill="FFFFFF"/>
        </w:rPr>
        <w:t>20</w:t>
      </w:r>
      <w:r>
        <w:rPr>
          <w:rFonts w:hint="eastAsia" w:ascii="方正小标宋简体" w:hAnsi="方正小标宋简体" w:eastAsia="方正小标宋简体" w:cs="方正小标宋简体"/>
          <w:b w:val="0"/>
          <w:bCs w:val="0"/>
          <w:sz w:val="44"/>
          <w:szCs w:val="44"/>
          <w:shd w:val="clear" w:color="auto" w:fill="FFFFFF"/>
          <w:lang w:val="en-US" w:eastAsia="zh-CN"/>
        </w:rPr>
        <w:t>21</w:t>
      </w:r>
      <w:r>
        <w:rPr>
          <w:rFonts w:hint="eastAsia" w:ascii="方正小标宋简体" w:hAnsi="方正小标宋简体" w:eastAsia="方正小标宋简体" w:cs="方正小标宋简体"/>
          <w:b w:val="0"/>
          <w:bCs w:val="0"/>
          <w:sz w:val="44"/>
          <w:szCs w:val="44"/>
          <w:shd w:val="clear" w:color="auto" w:fill="FFFFFF"/>
        </w:rPr>
        <w:t>年部门整体支出绩效评价报告</w:t>
      </w:r>
    </w:p>
    <w:p>
      <w:pPr>
        <w:widowControl/>
        <w:adjustRightInd w:val="0"/>
        <w:snapToGrid w:val="0"/>
        <w:spacing w:line="580" w:lineRule="exact"/>
        <w:ind w:firstLine="480" w:firstLineChars="200"/>
        <w:contextualSpacing/>
        <w:jc w:val="left"/>
        <w:rPr>
          <w:rFonts w:ascii="黑体" w:hAnsi="宋体" w:eastAsia="黑体" w:cs="宋体"/>
          <w:b w:val="0"/>
          <w:bCs w:val="0"/>
          <w:color w:val="000000"/>
          <w:kern w:val="0"/>
          <w:sz w:val="24"/>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600" w:lineRule="exact"/>
        <w:ind w:right="0" w:rightChars="0" w:firstLine="640" w:firstLineChars="200"/>
        <w:contextualSpacing/>
        <w:jc w:val="left"/>
        <w:textAlignment w:val="auto"/>
        <w:outlineLvl w:val="9"/>
        <w:rPr>
          <w:rFonts w:ascii="黑体" w:hAnsi="宋体" w:eastAsia="黑体" w:cs="宋体"/>
          <w:b w:val="0"/>
          <w:bCs w:val="0"/>
          <w:color w:val="000000"/>
          <w:kern w:val="0"/>
          <w:sz w:val="32"/>
          <w:szCs w:val="32"/>
          <w:shd w:val="clear" w:color="auto" w:fill="FFFFFF"/>
          <w:lang w:val="zh-CN"/>
        </w:rPr>
      </w:pPr>
      <w:r>
        <w:rPr>
          <w:rFonts w:hint="eastAsia" w:ascii="黑体" w:hAnsi="宋体" w:eastAsia="黑体" w:cs="宋体"/>
          <w:b w:val="0"/>
          <w:bCs w:val="0"/>
          <w:color w:val="000000"/>
          <w:kern w:val="0"/>
          <w:sz w:val="32"/>
          <w:szCs w:val="32"/>
          <w:shd w:val="clear" w:color="auto" w:fill="FFFFFF"/>
        </w:rPr>
        <w:t>一、</w:t>
      </w:r>
      <w:r>
        <w:rPr>
          <w:rFonts w:hint="eastAsia" w:ascii="黑体" w:hAnsi="宋体" w:eastAsia="黑体" w:cs="宋体"/>
          <w:b w:val="0"/>
          <w:bCs w:val="0"/>
          <w:color w:val="000000"/>
          <w:kern w:val="0"/>
          <w:sz w:val="32"/>
          <w:szCs w:val="32"/>
          <w:shd w:val="clear" w:color="auto" w:fill="FFFFFF"/>
          <w:lang w:val="zh-CN"/>
        </w:rPr>
        <w:t>单位概况</w:t>
      </w:r>
    </w:p>
    <w:p>
      <w:pPr>
        <w:keepNext w:val="0"/>
        <w:keepLines w:val="0"/>
        <w:pageBreakBefore w:val="0"/>
        <w:numPr>
          <w:ilvl w:val="0"/>
          <w:numId w:val="4"/>
        </w:numPr>
        <w:kinsoku/>
        <w:wordWrap/>
        <w:overflowPunct/>
        <w:topLinePunct w:val="0"/>
        <w:autoSpaceDE/>
        <w:autoSpaceDN/>
        <w:bidi w:val="0"/>
        <w:spacing w:line="600" w:lineRule="exact"/>
        <w:ind w:right="0" w:rightChars="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机构组成</w:t>
      </w:r>
    </w:p>
    <w:p>
      <w:pPr>
        <w:keepNext w:val="0"/>
        <w:keepLines w:val="0"/>
        <w:pageBreakBefore w:val="0"/>
        <w:kinsoku/>
        <w:wordWrap/>
        <w:overflowPunct/>
        <w:topLinePunct w:val="0"/>
        <w:autoSpaceDE/>
        <w:autoSpaceDN/>
        <w:bidi w:val="0"/>
        <w:spacing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峨眉山军供站是峨眉山市退役军人事务局所属的</w:t>
      </w:r>
      <w:r>
        <w:rPr>
          <w:rFonts w:hint="eastAsia" w:ascii="仿宋_GB2312" w:hAnsi="仿宋_GB2312" w:eastAsia="仿宋_GB2312" w:cs="仿宋_GB2312"/>
          <w:sz w:val="32"/>
          <w:szCs w:val="32"/>
          <w:lang w:eastAsia="zh-CN"/>
        </w:rPr>
        <w:t>全额拨款</w:t>
      </w:r>
      <w:r>
        <w:rPr>
          <w:rFonts w:hint="eastAsia" w:ascii="仿宋_GB2312" w:hAnsi="仿宋_GB2312" w:eastAsia="仿宋_GB2312" w:cs="仿宋_GB2312"/>
          <w:sz w:val="32"/>
          <w:szCs w:val="32"/>
        </w:rPr>
        <w:t>事业单位，级别副科，属公益一类，执行政府会计制度。内设办公室和供应科</w:t>
      </w:r>
      <w:r>
        <w:rPr>
          <w:rFonts w:hint="eastAsia" w:ascii="仿宋_GB2312" w:hAnsi="仿宋_GB2312" w:eastAsia="仿宋_GB2312" w:cs="仿宋_GB2312"/>
          <w:sz w:val="32"/>
          <w:szCs w:val="32"/>
          <w:lang w:eastAsia="zh-CN"/>
        </w:rPr>
        <w:t>两个</w:t>
      </w:r>
      <w:r>
        <w:rPr>
          <w:rFonts w:hint="eastAsia" w:ascii="仿宋_GB2312" w:hAnsi="仿宋_GB2312" w:eastAsia="仿宋_GB2312" w:cs="仿宋_GB2312"/>
          <w:sz w:val="32"/>
          <w:szCs w:val="32"/>
        </w:rPr>
        <w:t>科室。</w:t>
      </w:r>
    </w:p>
    <w:p>
      <w:pPr>
        <w:keepNext w:val="0"/>
        <w:keepLines w:val="0"/>
        <w:pageBreakBefore w:val="0"/>
        <w:numPr>
          <w:ilvl w:val="0"/>
          <w:numId w:val="4"/>
        </w:numPr>
        <w:kinsoku/>
        <w:wordWrap/>
        <w:overflowPunct/>
        <w:topLinePunct w:val="0"/>
        <w:autoSpaceDE/>
        <w:autoSpaceDN/>
        <w:bidi w:val="0"/>
        <w:spacing w:line="600" w:lineRule="exact"/>
        <w:ind w:right="0" w:rightChars="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机构职能</w:t>
      </w:r>
    </w:p>
    <w:p>
      <w:pPr>
        <w:snapToGrid w:val="0"/>
        <w:spacing w:line="52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峨眉山军供站是执行战略训练、抢险救灾以及应对其他突发性事件等任务的成批过往部队、支前民兵、集结入伍的新兵、退伍老兵等提供饮食饮水、日常生活物资供应、临时住宿等保障</w:t>
      </w:r>
      <w:r>
        <w:rPr>
          <w:rFonts w:hint="eastAsia" w:ascii="仿宋_GB2312" w:hAnsi="仿宋_GB2312" w:eastAsia="仿宋_GB2312" w:cs="仿宋_GB2312"/>
          <w:sz w:val="32"/>
          <w:szCs w:val="32"/>
          <w:lang w:eastAsia="zh-CN"/>
        </w:rPr>
        <w:t>。</w:t>
      </w:r>
    </w:p>
    <w:p>
      <w:pPr>
        <w:keepNext w:val="0"/>
        <w:keepLines w:val="0"/>
        <w:pageBreakBefore w:val="0"/>
        <w:numPr>
          <w:ilvl w:val="0"/>
          <w:numId w:val="4"/>
        </w:numPr>
        <w:kinsoku/>
        <w:wordWrap/>
        <w:overflowPunct/>
        <w:topLinePunct w:val="0"/>
        <w:autoSpaceDE/>
        <w:autoSpaceDN/>
        <w:bidi w:val="0"/>
        <w:spacing w:line="600" w:lineRule="exact"/>
        <w:ind w:right="0" w:rightChars="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人员概况</w:t>
      </w:r>
    </w:p>
    <w:p>
      <w:pPr>
        <w:keepNext w:val="0"/>
        <w:keepLines w:val="0"/>
        <w:pageBreakBefore w:val="0"/>
        <w:kinsoku/>
        <w:wordWrap/>
        <w:overflowPunct/>
        <w:topLinePunct w:val="0"/>
        <w:autoSpaceDE/>
        <w:autoSpaceDN/>
        <w:bidi w:val="0"/>
        <w:spacing w:line="600" w:lineRule="exact"/>
        <w:ind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峨眉山军供站按市委编办规定，正式编制7人，现有在职人员9人，其中：正式在编5人（管理岗1人，工勤岗4人），会议纪要人员2人，劳务派遣人员2人。退休职工</w:t>
      </w: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rPr>
        <w:t>人。正式党员共14人（在职8人，退休6人）。</w:t>
      </w:r>
    </w:p>
    <w:p>
      <w:pPr>
        <w:keepNext w:val="0"/>
        <w:keepLines w:val="0"/>
        <w:pageBreakBefore w:val="0"/>
        <w:widowControl/>
        <w:kinsoku/>
        <w:wordWrap/>
        <w:overflowPunct/>
        <w:topLinePunct w:val="0"/>
        <w:autoSpaceDE/>
        <w:autoSpaceDN/>
        <w:bidi w:val="0"/>
        <w:adjustRightInd w:val="0"/>
        <w:snapToGrid w:val="0"/>
        <w:spacing w:line="600" w:lineRule="exact"/>
        <w:ind w:right="0" w:rightChars="0" w:firstLine="640" w:firstLineChars="200"/>
        <w:contextualSpacing/>
        <w:jc w:val="left"/>
        <w:textAlignment w:val="auto"/>
        <w:outlineLvl w:val="9"/>
        <w:rPr>
          <w:rFonts w:ascii="黑体" w:hAnsi="宋体" w:eastAsia="黑体" w:cs="宋体"/>
          <w:b w:val="0"/>
          <w:bCs w:val="0"/>
          <w:color w:val="000000"/>
          <w:kern w:val="0"/>
          <w:sz w:val="32"/>
          <w:szCs w:val="32"/>
          <w:shd w:val="clear" w:color="auto" w:fill="FFFFFF"/>
        </w:rPr>
      </w:pPr>
      <w:r>
        <w:rPr>
          <w:rFonts w:hint="eastAsia" w:ascii="黑体" w:hAnsi="宋体" w:eastAsia="黑体" w:cs="宋体"/>
          <w:b w:val="0"/>
          <w:bCs w:val="0"/>
          <w:color w:val="000000"/>
          <w:kern w:val="0"/>
          <w:sz w:val="32"/>
          <w:szCs w:val="32"/>
          <w:shd w:val="clear" w:color="auto" w:fill="FFFFFF"/>
        </w:rPr>
        <w:t>二、部门财政资金收支情况</w:t>
      </w:r>
    </w:p>
    <w:p>
      <w:pPr>
        <w:keepNext w:val="0"/>
        <w:keepLines w:val="0"/>
        <w:pageBreakBefore w:val="0"/>
        <w:kinsoku/>
        <w:wordWrap/>
        <w:overflowPunct/>
        <w:topLinePunct w:val="0"/>
        <w:autoSpaceDE/>
        <w:autoSpaceDN/>
        <w:bidi w:val="0"/>
        <w:spacing w:line="600" w:lineRule="exact"/>
        <w:ind w:right="0" w:rightChars="0" w:firstLine="640" w:firstLineChars="200"/>
        <w:textAlignment w:val="auto"/>
        <w:outlineLvl w:val="9"/>
        <w:rPr>
          <w:rFonts w:hint="eastAsia" w:ascii="楷体_GB2312" w:hAnsi="楷体_GB2312" w:eastAsia="楷体_GB2312" w:cs="楷体_GB2312"/>
          <w:b w:val="0"/>
          <w:bCs w:val="0"/>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（一）部门财政资金收入情况</w:t>
      </w:r>
    </w:p>
    <w:p>
      <w:pPr>
        <w:keepNext w:val="0"/>
        <w:keepLines w:val="0"/>
        <w:pageBreakBefore w:val="0"/>
        <w:kinsoku/>
        <w:wordWrap/>
        <w:overflowPunct/>
        <w:topLinePunct w:val="0"/>
        <w:autoSpaceDE/>
        <w:autoSpaceDN/>
        <w:bidi w:val="0"/>
        <w:spacing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年峨眉山军供站收入合计：</w:t>
      </w:r>
      <w:r>
        <w:rPr>
          <w:rFonts w:hint="eastAsia" w:ascii="仿宋_GB2312" w:hAnsi="仿宋_GB2312" w:eastAsia="仿宋_GB2312" w:cs="仿宋_GB2312"/>
          <w:sz w:val="32"/>
          <w:szCs w:val="32"/>
          <w:lang w:val="en-US" w:eastAsia="zh-CN"/>
        </w:rPr>
        <w:t>122.4万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120.15万</w:t>
      </w:r>
      <w:r>
        <w:rPr>
          <w:rFonts w:hint="eastAsia" w:ascii="仿宋_GB2312" w:hAnsi="仿宋_GB2312" w:eastAsia="仿宋_GB2312" w:cs="仿宋_GB2312"/>
          <w:sz w:val="32"/>
          <w:szCs w:val="32"/>
        </w:rPr>
        <w:t>元，对比20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2.25万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增加了</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财政拨款收入</w:t>
      </w:r>
      <w:r>
        <w:rPr>
          <w:rFonts w:hint="eastAsia" w:ascii="仿宋_GB2312" w:hAnsi="仿宋_GB2312" w:eastAsia="仿宋_GB2312" w:cs="仿宋_GB2312"/>
          <w:sz w:val="32"/>
          <w:szCs w:val="32"/>
          <w:lang w:val="en-US" w:eastAsia="zh-CN"/>
        </w:rPr>
        <w:t>122.4万</w:t>
      </w:r>
      <w:r>
        <w:rPr>
          <w:rFonts w:hint="eastAsia" w:ascii="仿宋_GB2312" w:hAnsi="仿宋_GB2312" w:eastAsia="仿宋_GB2312" w:cs="仿宋_GB2312"/>
          <w:sz w:val="32"/>
          <w:szCs w:val="32"/>
        </w:rPr>
        <w:t>元，20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年是</w:t>
      </w:r>
      <w:r>
        <w:rPr>
          <w:rFonts w:hint="eastAsia" w:ascii="仿宋_GB2312" w:hAnsi="仿宋_GB2312" w:eastAsia="仿宋_GB2312" w:cs="仿宋_GB2312"/>
          <w:sz w:val="32"/>
          <w:szCs w:val="32"/>
          <w:lang w:val="en-US" w:eastAsia="zh-CN"/>
        </w:rPr>
        <w:t>113.02万</w:t>
      </w:r>
      <w:r>
        <w:rPr>
          <w:rFonts w:hint="eastAsia" w:ascii="仿宋_GB2312" w:hAnsi="仿宋_GB2312" w:eastAsia="仿宋_GB2312" w:cs="仿宋_GB2312"/>
          <w:sz w:val="32"/>
          <w:szCs w:val="32"/>
        </w:rPr>
        <w:t>元，比2</w:t>
      </w: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9.38万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了</w:t>
      </w:r>
      <w:r>
        <w:rPr>
          <w:rFonts w:hint="eastAsia" w:ascii="仿宋_GB2312" w:hAnsi="仿宋_GB2312" w:eastAsia="仿宋_GB2312" w:cs="仿宋_GB2312"/>
          <w:sz w:val="32"/>
          <w:szCs w:val="32"/>
          <w:lang w:val="en-US" w:eastAsia="zh-CN"/>
        </w:rPr>
        <w:t>8.3</w:t>
      </w:r>
      <w:r>
        <w:rPr>
          <w:rFonts w:hint="eastAsia" w:ascii="仿宋_GB2312" w:hAnsi="仿宋_GB2312" w:eastAsia="仿宋_GB2312" w:cs="仿宋_GB2312"/>
          <w:sz w:val="32"/>
          <w:szCs w:val="32"/>
        </w:rPr>
        <w:t>%。主要原因是20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有人员经费的增加（如退休人员死亡丧葬抚恤费）。</w:t>
      </w:r>
    </w:p>
    <w:p>
      <w:pPr>
        <w:keepNext w:val="0"/>
        <w:keepLines w:val="0"/>
        <w:pageBreakBefore w:val="0"/>
        <w:numPr>
          <w:ilvl w:val="0"/>
          <w:numId w:val="5"/>
        </w:numPr>
        <w:kinsoku/>
        <w:wordWrap/>
        <w:overflowPunct/>
        <w:topLinePunct w:val="0"/>
        <w:autoSpaceDE/>
        <w:autoSpaceDN/>
        <w:bidi w:val="0"/>
        <w:spacing w:line="600" w:lineRule="exact"/>
        <w:ind w:right="0" w:rightChars="0" w:firstLine="640" w:firstLineChars="200"/>
        <w:textAlignment w:val="auto"/>
        <w:outlineLvl w:val="9"/>
        <w:rPr>
          <w:rFonts w:hint="eastAsia" w:ascii="楷体_GB2312" w:hAnsi="楷体_GB2312" w:eastAsia="楷体_GB2312" w:cs="楷体_GB2312"/>
          <w:b w:val="0"/>
          <w:bCs w:val="0"/>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部门财政资金支出情况</w:t>
      </w:r>
    </w:p>
    <w:p>
      <w:pPr>
        <w:keepNext w:val="0"/>
        <w:keepLines w:val="0"/>
        <w:pageBreakBefore w:val="0"/>
        <w:kinsoku/>
        <w:wordWrap/>
        <w:overflowPunct/>
        <w:topLinePunct w:val="0"/>
        <w:autoSpaceDE/>
        <w:autoSpaceDN/>
        <w:bidi w:val="0"/>
        <w:spacing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年峨眉山军供站支出合计：</w:t>
      </w:r>
      <w:r>
        <w:rPr>
          <w:rFonts w:hint="eastAsia" w:ascii="仿宋_GB2312" w:hAnsi="仿宋_GB2312" w:eastAsia="仿宋_GB2312" w:cs="仿宋_GB2312"/>
          <w:sz w:val="32"/>
          <w:szCs w:val="32"/>
          <w:lang w:val="en-US" w:eastAsia="zh-CN"/>
        </w:rPr>
        <w:t>132.08万</w:t>
      </w:r>
      <w:r>
        <w:rPr>
          <w:rFonts w:hint="eastAsia" w:ascii="仿宋_GB2312" w:hAnsi="仿宋_GB2312" w:eastAsia="仿宋_GB2312" w:cs="仿宋_GB2312"/>
          <w:sz w:val="32"/>
          <w:szCs w:val="32"/>
        </w:rPr>
        <w:t>元，20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年是</w:t>
      </w:r>
      <w:r>
        <w:rPr>
          <w:rFonts w:hint="eastAsia" w:ascii="仿宋_GB2312" w:hAnsi="仿宋_GB2312" w:eastAsia="仿宋_GB2312" w:cs="仿宋_GB2312"/>
          <w:sz w:val="32"/>
          <w:szCs w:val="32"/>
          <w:lang w:val="en-US" w:eastAsia="zh-CN"/>
        </w:rPr>
        <w:t>113.02万</w:t>
      </w:r>
      <w:r>
        <w:rPr>
          <w:rFonts w:hint="eastAsia" w:ascii="仿宋_GB2312" w:hAnsi="仿宋_GB2312" w:eastAsia="仿宋_GB2312" w:cs="仿宋_GB2312"/>
          <w:sz w:val="32"/>
          <w:szCs w:val="32"/>
        </w:rPr>
        <w:t>元，对比20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19.06万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了</w:t>
      </w:r>
      <w:r>
        <w:rPr>
          <w:rFonts w:hint="eastAsia" w:ascii="仿宋_GB2312" w:hAnsi="仿宋_GB2312" w:eastAsia="仿宋_GB2312" w:cs="仿宋_GB2312"/>
          <w:sz w:val="32"/>
          <w:szCs w:val="32"/>
          <w:lang w:val="en-US" w:eastAsia="zh-CN"/>
        </w:rPr>
        <w:t>16.86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2021年峨眉山军供站财政资金支出122.48万元，2020年财政资金支出113.02万元。</w:t>
      </w:r>
      <w:r>
        <w:rPr>
          <w:rFonts w:hint="eastAsia" w:ascii="仿宋_GB2312" w:hAnsi="仿宋_GB2312" w:eastAsia="仿宋_GB2312" w:cs="仿宋_GB2312"/>
          <w:sz w:val="32"/>
          <w:szCs w:val="32"/>
        </w:rPr>
        <w:t>主要是因为20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有人员经费的增加（如退休人员死亡丧葬抚恤费）。</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财政资金</w:t>
      </w: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122.48万</w:t>
      </w:r>
      <w:r>
        <w:rPr>
          <w:rFonts w:hint="eastAsia" w:ascii="仿宋_GB2312" w:hAnsi="仿宋_GB2312" w:eastAsia="仿宋_GB2312" w:cs="仿宋_GB2312"/>
          <w:sz w:val="32"/>
          <w:szCs w:val="32"/>
        </w:rPr>
        <w:t>元，项目支出</w:t>
      </w:r>
      <w:r>
        <w:rPr>
          <w:rFonts w:hint="eastAsia" w:ascii="仿宋_GB2312" w:hAnsi="仿宋_GB2312" w:eastAsia="仿宋_GB2312" w:cs="仿宋_GB2312"/>
          <w:sz w:val="32"/>
          <w:szCs w:val="32"/>
          <w:lang w:val="en-US" w:eastAsia="zh-CN"/>
        </w:rPr>
        <w:t>0万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113.81万</w:t>
      </w:r>
      <w:r>
        <w:rPr>
          <w:rFonts w:hint="eastAsia" w:ascii="仿宋_GB2312" w:hAnsi="仿宋_GB2312" w:eastAsia="仿宋_GB2312" w:cs="仿宋_GB2312"/>
          <w:sz w:val="32"/>
          <w:szCs w:val="32"/>
        </w:rPr>
        <w:t>元，卫生健康支出</w:t>
      </w:r>
      <w:r>
        <w:rPr>
          <w:rFonts w:hint="eastAsia" w:ascii="仿宋_GB2312" w:hAnsi="仿宋_GB2312" w:eastAsia="仿宋_GB2312" w:cs="仿宋_GB2312"/>
          <w:sz w:val="32"/>
          <w:szCs w:val="32"/>
          <w:lang w:val="en-US" w:eastAsia="zh-CN"/>
        </w:rPr>
        <w:t>1.99万</w:t>
      </w:r>
      <w:r>
        <w:rPr>
          <w:rFonts w:hint="eastAsia" w:ascii="仿宋_GB2312" w:hAnsi="仿宋_GB2312" w:eastAsia="仿宋_GB2312" w:cs="仿宋_GB2312"/>
          <w:sz w:val="32"/>
          <w:szCs w:val="32"/>
        </w:rPr>
        <w:t>元，住房保障支出</w:t>
      </w:r>
      <w:r>
        <w:rPr>
          <w:rFonts w:hint="eastAsia" w:ascii="仿宋_GB2312" w:hAnsi="仿宋_GB2312" w:eastAsia="仿宋_GB2312" w:cs="仿宋_GB2312"/>
          <w:sz w:val="32"/>
          <w:szCs w:val="32"/>
          <w:lang w:val="en-US" w:eastAsia="zh-CN"/>
        </w:rPr>
        <w:t>6.68万</w:t>
      </w:r>
      <w:r>
        <w:rPr>
          <w:rFonts w:hint="eastAsia" w:ascii="仿宋_GB2312" w:hAnsi="仿宋_GB2312" w:eastAsia="仿宋_GB2312" w:cs="仿宋_GB2312"/>
          <w:sz w:val="32"/>
          <w:szCs w:val="32"/>
        </w:rPr>
        <w:t>元。</w:t>
      </w:r>
    </w:p>
    <w:p>
      <w:pPr>
        <w:keepNext w:val="0"/>
        <w:keepLines w:val="0"/>
        <w:pageBreakBefore w:val="0"/>
        <w:widowControl/>
        <w:kinsoku/>
        <w:wordWrap/>
        <w:overflowPunct/>
        <w:topLinePunct w:val="0"/>
        <w:autoSpaceDE/>
        <w:autoSpaceDN/>
        <w:bidi w:val="0"/>
        <w:adjustRightInd w:val="0"/>
        <w:snapToGrid w:val="0"/>
        <w:spacing w:line="600" w:lineRule="exact"/>
        <w:ind w:right="0" w:rightChars="0" w:firstLine="640" w:firstLineChars="200"/>
        <w:contextualSpacing/>
        <w:jc w:val="left"/>
        <w:textAlignment w:val="auto"/>
        <w:outlineLvl w:val="9"/>
        <w:rPr>
          <w:rFonts w:ascii="黑体" w:hAnsi="宋体" w:eastAsia="黑体" w:cs="宋体"/>
          <w:b w:val="0"/>
          <w:bCs w:val="0"/>
          <w:color w:val="000000"/>
          <w:kern w:val="0"/>
          <w:sz w:val="32"/>
          <w:szCs w:val="32"/>
          <w:shd w:val="clear" w:color="auto" w:fill="FFFFFF"/>
        </w:rPr>
      </w:pPr>
      <w:r>
        <w:rPr>
          <w:rFonts w:hint="eastAsia" w:ascii="黑体" w:hAnsi="宋体" w:eastAsia="黑体" w:cs="宋体"/>
          <w:b w:val="0"/>
          <w:bCs w:val="0"/>
          <w:color w:val="000000"/>
          <w:kern w:val="0"/>
          <w:sz w:val="32"/>
          <w:szCs w:val="32"/>
          <w:shd w:val="clear" w:color="auto" w:fill="FFFFFF"/>
        </w:rPr>
        <w:t>三、</w:t>
      </w:r>
      <w:r>
        <w:rPr>
          <w:rFonts w:hint="eastAsia" w:ascii="黑体" w:hAnsi="宋体" w:eastAsia="黑体" w:cs="宋体"/>
          <w:b w:val="0"/>
          <w:bCs w:val="0"/>
          <w:color w:val="000000"/>
          <w:kern w:val="0"/>
          <w:sz w:val="32"/>
          <w:szCs w:val="32"/>
          <w:u w:val="none"/>
          <w:shd w:val="clear" w:color="auto" w:fill="FFFFFF"/>
        </w:rPr>
        <w:t>部门整体预算绩效管理情况</w:t>
      </w:r>
    </w:p>
    <w:p>
      <w:pPr>
        <w:keepNext w:val="0"/>
        <w:keepLines w:val="0"/>
        <w:pageBreakBefore w:val="0"/>
        <w:widowControl/>
        <w:kinsoku/>
        <w:wordWrap/>
        <w:overflowPunct/>
        <w:topLinePunct w:val="0"/>
        <w:autoSpaceDE/>
        <w:autoSpaceDN/>
        <w:bidi w:val="0"/>
        <w:adjustRightInd w:val="0"/>
        <w:snapToGrid w:val="0"/>
        <w:spacing w:line="600" w:lineRule="exact"/>
        <w:ind w:right="0" w:rightChars="0" w:firstLine="640" w:firstLineChars="200"/>
        <w:contextualSpacing/>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 w:val="0"/>
          <w:bCs w:val="0"/>
          <w:color w:val="000000"/>
          <w:kern w:val="0"/>
          <w:sz w:val="32"/>
          <w:szCs w:val="32"/>
          <w:shd w:val="clear" w:color="auto" w:fill="FFFFFF"/>
          <w:lang w:val="zh-CN"/>
        </w:rPr>
        <w:t>（一）部门预算项目绩效管理。</w:t>
      </w:r>
    </w:p>
    <w:p>
      <w:pPr>
        <w:keepNext w:val="0"/>
        <w:keepLines w:val="0"/>
        <w:pageBreakBefore w:val="0"/>
        <w:numPr>
          <w:ilvl w:val="0"/>
          <w:numId w:val="6"/>
        </w:numPr>
        <w:kinsoku/>
        <w:wordWrap/>
        <w:overflowPunct/>
        <w:topLinePunct w:val="0"/>
        <w:autoSpaceDE/>
        <w:autoSpaceDN/>
        <w:bidi w:val="0"/>
        <w:spacing w:line="600" w:lineRule="exact"/>
        <w:ind w:right="0" w:rightChars="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预算编制情况</w:t>
      </w:r>
    </w:p>
    <w:p>
      <w:pPr>
        <w:keepNext w:val="0"/>
        <w:keepLines w:val="0"/>
        <w:pageBreakBefore w:val="0"/>
        <w:kinsoku/>
        <w:wordWrap/>
        <w:overflowPunct/>
        <w:topLinePunct w:val="0"/>
        <w:autoSpaceDE/>
        <w:autoSpaceDN/>
        <w:bidi w:val="0"/>
        <w:spacing w:line="600" w:lineRule="exact"/>
        <w:ind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严格按照预算管理的相关规定和市财政局部门预算编制通知要求，较为合理的编制预算，按时完成了预算编制工作。在编制预算中，按单位实际的人数，正确编制人员经费和公用经费，做到尽量细化项目资金支出预算范围和科目。</w:t>
      </w:r>
    </w:p>
    <w:p>
      <w:pPr>
        <w:keepNext w:val="0"/>
        <w:keepLines w:val="0"/>
        <w:pageBreakBefore w:val="0"/>
        <w:numPr>
          <w:ilvl w:val="0"/>
          <w:numId w:val="6"/>
        </w:numPr>
        <w:kinsoku/>
        <w:wordWrap/>
        <w:overflowPunct/>
        <w:topLinePunct w:val="0"/>
        <w:autoSpaceDE/>
        <w:autoSpaceDN/>
        <w:bidi w:val="0"/>
        <w:spacing w:line="600" w:lineRule="exact"/>
        <w:ind w:right="0" w:rightChars="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预算执行情况</w:t>
      </w:r>
    </w:p>
    <w:p>
      <w:pPr>
        <w:keepNext w:val="0"/>
        <w:keepLines w:val="0"/>
        <w:pageBreakBefore w:val="0"/>
        <w:kinsoku/>
        <w:wordWrap/>
        <w:overflowPunct/>
        <w:topLinePunct w:val="0"/>
        <w:autoSpaceDE/>
        <w:autoSpaceDN/>
        <w:bidi w:val="0"/>
        <w:spacing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我单位严格按照年初预算安排，厉行节俭使用预算资金。严格执行中央八项规定，省、市十项规定，控制“三公”经费支出，20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年全年“三公”经费支出</w:t>
      </w:r>
      <w:r>
        <w:rPr>
          <w:rFonts w:hint="eastAsia" w:ascii="仿宋_GB2312" w:hAnsi="仿宋_GB2312" w:eastAsia="仿宋_GB2312" w:cs="仿宋_GB2312"/>
          <w:sz w:val="32"/>
          <w:szCs w:val="32"/>
          <w:lang w:val="en-US" w:eastAsia="zh-CN"/>
        </w:rPr>
        <w:t>1.87万</w:t>
      </w:r>
      <w:r>
        <w:rPr>
          <w:rFonts w:hint="eastAsia" w:ascii="仿宋_GB2312" w:hAnsi="仿宋_GB2312" w:eastAsia="仿宋_GB2312" w:cs="仿宋_GB2312"/>
          <w:sz w:val="32"/>
          <w:szCs w:val="32"/>
        </w:rPr>
        <w:t>元，其中20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全年公务接待费支出</w:t>
      </w:r>
      <w:r>
        <w:rPr>
          <w:rFonts w:hint="eastAsia" w:ascii="仿宋_GB2312" w:hAnsi="仿宋_GB2312" w:eastAsia="仿宋_GB2312" w:cs="仿宋_GB2312"/>
          <w:sz w:val="32"/>
          <w:szCs w:val="32"/>
          <w:lang w:eastAsia="zh-CN"/>
        </w:rPr>
        <w:t>，比上年减少</w:t>
      </w:r>
      <w:r>
        <w:rPr>
          <w:rFonts w:hint="eastAsia" w:ascii="仿宋_GB2312" w:hAnsi="仿宋_GB2312" w:eastAsia="仿宋_GB2312" w:cs="仿宋_GB2312"/>
          <w:sz w:val="32"/>
          <w:szCs w:val="32"/>
          <w:lang w:val="en-US" w:eastAsia="zh-CN"/>
        </w:rPr>
        <w:t>0.32万元，减少100%；</w:t>
      </w:r>
      <w:r>
        <w:rPr>
          <w:rFonts w:hint="eastAsia" w:ascii="仿宋_GB2312" w:hAnsi="仿宋_GB2312" w:eastAsia="仿宋_GB2312" w:cs="仿宋_GB2312"/>
          <w:sz w:val="32"/>
          <w:szCs w:val="32"/>
        </w:rPr>
        <w:t>公务用车运行维护费支出</w:t>
      </w:r>
      <w:r>
        <w:rPr>
          <w:rFonts w:hint="eastAsia" w:ascii="仿宋_GB2312" w:hAnsi="仿宋_GB2312" w:eastAsia="仿宋_GB2312" w:cs="仿宋_GB2312"/>
          <w:sz w:val="32"/>
          <w:szCs w:val="32"/>
          <w:lang w:val="en-US" w:eastAsia="zh-CN"/>
        </w:rPr>
        <w:t>1.87万</w:t>
      </w:r>
      <w:r>
        <w:rPr>
          <w:rFonts w:hint="eastAsia" w:ascii="仿宋_GB2312" w:hAnsi="仿宋_GB2312" w:eastAsia="仿宋_GB2312" w:cs="仿宋_GB2312"/>
          <w:sz w:val="32"/>
          <w:szCs w:val="32"/>
        </w:rPr>
        <w:t>元，比上年减少</w:t>
      </w:r>
      <w:r>
        <w:rPr>
          <w:rFonts w:hint="eastAsia" w:ascii="仿宋_GB2312" w:hAnsi="仿宋_GB2312" w:eastAsia="仿宋_GB2312" w:cs="仿宋_GB2312"/>
          <w:sz w:val="32"/>
          <w:szCs w:val="32"/>
          <w:lang w:val="en-US" w:eastAsia="zh-CN"/>
        </w:rPr>
        <w:t>0.34万</w:t>
      </w:r>
      <w:r>
        <w:rPr>
          <w:rFonts w:hint="eastAsia" w:ascii="仿宋_GB2312" w:hAnsi="仿宋_GB2312" w:eastAsia="仿宋_GB2312" w:cs="仿宋_GB2312"/>
          <w:sz w:val="32"/>
          <w:szCs w:val="32"/>
        </w:rPr>
        <w:t>元，减少了1</w:t>
      </w:r>
      <w:r>
        <w:rPr>
          <w:rFonts w:hint="eastAsia" w:ascii="仿宋_GB2312" w:hAnsi="仿宋_GB2312" w:eastAsia="仿宋_GB2312" w:cs="仿宋_GB2312"/>
          <w:sz w:val="32"/>
          <w:szCs w:val="32"/>
          <w:lang w:val="en-US" w:eastAsia="zh-CN"/>
        </w:rPr>
        <w:t>5.38</w:t>
      </w:r>
      <w:r>
        <w:rPr>
          <w:rFonts w:hint="eastAsia" w:ascii="仿宋_GB2312" w:hAnsi="仿宋_GB2312" w:eastAsia="仿宋_GB2312" w:cs="仿宋_GB2312"/>
          <w:sz w:val="32"/>
          <w:szCs w:val="32"/>
        </w:rPr>
        <w:t>%，全年无因公出国（境）费用。</w:t>
      </w:r>
    </w:p>
    <w:p>
      <w:pPr>
        <w:keepNext w:val="0"/>
        <w:keepLines w:val="0"/>
        <w:pageBreakBefore w:val="0"/>
        <w:numPr>
          <w:ilvl w:val="0"/>
          <w:numId w:val="6"/>
        </w:numPr>
        <w:kinsoku/>
        <w:wordWrap/>
        <w:overflowPunct/>
        <w:topLinePunct w:val="0"/>
        <w:autoSpaceDE/>
        <w:autoSpaceDN/>
        <w:bidi w:val="0"/>
        <w:spacing w:line="600" w:lineRule="exact"/>
        <w:ind w:right="0" w:rightChars="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完成结果</w:t>
      </w:r>
    </w:p>
    <w:p>
      <w:pPr>
        <w:keepNext w:val="0"/>
        <w:keepLines w:val="0"/>
        <w:pageBreakBefore w:val="0"/>
        <w:kinsoku/>
        <w:wordWrap/>
        <w:overflowPunct/>
        <w:topLinePunct w:val="0"/>
        <w:autoSpaceDE/>
        <w:autoSpaceDN/>
        <w:bidi w:val="0"/>
        <w:spacing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截止12月底，</w:t>
      </w:r>
      <w:r>
        <w:rPr>
          <w:rFonts w:hint="eastAsia" w:ascii="仿宋_GB2312" w:hAnsi="仿宋_GB2312" w:eastAsia="仿宋_GB2312" w:cs="仿宋_GB2312"/>
          <w:sz w:val="32"/>
          <w:szCs w:val="32"/>
          <w:lang w:eastAsia="zh-CN"/>
        </w:rPr>
        <w:t>财政资金</w:t>
      </w:r>
      <w:r>
        <w:rPr>
          <w:rFonts w:hint="eastAsia" w:ascii="仿宋_GB2312" w:hAnsi="仿宋_GB2312" w:eastAsia="仿宋_GB2312" w:cs="仿宋_GB2312"/>
          <w:sz w:val="32"/>
          <w:szCs w:val="32"/>
        </w:rPr>
        <w:t>共计支出</w:t>
      </w:r>
      <w:r>
        <w:rPr>
          <w:rFonts w:hint="eastAsia" w:ascii="仿宋_GB2312" w:hAnsi="仿宋_GB2312" w:eastAsia="仿宋_GB2312" w:cs="仿宋_GB2312"/>
          <w:sz w:val="32"/>
          <w:szCs w:val="32"/>
          <w:lang w:val="en-US" w:eastAsia="zh-CN"/>
        </w:rPr>
        <w:t>122.48万</w:t>
      </w:r>
      <w:r>
        <w:rPr>
          <w:rFonts w:hint="eastAsia" w:ascii="仿宋_GB2312" w:hAnsi="仿宋_GB2312" w:eastAsia="仿宋_GB2312" w:cs="仿宋_GB2312"/>
          <w:sz w:val="32"/>
          <w:szCs w:val="32"/>
        </w:rPr>
        <w:t>元。</w:t>
      </w:r>
    </w:p>
    <w:p>
      <w:pPr>
        <w:keepNext w:val="0"/>
        <w:keepLines w:val="0"/>
        <w:pageBreakBefore w:val="0"/>
        <w:widowControl/>
        <w:kinsoku/>
        <w:wordWrap/>
        <w:overflowPunct/>
        <w:topLinePunct w:val="0"/>
        <w:autoSpaceDE/>
        <w:autoSpaceDN/>
        <w:bidi w:val="0"/>
        <w:adjustRightInd w:val="0"/>
        <w:snapToGrid w:val="0"/>
        <w:spacing w:line="600" w:lineRule="exact"/>
        <w:ind w:right="0" w:rightChars="0" w:firstLine="640" w:firstLineChars="200"/>
        <w:contextualSpacing/>
        <w:jc w:val="left"/>
        <w:textAlignment w:val="auto"/>
        <w:outlineLvl w:val="9"/>
        <w:rPr>
          <w:rFonts w:hint="eastAsia" w:ascii="楷体_GB2312" w:hAnsi="楷体_GB2312" w:eastAsia="楷体_GB2312" w:cs="楷体_GB2312"/>
          <w:b w:val="0"/>
          <w:bCs w:val="0"/>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（二）结果应用情况。</w:t>
      </w:r>
    </w:p>
    <w:p>
      <w:pPr>
        <w:keepNext w:val="0"/>
        <w:keepLines w:val="0"/>
        <w:pageBreakBefore w:val="0"/>
        <w:kinsoku/>
        <w:wordWrap/>
        <w:overflowPunct/>
        <w:topLinePunct w:val="0"/>
        <w:autoSpaceDE/>
        <w:autoSpaceDN/>
        <w:bidi w:val="0"/>
        <w:spacing w:line="600" w:lineRule="exact"/>
        <w:ind w:left="120" w:right="0" w:rightChars="0" w:firstLine="640" w:firstLineChars="200"/>
        <w:textAlignment w:val="auto"/>
        <w:outlineLvl w:val="9"/>
      </w:pPr>
      <w:r>
        <w:rPr>
          <w:rFonts w:hint="eastAsia" w:ascii="仿宋_GB2312" w:hAnsi="仿宋_GB2312" w:eastAsia="仿宋_GB2312" w:cs="仿宋_GB2312"/>
          <w:sz w:val="32"/>
          <w:szCs w:val="32"/>
        </w:rPr>
        <w:t>严格执行财务管理制度，严控“三公”经费等支出。利用财政资金保障了单位的正常运转、履行好了职能职责。部门绩效目标按要求随同预算向社会进行了公开，部门整体绩效自评按要求随同决算进行了公开。</w:t>
      </w:r>
    </w:p>
    <w:p>
      <w:pPr>
        <w:keepNext w:val="0"/>
        <w:keepLines w:val="0"/>
        <w:pageBreakBefore w:val="0"/>
        <w:widowControl/>
        <w:kinsoku/>
        <w:wordWrap/>
        <w:overflowPunct/>
        <w:topLinePunct w:val="0"/>
        <w:autoSpaceDE/>
        <w:autoSpaceDN/>
        <w:bidi w:val="0"/>
        <w:adjustRightInd w:val="0"/>
        <w:snapToGrid w:val="0"/>
        <w:spacing w:line="600" w:lineRule="exact"/>
        <w:ind w:right="0" w:rightChars="0" w:firstLine="640" w:firstLineChars="200"/>
        <w:contextualSpacing/>
        <w:jc w:val="left"/>
        <w:textAlignment w:val="auto"/>
        <w:outlineLvl w:val="9"/>
        <w:rPr>
          <w:rFonts w:ascii="黑体" w:hAnsi="宋体" w:eastAsia="黑体" w:cs="宋体"/>
          <w:b w:val="0"/>
          <w:bCs w:val="0"/>
          <w:color w:val="000000"/>
          <w:kern w:val="0"/>
          <w:sz w:val="32"/>
          <w:szCs w:val="32"/>
          <w:shd w:val="clear" w:color="auto" w:fill="FFFFFF"/>
        </w:rPr>
      </w:pPr>
      <w:r>
        <w:rPr>
          <w:rFonts w:hint="eastAsia" w:ascii="黑体" w:hAnsi="宋体" w:eastAsia="黑体" w:cs="宋体"/>
          <w:b w:val="0"/>
          <w:bCs w:val="0"/>
          <w:color w:val="000000"/>
          <w:kern w:val="0"/>
          <w:sz w:val="32"/>
          <w:szCs w:val="32"/>
          <w:shd w:val="clear" w:color="auto" w:fill="FFFFFF"/>
        </w:rPr>
        <w:t>四、评价结论及建议</w:t>
      </w:r>
    </w:p>
    <w:p>
      <w:pPr>
        <w:keepNext w:val="0"/>
        <w:keepLines w:val="0"/>
        <w:pageBreakBefore w:val="0"/>
        <w:numPr>
          <w:ilvl w:val="0"/>
          <w:numId w:val="7"/>
        </w:numPr>
        <w:kinsoku/>
        <w:wordWrap/>
        <w:overflowPunct/>
        <w:topLinePunct w:val="0"/>
        <w:autoSpaceDE/>
        <w:autoSpaceDN/>
        <w:bidi w:val="0"/>
        <w:spacing w:line="600" w:lineRule="exact"/>
        <w:ind w:right="0" w:rightChars="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评价结论</w:t>
      </w:r>
    </w:p>
    <w:p>
      <w:pPr>
        <w:keepNext w:val="0"/>
        <w:keepLines w:val="0"/>
        <w:pageBreakBefore w:val="0"/>
        <w:kinsoku/>
        <w:wordWrap/>
        <w:overflowPunct/>
        <w:topLinePunct w:val="0"/>
        <w:autoSpaceDE/>
        <w:autoSpaceDN/>
        <w:bidi w:val="0"/>
        <w:spacing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部门支出预算保障了单位的日常正常运转，履行好了职能职责，全年完成了</w:t>
      </w:r>
      <w:r>
        <w:rPr>
          <w:rFonts w:hint="eastAsia" w:ascii="仿宋_GB2312" w:hAnsi="仿宋_GB2312" w:eastAsia="仿宋_GB2312" w:cs="仿宋_GB2312"/>
          <w:sz w:val="32"/>
          <w:szCs w:val="32"/>
          <w:lang w:eastAsia="zh-CN"/>
        </w:rPr>
        <w:t>大批量</w:t>
      </w:r>
      <w:r>
        <w:rPr>
          <w:rFonts w:hint="eastAsia" w:ascii="仿宋_GB2312" w:hAnsi="仿宋_GB2312" w:eastAsia="仿宋_GB2312" w:cs="仿宋_GB2312"/>
          <w:sz w:val="32"/>
          <w:szCs w:val="32"/>
        </w:rPr>
        <w:t>的军供保障</w:t>
      </w:r>
      <w:r>
        <w:rPr>
          <w:rFonts w:hint="eastAsia" w:ascii="仿宋_GB2312" w:hAnsi="仿宋_GB2312" w:eastAsia="仿宋_GB2312" w:cs="仿宋_GB2312"/>
          <w:sz w:val="32"/>
          <w:szCs w:val="32"/>
          <w:lang w:eastAsia="zh-CN"/>
        </w:rPr>
        <w:t>，创历史新高，</w:t>
      </w:r>
      <w:r>
        <w:rPr>
          <w:rFonts w:hint="eastAsia" w:ascii="仿宋_GB2312" w:hAnsi="仿宋_GB2312" w:eastAsia="仿宋_GB2312" w:cs="仿宋_GB2312"/>
          <w:sz w:val="32"/>
          <w:szCs w:val="32"/>
        </w:rPr>
        <w:t>全部做到安全、正点、无事故，受到军方及上级领导的高度表扬，保质保量完成了扶贫、</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大走访、双创</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工作，圆满完成了市委、市政府、主管局下达的各项任务。</w:t>
      </w:r>
    </w:p>
    <w:p>
      <w:pPr>
        <w:keepNext w:val="0"/>
        <w:keepLines w:val="0"/>
        <w:pageBreakBefore w:val="0"/>
        <w:numPr>
          <w:ilvl w:val="0"/>
          <w:numId w:val="7"/>
        </w:numPr>
        <w:kinsoku/>
        <w:wordWrap/>
        <w:overflowPunct/>
        <w:topLinePunct w:val="0"/>
        <w:autoSpaceDE/>
        <w:autoSpaceDN/>
        <w:bidi w:val="0"/>
        <w:spacing w:line="600" w:lineRule="exact"/>
        <w:ind w:right="0" w:rightChars="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存在问题</w:t>
      </w:r>
    </w:p>
    <w:p>
      <w:pPr>
        <w:keepNext w:val="0"/>
        <w:keepLines w:val="0"/>
        <w:pageBreakBefore w:val="0"/>
        <w:kinsoku/>
        <w:wordWrap/>
        <w:overflowPunct/>
        <w:topLinePunct w:val="0"/>
        <w:autoSpaceDE/>
        <w:autoSpaceDN/>
        <w:bidi w:val="0"/>
        <w:spacing w:line="600" w:lineRule="exact"/>
        <w:ind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预算编制仍存在测算方法不够科学的地方，会计核算存在一些不规范的地方，经办人员的业务能力有待提高。</w:t>
      </w:r>
    </w:p>
    <w:p>
      <w:pPr>
        <w:keepNext w:val="0"/>
        <w:keepLines w:val="0"/>
        <w:pageBreakBefore w:val="0"/>
        <w:widowControl/>
        <w:numPr>
          <w:ilvl w:val="0"/>
          <w:numId w:val="7"/>
        </w:numPr>
        <w:kinsoku/>
        <w:wordWrap/>
        <w:overflowPunct/>
        <w:topLinePunct w:val="0"/>
        <w:autoSpaceDE/>
        <w:autoSpaceDN/>
        <w:bidi w:val="0"/>
        <w:adjustRightInd w:val="0"/>
        <w:snapToGrid w:val="0"/>
        <w:spacing w:line="600" w:lineRule="exact"/>
        <w:ind w:left="120" w:leftChars="0" w:right="0" w:rightChars="0" w:firstLine="0" w:firstLineChars="0"/>
        <w:contextualSpacing/>
        <w:jc w:val="left"/>
        <w:textAlignment w:val="auto"/>
        <w:outlineLvl w:val="9"/>
        <w:rPr>
          <w:rFonts w:hint="eastAsia" w:ascii="楷体_GB2312" w:hAnsi="楷体_GB2312" w:eastAsia="楷体_GB2312" w:cs="楷体_GB2312"/>
          <w:b w:val="0"/>
          <w:bCs w:val="0"/>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改进建议。</w:t>
      </w:r>
    </w:p>
    <w:p>
      <w:pPr>
        <w:keepNext w:val="0"/>
        <w:keepLines w:val="0"/>
        <w:pageBreakBefore w:val="0"/>
        <w:kinsoku/>
        <w:wordWrap/>
        <w:overflowPunct/>
        <w:topLinePunct w:val="0"/>
        <w:autoSpaceDE/>
        <w:autoSpaceDN/>
        <w:bidi w:val="0"/>
        <w:spacing w:line="600" w:lineRule="exact"/>
        <w:ind w:right="0" w:rightChars="0" w:firstLine="640" w:firstLineChars="200"/>
        <w:textAlignment w:val="auto"/>
        <w:outlineLvl w:val="9"/>
        <w:rPr>
          <w:rFonts w:hint="eastAsia" w:ascii="仿宋_GB2312" w:hAnsi="仿宋_GB2312" w:eastAsia="仿宋_GB2312" w:cs="仿宋_GB2312"/>
          <w:b w:val="0"/>
          <w:bCs w:val="0"/>
          <w:color w:val="000000"/>
          <w:kern w:val="0"/>
          <w:sz w:val="32"/>
          <w:szCs w:val="32"/>
          <w:shd w:val="clear" w:color="auto" w:fill="FFFFFF"/>
          <w:lang w:val="zh-CN"/>
        </w:rPr>
      </w:pPr>
      <w:r>
        <w:rPr>
          <w:rFonts w:hint="eastAsia" w:ascii="仿宋_GB2312" w:hAnsi="仿宋_GB2312" w:eastAsia="仿宋_GB2312" w:cs="仿宋_GB2312"/>
          <w:sz w:val="32"/>
          <w:szCs w:val="32"/>
        </w:rPr>
        <w:t>进一步加强与财政部门的沟通交流，积极参加各种学习、培训，努力提高业务能力</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pPr>
      <w:bookmarkStart w:id="53" w:name="_Toc15396618"/>
      <w:r>
        <w:rPr>
          <w:rFonts w:hint="eastAsia" w:ascii="宋体" w:hAnsi="宋体" w:cs="宋体"/>
          <w:b/>
          <w:sz w:val="44"/>
          <w:szCs w:val="44"/>
        </w:rPr>
        <w:t>2021年特定目标类部门预算项目绩效目标自评</w:t>
      </w:r>
    </w:p>
    <w:tbl>
      <w:tblPr>
        <w:tblStyle w:val="12"/>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2205"/>
        <w:gridCol w:w="915"/>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r>
    </w:tbl>
    <w:p>
      <w:pPr>
        <w:widowControl/>
        <w:adjustRightInd w:val="0"/>
        <w:snapToGrid w:val="0"/>
        <w:spacing w:line="580" w:lineRule="exact"/>
        <w:contextualSpacing/>
        <w:jc w:val="left"/>
        <w:rPr>
          <w:rFonts w:hint="eastAsia" w:ascii="仿宋_GB2312" w:hAnsi="宋体" w:eastAsia="仿宋_GB2312" w:cs="宋体"/>
          <w:color w:val="000000"/>
          <w:kern w:val="0"/>
          <w:sz w:val="32"/>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contextualSpacing/>
        <w:jc w:val="left"/>
        <w:textAlignment w:val="auto"/>
        <w:rPr>
          <w:rFonts w:hint="eastAsia" w:ascii="仿宋_GB2312" w:hAnsi="宋体" w:eastAsia="仿宋_GB2312" w:cs="宋体"/>
          <w:color w:val="000000"/>
          <w:kern w:val="0"/>
          <w:sz w:val="28"/>
          <w:szCs w:val="28"/>
          <w:shd w:val="clear" w:color="auto" w:fill="FFFFFF"/>
        </w:rPr>
      </w:pPr>
      <w:r>
        <w:rPr>
          <w:rFonts w:hint="eastAsia" w:ascii="仿宋_GB2312" w:hAnsi="宋体" w:eastAsia="仿宋_GB2312" w:cs="宋体"/>
          <w:color w:val="000000"/>
          <w:kern w:val="0"/>
          <w:sz w:val="28"/>
          <w:szCs w:val="28"/>
          <w:shd w:val="clear" w:color="auto" w:fill="FFFFFF"/>
        </w:rPr>
        <w:t>（注：有两个及以上100万元以上（含）特定目标类部门预算项目的，需分别开展绩效目标自评并填写附表;</w:t>
      </w:r>
      <w:r>
        <w:rPr>
          <w:rFonts w:ascii="仿宋_GB2312" w:hAnsi="宋体" w:eastAsia="仿宋_GB2312" w:cs="宋体"/>
          <w:kern w:val="0"/>
          <w:sz w:val="28"/>
          <w:szCs w:val="28"/>
          <w:shd w:val="clear" w:color="auto" w:fill="FFFFFF"/>
        </w:rPr>
        <w:t>100</w:t>
      </w:r>
      <w:r>
        <w:rPr>
          <w:rFonts w:hint="eastAsia" w:ascii="仿宋_GB2312" w:hAnsi="宋体" w:eastAsia="仿宋_GB2312" w:cs="宋体"/>
          <w:kern w:val="0"/>
          <w:sz w:val="28"/>
          <w:szCs w:val="28"/>
          <w:shd w:val="clear" w:color="auto" w:fill="FFFFFF"/>
        </w:rPr>
        <w:t>万元以下的特定目标类部门预算项目，项目数在5个以内的据实</w:t>
      </w:r>
      <w:bookmarkStart w:id="54" w:name="_Hlk112849495"/>
      <w:r>
        <w:rPr>
          <w:rFonts w:hint="eastAsia" w:ascii="仿宋_GB2312" w:hAnsi="宋体" w:eastAsia="仿宋_GB2312" w:cs="宋体"/>
          <w:kern w:val="0"/>
          <w:sz w:val="28"/>
          <w:szCs w:val="28"/>
          <w:shd w:val="clear" w:color="auto" w:fill="FFFFFF"/>
        </w:rPr>
        <w:t>分别开展绩效目标自评并填写附表</w:t>
      </w:r>
      <w:bookmarkEnd w:id="54"/>
      <w:r>
        <w:rPr>
          <w:rFonts w:hint="eastAsia" w:ascii="仿宋_GB2312" w:hAnsi="宋体" w:eastAsia="仿宋_GB2312" w:cs="宋体"/>
          <w:kern w:val="0"/>
          <w:sz w:val="28"/>
          <w:szCs w:val="28"/>
          <w:shd w:val="clear" w:color="auto" w:fill="FFFFFF"/>
        </w:rPr>
        <w:t>，达到或超过5个的至少选择5个分别开展绩效目标自评并填写附表</w:t>
      </w:r>
      <w:r>
        <w:rPr>
          <w:rFonts w:hint="eastAsia" w:ascii="仿宋_GB2312" w:hAnsi="宋体" w:eastAsia="仿宋_GB2312" w:cs="宋体"/>
          <w:color w:val="000000"/>
          <w:kern w:val="0"/>
          <w:sz w:val="28"/>
          <w:szCs w:val="28"/>
          <w:shd w:val="clear" w:color="auto" w:fill="FFFFFF"/>
        </w:rPr>
        <w:t>）</w:t>
      </w:r>
    </w:p>
    <w:p>
      <w:pPr>
        <w:pStyle w:val="2"/>
      </w:pPr>
    </w:p>
    <w:p>
      <w:pPr>
        <w:spacing w:line="600" w:lineRule="exact"/>
        <w:jc w:val="center"/>
        <w:outlineLvl w:val="0"/>
        <w:rPr>
          <w:rFonts w:hint="eastAsia" w:ascii="黑体" w:hAnsi="黑体" w:eastAsia="黑体"/>
          <w:sz w:val="44"/>
          <w:szCs w:val="44"/>
        </w:rPr>
      </w:pP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附</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表</w:t>
      </w:r>
      <w:bookmarkEnd w:id="51"/>
      <w:bookmarkEnd w:id="53"/>
      <w:bookmarkStart w:id="55" w:name="_Toc15396619"/>
    </w:p>
    <w:p>
      <w:pPr>
        <w:pStyle w:val="2"/>
        <w:numPr>
          <w:ilvl w:val="0"/>
          <w:numId w:val="0"/>
        </w:num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5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56" w:name="_Toc15396620"/>
      <w:r>
        <w:rPr>
          <w:rFonts w:hint="eastAsia" w:ascii="仿宋_GB2312" w:hAnsi="仿宋_GB2312" w:eastAsia="仿宋_GB2312" w:cs="仿宋_GB2312"/>
          <w:sz w:val="32"/>
          <w:szCs w:val="32"/>
        </w:rPr>
        <w:t>二、收入决算表</w:t>
      </w:r>
      <w:bookmarkEnd w:id="5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57" w:name="_Toc15396621"/>
      <w:r>
        <w:rPr>
          <w:rFonts w:hint="eastAsia" w:ascii="仿宋_GB2312" w:hAnsi="仿宋_GB2312" w:eastAsia="仿宋_GB2312" w:cs="仿宋_GB2312"/>
          <w:sz w:val="32"/>
          <w:szCs w:val="32"/>
        </w:rPr>
        <w:t>三、支出决算表</w:t>
      </w:r>
      <w:bookmarkEnd w:id="5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58" w:name="_Toc15396622"/>
      <w:r>
        <w:rPr>
          <w:rFonts w:hint="eastAsia" w:ascii="仿宋_GB2312" w:hAnsi="仿宋_GB2312" w:eastAsia="仿宋_GB2312" w:cs="仿宋_GB2312"/>
          <w:sz w:val="32"/>
          <w:szCs w:val="32"/>
        </w:rPr>
        <w:t>四、财政拨款收入支出决算总表</w:t>
      </w:r>
      <w:bookmarkEnd w:id="5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59" w:name="_Toc15396623"/>
      <w:r>
        <w:rPr>
          <w:rFonts w:hint="eastAsia" w:ascii="仿宋_GB2312" w:hAnsi="仿宋_GB2312" w:eastAsia="仿宋_GB2312" w:cs="仿宋_GB2312"/>
          <w:sz w:val="32"/>
          <w:szCs w:val="32"/>
        </w:rPr>
        <w:t>五、财政拨款支出决算明细表</w:t>
      </w:r>
      <w:bookmarkEnd w:id="59"/>
      <w:bookmarkStart w:id="60" w:name="_Toc153966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1" w:name="_Toc15396625"/>
      <w:r>
        <w:rPr>
          <w:rFonts w:hint="eastAsia" w:ascii="仿宋_GB2312" w:hAnsi="仿宋_GB2312" w:eastAsia="仿宋_GB2312" w:cs="仿宋_GB2312"/>
          <w:sz w:val="32"/>
          <w:szCs w:val="32"/>
        </w:rPr>
        <w:t>七、一般公共预算财政拨款支出决算明细表</w:t>
      </w:r>
      <w:bookmarkEnd w:id="6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2" w:name="_Toc15396626"/>
      <w:r>
        <w:rPr>
          <w:rFonts w:hint="eastAsia" w:ascii="仿宋_GB2312" w:hAnsi="仿宋_GB2312" w:eastAsia="仿宋_GB2312" w:cs="仿宋_GB2312"/>
          <w:sz w:val="32"/>
          <w:szCs w:val="32"/>
        </w:rPr>
        <w:t>八、一般公共预算财政拨款基本支出决算表</w:t>
      </w:r>
      <w:bookmarkEnd w:id="6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3" w:name="_Toc15396627"/>
      <w:r>
        <w:rPr>
          <w:rFonts w:hint="eastAsia" w:ascii="仿宋_GB2312" w:hAnsi="仿宋_GB2312" w:eastAsia="仿宋_GB2312" w:cs="仿宋_GB2312"/>
          <w:sz w:val="32"/>
          <w:szCs w:val="32"/>
        </w:rPr>
        <w:t>九、一般公共预算财政拨款项目支出决算表</w:t>
      </w:r>
      <w:bookmarkEnd w:id="6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4" w:name="_Toc15396628"/>
      <w:r>
        <w:rPr>
          <w:rFonts w:hint="eastAsia" w:ascii="仿宋_GB2312" w:hAnsi="仿宋_GB2312" w:eastAsia="仿宋_GB2312" w:cs="仿宋_GB2312"/>
          <w:sz w:val="32"/>
          <w:szCs w:val="32"/>
        </w:rPr>
        <w:t>十、一般公共预算财政拨款“三公”经费支出决算表</w:t>
      </w:r>
      <w:bookmarkEnd w:id="6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5" w:name="_Toc15396629"/>
      <w:r>
        <w:rPr>
          <w:rFonts w:hint="eastAsia" w:ascii="仿宋_GB2312" w:hAnsi="仿宋_GB2312" w:eastAsia="仿宋_GB2312" w:cs="仿宋_GB2312"/>
          <w:sz w:val="32"/>
          <w:szCs w:val="32"/>
        </w:rPr>
        <w:t>十一、政府性基金预算财政拨款收入支出决算表</w:t>
      </w:r>
      <w:bookmarkEnd w:id="6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6" w:name="_Toc15396630"/>
      <w:r>
        <w:rPr>
          <w:rFonts w:hint="eastAsia" w:ascii="仿宋_GB2312" w:hAnsi="仿宋_GB2312" w:eastAsia="仿宋_GB2312" w:cs="仿宋_GB2312"/>
          <w:sz w:val="32"/>
          <w:szCs w:val="32"/>
        </w:rPr>
        <w:t>十二、政府性基金预算财政拨款“三公”经费支出决算表</w:t>
      </w:r>
      <w:bookmarkEnd w:id="6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7" w:name="_Toc15396631"/>
      <w:r>
        <w:rPr>
          <w:rFonts w:hint="eastAsia" w:ascii="仿宋_GB2312" w:hAnsi="仿宋_GB2312" w:eastAsia="仿宋_GB2312" w:cs="仿宋_GB2312"/>
          <w:sz w:val="32"/>
          <w:szCs w:val="32"/>
        </w:rPr>
        <w:t>十三、国有资本经营预算财政拨款收入支出决算表</w:t>
      </w:r>
      <w:bookmarkEnd w:id="6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940435" cy="241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40435"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5pt;height:19pt;width:74.05pt;mso-position-horizontal:outside;mso-position-horizontal-relative:margin;z-index:251659264;mso-width-relative:page;mso-height-relative:page;" filled="f" stroked="f" coordsize="21600,21600" o:gfxdata="UEsDBAoAAAAAAIdO4kAAAAAAAAAAAAAAAAAEAAAAZHJzL1BLAwQUAAAACACHTuJAiaZ9x9UAAAAH&#10;AQAADwAAAGRycy9kb3ducmV2LnhtbE2PS0/DMBCE70j8B2uRuLV2ykNVyKYHHjeeBSS4OfGSRPgR&#10;2Zu0/HvcE9x2NKOZb6vN3lkxU0xD8AjFUoEg3wYz+A7h7fVusQaRWHujbfCE8EMJNvXxUaVLE3b+&#10;heYtdyKX+FRqhJ55LKVMbU9Op2UYyWfvK0SnOcvYSRP1Lpc7K1dKXUqnB58Xej3SdU/t93ZyCPYj&#10;xftG8ed80z3w85Oc3m+LR8TTk0JdgWDa818YDvgZHerM1ITJmyQsQn6EERbFRT4O9vm6ANEgrM4U&#10;yLqS//nrX1BLAwQUAAAACACHTuJAHS8bVzYCAABhBAAADgAAAGRycy9lMm9Eb2MueG1srVTLjtMw&#10;FN0j8Q+W9zTpY0ZQNR2VqYqQKmakgli7jtNYsn2N7TYpHwB/wGo27PmufgfXTtpBA4tZsHFvfJ/n&#10;3OPOblqtyEE4L8EUdDjIKRGGQynNrqCfPq5evabEB2ZKpsCIgh6Fpzfzly9mjZ2KEdSgSuEIFjF+&#10;2tiC1iHYaZZ5XgvN/ACsMOiswGkW8NPtstKxBqtrlY3y/DprwJXWARfe4+2yc9K+ontOQagqycUS&#10;+F4LE7qqTigWEJKvpfV0nqatKsHDXVV5EYgqKCIN6cQmaG/jmc1nbLpzzNaS9yOw54zwBJNm0mDT&#10;S6klC4zsnfyrlJbcgYcqDDjorAOSGEEUw/wJN5uaWZGwINXeXkj3/68s/3C4d0SWqARKDNO48NOP&#10;76eHX6ef38gw0tNYP8WojcW40L6FNob29x4vI+q2cjr+Ih6CfiT3eCFXtIFwvHwzySfjK0o4ukaT&#10;4ThP5GePydb58E6AJtEoqMPdJUrZYe0DNsTQc0jsZWAllUr7U4Y0Bb0eX+Up4eLBDGUwMULoRo1W&#10;aLdtP/8WyiPCctDpwlu+kth8zXy4Zw6FgEjwqYQ7PCoF2AR6i5Ia3Nd/3cd43A96KWlQWAX1X/bM&#10;CUrUe4Obiyo8G+5sbM+G2etbQK3iNnCaZGKCC+psVg70Z3xBi9gFXcxw7FXQcDZvQydvfIFcLBYp&#10;aG+d3NVdAurOsrA2G8tjm47KxT5AJRPLkaKOl545VF4iv38lUdp/fqeox3+G+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Jpn3H1QAAAAcBAAAPAAAAAAAAAAEAIAAAACIAAABkcnMvZG93bnJldi54&#10;bWxQSwECFAAUAAAACACHTuJAHS8bVzYCAABhBAAADgAAAAAAAAABACAAAAAkAQAAZHJzL2Uyb0Rv&#10;Yy54bWxQSwUGAAAAAAYABgBZAQAAzAUAAAAA&#10;">
              <v:fill on="f" focussize="0,0"/>
              <v:stroke on="f" weight="0.5pt"/>
              <v:imagedata o:title=""/>
              <o:lock v:ext="edit" aspectratio="f"/>
              <v:textbox inset="0mm,0mm,0mm,0mm">
                <w:txbxContent>
                  <w:p>
                    <w:pPr>
                      <w:pStyle w:val="8"/>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-95250</wp:posOffset>
              </wp:positionV>
              <wp:extent cx="883920" cy="2311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83920" cy="231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5pt;height:18.2pt;width:69.6pt;mso-position-horizontal:outside;mso-position-horizontal-relative:margin;z-index:251660288;mso-width-relative:page;mso-height-relative:page;" filled="f" stroked="f" coordsize="21600,21600" o:gfxdata="UEsDBAoAAAAAAIdO4kAAAAAAAAAAAAAAAAAEAAAAZHJzL1BLAwQUAAAACACHTuJAhAScpNYAAAAH&#10;AQAADwAAAGRycy9kb3ducmV2LnhtbE2PS0/DMBCE70j8B2uRuLW2w0MQsumBx41nWyS4OfGSRPgR&#10;2U5a/j3uCW47mtHMt9Vqbw2bKcTBOwS5FMDItV4PrkPYbh4WV8BiUk4r4x0h/FCEVX18VKlS+517&#10;o3mdOpZLXCwVQp/SWHIe256siks/ksvelw9WpSxDx3VQu1xuDS+EuORWDS4v9Gqk257a7/VkEcxH&#10;DI+NSJ/zXfeUXl/49H4vnxFPT6S4AZZon/7CcMDP6FBnpsZPTkdmEPIjCWEhL/JxsM+uC2ANQiHP&#10;gdcV/89f/wJQSwMEFAAAAAgAh07iQAWlmmo2AgAAYQQAAA4AAABkcnMvZTJvRG9jLnhtbK1UzY7T&#10;MBC+I/EOlu80bQqrpWq6KlsVIVXsSgVxdh2nsWR7jO02KQ8Ab8CJC3eeq8/B2Em6aOGwBy7uZP6/&#10;b2Y6v2m1IkfhvART0MloTIkwHEpp9gX9+GH94poSH5gpmQIjCnoSnt4snj+bN3YmcqhBlcIRTGL8&#10;rLEFrUOwsyzzvBaa+RFYYdBYgdMs4KfbZ6VjDWbXKsvH46usAVdaB1x4j9pVZ6R9RveUhFBVkosV&#10;8IMWJnRZnVAsICRfS+vpInVbVYKHu6ryIhBVUEQa0otFUN7FN1vM2WzvmK0l71tgT2nhESbNpMGi&#10;l1QrFhg5OPlXKi25Aw9VGHHQWQckMYIoJuNH3GxrZkXCglR7eyHd/7+0/P3x3hFZFjSnxDCNAz9/&#10;/3b+8ev88yvJIz2N9TP02lr0C+0baHFpBr1HZUTdVk7HX8RD0I7kni7kijYQjsrr6+nrHC0cTfl0&#10;MnmZyM8egq3z4a0ATaJQUIezS5Sy48YHbARdB5dYy8BaKpXmpwxpCno1fTVOARcLRiiDgRFC12qU&#10;Qrtre1w7KE8Iy0G3F97ytcTiG+bDPXO4CNgvnkq4w6dSgEWglyipwX35lz7643zQSkmDi1VQ//nA&#10;nKBEvTM4OUwZBsENwm4QzEHfAu7qBI/Q8iRigAtqECsH+hNe0DJWQRMzHGsVNAzibejWGy+Qi+Uy&#10;OR2sk/u6C8C9syxszNbyWKajcnkIUMnEcqSo46VnDjcvkd9fSVztP7+T18M/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AScpNYAAAAHAQAADwAAAAAAAAABACAAAAAiAAAAZHJzL2Rvd25yZXYu&#10;eG1sUEsBAhQAFAAAAAgAh07iQAWlmmo2AgAAYQQAAA4AAAAAAAAAAQAgAAAAJQEAAGRycy9lMm9E&#10;b2MueG1sUEsFBgAAAAAGAAYAWQEAAM0FAAAAAA==&#10;">
              <v:fill on="f" focussize="0,0"/>
              <v:stroke on="f" weight="0.5pt"/>
              <v:imagedata o:title=""/>
              <o:lock v:ext="edit" aspectratio="f"/>
              <v:textbox inset="0mm,0mm,0mm,0mm">
                <w:txbxContent>
                  <w:p>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9B363"/>
    <w:multiLevelType w:val="singleLevel"/>
    <w:tmpl w:val="8159B363"/>
    <w:lvl w:ilvl="0" w:tentative="0">
      <w:start w:val="5"/>
      <w:numFmt w:val="chineseCounting"/>
      <w:suff w:val="space"/>
      <w:lvlText w:val="第%1部分"/>
      <w:lvlJc w:val="left"/>
      <w:rPr>
        <w:rFonts w:hint="eastAsia"/>
      </w:rPr>
    </w:lvl>
  </w:abstractNum>
  <w:abstractNum w:abstractNumId="1">
    <w:nsid w:val="ADB66458"/>
    <w:multiLevelType w:val="singleLevel"/>
    <w:tmpl w:val="ADB66458"/>
    <w:lvl w:ilvl="0" w:tentative="0">
      <w:start w:val="2"/>
      <w:numFmt w:val="chineseCounting"/>
      <w:suff w:val="nothing"/>
      <w:lvlText w:val="（%1）"/>
      <w:lvlJc w:val="left"/>
      <w:rPr>
        <w:rFonts w:hint="eastAsia"/>
      </w:rPr>
    </w:lvl>
  </w:abstractNum>
  <w:abstractNum w:abstractNumId="2">
    <w:nsid w:val="CC817598"/>
    <w:multiLevelType w:val="singleLevel"/>
    <w:tmpl w:val="CC817598"/>
    <w:lvl w:ilvl="0" w:tentative="0">
      <w:start w:val="1"/>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40FDAB2"/>
    <w:multiLevelType w:val="singleLevel"/>
    <w:tmpl w:val="D40FDAB2"/>
    <w:lvl w:ilvl="0" w:tentative="0">
      <w:start w:val="1"/>
      <w:numFmt w:val="chineseCounting"/>
      <w:suff w:val="nothing"/>
      <w:lvlText w:val="（%1）"/>
      <w:lvlJc w:val="left"/>
      <w:pPr>
        <w:ind w:left="120" w:firstLine="0"/>
      </w:pPr>
      <w:rPr>
        <w:rFonts w:hint="eastAsia"/>
      </w:rPr>
    </w:lvl>
  </w:abstractNum>
  <w:abstractNum w:abstractNumId="5">
    <w:nsid w:val="23D40081"/>
    <w:multiLevelType w:val="singleLevel"/>
    <w:tmpl w:val="23D40081"/>
    <w:lvl w:ilvl="0" w:tentative="0">
      <w:start w:val="1"/>
      <w:numFmt w:val="decimal"/>
      <w:suff w:val="nothing"/>
      <w:lvlText w:val="%1、"/>
      <w:lvlJc w:val="left"/>
      <w:pPr>
        <w:ind w:left="240" w:firstLine="0"/>
      </w:pPr>
    </w:lvl>
  </w:abstractNum>
  <w:abstractNum w:abstractNumId="6">
    <w:nsid w:val="3E1BE62B"/>
    <w:multiLevelType w:val="singleLevel"/>
    <w:tmpl w:val="3E1BE62B"/>
    <w:lvl w:ilvl="0" w:tentative="0">
      <w:start w:val="1"/>
      <w:numFmt w:val="decimal"/>
      <w:lvlText w:val="%1."/>
      <w:lvlJc w:val="left"/>
      <w:pPr>
        <w:tabs>
          <w:tab w:val="left" w:pos="312"/>
        </w:tabs>
      </w:pPr>
    </w:lvl>
  </w:abstractNum>
  <w:abstractNum w:abstractNumId="7">
    <w:nsid w:val="4E4DCA1E"/>
    <w:multiLevelType w:val="singleLevel"/>
    <w:tmpl w:val="4E4DCA1E"/>
    <w:lvl w:ilvl="0" w:tentative="0">
      <w:start w:val="1"/>
      <w:numFmt w:val="chineseCounting"/>
      <w:suff w:val="nothing"/>
      <w:lvlText w:val="（%1）"/>
      <w:lvlJc w:val="left"/>
      <w:pPr>
        <w:ind w:left="120" w:firstLine="0"/>
      </w:pPr>
      <w:rPr>
        <w:rFonts w:hint="eastAsia"/>
      </w:rPr>
    </w:lvl>
  </w:abstractNum>
  <w:num w:numId="1">
    <w:abstractNumId w:val="2"/>
  </w:num>
  <w:num w:numId="2">
    <w:abstractNumId w:val="6"/>
  </w:num>
  <w:num w:numId="3">
    <w:abstractNumId w:val="3"/>
  </w:num>
  <w:num w:numId="4">
    <w:abstractNumId w:val="4"/>
  </w:num>
  <w:num w:numId="5">
    <w:abstractNumId w:val="1"/>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2C7A"/>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5741"/>
    <w:rsid w:val="005664BB"/>
    <w:rsid w:val="00566FFA"/>
    <w:rsid w:val="0057481D"/>
    <w:rsid w:val="0058486E"/>
    <w:rsid w:val="00585B33"/>
    <w:rsid w:val="0059014D"/>
    <w:rsid w:val="005B5C64"/>
    <w:rsid w:val="005C5337"/>
    <w:rsid w:val="005C6BD0"/>
    <w:rsid w:val="005D1C8B"/>
    <w:rsid w:val="005D468D"/>
    <w:rsid w:val="005D5CED"/>
    <w:rsid w:val="005F1126"/>
    <w:rsid w:val="005F1A4C"/>
    <w:rsid w:val="00602674"/>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093E"/>
    <w:rsid w:val="007D1682"/>
    <w:rsid w:val="007D312A"/>
    <w:rsid w:val="007D3F19"/>
    <w:rsid w:val="007E23B0"/>
    <w:rsid w:val="007E23E5"/>
    <w:rsid w:val="007F1991"/>
    <w:rsid w:val="007F2C2F"/>
    <w:rsid w:val="007F55FC"/>
    <w:rsid w:val="007F5665"/>
    <w:rsid w:val="00800112"/>
    <w:rsid w:val="00810229"/>
    <w:rsid w:val="00813348"/>
    <w:rsid w:val="008253BB"/>
    <w:rsid w:val="0083706E"/>
    <w:rsid w:val="008408F6"/>
    <w:rsid w:val="008423A5"/>
    <w:rsid w:val="00850625"/>
    <w:rsid w:val="00853718"/>
    <w:rsid w:val="00855221"/>
    <w:rsid w:val="00860645"/>
    <w:rsid w:val="0086435B"/>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19C"/>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B16"/>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2D26"/>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E3036"/>
    <w:rsid w:val="050A5187"/>
    <w:rsid w:val="06763F22"/>
    <w:rsid w:val="07D83409"/>
    <w:rsid w:val="0A2032A3"/>
    <w:rsid w:val="0B8A37D8"/>
    <w:rsid w:val="0E870974"/>
    <w:rsid w:val="10C055FF"/>
    <w:rsid w:val="118107EC"/>
    <w:rsid w:val="11DD6519"/>
    <w:rsid w:val="13F372EA"/>
    <w:rsid w:val="14E41279"/>
    <w:rsid w:val="16BB723D"/>
    <w:rsid w:val="18015F3F"/>
    <w:rsid w:val="1BE8440E"/>
    <w:rsid w:val="1D155CEE"/>
    <w:rsid w:val="1D471719"/>
    <w:rsid w:val="20F57F95"/>
    <w:rsid w:val="23122864"/>
    <w:rsid w:val="240371BF"/>
    <w:rsid w:val="24567558"/>
    <w:rsid w:val="24A72008"/>
    <w:rsid w:val="24FC0489"/>
    <w:rsid w:val="25C741E6"/>
    <w:rsid w:val="275545CE"/>
    <w:rsid w:val="27842671"/>
    <w:rsid w:val="29FD04D3"/>
    <w:rsid w:val="2A027B3A"/>
    <w:rsid w:val="2ABE7A3E"/>
    <w:rsid w:val="2CFA6B37"/>
    <w:rsid w:val="2EFA178C"/>
    <w:rsid w:val="30B46D73"/>
    <w:rsid w:val="31204820"/>
    <w:rsid w:val="319F7F4E"/>
    <w:rsid w:val="330A7568"/>
    <w:rsid w:val="33197ACC"/>
    <w:rsid w:val="370960B3"/>
    <w:rsid w:val="378C2EA1"/>
    <w:rsid w:val="39AE70AB"/>
    <w:rsid w:val="3C0C0783"/>
    <w:rsid w:val="3D5B0BE2"/>
    <w:rsid w:val="3ECB483D"/>
    <w:rsid w:val="3F9F3A96"/>
    <w:rsid w:val="4150634F"/>
    <w:rsid w:val="445F2752"/>
    <w:rsid w:val="448F1AB7"/>
    <w:rsid w:val="44940B8B"/>
    <w:rsid w:val="454816E3"/>
    <w:rsid w:val="4628740B"/>
    <w:rsid w:val="48DB68CD"/>
    <w:rsid w:val="493C27E9"/>
    <w:rsid w:val="496F39ED"/>
    <w:rsid w:val="49FF41D3"/>
    <w:rsid w:val="4BE068DB"/>
    <w:rsid w:val="4BF6002B"/>
    <w:rsid w:val="4ECE2238"/>
    <w:rsid w:val="50312A77"/>
    <w:rsid w:val="50932AE2"/>
    <w:rsid w:val="51AB2023"/>
    <w:rsid w:val="51C2262F"/>
    <w:rsid w:val="51DB4B86"/>
    <w:rsid w:val="55333C3E"/>
    <w:rsid w:val="56142B66"/>
    <w:rsid w:val="64CA39A1"/>
    <w:rsid w:val="663D7019"/>
    <w:rsid w:val="6B6F3396"/>
    <w:rsid w:val="6C3D1026"/>
    <w:rsid w:val="6C4A05C8"/>
    <w:rsid w:val="71D63DC3"/>
    <w:rsid w:val="72734D90"/>
    <w:rsid w:val="741866C0"/>
    <w:rsid w:val="79E30124"/>
    <w:rsid w:val="79E7B28D"/>
    <w:rsid w:val="7DB05119"/>
    <w:rsid w:val="7F5C04E7"/>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Documents%20and%20Settings\Administrator\&#26700;&#38754;\2021&#24180;&#24230;&#20915;&#31639;&#20844;&#24320;\&#20915;&#31639;&#20844;&#24320;&#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Documents%20and%20Settings\Administrator\&#26700;&#38754;\2021&#24180;&#24230;&#20915;&#31639;&#20844;&#24320;\&#20915;&#31639;&#20844;&#24320;&#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Documents%20and%20Settings\Administrator\&#26700;&#38754;\2021&#24180;&#24230;&#20915;&#31639;&#20844;&#24320;\&#20915;&#31639;&#20844;&#24320;&#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Documents%20and%20Settings\Administrator\&#26700;&#38754;\2021&#24180;&#24230;&#20915;&#31639;&#20844;&#24320;\&#20915;&#31639;&#20844;&#24320;&#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Documents%20and%20Settings\Administrator\&#26700;&#38754;\2021&#24180;&#24230;&#20915;&#31639;&#20844;&#24320;\&#20915;&#31639;&#20844;&#24320;&#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Documents%20and%20Settings\Administrator\&#26700;&#38754;\2021&#24180;&#24230;&#20915;&#31639;&#20844;&#24320;\&#20915;&#31639;&#20844;&#24320;&#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Documents%20and%20Settings\Administrator\&#26700;&#38754;\2021&#24180;&#24230;&#20915;&#31639;&#20844;&#24320;\&#20915;&#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[决算公开图表.xlsx]Sheet1!$A$2</c:f>
              <c:strCache>
                <c:ptCount val="1"/>
                <c:pt idx="0">
                  <c:v>2020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[决算公开图表.xlsx]Sheet1!$B$1:$C$1</c:f>
              <c:strCache>
                <c:ptCount val="2"/>
                <c:pt idx="0">
                  <c:v>收入 </c:v>
                </c:pt>
                <c:pt idx="1">
                  <c:v>支出</c:v>
                </c:pt>
              </c:strCache>
            </c:strRef>
          </c:cat>
          <c:val>
            <c:numRef>
              <c:f>[决算公开图表.xlsx]Sheet1!$B$2:$C$2</c:f>
              <c:numCache>
                <c:formatCode>General</c:formatCode>
                <c:ptCount val="2"/>
                <c:pt idx="0">
                  <c:v>120.15</c:v>
                </c:pt>
                <c:pt idx="1">
                  <c:v>113.02</c:v>
                </c:pt>
              </c:numCache>
            </c:numRef>
          </c:val>
        </c:ser>
        <c:ser>
          <c:idx val="1"/>
          <c:order val="1"/>
          <c:tx>
            <c:strRef>
              <c:f>[决算公开图表.xlsx]Sheet1!$A$3</c:f>
              <c:strCache>
                <c:ptCount val="1"/>
                <c:pt idx="0">
                  <c:v>2021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[决算公开图表.xlsx]Sheet1!$B$1:$C$1</c:f>
              <c:strCache>
                <c:ptCount val="2"/>
                <c:pt idx="0">
                  <c:v>收入 </c:v>
                </c:pt>
                <c:pt idx="1">
                  <c:v>支出</c:v>
                </c:pt>
              </c:strCache>
            </c:strRef>
          </c:cat>
          <c:val>
            <c:numRef>
              <c:f>[决算公开图表.xlsx]Sheet1!$B$3:$C$3</c:f>
              <c:numCache>
                <c:formatCode>General</c:formatCode>
                <c:ptCount val="2"/>
                <c:pt idx="0">
                  <c:v>122.4</c:v>
                </c:pt>
                <c:pt idx="1">
                  <c:v>132.08</c:v>
                </c:pt>
              </c:numCache>
            </c:numRef>
          </c:val>
        </c:ser>
        <c:dLbls>
          <c:showLegendKey val="0"/>
          <c:showVal val="1"/>
          <c:showCatName val="0"/>
          <c:showSerName val="0"/>
          <c:showPercent val="0"/>
          <c:showBubbleSize val="0"/>
        </c:dLbls>
        <c:gapWidth val="219"/>
        <c:overlap val="-27"/>
        <c:axId val="151395307"/>
        <c:axId val="831057385"/>
      </c:barChart>
      <c:catAx>
        <c:axId val="1513953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1057385"/>
        <c:crosses val="autoZero"/>
        <c:auto val="1"/>
        <c:lblAlgn val="ctr"/>
        <c:lblOffset val="100"/>
        <c:noMultiLvlLbl val="0"/>
      </c:catAx>
      <c:valAx>
        <c:axId val="83105738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139530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[决算公开图表.xlsx]Sheet1!$A$17:$A$18</c:f>
              <c:strCache>
                <c:ptCount val="2"/>
                <c:pt idx="0">
                  <c:v>一般公共预算财政拨款收入</c:v>
                </c:pt>
              </c:strCache>
            </c:strRef>
          </c:cat>
          <c:val>
            <c:numRef>
              <c:f>[决算公开图表.xlsx]Sheet1!$B$17:$B$18</c:f>
              <c:numCache>
                <c:formatCode>0.00%</c:formatCode>
                <c:ptCount val="2"/>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[决算公开图表.xlsx]Sheet1!$A$32:$A$33</c:f>
              <c:strCache>
                <c:ptCount val="2"/>
                <c:pt idx="0">
                  <c:v>基本支出</c:v>
                </c:pt>
                <c:pt idx="1">
                  <c:v>项目支出</c:v>
                </c:pt>
              </c:strCache>
            </c:strRef>
          </c:cat>
          <c:val>
            <c:numRef>
              <c:f>[决算公开图表.xlsx]Sheet1!$B$32:$B$33</c:f>
              <c:numCache>
                <c:formatCode>0.00%</c:formatCode>
                <c:ptCount val="2"/>
                <c:pt idx="0">
                  <c:v>0.9273</c:v>
                </c:pt>
                <c:pt idx="1">
                  <c:v>0.0727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[决算公开图表.xlsx]Sheet1!$A$49</c:f>
              <c:strCache>
                <c:ptCount val="1"/>
                <c:pt idx="0">
                  <c:v>2020</c:v>
                </c:pt>
              </c:strCache>
            </c:strRef>
          </c:tx>
          <c:spPr>
            <a:solidFill>
              <a:schemeClr val="accent1"/>
            </a:solidFill>
            <a:ln>
              <a:noFill/>
            </a:ln>
            <a:effectLst/>
          </c:spPr>
          <c:invertIfNegative val="0"/>
          <c:dLbls>
            <c:delete val="1"/>
          </c:dLbls>
          <c:cat>
            <c:strRef>
              <c:f>[决算公开图表.xlsx]Sheet1!$B$48:$C$48</c:f>
              <c:strCache>
                <c:ptCount val="2"/>
                <c:pt idx="0">
                  <c:v>收入 </c:v>
                </c:pt>
                <c:pt idx="1">
                  <c:v>支出</c:v>
                </c:pt>
              </c:strCache>
            </c:strRef>
          </c:cat>
          <c:val>
            <c:numRef>
              <c:f>[决算公开图表.xlsx]Sheet1!$B$49:$C$49</c:f>
              <c:numCache>
                <c:formatCode>General</c:formatCode>
                <c:ptCount val="2"/>
                <c:pt idx="0">
                  <c:v>113.02</c:v>
                </c:pt>
                <c:pt idx="1">
                  <c:v>113.02</c:v>
                </c:pt>
              </c:numCache>
            </c:numRef>
          </c:val>
        </c:ser>
        <c:ser>
          <c:idx val="1"/>
          <c:order val="1"/>
          <c:tx>
            <c:strRef>
              <c:f>[决算公开图表.xlsx]Sheet1!$A$50</c:f>
              <c:strCache>
                <c:ptCount val="1"/>
                <c:pt idx="0">
                  <c:v>2021</c:v>
                </c:pt>
              </c:strCache>
            </c:strRef>
          </c:tx>
          <c:spPr>
            <a:solidFill>
              <a:schemeClr val="accent2"/>
            </a:solidFill>
            <a:ln>
              <a:noFill/>
            </a:ln>
            <a:effectLst/>
          </c:spPr>
          <c:invertIfNegative val="0"/>
          <c:dLbls>
            <c:delete val="1"/>
          </c:dLbls>
          <c:cat>
            <c:strRef>
              <c:f>[决算公开图表.xlsx]Sheet1!$B$48:$C$48</c:f>
              <c:strCache>
                <c:ptCount val="2"/>
                <c:pt idx="0">
                  <c:v>收入 </c:v>
                </c:pt>
                <c:pt idx="1">
                  <c:v>支出</c:v>
                </c:pt>
              </c:strCache>
            </c:strRef>
          </c:cat>
          <c:val>
            <c:numRef>
              <c:f>[决算公开图表.xlsx]Sheet1!$B$50:$C$50</c:f>
              <c:numCache>
                <c:formatCode>General</c:formatCode>
                <c:ptCount val="2"/>
                <c:pt idx="0">
                  <c:v>122.4</c:v>
                </c:pt>
                <c:pt idx="1">
                  <c:v>122.48</c:v>
                </c:pt>
              </c:numCache>
            </c:numRef>
          </c:val>
        </c:ser>
        <c:dLbls>
          <c:showLegendKey val="0"/>
          <c:showVal val="0"/>
          <c:showCatName val="0"/>
          <c:showSerName val="0"/>
          <c:showPercent val="0"/>
          <c:showBubbleSize val="0"/>
        </c:dLbls>
        <c:gapWidth val="219"/>
        <c:overlap val="-27"/>
        <c:axId val="396243823"/>
        <c:axId val="535025612"/>
      </c:barChart>
      <c:catAx>
        <c:axId val="3962438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5025612"/>
        <c:crosses val="autoZero"/>
        <c:auto val="1"/>
        <c:lblAlgn val="ctr"/>
        <c:lblOffset val="100"/>
        <c:noMultiLvlLbl val="0"/>
      </c:catAx>
      <c:valAx>
        <c:axId val="5350256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624382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507773356807"/>
          <c:y val="0.0327272727272727"/>
        </c:manualLayout>
      </c:layout>
      <c:overlay val="0"/>
      <c:spPr>
        <a:noFill/>
        <a:ln>
          <a:noFill/>
        </a:ln>
        <a:effectLst/>
      </c:spPr>
    </c:title>
    <c:autoTitleDeleted val="0"/>
    <c:plotArea>
      <c:layout/>
      <c:barChart>
        <c:barDir val="col"/>
        <c:grouping val="clustered"/>
        <c:varyColors val="0"/>
        <c:ser>
          <c:idx val="0"/>
          <c:order val="0"/>
          <c:tx>
            <c:strRef>
              <c:f>[决算公开图表.xlsx]Sheet1!$B$64</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[决算公开图表.xlsx]Sheet1!$A$65:$A$66</c:f>
              <c:numCache>
                <c:formatCode>General</c:formatCode>
                <c:ptCount val="2"/>
                <c:pt idx="0">
                  <c:v>2020</c:v>
                </c:pt>
                <c:pt idx="1">
                  <c:v>2021</c:v>
                </c:pt>
              </c:numCache>
            </c:numRef>
          </c:cat>
          <c:val>
            <c:numRef>
              <c:f>[决算公开图表.xlsx]Sheet1!$B$65:$B$66</c:f>
              <c:numCache>
                <c:formatCode>General</c:formatCode>
                <c:ptCount val="2"/>
                <c:pt idx="0">
                  <c:v>113.02</c:v>
                </c:pt>
                <c:pt idx="1">
                  <c:v>122.48</c:v>
                </c:pt>
              </c:numCache>
            </c:numRef>
          </c:val>
        </c:ser>
        <c:dLbls>
          <c:showLegendKey val="0"/>
          <c:showVal val="1"/>
          <c:showCatName val="0"/>
          <c:showSerName val="0"/>
          <c:showPercent val="0"/>
          <c:showBubbleSize val="0"/>
        </c:dLbls>
        <c:gapWidth val="219"/>
        <c:overlap val="-27"/>
        <c:axId val="613045648"/>
        <c:axId val="120894514"/>
      </c:barChart>
      <c:catAx>
        <c:axId val="6130456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0894514"/>
        <c:crosses val="autoZero"/>
        <c:auto val="1"/>
        <c:lblAlgn val="ctr"/>
        <c:lblOffset val="100"/>
        <c:noMultiLvlLbl val="0"/>
      </c:catAx>
      <c:valAx>
        <c:axId val="12089451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3045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manualLayout>
          <c:xMode val="edge"/>
          <c:yMode val="edge"/>
          <c:x val="0.208923362323076"/>
          <c:y val="0.0361969820462187"/>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21549901099745"/>
                  <c:y val="0.0054132653977611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902649377804295"/>
                  <c:y val="-0.00150194592728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[决算公开图表.xlsx]Sheet1!$A$81:$A$83</c:f>
              <c:strCache>
                <c:ptCount val="3"/>
                <c:pt idx="0">
                  <c:v>住房保障支出</c:v>
                </c:pt>
                <c:pt idx="1">
                  <c:v>社会保障和就业</c:v>
                </c:pt>
                <c:pt idx="2">
                  <c:v>卫生健康支出</c:v>
                </c:pt>
              </c:strCache>
            </c:strRef>
          </c:cat>
          <c:val>
            <c:numRef>
              <c:f>[决算公开图表.xlsx]Sheet1!$B$81:$B$83</c:f>
              <c:numCache>
                <c:formatCode>0.00%</c:formatCode>
                <c:ptCount val="3"/>
                <c:pt idx="0">
                  <c:v>0.0546</c:v>
                </c:pt>
                <c:pt idx="1">
                  <c:v>0.9292</c:v>
                </c:pt>
                <c:pt idx="2">
                  <c:v>0.0162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[决算公开图表.xlsx]Sheet1!$A$112:$A$114</c:f>
              <c:strCache>
                <c:ptCount val="3"/>
                <c:pt idx="0">
                  <c:v>公务用车购置及运行维护费支出</c:v>
                </c:pt>
                <c:pt idx="1">
                  <c:v>公务接待费支出</c:v>
                </c:pt>
                <c:pt idx="2">
                  <c:v>因公出国（境）费用</c:v>
                </c:pt>
              </c:strCache>
            </c:strRef>
          </c:cat>
          <c:val>
            <c:numRef>
              <c:f>[决算公开图表.xlsx]Sheet1!$B$112:$B$114</c:f>
              <c:numCache>
                <c:formatCode>0%</c:formatCode>
                <c:ptCount val="3"/>
                <c:pt idx="0">
                  <c:v>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20</Pages>
  <Words>5656</Words>
  <Characters>6741</Characters>
  <Lines>45</Lines>
  <Paragraphs>12</Paragraphs>
  <TotalTime>4</TotalTime>
  <ScaleCrop>false</ScaleCrop>
  <LinksUpToDate>false</LinksUpToDate>
  <CharactersWithSpaces>6766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陈欣</cp:lastModifiedBy>
  <cp:lastPrinted>2022-10-31T01:54:00Z</cp:lastPrinted>
  <dcterms:modified xsi:type="dcterms:W3CDTF">2025-03-06T07:19:01Z</dcterms:modified>
  <dc:title>四川省***</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eyJoZGlkIjoiMDUxODc3ODM0YWIyNjA3ZGJjNDdhOGU4ZDM2YjFkNmUiLCJ1c2VySWQiOiIzNDIxMjQ1NjcifQ==</vt:lpwstr>
  </property>
  <property fmtid="{D5CDD505-2E9C-101B-9397-08002B2CF9AE}" pid="4" name="ICV">
    <vt:lpwstr>BE60B4B842664A828CCCDD02F0519ED6_12</vt:lpwstr>
  </property>
</Properties>
</file>